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9B6" w:rsidRDefault="000669B6" w:rsidP="00A6617B">
      <w:pPr>
        <w:rPr>
          <w:lang w:val="en-US"/>
        </w:rPr>
      </w:pPr>
      <w:bookmarkStart w:id="0" w:name="_GoBack"/>
      <w:bookmarkEnd w:id="0"/>
    </w:p>
    <w:p w:rsidR="000669B6" w:rsidRDefault="000669B6" w:rsidP="000669B6"/>
    <w:p w:rsidR="000669B6" w:rsidRDefault="000669B6" w:rsidP="000669B6"/>
    <w:p w:rsidR="000669B6" w:rsidRDefault="000669B6" w:rsidP="000669B6"/>
    <w:p w:rsidR="000669B6" w:rsidRDefault="000669B6" w:rsidP="000669B6"/>
    <w:p w:rsidR="000669B6" w:rsidRDefault="000669B6" w:rsidP="000669B6"/>
    <w:p w:rsidR="000669B6" w:rsidRDefault="000669B6" w:rsidP="000669B6"/>
    <w:p w:rsidR="000669B6" w:rsidRDefault="000669B6" w:rsidP="000669B6"/>
    <w:p w:rsidR="000669B6" w:rsidRDefault="000669B6" w:rsidP="000669B6"/>
    <w:tbl>
      <w:tblPr>
        <w:tblW w:w="10089" w:type="dxa"/>
        <w:tblLook w:val="01E0" w:firstRow="1" w:lastRow="1" w:firstColumn="1" w:lastColumn="1" w:noHBand="0" w:noVBand="0"/>
      </w:tblPr>
      <w:tblGrid>
        <w:gridCol w:w="10089"/>
      </w:tblGrid>
      <w:tr w:rsidR="000669B6" w:rsidRPr="00A443C2" w:rsidTr="006F415D">
        <w:tc>
          <w:tcPr>
            <w:tcW w:w="10089" w:type="dxa"/>
          </w:tcPr>
          <w:p w:rsidR="000669B6" w:rsidRPr="00B033C8" w:rsidRDefault="000669B6" w:rsidP="006F415D">
            <w:pPr>
              <w:spacing w:before="380" w:line="280" w:lineRule="exact"/>
              <w:jc w:val="right"/>
              <w:rPr>
                <w:rFonts w:ascii="Tahoma" w:hAnsi="Tahoma" w:cs="Tahoma"/>
                <w:b/>
                <w:bCs/>
                <w:iCs/>
                <w:color w:val="243285"/>
                <w:sz w:val="32"/>
                <w:szCs w:val="32"/>
                <w:lang w:val="en-US"/>
              </w:rPr>
            </w:pPr>
          </w:p>
          <w:p w:rsidR="000669B6" w:rsidRPr="00A443C2" w:rsidRDefault="000669B6" w:rsidP="006F415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6F415D">
              <w:rPr>
                <w:rFonts w:ascii="Tahoma" w:hAnsi="Tahoma" w:cs="Tahoma"/>
                <w:b/>
                <w:bCs/>
                <w:iCs/>
                <w:color w:val="243285"/>
                <w:sz w:val="36"/>
                <w:szCs w:val="36"/>
              </w:rPr>
              <w:t>1459</w:t>
            </w:r>
          </w:p>
          <w:p w:rsidR="000669B6" w:rsidRPr="00A443C2" w:rsidRDefault="000669B6" w:rsidP="006F415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F415D">
              <w:rPr>
                <w:rFonts w:ascii="Tahoma" w:hAnsi="Tahoma" w:cs="Tahoma"/>
                <w:b/>
                <w:bCs/>
                <w:iCs/>
                <w:color w:val="243285"/>
                <w:szCs w:val="24"/>
              </w:rPr>
              <w:t>5</w:t>
            </w:r>
            <w:r w:rsidRPr="00A443C2">
              <w:rPr>
                <w:rFonts w:ascii="Tahoma" w:hAnsi="Tahoma" w:cs="Tahoma"/>
                <w:b/>
                <w:bCs/>
                <w:iCs/>
                <w:color w:val="243285"/>
                <w:szCs w:val="24"/>
              </w:rPr>
              <w:t>/</w:t>
            </w:r>
            <w:r w:rsidR="006F415D">
              <w:rPr>
                <w:rFonts w:ascii="Tahoma" w:hAnsi="Tahoma" w:cs="Tahoma"/>
                <w:b/>
                <w:bCs/>
                <w:iCs/>
                <w:color w:val="243285"/>
                <w:szCs w:val="24"/>
              </w:rPr>
              <w:t>2000</w:t>
            </w:r>
            <w:r w:rsidRPr="00A443C2">
              <w:rPr>
                <w:rFonts w:ascii="Tahoma" w:hAnsi="Tahoma" w:cs="Tahoma"/>
                <w:b/>
                <w:bCs/>
                <w:iCs/>
                <w:color w:val="243285"/>
                <w:szCs w:val="24"/>
              </w:rPr>
              <w:t>)</w:t>
            </w:r>
          </w:p>
        </w:tc>
      </w:tr>
      <w:tr w:rsidR="000669B6" w:rsidRPr="00F54FBD" w:rsidTr="006F415D">
        <w:tc>
          <w:tcPr>
            <w:tcW w:w="10089" w:type="dxa"/>
          </w:tcPr>
          <w:p w:rsidR="000669B6" w:rsidRDefault="000669B6" w:rsidP="006F415D">
            <w:pPr>
              <w:spacing w:before="80" w:line="500" w:lineRule="exact"/>
              <w:jc w:val="right"/>
              <w:rPr>
                <w:rFonts w:ascii="Tahoma" w:hAnsi="Tahoma" w:cs="Tahoma"/>
                <w:b/>
                <w:bCs/>
                <w:iCs/>
                <w:color w:val="243285"/>
                <w:sz w:val="44"/>
                <w:szCs w:val="44"/>
              </w:rPr>
            </w:pPr>
          </w:p>
          <w:p w:rsidR="000669B6" w:rsidRPr="00FB1374" w:rsidRDefault="006F415D" w:rsidP="006F415D">
            <w:pPr>
              <w:spacing w:before="80" w:line="500" w:lineRule="exact"/>
              <w:jc w:val="right"/>
              <w:rPr>
                <w:rFonts w:ascii="Tahoma" w:hAnsi="Tahoma" w:cs="Tahoma"/>
                <w:b/>
                <w:bCs/>
                <w:iCs/>
                <w:color w:val="243285"/>
                <w:sz w:val="44"/>
                <w:szCs w:val="44"/>
              </w:rPr>
            </w:pPr>
            <w:r w:rsidRPr="00FB1374">
              <w:rPr>
                <w:rFonts w:ascii="Tahoma" w:hAnsi="Tahoma" w:cs="Tahoma"/>
                <w:b/>
                <w:bCs/>
                <w:color w:val="243285"/>
                <w:sz w:val="44"/>
                <w:szCs w:val="44"/>
              </w:rPr>
              <w:t>Critères de protection applicables aux systèmes de télémesure du service mobile aéronautique et techniques de réduction des brouillages propres à faciliter le partage avec les services de radiodiffusion par satellite géostationnaire et mobile par satellite géostationnaire dansles bandes</w:t>
            </w:r>
            <w:r w:rsidRPr="00FB1374">
              <w:rPr>
                <w:rFonts w:ascii="Tahoma" w:hAnsi="Tahoma" w:cs="Tahoma"/>
                <w:b/>
                <w:bCs/>
                <w:color w:val="243285"/>
                <w:sz w:val="44"/>
                <w:szCs w:val="44"/>
              </w:rPr>
              <w:br/>
              <w:t>de fréquences 1 452-1 525 MHz</w:t>
            </w:r>
            <w:r w:rsidRPr="00FB1374">
              <w:rPr>
                <w:rFonts w:ascii="Tahoma" w:hAnsi="Tahoma" w:cs="Tahoma"/>
                <w:b/>
                <w:bCs/>
                <w:color w:val="243285"/>
                <w:sz w:val="44"/>
                <w:szCs w:val="44"/>
              </w:rPr>
              <w:br/>
              <w:t>et 2 310-2 360 MHz</w:t>
            </w:r>
          </w:p>
          <w:p w:rsidR="000669B6" w:rsidRPr="00F54FBD" w:rsidRDefault="000669B6" w:rsidP="006F415D">
            <w:pPr>
              <w:spacing w:before="80" w:line="500" w:lineRule="exact"/>
              <w:jc w:val="right"/>
              <w:rPr>
                <w:rFonts w:ascii="Tahoma" w:hAnsi="Tahoma" w:cs="Tahoma"/>
                <w:b/>
                <w:bCs/>
                <w:iCs/>
                <w:color w:val="243285"/>
                <w:sz w:val="44"/>
                <w:szCs w:val="44"/>
              </w:rPr>
            </w:pPr>
          </w:p>
        </w:tc>
      </w:tr>
      <w:tr w:rsidR="000669B6" w:rsidRPr="00F54FBD" w:rsidTr="006F415D">
        <w:tc>
          <w:tcPr>
            <w:tcW w:w="10089" w:type="dxa"/>
          </w:tcPr>
          <w:p w:rsidR="000669B6" w:rsidRPr="00F54FBD" w:rsidRDefault="000669B6" w:rsidP="006F415D">
            <w:pPr>
              <w:spacing w:before="80" w:line="280" w:lineRule="exact"/>
              <w:ind w:right="640"/>
              <w:rPr>
                <w:rFonts w:ascii="Tahoma" w:hAnsi="Tahoma" w:cs="Tahoma"/>
                <w:b/>
                <w:bCs/>
                <w:iCs/>
                <w:color w:val="243285"/>
                <w:sz w:val="32"/>
                <w:szCs w:val="32"/>
              </w:rPr>
            </w:pPr>
          </w:p>
          <w:p w:rsidR="000669B6" w:rsidRPr="00F54FBD" w:rsidRDefault="000669B6" w:rsidP="006F415D">
            <w:pPr>
              <w:spacing w:before="80" w:after="180" w:line="360" w:lineRule="exact"/>
              <w:ind w:right="720"/>
              <w:rPr>
                <w:rFonts w:ascii="Tahoma" w:hAnsi="Tahoma" w:cs="Tahoma"/>
                <w:b/>
                <w:bCs/>
                <w:iCs/>
                <w:color w:val="243285"/>
                <w:sz w:val="36"/>
                <w:szCs w:val="36"/>
              </w:rPr>
            </w:pPr>
          </w:p>
          <w:p w:rsidR="000669B6" w:rsidRPr="00F54FBD" w:rsidRDefault="000669B6" w:rsidP="006F415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0669B6" w:rsidRPr="00F54FBD" w:rsidRDefault="000669B6" w:rsidP="006F415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0669B6" w:rsidRPr="00F54FBD" w:rsidRDefault="000669B6" w:rsidP="000669B6">
      <w:pPr>
        <w:spacing w:before="80"/>
        <w:rPr>
          <w:i/>
          <w:sz w:val="22"/>
        </w:rPr>
      </w:pPr>
    </w:p>
    <w:p w:rsidR="000669B6" w:rsidRPr="00F54FBD" w:rsidRDefault="000669B6" w:rsidP="000669B6">
      <w:pPr>
        <w:spacing w:before="80"/>
        <w:rPr>
          <w:i/>
          <w:sz w:val="22"/>
        </w:rPr>
      </w:pPr>
    </w:p>
    <w:p w:rsidR="000669B6" w:rsidRPr="00F54FBD" w:rsidRDefault="000669B6" w:rsidP="000669B6">
      <w:pPr>
        <w:spacing w:before="80"/>
        <w:rPr>
          <w:i/>
          <w:sz w:val="22"/>
        </w:rPr>
      </w:pPr>
    </w:p>
    <w:p w:rsidR="000669B6" w:rsidRPr="00F54FBD" w:rsidRDefault="000669B6" w:rsidP="000669B6">
      <w:pPr>
        <w:spacing w:before="80"/>
        <w:rPr>
          <w:i/>
          <w:sz w:val="22"/>
        </w:rPr>
      </w:pPr>
    </w:p>
    <w:p w:rsidR="000669B6" w:rsidRPr="00F54FBD" w:rsidRDefault="000669B6" w:rsidP="000669B6">
      <w:pPr>
        <w:spacing w:before="80"/>
        <w:rPr>
          <w:i/>
          <w:sz w:val="22"/>
        </w:rPr>
      </w:pPr>
    </w:p>
    <w:p w:rsidR="000669B6" w:rsidRPr="00F54FBD" w:rsidRDefault="000669B6" w:rsidP="000669B6">
      <w:pPr>
        <w:pStyle w:val="Equation"/>
        <w:tabs>
          <w:tab w:val="clear" w:pos="4820"/>
          <w:tab w:val="clear" w:pos="9639"/>
          <w:tab w:val="left" w:pos="1191"/>
          <w:tab w:val="left" w:pos="1588"/>
          <w:tab w:val="left" w:pos="1985"/>
        </w:tabs>
        <w:rPr>
          <w:rFonts w:ascii="Palatino Linotype" w:hAnsi="Palatino Linotype"/>
        </w:rPr>
        <w:sectPr w:rsidR="000669B6" w:rsidRPr="00F54FBD">
          <w:headerReference w:type="even" r:id="rId9"/>
          <w:headerReference w:type="default" r:id="rId10"/>
          <w:pgSz w:w="11907" w:h="16840" w:code="9"/>
          <w:pgMar w:top="1089" w:right="1089" w:bottom="284" w:left="1089" w:header="567" w:footer="284" w:gutter="0"/>
          <w:pgNumType w:start="1"/>
          <w:cols w:space="720"/>
        </w:sectPr>
      </w:pPr>
    </w:p>
    <w:p w:rsidR="000669B6" w:rsidRPr="00F54FBD" w:rsidRDefault="000669B6" w:rsidP="000669B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669B6" w:rsidRPr="00F54FBD" w:rsidRDefault="000669B6" w:rsidP="000669B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669B6" w:rsidRPr="00F54FBD" w:rsidRDefault="000669B6" w:rsidP="000669B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669B6" w:rsidRPr="00E44CBB" w:rsidRDefault="000669B6" w:rsidP="000669B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669B6" w:rsidRPr="00E44CBB" w:rsidRDefault="000669B6" w:rsidP="000669B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669B6" w:rsidRPr="000669B6" w:rsidRDefault="000669B6" w:rsidP="000669B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69B6" w:rsidRPr="009454F8" w:rsidTr="006F415D">
        <w:tc>
          <w:tcPr>
            <w:tcW w:w="9360" w:type="dxa"/>
            <w:gridSpan w:val="2"/>
          </w:tcPr>
          <w:p w:rsidR="000669B6" w:rsidRPr="009454F8" w:rsidRDefault="000669B6" w:rsidP="006F415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669B6" w:rsidRPr="009454F8" w:rsidRDefault="000669B6" w:rsidP="006F41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0669B6" w:rsidRPr="00036EE3" w:rsidTr="006F415D">
        <w:tc>
          <w:tcPr>
            <w:tcW w:w="1140" w:type="dxa"/>
          </w:tcPr>
          <w:p w:rsidR="000669B6" w:rsidRPr="00614CC6" w:rsidRDefault="000669B6" w:rsidP="006F415D">
            <w:pPr>
              <w:spacing w:before="90" w:after="100"/>
              <w:ind w:left="57"/>
              <w:rPr>
                <w:b/>
                <w:bCs/>
                <w:sz w:val="20"/>
                <w:lang w:val="en-US"/>
              </w:rPr>
            </w:pPr>
            <w:r w:rsidRPr="00614CC6">
              <w:rPr>
                <w:b/>
                <w:bCs/>
                <w:sz w:val="20"/>
                <w:lang w:val="en-US"/>
              </w:rPr>
              <w:t>Séries</w:t>
            </w:r>
          </w:p>
        </w:tc>
        <w:tc>
          <w:tcPr>
            <w:tcW w:w="8220" w:type="dxa"/>
          </w:tcPr>
          <w:p w:rsidR="000669B6" w:rsidRPr="00614CC6" w:rsidRDefault="000669B6" w:rsidP="006F41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BO</w:t>
            </w:r>
          </w:p>
        </w:tc>
        <w:tc>
          <w:tcPr>
            <w:tcW w:w="8220" w:type="dxa"/>
          </w:tcPr>
          <w:p w:rsidR="000669B6" w:rsidRPr="00614CC6" w:rsidRDefault="000669B6" w:rsidP="006F41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669B6" w:rsidRPr="009454F8"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BR</w:t>
            </w:r>
          </w:p>
        </w:tc>
        <w:tc>
          <w:tcPr>
            <w:tcW w:w="8220" w:type="dxa"/>
          </w:tcPr>
          <w:p w:rsidR="000669B6" w:rsidRPr="00614CC6" w:rsidRDefault="000669B6" w:rsidP="006F41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BS</w:t>
            </w:r>
          </w:p>
        </w:tc>
        <w:tc>
          <w:tcPr>
            <w:tcW w:w="8220" w:type="dxa"/>
          </w:tcPr>
          <w:p w:rsidR="000669B6" w:rsidRPr="00614CC6" w:rsidRDefault="000669B6" w:rsidP="006F41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669B6" w:rsidRPr="00ED2695" w:rsidTr="006F415D">
        <w:tc>
          <w:tcPr>
            <w:tcW w:w="1140" w:type="dxa"/>
            <w:shd w:val="clear" w:color="auto" w:fill="auto"/>
          </w:tcPr>
          <w:p w:rsidR="000669B6" w:rsidRPr="00614CC6" w:rsidRDefault="000669B6" w:rsidP="006F415D">
            <w:pPr>
              <w:spacing w:before="30" w:after="30"/>
              <w:ind w:left="57"/>
              <w:jc w:val="left"/>
              <w:rPr>
                <w:b/>
                <w:bCs/>
                <w:sz w:val="20"/>
                <w:lang w:val="en-US"/>
              </w:rPr>
            </w:pPr>
            <w:r w:rsidRPr="00614CC6">
              <w:rPr>
                <w:b/>
                <w:bCs/>
                <w:sz w:val="20"/>
                <w:lang w:val="en-US"/>
              </w:rPr>
              <w:t>BT</w:t>
            </w:r>
          </w:p>
        </w:tc>
        <w:tc>
          <w:tcPr>
            <w:tcW w:w="8220" w:type="dxa"/>
            <w:shd w:val="clear" w:color="auto" w:fill="auto"/>
          </w:tcPr>
          <w:p w:rsidR="000669B6" w:rsidRPr="00614CC6" w:rsidRDefault="000669B6" w:rsidP="006F41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669B6" w:rsidRPr="00036EE3" w:rsidTr="006F415D">
        <w:tc>
          <w:tcPr>
            <w:tcW w:w="1140" w:type="dxa"/>
            <w:shd w:val="clear" w:color="auto" w:fill="auto"/>
          </w:tcPr>
          <w:p w:rsidR="000669B6" w:rsidRPr="00614CC6" w:rsidRDefault="000669B6" w:rsidP="006F415D">
            <w:pPr>
              <w:spacing w:before="30" w:after="30"/>
              <w:ind w:left="57"/>
              <w:jc w:val="left"/>
              <w:rPr>
                <w:b/>
                <w:bCs/>
                <w:sz w:val="20"/>
                <w:lang w:val="fr-CH"/>
              </w:rPr>
            </w:pPr>
            <w:r w:rsidRPr="00614CC6">
              <w:rPr>
                <w:b/>
                <w:bCs/>
                <w:sz w:val="20"/>
                <w:lang w:val="fr-CH"/>
              </w:rPr>
              <w:t>F</w:t>
            </w:r>
          </w:p>
        </w:tc>
        <w:tc>
          <w:tcPr>
            <w:tcW w:w="8220" w:type="dxa"/>
            <w:shd w:val="clear" w:color="auto" w:fill="auto"/>
          </w:tcPr>
          <w:p w:rsidR="000669B6" w:rsidRPr="00614CC6" w:rsidRDefault="000669B6" w:rsidP="006F41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669B6" w:rsidRPr="00592F9F" w:rsidTr="006F415D">
        <w:tc>
          <w:tcPr>
            <w:tcW w:w="1140" w:type="dxa"/>
            <w:shd w:val="clear" w:color="auto" w:fill="F3F3F3"/>
          </w:tcPr>
          <w:p w:rsidR="000669B6" w:rsidRPr="00592F9F" w:rsidRDefault="000669B6" w:rsidP="006F415D">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0669B6" w:rsidRPr="00592F9F" w:rsidRDefault="000669B6" w:rsidP="006F415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0669B6" w:rsidRPr="00036EE3" w:rsidTr="006F415D">
        <w:tc>
          <w:tcPr>
            <w:tcW w:w="1140" w:type="dxa"/>
          </w:tcPr>
          <w:p w:rsidR="000669B6" w:rsidRPr="00614CC6" w:rsidRDefault="000669B6" w:rsidP="006F415D">
            <w:pPr>
              <w:spacing w:before="30" w:after="30"/>
              <w:ind w:left="57"/>
              <w:jc w:val="left"/>
              <w:rPr>
                <w:b/>
                <w:bCs/>
                <w:sz w:val="20"/>
                <w:lang w:val="fr-CH"/>
              </w:rPr>
            </w:pPr>
            <w:r w:rsidRPr="00614CC6">
              <w:rPr>
                <w:b/>
                <w:bCs/>
                <w:sz w:val="20"/>
                <w:lang w:val="fr-CH"/>
              </w:rPr>
              <w:t>P</w:t>
            </w:r>
          </w:p>
        </w:tc>
        <w:tc>
          <w:tcPr>
            <w:tcW w:w="8220" w:type="dxa"/>
          </w:tcPr>
          <w:p w:rsidR="000669B6" w:rsidRPr="00614CC6" w:rsidRDefault="000669B6" w:rsidP="006F415D">
            <w:pPr>
              <w:spacing w:before="30" w:after="30"/>
              <w:jc w:val="left"/>
              <w:rPr>
                <w:sz w:val="20"/>
                <w:lang w:val="fr-CH"/>
              </w:rPr>
            </w:pPr>
            <w:r w:rsidRPr="00614CC6">
              <w:rPr>
                <w:sz w:val="20"/>
              </w:rPr>
              <w:t>Propagation des ondes radioélectriques</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RA</w:t>
            </w:r>
          </w:p>
        </w:tc>
        <w:tc>
          <w:tcPr>
            <w:tcW w:w="8220" w:type="dxa"/>
          </w:tcPr>
          <w:p w:rsidR="000669B6" w:rsidRPr="00614CC6" w:rsidRDefault="000669B6" w:rsidP="006F41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RS</w:t>
            </w:r>
          </w:p>
        </w:tc>
        <w:tc>
          <w:tcPr>
            <w:tcW w:w="8220" w:type="dxa"/>
          </w:tcPr>
          <w:p w:rsidR="000669B6" w:rsidRPr="00614CC6" w:rsidRDefault="000669B6" w:rsidP="006F415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S</w:t>
            </w:r>
          </w:p>
        </w:tc>
        <w:tc>
          <w:tcPr>
            <w:tcW w:w="8220" w:type="dxa"/>
          </w:tcPr>
          <w:p w:rsidR="000669B6" w:rsidRPr="00614CC6" w:rsidRDefault="000669B6" w:rsidP="006F415D">
            <w:pPr>
              <w:spacing w:before="30" w:after="30"/>
              <w:jc w:val="left"/>
              <w:rPr>
                <w:sz w:val="20"/>
                <w:lang w:val="en-US"/>
              </w:rPr>
            </w:pPr>
            <w:r w:rsidRPr="00614CC6">
              <w:rPr>
                <w:sz w:val="20"/>
              </w:rPr>
              <w:t>Service fixe par satellite</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SA</w:t>
            </w:r>
          </w:p>
        </w:tc>
        <w:tc>
          <w:tcPr>
            <w:tcW w:w="8220" w:type="dxa"/>
          </w:tcPr>
          <w:p w:rsidR="000669B6" w:rsidRPr="00614CC6" w:rsidRDefault="000669B6" w:rsidP="006F415D">
            <w:pPr>
              <w:spacing w:before="30" w:after="30"/>
              <w:jc w:val="left"/>
              <w:rPr>
                <w:sz w:val="20"/>
                <w:lang w:val="en-US"/>
              </w:rPr>
            </w:pPr>
            <w:r w:rsidRPr="00614CC6">
              <w:rPr>
                <w:sz w:val="20"/>
              </w:rPr>
              <w:t>Applications spatiales et météorologie</w:t>
            </w:r>
          </w:p>
        </w:tc>
      </w:tr>
      <w:tr w:rsidR="000669B6" w:rsidRPr="00614CC6"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SF</w:t>
            </w:r>
          </w:p>
        </w:tc>
        <w:tc>
          <w:tcPr>
            <w:tcW w:w="8220" w:type="dxa"/>
          </w:tcPr>
          <w:p w:rsidR="000669B6" w:rsidRPr="00614CC6" w:rsidRDefault="000669B6" w:rsidP="006F415D">
            <w:pPr>
              <w:spacing w:before="30" w:after="30"/>
              <w:jc w:val="left"/>
              <w:rPr>
                <w:sz w:val="20"/>
              </w:rPr>
            </w:pPr>
            <w:r w:rsidRPr="00614CC6">
              <w:rPr>
                <w:sz w:val="20"/>
              </w:rPr>
              <w:t>Partage des fréquences et coordination entre les systèmes du service fixe par satellite et du service fixe</w:t>
            </w:r>
          </w:p>
        </w:tc>
      </w:tr>
      <w:tr w:rsidR="000669B6" w:rsidRPr="00036EE3" w:rsidTr="006F415D">
        <w:tc>
          <w:tcPr>
            <w:tcW w:w="1140" w:type="dxa"/>
            <w:shd w:val="clear" w:color="auto" w:fill="auto"/>
          </w:tcPr>
          <w:p w:rsidR="000669B6" w:rsidRPr="00592F9F" w:rsidRDefault="000669B6" w:rsidP="006F415D">
            <w:pPr>
              <w:spacing w:before="30" w:after="30"/>
              <w:ind w:left="57"/>
              <w:jc w:val="left"/>
              <w:rPr>
                <w:b/>
                <w:bCs/>
                <w:sz w:val="20"/>
                <w:lang w:val="en-US"/>
              </w:rPr>
            </w:pPr>
            <w:r w:rsidRPr="00592F9F">
              <w:rPr>
                <w:b/>
                <w:bCs/>
                <w:sz w:val="20"/>
                <w:lang w:val="en-US"/>
              </w:rPr>
              <w:t>SM</w:t>
            </w:r>
          </w:p>
        </w:tc>
        <w:tc>
          <w:tcPr>
            <w:tcW w:w="8220" w:type="dxa"/>
            <w:shd w:val="clear" w:color="auto" w:fill="auto"/>
          </w:tcPr>
          <w:p w:rsidR="000669B6" w:rsidRPr="00592F9F" w:rsidRDefault="000669B6" w:rsidP="006F415D">
            <w:pPr>
              <w:spacing w:before="30" w:after="30"/>
              <w:jc w:val="left"/>
              <w:rPr>
                <w:sz w:val="20"/>
                <w:lang w:val="en-US"/>
              </w:rPr>
            </w:pPr>
            <w:r w:rsidRPr="00592F9F">
              <w:rPr>
                <w:sz w:val="20"/>
              </w:rPr>
              <w:t>Gestion du spectre</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SNG</w:t>
            </w:r>
          </w:p>
        </w:tc>
        <w:tc>
          <w:tcPr>
            <w:tcW w:w="8220" w:type="dxa"/>
          </w:tcPr>
          <w:p w:rsidR="000669B6" w:rsidRPr="00614CC6" w:rsidRDefault="000669B6" w:rsidP="006F415D">
            <w:pPr>
              <w:spacing w:before="30" w:after="30"/>
              <w:jc w:val="left"/>
              <w:rPr>
                <w:sz w:val="20"/>
                <w:lang w:val="en-US"/>
              </w:rPr>
            </w:pPr>
            <w:r w:rsidRPr="00614CC6">
              <w:rPr>
                <w:sz w:val="20"/>
              </w:rPr>
              <w:t>Reportage d'actualités par satellite</w:t>
            </w:r>
          </w:p>
        </w:tc>
      </w:tr>
      <w:tr w:rsidR="000669B6" w:rsidRPr="00614CC6"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TF</w:t>
            </w:r>
          </w:p>
        </w:tc>
        <w:tc>
          <w:tcPr>
            <w:tcW w:w="8220" w:type="dxa"/>
          </w:tcPr>
          <w:p w:rsidR="000669B6" w:rsidRPr="00614CC6" w:rsidRDefault="000669B6" w:rsidP="006F415D">
            <w:pPr>
              <w:spacing w:before="30" w:after="30"/>
              <w:jc w:val="left"/>
              <w:rPr>
                <w:sz w:val="20"/>
              </w:rPr>
            </w:pPr>
            <w:r w:rsidRPr="00614CC6">
              <w:rPr>
                <w:sz w:val="20"/>
              </w:rPr>
              <w:t>Emissions de fréquences étalon et de signaux horaires</w:t>
            </w:r>
          </w:p>
        </w:tc>
      </w:tr>
      <w:tr w:rsidR="000669B6" w:rsidRPr="00036EE3" w:rsidTr="006F415D">
        <w:tc>
          <w:tcPr>
            <w:tcW w:w="1140" w:type="dxa"/>
          </w:tcPr>
          <w:p w:rsidR="000669B6" w:rsidRPr="00614CC6" w:rsidRDefault="000669B6" w:rsidP="006F415D">
            <w:pPr>
              <w:spacing w:before="30" w:after="30"/>
              <w:ind w:left="57"/>
              <w:jc w:val="left"/>
              <w:rPr>
                <w:b/>
                <w:bCs/>
                <w:sz w:val="20"/>
                <w:lang w:val="en-US"/>
              </w:rPr>
            </w:pPr>
            <w:r w:rsidRPr="00614CC6">
              <w:rPr>
                <w:b/>
                <w:bCs/>
                <w:sz w:val="20"/>
                <w:lang w:val="en-US"/>
              </w:rPr>
              <w:t>V</w:t>
            </w:r>
          </w:p>
        </w:tc>
        <w:tc>
          <w:tcPr>
            <w:tcW w:w="8220" w:type="dxa"/>
          </w:tcPr>
          <w:p w:rsidR="000669B6" w:rsidRPr="00614CC6" w:rsidRDefault="000669B6" w:rsidP="006F415D">
            <w:pPr>
              <w:spacing w:before="30" w:after="140"/>
              <w:jc w:val="left"/>
              <w:rPr>
                <w:sz w:val="20"/>
                <w:lang w:val="en-US"/>
              </w:rPr>
            </w:pPr>
            <w:r w:rsidRPr="00614CC6">
              <w:rPr>
                <w:sz w:val="20"/>
              </w:rPr>
              <w:t>Vocabulaire et sujets associés</w:t>
            </w:r>
          </w:p>
        </w:tc>
      </w:tr>
    </w:tbl>
    <w:p w:rsidR="000669B6" w:rsidRPr="00036EE3" w:rsidRDefault="000669B6" w:rsidP="000669B6">
      <w:pPr>
        <w:spacing w:before="0"/>
        <w:jc w:val="center"/>
        <w:rPr>
          <w:sz w:val="20"/>
          <w:lang w:val="en-US"/>
        </w:rPr>
      </w:pPr>
    </w:p>
    <w:p w:rsidR="000669B6" w:rsidRPr="00036EE3" w:rsidRDefault="000669B6" w:rsidP="000669B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69B6" w:rsidRPr="00756B4D" w:rsidTr="006F415D">
        <w:tc>
          <w:tcPr>
            <w:tcW w:w="9360" w:type="dxa"/>
          </w:tcPr>
          <w:p w:rsidR="000669B6" w:rsidRPr="00756B4D" w:rsidRDefault="000669B6" w:rsidP="006F415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669B6" w:rsidRPr="00756B4D" w:rsidRDefault="000669B6" w:rsidP="000669B6">
      <w:pPr>
        <w:spacing w:before="0"/>
        <w:jc w:val="center"/>
        <w:rPr>
          <w:sz w:val="22"/>
        </w:rPr>
      </w:pPr>
    </w:p>
    <w:p w:rsidR="000669B6" w:rsidRPr="00614CC6" w:rsidRDefault="000669B6" w:rsidP="000669B6">
      <w:pPr>
        <w:spacing w:before="100"/>
        <w:jc w:val="right"/>
        <w:rPr>
          <w:i/>
          <w:iCs/>
          <w:sz w:val="20"/>
        </w:rPr>
      </w:pPr>
      <w:r w:rsidRPr="00614CC6">
        <w:rPr>
          <w:i/>
          <w:iCs/>
          <w:sz w:val="20"/>
        </w:rPr>
        <w:t>Publication électronique</w:t>
      </w:r>
    </w:p>
    <w:p w:rsidR="000669B6" w:rsidRPr="00614CC6" w:rsidRDefault="000669B6" w:rsidP="006F415D">
      <w:pPr>
        <w:spacing w:before="0"/>
        <w:jc w:val="right"/>
        <w:rPr>
          <w:sz w:val="20"/>
        </w:rPr>
      </w:pPr>
      <w:r w:rsidRPr="00614CC6">
        <w:rPr>
          <w:sz w:val="20"/>
        </w:rPr>
        <w:t>Genève, 20</w:t>
      </w:r>
      <w:r>
        <w:rPr>
          <w:sz w:val="20"/>
        </w:rPr>
        <w:t>1</w:t>
      </w:r>
      <w:r w:rsidR="006F415D">
        <w:rPr>
          <w:sz w:val="20"/>
        </w:rPr>
        <w:t>1</w:t>
      </w:r>
    </w:p>
    <w:p w:rsidR="000669B6" w:rsidRPr="00614CC6" w:rsidRDefault="000669B6" w:rsidP="006F415D">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6F415D">
        <w:rPr>
          <w:sz w:val="20"/>
        </w:rPr>
        <w:t>1</w:t>
      </w:r>
    </w:p>
    <w:p w:rsidR="000669B6" w:rsidRPr="00614CC6" w:rsidRDefault="000669B6" w:rsidP="000669B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669B6" w:rsidRPr="00614CC6" w:rsidRDefault="000669B6" w:rsidP="000669B6">
      <w:pPr>
        <w:spacing w:before="160"/>
        <w:rPr>
          <w:i/>
          <w:sz w:val="20"/>
          <w:highlight w:val="yellow"/>
        </w:rPr>
        <w:sectPr w:rsidR="000669B6" w:rsidRPr="00614CC6" w:rsidSect="006F415D">
          <w:headerReference w:type="even" r:id="rId13"/>
          <w:headerReference w:type="default" r:id="rId14"/>
          <w:pgSz w:w="11907" w:h="16834" w:code="9"/>
          <w:pgMar w:top="1418" w:right="1134" w:bottom="1134" w:left="1134" w:header="720" w:footer="482" w:gutter="0"/>
          <w:pgNumType w:fmt="lowerRoman" w:start="2"/>
          <w:cols w:space="720"/>
        </w:sectPr>
      </w:pPr>
    </w:p>
    <w:p w:rsidR="00740FDA" w:rsidRPr="00FB1374" w:rsidRDefault="00740FDA" w:rsidP="00740FDA">
      <w:pPr>
        <w:pStyle w:val="Rec"/>
        <w:spacing w:before="0"/>
        <w:rPr>
          <w:rStyle w:val="href"/>
          <w:lang w:val="fr-CH"/>
        </w:rPr>
      </w:pPr>
      <w:bookmarkStart w:id="3" w:name="irecnoe"/>
      <w:bookmarkEnd w:id="3"/>
      <w:r w:rsidRPr="00FB1374">
        <w:rPr>
          <w:rStyle w:val="href"/>
          <w:lang w:val="fr-CH"/>
        </w:rPr>
        <w:lastRenderedPageBreak/>
        <w:t>RECOMMANDATION  UIT-R  M.1459</w:t>
      </w:r>
      <w:r w:rsidRPr="00FB1374">
        <w:rPr>
          <w:rStyle w:val="href"/>
          <w:lang w:val="fr-CH"/>
        </w:rPr>
        <w:footnoteReference w:customMarkFollows="1" w:id="1"/>
        <w:t xml:space="preserve">*, </w:t>
      </w:r>
      <w:r w:rsidRPr="00FB1374">
        <w:rPr>
          <w:rStyle w:val="href"/>
          <w:lang w:val="fr-CH"/>
        </w:rPr>
        <w:footnoteReference w:customMarkFollows="1" w:id="2"/>
        <w:t>**</w:t>
      </w:r>
    </w:p>
    <w:p w:rsidR="00740FDA" w:rsidRDefault="00740FDA" w:rsidP="00740FDA">
      <w:pPr>
        <w:pStyle w:val="RecTitle0"/>
        <w:rPr>
          <w:lang w:val="fr-FR"/>
        </w:rPr>
      </w:pPr>
      <w:r>
        <w:rPr>
          <w:lang w:val="fr-FR"/>
        </w:rPr>
        <w:t>CRITÈRES  DE  PROTECTION  APPLICABLES  AUX  SYSTÈMES  DE  TÉLÉMESURE  DU  SERVICE  MOBILE  AÉRONAUTIQUE  ET  TECHNIQUES  DE  RÉDUCTION  DES  BROUILLAGES  PROPRES</w:t>
      </w:r>
      <w:r>
        <w:rPr>
          <w:lang w:val="fr-FR"/>
        </w:rPr>
        <w:br/>
        <w:t xml:space="preserve">À  FACILITER  LE  PARTAGE  AVEC  LES  SERVICES  DE  RADIODIFFUSION  PAR  SATELLITE  GÉOSTATIONNAIRE  ET  MOBILE  PAR  SATELLITE  GÉOSTATIONNAIRE  DANS  </w:t>
      </w:r>
      <w:r>
        <w:rPr>
          <w:lang w:val="fr-FR"/>
        </w:rPr>
        <w:br/>
        <w:t>LES  BANDES  DE  FRÉQUENCES  1 452-1 525  MHz</w:t>
      </w:r>
      <w:r>
        <w:rPr>
          <w:caps/>
          <w:lang w:val="fr-FR"/>
        </w:rPr>
        <w:t xml:space="preserve">  </w:t>
      </w:r>
      <w:r>
        <w:rPr>
          <w:lang w:val="fr-FR"/>
        </w:rPr>
        <w:t>ET  2 310-2 360  MHz</w:t>
      </w:r>
    </w:p>
    <w:p w:rsidR="006F415D" w:rsidRDefault="006F415D" w:rsidP="00740FDA">
      <w:pPr>
        <w:pStyle w:val="RecTitleRef"/>
        <w:rPr>
          <w:lang w:val="fr-FR"/>
        </w:rPr>
      </w:pPr>
      <w:r>
        <w:rPr>
          <w:lang w:val="fr-FR"/>
        </w:rPr>
        <w:t>(Question UIT-R 62/8)</w:t>
      </w:r>
    </w:p>
    <w:p w:rsidR="006F415D" w:rsidRDefault="006F415D" w:rsidP="006F415D">
      <w:pPr>
        <w:pStyle w:val="RecTitleDate"/>
        <w:rPr>
          <w:lang w:val="fr-FR"/>
        </w:rPr>
      </w:pPr>
      <w:r>
        <w:rPr>
          <w:lang w:val="fr-FR"/>
        </w:rPr>
        <w:t>(2000)</w:t>
      </w:r>
    </w:p>
    <w:p w:rsidR="006F415D" w:rsidRDefault="006F415D" w:rsidP="006F415D">
      <w:pPr>
        <w:pStyle w:val="headfoot"/>
        <w:rPr>
          <w:lang w:val="fr-FR"/>
        </w:rPr>
      </w:pPr>
      <w:r>
        <w:rPr>
          <w:lang w:val="fr-FR"/>
        </w:rPr>
        <w:t>Rec. UIT-R M.1459</w:t>
      </w:r>
    </w:p>
    <w:p w:rsidR="006F415D" w:rsidRPr="009F38EF" w:rsidRDefault="006F415D" w:rsidP="006F415D">
      <w:pPr>
        <w:rPr>
          <w:lang w:val="fr-CH"/>
        </w:rPr>
      </w:pPr>
    </w:p>
    <w:p w:rsidR="006F415D" w:rsidRPr="00FB1374" w:rsidRDefault="006F415D" w:rsidP="006F415D">
      <w:pPr>
        <w:pStyle w:val="HeadingSum"/>
        <w:rPr>
          <w:sz w:val="20"/>
          <w:lang w:val="fr-CH"/>
        </w:rPr>
      </w:pPr>
      <w:r w:rsidRPr="00FB1374">
        <w:rPr>
          <w:sz w:val="20"/>
          <w:lang w:val="fr-CH"/>
        </w:rPr>
        <w:t>Domaine d'application</w:t>
      </w:r>
    </w:p>
    <w:p w:rsidR="006F415D" w:rsidRPr="00FB1374" w:rsidRDefault="006F415D" w:rsidP="006F415D">
      <w:pPr>
        <w:pStyle w:val="Summary"/>
        <w:rPr>
          <w:sz w:val="20"/>
          <w:lang w:val="fr-CH"/>
        </w:rPr>
      </w:pPr>
      <w:r w:rsidRPr="00FB1374">
        <w:rPr>
          <w:sz w:val="20"/>
          <w:lang w:val="fr-CH"/>
        </w:rPr>
        <w:t xml:space="preserve">La présente Recommandation donne des renseignements sur les critères de protection requis pour les systèmes de télémesure aéronautique fonctionnant dans les bandes </w:t>
      </w:r>
      <w:r w:rsidRPr="00E80C6C">
        <w:rPr>
          <w:sz w:val="20"/>
          <w:lang w:val="fr-CH"/>
        </w:rPr>
        <w:t>1 452-1 525 MHz et 2 310-2 360 MHz et sur les techniques de réduction des brouillages propres à faciliter le partage avec les systèmes géostationnaires du service de radiodiffusion par satellite et du service mobile par satellite.</w:t>
      </w:r>
    </w:p>
    <w:p w:rsidR="006F415D" w:rsidRPr="00FB1374" w:rsidRDefault="006F415D" w:rsidP="006F415D">
      <w:pPr>
        <w:pStyle w:val="Normalaftertitle0"/>
        <w:rPr>
          <w:lang w:val="fr-CH"/>
        </w:rPr>
      </w:pPr>
      <w:r w:rsidRPr="00FB1374">
        <w:rPr>
          <w:lang w:val="fr-CH"/>
        </w:rPr>
        <w:t>L'Assemblée des radiocommunications de l'UIT,</w:t>
      </w:r>
    </w:p>
    <w:p w:rsidR="006F415D" w:rsidRPr="00FB1374" w:rsidRDefault="006F415D" w:rsidP="00740FDA">
      <w:pPr>
        <w:pStyle w:val="call0"/>
        <w:rPr>
          <w:lang w:val="fr-CH"/>
        </w:rPr>
      </w:pPr>
      <w:r w:rsidRPr="00FB1374">
        <w:rPr>
          <w:lang w:val="fr-CH"/>
        </w:rPr>
        <w:t>considérant</w:t>
      </w:r>
    </w:p>
    <w:p w:rsidR="006F415D" w:rsidRPr="00C241CD" w:rsidRDefault="006F415D" w:rsidP="006F415D">
      <w:pPr>
        <w:rPr>
          <w:sz w:val="20"/>
        </w:rPr>
      </w:pPr>
      <w:r w:rsidRPr="00C241CD">
        <w:rPr>
          <w:sz w:val="20"/>
        </w:rPr>
        <w:t>a)</w:t>
      </w:r>
      <w:r w:rsidRPr="00C241CD">
        <w:rPr>
          <w:sz w:val="20"/>
        </w:rPr>
        <w:tab/>
        <w:t>qu'en Région 2, les attributions de fréquences au service mobile aéronautique pour la télémesure ont un statut primaire dans la bande 1 435-1 525 MHz et ont priorité sur d'autres services mobiles en application du numéro S5.343</w:t>
      </w:r>
      <w:r w:rsidRPr="00C241CD">
        <w:rPr>
          <w:b/>
          <w:sz w:val="20"/>
        </w:rPr>
        <w:t xml:space="preserve"> </w:t>
      </w:r>
      <w:r w:rsidRPr="00C241CD">
        <w:rPr>
          <w:sz w:val="20"/>
        </w:rPr>
        <w:t>du RR;</w:t>
      </w:r>
    </w:p>
    <w:p w:rsidR="006F415D" w:rsidRPr="00C241CD" w:rsidRDefault="006F415D" w:rsidP="006F415D">
      <w:pPr>
        <w:rPr>
          <w:sz w:val="20"/>
        </w:rPr>
      </w:pPr>
      <w:r w:rsidRPr="00C241CD">
        <w:rPr>
          <w:sz w:val="20"/>
        </w:rPr>
        <w:t>b)</w:t>
      </w:r>
      <w:r w:rsidRPr="00C241CD">
        <w:rPr>
          <w:sz w:val="20"/>
        </w:rPr>
        <w:tab/>
        <w:t>que la CAMR</w:t>
      </w:r>
      <w:r w:rsidRPr="00C241CD">
        <w:rPr>
          <w:sz w:val="20"/>
        </w:rPr>
        <w:noBreakHyphen/>
        <w:t>92 a fait une attribution additionnelle dans la bande 1</w:t>
      </w:r>
      <w:r w:rsidRPr="00C241CD">
        <w:rPr>
          <w:rFonts w:ascii="Tms Rmn" w:hAnsi="Tms Rmn"/>
          <w:sz w:val="20"/>
        </w:rPr>
        <w:t> </w:t>
      </w:r>
      <w:r w:rsidRPr="00C241CD">
        <w:rPr>
          <w:sz w:val="20"/>
        </w:rPr>
        <w:t>429-1</w:t>
      </w:r>
      <w:r w:rsidRPr="00C241CD">
        <w:rPr>
          <w:rFonts w:ascii="Tms Rmn" w:hAnsi="Tms Rmn"/>
          <w:sz w:val="20"/>
        </w:rPr>
        <w:t> </w:t>
      </w:r>
      <w:r w:rsidRPr="00C241CD">
        <w:rPr>
          <w:sz w:val="20"/>
        </w:rPr>
        <w:t>535 MHz, à titre primaire, au service mobile aéronautique pour le Bélarus, la Fédération de Russie et l'Ukraine, attribution qui doit être utilisée exclusivement pour la télémesure aéronautique, sous réserve du numéro S5.342</w:t>
      </w:r>
      <w:r w:rsidRPr="00C241CD">
        <w:rPr>
          <w:b/>
          <w:sz w:val="20"/>
        </w:rPr>
        <w:t xml:space="preserve"> </w:t>
      </w:r>
      <w:r w:rsidRPr="00C241CD">
        <w:rPr>
          <w:sz w:val="20"/>
        </w:rPr>
        <w:t>du RR;</w:t>
      </w:r>
    </w:p>
    <w:p w:rsidR="006F415D" w:rsidRPr="00C241CD" w:rsidRDefault="006F415D" w:rsidP="006F415D">
      <w:pPr>
        <w:rPr>
          <w:sz w:val="20"/>
        </w:rPr>
      </w:pPr>
      <w:r w:rsidRPr="00C241CD">
        <w:rPr>
          <w:sz w:val="20"/>
        </w:rPr>
        <w:t>c)</w:t>
      </w:r>
      <w:r w:rsidRPr="00C241CD">
        <w:rPr>
          <w:sz w:val="20"/>
        </w:rPr>
        <w:tab/>
        <w:t>que conformément à la décision de la CMR</w:t>
      </w:r>
      <w:r w:rsidRPr="00C241CD">
        <w:rPr>
          <w:sz w:val="20"/>
        </w:rPr>
        <w:noBreakHyphen/>
        <w:t>95, aux Etats-Unis d'Amérique, les stations de télémesure du service mobile aéronautique ont un statut primaire dans la bande 2</w:t>
      </w:r>
      <w:r w:rsidRPr="00C241CD">
        <w:rPr>
          <w:rFonts w:ascii="Tms Rmn" w:hAnsi="Tms Rmn"/>
          <w:sz w:val="20"/>
        </w:rPr>
        <w:t> </w:t>
      </w:r>
      <w:r w:rsidRPr="00C241CD">
        <w:rPr>
          <w:sz w:val="20"/>
        </w:rPr>
        <w:t>300-2</w:t>
      </w:r>
      <w:r w:rsidRPr="00C241CD">
        <w:rPr>
          <w:rFonts w:ascii="Tms Rmn" w:hAnsi="Tms Rmn"/>
          <w:sz w:val="20"/>
        </w:rPr>
        <w:t> </w:t>
      </w:r>
      <w:r w:rsidRPr="00C241CD">
        <w:rPr>
          <w:sz w:val="20"/>
        </w:rPr>
        <w:t>390 MHz et ont la priorité sur les autres services mobiles, en application du numéro S5.394 du RR;</w:t>
      </w:r>
    </w:p>
    <w:p w:rsidR="006F415D" w:rsidRPr="00C241CD" w:rsidRDefault="006F415D" w:rsidP="006F415D">
      <w:pPr>
        <w:rPr>
          <w:sz w:val="20"/>
        </w:rPr>
      </w:pPr>
      <w:r w:rsidRPr="00C241CD">
        <w:rPr>
          <w:sz w:val="20"/>
        </w:rPr>
        <w:t>d)</w:t>
      </w:r>
      <w:r w:rsidRPr="00C241CD">
        <w:rPr>
          <w:sz w:val="20"/>
        </w:rPr>
        <w:tab/>
        <w:t>qu'au Canada, les stations de télémesure du service mobile aéronautique ont un statut primaire dans la bande 2</w:t>
      </w:r>
      <w:r w:rsidRPr="00C241CD">
        <w:rPr>
          <w:rFonts w:ascii="Tms Rmn" w:hAnsi="Tms Rmn"/>
          <w:sz w:val="20"/>
        </w:rPr>
        <w:t> </w:t>
      </w:r>
      <w:r w:rsidRPr="00C241CD">
        <w:rPr>
          <w:sz w:val="20"/>
        </w:rPr>
        <w:t>300</w:t>
      </w:r>
      <w:r w:rsidRPr="00C241CD">
        <w:rPr>
          <w:sz w:val="20"/>
        </w:rPr>
        <w:noBreakHyphen/>
        <w:t>2 483,5 MHz et ont priorité sur les autres services mobiles, conformément au numéro S5.394 du RR;</w:t>
      </w:r>
    </w:p>
    <w:p w:rsidR="006F415D" w:rsidRPr="00C241CD" w:rsidRDefault="006F415D" w:rsidP="006F415D">
      <w:pPr>
        <w:rPr>
          <w:sz w:val="20"/>
        </w:rPr>
      </w:pPr>
      <w:r w:rsidRPr="00C241CD">
        <w:rPr>
          <w:sz w:val="20"/>
        </w:rPr>
        <w:t>e)</w:t>
      </w:r>
      <w:r w:rsidRPr="00C241CD">
        <w:rPr>
          <w:sz w:val="20"/>
        </w:rPr>
        <w:tab/>
        <w:t>qu'en France, les assignations de fréquence aux stations de télémesure du service mobile aéronautique ont un statut primaire dans la bande 2</w:t>
      </w:r>
      <w:r w:rsidRPr="00C241CD">
        <w:rPr>
          <w:rFonts w:ascii="Tms Rmn" w:hAnsi="Tms Rmn"/>
          <w:sz w:val="20"/>
        </w:rPr>
        <w:t> </w:t>
      </w:r>
      <w:r w:rsidRPr="00C241CD">
        <w:rPr>
          <w:sz w:val="20"/>
        </w:rPr>
        <w:t>310-2</w:t>
      </w:r>
      <w:r w:rsidRPr="00C241CD">
        <w:rPr>
          <w:rFonts w:ascii="Tms Rmn" w:hAnsi="Tms Rmn"/>
          <w:sz w:val="20"/>
        </w:rPr>
        <w:t> </w:t>
      </w:r>
      <w:r w:rsidRPr="00C241CD">
        <w:rPr>
          <w:sz w:val="20"/>
        </w:rPr>
        <w:t>360 MHz et ont priorité sur d'autres services mobiles, conformément au numéro S5.395 du RR;</w:t>
      </w:r>
    </w:p>
    <w:p w:rsidR="006F415D" w:rsidRPr="00C241CD" w:rsidRDefault="006F415D" w:rsidP="006F415D">
      <w:pPr>
        <w:rPr>
          <w:sz w:val="20"/>
        </w:rPr>
      </w:pPr>
      <w:r w:rsidRPr="00C241CD">
        <w:rPr>
          <w:sz w:val="20"/>
        </w:rPr>
        <w:t>f)</w:t>
      </w:r>
      <w:r w:rsidRPr="00C241CD">
        <w:rPr>
          <w:sz w:val="20"/>
        </w:rPr>
        <w:tab/>
        <w:t>qu'en Europe les futurs équipements de télémesure aéroportés devraient se caler essentiellement sur la bande de fréquences 2</w:t>
      </w:r>
      <w:r w:rsidRPr="00C241CD">
        <w:rPr>
          <w:rFonts w:ascii="Tms Rmn" w:hAnsi="Tms Rmn"/>
          <w:sz w:val="20"/>
        </w:rPr>
        <w:t> </w:t>
      </w:r>
      <w:r w:rsidRPr="00C241CD">
        <w:rPr>
          <w:sz w:val="20"/>
        </w:rPr>
        <w:t>300-2</w:t>
      </w:r>
      <w:r w:rsidRPr="00C241CD">
        <w:rPr>
          <w:rFonts w:ascii="Tms Rmn" w:hAnsi="Tms Rmn"/>
          <w:sz w:val="20"/>
        </w:rPr>
        <w:t> </w:t>
      </w:r>
      <w:r w:rsidRPr="00C241CD">
        <w:rPr>
          <w:sz w:val="20"/>
        </w:rPr>
        <w:t>400 MHz;</w:t>
      </w:r>
    </w:p>
    <w:p w:rsidR="006F415D" w:rsidRPr="00C241CD" w:rsidRDefault="006F415D" w:rsidP="006F415D">
      <w:pPr>
        <w:rPr>
          <w:sz w:val="20"/>
        </w:rPr>
      </w:pPr>
      <w:r w:rsidRPr="00C241CD">
        <w:rPr>
          <w:sz w:val="20"/>
        </w:rPr>
        <w:t>g)</w:t>
      </w:r>
      <w:r w:rsidRPr="00C241CD">
        <w:rPr>
          <w:sz w:val="20"/>
        </w:rPr>
        <w:tab/>
        <w:t>que la bande 1</w:t>
      </w:r>
      <w:r w:rsidRPr="00C241CD">
        <w:rPr>
          <w:rFonts w:ascii="Tms Rmn" w:hAnsi="Tms Rmn"/>
          <w:sz w:val="20"/>
        </w:rPr>
        <w:t> </w:t>
      </w:r>
      <w:r w:rsidRPr="00C241CD">
        <w:rPr>
          <w:sz w:val="20"/>
        </w:rPr>
        <w:t>492</w:t>
      </w:r>
      <w:r w:rsidRPr="00C241CD">
        <w:rPr>
          <w:sz w:val="20"/>
        </w:rPr>
        <w:noBreakHyphen/>
        <w:t>1</w:t>
      </w:r>
      <w:r w:rsidRPr="00C241CD">
        <w:rPr>
          <w:rFonts w:ascii="Tms Rmn" w:hAnsi="Tms Rmn"/>
          <w:sz w:val="20"/>
        </w:rPr>
        <w:t> </w:t>
      </w:r>
      <w:r w:rsidRPr="00C241CD">
        <w:rPr>
          <w:sz w:val="20"/>
        </w:rPr>
        <w:t>525 MHz a été attribuée au SMS (espace vers Terre) en Région 2 compte tenu des dispositions des numéros S5.348 et S5.348A du RR;</w:t>
      </w:r>
    </w:p>
    <w:p w:rsidR="006F415D" w:rsidRPr="00C241CD" w:rsidRDefault="006F415D" w:rsidP="006F415D">
      <w:pPr>
        <w:rPr>
          <w:sz w:val="20"/>
        </w:rPr>
      </w:pPr>
      <w:r w:rsidRPr="00C241CD">
        <w:rPr>
          <w:sz w:val="20"/>
        </w:rPr>
        <w:t>h)</w:t>
      </w:r>
      <w:r w:rsidRPr="00C241CD">
        <w:rPr>
          <w:sz w:val="20"/>
        </w:rPr>
        <w:tab/>
        <w:t>que la CAMR-92 a attribué la bande 1</w:t>
      </w:r>
      <w:r w:rsidRPr="00C241CD">
        <w:rPr>
          <w:rFonts w:ascii="Tms Rmn" w:hAnsi="Tms Rmn"/>
          <w:sz w:val="20"/>
        </w:rPr>
        <w:t> </w:t>
      </w:r>
      <w:r w:rsidRPr="00C241CD">
        <w:rPr>
          <w:sz w:val="20"/>
        </w:rPr>
        <w:t>452-1</w:t>
      </w:r>
      <w:r w:rsidRPr="00C241CD">
        <w:rPr>
          <w:rFonts w:ascii="Tms Rmn" w:hAnsi="Tms Rmn"/>
          <w:sz w:val="20"/>
        </w:rPr>
        <w:t> </w:t>
      </w:r>
      <w:r w:rsidRPr="00C241CD">
        <w:rPr>
          <w:sz w:val="20"/>
        </w:rPr>
        <w:t>492 MHz à titre primaire au SRS (radiodiffusion sonore numérique (DSB)) (voir la Note 1) et au service de radiodiffusion (DSB) sous réserve des dispositions des numéros S5.345 et S5.347 du RR;</w:t>
      </w:r>
    </w:p>
    <w:p w:rsidR="006F415D" w:rsidRPr="00C241CD" w:rsidRDefault="006F415D" w:rsidP="006F415D">
      <w:pPr>
        <w:rPr>
          <w:sz w:val="20"/>
        </w:rPr>
      </w:pPr>
      <w:r w:rsidRPr="00C241CD">
        <w:rPr>
          <w:sz w:val="20"/>
        </w:rPr>
        <w:t>j)</w:t>
      </w:r>
      <w:r w:rsidRPr="00C241CD">
        <w:rPr>
          <w:sz w:val="20"/>
        </w:rPr>
        <w:tab/>
        <w:t>que la CAMR-92 a attribué, à titre primaire, aux Etats-Unis d'Amérique, en Inde et au Mexique, la bande 2</w:t>
      </w:r>
      <w:r w:rsidRPr="00C241CD">
        <w:rPr>
          <w:rFonts w:ascii="Tms Rmn" w:hAnsi="Tms Rmn"/>
          <w:sz w:val="20"/>
        </w:rPr>
        <w:t> </w:t>
      </w:r>
      <w:r w:rsidRPr="00C241CD">
        <w:rPr>
          <w:sz w:val="20"/>
        </w:rPr>
        <w:t>310</w:t>
      </w:r>
      <w:r w:rsidRPr="00C241CD">
        <w:rPr>
          <w:sz w:val="20"/>
        </w:rPr>
        <w:noBreakHyphen/>
        <w:t>2</w:t>
      </w:r>
      <w:r w:rsidRPr="00C241CD">
        <w:rPr>
          <w:rFonts w:ascii="Tms Rmn" w:hAnsi="Tms Rmn"/>
          <w:sz w:val="20"/>
        </w:rPr>
        <w:t> </w:t>
      </w:r>
      <w:r w:rsidRPr="00C241CD">
        <w:rPr>
          <w:sz w:val="20"/>
        </w:rPr>
        <w:t>360 MHz au SRS (DSB) et au service de radiodiffusion (DSB) (attribution additionnelle), conformément au numéro S5.393 du RR;</w:t>
      </w:r>
    </w:p>
    <w:p w:rsidR="006F415D" w:rsidRPr="00C241CD" w:rsidRDefault="006F415D" w:rsidP="006F415D">
      <w:pPr>
        <w:rPr>
          <w:sz w:val="20"/>
        </w:rPr>
      </w:pPr>
      <w:r w:rsidRPr="00C241CD">
        <w:rPr>
          <w:sz w:val="20"/>
        </w:rPr>
        <w:t>k)</w:t>
      </w:r>
      <w:r w:rsidRPr="00C241CD">
        <w:rPr>
          <w:sz w:val="20"/>
        </w:rPr>
        <w:tab/>
        <w:t>que dans la bande 1</w:t>
      </w:r>
      <w:r w:rsidRPr="00C241CD">
        <w:rPr>
          <w:rFonts w:ascii="Tms Rmn" w:hAnsi="Tms Rmn"/>
          <w:sz w:val="20"/>
        </w:rPr>
        <w:t> </w:t>
      </w:r>
      <w:r w:rsidRPr="00C241CD">
        <w:rPr>
          <w:sz w:val="20"/>
        </w:rPr>
        <w:t>452-1</w:t>
      </w:r>
      <w:r w:rsidRPr="00C241CD">
        <w:rPr>
          <w:rFonts w:ascii="Tms Rmn" w:hAnsi="Tms Rmn"/>
          <w:sz w:val="20"/>
        </w:rPr>
        <w:t> </w:t>
      </w:r>
      <w:r w:rsidRPr="00C241CD">
        <w:rPr>
          <w:sz w:val="20"/>
        </w:rPr>
        <w:t>525 MHz, la CAMR-92 a accepté de faire une attribution de remplacement à titre primaire aux services fixe et mobile aux Etats-Unis d'Amérique, conformément au numéro S5.344 du RR;</w:t>
      </w:r>
    </w:p>
    <w:p w:rsidR="006F415D" w:rsidRPr="00C241CD" w:rsidRDefault="006F415D" w:rsidP="00706556">
      <w:pPr>
        <w:rPr>
          <w:sz w:val="20"/>
        </w:rPr>
      </w:pPr>
      <w:r w:rsidRPr="00C241CD">
        <w:rPr>
          <w:sz w:val="20"/>
        </w:rPr>
        <w:lastRenderedPageBreak/>
        <w:t>l)</w:t>
      </w:r>
      <w:r w:rsidRPr="00C241CD">
        <w:rPr>
          <w:sz w:val="20"/>
        </w:rPr>
        <w:tab/>
        <w:t>qu'au Japon, dans la bande 1</w:t>
      </w:r>
      <w:r w:rsidRPr="00C241CD">
        <w:rPr>
          <w:rFonts w:ascii="Tms Rmn" w:hAnsi="Tms Rmn"/>
          <w:sz w:val="20"/>
        </w:rPr>
        <w:t> </w:t>
      </w:r>
      <w:r w:rsidRPr="00C241CD">
        <w:rPr>
          <w:sz w:val="20"/>
        </w:rPr>
        <w:t>492-1</w:t>
      </w:r>
      <w:r w:rsidRPr="00C241CD">
        <w:rPr>
          <w:rFonts w:ascii="Tms Rmn" w:hAnsi="Tms Rmn"/>
          <w:sz w:val="20"/>
        </w:rPr>
        <w:t> </w:t>
      </w:r>
      <w:r w:rsidRPr="00C241CD">
        <w:rPr>
          <w:sz w:val="20"/>
        </w:rPr>
        <w:t>525 MHz, la CMR</w:t>
      </w:r>
      <w:r w:rsidRPr="00C241CD">
        <w:rPr>
          <w:sz w:val="20"/>
        </w:rPr>
        <w:noBreakHyphen/>
        <w:t>95 a ado</w:t>
      </w:r>
      <w:r w:rsidR="00706556">
        <w:rPr>
          <w:sz w:val="20"/>
        </w:rPr>
        <w:t xml:space="preserve">pté un seuil de coordination de </w:t>
      </w:r>
      <w:r w:rsidRPr="00C241CD">
        <w:rPr>
          <w:sz w:val="20"/>
        </w:rPr>
        <w:t>–150</w:t>
      </w:r>
      <w:r w:rsidR="00706556">
        <w:rPr>
          <w:sz w:val="20"/>
        </w:rPr>
        <w:t xml:space="preserve"> </w:t>
      </w:r>
      <w:r w:rsidRPr="00C241CD">
        <w:rPr>
          <w:sz w:val="20"/>
        </w:rPr>
        <w:t>dB(W/m</w:t>
      </w:r>
      <w:r w:rsidRPr="00C241CD">
        <w:rPr>
          <w:position w:val="6"/>
          <w:sz w:val="20"/>
        </w:rPr>
        <w:t>2</w:t>
      </w:r>
      <w:r w:rsidRPr="00C241CD">
        <w:rPr>
          <w:sz w:val="20"/>
        </w:rPr>
        <w:t>) dans une bande quelconque large de 4 kHz pour tous les angles d'incidence afin de protéger les services mobiles terrestres spécialisés, conformément au numéro S5.348A du RR;</w:t>
      </w:r>
    </w:p>
    <w:p w:rsidR="006F415D" w:rsidRPr="00C241CD" w:rsidRDefault="006F415D" w:rsidP="006F415D">
      <w:pPr>
        <w:rPr>
          <w:sz w:val="20"/>
        </w:rPr>
      </w:pPr>
      <w:r w:rsidRPr="00C241CD">
        <w:rPr>
          <w:sz w:val="20"/>
        </w:rPr>
        <w:t>m)</w:t>
      </w:r>
      <w:r w:rsidRPr="00C241CD">
        <w:rPr>
          <w:sz w:val="20"/>
        </w:rPr>
        <w:tab/>
        <w:t>qu'une coordination est requise aux termes du numéro S9.11A</w:t>
      </w:r>
      <w:r w:rsidRPr="00C241CD">
        <w:rPr>
          <w:b/>
          <w:sz w:val="20"/>
        </w:rPr>
        <w:t xml:space="preserve"> </w:t>
      </w:r>
      <w:r w:rsidRPr="00C241CD">
        <w:rPr>
          <w:sz w:val="20"/>
        </w:rPr>
        <w:t>du RR et de la Résolution 528 (CAMR</w:t>
      </w:r>
      <w:r w:rsidRPr="00C241CD">
        <w:rPr>
          <w:sz w:val="20"/>
        </w:rPr>
        <w:noBreakHyphen/>
        <w:t>92);</w:t>
      </w:r>
    </w:p>
    <w:p w:rsidR="006F415D" w:rsidRPr="00C241CD" w:rsidRDefault="006F415D" w:rsidP="006F415D">
      <w:pPr>
        <w:rPr>
          <w:sz w:val="20"/>
        </w:rPr>
      </w:pPr>
      <w:r w:rsidRPr="00C241CD">
        <w:rPr>
          <w:sz w:val="20"/>
        </w:rPr>
        <w:t>n)</w:t>
      </w:r>
      <w:r w:rsidRPr="00C241CD">
        <w:rPr>
          <w:sz w:val="20"/>
        </w:rPr>
        <w:tab/>
        <w:t>qu'aux termes des Résolutions 528 (CAMR-92) et 213 (Rév.CMR</w:t>
      </w:r>
      <w:r w:rsidRPr="00C241CD">
        <w:rPr>
          <w:sz w:val="20"/>
        </w:rPr>
        <w:noBreakHyphen/>
        <w:t>95) l'UIT</w:t>
      </w:r>
      <w:r w:rsidRPr="00C241CD">
        <w:rPr>
          <w:sz w:val="20"/>
        </w:rPr>
        <w:noBreakHyphen/>
        <w:t>R est invitée à procéder aux études nécessaires avant la prochaine CMR compétente;</w:t>
      </w:r>
    </w:p>
    <w:p w:rsidR="006F415D" w:rsidRPr="00C241CD" w:rsidRDefault="006F415D" w:rsidP="006F415D">
      <w:pPr>
        <w:rPr>
          <w:i/>
          <w:sz w:val="20"/>
        </w:rPr>
      </w:pPr>
      <w:r w:rsidRPr="00C241CD">
        <w:rPr>
          <w:sz w:val="20"/>
        </w:rPr>
        <w:t>o)</w:t>
      </w:r>
      <w:r w:rsidRPr="00C241CD">
        <w:rPr>
          <w:sz w:val="20"/>
        </w:rPr>
        <w:tab/>
        <w:t>que l'UIT</w:t>
      </w:r>
      <w:r w:rsidRPr="00C241CD">
        <w:rPr>
          <w:sz w:val="20"/>
        </w:rPr>
        <w:noBreakHyphen/>
        <w:t>R a engagé d'autres études pour déterminer la probabilité de brouillage causé aux stations de télémesure du service mobile aéronautique qui pourrait conduire à l'adoption de valeurs de protection moins strictes et que ces études devraient se poursuivre;</w:t>
      </w:r>
    </w:p>
    <w:p w:rsidR="006F415D" w:rsidRPr="00C241CD" w:rsidRDefault="006F415D" w:rsidP="006F415D">
      <w:pPr>
        <w:rPr>
          <w:sz w:val="20"/>
        </w:rPr>
      </w:pPr>
      <w:r w:rsidRPr="00C241CD">
        <w:rPr>
          <w:sz w:val="20"/>
        </w:rPr>
        <w:t>p)</w:t>
      </w:r>
      <w:r w:rsidRPr="00C241CD">
        <w:rPr>
          <w:sz w:val="20"/>
        </w:rPr>
        <w:tab/>
        <w:t xml:space="preserve">que les caractéristiques des stations de télémesure du service mobile aéronautique sont très diverses et que, pour certaines de ces stations, les valeurs des critères de protection peuvent être moins strictes que celles indiquées dans le </w:t>
      </w:r>
      <w:r w:rsidRPr="00C241CD">
        <w:rPr>
          <w:i/>
          <w:sz w:val="20"/>
        </w:rPr>
        <w:t>recommande</w:t>
      </w:r>
      <w:r w:rsidRPr="00C241CD">
        <w:rPr>
          <w:sz w:val="20"/>
        </w:rPr>
        <w:t>,</w:t>
      </w:r>
    </w:p>
    <w:p w:rsidR="006F415D" w:rsidRPr="00C241CD" w:rsidRDefault="006F415D" w:rsidP="006F415D">
      <w:pPr>
        <w:pStyle w:val="call0"/>
        <w:rPr>
          <w:lang w:val="fr-FR"/>
        </w:rPr>
      </w:pPr>
      <w:r w:rsidRPr="00C241CD">
        <w:rPr>
          <w:lang w:val="fr-FR"/>
        </w:rPr>
        <w:t>recommande</w:t>
      </w:r>
    </w:p>
    <w:p w:rsidR="006F415D" w:rsidRPr="00C241CD" w:rsidRDefault="006F415D" w:rsidP="006F415D">
      <w:pPr>
        <w:rPr>
          <w:sz w:val="20"/>
        </w:rPr>
      </w:pPr>
      <w:r w:rsidRPr="00C241CD">
        <w:rPr>
          <w:b/>
          <w:bCs/>
          <w:sz w:val="20"/>
        </w:rPr>
        <w:t>1</w:t>
      </w:r>
      <w:r w:rsidRPr="00C241CD">
        <w:rPr>
          <w:sz w:val="20"/>
        </w:rPr>
        <w:tab/>
        <w:t>de déterminer comme suit les valeurs nécessaires pour assurer la protection des systèmes de télémesure du service mobile aéronautique dans la bande 1</w:t>
      </w:r>
      <w:r w:rsidRPr="00C241CD">
        <w:rPr>
          <w:rFonts w:ascii="Tms Rmn" w:hAnsi="Tms Rmn"/>
          <w:sz w:val="20"/>
        </w:rPr>
        <w:t> </w:t>
      </w:r>
      <w:r w:rsidRPr="00C241CD">
        <w:rPr>
          <w:sz w:val="20"/>
        </w:rPr>
        <w:t>452</w:t>
      </w:r>
      <w:r w:rsidRPr="00C241CD">
        <w:rPr>
          <w:sz w:val="20"/>
        </w:rPr>
        <w:noBreakHyphen/>
        <w:t>1</w:t>
      </w:r>
      <w:r w:rsidRPr="00C241CD">
        <w:rPr>
          <w:rFonts w:ascii="Tms Rmn" w:hAnsi="Tms Rmn"/>
          <w:sz w:val="20"/>
        </w:rPr>
        <w:t> </w:t>
      </w:r>
      <w:r w:rsidRPr="00C241CD">
        <w:rPr>
          <w:sz w:val="20"/>
        </w:rPr>
        <w:t>525 MHz utilisée en partage avec les satellites géostationnaires du SRS (DSB) ou du SMS (voir la Note 4):</w:t>
      </w:r>
    </w:p>
    <w:p w:rsidR="006F415D" w:rsidRPr="00C241CD" w:rsidRDefault="006F415D" w:rsidP="006F415D">
      <w:pPr>
        <w:pStyle w:val="enumlev1"/>
        <w:rPr>
          <w:sz w:val="20"/>
        </w:rPr>
      </w:pPr>
      <w:r w:rsidRPr="00C241CD">
        <w:rPr>
          <w:sz w:val="20"/>
        </w:rPr>
        <w:t>–</w:t>
      </w:r>
      <w:r w:rsidRPr="00C241CD">
        <w:rPr>
          <w:sz w:val="20"/>
        </w:rPr>
        <w:tab/>
        <w:t>pour tout satellite géostationnaire visible par une station réceptrice de télémesure du service mobile aéronautique, la valeur de protection correspond à une valeur de puissance surfacique, relevée au niveau de la station de réception de télémesure, dans une bande quelconque de 4 kHz et pour toutes les méthodes de modulation de:</w:t>
      </w:r>
    </w:p>
    <w:p w:rsidR="006F415D" w:rsidRPr="00C241CD" w:rsidRDefault="006F415D" w:rsidP="005112D3">
      <w:pPr>
        <w:pStyle w:val="enumlev2"/>
        <w:tabs>
          <w:tab w:val="clear" w:pos="1588"/>
          <w:tab w:val="clear" w:pos="1985"/>
          <w:tab w:val="left" w:pos="3119"/>
          <w:tab w:val="left" w:pos="4395"/>
          <w:tab w:val="right" w:pos="5245"/>
          <w:tab w:val="left" w:pos="5387"/>
          <w:tab w:val="left" w:pos="5670"/>
          <w:tab w:val="left" w:pos="5954"/>
          <w:tab w:val="right" w:pos="6521"/>
        </w:tabs>
        <w:rPr>
          <w:sz w:val="20"/>
        </w:rPr>
      </w:pPr>
      <w:r w:rsidRPr="00C241CD">
        <w:rPr>
          <w:sz w:val="20"/>
        </w:rPr>
        <w:t>–181,0</w:t>
      </w:r>
      <w:r w:rsidRPr="00C241CD">
        <w:rPr>
          <w:sz w:val="20"/>
        </w:rPr>
        <w:tab/>
        <w:t>dB(W/m</w:t>
      </w:r>
      <w:r w:rsidRPr="00C241CD">
        <w:rPr>
          <w:position w:val="6"/>
          <w:sz w:val="20"/>
        </w:rPr>
        <w:t>2</w:t>
      </w:r>
      <w:r w:rsidRPr="00C241CD">
        <w:rPr>
          <w:sz w:val="20"/>
        </w:rPr>
        <w:t>)</w:t>
      </w:r>
      <w:r w:rsidRPr="00C241CD">
        <w:rPr>
          <w:sz w:val="20"/>
        </w:rPr>
        <w:tab/>
        <w:t>pour</w:t>
      </w:r>
      <w:r w:rsidRPr="00C241CD">
        <w:rPr>
          <w:sz w:val="20"/>
        </w:rPr>
        <w:tab/>
        <w:t>0</w:t>
      </w:r>
      <w:r w:rsidRPr="00C241CD">
        <w:rPr>
          <w:rFonts w:ascii="Symbol" w:hAnsi="Symbol"/>
          <w:sz w:val="20"/>
        </w:rPr>
        <w:t></w:t>
      </w:r>
      <w:r w:rsidRPr="00C241CD">
        <w:rPr>
          <w:sz w:val="20"/>
        </w:rPr>
        <w:tab/>
      </w:r>
      <w:r w:rsidRPr="00C241CD">
        <w:rPr>
          <w:rFonts w:ascii="Symbol" w:hAnsi="Symbol"/>
          <w:sz w:val="20"/>
        </w:rPr>
        <w:sym w:font="Symbol" w:char="F0A3"/>
      </w:r>
      <w:r w:rsidRPr="00C241CD">
        <w:rPr>
          <w:sz w:val="20"/>
        </w:rPr>
        <w:tab/>
      </w:r>
      <w:r w:rsidRPr="00C241CD">
        <w:rPr>
          <w:rFonts w:ascii="Symbol" w:hAnsi="Symbol"/>
          <w:iCs/>
          <w:sz w:val="20"/>
        </w:rPr>
        <w:sym w:font="Symbol" w:char="F061"/>
      </w:r>
      <w:r w:rsidRPr="00C241CD">
        <w:rPr>
          <w:sz w:val="20"/>
        </w:rPr>
        <w:tab/>
      </w:r>
      <w:r w:rsidRPr="00C241CD">
        <w:rPr>
          <w:rFonts w:ascii="Symbol" w:hAnsi="Symbol"/>
          <w:sz w:val="20"/>
        </w:rPr>
        <w:sym w:font="Symbol" w:char="F0A3"/>
      </w:r>
      <w:r w:rsidRPr="00C241CD">
        <w:rPr>
          <w:sz w:val="20"/>
        </w:rPr>
        <w:tab/>
        <w:t>4</w:t>
      </w:r>
      <w:r w:rsidRPr="00C241CD">
        <w:rPr>
          <w:rFonts w:ascii="Symbol" w:hAnsi="Symbol"/>
          <w:sz w:val="20"/>
        </w:rPr>
        <w:sym w:font="Symbol" w:char="F0B0"/>
      </w:r>
    </w:p>
    <w:p w:rsidR="006F415D" w:rsidRPr="00C241CD" w:rsidRDefault="006F415D" w:rsidP="005112D3">
      <w:pPr>
        <w:pStyle w:val="enumlev2"/>
        <w:tabs>
          <w:tab w:val="clear" w:pos="1588"/>
          <w:tab w:val="clear" w:pos="1985"/>
          <w:tab w:val="left" w:pos="1871"/>
          <w:tab w:val="left" w:pos="3119"/>
          <w:tab w:val="left" w:pos="4395"/>
          <w:tab w:val="right" w:pos="5245"/>
          <w:tab w:val="left" w:pos="5387"/>
          <w:tab w:val="left" w:pos="5670"/>
          <w:tab w:val="left" w:pos="5954"/>
          <w:tab w:val="right" w:pos="6521"/>
        </w:tabs>
        <w:rPr>
          <w:sz w:val="20"/>
        </w:rPr>
      </w:pPr>
      <w:r w:rsidRPr="00C241CD">
        <w:rPr>
          <w:sz w:val="20"/>
        </w:rPr>
        <w:t xml:space="preserve">–193,0 </w:t>
      </w:r>
      <w:r w:rsidRPr="00C241CD">
        <w:rPr>
          <w:rFonts w:ascii="Symbol" w:hAnsi="Symbol"/>
          <w:sz w:val="20"/>
        </w:rPr>
        <w:t></w:t>
      </w:r>
      <w:r w:rsidRPr="00C241CD">
        <w:rPr>
          <w:sz w:val="20"/>
        </w:rPr>
        <w:t xml:space="preserve"> 20 log </w:t>
      </w:r>
      <w:r w:rsidRPr="00C241CD">
        <w:rPr>
          <w:rFonts w:ascii="Symbol" w:hAnsi="Symbol"/>
          <w:iCs/>
          <w:sz w:val="20"/>
        </w:rPr>
        <w:sym w:font="Symbol" w:char="F061"/>
      </w:r>
      <w:r w:rsidRPr="00C241CD">
        <w:rPr>
          <w:rFonts w:ascii="Symbol" w:hAnsi="Symbol"/>
          <w:iCs/>
          <w:sz w:val="20"/>
        </w:rPr>
        <w:tab/>
      </w:r>
      <w:r w:rsidRPr="00C241CD">
        <w:rPr>
          <w:sz w:val="20"/>
        </w:rPr>
        <w:t>dB(W/m</w:t>
      </w:r>
      <w:r w:rsidRPr="00C241CD">
        <w:rPr>
          <w:position w:val="6"/>
          <w:sz w:val="20"/>
        </w:rPr>
        <w:t>2</w:t>
      </w:r>
      <w:r w:rsidRPr="00C241CD">
        <w:rPr>
          <w:sz w:val="20"/>
        </w:rPr>
        <w:t>)</w:t>
      </w:r>
      <w:r w:rsidRPr="00C241CD">
        <w:rPr>
          <w:sz w:val="20"/>
        </w:rPr>
        <w:tab/>
        <w:t>pour</w:t>
      </w:r>
      <w:r w:rsidRPr="00C241CD">
        <w:rPr>
          <w:sz w:val="20"/>
        </w:rPr>
        <w:tab/>
        <w:t>4</w:t>
      </w:r>
      <w:r w:rsidRPr="00C241CD">
        <w:rPr>
          <w:rFonts w:ascii="Symbol" w:hAnsi="Symbol"/>
          <w:sz w:val="20"/>
        </w:rPr>
        <w:sym w:font="Symbol" w:char="F0B0"/>
      </w:r>
      <w:r w:rsidRPr="00C241CD">
        <w:rPr>
          <w:sz w:val="20"/>
        </w:rPr>
        <w:tab/>
      </w:r>
      <w:r w:rsidRPr="00C241CD">
        <w:rPr>
          <w:rFonts w:ascii="Symbol" w:hAnsi="Symbol"/>
          <w:sz w:val="20"/>
        </w:rPr>
        <w:t></w:t>
      </w:r>
      <w:r w:rsidRPr="00C241CD">
        <w:rPr>
          <w:sz w:val="20"/>
        </w:rPr>
        <w:tab/>
      </w:r>
      <w:r w:rsidRPr="00C241CD">
        <w:rPr>
          <w:rFonts w:ascii="Symbol" w:hAnsi="Symbol"/>
          <w:iCs/>
          <w:sz w:val="20"/>
        </w:rPr>
        <w:sym w:font="Symbol" w:char="F061"/>
      </w:r>
      <w:r w:rsidRPr="00C241CD">
        <w:rPr>
          <w:sz w:val="20"/>
        </w:rPr>
        <w:tab/>
      </w:r>
      <w:r w:rsidRPr="00C241CD">
        <w:rPr>
          <w:rFonts w:ascii="Symbol" w:hAnsi="Symbol"/>
          <w:sz w:val="20"/>
        </w:rPr>
        <w:sym w:font="Symbol" w:char="F0A3"/>
      </w:r>
      <w:r w:rsidRPr="00C241CD">
        <w:rPr>
          <w:sz w:val="20"/>
        </w:rPr>
        <w:tab/>
        <w:t>20</w:t>
      </w:r>
      <w:r w:rsidRPr="00C241CD">
        <w:rPr>
          <w:rFonts w:ascii="Symbol" w:hAnsi="Symbol"/>
          <w:sz w:val="20"/>
        </w:rPr>
        <w:sym w:font="Symbol" w:char="F0B0"/>
      </w:r>
    </w:p>
    <w:p w:rsidR="006F415D" w:rsidRPr="00C241CD" w:rsidRDefault="006F415D" w:rsidP="005112D3">
      <w:pPr>
        <w:pStyle w:val="enumlev2"/>
        <w:tabs>
          <w:tab w:val="clear" w:pos="1588"/>
          <w:tab w:val="clear" w:pos="1985"/>
          <w:tab w:val="left" w:pos="1871"/>
          <w:tab w:val="left" w:pos="3119"/>
          <w:tab w:val="left" w:pos="4395"/>
          <w:tab w:val="right" w:pos="5245"/>
          <w:tab w:val="left" w:pos="5387"/>
          <w:tab w:val="left" w:pos="5670"/>
          <w:tab w:val="left" w:pos="5954"/>
          <w:tab w:val="right" w:pos="6521"/>
        </w:tabs>
        <w:rPr>
          <w:sz w:val="20"/>
        </w:rPr>
      </w:pPr>
      <w:r w:rsidRPr="00C241CD">
        <w:rPr>
          <w:sz w:val="20"/>
        </w:rPr>
        <w:t xml:space="preserve">–213,3 </w:t>
      </w:r>
      <w:r w:rsidRPr="00C241CD">
        <w:rPr>
          <w:rFonts w:ascii="Symbol" w:hAnsi="Symbol"/>
          <w:sz w:val="20"/>
        </w:rPr>
        <w:t></w:t>
      </w:r>
      <w:r w:rsidRPr="00C241CD">
        <w:rPr>
          <w:sz w:val="20"/>
        </w:rPr>
        <w:t xml:space="preserve"> 35,6 log </w:t>
      </w:r>
      <w:r w:rsidRPr="00C241CD">
        <w:rPr>
          <w:rFonts w:ascii="Symbol" w:hAnsi="Symbol"/>
          <w:iCs/>
          <w:sz w:val="20"/>
        </w:rPr>
        <w:sym w:font="Symbol" w:char="F061"/>
      </w:r>
      <w:r w:rsidRPr="00C241CD">
        <w:rPr>
          <w:sz w:val="20"/>
        </w:rPr>
        <w:tab/>
        <w:t>dB(W/m</w:t>
      </w:r>
      <w:r w:rsidRPr="00C241CD">
        <w:rPr>
          <w:position w:val="6"/>
          <w:sz w:val="20"/>
        </w:rPr>
        <w:t>2</w:t>
      </w:r>
      <w:r w:rsidRPr="00C241CD">
        <w:rPr>
          <w:sz w:val="20"/>
        </w:rPr>
        <w:t>)</w:t>
      </w:r>
      <w:r w:rsidRPr="00C241CD">
        <w:rPr>
          <w:sz w:val="20"/>
        </w:rPr>
        <w:tab/>
        <w:t>pour</w:t>
      </w:r>
      <w:r w:rsidRPr="00C241CD">
        <w:rPr>
          <w:sz w:val="20"/>
        </w:rPr>
        <w:tab/>
        <w:t>20</w:t>
      </w:r>
      <w:r w:rsidRPr="00C241CD">
        <w:rPr>
          <w:sz w:val="20"/>
        </w:rPr>
        <w:sym w:font="Symbol" w:char="F0B0"/>
      </w:r>
      <w:r w:rsidRPr="00C241CD">
        <w:rPr>
          <w:sz w:val="20"/>
        </w:rPr>
        <w:tab/>
      </w:r>
      <w:r w:rsidRPr="00C241CD">
        <w:rPr>
          <w:rFonts w:ascii="Symbol" w:hAnsi="Symbol"/>
          <w:sz w:val="20"/>
        </w:rPr>
        <w:t></w:t>
      </w:r>
      <w:r w:rsidRPr="00C241CD">
        <w:rPr>
          <w:sz w:val="20"/>
        </w:rPr>
        <w:tab/>
      </w:r>
      <w:r w:rsidRPr="00C241CD">
        <w:rPr>
          <w:rFonts w:ascii="Symbol" w:hAnsi="Symbol"/>
          <w:iCs/>
          <w:sz w:val="20"/>
        </w:rPr>
        <w:sym w:font="Symbol" w:char="F061"/>
      </w:r>
      <w:r w:rsidRPr="00C241CD">
        <w:rPr>
          <w:sz w:val="20"/>
        </w:rPr>
        <w:tab/>
      </w:r>
      <w:r w:rsidRPr="00C241CD">
        <w:rPr>
          <w:rFonts w:ascii="Symbol" w:hAnsi="Symbol"/>
          <w:sz w:val="20"/>
        </w:rPr>
        <w:sym w:font="Symbol" w:char="F0A3"/>
      </w:r>
      <w:r w:rsidRPr="00C241CD">
        <w:rPr>
          <w:sz w:val="20"/>
        </w:rPr>
        <w:tab/>
        <w:t>60</w:t>
      </w:r>
      <w:r w:rsidRPr="00C241CD">
        <w:rPr>
          <w:rFonts w:ascii="Symbol" w:hAnsi="Symbol"/>
          <w:sz w:val="20"/>
        </w:rPr>
        <w:sym w:font="Symbol" w:char="F0B0"/>
      </w:r>
    </w:p>
    <w:p w:rsidR="006F415D" w:rsidRPr="00C241CD" w:rsidRDefault="006F415D" w:rsidP="005112D3">
      <w:pPr>
        <w:pStyle w:val="enumlev2"/>
        <w:tabs>
          <w:tab w:val="clear" w:pos="1588"/>
          <w:tab w:val="clear" w:pos="1985"/>
          <w:tab w:val="left" w:pos="3119"/>
          <w:tab w:val="left" w:pos="4395"/>
          <w:tab w:val="right" w:pos="5245"/>
          <w:tab w:val="left" w:pos="5387"/>
          <w:tab w:val="left" w:pos="5670"/>
          <w:tab w:val="left" w:pos="5954"/>
          <w:tab w:val="right" w:pos="6521"/>
        </w:tabs>
        <w:rPr>
          <w:sz w:val="20"/>
        </w:rPr>
      </w:pPr>
      <w:r w:rsidRPr="00C241CD">
        <w:rPr>
          <w:sz w:val="20"/>
        </w:rPr>
        <w:t>–150,0</w:t>
      </w:r>
      <w:r w:rsidRPr="00C241CD">
        <w:rPr>
          <w:sz w:val="20"/>
        </w:rPr>
        <w:tab/>
        <w:t>dB(W/m</w:t>
      </w:r>
      <w:r w:rsidRPr="00C241CD">
        <w:rPr>
          <w:position w:val="6"/>
          <w:sz w:val="20"/>
        </w:rPr>
        <w:t>2</w:t>
      </w:r>
      <w:r w:rsidRPr="00C241CD">
        <w:rPr>
          <w:sz w:val="20"/>
        </w:rPr>
        <w:t>)</w:t>
      </w:r>
      <w:r w:rsidRPr="00C241CD">
        <w:rPr>
          <w:sz w:val="20"/>
        </w:rPr>
        <w:tab/>
        <w:t>pour</w:t>
      </w:r>
      <w:r w:rsidRPr="00C241CD">
        <w:rPr>
          <w:sz w:val="20"/>
        </w:rPr>
        <w:tab/>
        <w:t>60</w:t>
      </w:r>
      <w:r w:rsidRPr="00C241CD">
        <w:rPr>
          <w:sz w:val="20"/>
        </w:rPr>
        <w:sym w:font="Symbol" w:char="F0B0"/>
      </w:r>
      <w:r w:rsidRPr="00C241CD">
        <w:rPr>
          <w:sz w:val="20"/>
        </w:rPr>
        <w:tab/>
      </w:r>
      <w:r w:rsidRPr="00C241CD">
        <w:rPr>
          <w:rFonts w:ascii="Symbol" w:hAnsi="Symbol"/>
          <w:sz w:val="20"/>
        </w:rPr>
        <w:t></w:t>
      </w:r>
      <w:r w:rsidRPr="00C241CD">
        <w:rPr>
          <w:sz w:val="20"/>
        </w:rPr>
        <w:tab/>
      </w:r>
      <w:r w:rsidRPr="00C241CD">
        <w:rPr>
          <w:rFonts w:ascii="Symbol" w:hAnsi="Symbol"/>
          <w:iCs/>
          <w:sz w:val="20"/>
        </w:rPr>
        <w:sym w:font="Symbol" w:char="F061"/>
      </w:r>
      <w:r w:rsidRPr="00C241CD">
        <w:rPr>
          <w:sz w:val="20"/>
        </w:rPr>
        <w:tab/>
      </w:r>
      <w:r w:rsidRPr="00C241CD">
        <w:rPr>
          <w:rFonts w:ascii="Symbol" w:hAnsi="Symbol"/>
          <w:sz w:val="20"/>
        </w:rPr>
        <w:sym w:font="Symbol" w:char="F0A3"/>
      </w:r>
      <w:r w:rsidRPr="00C241CD">
        <w:rPr>
          <w:sz w:val="20"/>
        </w:rPr>
        <w:tab/>
        <w:t>90</w:t>
      </w:r>
      <w:r w:rsidRPr="00C241CD">
        <w:rPr>
          <w:sz w:val="20"/>
        </w:rPr>
        <w:sym w:font="Symbol" w:char="F0B0"/>
      </w:r>
    </w:p>
    <w:p w:rsidR="006F415D" w:rsidRPr="00C241CD" w:rsidRDefault="006F415D" w:rsidP="006F415D">
      <w:pPr>
        <w:rPr>
          <w:sz w:val="20"/>
        </w:rPr>
      </w:pPr>
      <w:r w:rsidRPr="00C241CD">
        <w:rPr>
          <w:sz w:val="20"/>
        </w:rPr>
        <w:t xml:space="preserve">où </w:t>
      </w:r>
      <w:r w:rsidRPr="00C241CD">
        <w:rPr>
          <w:rFonts w:ascii="Symbol" w:hAnsi="Symbol"/>
          <w:iCs/>
          <w:sz w:val="20"/>
        </w:rPr>
        <w:sym w:font="Symbol" w:char="F061"/>
      </w:r>
      <w:r w:rsidRPr="00C241CD">
        <w:rPr>
          <w:sz w:val="20"/>
        </w:rPr>
        <w:t xml:space="preserve"> est l'angle d'incidence (degrés au</w:t>
      </w:r>
      <w:r w:rsidRPr="00C241CD">
        <w:rPr>
          <w:sz w:val="20"/>
        </w:rPr>
        <w:noBreakHyphen/>
        <w:t>dessus du plan horizontal);</w:t>
      </w:r>
    </w:p>
    <w:p w:rsidR="006F415D" w:rsidRPr="00C241CD" w:rsidRDefault="006F415D" w:rsidP="006F415D">
      <w:pPr>
        <w:rPr>
          <w:sz w:val="20"/>
        </w:rPr>
      </w:pPr>
      <w:r w:rsidRPr="00C241CD">
        <w:rPr>
          <w:b/>
          <w:bCs/>
          <w:sz w:val="20"/>
        </w:rPr>
        <w:t>2</w:t>
      </w:r>
      <w:r w:rsidRPr="00C241CD">
        <w:rPr>
          <w:sz w:val="20"/>
        </w:rPr>
        <w:tab/>
        <w:t>de déterminer comme suit les valeurs nécessaires pour assurer la protection des systèmes de télémesure du service mobile aéronautique dans la bande 2</w:t>
      </w:r>
      <w:r w:rsidRPr="00C241CD">
        <w:rPr>
          <w:rFonts w:ascii="Tms Rmn" w:hAnsi="Tms Rmn"/>
          <w:sz w:val="20"/>
        </w:rPr>
        <w:t> </w:t>
      </w:r>
      <w:r w:rsidRPr="00C241CD">
        <w:rPr>
          <w:sz w:val="20"/>
        </w:rPr>
        <w:t>310-2</w:t>
      </w:r>
      <w:r w:rsidRPr="00C241CD">
        <w:rPr>
          <w:rFonts w:ascii="Tms Rmn" w:hAnsi="Tms Rmn"/>
          <w:sz w:val="20"/>
        </w:rPr>
        <w:t> </w:t>
      </w:r>
      <w:r w:rsidRPr="00C241CD">
        <w:rPr>
          <w:sz w:val="20"/>
        </w:rPr>
        <w:t>360 MHz utilisée en partage avec le SRS (DSB) (voir la Note 4):</w:t>
      </w:r>
    </w:p>
    <w:p w:rsidR="006F415D" w:rsidRPr="00C241CD" w:rsidRDefault="006F415D" w:rsidP="006F415D">
      <w:pPr>
        <w:pStyle w:val="enumlev1"/>
        <w:rPr>
          <w:sz w:val="20"/>
        </w:rPr>
      </w:pPr>
      <w:r w:rsidRPr="00C241CD">
        <w:rPr>
          <w:sz w:val="20"/>
        </w:rPr>
        <w:t>–</w:t>
      </w:r>
      <w:r w:rsidRPr="00C241CD">
        <w:rPr>
          <w:sz w:val="20"/>
        </w:rPr>
        <w:tab/>
        <w:t>pour tout satellite géostationnaire visible par une station réceptrice de télémesure du service mobile aéronautique, la valeur de protection correspond à une valeur de puissance surfacique, relevée au niveau de la station réceptrice de télémesure, dans une bande quelconque de 4 kHz et pour toutes les méthodes de modulation de:</w:t>
      </w:r>
    </w:p>
    <w:p w:rsidR="006F415D" w:rsidRPr="00C241CD" w:rsidRDefault="006F415D" w:rsidP="005112D3">
      <w:pPr>
        <w:pStyle w:val="enumlev2"/>
        <w:tabs>
          <w:tab w:val="clear" w:pos="1588"/>
          <w:tab w:val="clear" w:pos="1985"/>
          <w:tab w:val="left" w:pos="3119"/>
          <w:tab w:val="left" w:pos="4395"/>
          <w:tab w:val="decimal" w:pos="5103"/>
          <w:tab w:val="left" w:pos="5387"/>
          <w:tab w:val="left" w:pos="5670"/>
          <w:tab w:val="left" w:pos="5954"/>
          <w:tab w:val="decimal" w:pos="6379"/>
          <w:tab w:val="right" w:pos="6521"/>
        </w:tabs>
        <w:rPr>
          <w:sz w:val="20"/>
        </w:rPr>
      </w:pPr>
      <w:r w:rsidRPr="00C241CD">
        <w:rPr>
          <w:sz w:val="20"/>
        </w:rPr>
        <w:t>–180,0</w:t>
      </w:r>
      <w:r w:rsidRPr="00C241CD">
        <w:rPr>
          <w:sz w:val="20"/>
        </w:rPr>
        <w:tab/>
        <w:t>dB(W/m</w:t>
      </w:r>
      <w:r w:rsidRPr="00C241CD">
        <w:rPr>
          <w:position w:val="6"/>
          <w:sz w:val="20"/>
        </w:rPr>
        <w:t>2</w:t>
      </w:r>
      <w:r w:rsidRPr="00C241CD">
        <w:rPr>
          <w:sz w:val="20"/>
        </w:rPr>
        <w:t>)</w:t>
      </w:r>
      <w:r w:rsidRPr="00C241CD">
        <w:rPr>
          <w:sz w:val="20"/>
        </w:rPr>
        <w:tab/>
        <w:t>pour</w:t>
      </w:r>
      <w:r w:rsidRPr="00C241CD">
        <w:rPr>
          <w:sz w:val="20"/>
        </w:rPr>
        <w:tab/>
        <w:t>0</w:t>
      </w:r>
      <w:r w:rsidRPr="00C241CD">
        <w:rPr>
          <w:rFonts w:ascii="Symbol" w:hAnsi="Symbol"/>
          <w:sz w:val="20"/>
        </w:rPr>
        <w:sym w:font="Symbol" w:char="F0B0"/>
      </w:r>
      <w:r w:rsidRPr="00C241CD">
        <w:rPr>
          <w:sz w:val="20"/>
        </w:rPr>
        <w:tab/>
      </w:r>
      <w:r w:rsidRPr="00C241CD">
        <w:rPr>
          <w:rFonts w:ascii="Symbol" w:hAnsi="Symbol"/>
          <w:sz w:val="20"/>
        </w:rPr>
        <w:sym w:font="Symbol" w:char="F0A3"/>
      </w:r>
      <w:r w:rsidRPr="00C241CD">
        <w:rPr>
          <w:sz w:val="20"/>
        </w:rPr>
        <w:tab/>
      </w:r>
      <w:r w:rsidRPr="00C241CD">
        <w:rPr>
          <w:rFonts w:ascii="Symbol" w:hAnsi="Symbol"/>
          <w:sz w:val="20"/>
        </w:rPr>
        <w:sym w:font="Symbol" w:char="F061"/>
      </w:r>
      <w:r w:rsidRPr="00C241CD">
        <w:rPr>
          <w:sz w:val="20"/>
        </w:rPr>
        <w:tab/>
      </w:r>
      <w:r w:rsidRPr="00C241CD">
        <w:rPr>
          <w:rFonts w:ascii="Symbol" w:hAnsi="Symbol"/>
          <w:sz w:val="20"/>
        </w:rPr>
        <w:sym w:font="Symbol" w:char="F0A3"/>
      </w:r>
      <w:r w:rsidRPr="00C241CD">
        <w:rPr>
          <w:sz w:val="20"/>
        </w:rPr>
        <w:tab/>
        <w:t>2</w:t>
      </w:r>
      <w:r w:rsidRPr="00C241CD">
        <w:rPr>
          <w:rFonts w:ascii="Symbol" w:hAnsi="Symbol"/>
          <w:sz w:val="20"/>
        </w:rPr>
        <w:sym w:font="Symbol" w:char="F0B0"/>
      </w:r>
    </w:p>
    <w:p w:rsidR="006F415D" w:rsidRPr="00C241CD" w:rsidRDefault="006F415D" w:rsidP="00474C70">
      <w:pPr>
        <w:pStyle w:val="enumlev2"/>
        <w:tabs>
          <w:tab w:val="clear" w:pos="1588"/>
          <w:tab w:val="clear" w:pos="1985"/>
          <w:tab w:val="left" w:pos="3119"/>
          <w:tab w:val="left" w:pos="4395"/>
          <w:tab w:val="decimal" w:pos="5103"/>
          <w:tab w:val="left" w:pos="5387"/>
          <w:tab w:val="left" w:pos="5670"/>
          <w:tab w:val="left" w:pos="5954"/>
          <w:tab w:val="decimal" w:pos="6379"/>
          <w:tab w:val="right" w:pos="6521"/>
        </w:tabs>
        <w:rPr>
          <w:sz w:val="20"/>
        </w:rPr>
      </w:pPr>
      <w:r w:rsidRPr="00C241CD">
        <w:rPr>
          <w:sz w:val="20"/>
        </w:rPr>
        <w:t>–187,1</w:t>
      </w:r>
      <w:r w:rsidR="00474C70">
        <w:rPr>
          <w:sz w:val="20"/>
        </w:rPr>
        <w:t xml:space="preserve"> + </w:t>
      </w:r>
      <w:r w:rsidRPr="00C241CD">
        <w:rPr>
          <w:sz w:val="20"/>
        </w:rPr>
        <w:t xml:space="preserve">23,66 log </w:t>
      </w:r>
      <w:r w:rsidRPr="005112D3">
        <w:rPr>
          <w:sz w:val="20"/>
        </w:rPr>
        <w:sym w:font="Symbol" w:char="F061"/>
      </w:r>
      <w:r w:rsidRPr="00C241CD">
        <w:rPr>
          <w:sz w:val="20"/>
        </w:rPr>
        <w:tab/>
        <w:t>dB(W/m</w:t>
      </w:r>
      <w:r w:rsidRPr="005112D3">
        <w:rPr>
          <w:sz w:val="20"/>
        </w:rPr>
        <w:t>2</w:t>
      </w:r>
      <w:r w:rsidRPr="00C241CD">
        <w:rPr>
          <w:sz w:val="20"/>
        </w:rPr>
        <w:t>)</w:t>
      </w:r>
      <w:r w:rsidRPr="00C241CD">
        <w:rPr>
          <w:sz w:val="20"/>
        </w:rPr>
        <w:tab/>
        <w:t>pour</w:t>
      </w:r>
      <w:r w:rsidRPr="00C241CD">
        <w:rPr>
          <w:sz w:val="20"/>
        </w:rPr>
        <w:tab/>
        <w:t>2</w:t>
      </w:r>
      <w:r w:rsidRPr="005112D3">
        <w:rPr>
          <w:sz w:val="20"/>
        </w:rPr>
        <w:sym w:font="Symbol" w:char="F0B0"/>
      </w:r>
      <w:r w:rsidRPr="00C241CD">
        <w:rPr>
          <w:sz w:val="20"/>
        </w:rPr>
        <w:tab/>
      </w:r>
      <w:r w:rsidR="00473DB3" w:rsidRPr="00C241CD">
        <w:rPr>
          <w:rFonts w:ascii="Symbol" w:hAnsi="Symbol"/>
          <w:sz w:val="20"/>
        </w:rPr>
        <w:t></w:t>
      </w:r>
      <w:r w:rsidRPr="00C241CD">
        <w:rPr>
          <w:sz w:val="20"/>
        </w:rPr>
        <w:tab/>
      </w:r>
      <w:r w:rsidRPr="005112D3">
        <w:rPr>
          <w:sz w:val="20"/>
        </w:rPr>
        <w:sym w:font="Symbol" w:char="F061"/>
      </w:r>
      <w:r w:rsidRPr="00C241CD">
        <w:rPr>
          <w:sz w:val="20"/>
        </w:rPr>
        <w:tab/>
      </w:r>
      <w:r w:rsidRPr="005112D3">
        <w:rPr>
          <w:sz w:val="20"/>
        </w:rPr>
        <w:sym w:font="Symbol" w:char="F0A3"/>
      </w:r>
      <w:r w:rsidRPr="00C241CD">
        <w:rPr>
          <w:sz w:val="20"/>
        </w:rPr>
        <w:tab/>
        <w:t>11,5</w:t>
      </w:r>
      <w:r w:rsidRPr="005112D3">
        <w:rPr>
          <w:sz w:val="20"/>
        </w:rPr>
        <w:sym w:font="Symbol" w:char="F0B0"/>
      </w:r>
    </w:p>
    <w:p w:rsidR="006F415D" w:rsidRPr="00C241CD" w:rsidRDefault="006F415D" w:rsidP="005112D3">
      <w:pPr>
        <w:pStyle w:val="enumlev2"/>
        <w:tabs>
          <w:tab w:val="clear" w:pos="1588"/>
          <w:tab w:val="clear" w:pos="1985"/>
          <w:tab w:val="left" w:pos="3119"/>
          <w:tab w:val="left" w:pos="4395"/>
          <w:tab w:val="decimal" w:pos="5103"/>
          <w:tab w:val="left" w:pos="5387"/>
          <w:tab w:val="left" w:pos="5670"/>
          <w:tab w:val="left" w:pos="5954"/>
          <w:tab w:val="decimal" w:pos="6379"/>
          <w:tab w:val="right" w:pos="6521"/>
        </w:tabs>
        <w:rPr>
          <w:sz w:val="20"/>
        </w:rPr>
      </w:pPr>
      <w:r w:rsidRPr="00C241CD">
        <w:rPr>
          <w:sz w:val="20"/>
        </w:rPr>
        <w:t>–162</w:t>
      </w:r>
      <w:r w:rsidRPr="00C241CD">
        <w:rPr>
          <w:sz w:val="20"/>
        </w:rPr>
        <w:tab/>
        <w:t>dB(W/m</w:t>
      </w:r>
      <w:r w:rsidRPr="00C241CD">
        <w:rPr>
          <w:position w:val="6"/>
          <w:sz w:val="20"/>
        </w:rPr>
        <w:t>2</w:t>
      </w:r>
      <w:r w:rsidRPr="00C241CD">
        <w:rPr>
          <w:sz w:val="20"/>
        </w:rPr>
        <w:t>)</w:t>
      </w:r>
      <w:r w:rsidRPr="00C241CD">
        <w:rPr>
          <w:sz w:val="20"/>
        </w:rPr>
        <w:tab/>
        <w:t>pour</w:t>
      </w:r>
      <w:r w:rsidRPr="00C241CD">
        <w:rPr>
          <w:sz w:val="20"/>
        </w:rPr>
        <w:tab/>
        <w:t>11,5</w:t>
      </w:r>
      <w:r w:rsidRPr="00C241CD">
        <w:rPr>
          <w:rFonts w:ascii="Symbol" w:hAnsi="Symbol"/>
          <w:sz w:val="20"/>
        </w:rPr>
        <w:sym w:font="Symbol" w:char="F0B0"/>
      </w:r>
      <w:r w:rsidRPr="00C241CD">
        <w:rPr>
          <w:sz w:val="20"/>
        </w:rPr>
        <w:tab/>
      </w:r>
      <w:r w:rsidRPr="00C241CD">
        <w:rPr>
          <w:rFonts w:ascii="Symbol" w:hAnsi="Symbol"/>
          <w:sz w:val="20"/>
        </w:rPr>
        <w:t></w:t>
      </w:r>
      <w:r w:rsidRPr="00C241CD">
        <w:rPr>
          <w:sz w:val="20"/>
        </w:rPr>
        <w:tab/>
      </w:r>
      <w:r w:rsidRPr="00C241CD">
        <w:rPr>
          <w:rFonts w:ascii="Symbol" w:hAnsi="Symbol"/>
          <w:sz w:val="20"/>
        </w:rPr>
        <w:sym w:font="Symbol" w:char="F061"/>
      </w:r>
      <w:r w:rsidRPr="00C241CD">
        <w:rPr>
          <w:sz w:val="20"/>
        </w:rPr>
        <w:tab/>
      </w:r>
      <w:r w:rsidRPr="00C241CD">
        <w:rPr>
          <w:rFonts w:ascii="Symbol" w:hAnsi="Symbol"/>
          <w:sz w:val="20"/>
        </w:rPr>
        <w:sym w:font="Symbol" w:char="F0A3"/>
      </w:r>
      <w:r w:rsidRPr="00C241CD">
        <w:rPr>
          <w:sz w:val="20"/>
        </w:rPr>
        <w:tab/>
        <w:t>90</w:t>
      </w:r>
      <w:r w:rsidRPr="00C241CD">
        <w:rPr>
          <w:rFonts w:ascii="Symbol" w:hAnsi="Symbol"/>
          <w:sz w:val="20"/>
        </w:rPr>
        <w:sym w:font="Symbol" w:char="F0B0"/>
      </w:r>
    </w:p>
    <w:p w:rsidR="006F415D" w:rsidRPr="00C241CD" w:rsidRDefault="006F415D" w:rsidP="006F415D">
      <w:pPr>
        <w:rPr>
          <w:sz w:val="20"/>
        </w:rPr>
      </w:pPr>
      <w:r w:rsidRPr="00C241CD">
        <w:rPr>
          <w:sz w:val="20"/>
        </w:rPr>
        <w:t xml:space="preserve">où </w:t>
      </w:r>
      <w:r w:rsidRPr="00C241CD">
        <w:rPr>
          <w:rFonts w:ascii="Symbol" w:hAnsi="Symbol"/>
          <w:iCs/>
          <w:sz w:val="20"/>
        </w:rPr>
        <w:sym w:font="Symbol" w:char="F061"/>
      </w:r>
      <w:r w:rsidRPr="00C241CD">
        <w:rPr>
          <w:sz w:val="20"/>
        </w:rPr>
        <w:t xml:space="preserve"> est l'angle d'arrivée (degrés au</w:t>
      </w:r>
      <w:r w:rsidRPr="00C241CD">
        <w:rPr>
          <w:sz w:val="20"/>
        </w:rPr>
        <w:noBreakHyphen/>
        <w:t>dessus du plan horizontal);</w:t>
      </w:r>
    </w:p>
    <w:p w:rsidR="006F415D" w:rsidRPr="00C241CD" w:rsidRDefault="006F415D" w:rsidP="006F415D">
      <w:pPr>
        <w:rPr>
          <w:sz w:val="20"/>
        </w:rPr>
      </w:pPr>
      <w:r w:rsidRPr="00C241CD">
        <w:rPr>
          <w:b/>
          <w:bCs/>
          <w:sz w:val="20"/>
        </w:rPr>
        <w:t>3</w:t>
      </w:r>
      <w:r w:rsidRPr="00C241CD">
        <w:rPr>
          <w:sz w:val="20"/>
        </w:rPr>
        <w:tab/>
        <w:t>d'utiliser éventuellement les méthodes de calcul et les techniques de réduction des brouillages indiquées dans les Annexes 1 et 2 pour déterminer la probabilité de brouillage causé aux systèmes de télémesure du service mobile aéronautique.</w:t>
      </w:r>
    </w:p>
    <w:p w:rsidR="006F415D" w:rsidRPr="00C241CD" w:rsidRDefault="006F415D" w:rsidP="006F415D">
      <w:pPr>
        <w:pStyle w:val="Note"/>
        <w:rPr>
          <w:sz w:val="20"/>
        </w:rPr>
      </w:pPr>
      <w:r w:rsidRPr="00C241CD">
        <w:rPr>
          <w:sz w:val="20"/>
        </w:rPr>
        <w:t>NOTE 1 – DSB renvoie à la radiodiffusion audionumérique, voir les numéros S5.345 et S5.393 du RR.</w:t>
      </w:r>
    </w:p>
    <w:p w:rsidR="006F415D" w:rsidRPr="00C241CD" w:rsidRDefault="006F415D" w:rsidP="006F415D">
      <w:pPr>
        <w:pStyle w:val="Note"/>
        <w:rPr>
          <w:sz w:val="20"/>
        </w:rPr>
      </w:pPr>
      <w:r w:rsidRPr="00C241CD">
        <w:rPr>
          <w:sz w:val="20"/>
        </w:rPr>
        <w:t>NOTE 2 – L'exemple de calcul utilisé pour obtenir les valeurs de protection (voir Annexe 1) correspond au cas le plus défavorable. Le recours aux techniques de réduction des brouillages (voir Annexe 2) permettra peut</w:t>
      </w:r>
      <w:r w:rsidRPr="00C241CD">
        <w:rPr>
          <w:sz w:val="20"/>
        </w:rPr>
        <w:noBreakHyphen/>
        <w:t>être de faciliter le partage.</w:t>
      </w:r>
    </w:p>
    <w:p w:rsidR="006F415D" w:rsidRPr="00C241CD" w:rsidRDefault="006F415D" w:rsidP="006F415D">
      <w:pPr>
        <w:pStyle w:val="Note"/>
        <w:rPr>
          <w:sz w:val="20"/>
        </w:rPr>
      </w:pPr>
      <w:r w:rsidRPr="00C241CD">
        <w:rPr>
          <w:sz w:val="20"/>
        </w:rPr>
        <w:t>NOTE 3 – Etant donné que les aspects sécurité de la vie doivent être pris en ligne de compte avec les systèmes de télémesure du service mobile aéronautique et qu'il semble ne pas être possible d'utiliser efficacement le spectre attribué au SRS (sonore) par la CAMR-92, l'attention est attirée sur les études actuellement menées dans le cadre de la Question UIT-R 204/10 (voir la Recommandation UIT-R BO.1383).</w:t>
      </w:r>
    </w:p>
    <w:p w:rsidR="006F415D" w:rsidRDefault="006F415D" w:rsidP="006F415D">
      <w:pPr>
        <w:pStyle w:val="Note"/>
        <w:rPr>
          <w:sz w:val="20"/>
        </w:rPr>
      </w:pPr>
      <w:r w:rsidRPr="00C241CD">
        <w:rPr>
          <w:sz w:val="20"/>
        </w:rPr>
        <w:t>NOTE 4 – Les administrations sont encouragées à présenter des informations à l'UIT-R concernant les objectifs de qualité et de disponibilité pour le service mobile de télémétrie aéronautique en vue d'élaborer une Recomman</w:t>
      </w:r>
      <w:r w:rsidRPr="00C241CD">
        <w:rPr>
          <w:sz w:val="20"/>
        </w:rPr>
        <w:softHyphen/>
        <w:t>dation UIT</w:t>
      </w:r>
      <w:r w:rsidRPr="00C241CD">
        <w:rPr>
          <w:sz w:val="20"/>
        </w:rPr>
        <w:noBreakHyphen/>
        <w:t>R appropriée.</w:t>
      </w:r>
    </w:p>
    <w:p w:rsidR="006F415D" w:rsidRDefault="006F415D" w:rsidP="006F415D">
      <w:pPr>
        <w:pStyle w:val="Annex"/>
        <w:rPr>
          <w:lang w:val="fr-FR"/>
        </w:rPr>
      </w:pPr>
      <w:r>
        <w:rPr>
          <w:lang w:val="fr-FR"/>
        </w:rPr>
        <w:lastRenderedPageBreak/>
        <w:t>ANNEXE  1</w:t>
      </w:r>
    </w:p>
    <w:p w:rsidR="006F415D" w:rsidRDefault="006F415D" w:rsidP="006F415D">
      <w:pPr>
        <w:pStyle w:val="AnnexTitle"/>
        <w:rPr>
          <w:lang w:val="fr-FR"/>
        </w:rPr>
      </w:pPr>
      <w:r>
        <w:rPr>
          <w:lang w:val="fr-FR"/>
        </w:rPr>
        <w:t xml:space="preserve">Calcul des niveaux de puissance surfacique rayonnée par des émissions de </w:t>
      </w:r>
      <w:r>
        <w:rPr>
          <w:lang w:val="fr-FR"/>
        </w:rPr>
        <w:br/>
        <w:t xml:space="preserve">satellites géostationnaires et brouillant les systèmes de télémesure </w:t>
      </w:r>
      <w:r w:rsidR="00C241CD">
        <w:rPr>
          <w:lang w:val="fr-FR"/>
        </w:rPr>
        <w:br/>
        <w:t>du service mobile aéronautique</w:t>
      </w:r>
    </w:p>
    <w:p w:rsidR="006F415D" w:rsidRDefault="006F415D" w:rsidP="006F415D">
      <w:pPr>
        <w:pStyle w:val="Heading1"/>
      </w:pPr>
      <w:r>
        <w:t>1</w:t>
      </w:r>
      <w:r>
        <w:tab/>
        <w:t>Introduction</w:t>
      </w:r>
    </w:p>
    <w:p w:rsidR="006F415D" w:rsidRPr="005112D3" w:rsidRDefault="006F415D" w:rsidP="006F415D">
      <w:pPr>
        <w:rPr>
          <w:sz w:val="20"/>
        </w:rPr>
      </w:pPr>
      <w:r w:rsidRPr="005112D3">
        <w:rPr>
          <w:sz w:val="20"/>
        </w:rPr>
        <w:t>Les analyses et résultats présentés dans les sections qui suivent sont destinés à faciliter le calcul du brouillage causé aux systèmes de télémesure du service mobile aéronautique.</w:t>
      </w:r>
    </w:p>
    <w:p w:rsidR="006F415D" w:rsidRDefault="006F415D" w:rsidP="006F415D">
      <w:pPr>
        <w:pStyle w:val="Heading1"/>
      </w:pPr>
      <w:r>
        <w:t>2</w:t>
      </w:r>
      <w:r>
        <w:tab/>
        <w:t>Détermination de valeurs</w:t>
      </w:r>
    </w:p>
    <w:p w:rsidR="006F415D" w:rsidRPr="005112D3" w:rsidRDefault="006F415D" w:rsidP="006F415D">
      <w:pPr>
        <w:rPr>
          <w:sz w:val="20"/>
        </w:rPr>
      </w:pPr>
      <w:r w:rsidRPr="005112D3">
        <w:rPr>
          <w:sz w:val="20"/>
        </w:rPr>
        <w:t>On peut utiliser d'une manière générale la méthode exposée ci</w:t>
      </w:r>
      <w:r w:rsidRPr="005112D3">
        <w:rPr>
          <w:sz w:val="20"/>
        </w:rPr>
        <w:noBreakHyphen/>
        <w:t>après mais les valeurs numériques correspondent à la bande 1</w:t>
      </w:r>
      <w:r w:rsidRPr="005112D3">
        <w:rPr>
          <w:rFonts w:ascii="Tms Rmn" w:hAnsi="Tms Rmn"/>
          <w:sz w:val="20"/>
        </w:rPr>
        <w:t> </w:t>
      </w:r>
      <w:r w:rsidRPr="005112D3">
        <w:rPr>
          <w:sz w:val="20"/>
        </w:rPr>
        <w:t>452-1</w:t>
      </w:r>
      <w:r w:rsidRPr="005112D3">
        <w:rPr>
          <w:rFonts w:ascii="Tms Rmn" w:hAnsi="Tms Rmn"/>
          <w:sz w:val="20"/>
        </w:rPr>
        <w:t> </w:t>
      </w:r>
      <w:r w:rsidRPr="005112D3">
        <w:rPr>
          <w:sz w:val="20"/>
        </w:rPr>
        <w:t>525 MHz.</w:t>
      </w:r>
    </w:p>
    <w:p w:rsidR="006F415D" w:rsidRPr="005112D3" w:rsidRDefault="006F415D" w:rsidP="006F415D">
      <w:pPr>
        <w:pStyle w:val="Heading2"/>
        <w:rPr>
          <w:sz w:val="22"/>
          <w:szCs w:val="22"/>
        </w:rPr>
      </w:pPr>
      <w:r w:rsidRPr="005112D3">
        <w:rPr>
          <w:sz w:val="22"/>
          <w:szCs w:val="22"/>
        </w:rPr>
        <w:t>2.1</w:t>
      </w:r>
      <w:r w:rsidRPr="005112D3">
        <w:rPr>
          <w:sz w:val="22"/>
          <w:szCs w:val="22"/>
        </w:rPr>
        <w:tab/>
        <w:t>Caractéristiques des systèmes de télémesure</w:t>
      </w:r>
    </w:p>
    <w:p w:rsidR="006F415D" w:rsidRPr="005112D3" w:rsidRDefault="006F415D" w:rsidP="006F415D">
      <w:pPr>
        <w:rPr>
          <w:sz w:val="20"/>
        </w:rPr>
      </w:pPr>
      <w:r w:rsidRPr="005112D3">
        <w:rPr>
          <w:sz w:val="20"/>
        </w:rPr>
        <w:t>Les caractéristiques générales des systèmes de télémesure données dans le Rapport de la RPC à la CAMR</w:t>
      </w:r>
      <w:r w:rsidRPr="005112D3">
        <w:rPr>
          <w:sz w:val="20"/>
        </w:rPr>
        <w:noBreakHyphen/>
        <w:t>92 sont les suivantes. Les opérations de télémesure et de télécommande aéronautiques sont utilisées pour les essais en vol d'engins aérospatiaux habités ou non. Ces engins sont testés à leurs limites nominales, ce qui rend la sécurité des vols tributaire de la fiabilité des informations reçues en temps réel. En cas d'essais aux limites nominales, l'affaiblissement du niveau du signal peut dépasser 30 dB en raison des zéros dans le diagramme de rayonnement de l'antenne de l'aéronef causés par les variations de l'attitude de l'aéronef.</w:t>
      </w:r>
    </w:p>
    <w:p w:rsidR="006F415D" w:rsidRPr="005112D3" w:rsidRDefault="006F415D" w:rsidP="005112D3">
      <w:pPr>
        <w:pStyle w:val="enumlev1"/>
        <w:tabs>
          <w:tab w:val="clear" w:pos="1588"/>
          <w:tab w:val="clear" w:pos="1985"/>
          <w:tab w:val="left" w:pos="3969"/>
        </w:tabs>
        <w:rPr>
          <w:sz w:val="20"/>
        </w:rPr>
      </w:pPr>
      <w:r w:rsidRPr="005112D3">
        <w:rPr>
          <w:sz w:val="20"/>
        </w:rPr>
        <w:t>Rapport C/N requis:</w:t>
      </w:r>
      <w:r w:rsidRPr="005112D3">
        <w:rPr>
          <w:sz w:val="20"/>
        </w:rPr>
        <w:tab/>
        <w:t>9-15 dB</w:t>
      </w:r>
    </w:p>
    <w:p w:rsidR="006F415D" w:rsidRPr="005112D3" w:rsidRDefault="006F415D" w:rsidP="005112D3">
      <w:pPr>
        <w:pStyle w:val="enumlev1"/>
        <w:tabs>
          <w:tab w:val="clear" w:pos="1588"/>
          <w:tab w:val="clear" w:pos="1985"/>
          <w:tab w:val="left" w:pos="3969"/>
        </w:tabs>
        <w:rPr>
          <w:sz w:val="20"/>
        </w:rPr>
      </w:pPr>
      <w:r w:rsidRPr="005112D3">
        <w:rPr>
          <w:sz w:val="20"/>
        </w:rPr>
        <w:t>Puissance de l'émetteur:</w:t>
      </w:r>
      <w:r w:rsidRPr="005112D3">
        <w:rPr>
          <w:sz w:val="20"/>
        </w:rPr>
        <w:tab/>
        <w:t>2-25 W</w:t>
      </w:r>
    </w:p>
    <w:p w:rsidR="006F415D" w:rsidRPr="005112D3" w:rsidRDefault="006F415D" w:rsidP="005112D3">
      <w:pPr>
        <w:pStyle w:val="enumlev1"/>
        <w:tabs>
          <w:tab w:val="clear" w:pos="1588"/>
          <w:tab w:val="clear" w:pos="1985"/>
          <w:tab w:val="left" w:pos="3969"/>
        </w:tabs>
        <w:rPr>
          <w:sz w:val="20"/>
        </w:rPr>
      </w:pPr>
      <w:r w:rsidRPr="005112D3">
        <w:rPr>
          <w:sz w:val="20"/>
        </w:rPr>
        <w:t>Type de modulation:</w:t>
      </w:r>
      <w:r w:rsidRPr="005112D3">
        <w:rPr>
          <w:sz w:val="20"/>
        </w:rPr>
        <w:tab/>
        <w:t>MIC/MF</w:t>
      </w:r>
    </w:p>
    <w:p w:rsidR="006F415D" w:rsidRPr="005112D3" w:rsidRDefault="006F415D" w:rsidP="005112D3">
      <w:pPr>
        <w:pStyle w:val="enumlev1"/>
        <w:tabs>
          <w:tab w:val="clear" w:pos="1588"/>
          <w:tab w:val="clear" w:pos="1985"/>
          <w:tab w:val="left" w:pos="3969"/>
        </w:tabs>
        <w:rPr>
          <w:sz w:val="20"/>
        </w:rPr>
      </w:pPr>
      <w:r w:rsidRPr="005112D3">
        <w:rPr>
          <w:sz w:val="20"/>
        </w:rPr>
        <w:t>Longueur du trajet d'émission:</w:t>
      </w:r>
      <w:r w:rsidRPr="005112D3">
        <w:rPr>
          <w:sz w:val="20"/>
        </w:rPr>
        <w:tab/>
        <w:t>jusqu'à 320 km</w:t>
      </w:r>
    </w:p>
    <w:p w:rsidR="006F415D" w:rsidRPr="005112D3" w:rsidRDefault="006F415D" w:rsidP="005112D3">
      <w:pPr>
        <w:pStyle w:val="enumlev1"/>
        <w:tabs>
          <w:tab w:val="clear" w:pos="1588"/>
          <w:tab w:val="clear" w:pos="1985"/>
          <w:tab w:val="left" w:pos="3969"/>
        </w:tabs>
        <w:rPr>
          <w:sz w:val="20"/>
        </w:rPr>
      </w:pPr>
      <w:r w:rsidRPr="005112D3">
        <w:rPr>
          <w:sz w:val="20"/>
        </w:rPr>
        <w:t>Température de bruit du système de réception:</w:t>
      </w:r>
      <w:r w:rsidRPr="005112D3">
        <w:rPr>
          <w:sz w:val="20"/>
        </w:rPr>
        <w:tab/>
        <w:t>200-500 K</w:t>
      </w:r>
    </w:p>
    <w:p w:rsidR="006F415D" w:rsidRPr="005112D3" w:rsidRDefault="006F415D" w:rsidP="005112D3">
      <w:pPr>
        <w:pStyle w:val="enumlev1"/>
        <w:tabs>
          <w:tab w:val="clear" w:pos="1588"/>
          <w:tab w:val="clear" w:pos="1985"/>
          <w:tab w:val="left" w:pos="3969"/>
        </w:tabs>
        <w:rPr>
          <w:sz w:val="20"/>
        </w:rPr>
      </w:pPr>
      <w:r w:rsidRPr="005112D3">
        <w:rPr>
          <w:sz w:val="20"/>
        </w:rPr>
        <w:t>Gain de l'antenne de réception:</w:t>
      </w:r>
      <w:r w:rsidRPr="005112D3">
        <w:rPr>
          <w:sz w:val="20"/>
        </w:rPr>
        <w:tab/>
        <w:t>20-41 dB</w:t>
      </w:r>
    </w:p>
    <w:p w:rsidR="006F415D" w:rsidRPr="005112D3" w:rsidRDefault="006F415D" w:rsidP="006F415D">
      <w:pPr>
        <w:tabs>
          <w:tab w:val="left" w:pos="5670"/>
        </w:tabs>
        <w:rPr>
          <w:sz w:val="20"/>
        </w:rPr>
      </w:pPr>
      <w:r w:rsidRPr="005112D3">
        <w:rPr>
          <w:sz w:val="20"/>
        </w:rPr>
        <w:t>Niveau des premiers lobes latéraux de l'antenne de réception pour deux antennes:</w:t>
      </w:r>
    </w:p>
    <w:p w:rsidR="006F415D" w:rsidRPr="005112D3" w:rsidRDefault="006F415D" w:rsidP="005112D3">
      <w:pPr>
        <w:pStyle w:val="enumlev1"/>
        <w:tabs>
          <w:tab w:val="clear" w:pos="1588"/>
          <w:tab w:val="clear" w:pos="1985"/>
          <w:tab w:val="left" w:pos="2694"/>
        </w:tabs>
        <w:rPr>
          <w:sz w:val="20"/>
        </w:rPr>
      </w:pPr>
      <w:r w:rsidRPr="005112D3">
        <w:rPr>
          <w:sz w:val="20"/>
        </w:rPr>
        <w:tab/>
        <w:t>10 m (diamètre):</w:t>
      </w:r>
      <w:r w:rsidRPr="005112D3">
        <w:rPr>
          <w:sz w:val="20"/>
        </w:rPr>
        <w:tab/>
        <w:t>20 dBi (gain d'antenne)</w:t>
      </w:r>
    </w:p>
    <w:p w:rsidR="006F415D" w:rsidRPr="005112D3" w:rsidRDefault="006F415D" w:rsidP="005112D3">
      <w:pPr>
        <w:pStyle w:val="enumlev1"/>
        <w:tabs>
          <w:tab w:val="clear" w:pos="1588"/>
          <w:tab w:val="clear" w:pos="1985"/>
          <w:tab w:val="left" w:pos="2694"/>
        </w:tabs>
        <w:rPr>
          <w:sz w:val="20"/>
        </w:rPr>
      </w:pPr>
      <w:r w:rsidRPr="005112D3">
        <w:rPr>
          <w:sz w:val="20"/>
        </w:rPr>
        <w:tab/>
      </w:r>
      <w:r w:rsidR="005112D3">
        <w:rPr>
          <w:sz w:val="20"/>
        </w:rPr>
        <w:tab/>
      </w:r>
      <w:r w:rsidR="005112D3">
        <w:rPr>
          <w:sz w:val="20"/>
        </w:rPr>
        <w:tab/>
      </w:r>
      <w:r w:rsidRPr="005112D3">
        <w:rPr>
          <w:sz w:val="20"/>
        </w:rPr>
        <w:t>2,4° (depuis le centre)</w:t>
      </w:r>
    </w:p>
    <w:p w:rsidR="006F415D" w:rsidRPr="005112D3" w:rsidRDefault="006F415D" w:rsidP="005112D3">
      <w:pPr>
        <w:pStyle w:val="enumlev1"/>
        <w:tabs>
          <w:tab w:val="clear" w:pos="1588"/>
          <w:tab w:val="clear" w:pos="1985"/>
          <w:tab w:val="left" w:pos="2694"/>
        </w:tabs>
        <w:rPr>
          <w:sz w:val="20"/>
        </w:rPr>
      </w:pPr>
      <w:r w:rsidRPr="005112D3">
        <w:rPr>
          <w:sz w:val="20"/>
        </w:rPr>
        <w:tab/>
        <w:t>2,44 m (diamètre):</w:t>
      </w:r>
      <w:r w:rsidR="005112D3">
        <w:rPr>
          <w:sz w:val="20"/>
        </w:rPr>
        <w:tab/>
      </w:r>
      <w:r w:rsidRPr="005112D3">
        <w:rPr>
          <w:sz w:val="20"/>
        </w:rPr>
        <w:t>7-14 dBi (gain d'antenne)</w:t>
      </w:r>
    </w:p>
    <w:p w:rsidR="006F415D" w:rsidRPr="005112D3" w:rsidRDefault="006F415D" w:rsidP="005112D3">
      <w:pPr>
        <w:pStyle w:val="enumlev1"/>
        <w:tabs>
          <w:tab w:val="clear" w:pos="1588"/>
          <w:tab w:val="clear" w:pos="1985"/>
          <w:tab w:val="left" w:pos="2694"/>
        </w:tabs>
        <w:rPr>
          <w:sz w:val="20"/>
        </w:rPr>
      </w:pPr>
      <w:r w:rsidRPr="005112D3">
        <w:rPr>
          <w:sz w:val="20"/>
        </w:rPr>
        <w:tab/>
      </w:r>
      <w:r w:rsidR="005112D3">
        <w:rPr>
          <w:sz w:val="20"/>
        </w:rPr>
        <w:tab/>
      </w:r>
      <w:r w:rsidR="005112D3">
        <w:rPr>
          <w:sz w:val="20"/>
        </w:rPr>
        <w:tab/>
      </w:r>
      <w:r w:rsidRPr="005112D3">
        <w:rPr>
          <w:sz w:val="20"/>
        </w:rPr>
        <w:t>10° (depuis le centre)</w:t>
      </w:r>
    </w:p>
    <w:p w:rsidR="006F415D" w:rsidRPr="005112D3" w:rsidRDefault="006F415D" w:rsidP="006F415D">
      <w:pPr>
        <w:rPr>
          <w:sz w:val="20"/>
        </w:rPr>
      </w:pPr>
      <w:r w:rsidRPr="005112D3">
        <w:rPr>
          <w:sz w:val="20"/>
        </w:rPr>
        <w:t>On utilise plusieurs diamètres d'antenne pour des gains compris entre 20 et 41 dB. On utilise la polarisation circulaire lévogyre et dextrogyre ainsi que la polarisation rectiligne.</w:t>
      </w:r>
    </w:p>
    <w:p w:rsidR="006F415D" w:rsidRPr="005112D3" w:rsidRDefault="006F415D" w:rsidP="006F415D">
      <w:pPr>
        <w:rPr>
          <w:sz w:val="20"/>
        </w:rPr>
      </w:pPr>
      <w:r w:rsidRPr="005112D3">
        <w:rPr>
          <w:sz w:val="20"/>
        </w:rPr>
        <w:t>Les assignations de canaux se font par incrément de 1 MHz. Les largeurs de bande sont de 1, 3 et 5 MHz, pour des émissions types; elles sont plus larges pour la vidéo et d'autres mesures complexes.</w:t>
      </w:r>
    </w:p>
    <w:p w:rsidR="006F415D" w:rsidRPr="005112D3" w:rsidRDefault="006F415D" w:rsidP="006F415D">
      <w:pPr>
        <w:rPr>
          <w:sz w:val="20"/>
        </w:rPr>
      </w:pPr>
      <w:r w:rsidRPr="005112D3">
        <w:rPr>
          <w:sz w:val="20"/>
        </w:rPr>
        <w:t>Le volume spatial maximal pour un site récepteur de télémesure est par définition un cylindre horizontal de 320 km de rayon autour du site, dont la limite inférieure est déterminée par la visibilité et la limite supérieure par une altitude de 20 km. Le volume spatial minimum pour une mission particulière est par définition un cylindre vertical de 20 km de rayon, compris dans les limites du volume spatial maximum, et dont les limites inférieure et supérieure sont les mêmes que celles du volume spatial maximum.</w:t>
      </w:r>
    </w:p>
    <w:p w:rsidR="006F415D" w:rsidRPr="005112D3" w:rsidRDefault="006F415D" w:rsidP="006F415D">
      <w:pPr>
        <w:rPr>
          <w:sz w:val="20"/>
        </w:rPr>
      </w:pPr>
      <w:r w:rsidRPr="005112D3">
        <w:rPr>
          <w:sz w:val="20"/>
        </w:rPr>
        <w:t>On utilise une poursuite continue RF couplée à des techniques de balayage monoimpulsion et conique.</w:t>
      </w:r>
    </w:p>
    <w:p w:rsidR="006F415D" w:rsidRDefault="006F415D" w:rsidP="006F415D">
      <w:pPr>
        <w:rPr>
          <w:sz w:val="20"/>
        </w:rPr>
      </w:pPr>
      <w:r w:rsidRPr="005112D3">
        <w:rPr>
          <w:sz w:val="20"/>
        </w:rPr>
        <w:t>On utilise des antennes de 2,44 m et 10 m de diamètre. La Fig. 1 donne les valeurs du gain mesurées pour trois antennes de 2,44 m. Etant donné que ces antennes suivent un engin mobile de sorte que le gain de l'antenne en direction d'un satellite géostationnaire est variable, le gain dans les lobes latéraux et les lobes arrières est dépassé ou non pendant 50</w:t>
      </w:r>
      <w:r w:rsidRPr="005112D3">
        <w:rPr>
          <w:rFonts w:ascii="Symbol" w:hAnsi="Symbol"/>
          <w:sz w:val="20"/>
        </w:rPr>
        <w:t></w:t>
      </w:r>
      <w:r w:rsidRPr="005112D3">
        <w:rPr>
          <w:sz w:val="20"/>
        </w:rPr>
        <w:t xml:space="preserve"> du temps. Le diagramme composite ci</w:t>
      </w:r>
      <w:r w:rsidRPr="005112D3">
        <w:rPr>
          <w:sz w:val="20"/>
        </w:rPr>
        <w:noBreakHyphen/>
        <w:t>après est élaboré sur cette base pour des gains d'antenne compris entre 29 dB et 41,2 dB.</w:t>
      </w:r>
    </w:p>
    <w:p w:rsidR="006F415D" w:rsidRPr="005112D3" w:rsidRDefault="006F415D" w:rsidP="00A50B68">
      <w:pPr>
        <w:pStyle w:val="Equation"/>
        <w:tabs>
          <w:tab w:val="clear" w:pos="4820"/>
          <w:tab w:val="left" w:pos="4253"/>
          <w:tab w:val="left" w:pos="5245"/>
          <w:tab w:val="left" w:pos="5954"/>
          <w:tab w:val="left" w:pos="6663"/>
          <w:tab w:val="left" w:pos="7144"/>
          <w:tab w:val="decimal" w:pos="9696"/>
        </w:tabs>
        <w:ind w:left="4253" w:hanging="4253"/>
        <w:rPr>
          <w:sz w:val="22"/>
          <w:szCs w:val="22"/>
        </w:rPr>
      </w:pPr>
      <w:r w:rsidRPr="00FB1374">
        <w:rPr>
          <w:sz w:val="22"/>
          <w:szCs w:val="22"/>
          <w:lang w:val="fr-CH"/>
        </w:rPr>
        <w:tab/>
      </w:r>
      <w:r w:rsidRPr="005112D3">
        <w:rPr>
          <w:position w:val="-30"/>
          <w:sz w:val="22"/>
          <w:szCs w:val="22"/>
        </w:rPr>
        <w:object w:dxaOrig="30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85pt;height:35.05pt" o:ole="">
            <v:imagedata r:id="rId15" o:title=""/>
          </v:shape>
          <o:OLEObject Type="Embed" ProgID="Equation.3" ShapeID="_x0000_i1025" DrawAspect="Content" ObjectID="_1369136221" r:id="rId16"/>
        </w:object>
      </w:r>
      <w:r w:rsidR="005112D3">
        <w:rPr>
          <w:sz w:val="22"/>
          <w:szCs w:val="22"/>
        </w:rPr>
        <w:tab/>
      </w:r>
      <w:r w:rsidRPr="005112D3">
        <w:rPr>
          <w:sz w:val="22"/>
          <w:szCs w:val="22"/>
        </w:rPr>
        <w:t>dBi</w:t>
      </w:r>
      <w:r w:rsidRPr="005112D3">
        <w:rPr>
          <w:sz w:val="22"/>
          <w:szCs w:val="22"/>
        </w:rPr>
        <w:tab/>
        <w:t>pour</w:t>
      </w:r>
      <w:r w:rsidRPr="005112D3">
        <w:rPr>
          <w:sz w:val="22"/>
          <w:szCs w:val="22"/>
        </w:rPr>
        <w:tab/>
        <w:t>0°</w:t>
      </w:r>
      <w:r w:rsidRPr="005112D3">
        <w:rPr>
          <w:sz w:val="22"/>
          <w:szCs w:val="22"/>
        </w:rPr>
        <w:tab/>
      </w:r>
      <w:r w:rsidRPr="005112D3">
        <w:rPr>
          <w:rFonts w:ascii="Symbol" w:hAnsi="Symbol"/>
          <w:sz w:val="22"/>
          <w:szCs w:val="22"/>
        </w:rPr>
        <w:t></w:t>
      </w:r>
      <w:r w:rsidR="005112D3">
        <w:rPr>
          <w:sz w:val="22"/>
          <w:szCs w:val="22"/>
        </w:rPr>
        <w:t xml:space="preserve"> </w:t>
      </w:r>
      <w:r w:rsidRPr="005112D3">
        <w:rPr>
          <w:rFonts w:ascii="Symbol" w:hAnsi="Symbol"/>
          <w:sz w:val="22"/>
          <w:szCs w:val="22"/>
        </w:rPr>
        <w:t></w:t>
      </w:r>
      <w:r w:rsidR="00A50B68">
        <w:rPr>
          <w:rFonts w:ascii="Symbol" w:hAnsi="Symbol"/>
          <w:sz w:val="22"/>
          <w:szCs w:val="22"/>
        </w:rPr>
        <w:t></w:t>
      </w:r>
      <w:r w:rsidRPr="005112D3">
        <w:rPr>
          <w:rFonts w:ascii="Symbol" w:hAnsi="Symbol"/>
          <w:sz w:val="22"/>
          <w:szCs w:val="22"/>
        </w:rPr>
        <w:t></w:t>
      </w:r>
      <w:r w:rsidR="005112D3">
        <w:rPr>
          <w:sz w:val="22"/>
          <w:szCs w:val="22"/>
        </w:rPr>
        <w:t xml:space="preserve"> </w:t>
      </w:r>
      <w:r w:rsidRPr="005112D3">
        <w:rPr>
          <w:sz w:val="22"/>
          <w:szCs w:val="22"/>
        </w:rPr>
        <w:t>0,94</w:t>
      </w:r>
      <w:r w:rsidR="005112D3">
        <w:rPr>
          <w:sz w:val="22"/>
          <w:szCs w:val="22"/>
        </w:rPr>
        <w:tab/>
      </w:r>
      <w:r w:rsidRPr="005112D3">
        <w:rPr>
          <w:sz w:val="22"/>
          <w:szCs w:val="22"/>
        </w:rPr>
        <w:t>(1a)</w:t>
      </w:r>
    </w:p>
    <w:p w:rsidR="006F415D" w:rsidRPr="005112D3" w:rsidRDefault="006F415D" w:rsidP="00A50B68">
      <w:pPr>
        <w:pStyle w:val="Equation"/>
        <w:tabs>
          <w:tab w:val="clear" w:pos="4820"/>
          <w:tab w:val="left" w:pos="4253"/>
          <w:tab w:val="left" w:pos="5245"/>
          <w:tab w:val="left" w:pos="5954"/>
          <w:tab w:val="left" w:pos="6663"/>
          <w:tab w:val="left" w:pos="7144"/>
          <w:tab w:val="decimal" w:pos="9696"/>
        </w:tabs>
        <w:ind w:left="4253" w:hanging="4253"/>
        <w:rPr>
          <w:sz w:val="22"/>
          <w:szCs w:val="22"/>
        </w:rPr>
      </w:pPr>
      <w:r w:rsidRPr="005112D3">
        <w:rPr>
          <w:sz w:val="22"/>
          <w:szCs w:val="22"/>
        </w:rPr>
        <w:lastRenderedPageBreak/>
        <w:tab/>
      </w:r>
      <w:r w:rsidRPr="005112D3">
        <w:rPr>
          <w:position w:val="-10"/>
          <w:sz w:val="22"/>
          <w:szCs w:val="22"/>
        </w:rPr>
        <w:object w:dxaOrig="1980" w:dyaOrig="300">
          <v:shape id="_x0000_i1026" type="#_x0000_t75" style="width:98.95pt;height:15pt" o:ole="">
            <v:imagedata r:id="rId17" o:title=""/>
          </v:shape>
          <o:OLEObject Type="Embed" ProgID="Equation.3" ShapeID="_x0000_i1026" DrawAspect="Content" ObjectID="_1369136222" r:id="rId18"/>
        </w:object>
      </w:r>
      <w:r w:rsidR="005112D3">
        <w:rPr>
          <w:sz w:val="22"/>
          <w:szCs w:val="22"/>
        </w:rPr>
        <w:tab/>
      </w:r>
      <w:r w:rsidRPr="005112D3">
        <w:rPr>
          <w:sz w:val="22"/>
          <w:szCs w:val="22"/>
        </w:rPr>
        <w:t>dBi</w:t>
      </w:r>
      <w:r w:rsidRPr="005112D3">
        <w:rPr>
          <w:sz w:val="22"/>
          <w:szCs w:val="22"/>
        </w:rPr>
        <w:tab/>
        <w:t>pour</w:t>
      </w:r>
      <w:r w:rsidRPr="005112D3">
        <w:rPr>
          <w:sz w:val="22"/>
          <w:szCs w:val="22"/>
        </w:rPr>
        <w:tab/>
        <w:t>0,94</w:t>
      </w:r>
      <w:r w:rsidR="00A50B68">
        <w:rPr>
          <w:sz w:val="22"/>
          <w:szCs w:val="22"/>
        </w:rPr>
        <w:tab/>
      </w:r>
      <w:r w:rsidRPr="005112D3">
        <w:rPr>
          <w:sz w:val="22"/>
          <w:szCs w:val="22"/>
        </w:rPr>
        <w:t>&lt;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sz w:val="22"/>
          <w:szCs w:val="22"/>
        </w:rPr>
        <w:t>3,82</w:t>
      </w:r>
      <w:r w:rsidRPr="005112D3">
        <w:rPr>
          <w:rFonts w:ascii="Symbol" w:hAnsi="Symbol"/>
          <w:sz w:val="22"/>
          <w:szCs w:val="22"/>
        </w:rPr>
        <w:t></w:t>
      </w:r>
      <w:r w:rsidRPr="005112D3">
        <w:rPr>
          <w:sz w:val="22"/>
          <w:szCs w:val="22"/>
        </w:rPr>
        <w:tab/>
        <w:t>(1b)</w:t>
      </w:r>
    </w:p>
    <w:p w:rsidR="006F415D" w:rsidRPr="005112D3" w:rsidRDefault="006F415D" w:rsidP="00A50B68">
      <w:pPr>
        <w:pStyle w:val="Equation"/>
        <w:tabs>
          <w:tab w:val="clear" w:pos="4820"/>
          <w:tab w:val="left" w:pos="4253"/>
          <w:tab w:val="left" w:pos="5245"/>
          <w:tab w:val="left" w:pos="5954"/>
          <w:tab w:val="left" w:pos="6663"/>
          <w:tab w:val="left" w:pos="7144"/>
        </w:tabs>
        <w:ind w:left="4253" w:hanging="4253"/>
        <w:rPr>
          <w:sz w:val="22"/>
          <w:szCs w:val="22"/>
        </w:rPr>
      </w:pPr>
      <w:r w:rsidRPr="005112D3">
        <w:rPr>
          <w:sz w:val="22"/>
          <w:szCs w:val="22"/>
        </w:rPr>
        <w:tab/>
      </w:r>
      <w:r w:rsidRPr="005112D3">
        <w:rPr>
          <w:position w:val="-30"/>
          <w:sz w:val="22"/>
          <w:szCs w:val="22"/>
        </w:rPr>
        <w:object w:dxaOrig="2940" w:dyaOrig="700">
          <v:shape id="_x0000_i1027" type="#_x0000_t75" style="width:146.7pt;height:35.05pt" o:ole="">
            <v:imagedata r:id="rId19" o:title=""/>
          </v:shape>
          <o:OLEObject Type="Embed" ProgID="Equation.3" ShapeID="_x0000_i1027" DrawAspect="Content" ObjectID="_1369136223" r:id="rId20"/>
        </w:object>
      </w:r>
      <w:r w:rsidR="005112D3">
        <w:rPr>
          <w:sz w:val="22"/>
          <w:szCs w:val="22"/>
        </w:rPr>
        <w:tab/>
      </w:r>
      <w:r w:rsidRPr="005112D3">
        <w:rPr>
          <w:sz w:val="22"/>
          <w:szCs w:val="22"/>
        </w:rPr>
        <w:t>dBi</w:t>
      </w:r>
      <w:r w:rsidRPr="005112D3">
        <w:rPr>
          <w:sz w:val="22"/>
          <w:szCs w:val="22"/>
        </w:rPr>
        <w:tab/>
        <w:t>pour</w:t>
      </w:r>
      <w:r w:rsidRPr="005112D3">
        <w:rPr>
          <w:sz w:val="22"/>
          <w:szCs w:val="22"/>
        </w:rPr>
        <w:tab/>
        <w:t>3,82</w:t>
      </w:r>
      <w:r w:rsidRPr="005112D3">
        <w:rPr>
          <w:rFonts w:ascii="Symbol" w:hAnsi="Symbol"/>
          <w:sz w:val="22"/>
          <w:szCs w:val="22"/>
        </w:rPr>
        <w:t></w:t>
      </w:r>
      <w:r w:rsidRPr="005112D3">
        <w:rPr>
          <w:sz w:val="22"/>
          <w:szCs w:val="22"/>
        </w:rPr>
        <w:tab/>
        <w:t>&lt;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sz w:val="22"/>
          <w:szCs w:val="22"/>
        </w:rPr>
        <w:t>5,61</w:t>
      </w:r>
      <w:r w:rsidRPr="005112D3">
        <w:rPr>
          <w:rFonts w:ascii="Symbol" w:hAnsi="Symbol"/>
          <w:sz w:val="22"/>
          <w:szCs w:val="22"/>
        </w:rPr>
        <w:t></w:t>
      </w:r>
      <w:r w:rsidRPr="005112D3">
        <w:rPr>
          <w:sz w:val="22"/>
          <w:szCs w:val="22"/>
        </w:rPr>
        <w:tab/>
        <w:t>(1c)</w:t>
      </w:r>
    </w:p>
    <w:p w:rsidR="006F415D" w:rsidRPr="005112D3" w:rsidRDefault="006F415D" w:rsidP="00A50B68">
      <w:pPr>
        <w:pStyle w:val="Equation"/>
        <w:tabs>
          <w:tab w:val="clear" w:pos="4820"/>
          <w:tab w:val="left" w:pos="4253"/>
          <w:tab w:val="left" w:pos="5245"/>
          <w:tab w:val="left" w:pos="5954"/>
          <w:tab w:val="left" w:pos="6663"/>
          <w:tab w:val="left" w:pos="7144"/>
        </w:tabs>
        <w:ind w:left="4253" w:hanging="4253"/>
        <w:rPr>
          <w:sz w:val="22"/>
          <w:szCs w:val="22"/>
        </w:rPr>
      </w:pPr>
      <w:r w:rsidRPr="005112D3">
        <w:rPr>
          <w:sz w:val="22"/>
          <w:szCs w:val="22"/>
        </w:rPr>
        <w:tab/>
      </w:r>
      <w:r w:rsidRPr="005112D3">
        <w:rPr>
          <w:position w:val="-10"/>
          <w:sz w:val="22"/>
          <w:szCs w:val="22"/>
        </w:rPr>
        <w:object w:dxaOrig="2380" w:dyaOrig="300">
          <v:shape id="_x0000_i1028" type="#_x0000_t75" style="width:119.35pt;height:15pt" o:ole="">
            <v:imagedata r:id="rId21" o:title=""/>
          </v:shape>
          <o:OLEObject Type="Embed" ProgID="Equation.3" ShapeID="_x0000_i1028" DrawAspect="Content" ObjectID="_1369136224" r:id="rId22"/>
        </w:object>
      </w:r>
      <w:r w:rsidR="005112D3">
        <w:rPr>
          <w:sz w:val="22"/>
          <w:szCs w:val="22"/>
        </w:rPr>
        <w:tab/>
      </w:r>
      <w:r w:rsidRPr="005112D3">
        <w:rPr>
          <w:sz w:val="22"/>
          <w:szCs w:val="22"/>
        </w:rPr>
        <w:t>dBi</w:t>
      </w:r>
      <w:r w:rsidRPr="005112D3">
        <w:rPr>
          <w:sz w:val="22"/>
          <w:szCs w:val="22"/>
        </w:rPr>
        <w:tab/>
        <w:t>pour</w:t>
      </w:r>
      <w:r w:rsidRPr="005112D3">
        <w:rPr>
          <w:sz w:val="22"/>
          <w:szCs w:val="22"/>
        </w:rPr>
        <w:tab/>
        <w:t>5,61</w:t>
      </w:r>
      <w:r w:rsidRPr="005112D3">
        <w:rPr>
          <w:rFonts w:ascii="Symbol" w:hAnsi="Symbol"/>
          <w:sz w:val="22"/>
          <w:szCs w:val="22"/>
        </w:rPr>
        <w:t></w:t>
      </w:r>
      <w:r w:rsidRPr="005112D3">
        <w:rPr>
          <w:sz w:val="22"/>
          <w:szCs w:val="22"/>
        </w:rPr>
        <w:tab/>
        <w:t>&lt;</w:t>
      </w:r>
      <w:r w:rsidR="005112D3">
        <w:rPr>
          <w:sz w:val="22"/>
          <w:szCs w:val="22"/>
        </w:rPr>
        <w:t xml:space="preserve"> </w:t>
      </w:r>
      <w:r w:rsidRPr="005112D3">
        <w:rPr>
          <w:rFonts w:ascii="Symbol" w:hAnsi="Symbol"/>
          <w:sz w:val="22"/>
          <w:szCs w:val="22"/>
        </w:rPr>
        <w:t></w:t>
      </w:r>
      <w:r w:rsidR="005112D3">
        <w:rPr>
          <w:rFonts w:ascii="Symbol" w:hAnsi="Symbol"/>
          <w:sz w:val="22"/>
          <w:szCs w:val="22"/>
        </w:rPr>
        <w:t></w:t>
      </w:r>
      <w:r w:rsidRPr="005112D3">
        <w:rPr>
          <w:rFonts w:ascii="Symbol" w:hAnsi="Symbol"/>
          <w:sz w:val="22"/>
          <w:szCs w:val="22"/>
        </w:rPr>
        <w:t></w:t>
      </w:r>
      <w:r w:rsidR="005112D3">
        <w:rPr>
          <w:sz w:val="22"/>
          <w:szCs w:val="22"/>
        </w:rPr>
        <w:t xml:space="preserve"> </w:t>
      </w:r>
      <w:r w:rsidRPr="005112D3">
        <w:rPr>
          <w:sz w:val="22"/>
          <w:szCs w:val="22"/>
        </w:rPr>
        <w:t>12,16</w:t>
      </w:r>
      <w:r w:rsidRPr="005112D3">
        <w:rPr>
          <w:rFonts w:ascii="Symbol" w:hAnsi="Symbol"/>
          <w:sz w:val="22"/>
          <w:szCs w:val="22"/>
        </w:rPr>
        <w:t></w:t>
      </w:r>
      <w:r w:rsidRPr="005112D3">
        <w:rPr>
          <w:sz w:val="22"/>
          <w:szCs w:val="22"/>
        </w:rPr>
        <w:tab/>
        <w:t>(1d)</w:t>
      </w:r>
    </w:p>
    <w:p w:rsidR="006F415D" w:rsidRPr="005112D3" w:rsidRDefault="006F415D" w:rsidP="00A50B68">
      <w:pPr>
        <w:pStyle w:val="Equation"/>
        <w:tabs>
          <w:tab w:val="clear" w:pos="4820"/>
          <w:tab w:val="left" w:pos="4253"/>
          <w:tab w:val="left" w:pos="5245"/>
          <w:tab w:val="left" w:pos="5954"/>
          <w:tab w:val="left" w:pos="6663"/>
          <w:tab w:val="left" w:pos="7144"/>
        </w:tabs>
        <w:ind w:left="4253" w:hanging="4253"/>
        <w:rPr>
          <w:sz w:val="22"/>
          <w:szCs w:val="22"/>
        </w:rPr>
      </w:pPr>
      <w:r w:rsidRPr="005112D3">
        <w:rPr>
          <w:sz w:val="22"/>
          <w:szCs w:val="22"/>
        </w:rPr>
        <w:tab/>
      </w:r>
      <w:r w:rsidRPr="005112D3">
        <w:rPr>
          <w:position w:val="-10"/>
          <w:sz w:val="22"/>
          <w:szCs w:val="22"/>
        </w:rPr>
        <w:object w:dxaOrig="2120" w:dyaOrig="300">
          <v:shape id="_x0000_i1029" type="#_x0000_t75" style="width:105.9pt;height:15pt" o:ole="">
            <v:imagedata r:id="rId23" o:title=""/>
          </v:shape>
          <o:OLEObject Type="Embed" ProgID="Equation.3" ShapeID="_x0000_i1029" DrawAspect="Content" ObjectID="_1369136225" r:id="rId24"/>
        </w:object>
      </w:r>
      <w:r w:rsidR="005112D3">
        <w:rPr>
          <w:sz w:val="22"/>
          <w:szCs w:val="22"/>
        </w:rPr>
        <w:tab/>
      </w:r>
      <w:r w:rsidRPr="005112D3">
        <w:rPr>
          <w:sz w:val="22"/>
          <w:szCs w:val="22"/>
        </w:rPr>
        <w:t>dBi</w:t>
      </w:r>
      <w:r w:rsidRPr="005112D3">
        <w:rPr>
          <w:sz w:val="22"/>
          <w:szCs w:val="22"/>
        </w:rPr>
        <w:tab/>
        <w:t>pour</w:t>
      </w:r>
      <w:r w:rsidRPr="005112D3">
        <w:rPr>
          <w:sz w:val="22"/>
          <w:szCs w:val="22"/>
        </w:rPr>
        <w:tab/>
        <w:t>12,16</w:t>
      </w:r>
      <w:r w:rsidRPr="005112D3">
        <w:rPr>
          <w:rFonts w:ascii="Symbol" w:hAnsi="Symbol"/>
          <w:sz w:val="22"/>
          <w:szCs w:val="22"/>
        </w:rPr>
        <w:t></w:t>
      </w:r>
      <w:r w:rsidRPr="005112D3">
        <w:rPr>
          <w:rFonts w:ascii="Symbol" w:hAnsi="Symbol"/>
          <w:sz w:val="22"/>
          <w:szCs w:val="22"/>
        </w:rPr>
        <w:tab/>
      </w:r>
      <w:r w:rsidRPr="005112D3">
        <w:rPr>
          <w:sz w:val="22"/>
          <w:szCs w:val="22"/>
        </w:rPr>
        <w:t>&lt;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sz w:val="22"/>
          <w:szCs w:val="22"/>
        </w:rPr>
        <w:t>48</w:t>
      </w:r>
      <w:r w:rsidRPr="005112D3">
        <w:rPr>
          <w:rFonts w:ascii="Symbol" w:hAnsi="Symbol"/>
          <w:sz w:val="22"/>
          <w:szCs w:val="22"/>
        </w:rPr>
        <w:t></w:t>
      </w:r>
      <w:r w:rsidRPr="005112D3">
        <w:rPr>
          <w:sz w:val="22"/>
          <w:szCs w:val="22"/>
        </w:rPr>
        <w:tab/>
        <w:t>(1e)</w:t>
      </w:r>
    </w:p>
    <w:p w:rsidR="006F415D" w:rsidRPr="005112D3" w:rsidRDefault="006F415D" w:rsidP="00A50B68">
      <w:pPr>
        <w:pStyle w:val="Equation"/>
        <w:tabs>
          <w:tab w:val="clear" w:pos="4820"/>
          <w:tab w:val="left" w:pos="4253"/>
          <w:tab w:val="left" w:pos="5245"/>
          <w:tab w:val="left" w:pos="5954"/>
          <w:tab w:val="left" w:pos="6663"/>
          <w:tab w:val="left" w:pos="7144"/>
        </w:tabs>
        <w:ind w:left="4253" w:hanging="4253"/>
        <w:rPr>
          <w:sz w:val="22"/>
          <w:szCs w:val="22"/>
        </w:rPr>
      </w:pPr>
      <w:r w:rsidRPr="005112D3">
        <w:rPr>
          <w:sz w:val="22"/>
          <w:szCs w:val="22"/>
        </w:rPr>
        <w:tab/>
      </w:r>
      <w:r w:rsidRPr="005112D3">
        <w:rPr>
          <w:position w:val="-10"/>
          <w:sz w:val="22"/>
          <w:szCs w:val="22"/>
        </w:rPr>
        <w:object w:dxaOrig="940" w:dyaOrig="300">
          <v:shape id="_x0000_i1030" type="#_x0000_t75" style="width:47.35pt;height:15pt" o:ole="">
            <v:imagedata r:id="rId25" o:title=""/>
          </v:shape>
          <o:OLEObject Type="Embed" ProgID="Equation.3" ShapeID="_x0000_i1030" DrawAspect="Content" ObjectID="_1369136226" r:id="rId26"/>
        </w:object>
      </w:r>
      <w:r w:rsidR="005112D3">
        <w:rPr>
          <w:sz w:val="22"/>
          <w:szCs w:val="22"/>
        </w:rPr>
        <w:tab/>
      </w:r>
      <w:r w:rsidRPr="005112D3">
        <w:rPr>
          <w:sz w:val="22"/>
          <w:szCs w:val="22"/>
        </w:rPr>
        <w:t>dBi</w:t>
      </w:r>
      <w:r w:rsidRPr="005112D3">
        <w:rPr>
          <w:sz w:val="22"/>
          <w:szCs w:val="22"/>
        </w:rPr>
        <w:tab/>
        <w:t>pour</w:t>
      </w:r>
      <w:r w:rsidRPr="005112D3">
        <w:rPr>
          <w:sz w:val="22"/>
          <w:szCs w:val="22"/>
        </w:rPr>
        <w:tab/>
        <w:t>48</w:t>
      </w:r>
      <w:r w:rsidRPr="005112D3">
        <w:rPr>
          <w:rFonts w:ascii="Symbol" w:hAnsi="Symbol"/>
          <w:sz w:val="22"/>
          <w:szCs w:val="22"/>
        </w:rPr>
        <w:t></w:t>
      </w:r>
      <w:r w:rsidRPr="005112D3">
        <w:rPr>
          <w:sz w:val="22"/>
          <w:szCs w:val="22"/>
        </w:rPr>
        <w:tab/>
        <w:t>&lt;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rFonts w:ascii="Symbol" w:hAnsi="Symbol"/>
          <w:sz w:val="22"/>
          <w:szCs w:val="22"/>
        </w:rPr>
        <w:t></w:t>
      </w:r>
      <w:r w:rsidR="005112D3">
        <w:rPr>
          <w:sz w:val="22"/>
          <w:szCs w:val="22"/>
        </w:rPr>
        <w:t xml:space="preserve"> </w:t>
      </w:r>
      <w:r w:rsidRPr="005112D3">
        <w:rPr>
          <w:sz w:val="22"/>
          <w:szCs w:val="22"/>
        </w:rPr>
        <w:t>180</w:t>
      </w:r>
      <w:r w:rsidRPr="005112D3">
        <w:rPr>
          <w:rFonts w:ascii="Symbol" w:hAnsi="Symbol"/>
          <w:sz w:val="22"/>
          <w:szCs w:val="22"/>
        </w:rPr>
        <w:t></w:t>
      </w:r>
      <w:r w:rsidRPr="005112D3">
        <w:rPr>
          <w:sz w:val="22"/>
          <w:szCs w:val="22"/>
        </w:rPr>
        <w:tab/>
        <w:t>(1f)</w:t>
      </w:r>
    </w:p>
    <w:p w:rsidR="006F415D" w:rsidRPr="00A50B68" w:rsidRDefault="006F415D" w:rsidP="006F415D">
      <w:pPr>
        <w:rPr>
          <w:sz w:val="20"/>
        </w:rPr>
      </w:pPr>
      <w:r w:rsidRPr="00A50B68">
        <w:rPr>
          <w:sz w:val="20"/>
        </w:rPr>
        <w:t>Les valeurs de 1,952 et 0,479 associées à l'angle </w:t>
      </w:r>
      <w:r w:rsidRPr="00A50B68">
        <w:rPr>
          <w:rFonts w:ascii="Symbol" w:hAnsi="Symbol"/>
          <w:sz w:val="20"/>
        </w:rPr>
        <w:t></w:t>
      </w:r>
      <w:r w:rsidRPr="00A50B68">
        <w:rPr>
          <w:rFonts w:ascii="Symbol" w:hAnsi="Symbol"/>
          <w:sz w:val="20"/>
        </w:rPr>
        <w:t></w:t>
      </w:r>
      <w:r w:rsidRPr="00A50B68">
        <w:rPr>
          <w:sz w:val="20"/>
        </w:rPr>
        <w:t>sont exprimées en radians.</w:t>
      </w:r>
    </w:p>
    <w:p w:rsidR="006F415D" w:rsidRPr="00A50B68" w:rsidRDefault="006F415D" w:rsidP="006F415D">
      <w:pPr>
        <w:rPr>
          <w:sz w:val="20"/>
        </w:rPr>
      </w:pPr>
      <w:r w:rsidRPr="00A50B68">
        <w:rPr>
          <w:sz w:val="20"/>
        </w:rPr>
        <w:t xml:space="preserve">Les antennes d'émission de télémesure sont montées sur des aéronefs et, théoriquement, sont des éléments rayonnants isotropes afin de couvrir tous les angles de rayonnement possibles en direction de la station de télémesure réceptrice. Toutefois, dans la pratique, les réflexions multiples et l'occultation imputables aux aéronefs entraînent des variations importantes du diagramme de gain. Les réflexions multiples se traduisent généralement par une distribution des évanouissements de Raleigh et les fonctions de gain mesurées ont montré que c'est approximativement le cas dans la Fig. 2. Si l'on utilise la Fig. 2 pour un cas proche du cas le plus défavorable, effets de propagation compris, la probabilité (intervalle de temps), </w:t>
      </w:r>
      <w:r w:rsidRPr="00A50B68">
        <w:rPr>
          <w:i/>
          <w:iCs/>
          <w:sz w:val="20"/>
        </w:rPr>
        <w:t>P</w:t>
      </w:r>
      <w:r w:rsidRPr="00A50B68">
        <w:rPr>
          <w:position w:val="-4"/>
          <w:sz w:val="20"/>
        </w:rPr>
        <w:t>1</w:t>
      </w:r>
      <w:r w:rsidRPr="00A50B68">
        <w:rPr>
          <w:sz w:val="20"/>
        </w:rPr>
        <w:t xml:space="preserve">, pendant lequel un gain donné, </w:t>
      </w:r>
      <w:r w:rsidRPr="00A50B68">
        <w:rPr>
          <w:i/>
          <w:iCs/>
          <w:sz w:val="20"/>
        </w:rPr>
        <w:t>G</w:t>
      </w:r>
      <w:r w:rsidRPr="00A50B68">
        <w:rPr>
          <w:position w:val="-4"/>
          <w:sz w:val="20"/>
        </w:rPr>
        <w:t>1</w:t>
      </w:r>
      <w:r w:rsidRPr="00A50B68">
        <w:rPr>
          <w:sz w:val="20"/>
        </w:rPr>
        <w:t>, n'est pas dépassé s'exprime comme suit:</w:t>
      </w:r>
    </w:p>
    <w:p w:rsidR="006F415D" w:rsidRPr="00A50B68" w:rsidRDefault="006F415D" w:rsidP="006F415D">
      <w:pPr>
        <w:pStyle w:val="Equation"/>
        <w:rPr>
          <w:sz w:val="22"/>
          <w:szCs w:val="22"/>
        </w:rPr>
      </w:pPr>
      <w:r w:rsidRPr="00A50B68">
        <w:rPr>
          <w:sz w:val="22"/>
          <w:szCs w:val="22"/>
        </w:rPr>
        <w:tab/>
      </w:r>
      <w:r w:rsidRPr="00A50B68">
        <w:rPr>
          <w:sz w:val="22"/>
          <w:szCs w:val="22"/>
        </w:rPr>
        <w:tab/>
      </w:r>
      <w:r w:rsidRPr="00A50B68">
        <w:rPr>
          <w:i/>
          <w:iCs/>
          <w:sz w:val="22"/>
          <w:szCs w:val="22"/>
        </w:rPr>
        <w:t>P</w:t>
      </w:r>
      <w:r w:rsidRPr="00A50B68">
        <w:rPr>
          <w:position w:val="-4"/>
          <w:sz w:val="22"/>
          <w:szCs w:val="22"/>
        </w:rPr>
        <w:t>1</w:t>
      </w:r>
      <w:r w:rsidRPr="00A50B68">
        <w:rPr>
          <w:sz w:val="22"/>
          <w:szCs w:val="22"/>
        </w:rPr>
        <w:t xml:space="preserve"> (</w:t>
      </w:r>
      <w:r w:rsidRPr="00A50B68">
        <w:rPr>
          <w:i/>
          <w:iCs/>
          <w:sz w:val="22"/>
          <w:szCs w:val="22"/>
        </w:rPr>
        <w:t>G</w:t>
      </w:r>
      <w:r w:rsidRPr="00A50B68">
        <w:rPr>
          <w:sz w:val="22"/>
          <w:szCs w:val="22"/>
        </w:rPr>
        <w:t xml:space="preserve">  </w:t>
      </w:r>
      <w:r w:rsidRPr="00A50B68">
        <w:rPr>
          <w:rFonts w:ascii="Symbol" w:hAnsi="Symbol"/>
          <w:sz w:val="22"/>
          <w:szCs w:val="22"/>
        </w:rPr>
        <w:t></w:t>
      </w:r>
      <w:r w:rsidRPr="00A50B68">
        <w:rPr>
          <w:sz w:val="22"/>
          <w:szCs w:val="22"/>
        </w:rPr>
        <w:t xml:space="preserve">  </w:t>
      </w:r>
      <w:r w:rsidRPr="00A50B68">
        <w:rPr>
          <w:i/>
          <w:iCs/>
          <w:sz w:val="22"/>
          <w:szCs w:val="22"/>
        </w:rPr>
        <w:t>G</w:t>
      </w:r>
      <w:r w:rsidRPr="00A50B68">
        <w:rPr>
          <w:position w:val="-4"/>
          <w:sz w:val="22"/>
          <w:szCs w:val="22"/>
        </w:rPr>
        <w:t>1</w:t>
      </w:r>
      <w:r w:rsidRPr="00A50B68">
        <w:rPr>
          <w:sz w:val="22"/>
          <w:szCs w:val="22"/>
        </w:rPr>
        <w:t xml:space="preserve">)  </w:t>
      </w:r>
      <w:r w:rsidRPr="00A50B68">
        <w:rPr>
          <w:rFonts w:ascii="Symbol" w:hAnsi="Symbol"/>
          <w:sz w:val="22"/>
          <w:szCs w:val="22"/>
        </w:rPr>
        <w:t></w:t>
      </w:r>
      <w:r w:rsidRPr="00A50B68">
        <w:rPr>
          <w:sz w:val="22"/>
          <w:szCs w:val="22"/>
        </w:rPr>
        <w:t xml:space="preserve">  (1  –  e</w:t>
      </w:r>
      <w:r w:rsidRPr="00A50B68">
        <w:rPr>
          <w:position w:val="6"/>
          <w:sz w:val="22"/>
          <w:szCs w:val="22"/>
        </w:rPr>
        <w:t xml:space="preserve">–3,46 </w:t>
      </w:r>
      <w:r w:rsidRPr="00A50B68">
        <w:rPr>
          <w:i/>
          <w:iCs/>
          <w:position w:val="6"/>
          <w:sz w:val="22"/>
          <w:szCs w:val="22"/>
        </w:rPr>
        <w:t>G</w:t>
      </w:r>
      <w:r w:rsidRPr="00A50B68">
        <w:rPr>
          <w:position w:val="3"/>
          <w:sz w:val="22"/>
          <w:szCs w:val="22"/>
        </w:rPr>
        <w:t>1</w:t>
      </w:r>
      <w:r w:rsidRPr="00A50B68">
        <w:rPr>
          <w:sz w:val="22"/>
          <w:szCs w:val="22"/>
        </w:rPr>
        <w:t>)</w:t>
      </w:r>
      <w:r w:rsidRPr="00A50B68">
        <w:rPr>
          <w:position w:val="6"/>
          <w:sz w:val="22"/>
          <w:szCs w:val="22"/>
        </w:rPr>
        <w:t>1,25</w:t>
      </w:r>
      <w:r w:rsidRPr="00A50B68">
        <w:rPr>
          <w:sz w:val="22"/>
          <w:szCs w:val="22"/>
        </w:rPr>
        <w:t xml:space="preserve"> (numériques)</w:t>
      </w:r>
      <w:r w:rsidRPr="00A50B68">
        <w:rPr>
          <w:sz w:val="22"/>
          <w:szCs w:val="22"/>
        </w:rPr>
        <w:tab/>
        <w:t>(2)</w:t>
      </w:r>
    </w:p>
    <w:p w:rsidR="006F415D" w:rsidRPr="00A50B68" w:rsidRDefault="006F415D" w:rsidP="006F415D">
      <w:pPr>
        <w:rPr>
          <w:sz w:val="20"/>
        </w:rPr>
      </w:pPr>
      <w:r w:rsidRPr="00A50B68">
        <w:rPr>
          <w:sz w:val="20"/>
        </w:rPr>
        <w:t>On observe des distributions correspondant à un exposant de (–5</w:t>
      </w:r>
      <w:r w:rsidRPr="00A50B68">
        <w:rPr>
          <w:i/>
          <w:iCs/>
          <w:sz w:val="20"/>
        </w:rPr>
        <w:t>G</w:t>
      </w:r>
      <w:r w:rsidRPr="00A50B68">
        <w:rPr>
          <w:position w:val="-4"/>
          <w:sz w:val="20"/>
        </w:rPr>
        <w:t>1</w:t>
      </w:r>
      <w:r w:rsidRPr="00A50B68">
        <w:rPr>
          <w:sz w:val="20"/>
        </w:rPr>
        <w:t>).</w:t>
      </w:r>
    </w:p>
    <w:p w:rsidR="006F415D" w:rsidRPr="00A50B68" w:rsidRDefault="006F415D" w:rsidP="006F415D">
      <w:pPr>
        <w:rPr>
          <w:sz w:val="20"/>
        </w:rPr>
      </w:pPr>
      <w:r w:rsidRPr="00A50B68">
        <w:rPr>
          <w:sz w:val="20"/>
        </w:rPr>
        <w:t xml:space="preserve">Le rapport </w:t>
      </w:r>
      <w:r w:rsidRPr="00A50B68">
        <w:rPr>
          <w:i/>
          <w:iCs/>
          <w:sz w:val="20"/>
        </w:rPr>
        <w:t>C</w:t>
      </w:r>
      <w:r w:rsidRPr="00A50B68">
        <w:rPr>
          <w:sz w:val="20"/>
        </w:rPr>
        <w:t>/</w:t>
      </w:r>
      <w:r w:rsidRPr="00A50B68">
        <w:rPr>
          <w:i/>
          <w:iCs/>
          <w:sz w:val="20"/>
        </w:rPr>
        <w:t>N</w:t>
      </w:r>
      <w:r w:rsidRPr="00A50B68">
        <w:rPr>
          <w:sz w:val="20"/>
        </w:rPr>
        <w:t xml:space="preserve"> reçu et la puissance de la porteuse, </w:t>
      </w:r>
      <w:r w:rsidRPr="00A50B68">
        <w:rPr>
          <w:i/>
          <w:iCs/>
          <w:sz w:val="20"/>
        </w:rPr>
        <w:t>C</w:t>
      </w:r>
      <w:r w:rsidRPr="00A50B68">
        <w:rPr>
          <w:rFonts w:ascii="Tms Rmn" w:hAnsi="Tms Rmn"/>
          <w:i/>
          <w:iCs/>
          <w:sz w:val="20"/>
        </w:rPr>
        <w:t> </w:t>
      </w:r>
      <w:r w:rsidRPr="00A50B68">
        <w:rPr>
          <w:sz w:val="20"/>
        </w:rPr>
        <w:t xml:space="preserve"> relevée à la sortie de l'antenne réceptrice de télémesure sont proportionnels à cette fonction.</w:t>
      </w:r>
    </w:p>
    <w:p w:rsidR="006F415D" w:rsidRDefault="006F415D" w:rsidP="006F415D">
      <w:pPr>
        <w:pStyle w:val="Fig"/>
        <w:rPr>
          <w:lang w:val="fr-FR"/>
        </w:rPr>
      </w:pPr>
      <w:r>
        <w:rPr>
          <w:noProof/>
          <w:lang w:eastAsia="zh-CN"/>
        </w:rPr>
        <w:drawing>
          <wp:inline distT="0" distB="0" distL="0" distR="0">
            <wp:extent cx="5120640" cy="4747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640" cy="4747260"/>
                    </a:xfrm>
                    <a:prstGeom prst="rect">
                      <a:avLst/>
                    </a:prstGeom>
                    <a:noFill/>
                    <a:ln>
                      <a:noFill/>
                    </a:ln>
                  </pic:spPr>
                </pic:pic>
              </a:graphicData>
            </a:graphic>
          </wp:inline>
        </w:drawing>
      </w:r>
    </w:p>
    <w:p w:rsidR="006F415D" w:rsidRDefault="006F415D" w:rsidP="006F415D">
      <w:pPr>
        <w:pStyle w:val="Fig0"/>
      </w:pPr>
      <w:r>
        <w:t>FIGURE 1 – M.1459-01</w:t>
      </w:r>
    </w:p>
    <w:p w:rsidR="006F415D" w:rsidRDefault="006F415D" w:rsidP="006F415D">
      <w:pPr>
        <w:rPr>
          <w:lang w:val="en-US"/>
        </w:rPr>
      </w:pPr>
    </w:p>
    <w:p w:rsidR="006F415D" w:rsidRDefault="006F415D" w:rsidP="006F415D">
      <w:pPr>
        <w:pStyle w:val="Fig"/>
      </w:pPr>
      <w:r>
        <w:rPr>
          <w:noProof/>
          <w:lang w:eastAsia="zh-CN"/>
        </w:rPr>
        <w:drawing>
          <wp:inline distT="0" distB="0" distL="0" distR="0">
            <wp:extent cx="3862705" cy="7366635"/>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2705" cy="7366635"/>
                    </a:xfrm>
                    <a:prstGeom prst="rect">
                      <a:avLst/>
                    </a:prstGeom>
                    <a:noFill/>
                    <a:ln>
                      <a:noFill/>
                    </a:ln>
                  </pic:spPr>
                </pic:pic>
              </a:graphicData>
            </a:graphic>
          </wp:inline>
        </w:drawing>
      </w:r>
    </w:p>
    <w:p w:rsidR="006F415D" w:rsidRDefault="006F415D" w:rsidP="006F415D">
      <w:pPr>
        <w:pStyle w:val="Fig0"/>
        <w:rPr>
          <w:lang w:val="fr-FR"/>
        </w:rPr>
      </w:pPr>
      <w:r>
        <w:rPr>
          <w:lang w:val="fr-FR"/>
        </w:rPr>
        <w:t>FIGURE 2/M.1459-2</w:t>
      </w:r>
    </w:p>
    <w:p w:rsidR="00473DB3" w:rsidRDefault="00473DB3" w:rsidP="000B43F9"/>
    <w:p w:rsidR="006F415D" w:rsidRPr="00A50B68" w:rsidRDefault="006F415D" w:rsidP="006F415D">
      <w:pPr>
        <w:pStyle w:val="Heading2"/>
        <w:rPr>
          <w:sz w:val="22"/>
          <w:szCs w:val="22"/>
        </w:rPr>
      </w:pPr>
      <w:r w:rsidRPr="00A50B68">
        <w:rPr>
          <w:sz w:val="22"/>
          <w:szCs w:val="22"/>
        </w:rPr>
        <w:lastRenderedPageBreak/>
        <w:t>2.2</w:t>
      </w:r>
      <w:r w:rsidRPr="00A50B68">
        <w:rPr>
          <w:sz w:val="22"/>
          <w:szCs w:val="22"/>
        </w:rPr>
        <w:tab/>
        <w:t>Brouillage causé par des satellites géostationnaires</w:t>
      </w:r>
    </w:p>
    <w:p w:rsidR="006F415D" w:rsidRPr="00A50B68" w:rsidRDefault="006F415D" w:rsidP="006F415D">
      <w:pPr>
        <w:pStyle w:val="Heading3"/>
        <w:rPr>
          <w:sz w:val="20"/>
        </w:rPr>
      </w:pPr>
      <w:r w:rsidRPr="00A50B68">
        <w:rPr>
          <w:sz w:val="20"/>
        </w:rPr>
        <w:t>2.2.1</w:t>
      </w:r>
      <w:r w:rsidRPr="00A50B68">
        <w:rPr>
          <w:sz w:val="20"/>
        </w:rPr>
        <w:tab/>
        <w:t>Fonction gain-temps du brouillage</w:t>
      </w:r>
    </w:p>
    <w:p w:rsidR="006F415D" w:rsidRPr="00A50B68" w:rsidRDefault="006F415D" w:rsidP="006F415D">
      <w:pPr>
        <w:rPr>
          <w:sz w:val="20"/>
        </w:rPr>
      </w:pPr>
      <w:r w:rsidRPr="00A50B68">
        <w:rPr>
          <w:sz w:val="20"/>
        </w:rPr>
        <w:t xml:space="preserve">Si l'on suppose que l'antenne de télémesure peut être pointée en un point quelconque de son hémisphère de visibilité, la probabilité cumulative, </w:t>
      </w:r>
      <w:r w:rsidRPr="00A50B68">
        <w:rPr>
          <w:i/>
          <w:iCs/>
          <w:sz w:val="20"/>
        </w:rPr>
        <w:t>P</w:t>
      </w:r>
      <w:r w:rsidRPr="00A50B68">
        <w:rPr>
          <w:position w:val="-4"/>
          <w:sz w:val="20"/>
        </w:rPr>
        <w:t>2</w:t>
      </w:r>
      <w:r w:rsidRPr="00A50B68">
        <w:rPr>
          <w:sz w:val="20"/>
        </w:rPr>
        <w:t xml:space="preserve">, qu'un satellite géostationnaire, vu depuis la station réceptrice de télémesure, se situe dans un rayon de </w:t>
      </w:r>
      <w:r w:rsidRPr="00A50B68">
        <w:rPr>
          <w:rFonts w:ascii="Symbol" w:hAnsi="Symbol"/>
          <w:sz w:val="20"/>
        </w:rPr>
        <w:t></w:t>
      </w:r>
      <w:r w:rsidRPr="00A50B68">
        <w:rPr>
          <w:sz w:val="20"/>
        </w:rPr>
        <w:t xml:space="preserve"> est la suivante:</w:t>
      </w:r>
    </w:p>
    <w:p w:rsidR="000B43F9" w:rsidRPr="000B43F9" w:rsidRDefault="000B43F9" w:rsidP="000B43F9">
      <w:pPr>
        <w:pStyle w:val="Equation"/>
        <w:tabs>
          <w:tab w:val="clear" w:pos="794"/>
          <w:tab w:val="clear" w:pos="4820"/>
          <w:tab w:val="left" w:pos="2268"/>
          <w:tab w:val="center" w:pos="5245"/>
          <w:tab w:val="left" w:pos="5954"/>
          <w:tab w:val="left" w:pos="6804"/>
        </w:tabs>
        <w:rPr>
          <w:sz w:val="22"/>
          <w:szCs w:val="22"/>
          <w:lang w:val="fr-CH"/>
        </w:rPr>
      </w:pPr>
      <w:r w:rsidRPr="00FB1374">
        <w:rPr>
          <w:sz w:val="22"/>
          <w:szCs w:val="22"/>
          <w:lang w:val="fr-CH"/>
        </w:rPr>
        <w:tab/>
      </w:r>
      <w:r w:rsidRPr="000B43F9">
        <w:rPr>
          <w:i/>
          <w:iCs/>
          <w:sz w:val="22"/>
          <w:szCs w:val="22"/>
          <w:lang w:val="fr-CH"/>
        </w:rPr>
        <w:t>P</w:t>
      </w:r>
      <w:r w:rsidRPr="000B43F9">
        <w:rPr>
          <w:position w:val="-4"/>
          <w:sz w:val="22"/>
          <w:szCs w:val="22"/>
          <w:lang w:val="fr-CH"/>
        </w:rPr>
        <w:t>2</w:t>
      </w:r>
      <w:r w:rsidRPr="000B43F9">
        <w:rPr>
          <w:sz w:val="22"/>
          <w:szCs w:val="22"/>
          <w:lang w:val="fr-CH"/>
        </w:rPr>
        <w:t xml:space="preserve">  </w:t>
      </w:r>
      <w:r w:rsidRPr="000B43F9">
        <w:rPr>
          <w:rFonts w:ascii="Symbol" w:hAnsi="Symbol"/>
          <w:sz w:val="22"/>
          <w:szCs w:val="22"/>
        </w:rPr>
        <w:t></w:t>
      </w:r>
      <w:r w:rsidRPr="000B43F9">
        <w:rPr>
          <w:sz w:val="22"/>
          <w:szCs w:val="22"/>
          <w:lang w:val="fr-CH"/>
        </w:rPr>
        <w:t xml:space="preserve">  (1  –  cos </w:t>
      </w:r>
      <w:r w:rsidRPr="000B43F9">
        <w:rPr>
          <w:rFonts w:ascii="Symbol" w:hAnsi="Symbol"/>
          <w:sz w:val="22"/>
          <w:szCs w:val="22"/>
        </w:rPr>
        <w:t></w:t>
      </w:r>
      <w:r w:rsidRPr="000B43F9">
        <w:rPr>
          <w:sz w:val="22"/>
          <w:szCs w:val="22"/>
          <w:lang w:val="fr-CH"/>
        </w:rPr>
        <w:t>)</w:t>
      </w:r>
      <w:r w:rsidRPr="000B43F9">
        <w:rPr>
          <w:sz w:val="22"/>
          <w:szCs w:val="22"/>
          <w:lang w:val="fr-CH"/>
        </w:rPr>
        <w:tab/>
        <w:t>for</w:t>
      </w:r>
      <w:r w:rsidRPr="000B43F9">
        <w:rPr>
          <w:sz w:val="22"/>
          <w:szCs w:val="22"/>
          <w:lang w:val="fr-CH"/>
        </w:rPr>
        <w:tab/>
        <w:t xml:space="preserve">0  </w:t>
      </w:r>
      <w:r w:rsidRPr="000B43F9">
        <w:rPr>
          <w:rFonts w:ascii="Symbol" w:hAnsi="Symbol"/>
          <w:sz w:val="22"/>
          <w:szCs w:val="22"/>
        </w:rPr>
        <w:t></w:t>
      </w:r>
      <w:r w:rsidRPr="000B43F9">
        <w:rPr>
          <w:sz w:val="22"/>
          <w:szCs w:val="22"/>
          <w:lang w:val="fr-CH"/>
        </w:rPr>
        <w:t xml:space="preserve">  </w:t>
      </w:r>
      <w:r w:rsidRPr="000B43F9">
        <w:rPr>
          <w:rFonts w:ascii="Symbol" w:hAnsi="Symbol"/>
          <w:sz w:val="22"/>
          <w:szCs w:val="22"/>
        </w:rPr>
        <w:t></w:t>
      </w:r>
      <w:r w:rsidRPr="000B43F9">
        <w:rPr>
          <w:sz w:val="22"/>
          <w:szCs w:val="22"/>
          <w:lang w:val="fr-CH"/>
        </w:rPr>
        <w:t xml:space="preserve">  </w:t>
      </w:r>
      <w:r w:rsidRPr="000B43F9">
        <w:rPr>
          <w:rFonts w:ascii="Symbol" w:hAnsi="Symbol"/>
          <w:sz w:val="22"/>
          <w:szCs w:val="22"/>
        </w:rPr>
        <w:t></w:t>
      </w:r>
      <w:r w:rsidRPr="000B43F9">
        <w:rPr>
          <w:sz w:val="22"/>
          <w:szCs w:val="22"/>
          <w:lang w:val="fr-CH"/>
        </w:rPr>
        <w:t xml:space="preserve">  </w:t>
      </w:r>
      <w:r w:rsidRPr="000B43F9">
        <w:rPr>
          <w:rFonts w:ascii="Symbol" w:hAnsi="Symbol"/>
          <w:sz w:val="22"/>
          <w:szCs w:val="22"/>
        </w:rPr>
        <w:t></w:t>
      </w:r>
      <w:r w:rsidRPr="000B43F9">
        <w:rPr>
          <w:sz w:val="22"/>
          <w:szCs w:val="22"/>
          <w:lang w:val="fr-CH"/>
        </w:rPr>
        <w:t>/2</w:t>
      </w:r>
      <w:r w:rsidRPr="000B43F9">
        <w:rPr>
          <w:sz w:val="22"/>
          <w:szCs w:val="22"/>
          <w:lang w:val="fr-CH"/>
        </w:rPr>
        <w:tab/>
        <w:t>(3)</w:t>
      </w:r>
    </w:p>
    <w:p w:rsidR="006F415D" w:rsidRPr="00A50B68" w:rsidRDefault="006F415D" w:rsidP="006F415D">
      <w:pPr>
        <w:rPr>
          <w:sz w:val="20"/>
        </w:rPr>
      </w:pPr>
      <w:r w:rsidRPr="00A50B68">
        <w:rPr>
          <w:sz w:val="20"/>
        </w:rPr>
        <w:t xml:space="preserve">L'angle </w:t>
      </w:r>
      <w:r w:rsidRPr="00A50B68">
        <w:rPr>
          <w:rFonts w:ascii="Symbol" w:hAnsi="Symbol"/>
          <w:sz w:val="20"/>
        </w:rPr>
        <w:t></w:t>
      </w:r>
      <w:r w:rsidRPr="00A50B68">
        <w:rPr>
          <w:sz w:val="20"/>
        </w:rPr>
        <w:t xml:space="preserve"> dans l'équation (1) est le même que celui dans l'équation (3). Ainsi, en combinant les équations (1) et (3), on peut établir des relations fonctionnelles de la probabilité (intervalle de temps) que le gain de l'antenne réceptrice de télémesure, </w:t>
      </w:r>
      <w:r w:rsidRPr="00A50B68">
        <w:rPr>
          <w:i/>
          <w:iCs/>
          <w:sz w:val="20"/>
        </w:rPr>
        <w:t>G</w:t>
      </w:r>
      <w:r w:rsidRPr="00A50B68">
        <w:rPr>
          <w:sz w:val="20"/>
        </w:rPr>
        <w:t xml:space="preserve">, en direction du satellite soit égal ou supérieur à une valeur donnée, </w:t>
      </w:r>
      <w:r w:rsidRPr="00A50B68">
        <w:rPr>
          <w:i/>
          <w:iCs/>
          <w:sz w:val="20"/>
        </w:rPr>
        <w:t>G</w:t>
      </w:r>
      <w:r w:rsidRPr="00A50B68">
        <w:rPr>
          <w:position w:val="-4"/>
          <w:sz w:val="20"/>
        </w:rPr>
        <w:t>2</w:t>
      </w:r>
      <w:r w:rsidRPr="00A50B68">
        <w:rPr>
          <w:sz w:val="20"/>
        </w:rPr>
        <w:t>, comme indiqué dans la Fig. 3.</w:t>
      </w:r>
    </w:p>
    <w:p w:rsidR="006F415D" w:rsidRPr="00A50B68" w:rsidRDefault="006F415D" w:rsidP="006F415D">
      <w:pPr>
        <w:rPr>
          <w:sz w:val="20"/>
        </w:rPr>
      </w:pPr>
      <w:r w:rsidRPr="00A50B68">
        <w:rPr>
          <w:sz w:val="20"/>
        </w:rPr>
        <w:t xml:space="preserve">Le rapport </w:t>
      </w:r>
      <w:r w:rsidRPr="00A50B68">
        <w:rPr>
          <w:i/>
          <w:iCs/>
          <w:sz w:val="20"/>
        </w:rPr>
        <w:t>I</w:t>
      </w:r>
      <w:r w:rsidRPr="00A50B68">
        <w:rPr>
          <w:sz w:val="20"/>
        </w:rPr>
        <w:t>/</w:t>
      </w:r>
      <w:r w:rsidRPr="00A50B68">
        <w:rPr>
          <w:i/>
          <w:iCs/>
          <w:sz w:val="20"/>
        </w:rPr>
        <w:t>N</w:t>
      </w:r>
      <w:r w:rsidRPr="00A50B68">
        <w:rPr>
          <w:sz w:val="20"/>
        </w:rPr>
        <w:t xml:space="preserve"> reçu et la puissance brouilleuse, </w:t>
      </w:r>
      <w:r w:rsidRPr="00A50B68">
        <w:rPr>
          <w:i/>
          <w:iCs/>
          <w:sz w:val="20"/>
        </w:rPr>
        <w:t>I</w:t>
      </w:r>
      <w:r w:rsidRPr="00A50B68">
        <w:rPr>
          <w:sz w:val="20"/>
        </w:rPr>
        <w:t>, sont proportionnels aux fonctions données dans la Fig. 3.</w:t>
      </w:r>
    </w:p>
    <w:p w:rsidR="006F415D" w:rsidRDefault="006F415D" w:rsidP="006F415D">
      <w:pPr>
        <w:rPr>
          <w:sz w:val="20"/>
        </w:rPr>
      </w:pPr>
      <w:r w:rsidRPr="00A50B68">
        <w:rPr>
          <w:sz w:val="20"/>
        </w:rPr>
        <w:t>Dans le cas d'un satellite géostationnaire, l'angle d'incidence du brouillage au niveau d'une station réceptrice de télémesure est fixe. Les variations de pointage de l'antenne réceptrice de télémesure sont le seul élément aléatoire. Les essais d'aéronefs s'effectuent souvent au</w:t>
      </w:r>
      <w:r w:rsidRPr="00A50B68">
        <w:rPr>
          <w:sz w:val="20"/>
        </w:rPr>
        <w:noBreakHyphen/>
        <w:t>dessus de l'eau ou dans des lieux inhabités pour éviter de mettre en danger la vie d'êtres humains ou des biens en cas de catastrophe avec l'aéronef soumis à l'essai, ce qui limite les angles d'azimut pour ces essais. Il y a aussi des limitations minimales aux variations de l'angle de pointage en azimut et en élévation de l'antenne de réception de télémesure qui découlent du volume spatial minimum (voir le § 2.1).</w:t>
      </w:r>
    </w:p>
    <w:p w:rsidR="00A50B68" w:rsidRPr="00A50B68" w:rsidRDefault="00A50B68" w:rsidP="006F415D">
      <w:pPr>
        <w:rPr>
          <w:sz w:val="20"/>
        </w:rPr>
      </w:pPr>
    </w:p>
    <w:p w:rsidR="006F415D" w:rsidRDefault="006F415D" w:rsidP="006F415D">
      <w:pPr>
        <w:pStyle w:val="Fig0"/>
        <w:spacing w:before="0"/>
        <w:rPr>
          <w:sz w:val="8"/>
          <w:lang w:val="fr-FR"/>
        </w:rPr>
      </w:pPr>
      <w:r>
        <w:rPr>
          <w:sz w:val="8"/>
          <w:lang w:val="fr-FR"/>
        </w:rPr>
        <w:t>FIGURE 3 1459-3</w:t>
      </w:r>
    </w:p>
    <w:p w:rsidR="006F415D" w:rsidRDefault="006F415D" w:rsidP="00A50B68">
      <w:pPr>
        <w:pStyle w:val="Figure"/>
      </w:pPr>
      <w:r w:rsidRPr="00A50B68">
        <w:rPr>
          <w:noProof/>
          <w:lang w:val="en-US" w:eastAsia="zh-CN"/>
        </w:rPr>
        <w:drawing>
          <wp:inline distT="0" distB="0" distL="0" distR="0" wp14:anchorId="4ABED73B" wp14:editId="1653C382">
            <wp:extent cx="5910580" cy="4535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0580" cy="4535170"/>
                    </a:xfrm>
                    <a:prstGeom prst="rect">
                      <a:avLst/>
                    </a:prstGeom>
                    <a:noFill/>
                    <a:ln>
                      <a:noFill/>
                    </a:ln>
                  </pic:spPr>
                </pic:pic>
              </a:graphicData>
            </a:graphic>
          </wp:inline>
        </w:drawing>
      </w:r>
    </w:p>
    <w:p w:rsidR="006F415D" w:rsidRPr="00A50B68" w:rsidRDefault="006F415D" w:rsidP="006F415D">
      <w:pPr>
        <w:pStyle w:val="Heading3"/>
        <w:rPr>
          <w:i/>
          <w:iCs/>
          <w:sz w:val="20"/>
        </w:rPr>
      </w:pPr>
      <w:r w:rsidRPr="00A50B68">
        <w:rPr>
          <w:sz w:val="20"/>
        </w:rPr>
        <w:t>2.2.2</w:t>
      </w:r>
      <w:r w:rsidRPr="00A50B68">
        <w:rPr>
          <w:sz w:val="20"/>
        </w:rPr>
        <w:tab/>
        <w:t xml:space="preserve">Analyse du rapport </w:t>
      </w:r>
      <w:r w:rsidRPr="00A50B68">
        <w:rPr>
          <w:i/>
          <w:iCs/>
          <w:sz w:val="20"/>
        </w:rPr>
        <w:t>C</w:t>
      </w:r>
      <w:r w:rsidRPr="00A50B68">
        <w:rPr>
          <w:sz w:val="20"/>
        </w:rPr>
        <w:t>/</w:t>
      </w:r>
      <w:r w:rsidRPr="00A50B68">
        <w:rPr>
          <w:i/>
          <w:iCs/>
          <w:sz w:val="20"/>
        </w:rPr>
        <w:t>I</w:t>
      </w:r>
    </w:p>
    <w:p w:rsidR="006F415D" w:rsidRPr="00A50B68" w:rsidRDefault="006F415D" w:rsidP="006F415D">
      <w:pPr>
        <w:rPr>
          <w:sz w:val="20"/>
        </w:rPr>
      </w:pPr>
      <w:r w:rsidRPr="00A50B68">
        <w:rPr>
          <w:sz w:val="20"/>
        </w:rPr>
        <w:t xml:space="preserve">Etant donné que l'équation (2) est proportionnelle à </w:t>
      </w:r>
      <w:r w:rsidRPr="00A50B68">
        <w:rPr>
          <w:i/>
          <w:iCs/>
          <w:sz w:val="20"/>
        </w:rPr>
        <w:t>C</w:t>
      </w:r>
      <w:r w:rsidRPr="00A50B68">
        <w:rPr>
          <w:sz w:val="20"/>
        </w:rPr>
        <w:t xml:space="preserve"> et que les fonctions de la Fig. 3 sont proportionnelles à </w:t>
      </w:r>
      <w:r w:rsidRPr="00A50B68">
        <w:rPr>
          <w:i/>
          <w:iCs/>
          <w:sz w:val="20"/>
        </w:rPr>
        <w:t>I</w:t>
      </w:r>
      <w:r w:rsidRPr="00A50B68">
        <w:rPr>
          <w:sz w:val="20"/>
        </w:rPr>
        <w:t xml:space="preserve">, il est possible de déterminer la probabilité de </w:t>
      </w:r>
      <w:r w:rsidRPr="00A50B68">
        <w:rPr>
          <w:i/>
          <w:iCs/>
          <w:sz w:val="20"/>
        </w:rPr>
        <w:t>C</w:t>
      </w:r>
      <w:r w:rsidRPr="00A50B68">
        <w:rPr>
          <w:sz w:val="20"/>
        </w:rPr>
        <w:t>/</w:t>
      </w:r>
      <w:r w:rsidRPr="00A50B68">
        <w:rPr>
          <w:i/>
          <w:iCs/>
          <w:sz w:val="20"/>
        </w:rPr>
        <w:t>I</w:t>
      </w:r>
      <w:r w:rsidRPr="00A50B68">
        <w:rPr>
          <w:sz w:val="20"/>
        </w:rPr>
        <w:t>, laquelle est proportionnelle à:</w:t>
      </w:r>
    </w:p>
    <w:p w:rsidR="006F415D" w:rsidRPr="00A50B68" w:rsidRDefault="006F415D" w:rsidP="006F415D">
      <w:pPr>
        <w:pStyle w:val="Equation"/>
        <w:rPr>
          <w:sz w:val="22"/>
          <w:szCs w:val="22"/>
        </w:rPr>
      </w:pPr>
      <w:r w:rsidRPr="00A50B68">
        <w:rPr>
          <w:sz w:val="22"/>
          <w:szCs w:val="22"/>
        </w:rPr>
        <w:tab/>
      </w:r>
      <w:r w:rsidRPr="00A50B68">
        <w:rPr>
          <w:sz w:val="22"/>
          <w:szCs w:val="22"/>
        </w:rPr>
        <w:tab/>
      </w:r>
      <w:r w:rsidRPr="00A50B68">
        <w:rPr>
          <w:position w:val="-10"/>
          <w:sz w:val="22"/>
          <w:szCs w:val="22"/>
        </w:rPr>
        <w:object w:dxaOrig="4880" w:dyaOrig="320">
          <v:shape id="_x0000_i1031" type="#_x0000_t75" style="width:244.1pt;height:16.15pt" o:ole="">
            <v:imagedata r:id="rId30" o:title=""/>
          </v:shape>
          <o:OLEObject Type="Embed" ProgID="Equation.3" ShapeID="_x0000_i1031" DrawAspect="Content" ObjectID="_1369136227" r:id="rId31"/>
        </w:object>
      </w:r>
      <w:r w:rsidRPr="00A50B68">
        <w:rPr>
          <w:sz w:val="22"/>
          <w:szCs w:val="22"/>
        </w:rPr>
        <w:tab/>
        <w:t>(4)</w:t>
      </w:r>
    </w:p>
    <w:p w:rsidR="006F415D" w:rsidRPr="00A50B68" w:rsidRDefault="006F415D" w:rsidP="006F415D">
      <w:pPr>
        <w:rPr>
          <w:sz w:val="20"/>
        </w:rPr>
      </w:pPr>
      <w:r w:rsidRPr="00A50B68">
        <w:rPr>
          <w:sz w:val="20"/>
        </w:rPr>
        <w:t>où (</w:t>
      </w:r>
      <w:r w:rsidRPr="00A50B68">
        <w:rPr>
          <w:i/>
          <w:iCs/>
          <w:sz w:val="20"/>
        </w:rPr>
        <w:t>C</w:t>
      </w:r>
      <w:r w:rsidRPr="00A50B68">
        <w:rPr>
          <w:sz w:val="20"/>
        </w:rPr>
        <w:t>/</w:t>
      </w:r>
      <w:r w:rsidRPr="00A50B68">
        <w:rPr>
          <w:i/>
          <w:iCs/>
          <w:sz w:val="20"/>
        </w:rPr>
        <w:t>I</w:t>
      </w:r>
      <w:r w:rsidRPr="00A50B68">
        <w:rPr>
          <w:sz w:val="20"/>
        </w:rPr>
        <w:t>)</w:t>
      </w:r>
      <w:r w:rsidRPr="00A50B68">
        <w:rPr>
          <w:i/>
          <w:iCs/>
          <w:position w:val="-4"/>
          <w:sz w:val="20"/>
        </w:rPr>
        <w:t>c</w:t>
      </w:r>
      <w:r w:rsidRPr="00A50B68">
        <w:rPr>
          <w:sz w:val="20"/>
        </w:rPr>
        <w:t xml:space="preserve"> est une valeur choisie.</w:t>
      </w:r>
    </w:p>
    <w:p w:rsidR="006F415D" w:rsidRPr="00A50B68" w:rsidRDefault="006F415D" w:rsidP="006F415D">
      <w:pPr>
        <w:rPr>
          <w:sz w:val="20"/>
        </w:rPr>
      </w:pPr>
      <w:r w:rsidRPr="00A50B68">
        <w:rPr>
          <w:sz w:val="20"/>
        </w:rPr>
        <w:lastRenderedPageBreak/>
        <w:t xml:space="preserve">Les crochets indiquent la fonction de probabilité cumulative commune. Les fonctions </w:t>
      </w:r>
      <w:r w:rsidRPr="00A50B68">
        <w:rPr>
          <w:i/>
          <w:iCs/>
          <w:sz w:val="20"/>
        </w:rPr>
        <w:t>C</w:t>
      </w:r>
      <w:r w:rsidRPr="00A50B68">
        <w:rPr>
          <w:sz w:val="20"/>
        </w:rPr>
        <w:t xml:space="preserve"> et </w:t>
      </w:r>
      <w:r w:rsidRPr="00A50B68">
        <w:rPr>
          <w:i/>
          <w:iCs/>
          <w:sz w:val="20"/>
        </w:rPr>
        <w:t>I</w:t>
      </w:r>
      <w:r w:rsidRPr="00A50B68">
        <w:rPr>
          <w:sz w:val="20"/>
        </w:rPr>
        <w:t xml:space="preserve"> sont indépendantes puisqu'elles résultent de sources indépendantes. Les intégrations indiquées ont été effectuées pour diverses gammes limitées de valeurs de </w:t>
      </w:r>
      <w:r w:rsidRPr="00A50B68">
        <w:rPr>
          <w:i/>
          <w:iCs/>
          <w:sz w:val="20"/>
        </w:rPr>
        <w:t>P</w:t>
      </w:r>
      <w:r w:rsidRPr="00A50B68">
        <w:rPr>
          <w:position w:val="-4"/>
          <w:sz w:val="20"/>
        </w:rPr>
        <w:t>2</w:t>
      </w:r>
      <w:r w:rsidRPr="00A50B68">
        <w:rPr>
          <w:sz w:val="20"/>
        </w:rPr>
        <w:t xml:space="preserve"> qui correspond à des zones volumiques limitées en stéradians, </w:t>
      </w:r>
      <w:r w:rsidRPr="00A50B68">
        <w:rPr>
          <w:i/>
          <w:iCs/>
          <w:sz w:val="20"/>
        </w:rPr>
        <w:t>S</w:t>
      </w:r>
      <w:r w:rsidRPr="00A50B68">
        <w:rPr>
          <w:sz w:val="20"/>
        </w:rPr>
        <w:t>, où le satellite se situe dans les limites du volume spatial minimum défini dans le § 2.1. Ces intégrations s'expriment comme suit:</w:t>
      </w:r>
    </w:p>
    <w:p w:rsidR="006F415D" w:rsidRPr="00A50B68" w:rsidRDefault="006F415D" w:rsidP="006F415D">
      <w:pPr>
        <w:pStyle w:val="Equation"/>
        <w:spacing w:before="100"/>
        <w:rPr>
          <w:sz w:val="22"/>
          <w:szCs w:val="22"/>
        </w:rPr>
      </w:pPr>
      <w:r w:rsidRPr="00A50B68">
        <w:rPr>
          <w:sz w:val="22"/>
          <w:szCs w:val="22"/>
        </w:rPr>
        <w:tab/>
      </w:r>
      <w:r w:rsidRPr="00A50B68">
        <w:rPr>
          <w:sz w:val="22"/>
          <w:szCs w:val="22"/>
        </w:rPr>
        <w:tab/>
      </w:r>
      <w:r w:rsidRPr="00A50B68">
        <w:rPr>
          <w:position w:val="-10"/>
          <w:sz w:val="22"/>
          <w:szCs w:val="22"/>
        </w:rPr>
        <w:object w:dxaOrig="4800" w:dyaOrig="320">
          <v:shape id="_x0000_i1032" type="#_x0000_t75" style="width:239.5pt;height:16.15pt" o:ole="">
            <v:imagedata r:id="rId32" o:title=""/>
          </v:shape>
          <o:OLEObject Type="Embed" ProgID="Equation.3" ShapeID="_x0000_i1032" DrawAspect="Content" ObjectID="_1369136228" r:id="rId33"/>
        </w:object>
      </w:r>
      <w:r w:rsidRPr="00A50B68">
        <w:rPr>
          <w:sz w:val="22"/>
          <w:szCs w:val="22"/>
        </w:rPr>
        <w:tab/>
        <w:t>(5)</w:t>
      </w:r>
    </w:p>
    <w:p w:rsidR="006F415D" w:rsidRPr="00A50B68" w:rsidRDefault="006F415D" w:rsidP="006F415D">
      <w:pPr>
        <w:rPr>
          <w:sz w:val="20"/>
        </w:rPr>
      </w:pPr>
      <w:r w:rsidRPr="00A50B68">
        <w:rPr>
          <w:sz w:val="20"/>
        </w:rPr>
        <w:t>Le rapport (</w:t>
      </w:r>
      <w:r w:rsidRPr="00A50B68">
        <w:rPr>
          <w:i/>
          <w:iCs/>
          <w:sz w:val="20"/>
        </w:rPr>
        <w:t>C</w:t>
      </w:r>
      <w:r w:rsidRPr="00A50B68">
        <w:rPr>
          <w:sz w:val="20"/>
        </w:rPr>
        <w:t>/</w:t>
      </w:r>
      <w:r w:rsidRPr="00A50B68">
        <w:rPr>
          <w:i/>
          <w:iCs/>
          <w:sz w:val="20"/>
        </w:rPr>
        <w:t>I</w:t>
      </w:r>
      <w:r w:rsidRPr="00A50B68">
        <w:rPr>
          <w:sz w:val="20"/>
        </w:rPr>
        <w:t>) dans l'équation (4) s'exprime normalement relativement au rapport (</w:t>
      </w:r>
      <w:r w:rsidRPr="00A50B68">
        <w:rPr>
          <w:i/>
          <w:iCs/>
          <w:sz w:val="20"/>
        </w:rPr>
        <w:t>C</w:t>
      </w:r>
      <w:r w:rsidRPr="00A50B68">
        <w:rPr>
          <w:sz w:val="20"/>
        </w:rPr>
        <w:t>/</w:t>
      </w:r>
      <w:r w:rsidRPr="00A50B68">
        <w:rPr>
          <w:i/>
          <w:iCs/>
          <w:sz w:val="20"/>
        </w:rPr>
        <w:t>N</w:t>
      </w:r>
      <w:r w:rsidRPr="00A50B68">
        <w:rPr>
          <w:sz w:val="20"/>
        </w:rPr>
        <w:t>); puisque la perte de disponibilité est la principale préoccupation, il s'exprime relativement au seuil (</w:t>
      </w:r>
      <w:r w:rsidRPr="00A50B68">
        <w:rPr>
          <w:i/>
          <w:iCs/>
          <w:sz w:val="20"/>
        </w:rPr>
        <w:t>C</w:t>
      </w:r>
      <w:r w:rsidRPr="00A50B68">
        <w:rPr>
          <w:sz w:val="20"/>
        </w:rPr>
        <w:t>/</w:t>
      </w:r>
      <w:r w:rsidRPr="00A50B68">
        <w:rPr>
          <w:i/>
          <w:iCs/>
          <w:sz w:val="20"/>
        </w:rPr>
        <w:t>N</w:t>
      </w:r>
      <w:r w:rsidRPr="00A50B68">
        <w:rPr>
          <w:sz w:val="20"/>
        </w:rPr>
        <w:t>)</w:t>
      </w:r>
      <w:r w:rsidRPr="00A50B68">
        <w:rPr>
          <w:i/>
          <w:iCs/>
          <w:position w:val="-4"/>
          <w:sz w:val="20"/>
        </w:rPr>
        <w:t>T</w:t>
      </w:r>
      <w:r w:rsidRPr="00A50B68">
        <w:rPr>
          <w:sz w:val="20"/>
        </w:rPr>
        <w:t xml:space="preserve"> comme suit:</w:t>
      </w:r>
    </w:p>
    <w:p w:rsidR="006F415D" w:rsidRPr="00A50B68" w:rsidRDefault="006F415D" w:rsidP="006F415D">
      <w:pPr>
        <w:pStyle w:val="Equation"/>
        <w:rPr>
          <w:sz w:val="22"/>
          <w:szCs w:val="22"/>
        </w:rPr>
      </w:pPr>
      <w:r w:rsidRPr="00A50B68">
        <w:rPr>
          <w:sz w:val="22"/>
          <w:szCs w:val="22"/>
        </w:rPr>
        <w:tab/>
      </w:r>
      <w:r w:rsidRPr="00A50B68">
        <w:rPr>
          <w:sz w:val="22"/>
          <w:szCs w:val="22"/>
        </w:rPr>
        <w:tab/>
        <w:t>(</w:t>
      </w:r>
      <w:r w:rsidRPr="00A50B68">
        <w:rPr>
          <w:i/>
          <w:iCs/>
          <w:sz w:val="22"/>
          <w:szCs w:val="22"/>
        </w:rPr>
        <w:t>C</w:t>
      </w:r>
      <w:r w:rsidRPr="00A50B68">
        <w:rPr>
          <w:sz w:val="22"/>
          <w:szCs w:val="22"/>
        </w:rPr>
        <w:t>/</w:t>
      </w:r>
      <w:r w:rsidRPr="00A50B68">
        <w:rPr>
          <w:i/>
          <w:iCs/>
          <w:sz w:val="22"/>
          <w:szCs w:val="22"/>
        </w:rPr>
        <w:t>I</w:t>
      </w:r>
      <w:r w:rsidRPr="00A50B68">
        <w:rPr>
          <w:sz w:val="22"/>
          <w:szCs w:val="22"/>
        </w:rPr>
        <w:t xml:space="preserve">)  </w:t>
      </w:r>
      <w:r w:rsidRPr="00A50B68">
        <w:rPr>
          <w:rFonts w:ascii="Symbol" w:hAnsi="Symbol"/>
          <w:sz w:val="22"/>
          <w:szCs w:val="22"/>
        </w:rPr>
        <w:t></w:t>
      </w:r>
      <w:r w:rsidRPr="00A50B68">
        <w:rPr>
          <w:sz w:val="22"/>
          <w:szCs w:val="22"/>
        </w:rPr>
        <w:t xml:space="preserve">  (</w:t>
      </w:r>
      <w:r w:rsidRPr="00A50B68">
        <w:rPr>
          <w:i/>
          <w:iCs/>
          <w:sz w:val="22"/>
          <w:szCs w:val="22"/>
        </w:rPr>
        <w:t>C</w:t>
      </w:r>
      <w:r w:rsidRPr="00A50B68">
        <w:rPr>
          <w:sz w:val="22"/>
          <w:szCs w:val="22"/>
        </w:rPr>
        <w:t>/</w:t>
      </w:r>
      <w:r w:rsidRPr="00A50B68">
        <w:rPr>
          <w:i/>
          <w:iCs/>
          <w:sz w:val="22"/>
          <w:szCs w:val="22"/>
        </w:rPr>
        <w:t>N</w:t>
      </w:r>
      <w:r w:rsidRPr="00A50B68">
        <w:rPr>
          <w:sz w:val="22"/>
          <w:szCs w:val="22"/>
        </w:rPr>
        <w:t>)</w:t>
      </w:r>
      <w:r w:rsidRPr="00A50B68">
        <w:rPr>
          <w:i/>
          <w:iCs/>
          <w:position w:val="-4"/>
          <w:sz w:val="22"/>
          <w:szCs w:val="22"/>
        </w:rPr>
        <w:t>T</w:t>
      </w:r>
      <w:r w:rsidRPr="00A50B68">
        <w:rPr>
          <w:sz w:val="22"/>
          <w:szCs w:val="22"/>
        </w:rPr>
        <w:t xml:space="preserve"> (</w:t>
      </w:r>
      <w:r w:rsidRPr="00A50B68">
        <w:rPr>
          <w:i/>
          <w:iCs/>
          <w:sz w:val="22"/>
          <w:szCs w:val="22"/>
        </w:rPr>
        <w:t>P</w:t>
      </w:r>
      <w:r w:rsidRPr="00A50B68">
        <w:rPr>
          <w:position w:val="-4"/>
          <w:sz w:val="22"/>
          <w:szCs w:val="22"/>
        </w:rPr>
        <w:t>4</w:t>
      </w:r>
      <w:r w:rsidRPr="00A50B68">
        <w:rPr>
          <w:rFonts w:ascii="Tms Rmn" w:hAnsi="Tms Rmn"/>
          <w:sz w:val="22"/>
          <w:szCs w:val="22"/>
        </w:rPr>
        <w:t> </w:t>
      </w:r>
      <w:r w:rsidRPr="00A50B68">
        <w:rPr>
          <w:sz w:val="22"/>
          <w:szCs w:val="22"/>
        </w:rPr>
        <w:t>/</w:t>
      </w:r>
      <w:r w:rsidRPr="00A50B68">
        <w:rPr>
          <w:i/>
          <w:iCs/>
          <w:sz w:val="22"/>
          <w:szCs w:val="22"/>
        </w:rPr>
        <w:t>P</w:t>
      </w:r>
      <w:r w:rsidRPr="00A50B68">
        <w:rPr>
          <w:position w:val="-4"/>
          <w:sz w:val="22"/>
          <w:szCs w:val="22"/>
        </w:rPr>
        <w:t>3</w:t>
      </w:r>
      <w:r w:rsidRPr="00A50B68">
        <w:rPr>
          <w:sz w:val="22"/>
          <w:szCs w:val="22"/>
        </w:rPr>
        <w:t>)</w:t>
      </w:r>
      <w:r w:rsidRPr="00A50B68">
        <w:rPr>
          <w:sz w:val="22"/>
          <w:szCs w:val="22"/>
        </w:rPr>
        <w:tab/>
        <w:t>(6)</w:t>
      </w:r>
    </w:p>
    <w:p w:rsidR="006F415D" w:rsidRPr="00A50B68" w:rsidRDefault="006F415D" w:rsidP="006F415D">
      <w:pPr>
        <w:rPr>
          <w:sz w:val="20"/>
        </w:rPr>
      </w:pPr>
      <w:r w:rsidRPr="00A50B68">
        <w:rPr>
          <w:sz w:val="20"/>
        </w:rPr>
        <w:t>où:</w:t>
      </w:r>
    </w:p>
    <w:p w:rsidR="006F415D" w:rsidRPr="00A50B68" w:rsidRDefault="006F415D" w:rsidP="006F415D">
      <w:pPr>
        <w:pStyle w:val="enumlev1"/>
        <w:tabs>
          <w:tab w:val="left" w:pos="851"/>
        </w:tabs>
        <w:ind w:left="851" w:hanging="851"/>
        <w:rPr>
          <w:sz w:val="20"/>
        </w:rPr>
      </w:pPr>
      <w:r w:rsidRPr="00A50B68">
        <w:rPr>
          <w:i/>
          <w:iCs/>
          <w:sz w:val="20"/>
        </w:rPr>
        <w:tab/>
        <w:t>P</w:t>
      </w:r>
      <w:r w:rsidRPr="00A50B68">
        <w:rPr>
          <w:position w:val="-4"/>
          <w:sz w:val="20"/>
        </w:rPr>
        <w:t>4</w:t>
      </w:r>
      <w:r w:rsidRPr="00A50B68">
        <w:rPr>
          <w:rFonts w:ascii="Tms Rmn" w:hAnsi="Tms Rmn"/>
          <w:position w:val="-4"/>
          <w:sz w:val="20"/>
        </w:rPr>
        <w:t> </w:t>
      </w:r>
      <w:r w:rsidRPr="00A50B68">
        <w:rPr>
          <w:sz w:val="20"/>
        </w:rPr>
        <w:t>:</w:t>
      </w:r>
      <w:r w:rsidRPr="00A50B68">
        <w:rPr>
          <w:sz w:val="20"/>
        </w:rPr>
        <w:tab/>
        <w:t>probabilité associée à (</w:t>
      </w:r>
      <w:r w:rsidRPr="00A50B68">
        <w:rPr>
          <w:i/>
          <w:iCs/>
          <w:sz w:val="20"/>
        </w:rPr>
        <w:t>C</w:t>
      </w:r>
      <w:r w:rsidRPr="00A50B68">
        <w:rPr>
          <w:sz w:val="20"/>
        </w:rPr>
        <w:t>/</w:t>
      </w:r>
      <w:r w:rsidRPr="00A50B68">
        <w:rPr>
          <w:i/>
          <w:iCs/>
          <w:sz w:val="20"/>
        </w:rPr>
        <w:t>N</w:t>
      </w:r>
      <w:r w:rsidRPr="00A50B68">
        <w:rPr>
          <w:sz w:val="20"/>
        </w:rPr>
        <w:t>)</w:t>
      </w:r>
      <w:r w:rsidRPr="00A50B68">
        <w:rPr>
          <w:i/>
          <w:iCs/>
          <w:position w:val="-4"/>
          <w:sz w:val="20"/>
        </w:rPr>
        <w:t>T</w:t>
      </w:r>
      <w:r w:rsidRPr="00A50B68">
        <w:rPr>
          <w:sz w:val="20"/>
        </w:rPr>
        <w:t xml:space="preserve">, fixée égale à </w:t>
      </w:r>
      <w:r w:rsidRPr="00A50B68">
        <w:rPr>
          <w:i/>
          <w:iCs/>
          <w:sz w:val="20"/>
        </w:rPr>
        <w:t>P</w:t>
      </w:r>
      <w:r w:rsidRPr="00A50B68">
        <w:rPr>
          <w:sz w:val="20"/>
        </w:rPr>
        <w:t>(</w:t>
      </w:r>
      <w:r w:rsidRPr="00A50B68">
        <w:rPr>
          <w:rFonts w:ascii="Symbol" w:hAnsi="Symbol"/>
          <w:sz w:val="20"/>
        </w:rPr>
        <w:t></w:t>
      </w:r>
      <w:r w:rsidRPr="00A50B68">
        <w:rPr>
          <w:i/>
          <w:iCs/>
          <w:sz w:val="20"/>
        </w:rPr>
        <w:t>G</w:t>
      </w:r>
      <w:r w:rsidRPr="00A50B68">
        <w:rPr>
          <w:sz w:val="20"/>
        </w:rPr>
        <w:t>)</w:t>
      </w:r>
    </w:p>
    <w:p w:rsidR="006F415D" w:rsidRPr="00A50B68" w:rsidRDefault="006F415D" w:rsidP="006F415D">
      <w:pPr>
        <w:pStyle w:val="enumlev1"/>
        <w:tabs>
          <w:tab w:val="left" w:pos="851"/>
        </w:tabs>
        <w:ind w:left="851" w:hanging="851"/>
        <w:rPr>
          <w:sz w:val="20"/>
        </w:rPr>
      </w:pPr>
      <w:r w:rsidRPr="00A50B68">
        <w:rPr>
          <w:i/>
          <w:iCs/>
          <w:sz w:val="20"/>
        </w:rPr>
        <w:tab/>
        <w:t>P</w:t>
      </w:r>
      <w:r w:rsidRPr="00A50B68">
        <w:rPr>
          <w:position w:val="-4"/>
          <w:sz w:val="20"/>
        </w:rPr>
        <w:t>3</w:t>
      </w:r>
      <w:r w:rsidRPr="00A50B68">
        <w:rPr>
          <w:rFonts w:ascii="Tms Rmn" w:hAnsi="Tms Rmn"/>
          <w:position w:val="-4"/>
          <w:sz w:val="20"/>
        </w:rPr>
        <w:t> </w:t>
      </w:r>
      <w:r w:rsidRPr="00A50B68">
        <w:rPr>
          <w:sz w:val="20"/>
        </w:rPr>
        <w:t>:</w:t>
      </w:r>
      <w:r w:rsidRPr="00A50B68">
        <w:rPr>
          <w:sz w:val="20"/>
        </w:rPr>
        <w:tab/>
        <w:t>probabilité associée à (</w:t>
      </w:r>
      <w:r w:rsidRPr="00A50B68">
        <w:rPr>
          <w:i/>
          <w:iCs/>
          <w:sz w:val="20"/>
        </w:rPr>
        <w:t>C</w:t>
      </w:r>
      <w:r w:rsidRPr="00A50B68">
        <w:rPr>
          <w:sz w:val="20"/>
        </w:rPr>
        <w:t>/</w:t>
      </w:r>
      <w:r w:rsidRPr="00A50B68">
        <w:rPr>
          <w:i/>
          <w:iCs/>
          <w:sz w:val="20"/>
        </w:rPr>
        <w:t>I</w:t>
      </w:r>
      <w:r w:rsidRPr="00A50B68">
        <w:rPr>
          <w:sz w:val="20"/>
        </w:rPr>
        <w:t xml:space="preserve">). </w:t>
      </w:r>
    </w:p>
    <w:p w:rsidR="006F415D" w:rsidRPr="00A50B68" w:rsidRDefault="006F415D" w:rsidP="006F415D">
      <w:pPr>
        <w:rPr>
          <w:sz w:val="20"/>
        </w:rPr>
      </w:pPr>
      <w:r w:rsidRPr="00A50B68">
        <w:rPr>
          <w:sz w:val="20"/>
        </w:rPr>
        <w:t>Le rapport (</w:t>
      </w:r>
      <w:r w:rsidRPr="00A50B68">
        <w:rPr>
          <w:i/>
          <w:iCs/>
          <w:sz w:val="20"/>
        </w:rPr>
        <w:t>P</w:t>
      </w:r>
      <w:r w:rsidRPr="00A50B68">
        <w:rPr>
          <w:position w:val="-4"/>
          <w:sz w:val="20"/>
        </w:rPr>
        <w:t>4</w:t>
      </w:r>
      <w:r w:rsidRPr="00A50B68">
        <w:rPr>
          <w:sz w:val="20"/>
        </w:rPr>
        <w:t>/</w:t>
      </w:r>
      <w:r w:rsidRPr="00A50B68">
        <w:rPr>
          <w:i/>
          <w:iCs/>
          <w:sz w:val="20"/>
        </w:rPr>
        <w:t>P</w:t>
      </w:r>
      <w:r w:rsidRPr="00A50B68">
        <w:rPr>
          <w:position w:val="-4"/>
          <w:sz w:val="20"/>
        </w:rPr>
        <w:t>3</w:t>
      </w:r>
      <w:r w:rsidRPr="00A50B68">
        <w:rPr>
          <w:sz w:val="20"/>
        </w:rPr>
        <w:t>) est analogue et numériquement égal au critère (</w:t>
      </w:r>
      <w:r w:rsidRPr="00A50B68">
        <w:rPr>
          <w:i/>
          <w:iCs/>
          <w:sz w:val="20"/>
        </w:rPr>
        <w:t>I</w:t>
      </w:r>
      <w:r w:rsidRPr="00A50B68">
        <w:rPr>
          <w:sz w:val="20"/>
        </w:rPr>
        <w:t>/</w:t>
      </w:r>
      <w:r w:rsidRPr="00A50B68">
        <w:rPr>
          <w:i/>
          <w:iCs/>
          <w:sz w:val="20"/>
        </w:rPr>
        <w:t>N</w:t>
      </w:r>
      <w:r w:rsidRPr="00A50B68">
        <w:rPr>
          <w:sz w:val="20"/>
        </w:rPr>
        <w:t xml:space="preserve">). L'indisponibilité admissible, </w:t>
      </w:r>
      <w:r w:rsidRPr="00A50B68">
        <w:rPr>
          <w:i/>
          <w:iCs/>
          <w:sz w:val="20"/>
        </w:rPr>
        <w:t>P</w:t>
      </w:r>
      <w:r w:rsidRPr="00A50B68">
        <w:rPr>
          <w:sz w:val="20"/>
        </w:rPr>
        <w:t xml:space="preserve"> est basée sur </w:t>
      </w:r>
      <w:r w:rsidRPr="00A50B68">
        <w:rPr>
          <w:i/>
          <w:iCs/>
          <w:sz w:val="20"/>
        </w:rPr>
        <w:t>C</w:t>
      </w:r>
      <w:r w:rsidRPr="00A50B68">
        <w:rPr>
          <w:sz w:val="20"/>
        </w:rPr>
        <w:t>/(</w:t>
      </w:r>
      <w:r w:rsidRPr="00A50B68">
        <w:rPr>
          <w:i/>
          <w:iCs/>
          <w:sz w:val="20"/>
        </w:rPr>
        <w:t>N</w:t>
      </w:r>
      <w:r w:rsidRPr="00A50B68">
        <w:rPr>
          <w:rFonts w:hint="eastAsia"/>
          <w:sz w:val="20"/>
        </w:rPr>
        <w:t> </w:t>
      </w:r>
      <w:r w:rsidRPr="00A50B68">
        <w:rPr>
          <w:rFonts w:ascii="Symbol" w:hAnsi="Symbol"/>
          <w:sz w:val="20"/>
        </w:rPr>
        <w:t></w:t>
      </w:r>
      <w:r w:rsidRPr="00A50B68">
        <w:rPr>
          <w:rFonts w:hint="eastAsia"/>
          <w:sz w:val="20"/>
        </w:rPr>
        <w:t> </w:t>
      </w:r>
      <w:r w:rsidRPr="00A50B68">
        <w:rPr>
          <w:i/>
          <w:iCs/>
          <w:sz w:val="20"/>
        </w:rPr>
        <w:t>I</w:t>
      </w:r>
      <w:r w:rsidRPr="00A50B68">
        <w:rPr>
          <w:sz w:val="20"/>
        </w:rPr>
        <w:t xml:space="preserve">), de sorte que </w:t>
      </w:r>
      <w:r w:rsidRPr="00A50B68">
        <w:rPr>
          <w:i/>
          <w:iCs/>
          <w:sz w:val="20"/>
        </w:rPr>
        <w:t>P</w:t>
      </w:r>
      <w:r w:rsidRPr="00A50B68">
        <w:rPr>
          <w:sz w:val="20"/>
        </w:rPr>
        <w:t>(</w:t>
      </w:r>
      <w:r w:rsidRPr="00A50B68">
        <w:rPr>
          <w:rFonts w:ascii="Symbol" w:hAnsi="Symbol"/>
          <w:sz w:val="20"/>
        </w:rPr>
        <w:t></w:t>
      </w:r>
      <w:r w:rsidRPr="00A50B68">
        <w:rPr>
          <w:i/>
          <w:iCs/>
          <w:sz w:val="20"/>
        </w:rPr>
        <w:t>G</w:t>
      </w:r>
      <w:r w:rsidRPr="00A50B68">
        <w:rPr>
          <w:sz w:val="20"/>
        </w:rPr>
        <w:t xml:space="preserve">)  </w:t>
      </w:r>
      <w:r w:rsidRPr="00A50B68">
        <w:rPr>
          <w:rFonts w:ascii="Symbol" w:hAnsi="Symbol"/>
          <w:sz w:val="20"/>
        </w:rPr>
        <w:t></w:t>
      </w:r>
      <w:r w:rsidRPr="00A50B68">
        <w:rPr>
          <w:rFonts w:ascii="Symbol" w:hAnsi="Symbol"/>
          <w:sz w:val="20"/>
        </w:rPr>
        <w:t></w:t>
      </w:r>
      <w:r w:rsidRPr="00A50B68">
        <w:rPr>
          <w:sz w:val="20"/>
        </w:rPr>
        <w:t xml:space="preserve"> </w:t>
      </w:r>
      <w:r w:rsidRPr="00A50B68">
        <w:rPr>
          <w:i/>
          <w:iCs/>
          <w:sz w:val="20"/>
        </w:rPr>
        <w:t>P</w:t>
      </w:r>
      <w:r w:rsidRPr="00A50B68">
        <w:rPr>
          <w:sz w:val="20"/>
        </w:rPr>
        <w:t xml:space="preserve"> – </w:t>
      </w:r>
      <w:r w:rsidRPr="00A50B68">
        <w:rPr>
          <w:i/>
          <w:iCs/>
          <w:sz w:val="20"/>
        </w:rPr>
        <w:t>P</w:t>
      </w:r>
      <w:r w:rsidRPr="00A50B68">
        <w:rPr>
          <w:rFonts w:ascii="Symbol" w:hAnsi="Symbol"/>
          <w:position w:val="-4"/>
          <w:sz w:val="20"/>
        </w:rPr>
        <w:t></w:t>
      </w:r>
      <w:r w:rsidRPr="00A50B68">
        <w:rPr>
          <w:sz w:val="20"/>
        </w:rPr>
        <w:t xml:space="preserve"> ce qui donne:</w:t>
      </w:r>
    </w:p>
    <w:p w:rsidR="006F415D" w:rsidRPr="00A50B68" w:rsidRDefault="006F415D" w:rsidP="006F415D">
      <w:pPr>
        <w:pStyle w:val="Equation"/>
        <w:rPr>
          <w:sz w:val="22"/>
          <w:szCs w:val="22"/>
        </w:rPr>
      </w:pPr>
      <w:r w:rsidRPr="00A50B68">
        <w:rPr>
          <w:sz w:val="22"/>
          <w:szCs w:val="22"/>
        </w:rPr>
        <w:tab/>
      </w:r>
      <w:r w:rsidRPr="00A50B68">
        <w:rPr>
          <w:sz w:val="22"/>
          <w:szCs w:val="22"/>
        </w:rPr>
        <w:tab/>
      </w:r>
      <w:r w:rsidRPr="00A50B68">
        <w:rPr>
          <w:i/>
          <w:iCs/>
          <w:sz w:val="22"/>
          <w:szCs w:val="22"/>
        </w:rPr>
        <w:t>P</w:t>
      </w:r>
      <w:r w:rsidRPr="00A50B68">
        <w:rPr>
          <w:sz w:val="22"/>
          <w:szCs w:val="22"/>
        </w:rPr>
        <w:t>(</w:t>
      </w:r>
      <w:r w:rsidRPr="00A50B68">
        <w:rPr>
          <w:rFonts w:ascii="Symbol" w:hAnsi="Symbol"/>
          <w:sz w:val="22"/>
          <w:szCs w:val="22"/>
        </w:rPr>
        <w:t></w:t>
      </w:r>
      <w:r w:rsidRPr="00A50B68">
        <w:rPr>
          <w:i/>
          <w:iCs/>
          <w:sz w:val="22"/>
          <w:szCs w:val="22"/>
        </w:rPr>
        <w:t>G</w:t>
      </w:r>
      <w:r w:rsidRPr="00A50B68">
        <w:rPr>
          <w:sz w:val="22"/>
          <w:szCs w:val="22"/>
        </w:rPr>
        <w:t xml:space="preserve">)  </w:t>
      </w:r>
      <w:r w:rsidRPr="00A50B68">
        <w:rPr>
          <w:rFonts w:ascii="Symbol" w:hAnsi="Symbol"/>
          <w:sz w:val="22"/>
          <w:szCs w:val="22"/>
        </w:rPr>
        <w:t></w:t>
      </w:r>
      <w:r w:rsidRPr="00A50B68">
        <w:rPr>
          <w:sz w:val="22"/>
          <w:szCs w:val="22"/>
          <w:lang w:val="fr-CH"/>
        </w:rPr>
        <w:t xml:space="preserve"> </w:t>
      </w:r>
      <w:r w:rsidRPr="00A50B68">
        <w:rPr>
          <w:sz w:val="22"/>
          <w:szCs w:val="22"/>
        </w:rPr>
        <w:t xml:space="preserve"> </w:t>
      </w:r>
      <w:r w:rsidRPr="00A50B68">
        <w:rPr>
          <w:i/>
          <w:iCs/>
          <w:sz w:val="22"/>
          <w:szCs w:val="22"/>
        </w:rPr>
        <w:t>P</w:t>
      </w:r>
      <w:r w:rsidRPr="00A50B68">
        <w:rPr>
          <w:sz w:val="22"/>
          <w:szCs w:val="22"/>
        </w:rPr>
        <w:t>/(</w:t>
      </w:r>
      <w:r w:rsidRPr="00A50B68">
        <w:rPr>
          <w:i/>
          <w:iCs/>
          <w:sz w:val="22"/>
          <w:szCs w:val="22"/>
        </w:rPr>
        <w:t>I</w:t>
      </w:r>
      <w:r w:rsidRPr="00A50B68">
        <w:rPr>
          <w:sz w:val="22"/>
          <w:szCs w:val="22"/>
        </w:rPr>
        <w:t>/</w:t>
      </w:r>
      <w:r w:rsidRPr="00A50B68">
        <w:rPr>
          <w:i/>
          <w:iCs/>
          <w:sz w:val="22"/>
          <w:szCs w:val="22"/>
        </w:rPr>
        <w:t>N</w:t>
      </w:r>
      <w:r w:rsidRPr="00A50B68">
        <w:rPr>
          <w:sz w:val="22"/>
          <w:szCs w:val="22"/>
        </w:rPr>
        <w:t xml:space="preserve">  </w:t>
      </w:r>
      <w:r w:rsidRPr="00A50B68">
        <w:rPr>
          <w:rFonts w:ascii="Symbol" w:hAnsi="Symbol"/>
          <w:sz w:val="22"/>
          <w:szCs w:val="22"/>
        </w:rPr>
        <w:t></w:t>
      </w:r>
      <w:r w:rsidRPr="00A50B68">
        <w:rPr>
          <w:sz w:val="22"/>
          <w:szCs w:val="22"/>
        </w:rPr>
        <w:t xml:space="preserve">  1)</w:t>
      </w:r>
      <w:r w:rsidRPr="00A50B68">
        <w:rPr>
          <w:sz w:val="22"/>
          <w:szCs w:val="22"/>
        </w:rPr>
        <w:tab/>
        <w:t>(7)</w:t>
      </w:r>
    </w:p>
    <w:p w:rsidR="006F415D" w:rsidRPr="00A50B68" w:rsidRDefault="006F415D" w:rsidP="00A50B68">
      <w:pPr>
        <w:rPr>
          <w:sz w:val="20"/>
        </w:rPr>
      </w:pPr>
      <w:r w:rsidRPr="00A50B68">
        <w:rPr>
          <w:sz w:val="20"/>
        </w:rPr>
        <w:t xml:space="preserve">Il faut maintenant rapporter </w:t>
      </w:r>
      <w:r w:rsidR="00A50B68" w:rsidRPr="00A50B68">
        <w:rPr>
          <w:rFonts w:ascii="Symbol" w:hAnsi="Symbol"/>
          <w:sz w:val="20"/>
        </w:rPr>
        <w:t></w:t>
      </w:r>
      <w:r w:rsidRPr="00A50B68">
        <w:rPr>
          <w:i/>
          <w:iCs/>
          <w:sz w:val="20"/>
        </w:rPr>
        <w:t>G</w:t>
      </w:r>
      <w:r w:rsidRPr="00A50B68">
        <w:rPr>
          <w:sz w:val="20"/>
        </w:rPr>
        <w:t xml:space="preserve"> à la puissance surfacique. On détermine tout d'abord une valeur de la puissance surfacique lorsque l'antenne de télémesure est pointée en direction du satellite:</w:t>
      </w:r>
    </w:p>
    <w:p w:rsidR="006F415D" w:rsidRPr="00A50B68" w:rsidRDefault="006F415D" w:rsidP="006F415D">
      <w:pPr>
        <w:pStyle w:val="Equation"/>
        <w:rPr>
          <w:sz w:val="22"/>
          <w:szCs w:val="22"/>
        </w:rPr>
      </w:pPr>
      <w:r w:rsidRPr="00A50B68">
        <w:rPr>
          <w:sz w:val="22"/>
          <w:szCs w:val="22"/>
        </w:rPr>
        <w:tab/>
      </w:r>
      <w:r w:rsidRPr="00A50B68">
        <w:rPr>
          <w:sz w:val="22"/>
          <w:szCs w:val="22"/>
        </w:rPr>
        <w:tab/>
      </w:r>
      <w:r w:rsidRPr="00A50B68">
        <w:rPr>
          <w:position w:val="-32"/>
          <w:sz w:val="22"/>
          <w:szCs w:val="22"/>
        </w:rPr>
        <w:object w:dxaOrig="3280" w:dyaOrig="680">
          <v:shape id="_x0000_i1033" type="#_x0000_t75" style="width:164pt;height:33.9pt" o:ole="">
            <v:imagedata r:id="rId34" o:title=""/>
          </v:shape>
          <o:OLEObject Type="Embed" ProgID="Equation.3" ShapeID="_x0000_i1033" DrawAspect="Content" ObjectID="_1369136229" r:id="rId35"/>
        </w:object>
      </w:r>
      <w:r w:rsidRPr="00A50B68">
        <w:rPr>
          <w:sz w:val="22"/>
          <w:szCs w:val="22"/>
        </w:rPr>
        <w:tab/>
        <w:t>(8)</w:t>
      </w:r>
    </w:p>
    <w:p w:rsidR="006F415D" w:rsidRPr="00A50B68" w:rsidRDefault="006F415D" w:rsidP="006F415D">
      <w:pPr>
        <w:rPr>
          <w:sz w:val="20"/>
        </w:rPr>
      </w:pPr>
      <w:r w:rsidRPr="00A50B68">
        <w:rPr>
          <w:sz w:val="20"/>
        </w:rPr>
        <w:t>où:</w:t>
      </w:r>
    </w:p>
    <w:p w:rsidR="006F415D" w:rsidRPr="00A50B68" w:rsidRDefault="006F415D" w:rsidP="006F415D">
      <w:pPr>
        <w:pStyle w:val="enumlev1"/>
        <w:tabs>
          <w:tab w:val="left" w:pos="851"/>
        </w:tabs>
        <w:rPr>
          <w:sz w:val="20"/>
        </w:rPr>
      </w:pPr>
      <w:r w:rsidRPr="00A50B68">
        <w:rPr>
          <w:sz w:val="20"/>
        </w:rPr>
        <w:tab/>
      </w:r>
      <w:r w:rsidRPr="00A50B68">
        <w:rPr>
          <w:i/>
          <w:iCs/>
          <w:sz w:val="20"/>
        </w:rPr>
        <w:t>k</w:t>
      </w:r>
      <w:r w:rsidRPr="00A50B68">
        <w:rPr>
          <w:rFonts w:ascii="Tms Rmn" w:hAnsi="Tms Rmn"/>
          <w:sz w:val="20"/>
        </w:rPr>
        <w:t> </w:t>
      </w:r>
      <w:r w:rsidRPr="00A50B68">
        <w:rPr>
          <w:sz w:val="20"/>
        </w:rPr>
        <w:t>:</w:t>
      </w:r>
      <w:r w:rsidRPr="00A50B68">
        <w:rPr>
          <w:sz w:val="20"/>
        </w:rPr>
        <w:tab/>
        <w:t>constante de Boltzmann</w:t>
      </w:r>
    </w:p>
    <w:p w:rsidR="006F415D" w:rsidRPr="00A50B68" w:rsidRDefault="006F415D" w:rsidP="006F415D">
      <w:pPr>
        <w:pStyle w:val="enumlev1"/>
        <w:tabs>
          <w:tab w:val="left" w:pos="851"/>
        </w:tabs>
        <w:rPr>
          <w:sz w:val="20"/>
        </w:rPr>
      </w:pPr>
      <w:r w:rsidRPr="00A50B68">
        <w:rPr>
          <w:sz w:val="20"/>
        </w:rPr>
        <w:tab/>
      </w:r>
      <w:r w:rsidRPr="00A50B68">
        <w:rPr>
          <w:i/>
          <w:iCs/>
          <w:sz w:val="20"/>
        </w:rPr>
        <w:t>T</w:t>
      </w:r>
      <w:r w:rsidRPr="00A50B68">
        <w:rPr>
          <w:rFonts w:ascii="Tms Rmn" w:hAnsi="Tms Rmn"/>
          <w:sz w:val="20"/>
        </w:rPr>
        <w:t> </w:t>
      </w:r>
      <w:r w:rsidRPr="00A50B68">
        <w:rPr>
          <w:sz w:val="20"/>
        </w:rPr>
        <w:t>:</w:t>
      </w:r>
      <w:r w:rsidRPr="00A50B68">
        <w:rPr>
          <w:sz w:val="20"/>
        </w:rPr>
        <w:tab/>
        <w:t>température de bruit (K)</w:t>
      </w:r>
    </w:p>
    <w:p w:rsidR="006F415D" w:rsidRPr="00A50B68" w:rsidRDefault="006F415D" w:rsidP="006F415D">
      <w:pPr>
        <w:pStyle w:val="enumlev1"/>
        <w:tabs>
          <w:tab w:val="left" w:pos="851"/>
        </w:tabs>
        <w:rPr>
          <w:sz w:val="20"/>
        </w:rPr>
      </w:pPr>
      <w:r w:rsidRPr="00A50B68">
        <w:rPr>
          <w:sz w:val="20"/>
        </w:rPr>
        <w:tab/>
      </w:r>
      <w:r w:rsidRPr="00A50B68">
        <w:rPr>
          <w:i/>
          <w:iCs/>
          <w:sz w:val="20"/>
        </w:rPr>
        <w:t>B</w:t>
      </w:r>
      <w:r w:rsidRPr="00A50B68">
        <w:rPr>
          <w:rFonts w:ascii="Tms Rmn" w:hAnsi="Tms Rmn"/>
          <w:sz w:val="20"/>
        </w:rPr>
        <w:t> </w:t>
      </w:r>
      <w:r w:rsidRPr="00A50B68">
        <w:rPr>
          <w:sz w:val="20"/>
        </w:rPr>
        <w:t>:</w:t>
      </w:r>
      <w:r w:rsidRPr="00A50B68">
        <w:rPr>
          <w:sz w:val="20"/>
        </w:rPr>
        <w:tab/>
        <w:t>largeur de bande (Hz)</w:t>
      </w:r>
    </w:p>
    <w:p w:rsidR="006F415D" w:rsidRPr="00A50B68" w:rsidRDefault="006F415D" w:rsidP="006F415D">
      <w:pPr>
        <w:pStyle w:val="enumlev1"/>
        <w:tabs>
          <w:tab w:val="left" w:pos="851"/>
        </w:tabs>
        <w:rPr>
          <w:sz w:val="20"/>
        </w:rPr>
      </w:pPr>
      <w:r w:rsidRPr="00A50B68">
        <w:rPr>
          <w:sz w:val="20"/>
        </w:rPr>
        <w:tab/>
      </w:r>
      <w:r w:rsidRPr="00A50B68">
        <w:rPr>
          <w:i/>
          <w:iCs/>
          <w:sz w:val="20"/>
        </w:rPr>
        <w:t>G</w:t>
      </w:r>
      <w:r w:rsidRPr="00A50B68">
        <w:rPr>
          <w:position w:val="-4"/>
          <w:sz w:val="20"/>
        </w:rPr>
        <w:t xml:space="preserve">0 </w:t>
      </w:r>
      <w:r w:rsidRPr="00A50B68">
        <w:rPr>
          <w:rFonts w:ascii="Symbol" w:hAnsi="Symbol"/>
          <w:sz w:val="20"/>
        </w:rPr>
        <w:t></w:t>
      </w:r>
      <w:r w:rsidRPr="00A50B68">
        <w:rPr>
          <w:sz w:val="20"/>
        </w:rPr>
        <w:t xml:space="preserve"> 13</w:t>
      </w:r>
      <w:r w:rsidRPr="00A50B68">
        <w:rPr>
          <w:rFonts w:ascii="Tms Rmn" w:hAnsi="Tms Rmn"/>
          <w:sz w:val="20"/>
        </w:rPr>
        <w:t> </w:t>
      </w:r>
      <w:r w:rsidRPr="00A50B68">
        <w:rPr>
          <w:sz w:val="20"/>
        </w:rPr>
        <w:t>183 (41,2 dB).</w:t>
      </w:r>
    </w:p>
    <w:p w:rsidR="006F415D" w:rsidRPr="00A50B68" w:rsidRDefault="006F415D" w:rsidP="006F415D">
      <w:pPr>
        <w:rPr>
          <w:sz w:val="20"/>
        </w:rPr>
      </w:pPr>
      <w:r w:rsidRPr="00A50B68">
        <w:rPr>
          <w:sz w:val="20"/>
        </w:rPr>
        <w:t>Cette puissance surfacique est associée avec un (</w:t>
      </w:r>
      <w:r w:rsidRPr="00A50B68">
        <w:rPr>
          <w:rFonts w:ascii="Symbol" w:hAnsi="Symbol"/>
          <w:sz w:val="20"/>
        </w:rPr>
        <w:t></w:t>
      </w:r>
      <w:r w:rsidRPr="00A50B68">
        <w:rPr>
          <w:i/>
          <w:iCs/>
          <w:sz w:val="20"/>
        </w:rPr>
        <w:t>G</w:t>
      </w:r>
      <w:r w:rsidRPr="00A50B68">
        <w:rPr>
          <w:sz w:val="20"/>
        </w:rPr>
        <w:t>)</w:t>
      </w:r>
      <w:r w:rsidRPr="00A50B68">
        <w:rPr>
          <w:i/>
          <w:iCs/>
          <w:position w:val="-4"/>
          <w:sz w:val="20"/>
        </w:rPr>
        <w:t>m</w:t>
      </w:r>
      <w:r w:rsidRPr="00A50B68">
        <w:rPr>
          <w:sz w:val="20"/>
        </w:rPr>
        <w:t xml:space="preserve"> à un </w:t>
      </w:r>
      <w:r w:rsidRPr="00A50B68">
        <w:rPr>
          <w:i/>
          <w:iCs/>
          <w:sz w:val="20"/>
        </w:rPr>
        <w:t>P</w:t>
      </w:r>
      <w:r w:rsidRPr="00A50B68">
        <w:rPr>
          <w:sz w:val="20"/>
        </w:rPr>
        <w:t>(</w:t>
      </w:r>
      <w:r w:rsidRPr="00A50B68">
        <w:rPr>
          <w:rFonts w:ascii="Symbol" w:hAnsi="Symbol"/>
          <w:sz w:val="20"/>
        </w:rPr>
        <w:t></w:t>
      </w:r>
      <w:r w:rsidRPr="00A50B68">
        <w:rPr>
          <w:i/>
          <w:iCs/>
          <w:sz w:val="20"/>
        </w:rPr>
        <w:t>G</w:t>
      </w:r>
      <w:r w:rsidRPr="00A50B68">
        <w:rPr>
          <w:sz w:val="20"/>
        </w:rPr>
        <w:t xml:space="preserve">). A </w:t>
      </w:r>
      <w:r w:rsidRPr="00A50B68">
        <w:rPr>
          <w:i/>
          <w:iCs/>
          <w:sz w:val="20"/>
        </w:rPr>
        <w:t>G</w:t>
      </w:r>
      <w:r w:rsidRPr="00A50B68">
        <w:rPr>
          <w:position w:val="-4"/>
          <w:sz w:val="20"/>
        </w:rPr>
        <w:t>0</w:t>
      </w:r>
      <w:r w:rsidRPr="00A50B68">
        <w:rPr>
          <w:sz w:val="20"/>
        </w:rPr>
        <w:t xml:space="preserve">, seul </w:t>
      </w:r>
      <w:r w:rsidRPr="00A50B68">
        <w:rPr>
          <w:i/>
          <w:iCs/>
          <w:sz w:val="20"/>
        </w:rPr>
        <w:t>C</w:t>
      </w:r>
      <w:r w:rsidRPr="00A50B68">
        <w:rPr>
          <w:sz w:val="20"/>
        </w:rPr>
        <w:t xml:space="preserve"> est variable; par conséquent, </w:t>
      </w:r>
      <w:r w:rsidRPr="00A50B68">
        <w:rPr>
          <w:i/>
          <w:iCs/>
          <w:sz w:val="20"/>
        </w:rPr>
        <w:t>C</w:t>
      </w:r>
      <w:r w:rsidRPr="00A50B68">
        <w:rPr>
          <w:sz w:val="20"/>
        </w:rPr>
        <w:t>/</w:t>
      </w:r>
      <w:r w:rsidRPr="00A50B68">
        <w:rPr>
          <w:i/>
          <w:iCs/>
          <w:sz w:val="20"/>
        </w:rPr>
        <w:t>I</w:t>
      </w:r>
      <w:r w:rsidRPr="00A50B68">
        <w:rPr>
          <w:sz w:val="20"/>
        </w:rPr>
        <w:t xml:space="preserve"> est donné par l'équation (2). Une bonne approximation de la fonction (</w:t>
      </w:r>
      <w:r w:rsidRPr="00A50B68">
        <w:rPr>
          <w:rFonts w:ascii="Symbol" w:hAnsi="Symbol"/>
          <w:sz w:val="20"/>
        </w:rPr>
        <w:t></w:t>
      </w:r>
      <w:r w:rsidRPr="00A50B68">
        <w:rPr>
          <w:i/>
          <w:iCs/>
          <w:sz w:val="20"/>
        </w:rPr>
        <w:t>G</w:t>
      </w:r>
      <w:r w:rsidRPr="00A50B68">
        <w:rPr>
          <w:sz w:val="20"/>
        </w:rPr>
        <w:t>)</w:t>
      </w:r>
      <w:r w:rsidRPr="00A50B68">
        <w:rPr>
          <w:i/>
          <w:iCs/>
          <w:position w:val="-4"/>
          <w:sz w:val="20"/>
        </w:rPr>
        <w:t>m</w:t>
      </w:r>
      <w:r w:rsidRPr="00A50B68">
        <w:rPr>
          <w:sz w:val="20"/>
        </w:rPr>
        <w:t xml:space="preserve"> est donnée par la formule suivante:</w:t>
      </w:r>
    </w:p>
    <w:p w:rsidR="006F415D" w:rsidRPr="00A50B68" w:rsidRDefault="006F415D" w:rsidP="006F415D">
      <w:pPr>
        <w:pStyle w:val="Equation"/>
        <w:rPr>
          <w:sz w:val="22"/>
          <w:szCs w:val="22"/>
        </w:rPr>
      </w:pPr>
      <w:r w:rsidRPr="00A50B68">
        <w:rPr>
          <w:sz w:val="22"/>
          <w:szCs w:val="22"/>
        </w:rPr>
        <w:tab/>
      </w:r>
      <w:r w:rsidRPr="00A50B68">
        <w:rPr>
          <w:sz w:val="22"/>
          <w:szCs w:val="22"/>
        </w:rPr>
        <w:tab/>
        <w:t>(</w:t>
      </w:r>
      <w:r w:rsidRPr="00A50B68">
        <w:rPr>
          <w:rFonts w:ascii="Symbol" w:hAnsi="Symbol"/>
          <w:sz w:val="22"/>
          <w:szCs w:val="22"/>
        </w:rPr>
        <w:t></w:t>
      </w:r>
      <w:r w:rsidRPr="00A50B68">
        <w:rPr>
          <w:i/>
          <w:iCs/>
          <w:sz w:val="22"/>
          <w:szCs w:val="22"/>
        </w:rPr>
        <w:t>G</w:t>
      </w:r>
      <w:r w:rsidRPr="00A50B68">
        <w:rPr>
          <w:sz w:val="22"/>
          <w:szCs w:val="22"/>
        </w:rPr>
        <w:t>)</w:t>
      </w:r>
      <w:r w:rsidRPr="00A50B68">
        <w:rPr>
          <w:i/>
          <w:iCs/>
          <w:position w:val="-4"/>
          <w:sz w:val="22"/>
          <w:szCs w:val="22"/>
        </w:rPr>
        <w:t>m</w:t>
      </w:r>
      <w:r w:rsidRPr="00A50B68">
        <w:rPr>
          <w:sz w:val="22"/>
          <w:szCs w:val="22"/>
        </w:rPr>
        <w:t xml:space="preserve">  </w:t>
      </w:r>
      <w:r w:rsidRPr="00A50B68">
        <w:rPr>
          <w:rFonts w:ascii="Symbol" w:hAnsi="Symbol"/>
          <w:sz w:val="22"/>
          <w:szCs w:val="22"/>
        </w:rPr>
        <w:t></w:t>
      </w:r>
      <w:r w:rsidRPr="00A50B68">
        <w:rPr>
          <w:sz w:val="22"/>
          <w:szCs w:val="22"/>
        </w:rPr>
        <w:t xml:space="preserve">  45</w:t>
      </w:r>
      <w:r w:rsidRPr="00A50B68">
        <w:rPr>
          <w:rFonts w:ascii="Tms Rmn" w:hAnsi="Tms Rmn"/>
          <w:sz w:val="22"/>
          <w:szCs w:val="22"/>
        </w:rPr>
        <w:t> </w:t>
      </w:r>
      <w:r w:rsidRPr="00A50B68">
        <w:rPr>
          <w:sz w:val="22"/>
          <w:szCs w:val="22"/>
        </w:rPr>
        <w:t>000/</w:t>
      </w:r>
      <w:r w:rsidRPr="00A50B68">
        <w:rPr>
          <w:i/>
          <w:iCs/>
          <w:sz w:val="22"/>
          <w:szCs w:val="22"/>
        </w:rPr>
        <w:t>P</w:t>
      </w:r>
      <w:r w:rsidRPr="00A50B68">
        <w:rPr>
          <w:sz w:val="22"/>
          <w:szCs w:val="22"/>
        </w:rPr>
        <w:t>(</w:t>
      </w:r>
      <w:r w:rsidRPr="00A50B68">
        <w:rPr>
          <w:rFonts w:ascii="Symbol" w:hAnsi="Symbol"/>
          <w:sz w:val="22"/>
          <w:szCs w:val="22"/>
        </w:rPr>
        <w:t></w:t>
      </w:r>
      <w:r w:rsidRPr="00A50B68">
        <w:rPr>
          <w:i/>
          <w:iCs/>
          <w:sz w:val="22"/>
          <w:szCs w:val="22"/>
        </w:rPr>
        <w:t>G</w:t>
      </w:r>
      <w:r w:rsidRPr="00A50B68">
        <w:rPr>
          <w:sz w:val="22"/>
          <w:szCs w:val="22"/>
        </w:rPr>
        <w:t>)</w:t>
      </w:r>
      <w:r w:rsidRPr="00A50B68">
        <w:rPr>
          <w:position w:val="6"/>
          <w:sz w:val="22"/>
          <w:szCs w:val="22"/>
        </w:rPr>
        <w:t>1,25</w:t>
      </w:r>
      <w:r w:rsidRPr="00A50B68">
        <w:rPr>
          <w:sz w:val="22"/>
          <w:szCs w:val="22"/>
        </w:rPr>
        <w:tab/>
        <w:t>(9)</w:t>
      </w:r>
    </w:p>
    <w:p w:rsidR="006F415D" w:rsidRPr="00A50B68" w:rsidRDefault="006F415D" w:rsidP="006F415D">
      <w:pPr>
        <w:rPr>
          <w:sz w:val="20"/>
        </w:rPr>
      </w:pPr>
      <w:r w:rsidRPr="00A50B68">
        <w:rPr>
          <w:sz w:val="20"/>
        </w:rPr>
        <w:t>On peut augmenter la puissance surfacique obtenue à l'équation (8) de (</w:t>
      </w:r>
      <w:r w:rsidRPr="00A50B68">
        <w:rPr>
          <w:rFonts w:ascii="Symbol" w:hAnsi="Symbol"/>
          <w:sz w:val="20"/>
        </w:rPr>
        <w:t></w:t>
      </w:r>
      <w:r w:rsidRPr="00A50B68">
        <w:rPr>
          <w:i/>
          <w:iCs/>
          <w:sz w:val="20"/>
        </w:rPr>
        <w:t>G</w:t>
      </w:r>
      <w:r w:rsidRPr="00A50B68">
        <w:rPr>
          <w:sz w:val="20"/>
        </w:rPr>
        <w:t>)</w:t>
      </w:r>
      <w:r w:rsidRPr="00A50B68">
        <w:rPr>
          <w:i/>
          <w:iCs/>
          <w:position w:val="-4"/>
          <w:sz w:val="20"/>
        </w:rPr>
        <w:t>m</w:t>
      </w:r>
      <w:r w:rsidRPr="00A50B68">
        <w:rPr>
          <w:sz w:val="20"/>
        </w:rPr>
        <w:t>/(</w:t>
      </w:r>
      <w:r w:rsidRPr="00A50B68">
        <w:rPr>
          <w:rFonts w:ascii="Symbol" w:hAnsi="Symbol"/>
          <w:sz w:val="20"/>
        </w:rPr>
        <w:t></w:t>
      </w:r>
      <w:r w:rsidRPr="00A50B68">
        <w:rPr>
          <w:i/>
          <w:iCs/>
          <w:sz w:val="20"/>
        </w:rPr>
        <w:t>G</w:t>
      </w:r>
      <w:r w:rsidRPr="00A50B68">
        <w:rPr>
          <w:sz w:val="20"/>
        </w:rPr>
        <w:t>). Ainsi:</w:t>
      </w:r>
    </w:p>
    <w:p w:rsidR="006F415D" w:rsidRPr="00A50B68" w:rsidRDefault="006F415D" w:rsidP="006F415D">
      <w:pPr>
        <w:pStyle w:val="Equation"/>
        <w:rPr>
          <w:sz w:val="22"/>
          <w:szCs w:val="22"/>
          <w:lang w:val="fr-CH"/>
        </w:rPr>
      </w:pPr>
      <w:r w:rsidRPr="00A50B68">
        <w:rPr>
          <w:sz w:val="22"/>
          <w:szCs w:val="22"/>
        </w:rPr>
        <w:tab/>
      </w:r>
      <w:r w:rsidRPr="00A50B68">
        <w:rPr>
          <w:sz w:val="22"/>
          <w:szCs w:val="22"/>
        </w:rPr>
        <w:tab/>
      </w:r>
      <w:r w:rsidRPr="00A50B68">
        <w:rPr>
          <w:position w:val="-32"/>
          <w:sz w:val="22"/>
          <w:szCs w:val="22"/>
        </w:rPr>
        <w:object w:dxaOrig="6520" w:dyaOrig="680">
          <v:shape id="_x0000_i1034" type="#_x0000_t75" style="width:326.5pt;height:33.9pt" o:ole="">
            <v:imagedata r:id="rId36" o:title=""/>
          </v:shape>
          <o:OLEObject Type="Embed" ProgID="Equation.3" ShapeID="_x0000_i1034" DrawAspect="Content" ObjectID="_1369136230" r:id="rId37"/>
        </w:object>
      </w:r>
      <w:r w:rsidRPr="00A50B68">
        <w:rPr>
          <w:sz w:val="22"/>
          <w:szCs w:val="22"/>
          <w:lang w:val="fr-CH"/>
        </w:rPr>
        <w:tab/>
        <w:t>(10)</w:t>
      </w:r>
    </w:p>
    <w:p w:rsidR="006F415D" w:rsidRPr="00A50B68" w:rsidRDefault="006F415D" w:rsidP="006F415D">
      <w:pPr>
        <w:pStyle w:val="Heading2"/>
        <w:rPr>
          <w:sz w:val="20"/>
        </w:rPr>
      </w:pPr>
      <w:r w:rsidRPr="00A50B68">
        <w:rPr>
          <w:sz w:val="20"/>
        </w:rPr>
        <w:t>2.2.3</w:t>
      </w:r>
      <w:r w:rsidRPr="00A50B68">
        <w:rPr>
          <w:sz w:val="20"/>
        </w:rPr>
        <w:tab/>
        <w:t>Incidence sur la conception des liaisons de télémesure</w:t>
      </w:r>
    </w:p>
    <w:p w:rsidR="006F415D" w:rsidRPr="00A50B68" w:rsidRDefault="006F415D" w:rsidP="006F415D">
      <w:pPr>
        <w:rPr>
          <w:sz w:val="20"/>
        </w:rPr>
      </w:pPr>
      <w:r w:rsidRPr="00A50B68">
        <w:rPr>
          <w:sz w:val="20"/>
        </w:rPr>
        <w:t xml:space="preserve">Des analyses montrent que la valeur de </w:t>
      </w:r>
      <w:r w:rsidRPr="00A50B68">
        <w:rPr>
          <w:i/>
          <w:iCs/>
          <w:sz w:val="20"/>
        </w:rPr>
        <w:t>P</w:t>
      </w:r>
      <w:r w:rsidRPr="00A50B68">
        <w:rPr>
          <w:sz w:val="20"/>
        </w:rPr>
        <w:t xml:space="preserve">, indisponibilité d'une liaison de télémesure, n'influe pas de façon significative sur les valeurs de puissance surfacique. Ces valeurs dépendent essentiellement de la valeur du rapport </w:t>
      </w:r>
      <w:r w:rsidRPr="00A50B68">
        <w:rPr>
          <w:i/>
          <w:iCs/>
          <w:sz w:val="20"/>
        </w:rPr>
        <w:t>I</w:t>
      </w:r>
      <w:r w:rsidRPr="00A50B68">
        <w:rPr>
          <w:sz w:val="20"/>
        </w:rPr>
        <w:t>/</w:t>
      </w:r>
      <w:r w:rsidRPr="00A50B68">
        <w:rPr>
          <w:i/>
          <w:iCs/>
          <w:sz w:val="20"/>
        </w:rPr>
        <w:t>N</w:t>
      </w:r>
      <w:r w:rsidRPr="00A50B68">
        <w:rPr>
          <w:sz w:val="20"/>
        </w:rPr>
        <w:t xml:space="preserve">. L'incidence sur une liaison de télémesure, mesurée en termes de baisse de la portée utile, </w:t>
      </w:r>
      <w:r w:rsidRPr="00A50B68">
        <w:rPr>
          <w:i/>
          <w:iCs/>
          <w:sz w:val="20"/>
        </w:rPr>
        <w:t>R</w:t>
      </w:r>
      <w:r w:rsidRPr="00A50B68">
        <w:rPr>
          <w:sz w:val="20"/>
        </w:rPr>
        <w:t>, pour une valeur donnée de </w:t>
      </w:r>
      <w:r w:rsidRPr="00A50B68">
        <w:rPr>
          <w:i/>
          <w:iCs/>
          <w:sz w:val="20"/>
        </w:rPr>
        <w:t>P</w:t>
      </w:r>
      <w:r w:rsidRPr="00A50B68">
        <w:rPr>
          <w:sz w:val="20"/>
        </w:rPr>
        <w:t xml:space="preserve">, en fonction de </w:t>
      </w:r>
      <w:r w:rsidRPr="00A50B68">
        <w:rPr>
          <w:i/>
          <w:iCs/>
          <w:sz w:val="20"/>
        </w:rPr>
        <w:t>I</w:t>
      </w:r>
      <w:r w:rsidRPr="00A50B68">
        <w:rPr>
          <w:sz w:val="20"/>
        </w:rPr>
        <w:t>/</w:t>
      </w:r>
      <w:r w:rsidRPr="00A50B68">
        <w:rPr>
          <w:i/>
          <w:iCs/>
          <w:sz w:val="20"/>
        </w:rPr>
        <w:t>N</w:t>
      </w:r>
      <w:r w:rsidRPr="00A50B68">
        <w:rPr>
          <w:sz w:val="20"/>
        </w:rPr>
        <w:t xml:space="preserve"> peut être déterminée à partir de l'équation (7), puisque </w:t>
      </w:r>
      <w:r w:rsidRPr="00A50B68">
        <w:rPr>
          <w:i/>
          <w:iCs/>
          <w:sz w:val="20"/>
        </w:rPr>
        <w:t>R</w:t>
      </w:r>
      <w:r w:rsidRPr="00A50B68">
        <w:rPr>
          <w:position w:val="6"/>
          <w:sz w:val="20"/>
        </w:rPr>
        <w:t>2</w:t>
      </w:r>
      <w:r w:rsidRPr="00A50B68">
        <w:rPr>
          <w:sz w:val="20"/>
        </w:rPr>
        <w:t> </w:t>
      </w:r>
      <w:r w:rsidRPr="00A50B68">
        <w:rPr>
          <w:rFonts w:ascii="Symbol" w:hAnsi="Symbol"/>
          <w:sz w:val="20"/>
        </w:rPr>
        <w:t></w:t>
      </w:r>
      <w:r w:rsidRPr="00A50B68">
        <w:rPr>
          <w:sz w:val="20"/>
        </w:rPr>
        <w:t> 1/(</w:t>
      </w:r>
      <w:r w:rsidRPr="00A50B68">
        <w:rPr>
          <w:i/>
          <w:iCs/>
          <w:sz w:val="20"/>
        </w:rPr>
        <w:t>N</w:t>
      </w:r>
      <w:r w:rsidRPr="00A50B68">
        <w:rPr>
          <w:sz w:val="20"/>
        </w:rPr>
        <w:t> </w:t>
      </w:r>
      <w:r w:rsidRPr="00A50B68">
        <w:rPr>
          <w:rFonts w:ascii="Symbol" w:hAnsi="Symbol"/>
          <w:sz w:val="20"/>
        </w:rPr>
        <w:t></w:t>
      </w:r>
      <w:r w:rsidRPr="00A50B68">
        <w:rPr>
          <w:sz w:val="20"/>
        </w:rPr>
        <w:t xml:space="preserve"> I) pour une puissance d'émetteur fixe. La diminution de la portée utile en fonction de </w:t>
      </w:r>
      <w:r w:rsidRPr="00A50B68">
        <w:rPr>
          <w:i/>
          <w:iCs/>
          <w:sz w:val="20"/>
        </w:rPr>
        <w:t>I</w:t>
      </w:r>
      <w:r w:rsidRPr="00A50B68">
        <w:rPr>
          <w:sz w:val="20"/>
        </w:rPr>
        <w:t>/</w:t>
      </w:r>
      <w:r w:rsidRPr="00A50B68">
        <w:rPr>
          <w:i/>
          <w:iCs/>
          <w:sz w:val="20"/>
        </w:rPr>
        <w:t>N</w:t>
      </w:r>
      <w:r w:rsidRPr="00A50B68">
        <w:rPr>
          <w:sz w:val="20"/>
        </w:rPr>
        <w:t xml:space="preserve"> est illustrée dans la Fig. 4. L'incidence sur la conception des liaisons de télémesure est plus importante pour des valeurs de </w:t>
      </w:r>
      <w:r w:rsidRPr="00A50B68">
        <w:rPr>
          <w:i/>
          <w:iCs/>
          <w:sz w:val="20"/>
        </w:rPr>
        <w:t>I</w:t>
      </w:r>
      <w:r w:rsidRPr="00A50B68">
        <w:rPr>
          <w:sz w:val="20"/>
        </w:rPr>
        <w:t>/</w:t>
      </w:r>
      <w:r w:rsidRPr="00A50B68">
        <w:rPr>
          <w:i/>
          <w:iCs/>
          <w:sz w:val="20"/>
        </w:rPr>
        <w:t>N</w:t>
      </w:r>
      <w:r w:rsidRPr="00A50B68">
        <w:rPr>
          <w:sz w:val="20"/>
        </w:rPr>
        <w:t xml:space="preserve"> supérieures à un (0 dB) car les liaisons doivent être conçues de façon à surmonter le problème du brouillage et non celui du bruit interne. La valeur concrète maximale est d'environ 0,5 (–3 dB) avec les valeurs plus faibles souhaitées.</w:t>
      </w:r>
    </w:p>
    <w:p w:rsidR="000B43F9" w:rsidRDefault="000B43F9" w:rsidP="000B43F9"/>
    <w:p w:rsidR="000B43F9" w:rsidRDefault="000B43F9" w:rsidP="000B43F9"/>
    <w:p w:rsidR="006F415D" w:rsidRPr="00A50B68" w:rsidRDefault="006F415D" w:rsidP="006F415D">
      <w:pPr>
        <w:pStyle w:val="Heading2"/>
        <w:rPr>
          <w:sz w:val="20"/>
        </w:rPr>
      </w:pPr>
      <w:r w:rsidRPr="00A50B68">
        <w:rPr>
          <w:sz w:val="20"/>
        </w:rPr>
        <w:lastRenderedPageBreak/>
        <w:t>2.2.4</w:t>
      </w:r>
      <w:r w:rsidRPr="00A50B68">
        <w:rPr>
          <w:sz w:val="20"/>
        </w:rPr>
        <w:tab/>
        <w:t>Tolérances de brouillage</w:t>
      </w:r>
    </w:p>
    <w:p w:rsidR="006F415D" w:rsidRPr="00A50B68" w:rsidRDefault="006F415D" w:rsidP="006F415D">
      <w:pPr>
        <w:rPr>
          <w:sz w:val="20"/>
        </w:rPr>
      </w:pPr>
      <w:r w:rsidRPr="00A50B68">
        <w:rPr>
          <w:sz w:val="20"/>
        </w:rPr>
        <w:t>Compte tenu des éléments donnés dans le § 2.2.3, les tolérances cumulatives suivantes semblent convenir pour le cas qui nous intéresse. Le bruit total est la somme du bruit interne, </w:t>
      </w:r>
      <w:r w:rsidRPr="00A50B68">
        <w:rPr>
          <w:i/>
          <w:iCs/>
          <w:sz w:val="20"/>
        </w:rPr>
        <w:t>N</w:t>
      </w:r>
      <w:r w:rsidRPr="00A50B68">
        <w:rPr>
          <w:i/>
          <w:iCs/>
          <w:position w:val="-4"/>
          <w:sz w:val="20"/>
        </w:rPr>
        <w:t>I</w:t>
      </w:r>
      <w:r w:rsidRPr="00A50B68">
        <w:rPr>
          <w:sz w:val="20"/>
        </w:rPr>
        <w:t>, du brouillage imputable aux satellites, </w:t>
      </w:r>
      <w:r w:rsidRPr="00A50B68">
        <w:rPr>
          <w:i/>
          <w:iCs/>
          <w:sz w:val="20"/>
        </w:rPr>
        <w:t>I</w:t>
      </w:r>
      <w:r w:rsidRPr="00A50B68">
        <w:rPr>
          <w:i/>
          <w:iCs/>
          <w:position w:val="-4"/>
          <w:sz w:val="20"/>
        </w:rPr>
        <w:t>S</w:t>
      </w:r>
      <w:r w:rsidRPr="00A50B68">
        <w:rPr>
          <w:sz w:val="20"/>
        </w:rPr>
        <w:t>, et du brouillage causé par des sources de Terre, </w:t>
      </w:r>
      <w:r w:rsidRPr="00A50B68">
        <w:rPr>
          <w:i/>
          <w:iCs/>
          <w:sz w:val="20"/>
        </w:rPr>
        <w:t>I</w:t>
      </w:r>
      <w:r w:rsidRPr="00A50B68">
        <w:rPr>
          <w:i/>
          <w:iCs/>
          <w:position w:val="-4"/>
          <w:sz w:val="20"/>
        </w:rPr>
        <w:t>T</w:t>
      </w:r>
      <w:r w:rsidRPr="00A50B68">
        <w:rPr>
          <w:sz w:val="20"/>
        </w:rPr>
        <w:t>. Le brouillage admissible cumulatif imputable aux satellites et aux sources de Terre est le suivant:</w:t>
      </w:r>
    </w:p>
    <w:p w:rsidR="006F415D" w:rsidRPr="00A50B68" w:rsidRDefault="006F415D" w:rsidP="006F415D">
      <w:pPr>
        <w:pStyle w:val="Equation"/>
        <w:rPr>
          <w:sz w:val="22"/>
          <w:szCs w:val="22"/>
          <w:lang w:val="en-US"/>
        </w:rPr>
      </w:pPr>
      <w:r w:rsidRPr="00A50B68">
        <w:rPr>
          <w:sz w:val="22"/>
          <w:szCs w:val="22"/>
        </w:rPr>
        <w:tab/>
      </w:r>
      <w:r w:rsidRPr="00A50B68">
        <w:rPr>
          <w:sz w:val="22"/>
          <w:szCs w:val="22"/>
        </w:rPr>
        <w:tab/>
      </w:r>
      <w:r w:rsidRPr="00A50B68">
        <w:rPr>
          <w:i/>
          <w:iCs/>
          <w:sz w:val="22"/>
          <w:szCs w:val="22"/>
          <w:lang w:val="en-US"/>
        </w:rPr>
        <w:t>I</w:t>
      </w:r>
      <w:r w:rsidRPr="00A50B68">
        <w:rPr>
          <w:i/>
          <w:iCs/>
          <w:position w:val="-4"/>
          <w:sz w:val="22"/>
          <w:szCs w:val="22"/>
          <w:lang w:val="en-US"/>
        </w:rPr>
        <w:t>S</w:t>
      </w:r>
      <w:r w:rsidRPr="00A50B68">
        <w:rPr>
          <w:i/>
          <w:iCs/>
          <w:sz w:val="22"/>
          <w:szCs w:val="22"/>
          <w:lang w:val="en-US"/>
        </w:rPr>
        <w:t xml:space="preserve"> </w:t>
      </w:r>
      <w:r w:rsidRPr="00A50B68">
        <w:rPr>
          <w:sz w:val="22"/>
          <w:szCs w:val="22"/>
          <w:lang w:val="en-US"/>
        </w:rPr>
        <w:t xml:space="preserve"> </w:t>
      </w:r>
      <w:r w:rsidRPr="00A50B68">
        <w:rPr>
          <w:rFonts w:ascii="Symbol" w:hAnsi="Symbol"/>
          <w:sz w:val="22"/>
          <w:szCs w:val="22"/>
        </w:rPr>
        <w:t></w:t>
      </w:r>
      <w:r w:rsidRPr="00A50B68">
        <w:rPr>
          <w:sz w:val="22"/>
          <w:szCs w:val="22"/>
          <w:lang w:val="en-US"/>
        </w:rPr>
        <w:t xml:space="preserve">  0,25 (</w:t>
      </w:r>
      <w:r w:rsidRPr="00A50B68">
        <w:rPr>
          <w:i/>
          <w:iCs/>
          <w:sz w:val="22"/>
          <w:szCs w:val="22"/>
          <w:lang w:val="en-US"/>
        </w:rPr>
        <w:t>N</w:t>
      </w:r>
      <w:r w:rsidRPr="00A50B68">
        <w:rPr>
          <w:i/>
          <w:iCs/>
          <w:position w:val="-4"/>
          <w:sz w:val="22"/>
          <w:szCs w:val="22"/>
          <w:lang w:val="en-US"/>
        </w:rPr>
        <w:t>I</w:t>
      </w:r>
      <w:r w:rsidRPr="00A50B68">
        <w:rPr>
          <w:sz w:val="22"/>
          <w:szCs w:val="22"/>
          <w:lang w:val="en-US"/>
        </w:rPr>
        <w:t xml:space="preserve">  </w:t>
      </w:r>
      <w:r w:rsidRPr="00A50B68">
        <w:rPr>
          <w:rFonts w:ascii="Symbol" w:hAnsi="Symbol"/>
          <w:sz w:val="22"/>
          <w:szCs w:val="22"/>
        </w:rPr>
        <w:t></w:t>
      </w:r>
      <w:r w:rsidRPr="00A50B68">
        <w:rPr>
          <w:sz w:val="22"/>
          <w:szCs w:val="22"/>
          <w:lang w:val="en-US"/>
        </w:rPr>
        <w:t xml:space="preserve">  </w:t>
      </w:r>
      <w:r w:rsidRPr="00A50B68">
        <w:rPr>
          <w:i/>
          <w:iCs/>
          <w:sz w:val="22"/>
          <w:szCs w:val="22"/>
          <w:lang w:val="en-US"/>
        </w:rPr>
        <w:t>I</w:t>
      </w:r>
      <w:r w:rsidRPr="00A50B68">
        <w:rPr>
          <w:i/>
          <w:iCs/>
          <w:position w:val="-4"/>
          <w:sz w:val="22"/>
          <w:szCs w:val="22"/>
          <w:lang w:val="en-US"/>
        </w:rPr>
        <w:t>S</w:t>
      </w:r>
      <w:r w:rsidRPr="00A50B68">
        <w:rPr>
          <w:sz w:val="22"/>
          <w:szCs w:val="22"/>
          <w:lang w:val="en-US"/>
        </w:rPr>
        <w:t xml:space="preserve">  </w:t>
      </w:r>
      <w:r w:rsidRPr="00A50B68">
        <w:rPr>
          <w:rFonts w:ascii="Symbol" w:hAnsi="Symbol"/>
          <w:sz w:val="22"/>
          <w:szCs w:val="22"/>
        </w:rPr>
        <w:t></w:t>
      </w:r>
      <w:r w:rsidRPr="00A50B68">
        <w:rPr>
          <w:sz w:val="22"/>
          <w:szCs w:val="22"/>
          <w:lang w:val="en-US"/>
        </w:rPr>
        <w:t xml:space="preserve">  </w:t>
      </w:r>
      <w:r w:rsidRPr="00A50B68">
        <w:rPr>
          <w:i/>
          <w:iCs/>
          <w:sz w:val="22"/>
          <w:szCs w:val="22"/>
          <w:lang w:val="en-US"/>
        </w:rPr>
        <w:t>I</w:t>
      </w:r>
      <w:r w:rsidRPr="00A50B68">
        <w:rPr>
          <w:i/>
          <w:iCs/>
          <w:position w:val="-4"/>
          <w:sz w:val="22"/>
          <w:szCs w:val="22"/>
          <w:lang w:val="en-US"/>
        </w:rPr>
        <w:t>T</w:t>
      </w:r>
      <w:r w:rsidRPr="00A50B68">
        <w:rPr>
          <w:sz w:val="22"/>
          <w:szCs w:val="22"/>
          <w:lang w:val="en-US"/>
        </w:rPr>
        <w:t>)</w:t>
      </w:r>
      <w:r w:rsidRPr="00A50B68">
        <w:rPr>
          <w:sz w:val="22"/>
          <w:szCs w:val="22"/>
          <w:lang w:val="en-US"/>
        </w:rPr>
        <w:tab/>
        <w:t>(11)</w:t>
      </w:r>
    </w:p>
    <w:p w:rsidR="006F415D" w:rsidRPr="00A50B68" w:rsidRDefault="006F415D" w:rsidP="006F415D">
      <w:pPr>
        <w:pStyle w:val="Equation"/>
        <w:rPr>
          <w:sz w:val="22"/>
          <w:szCs w:val="22"/>
          <w:lang w:val="en-US"/>
        </w:rPr>
      </w:pPr>
      <w:r w:rsidRPr="00A50B68">
        <w:rPr>
          <w:sz w:val="22"/>
          <w:szCs w:val="22"/>
          <w:lang w:val="en-US"/>
        </w:rPr>
        <w:tab/>
      </w:r>
      <w:r w:rsidRPr="00A50B68">
        <w:rPr>
          <w:sz w:val="22"/>
          <w:szCs w:val="22"/>
          <w:lang w:val="en-US"/>
        </w:rPr>
        <w:tab/>
      </w:r>
      <w:r w:rsidRPr="00A50B68">
        <w:rPr>
          <w:i/>
          <w:iCs/>
          <w:sz w:val="22"/>
          <w:szCs w:val="22"/>
          <w:lang w:val="en-US"/>
        </w:rPr>
        <w:t>I</w:t>
      </w:r>
      <w:r w:rsidRPr="00A50B68">
        <w:rPr>
          <w:i/>
          <w:iCs/>
          <w:position w:val="-4"/>
          <w:sz w:val="22"/>
          <w:szCs w:val="22"/>
          <w:lang w:val="en-US"/>
        </w:rPr>
        <w:t>T</w:t>
      </w:r>
      <w:r w:rsidRPr="00A50B68">
        <w:rPr>
          <w:sz w:val="22"/>
          <w:szCs w:val="22"/>
          <w:lang w:val="en-US"/>
        </w:rPr>
        <w:t xml:space="preserve">  </w:t>
      </w:r>
      <w:r w:rsidRPr="00A50B68">
        <w:rPr>
          <w:rFonts w:ascii="Symbol" w:hAnsi="Symbol"/>
          <w:sz w:val="22"/>
          <w:szCs w:val="22"/>
        </w:rPr>
        <w:t></w:t>
      </w:r>
      <w:r w:rsidRPr="00A50B68">
        <w:rPr>
          <w:sz w:val="22"/>
          <w:szCs w:val="22"/>
          <w:lang w:val="en-US"/>
        </w:rPr>
        <w:t xml:space="preserve">  0,10 (</w:t>
      </w:r>
      <w:r w:rsidRPr="00A50B68">
        <w:rPr>
          <w:i/>
          <w:iCs/>
          <w:sz w:val="22"/>
          <w:szCs w:val="22"/>
          <w:lang w:val="en-US"/>
        </w:rPr>
        <w:t>N</w:t>
      </w:r>
      <w:r w:rsidRPr="00A50B68">
        <w:rPr>
          <w:i/>
          <w:iCs/>
          <w:position w:val="-4"/>
          <w:sz w:val="22"/>
          <w:szCs w:val="22"/>
          <w:lang w:val="en-US"/>
        </w:rPr>
        <w:t>I</w:t>
      </w:r>
      <w:r w:rsidRPr="00A50B68">
        <w:rPr>
          <w:sz w:val="22"/>
          <w:szCs w:val="22"/>
          <w:lang w:val="en-US"/>
        </w:rPr>
        <w:t xml:space="preserve">  </w:t>
      </w:r>
      <w:r w:rsidRPr="00A50B68">
        <w:rPr>
          <w:rFonts w:ascii="Symbol" w:hAnsi="Symbol"/>
          <w:sz w:val="22"/>
          <w:szCs w:val="22"/>
        </w:rPr>
        <w:t></w:t>
      </w:r>
      <w:r w:rsidRPr="00A50B68">
        <w:rPr>
          <w:sz w:val="22"/>
          <w:szCs w:val="22"/>
          <w:lang w:val="en-US"/>
        </w:rPr>
        <w:t xml:space="preserve">  </w:t>
      </w:r>
      <w:r w:rsidRPr="00A50B68">
        <w:rPr>
          <w:i/>
          <w:iCs/>
          <w:sz w:val="22"/>
          <w:szCs w:val="22"/>
          <w:lang w:val="en-US"/>
        </w:rPr>
        <w:t>I</w:t>
      </w:r>
      <w:r w:rsidRPr="00A50B68">
        <w:rPr>
          <w:i/>
          <w:iCs/>
          <w:position w:val="-4"/>
          <w:sz w:val="22"/>
          <w:szCs w:val="22"/>
          <w:lang w:val="en-US"/>
        </w:rPr>
        <w:t>S</w:t>
      </w:r>
      <w:r w:rsidRPr="00A50B68">
        <w:rPr>
          <w:sz w:val="22"/>
          <w:szCs w:val="22"/>
          <w:lang w:val="en-US"/>
        </w:rPr>
        <w:t xml:space="preserve">  </w:t>
      </w:r>
      <w:r w:rsidRPr="00A50B68">
        <w:rPr>
          <w:rFonts w:ascii="Symbol" w:hAnsi="Symbol"/>
          <w:sz w:val="22"/>
          <w:szCs w:val="22"/>
        </w:rPr>
        <w:t></w:t>
      </w:r>
      <w:r w:rsidRPr="00A50B68">
        <w:rPr>
          <w:sz w:val="22"/>
          <w:szCs w:val="22"/>
          <w:lang w:val="en-US"/>
        </w:rPr>
        <w:t xml:space="preserve">  </w:t>
      </w:r>
      <w:r w:rsidRPr="00A50B68">
        <w:rPr>
          <w:i/>
          <w:iCs/>
          <w:sz w:val="22"/>
          <w:szCs w:val="22"/>
          <w:lang w:val="en-US"/>
        </w:rPr>
        <w:t>I</w:t>
      </w:r>
      <w:r w:rsidRPr="00A50B68">
        <w:rPr>
          <w:i/>
          <w:iCs/>
          <w:position w:val="-4"/>
          <w:sz w:val="22"/>
          <w:szCs w:val="22"/>
          <w:lang w:val="en-US"/>
        </w:rPr>
        <w:t>T</w:t>
      </w:r>
      <w:r w:rsidRPr="00A50B68">
        <w:rPr>
          <w:sz w:val="22"/>
          <w:szCs w:val="22"/>
          <w:lang w:val="en-US"/>
        </w:rPr>
        <w:t>)</w:t>
      </w:r>
      <w:r w:rsidRPr="00A50B68">
        <w:rPr>
          <w:sz w:val="22"/>
          <w:szCs w:val="22"/>
          <w:lang w:val="en-US"/>
        </w:rPr>
        <w:tab/>
        <w:t>(12)</w:t>
      </w:r>
    </w:p>
    <w:p w:rsidR="006F415D" w:rsidRPr="00A50B68" w:rsidRDefault="006F415D" w:rsidP="006F415D">
      <w:pPr>
        <w:rPr>
          <w:sz w:val="20"/>
        </w:rPr>
      </w:pPr>
      <w:r w:rsidRPr="00A50B68">
        <w:rPr>
          <w:sz w:val="20"/>
        </w:rPr>
        <w:t xml:space="preserve">Il découle des équations précédentes que le rapport cumulatif admissible </w:t>
      </w:r>
      <w:r w:rsidRPr="00A50B68">
        <w:rPr>
          <w:i/>
          <w:iCs/>
          <w:sz w:val="20"/>
        </w:rPr>
        <w:t>I</w:t>
      </w:r>
      <w:r w:rsidRPr="00A50B68">
        <w:rPr>
          <w:sz w:val="20"/>
        </w:rPr>
        <w:t>/</w:t>
      </w:r>
      <w:r w:rsidRPr="00A50B68">
        <w:rPr>
          <w:i/>
          <w:iCs/>
          <w:sz w:val="20"/>
        </w:rPr>
        <w:t>N</w:t>
      </w:r>
      <w:r w:rsidRPr="00A50B68">
        <w:rPr>
          <w:sz w:val="20"/>
        </w:rPr>
        <w:t xml:space="preserve"> est de 0,3846 ou </w:t>
      </w:r>
      <w:r w:rsidRPr="00A50B68">
        <w:rPr>
          <w:rFonts w:hint="eastAsia"/>
          <w:sz w:val="20"/>
        </w:rPr>
        <w:t>–</w:t>
      </w:r>
      <w:r w:rsidRPr="00A50B68">
        <w:rPr>
          <w:sz w:val="20"/>
        </w:rPr>
        <w:t xml:space="preserve">4,15 dB (brouillage imputable aux satellites) et de 0,1538 ou –8,13 dB (brouillage imputable aux sources de Terre). Etant donné que la puissance surfacique n'est pas particulièrement sensible à </w:t>
      </w:r>
      <w:r w:rsidRPr="00A50B68">
        <w:rPr>
          <w:i/>
          <w:iCs/>
          <w:sz w:val="20"/>
        </w:rPr>
        <w:t>P</w:t>
      </w:r>
      <w:r w:rsidRPr="00A50B68">
        <w:rPr>
          <w:sz w:val="20"/>
        </w:rPr>
        <w:t>, on choisit une valeur à mi</w:t>
      </w:r>
      <w:r w:rsidRPr="00A50B68">
        <w:rPr>
          <w:sz w:val="20"/>
        </w:rPr>
        <w:noBreakHyphen/>
        <w:t xml:space="preserve">portée de </w:t>
      </w:r>
      <w:r w:rsidRPr="00A50B68">
        <w:rPr>
          <w:i/>
          <w:iCs/>
          <w:sz w:val="20"/>
        </w:rPr>
        <w:t>P</w:t>
      </w:r>
      <w:r w:rsidRPr="00A50B68">
        <w:rPr>
          <w:sz w:val="20"/>
        </w:rPr>
        <w:t xml:space="preserve"> de 0,005 pour une évaluation numérique, ce qui donne avec l'équation (7) une valeur de </w:t>
      </w:r>
      <w:r w:rsidRPr="00A50B68">
        <w:rPr>
          <w:i/>
          <w:iCs/>
          <w:sz w:val="20"/>
        </w:rPr>
        <w:t>P</w:t>
      </w:r>
      <w:r w:rsidRPr="00A50B68">
        <w:rPr>
          <w:sz w:val="20"/>
        </w:rPr>
        <w:t>(</w:t>
      </w:r>
      <w:r w:rsidRPr="00A50B68">
        <w:rPr>
          <w:rFonts w:ascii="Symbol" w:hAnsi="Symbol"/>
          <w:sz w:val="20"/>
        </w:rPr>
        <w:t></w:t>
      </w:r>
      <w:r w:rsidRPr="00A50B68">
        <w:rPr>
          <w:i/>
          <w:iCs/>
          <w:sz w:val="20"/>
        </w:rPr>
        <w:t>G</w:t>
      </w:r>
      <w:r w:rsidRPr="00A50B68">
        <w:rPr>
          <w:sz w:val="20"/>
        </w:rPr>
        <w:t>) de 0,003611.</w:t>
      </w:r>
    </w:p>
    <w:p w:rsidR="006F415D" w:rsidRDefault="006F415D" w:rsidP="00A50B68">
      <w:pPr>
        <w:pStyle w:val="Figure"/>
      </w:pPr>
      <w:r>
        <w:rPr>
          <w:noProof/>
          <w:lang w:val="en-US" w:eastAsia="zh-CN"/>
        </w:rPr>
        <w:drawing>
          <wp:inline distT="0" distB="0" distL="0" distR="0" wp14:anchorId="11783EBA" wp14:editId="4D0B1C91">
            <wp:extent cx="4784090" cy="414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4090" cy="4140200"/>
                    </a:xfrm>
                    <a:prstGeom prst="rect">
                      <a:avLst/>
                    </a:prstGeom>
                    <a:noFill/>
                    <a:ln>
                      <a:noFill/>
                    </a:ln>
                  </pic:spPr>
                </pic:pic>
              </a:graphicData>
            </a:graphic>
          </wp:inline>
        </w:drawing>
      </w:r>
    </w:p>
    <w:p w:rsidR="006F415D" w:rsidRDefault="006F415D" w:rsidP="006F415D">
      <w:pPr>
        <w:pStyle w:val="Fig0"/>
        <w:rPr>
          <w:lang w:val="fr-FR"/>
        </w:rPr>
      </w:pPr>
      <w:r>
        <w:rPr>
          <w:lang w:val="fr-FR"/>
        </w:rPr>
        <w:t>FIGURE 4 /M.1459</w:t>
      </w:r>
    </w:p>
    <w:p w:rsidR="006F415D" w:rsidRPr="00A50B68" w:rsidRDefault="006F415D" w:rsidP="006F415D">
      <w:pPr>
        <w:pStyle w:val="Heading3"/>
        <w:rPr>
          <w:sz w:val="20"/>
        </w:rPr>
      </w:pPr>
      <w:r w:rsidRPr="00A50B68">
        <w:rPr>
          <w:sz w:val="20"/>
        </w:rPr>
        <w:t>2.2.5</w:t>
      </w:r>
      <w:r w:rsidRPr="00A50B68">
        <w:rPr>
          <w:sz w:val="20"/>
        </w:rPr>
        <w:tab/>
        <w:t xml:space="preserve">Valeur minimum de </w:t>
      </w:r>
      <w:r w:rsidRPr="00A50B68">
        <w:rPr>
          <w:i/>
          <w:iCs/>
          <w:sz w:val="20"/>
        </w:rPr>
        <w:t>S</w:t>
      </w:r>
      <w:r w:rsidRPr="00A50B68">
        <w:rPr>
          <w:sz w:val="20"/>
        </w:rPr>
        <w:t xml:space="preserve"> en fonction de l'angle d'incidence, </w:t>
      </w:r>
      <w:r w:rsidRPr="00A50B68">
        <w:rPr>
          <w:rFonts w:ascii="Symbol" w:hAnsi="Symbol"/>
          <w:sz w:val="20"/>
        </w:rPr>
        <w:t></w:t>
      </w:r>
    </w:p>
    <w:p w:rsidR="006F415D" w:rsidRPr="00A50B68" w:rsidRDefault="006F415D" w:rsidP="006F415D">
      <w:pPr>
        <w:rPr>
          <w:sz w:val="20"/>
        </w:rPr>
      </w:pPr>
      <w:r w:rsidRPr="00A50B68">
        <w:rPr>
          <w:sz w:val="20"/>
        </w:rPr>
        <w:t xml:space="preserve">On peut déterminer la valeur minimum de </w:t>
      </w:r>
      <w:r w:rsidRPr="00A50B68">
        <w:rPr>
          <w:i/>
          <w:iCs/>
          <w:sz w:val="20"/>
        </w:rPr>
        <w:t>S</w:t>
      </w:r>
      <w:r w:rsidRPr="00A50B68">
        <w:rPr>
          <w:sz w:val="20"/>
        </w:rPr>
        <w:t xml:space="preserve"> à partir du rayon minimum d'un cercle dans lequel les essais d'aéronef sont normalement réalisés (voir Fig. 5). On détermine </w:t>
      </w:r>
      <w:r w:rsidRPr="00A50B68">
        <w:rPr>
          <w:i/>
          <w:iCs/>
          <w:sz w:val="20"/>
        </w:rPr>
        <w:t>S</w:t>
      </w:r>
      <w:r w:rsidRPr="00A50B68">
        <w:rPr>
          <w:sz w:val="20"/>
        </w:rPr>
        <w:t xml:space="preserve"> en fonction de </w:t>
      </w:r>
      <w:r w:rsidRPr="00A50B68">
        <w:rPr>
          <w:rFonts w:ascii="Symbol" w:hAnsi="Symbol"/>
          <w:sz w:val="20"/>
        </w:rPr>
        <w:t></w:t>
      </w:r>
      <w:r w:rsidRPr="00A50B68">
        <w:rPr>
          <w:sz w:val="20"/>
        </w:rPr>
        <w:t xml:space="preserve"> comme suit. L'angle d'incidence en élévation est:</w:t>
      </w:r>
    </w:p>
    <w:p w:rsidR="006F415D" w:rsidRPr="00A50B68" w:rsidRDefault="006F415D" w:rsidP="006F415D">
      <w:pPr>
        <w:pStyle w:val="Equation"/>
        <w:spacing w:before="0"/>
        <w:rPr>
          <w:sz w:val="22"/>
          <w:szCs w:val="22"/>
        </w:rPr>
      </w:pPr>
      <w:r w:rsidRPr="00A50B68">
        <w:rPr>
          <w:sz w:val="22"/>
          <w:szCs w:val="22"/>
        </w:rPr>
        <w:tab/>
      </w:r>
      <w:r w:rsidRPr="00A50B68">
        <w:rPr>
          <w:sz w:val="22"/>
          <w:szCs w:val="22"/>
        </w:rPr>
        <w:tab/>
      </w:r>
      <w:r w:rsidRPr="00A50B68">
        <w:rPr>
          <w:rFonts w:ascii="Symbol" w:hAnsi="Symbol"/>
          <w:sz w:val="22"/>
          <w:szCs w:val="22"/>
        </w:rPr>
        <w:t></w:t>
      </w:r>
      <w:r w:rsidRPr="00A50B68">
        <w:rPr>
          <w:sz w:val="22"/>
          <w:szCs w:val="22"/>
        </w:rPr>
        <w:t xml:space="preserve">  </w:t>
      </w:r>
      <w:r w:rsidRPr="00A50B68">
        <w:rPr>
          <w:rFonts w:ascii="Symbol" w:hAnsi="Symbol"/>
          <w:sz w:val="22"/>
          <w:szCs w:val="22"/>
        </w:rPr>
        <w:t></w:t>
      </w:r>
      <w:r w:rsidRPr="00A50B68">
        <w:rPr>
          <w:sz w:val="22"/>
          <w:szCs w:val="22"/>
        </w:rPr>
        <w:t xml:space="preserve">  tg</w:t>
      </w:r>
      <w:r w:rsidRPr="00A50B68">
        <w:rPr>
          <w:position w:val="6"/>
          <w:sz w:val="22"/>
          <w:szCs w:val="22"/>
        </w:rPr>
        <w:t>–1</w:t>
      </w:r>
      <w:r w:rsidRPr="00A50B68">
        <w:rPr>
          <w:position w:val="-26"/>
          <w:sz w:val="22"/>
          <w:szCs w:val="22"/>
        </w:rPr>
        <w:object w:dxaOrig="1060" w:dyaOrig="639">
          <v:shape id="_x0000_i1035" type="#_x0000_t75" style="width:53.15pt;height:31.55pt" o:ole="">
            <v:imagedata r:id="rId39" o:title=""/>
          </v:shape>
          <o:OLEObject Type="Embed" ProgID="Equation.3" ShapeID="_x0000_i1035" DrawAspect="Content" ObjectID="_1369136231" r:id="rId40"/>
        </w:object>
      </w:r>
      <w:r w:rsidRPr="00A50B68">
        <w:rPr>
          <w:sz w:val="22"/>
          <w:szCs w:val="22"/>
        </w:rPr>
        <w:t>                       rad</w:t>
      </w:r>
      <w:r w:rsidRPr="00A50B68">
        <w:rPr>
          <w:sz w:val="22"/>
          <w:szCs w:val="22"/>
        </w:rPr>
        <w:tab/>
        <w:t>(13)</w:t>
      </w:r>
    </w:p>
    <w:p w:rsidR="006F415D" w:rsidRPr="00A50B68" w:rsidRDefault="006F415D" w:rsidP="006F415D">
      <w:pPr>
        <w:rPr>
          <w:sz w:val="20"/>
        </w:rPr>
      </w:pPr>
      <w:r w:rsidRPr="00A50B68">
        <w:rPr>
          <w:sz w:val="20"/>
        </w:rPr>
        <w:t xml:space="preserve">L'angle d'incidence incrémentiel, </w:t>
      </w:r>
      <w:r w:rsidRPr="00A50B68">
        <w:rPr>
          <w:rFonts w:ascii="Symbol" w:hAnsi="Symbol"/>
          <w:sz w:val="20"/>
        </w:rPr>
        <w:t></w:t>
      </w:r>
      <w:r w:rsidRPr="00A50B68">
        <w:rPr>
          <w:rFonts w:ascii="Symbol" w:hAnsi="Symbol"/>
          <w:sz w:val="20"/>
        </w:rPr>
        <w:t></w:t>
      </w:r>
      <w:r w:rsidRPr="00A50B68">
        <w:rPr>
          <w:sz w:val="20"/>
        </w:rPr>
        <w:t>, le long de l'azimut de pointage de l'antenne de télémesure est:</w:t>
      </w:r>
    </w:p>
    <w:p w:rsidR="006F415D" w:rsidRPr="00A50B68" w:rsidRDefault="006F415D" w:rsidP="006F415D">
      <w:pPr>
        <w:pStyle w:val="Equation"/>
        <w:tabs>
          <w:tab w:val="left" w:pos="284"/>
          <w:tab w:val="left" w:pos="6096"/>
          <w:tab w:val="left" w:pos="6804"/>
        </w:tabs>
        <w:rPr>
          <w:sz w:val="22"/>
          <w:szCs w:val="22"/>
          <w:lang w:val="fr-CH"/>
        </w:rPr>
      </w:pPr>
      <w:r w:rsidRPr="00A50B68">
        <w:rPr>
          <w:sz w:val="22"/>
          <w:szCs w:val="22"/>
        </w:rPr>
        <w:tab/>
      </w:r>
      <w:r w:rsidRPr="00A50B68">
        <w:rPr>
          <w:rFonts w:ascii="Symbol" w:hAnsi="Symbol"/>
          <w:sz w:val="22"/>
          <w:szCs w:val="22"/>
        </w:rPr>
        <w:t></w:t>
      </w:r>
      <w:r w:rsidRPr="00A50B68">
        <w:rPr>
          <w:position w:val="-30"/>
          <w:sz w:val="22"/>
          <w:szCs w:val="22"/>
        </w:rPr>
        <w:object w:dxaOrig="7280" w:dyaOrig="700">
          <v:shape id="_x0000_i1036" type="#_x0000_t75" style="width:363.1pt;height:35.05pt" o:ole="">
            <v:imagedata r:id="rId41" o:title=""/>
          </v:shape>
          <o:OLEObject Type="Embed" ProgID="Equation.3" ShapeID="_x0000_i1036" DrawAspect="Content" ObjectID="_1369136232" r:id="rId42"/>
        </w:object>
      </w:r>
      <w:r w:rsidRPr="00A50B68">
        <w:rPr>
          <w:sz w:val="22"/>
          <w:szCs w:val="22"/>
          <w:lang w:val="fr-CH"/>
        </w:rPr>
        <w:t>         rad</w:t>
      </w:r>
      <w:r w:rsidRPr="00A50B68">
        <w:rPr>
          <w:sz w:val="22"/>
          <w:szCs w:val="22"/>
          <w:lang w:val="fr-CH"/>
        </w:rPr>
        <w:tab/>
        <w:t>(14a)</w:t>
      </w:r>
    </w:p>
    <w:p w:rsidR="006F415D" w:rsidRPr="00A50B68" w:rsidRDefault="006F415D" w:rsidP="006F415D">
      <w:pPr>
        <w:pStyle w:val="Equation"/>
        <w:tabs>
          <w:tab w:val="left" w:pos="6804"/>
          <w:tab w:val="left" w:pos="7513"/>
        </w:tabs>
        <w:spacing w:before="40"/>
        <w:rPr>
          <w:sz w:val="22"/>
          <w:szCs w:val="22"/>
          <w:lang w:val="fr-CH"/>
        </w:rPr>
      </w:pPr>
      <w:r w:rsidRPr="00A50B68">
        <w:rPr>
          <w:sz w:val="22"/>
          <w:szCs w:val="22"/>
          <w:lang w:val="fr-CH"/>
        </w:rPr>
        <w:tab/>
      </w:r>
      <w:r w:rsidRPr="00A50B68">
        <w:rPr>
          <w:sz w:val="22"/>
          <w:szCs w:val="22"/>
          <w:lang w:val="fr-CH"/>
        </w:rPr>
        <w:tab/>
      </w:r>
      <w:r w:rsidRPr="00A50B68">
        <w:rPr>
          <w:position w:val="-28"/>
          <w:sz w:val="22"/>
          <w:szCs w:val="22"/>
        </w:rPr>
        <w:object w:dxaOrig="5200" w:dyaOrig="660">
          <v:shape id="_x0000_i1037" type="#_x0000_t75" style="width:259.9pt;height:33.5pt" o:ole="">
            <v:imagedata r:id="rId43" o:title=""/>
          </v:shape>
          <o:OLEObject Type="Embed" ProgID="Equation.3" ShapeID="_x0000_i1037" DrawAspect="Content" ObjectID="_1369136233" r:id="rId44"/>
        </w:object>
      </w:r>
      <w:r w:rsidRPr="00A50B68">
        <w:rPr>
          <w:sz w:val="22"/>
          <w:szCs w:val="22"/>
        </w:rPr>
        <w:t> </w:t>
      </w:r>
      <w:r w:rsidRPr="00A50B68">
        <w:rPr>
          <w:sz w:val="22"/>
          <w:szCs w:val="22"/>
          <w:lang w:val="fr-CH"/>
        </w:rPr>
        <w:t>         rad</w:t>
      </w:r>
      <w:r w:rsidRPr="00A50B68">
        <w:rPr>
          <w:sz w:val="22"/>
          <w:szCs w:val="22"/>
          <w:lang w:val="fr-CH"/>
        </w:rPr>
        <w:tab/>
        <w:t>(14b)</w:t>
      </w:r>
    </w:p>
    <w:p w:rsidR="000B43F9" w:rsidRDefault="000B43F9" w:rsidP="006F415D">
      <w:pPr>
        <w:rPr>
          <w:sz w:val="20"/>
        </w:rPr>
      </w:pPr>
    </w:p>
    <w:p w:rsidR="006F415D" w:rsidRPr="00736A4E" w:rsidRDefault="006F415D" w:rsidP="006F415D">
      <w:pPr>
        <w:rPr>
          <w:sz w:val="20"/>
        </w:rPr>
      </w:pPr>
      <w:r w:rsidRPr="00736A4E">
        <w:rPr>
          <w:sz w:val="20"/>
        </w:rPr>
        <w:lastRenderedPageBreak/>
        <w:t xml:space="preserve">L'angle tangent à l'azimut, </w:t>
      </w:r>
      <w:r w:rsidRPr="00736A4E">
        <w:rPr>
          <w:rFonts w:ascii="Symbol" w:hAnsi="Symbol"/>
          <w:sz w:val="20"/>
        </w:rPr>
        <w:t></w:t>
      </w:r>
      <w:r w:rsidRPr="00736A4E">
        <w:rPr>
          <w:sz w:val="20"/>
        </w:rPr>
        <w:t>, est:</w:t>
      </w:r>
    </w:p>
    <w:p w:rsidR="006F415D" w:rsidRPr="00736A4E" w:rsidRDefault="006F415D" w:rsidP="006F415D">
      <w:pPr>
        <w:pStyle w:val="Equation"/>
        <w:spacing w:before="0"/>
        <w:rPr>
          <w:sz w:val="22"/>
          <w:szCs w:val="22"/>
        </w:rPr>
      </w:pPr>
      <w:r w:rsidRPr="00736A4E">
        <w:rPr>
          <w:sz w:val="22"/>
          <w:szCs w:val="22"/>
        </w:rPr>
        <w:tab/>
      </w:r>
      <w:r w:rsidRPr="00736A4E">
        <w:rPr>
          <w:sz w:val="22"/>
          <w:szCs w:val="22"/>
        </w:rPr>
        <w:tab/>
      </w:r>
      <w:r w:rsidRPr="00736A4E">
        <w:rPr>
          <w:position w:val="-28"/>
          <w:sz w:val="22"/>
          <w:szCs w:val="22"/>
        </w:rPr>
        <w:object w:dxaOrig="2000" w:dyaOrig="660">
          <v:shape id="_x0000_i1038" type="#_x0000_t75" style="width:100.9pt;height:32.35pt" o:ole="">
            <v:imagedata r:id="rId45" o:title=""/>
          </v:shape>
          <o:OLEObject Type="Embed" ProgID="Equation.3" ShapeID="_x0000_i1038" DrawAspect="Content" ObjectID="_1369136234" r:id="rId46"/>
        </w:object>
      </w:r>
      <w:r w:rsidRPr="00736A4E">
        <w:rPr>
          <w:sz w:val="22"/>
          <w:szCs w:val="22"/>
        </w:rPr>
        <w:t>                      rad</w:t>
      </w:r>
      <w:r w:rsidRPr="00736A4E">
        <w:rPr>
          <w:sz w:val="22"/>
          <w:szCs w:val="22"/>
        </w:rPr>
        <w:tab/>
        <w:t>(15)</w:t>
      </w:r>
    </w:p>
    <w:p w:rsidR="006F415D" w:rsidRPr="00736A4E" w:rsidRDefault="006F415D" w:rsidP="006F415D">
      <w:pPr>
        <w:rPr>
          <w:sz w:val="20"/>
        </w:rPr>
      </w:pPr>
      <w:r w:rsidRPr="00736A4E">
        <w:rPr>
          <w:sz w:val="20"/>
        </w:rPr>
        <w:t xml:space="preserve">A partir de quoi on obtient </w:t>
      </w:r>
      <w:r w:rsidRPr="00736A4E">
        <w:rPr>
          <w:i/>
          <w:iCs/>
          <w:sz w:val="20"/>
        </w:rPr>
        <w:t>S</w:t>
      </w:r>
      <w:r w:rsidRPr="00736A4E">
        <w:rPr>
          <w:sz w:val="20"/>
        </w:rPr>
        <w:t>:</w:t>
      </w:r>
    </w:p>
    <w:p w:rsidR="006F415D" w:rsidRPr="00736A4E" w:rsidRDefault="006F415D" w:rsidP="006F415D">
      <w:pPr>
        <w:pStyle w:val="Equation"/>
        <w:spacing w:before="0"/>
        <w:rPr>
          <w:sz w:val="22"/>
          <w:szCs w:val="22"/>
        </w:rPr>
      </w:pPr>
      <w:r w:rsidRPr="00736A4E">
        <w:rPr>
          <w:sz w:val="22"/>
          <w:szCs w:val="22"/>
          <w:lang w:val="fr-CH"/>
        </w:rPr>
        <w:tab/>
      </w:r>
      <w:r w:rsidRPr="00736A4E">
        <w:rPr>
          <w:sz w:val="22"/>
          <w:szCs w:val="22"/>
          <w:lang w:val="fr-CH"/>
        </w:rPr>
        <w:tab/>
      </w:r>
      <w:r w:rsidRPr="00736A4E">
        <w:rPr>
          <w:i/>
          <w:iCs/>
          <w:sz w:val="22"/>
          <w:szCs w:val="22"/>
        </w:rPr>
        <w:t>S</w:t>
      </w:r>
      <w:r w:rsidRPr="00736A4E">
        <w:rPr>
          <w:sz w:val="22"/>
          <w:szCs w:val="22"/>
        </w:rPr>
        <w:t xml:space="preserve">  </w:t>
      </w:r>
      <w:r w:rsidRPr="00736A4E">
        <w:rPr>
          <w:rFonts w:ascii="Symbol" w:hAnsi="Symbol"/>
          <w:sz w:val="22"/>
          <w:szCs w:val="22"/>
        </w:rPr>
        <w:t></w:t>
      </w:r>
      <w:r w:rsidRPr="00736A4E">
        <w:rPr>
          <w:sz w:val="22"/>
          <w:szCs w:val="22"/>
        </w:rPr>
        <w:t xml:space="preserve">  </w:t>
      </w:r>
      <w:r w:rsidRPr="00736A4E">
        <w:rPr>
          <w:rFonts w:ascii="Symbol" w:hAnsi="Symbol"/>
          <w:sz w:val="22"/>
          <w:szCs w:val="22"/>
        </w:rPr>
        <w:t></w:t>
      </w:r>
      <w:r w:rsidRPr="00736A4E">
        <w:rPr>
          <w:sz w:val="22"/>
          <w:szCs w:val="22"/>
        </w:rPr>
        <w:t>/4 (</w:t>
      </w:r>
      <w:r w:rsidRPr="00736A4E">
        <w:rPr>
          <w:rFonts w:ascii="Symbol" w:hAnsi="Symbol"/>
          <w:sz w:val="22"/>
          <w:szCs w:val="22"/>
        </w:rPr>
        <w:t></w:t>
      </w:r>
      <w:r w:rsidRPr="00736A4E">
        <w:rPr>
          <w:sz w:val="22"/>
          <w:szCs w:val="22"/>
        </w:rPr>
        <w:t>) (</w:t>
      </w:r>
      <w:r w:rsidRPr="00736A4E">
        <w:rPr>
          <w:rFonts w:ascii="Symbol" w:hAnsi="Symbol"/>
          <w:sz w:val="22"/>
          <w:szCs w:val="22"/>
        </w:rPr>
        <w:t></w:t>
      </w:r>
      <w:r w:rsidRPr="00736A4E">
        <w:rPr>
          <w:rFonts w:ascii="Symbol" w:hAnsi="Symbol"/>
          <w:sz w:val="22"/>
          <w:szCs w:val="22"/>
        </w:rPr>
        <w:t></w:t>
      </w:r>
      <w:r w:rsidRPr="00736A4E">
        <w:rPr>
          <w:sz w:val="22"/>
          <w:szCs w:val="22"/>
        </w:rPr>
        <w:t>)                       stéradians</w:t>
      </w:r>
      <w:r w:rsidRPr="00736A4E">
        <w:rPr>
          <w:sz w:val="22"/>
          <w:szCs w:val="22"/>
        </w:rPr>
        <w:tab/>
        <w:t>(16)</w:t>
      </w:r>
    </w:p>
    <w:p w:rsidR="006F415D" w:rsidRPr="00736A4E" w:rsidRDefault="006F415D" w:rsidP="006F415D">
      <w:pPr>
        <w:rPr>
          <w:sz w:val="20"/>
        </w:rPr>
      </w:pPr>
      <w:r w:rsidRPr="00736A4E">
        <w:rPr>
          <w:sz w:val="20"/>
        </w:rPr>
        <w:t>où:</w:t>
      </w:r>
    </w:p>
    <w:p w:rsidR="006F415D" w:rsidRPr="00736A4E" w:rsidRDefault="006F415D" w:rsidP="006F415D">
      <w:pPr>
        <w:pStyle w:val="enumlev1"/>
        <w:rPr>
          <w:sz w:val="20"/>
        </w:rPr>
      </w:pPr>
      <w:r w:rsidRPr="00736A4E">
        <w:rPr>
          <w:sz w:val="20"/>
        </w:rPr>
        <w:tab/>
      </w:r>
      <w:r w:rsidRPr="00736A4E">
        <w:rPr>
          <w:i/>
          <w:iCs/>
          <w:sz w:val="20"/>
        </w:rPr>
        <w:t>h</w:t>
      </w:r>
      <w:r w:rsidRPr="00736A4E">
        <w:rPr>
          <w:sz w:val="20"/>
        </w:rPr>
        <w:t>:</w:t>
      </w:r>
      <w:r w:rsidRPr="00736A4E">
        <w:rPr>
          <w:sz w:val="20"/>
        </w:rPr>
        <w:tab/>
        <w:t xml:space="preserve">altitude de l'aéronef </w:t>
      </w:r>
      <w:r w:rsidRPr="00736A4E">
        <w:rPr>
          <w:rFonts w:ascii="Symbol" w:hAnsi="Symbol"/>
          <w:sz w:val="20"/>
        </w:rPr>
        <w:t></w:t>
      </w:r>
      <w:r w:rsidRPr="00736A4E">
        <w:rPr>
          <w:sz w:val="20"/>
        </w:rPr>
        <w:t xml:space="preserve"> 20 km</w:t>
      </w:r>
    </w:p>
    <w:p w:rsidR="006F415D" w:rsidRPr="00736A4E" w:rsidRDefault="006F415D" w:rsidP="006F415D">
      <w:pPr>
        <w:pStyle w:val="enumlev1"/>
        <w:rPr>
          <w:sz w:val="20"/>
        </w:rPr>
      </w:pPr>
      <w:r w:rsidRPr="00736A4E">
        <w:rPr>
          <w:sz w:val="20"/>
        </w:rPr>
        <w:tab/>
      </w:r>
      <w:r w:rsidRPr="00736A4E">
        <w:rPr>
          <w:i/>
          <w:iCs/>
          <w:sz w:val="20"/>
        </w:rPr>
        <w:t>d</w:t>
      </w:r>
      <w:r w:rsidRPr="00736A4E">
        <w:rPr>
          <w:sz w:val="20"/>
        </w:rPr>
        <w:t>:</w:t>
      </w:r>
      <w:r w:rsidRPr="00736A4E">
        <w:rPr>
          <w:sz w:val="20"/>
        </w:rPr>
        <w:tab/>
        <w:t>distance de l'aéronef par rapport à la surface 320 km (au maximum)</w:t>
      </w:r>
    </w:p>
    <w:p w:rsidR="006F415D" w:rsidRPr="00736A4E" w:rsidRDefault="006F415D" w:rsidP="006F415D">
      <w:pPr>
        <w:pStyle w:val="enumlev1"/>
        <w:rPr>
          <w:sz w:val="20"/>
        </w:rPr>
      </w:pPr>
      <w:r w:rsidRPr="00736A4E">
        <w:rPr>
          <w:sz w:val="20"/>
        </w:rPr>
        <w:tab/>
      </w:r>
      <w:r w:rsidRPr="00736A4E">
        <w:rPr>
          <w:i/>
          <w:iCs/>
          <w:sz w:val="20"/>
        </w:rPr>
        <w:t>r</w:t>
      </w:r>
      <w:r w:rsidRPr="00736A4E">
        <w:rPr>
          <w:sz w:val="20"/>
        </w:rPr>
        <w:t>:</w:t>
      </w:r>
      <w:r w:rsidRPr="00736A4E">
        <w:rPr>
          <w:sz w:val="20"/>
        </w:rPr>
        <w:tab/>
        <w:t xml:space="preserve">rayon de la Terre </w:t>
      </w:r>
      <w:r w:rsidRPr="00736A4E">
        <w:rPr>
          <w:rFonts w:ascii="Symbol" w:hAnsi="Symbol"/>
          <w:sz w:val="20"/>
        </w:rPr>
        <w:t></w:t>
      </w:r>
      <w:r w:rsidRPr="00736A4E">
        <w:rPr>
          <w:sz w:val="20"/>
        </w:rPr>
        <w:t xml:space="preserve"> 6</w:t>
      </w:r>
      <w:r w:rsidRPr="00736A4E">
        <w:rPr>
          <w:rFonts w:ascii="Tms Rmn" w:hAnsi="Tms Rmn"/>
          <w:sz w:val="20"/>
        </w:rPr>
        <w:t> </w:t>
      </w:r>
      <w:r w:rsidRPr="00736A4E">
        <w:rPr>
          <w:sz w:val="20"/>
        </w:rPr>
        <w:t>378 km</w:t>
      </w:r>
    </w:p>
    <w:p w:rsidR="006F415D" w:rsidRPr="00736A4E" w:rsidRDefault="006F415D" w:rsidP="006F415D">
      <w:pPr>
        <w:pStyle w:val="enumlev1"/>
        <w:rPr>
          <w:sz w:val="20"/>
        </w:rPr>
      </w:pPr>
      <w:r w:rsidRPr="00736A4E">
        <w:rPr>
          <w:sz w:val="20"/>
        </w:rPr>
        <w:tab/>
      </w:r>
      <w:r w:rsidRPr="00736A4E">
        <w:rPr>
          <w:i/>
          <w:iCs/>
          <w:sz w:val="20"/>
        </w:rPr>
        <w:t>a</w:t>
      </w:r>
      <w:r w:rsidRPr="00736A4E">
        <w:rPr>
          <w:sz w:val="20"/>
        </w:rPr>
        <w:t>:</w:t>
      </w:r>
      <w:r w:rsidRPr="00736A4E">
        <w:rPr>
          <w:sz w:val="20"/>
        </w:rPr>
        <w:tab/>
        <w:t xml:space="preserve">rayon minimum de la trajectoire de vol </w:t>
      </w:r>
      <w:r w:rsidRPr="00736A4E">
        <w:rPr>
          <w:rFonts w:ascii="Symbol" w:hAnsi="Symbol"/>
          <w:sz w:val="20"/>
        </w:rPr>
        <w:t></w:t>
      </w:r>
      <w:r w:rsidRPr="00736A4E">
        <w:rPr>
          <w:sz w:val="20"/>
        </w:rPr>
        <w:t xml:space="preserve"> 20 km.</w:t>
      </w:r>
    </w:p>
    <w:p w:rsidR="006F415D" w:rsidRDefault="006F415D" w:rsidP="00736A4E">
      <w:pPr>
        <w:pStyle w:val="Figure"/>
      </w:pPr>
      <w:r>
        <w:rPr>
          <w:noProof/>
          <w:lang w:val="en-US" w:eastAsia="zh-CN"/>
        </w:rPr>
        <w:lastRenderedPageBreak/>
        <w:drawing>
          <wp:inline distT="0" distB="0" distL="0" distR="0" wp14:anchorId="3D67CBCE" wp14:editId="52026A56">
            <wp:extent cx="4557395" cy="8412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7395" cy="8412480"/>
                    </a:xfrm>
                    <a:prstGeom prst="rect">
                      <a:avLst/>
                    </a:prstGeom>
                    <a:noFill/>
                    <a:ln>
                      <a:noFill/>
                    </a:ln>
                  </pic:spPr>
                </pic:pic>
              </a:graphicData>
            </a:graphic>
          </wp:inline>
        </w:drawing>
      </w:r>
    </w:p>
    <w:p w:rsidR="00736A4E" w:rsidRDefault="00736A4E" w:rsidP="006F415D">
      <w:pPr>
        <w:pStyle w:val="Heading3"/>
        <w:rPr>
          <w:sz w:val="20"/>
        </w:rPr>
      </w:pPr>
      <w:r>
        <w:rPr>
          <w:sz w:val="20"/>
        </w:rPr>
        <w:br w:type="page"/>
      </w:r>
    </w:p>
    <w:p w:rsidR="006F415D" w:rsidRPr="00736A4E" w:rsidRDefault="006F415D" w:rsidP="006F415D">
      <w:pPr>
        <w:pStyle w:val="Heading3"/>
        <w:rPr>
          <w:sz w:val="20"/>
        </w:rPr>
      </w:pPr>
      <w:r w:rsidRPr="00736A4E">
        <w:rPr>
          <w:sz w:val="20"/>
        </w:rPr>
        <w:lastRenderedPageBreak/>
        <w:t>2.2.6</w:t>
      </w:r>
      <w:r w:rsidRPr="00736A4E">
        <w:rPr>
          <w:sz w:val="20"/>
        </w:rPr>
        <w:tab/>
        <w:t>Puissance surfacique en fonction de l'angle d'incidence</w:t>
      </w:r>
    </w:p>
    <w:p w:rsidR="006F415D" w:rsidRPr="00736A4E" w:rsidRDefault="006F415D" w:rsidP="006F415D">
      <w:pPr>
        <w:pStyle w:val="enumlev1"/>
        <w:rPr>
          <w:sz w:val="20"/>
        </w:rPr>
      </w:pPr>
      <w:r w:rsidRPr="00736A4E">
        <w:rPr>
          <w:sz w:val="20"/>
        </w:rPr>
        <w:t>–</w:t>
      </w:r>
      <w:r w:rsidRPr="00736A4E">
        <w:rPr>
          <w:sz w:val="20"/>
        </w:rPr>
        <w:tab/>
        <w:t xml:space="preserve">Augmentation de la puissance surfacique due à </w:t>
      </w:r>
      <w:r w:rsidRPr="00736A4E">
        <w:rPr>
          <w:i/>
          <w:iCs/>
          <w:sz w:val="20"/>
        </w:rPr>
        <w:t>S</w:t>
      </w:r>
    </w:p>
    <w:p w:rsidR="006F415D" w:rsidRPr="00736A4E" w:rsidRDefault="006F415D" w:rsidP="006F415D">
      <w:pPr>
        <w:pStyle w:val="enumlev1"/>
        <w:rPr>
          <w:sz w:val="20"/>
        </w:rPr>
      </w:pPr>
      <w:r w:rsidRPr="00736A4E">
        <w:rPr>
          <w:sz w:val="20"/>
        </w:rPr>
        <w:tab/>
        <w:t xml:space="preserve">La puissance surfacique admissible augmente en fonction de </w:t>
      </w:r>
      <w:r w:rsidRPr="00736A4E">
        <w:rPr>
          <w:i/>
          <w:iCs/>
          <w:sz w:val="20"/>
        </w:rPr>
        <w:t>S</w:t>
      </w:r>
      <w:r w:rsidRPr="00736A4E">
        <w:rPr>
          <w:sz w:val="20"/>
        </w:rPr>
        <w:t xml:space="preserve"> qui, à son tour, augmente en fonction de l'angle d'incidence </w:t>
      </w:r>
      <w:r w:rsidRPr="00736A4E">
        <w:rPr>
          <w:rFonts w:ascii="Symbol" w:hAnsi="Symbol"/>
          <w:sz w:val="20"/>
        </w:rPr>
        <w:t></w:t>
      </w:r>
      <w:r w:rsidRPr="00736A4E">
        <w:rPr>
          <w:sz w:val="20"/>
        </w:rPr>
        <w:t xml:space="preserve">. On peut calculer la puissance surfacique en fonction de </w:t>
      </w:r>
      <w:r w:rsidRPr="00736A4E">
        <w:rPr>
          <w:i/>
          <w:iCs/>
          <w:sz w:val="20"/>
        </w:rPr>
        <w:t>S</w:t>
      </w:r>
      <w:r w:rsidRPr="00736A4E">
        <w:rPr>
          <w:sz w:val="20"/>
        </w:rPr>
        <w:t xml:space="preserve"> à l'aide de l'équation (16), à laquelle on associe les fonctions (</w:t>
      </w:r>
      <w:r w:rsidRPr="00736A4E">
        <w:rPr>
          <w:rFonts w:ascii="Symbol" w:hAnsi="Symbol"/>
          <w:sz w:val="20"/>
        </w:rPr>
        <w:t></w:t>
      </w:r>
      <w:r w:rsidRPr="00736A4E">
        <w:rPr>
          <w:i/>
          <w:iCs/>
          <w:sz w:val="20"/>
        </w:rPr>
        <w:t>G</w:t>
      </w:r>
      <w:r w:rsidRPr="00736A4E">
        <w:rPr>
          <w:sz w:val="20"/>
        </w:rPr>
        <w:t>)/(</w:t>
      </w:r>
      <w:r w:rsidRPr="00736A4E">
        <w:rPr>
          <w:i/>
          <w:iCs/>
          <w:sz w:val="20"/>
        </w:rPr>
        <w:t>S</w:t>
      </w:r>
      <w:r w:rsidRPr="00736A4E">
        <w:rPr>
          <w:sz w:val="20"/>
        </w:rPr>
        <w:t xml:space="preserve">) élaborées au § 2.2.5 pour </w:t>
      </w:r>
      <w:r w:rsidRPr="00736A4E">
        <w:rPr>
          <w:i/>
          <w:iCs/>
          <w:sz w:val="20"/>
        </w:rPr>
        <w:t>P</w:t>
      </w:r>
      <w:r w:rsidRPr="00736A4E">
        <w:rPr>
          <w:sz w:val="20"/>
        </w:rPr>
        <w:t>(</w:t>
      </w:r>
      <w:r w:rsidRPr="00736A4E">
        <w:rPr>
          <w:rFonts w:ascii="Symbol" w:hAnsi="Symbol"/>
          <w:sz w:val="20"/>
        </w:rPr>
        <w:t></w:t>
      </w:r>
      <w:r w:rsidRPr="00736A4E">
        <w:rPr>
          <w:i/>
          <w:iCs/>
          <w:sz w:val="20"/>
        </w:rPr>
        <w:t>G</w:t>
      </w:r>
      <w:r w:rsidRPr="00736A4E">
        <w:rPr>
          <w:sz w:val="20"/>
        </w:rPr>
        <w:t>) </w:t>
      </w:r>
      <w:r w:rsidRPr="00736A4E">
        <w:rPr>
          <w:rFonts w:ascii="Symbol" w:hAnsi="Symbol"/>
          <w:sz w:val="20"/>
        </w:rPr>
        <w:t></w:t>
      </w:r>
      <w:r w:rsidRPr="00736A4E">
        <w:rPr>
          <w:rFonts w:hint="eastAsia"/>
          <w:sz w:val="20"/>
        </w:rPr>
        <w:t> </w:t>
      </w:r>
      <w:r w:rsidRPr="00736A4E">
        <w:rPr>
          <w:sz w:val="20"/>
        </w:rPr>
        <w:t xml:space="preserve">0,003611, valeur qui à son tour est utilisée dans l'équation (10). La valeur minimum de </w:t>
      </w:r>
      <w:r w:rsidRPr="00736A4E">
        <w:rPr>
          <w:i/>
          <w:iCs/>
          <w:sz w:val="20"/>
        </w:rPr>
        <w:t>S</w:t>
      </w:r>
      <w:r w:rsidRPr="00736A4E">
        <w:rPr>
          <w:sz w:val="20"/>
        </w:rPr>
        <w:t xml:space="preserve"> est de 0,001262 stéradians.</w:t>
      </w:r>
    </w:p>
    <w:p w:rsidR="006F415D" w:rsidRPr="00736A4E" w:rsidRDefault="006F415D" w:rsidP="006F415D">
      <w:pPr>
        <w:pStyle w:val="enumlev1"/>
        <w:rPr>
          <w:sz w:val="20"/>
        </w:rPr>
      </w:pPr>
      <w:bookmarkStart w:id="4" w:name="dsgno"/>
      <w:bookmarkEnd w:id="4"/>
      <w:r w:rsidRPr="00736A4E">
        <w:rPr>
          <w:sz w:val="20"/>
        </w:rPr>
        <w:t>–</w:t>
      </w:r>
      <w:r w:rsidRPr="00736A4E">
        <w:rPr>
          <w:sz w:val="20"/>
        </w:rPr>
        <w:tab/>
        <w:t>Augmentation de la puissance surfacique due à une marge excédentaire</w:t>
      </w:r>
    </w:p>
    <w:p w:rsidR="006F415D" w:rsidRPr="00736A4E" w:rsidRDefault="006F415D" w:rsidP="006F415D">
      <w:pPr>
        <w:pStyle w:val="enumlev1"/>
        <w:rPr>
          <w:sz w:val="20"/>
        </w:rPr>
      </w:pPr>
      <w:r w:rsidRPr="00736A4E">
        <w:rPr>
          <w:sz w:val="20"/>
        </w:rPr>
        <w:tab/>
        <w:t xml:space="preserve">Il existera une distance, </w:t>
      </w:r>
      <w:r w:rsidRPr="00736A4E">
        <w:rPr>
          <w:i/>
          <w:iCs/>
          <w:sz w:val="20"/>
        </w:rPr>
        <w:t>d</w:t>
      </w:r>
      <w:r w:rsidRPr="00736A4E">
        <w:rPr>
          <w:position w:val="-4"/>
          <w:sz w:val="20"/>
        </w:rPr>
        <w:t>0</w:t>
      </w:r>
      <w:r w:rsidRPr="00736A4E">
        <w:rPr>
          <w:sz w:val="20"/>
        </w:rPr>
        <w:t xml:space="preserve">, entre la station réceptrice de télémesure et l'aéronef à laquelle la disponibilité souhaitée est généralement dépassée. On dispose donc d'une marge excédentaire qui pourrait être utilisée pour augmenter la puissance surfacique admissible. On peut déterminer comme suit la valeur de </w:t>
      </w:r>
      <w:r w:rsidRPr="00736A4E">
        <w:rPr>
          <w:i/>
          <w:iCs/>
          <w:sz w:val="20"/>
        </w:rPr>
        <w:t>d</w:t>
      </w:r>
      <w:r w:rsidRPr="00736A4E">
        <w:rPr>
          <w:position w:val="-4"/>
          <w:sz w:val="20"/>
        </w:rPr>
        <w:t>0</w:t>
      </w:r>
      <w:r w:rsidRPr="00736A4E">
        <w:rPr>
          <w:sz w:val="20"/>
        </w:rPr>
        <w:t>:</w:t>
      </w:r>
    </w:p>
    <w:p w:rsidR="006F415D" w:rsidRPr="00736A4E" w:rsidRDefault="006F415D" w:rsidP="006F415D">
      <w:pPr>
        <w:pStyle w:val="Equation"/>
        <w:rPr>
          <w:sz w:val="22"/>
          <w:szCs w:val="22"/>
          <w:lang w:val="fr-CH"/>
        </w:rPr>
      </w:pPr>
      <w:r w:rsidRPr="00736A4E">
        <w:rPr>
          <w:sz w:val="22"/>
          <w:szCs w:val="22"/>
        </w:rPr>
        <w:tab/>
      </w:r>
      <w:r w:rsidRPr="00736A4E">
        <w:rPr>
          <w:sz w:val="22"/>
          <w:szCs w:val="22"/>
        </w:rPr>
        <w:tab/>
      </w:r>
      <w:r w:rsidRPr="00736A4E">
        <w:rPr>
          <w:position w:val="-34"/>
          <w:sz w:val="22"/>
          <w:szCs w:val="22"/>
        </w:rPr>
        <w:object w:dxaOrig="3420" w:dyaOrig="859">
          <v:shape id="_x0000_i1039" type="#_x0000_t75" style="width:170.95pt;height:43.1pt" o:ole="">
            <v:imagedata r:id="rId48" o:title=""/>
          </v:shape>
          <o:OLEObject Type="Embed" ProgID="Equation.3" ShapeID="_x0000_i1039" DrawAspect="Content" ObjectID="_1369136235" r:id="rId49"/>
        </w:object>
      </w:r>
      <w:r w:rsidRPr="00736A4E">
        <w:rPr>
          <w:sz w:val="22"/>
          <w:szCs w:val="22"/>
        </w:rPr>
        <w:t>                        km</w:t>
      </w:r>
      <w:r w:rsidRPr="00736A4E">
        <w:rPr>
          <w:sz w:val="22"/>
          <w:szCs w:val="22"/>
          <w:lang w:val="fr-CH"/>
        </w:rPr>
        <w:tab/>
        <w:t>(17)</w:t>
      </w:r>
    </w:p>
    <w:p w:rsidR="006F415D" w:rsidRPr="00736A4E" w:rsidRDefault="006F415D" w:rsidP="006F415D">
      <w:pPr>
        <w:pStyle w:val="enumlev1"/>
        <w:rPr>
          <w:sz w:val="20"/>
        </w:rPr>
      </w:pPr>
      <w:r w:rsidRPr="00736A4E">
        <w:rPr>
          <w:sz w:val="20"/>
        </w:rPr>
        <w:tab/>
        <w:t>où:</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P</w:t>
      </w:r>
      <w:r w:rsidRPr="00736A4E">
        <w:rPr>
          <w:sz w:val="20"/>
        </w:rPr>
        <w:t>:</w:t>
      </w:r>
      <w:r w:rsidRPr="00736A4E">
        <w:rPr>
          <w:sz w:val="20"/>
        </w:rPr>
        <w:tab/>
        <w:t xml:space="preserve">puissance de l'aéronef (W) </w:t>
      </w:r>
      <w:r w:rsidRPr="00736A4E">
        <w:rPr>
          <w:rFonts w:ascii="Symbol" w:hAnsi="Symbol"/>
          <w:sz w:val="20"/>
        </w:rPr>
        <w:t></w:t>
      </w:r>
      <w:r w:rsidRPr="00736A4E">
        <w:rPr>
          <w:sz w:val="20"/>
        </w:rPr>
        <w:t xml:space="preserve"> 4</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G</w:t>
      </w:r>
      <w:r w:rsidRPr="00736A4E">
        <w:rPr>
          <w:i/>
          <w:iCs/>
          <w:position w:val="-4"/>
          <w:sz w:val="20"/>
        </w:rPr>
        <w:t>a</w:t>
      </w:r>
      <w:r w:rsidRPr="00736A4E">
        <w:rPr>
          <w:sz w:val="20"/>
        </w:rPr>
        <w:t>:</w:t>
      </w:r>
      <w:r w:rsidRPr="00736A4E">
        <w:rPr>
          <w:sz w:val="20"/>
        </w:rPr>
        <w:tab/>
        <w:t xml:space="preserve">gain d'antenne médian de l'aéronef </w:t>
      </w:r>
      <w:r w:rsidRPr="00736A4E">
        <w:rPr>
          <w:rFonts w:ascii="Symbol" w:hAnsi="Symbol"/>
          <w:sz w:val="20"/>
        </w:rPr>
        <w:t></w:t>
      </w:r>
      <w:r w:rsidRPr="00736A4E">
        <w:rPr>
          <w:sz w:val="20"/>
        </w:rPr>
        <w:t xml:space="preserve"> 0,2</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G</w:t>
      </w:r>
      <w:r w:rsidRPr="00736A4E">
        <w:rPr>
          <w:position w:val="-4"/>
          <w:sz w:val="20"/>
        </w:rPr>
        <w:t>0</w:t>
      </w:r>
      <w:r w:rsidRPr="00736A4E">
        <w:rPr>
          <w:sz w:val="20"/>
        </w:rPr>
        <w:t>:</w:t>
      </w:r>
      <w:r w:rsidRPr="00736A4E">
        <w:rPr>
          <w:sz w:val="20"/>
        </w:rPr>
        <w:tab/>
        <w:t xml:space="preserve">gain de l'antenne réceptrice de télémesure </w:t>
      </w:r>
      <w:r w:rsidRPr="00736A4E">
        <w:rPr>
          <w:rFonts w:ascii="Symbol" w:hAnsi="Symbol"/>
          <w:sz w:val="20"/>
        </w:rPr>
        <w:t></w:t>
      </w:r>
      <w:r w:rsidRPr="00736A4E">
        <w:rPr>
          <w:sz w:val="20"/>
        </w:rPr>
        <w:t xml:space="preserve"> 800</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M</w:t>
      </w:r>
      <w:r w:rsidRPr="00736A4E">
        <w:rPr>
          <w:sz w:val="20"/>
        </w:rPr>
        <w:t>:</w:t>
      </w:r>
      <w:r w:rsidRPr="00736A4E">
        <w:rPr>
          <w:sz w:val="20"/>
        </w:rPr>
        <w:tab/>
        <w:t xml:space="preserve">marge de disponibilité requise </w:t>
      </w:r>
      <w:r w:rsidRPr="00736A4E">
        <w:rPr>
          <w:rFonts w:ascii="Symbol" w:hAnsi="Symbol"/>
          <w:sz w:val="20"/>
        </w:rPr>
        <w:t></w:t>
      </w:r>
      <w:r w:rsidRPr="00736A4E">
        <w:rPr>
          <w:sz w:val="20"/>
        </w:rPr>
        <w:t xml:space="preserve"> 300</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f</w:t>
      </w:r>
      <w:r w:rsidRPr="00736A4E">
        <w:rPr>
          <w:sz w:val="20"/>
        </w:rPr>
        <w:t>:</w:t>
      </w:r>
      <w:r w:rsidRPr="00736A4E">
        <w:rPr>
          <w:sz w:val="20"/>
        </w:rPr>
        <w:tab/>
        <w:t xml:space="preserve">fréquence (MHz) </w:t>
      </w:r>
      <w:r w:rsidRPr="00736A4E">
        <w:rPr>
          <w:rFonts w:ascii="Symbol" w:hAnsi="Symbol"/>
          <w:sz w:val="20"/>
        </w:rPr>
        <w:t></w:t>
      </w:r>
      <w:r w:rsidRPr="00736A4E">
        <w:rPr>
          <w:sz w:val="20"/>
        </w:rPr>
        <w:t xml:space="preserve"> 1</w:t>
      </w:r>
      <w:r w:rsidRPr="00736A4E">
        <w:rPr>
          <w:rFonts w:ascii="Tms Rmn" w:hAnsi="Tms Rmn"/>
          <w:sz w:val="20"/>
        </w:rPr>
        <w:t> </w:t>
      </w:r>
      <w:r w:rsidRPr="00736A4E">
        <w:rPr>
          <w:sz w:val="20"/>
        </w:rPr>
        <w:t>500</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k</w:t>
      </w:r>
      <w:r w:rsidRPr="00736A4E">
        <w:rPr>
          <w:sz w:val="20"/>
        </w:rPr>
        <w:t>:</w:t>
      </w:r>
      <w:r w:rsidRPr="00736A4E">
        <w:rPr>
          <w:sz w:val="20"/>
        </w:rPr>
        <w:tab/>
        <w:t>constante de Boltzmann</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T</w:t>
      </w:r>
      <w:r w:rsidRPr="00736A4E">
        <w:rPr>
          <w:sz w:val="20"/>
        </w:rPr>
        <w:t>:</w:t>
      </w:r>
      <w:r w:rsidRPr="00736A4E">
        <w:rPr>
          <w:sz w:val="20"/>
        </w:rPr>
        <w:tab/>
        <w:t xml:space="preserve">température de bruit (K) </w:t>
      </w:r>
      <w:r w:rsidRPr="00736A4E">
        <w:rPr>
          <w:rFonts w:ascii="Symbol" w:hAnsi="Symbol"/>
          <w:sz w:val="20"/>
        </w:rPr>
        <w:t></w:t>
      </w:r>
      <w:r w:rsidRPr="00736A4E">
        <w:rPr>
          <w:sz w:val="20"/>
        </w:rPr>
        <w:t xml:space="preserve"> 250</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i/>
          <w:iCs/>
          <w:sz w:val="20"/>
        </w:rPr>
        <w:tab/>
        <w:t>B</w:t>
      </w:r>
      <w:r w:rsidRPr="00736A4E">
        <w:rPr>
          <w:sz w:val="20"/>
        </w:rPr>
        <w:t>:</w:t>
      </w:r>
      <w:r w:rsidRPr="00736A4E">
        <w:rPr>
          <w:sz w:val="20"/>
        </w:rPr>
        <w:tab/>
        <w:t xml:space="preserve">largeur de bande (Hz) </w:t>
      </w:r>
      <w:r w:rsidRPr="00736A4E">
        <w:rPr>
          <w:rFonts w:ascii="Symbol" w:hAnsi="Symbol"/>
          <w:sz w:val="20"/>
        </w:rPr>
        <w:t></w:t>
      </w:r>
      <w:r w:rsidRPr="00736A4E">
        <w:rPr>
          <w:sz w:val="20"/>
        </w:rPr>
        <w:t xml:space="preserve"> 3 </w:t>
      </w:r>
      <w:r w:rsidRPr="00736A4E">
        <w:rPr>
          <w:rFonts w:ascii="Symbol" w:hAnsi="Symbol"/>
          <w:sz w:val="20"/>
        </w:rPr>
        <w:t></w:t>
      </w:r>
      <w:r w:rsidRPr="00736A4E">
        <w:rPr>
          <w:sz w:val="20"/>
        </w:rPr>
        <w:t xml:space="preserve"> 10</w:t>
      </w:r>
      <w:r w:rsidRPr="00736A4E">
        <w:rPr>
          <w:position w:val="6"/>
          <w:sz w:val="20"/>
        </w:rPr>
        <w:t>6</w:t>
      </w:r>
    </w:p>
    <w:p w:rsidR="006F415D" w:rsidRPr="00736A4E" w:rsidRDefault="006F415D" w:rsidP="00474C70">
      <w:pPr>
        <w:pStyle w:val="enumlev2"/>
        <w:tabs>
          <w:tab w:val="clear" w:pos="794"/>
          <w:tab w:val="clear" w:pos="1191"/>
          <w:tab w:val="left" w:pos="709"/>
          <w:tab w:val="left" w:pos="1418"/>
        </w:tabs>
        <w:ind w:left="1440" w:hanging="1043"/>
        <w:rPr>
          <w:sz w:val="20"/>
        </w:rPr>
      </w:pPr>
      <w:r w:rsidRPr="00736A4E">
        <w:rPr>
          <w:sz w:val="20"/>
        </w:rPr>
        <w:tab/>
        <w:t>(</w:t>
      </w:r>
      <w:r w:rsidRPr="00736A4E">
        <w:rPr>
          <w:i/>
          <w:iCs/>
          <w:sz w:val="20"/>
        </w:rPr>
        <w:t>C</w:t>
      </w:r>
      <w:r w:rsidRPr="00736A4E">
        <w:rPr>
          <w:sz w:val="20"/>
        </w:rPr>
        <w:t>/</w:t>
      </w:r>
      <w:r w:rsidRPr="00736A4E">
        <w:rPr>
          <w:i/>
          <w:iCs/>
          <w:sz w:val="20"/>
        </w:rPr>
        <w:t>N</w:t>
      </w:r>
      <w:r w:rsidRPr="00736A4E">
        <w:rPr>
          <w:sz w:val="20"/>
        </w:rPr>
        <w:t>)</w:t>
      </w:r>
      <w:r w:rsidRPr="00736A4E">
        <w:rPr>
          <w:i/>
          <w:iCs/>
          <w:position w:val="-4"/>
          <w:sz w:val="20"/>
        </w:rPr>
        <w:t>T</w:t>
      </w:r>
      <w:r w:rsidRPr="00736A4E">
        <w:rPr>
          <w:sz w:val="20"/>
        </w:rPr>
        <w:t>:</w:t>
      </w:r>
      <w:r w:rsidRPr="00736A4E">
        <w:rPr>
          <w:sz w:val="20"/>
        </w:rPr>
        <w:tab/>
        <w:t xml:space="preserve">valeur seuil </w:t>
      </w:r>
      <w:r w:rsidRPr="00736A4E">
        <w:rPr>
          <w:rFonts w:ascii="Symbol" w:hAnsi="Symbol"/>
          <w:sz w:val="20"/>
        </w:rPr>
        <w:t></w:t>
      </w:r>
      <w:r w:rsidRPr="00736A4E">
        <w:rPr>
          <w:sz w:val="20"/>
        </w:rPr>
        <w:t xml:space="preserve"> 32.</w:t>
      </w:r>
    </w:p>
    <w:p w:rsidR="006F415D" w:rsidRPr="00736A4E" w:rsidRDefault="006F415D" w:rsidP="006F415D">
      <w:pPr>
        <w:rPr>
          <w:sz w:val="20"/>
        </w:rPr>
      </w:pPr>
      <w:r w:rsidRPr="00736A4E">
        <w:rPr>
          <w:sz w:val="20"/>
        </w:rPr>
        <w:t>Les valeurs nominales de chaque paramètre énumérées ci</w:t>
      </w:r>
      <w:r w:rsidRPr="00736A4E">
        <w:rPr>
          <w:sz w:val="20"/>
        </w:rPr>
        <w:noBreakHyphen/>
        <w:t xml:space="preserve">dessus sont considérées comme les mieux indiquées pour déterminer </w:t>
      </w:r>
      <w:r w:rsidRPr="00736A4E">
        <w:rPr>
          <w:i/>
          <w:iCs/>
          <w:sz w:val="20"/>
        </w:rPr>
        <w:t>d</w:t>
      </w:r>
      <w:r w:rsidRPr="00736A4E">
        <w:rPr>
          <w:position w:val="-4"/>
          <w:sz w:val="20"/>
        </w:rPr>
        <w:t>0</w:t>
      </w:r>
      <w:r w:rsidRPr="00736A4E">
        <w:rPr>
          <w:sz w:val="20"/>
        </w:rPr>
        <w:t xml:space="preserve">. Avec l'équation (17) on obtient avec ces valeurs une distance </w:t>
      </w:r>
      <w:r w:rsidRPr="00736A4E">
        <w:rPr>
          <w:i/>
          <w:iCs/>
          <w:sz w:val="20"/>
        </w:rPr>
        <w:t>d</w:t>
      </w:r>
      <w:r w:rsidRPr="00736A4E">
        <w:rPr>
          <w:position w:val="-4"/>
          <w:sz w:val="20"/>
        </w:rPr>
        <w:t>0</w:t>
      </w:r>
      <w:r w:rsidRPr="00736A4E">
        <w:rPr>
          <w:sz w:val="20"/>
        </w:rPr>
        <w:t xml:space="preserve"> de 40 km.</w:t>
      </w:r>
    </w:p>
    <w:p w:rsidR="006F415D" w:rsidRPr="00736A4E" w:rsidRDefault="006F415D" w:rsidP="006F415D">
      <w:pPr>
        <w:rPr>
          <w:sz w:val="20"/>
        </w:rPr>
      </w:pPr>
      <w:r w:rsidRPr="00736A4E">
        <w:rPr>
          <w:sz w:val="20"/>
        </w:rPr>
        <w:t xml:space="preserve">L'angle d'incidence </w:t>
      </w:r>
      <w:r w:rsidRPr="00736A4E">
        <w:rPr>
          <w:rFonts w:ascii="Symbol" w:hAnsi="Symbol"/>
          <w:sz w:val="20"/>
        </w:rPr>
        <w:t></w:t>
      </w:r>
      <w:r w:rsidRPr="00736A4E">
        <w:rPr>
          <w:sz w:val="20"/>
        </w:rPr>
        <w:t xml:space="preserve"> est déterminé par la distance, </w:t>
      </w:r>
      <w:r w:rsidRPr="00736A4E">
        <w:rPr>
          <w:i/>
          <w:iCs/>
          <w:sz w:val="20"/>
        </w:rPr>
        <w:t>d</w:t>
      </w:r>
      <w:r w:rsidRPr="00736A4E">
        <w:rPr>
          <w:sz w:val="20"/>
        </w:rPr>
        <w:t xml:space="preserve"> et l'altitude de l'aéronef, </w:t>
      </w:r>
      <w:r w:rsidRPr="00736A4E">
        <w:rPr>
          <w:i/>
          <w:iCs/>
          <w:sz w:val="20"/>
        </w:rPr>
        <w:t>h</w:t>
      </w:r>
      <w:r w:rsidRPr="00736A4E">
        <w:rPr>
          <w:sz w:val="20"/>
        </w:rPr>
        <w:t>, et s'exprime comme suit:</w:t>
      </w:r>
    </w:p>
    <w:p w:rsidR="006F415D" w:rsidRPr="00736A4E" w:rsidRDefault="006F415D" w:rsidP="006F415D">
      <w:pPr>
        <w:pStyle w:val="Equation"/>
        <w:rPr>
          <w:sz w:val="22"/>
          <w:szCs w:val="22"/>
        </w:rPr>
      </w:pPr>
      <w:r w:rsidRPr="00736A4E">
        <w:rPr>
          <w:sz w:val="22"/>
          <w:szCs w:val="22"/>
        </w:rPr>
        <w:tab/>
      </w:r>
      <w:r w:rsidRPr="00736A4E">
        <w:rPr>
          <w:sz w:val="22"/>
          <w:szCs w:val="22"/>
        </w:rPr>
        <w:tab/>
      </w:r>
      <w:r w:rsidRPr="00736A4E">
        <w:rPr>
          <w:sz w:val="22"/>
          <w:szCs w:val="22"/>
        </w:rPr>
        <w:sym w:font="Symbol" w:char="F061"/>
      </w:r>
      <w:r w:rsidRPr="00736A4E">
        <w:rPr>
          <w:sz w:val="22"/>
          <w:szCs w:val="22"/>
        </w:rPr>
        <w:t xml:space="preserve">  </w:t>
      </w:r>
      <w:r w:rsidRPr="00736A4E">
        <w:rPr>
          <w:rFonts w:ascii="Symbol" w:hAnsi="Symbol"/>
          <w:sz w:val="22"/>
          <w:szCs w:val="22"/>
        </w:rPr>
        <w:t></w:t>
      </w:r>
      <w:r w:rsidRPr="00736A4E">
        <w:rPr>
          <w:sz w:val="22"/>
          <w:szCs w:val="22"/>
        </w:rPr>
        <w:t xml:space="preserve">  arc sin (</w:t>
      </w:r>
      <w:r w:rsidRPr="00736A4E">
        <w:rPr>
          <w:i/>
          <w:iCs/>
          <w:sz w:val="22"/>
          <w:szCs w:val="22"/>
        </w:rPr>
        <w:t>h</w:t>
      </w:r>
      <w:r w:rsidRPr="00736A4E">
        <w:rPr>
          <w:sz w:val="22"/>
          <w:szCs w:val="22"/>
        </w:rPr>
        <w:t>/</w:t>
      </w:r>
      <w:r w:rsidRPr="00736A4E">
        <w:rPr>
          <w:i/>
          <w:iCs/>
          <w:sz w:val="22"/>
          <w:szCs w:val="22"/>
        </w:rPr>
        <w:t>d</w:t>
      </w:r>
      <w:r w:rsidRPr="00736A4E">
        <w:rPr>
          <w:sz w:val="22"/>
          <w:szCs w:val="22"/>
        </w:rPr>
        <w:t>)</w:t>
      </w:r>
      <w:r w:rsidRPr="00736A4E">
        <w:rPr>
          <w:sz w:val="22"/>
          <w:szCs w:val="22"/>
        </w:rPr>
        <w:tab/>
        <w:t>(18)</w:t>
      </w:r>
    </w:p>
    <w:p w:rsidR="006F415D" w:rsidRPr="00736A4E" w:rsidRDefault="006F415D" w:rsidP="006F415D">
      <w:pPr>
        <w:rPr>
          <w:sz w:val="20"/>
        </w:rPr>
      </w:pPr>
      <w:r w:rsidRPr="00736A4E">
        <w:rPr>
          <w:sz w:val="20"/>
        </w:rPr>
        <w:t xml:space="preserve">On peut déterminer à partir de l'équation (18), </w:t>
      </w:r>
      <w:r w:rsidRPr="00736A4E">
        <w:rPr>
          <w:rFonts w:ascii="Symbol" w:hAnsi="Symbol"/>
          <w:sz w:val="20"/>
        </w:rPr>
        <w:t></w:t>
      </w:r>
      <w:r w:rsidRPr="00736A4E">
        <w:rPr>
          <w:sz w:val="20"/>
        </w:rPr>
        <w:t xml:space="preserve"> en fonction de </w:t>
      </w:r>
      <w:r w:rsidRPr="00736A4E">
        <w:rPr>
          <w:i/>
          <w:iCs/>
          <w:sz w:val="20"/>
        </w:rPr>
        <w:t>d</w:t>
      </w:r>
      <w:r w:rsidRPr="00736A4E">
        <w:rPr>
          <w:sz w:val="20"/>
        </w:rPr>
        <w:t xml:space="preserve">, pour des valeurs de </w:t>
      </w:r>
      <w:r w:rsidRPr="00736A4E">
        <w:rPr>
          <w:i/>
          <w:iCs/>
          <w:sz w:val="20"/>
        </w:rPr>
        <w:t>d</w:t>
      </w:r>
      <w:r w:rsidRPr="00736A4E">
        <w:rPr>
          <w:sz w:val="20"/>
        </w:rPr>
        <w:t xml:space="preserve"> comprises entre </w:t>
      </w:r>
      <w:r w:rsidRPr="00736A4E">
        <w:rPr>
          <w:i/>
          <w:iCs/>
          <w:sz w:val="20"/>
        </w:rPr>
        <w:t>d</w:t>
      </w:r>
      <w:r w:rsidRPr="00736A4E">
        <w:rPr>
          <w:position w:val="-4"/>
          <w:sz w:val="20"/>
        </w:rPr>
        <w:t>0</w:t>
      </w:r>
      <w:r w:rsidRPr="00736A4E">
        <w:rPr>
          <w:sz w:val="20"/>
        </w:rPr>
        <w:t xml:space="preserve"> et </w:t>
      </w:r>
      <w:r w:rsidRPr="00736A4E">
        <w:rPr>
          <w:i/>
          <w:iCs/>
          <w:sz w:val="20"/>
        </w:rPr>
        <w:t>h</w:t>
      </w:r>
      <w:r w:rsidRPr="00736A4E">
        <w:rPr>
          <w:sz w:val="20"/>
        </w:rPr>
        <w:t xml:space="preserve">. La marge excédentaire, </w:t>
      </w:r>
      <w:r w:rsidRPr="00736A4E">
        <w:rPr>
          <w:i/>
          <w:iCs/>
          <w:sz w:val="20"/>
        </w:rPr>
        <w:t>M</w:t>
      </w:r>
      <w:r w:rsidRPr="00736A4E">
        <w:rPr>
          <w:i/>
          <w:iCs/>
          <w:position w:val="-4"/>
          <w:sz w:val="20"/>
        </w:rPr>
        <w:t>e</w:t>
      </w:r>
      <w:r w:rsidRPr="00736A4E">
        <w:rPr>
          <w:i/>
          <w:iCs/>
          <w:sz w:val="20"/>
        </w:rPr>
        <w:t>,</w:t>
      </w:r>
      <w:r w:rsidRPr="00736A4E">
        <w:rPr>
          <w:sz w:val="20"/>
        </w:rPr>
        <w:t xml:space="preserve"> qui peut être utilisée pour augmenter la puissance surfacique est:</w:t>
      </w:r>
    </w:p>
    <w:p w:rsidR="006F415D" w:rsidRPr="00736A4E" w:rsidRDefault="006F415D" w:rsidP="006F415D">
      <w:pPr>
        <w:pStyle w:val="Equation"/>
        <w:rPr>
          <w:sz w:val="22"/>
          <w:szCs w:val="22"/>
        </w:rPr>
      </w:pPr>
      <w:r w:rsidRPr="00736A4E">
        <w:rPr>
          <w:sz w:val="22"/>
          <w:szCs w:val="22"/>
        </w:rPr>
        <w:tab/>
      </w:r>
      <w:r w:rsidRPr="00736A4E">
        <w:rPr>
          <w:sz w:val="22"/>
          <w:szCs w:val="22"/>
        </w:rPr>
        <w:tab/>
      </w:r>
      <w:r w:rsidRPr="00736A4E">
        <w:rPr>
          <w:i/>
          <w:iCs/>
          <w:sz w:val="22"/>
          <w:szCs w:val="22"/>
        </w:rPr>
        <w:t>M</w:t>
      </w:r>
      <w:r w:rsidRPr="00736A4E">
        <w:rPr>
          <w:i/>
          <w:iCs/>
          <w:position w:val="-4"/>
          <w:sz w:val="22"/>
          <w:szCs w:val="22"/>
        </w:rPr>
        <w:t>e</w:t>
      </w:r>
      <w:r w:rsidRPr="00736A4E">
        <w:rPr>
          <w:sz w:val="22"/>
          <w:szCs w:val="22"/>
        </w:rPr>
        <w:t xml:space="preserve">  </w:t>
      </w:r>
      <w:r w:rsidRPr="00736A4E">
        <w:rPr>
          <w:rFonts w:ascii="Symbol" w:hAnsi="Symbol"/>
          <w:sz w:val="22"/>
          <w:szCs w:val="22"/>
        </w:rPr>
        <w:t></w:t>
      </w:r>
      <w:r w:rsidRPr="00736A4E">
        <w:rPr>
          <w:sz w:val="22"/>
          <w:szCs w:val="22"/>
        </w:rPr>
        <w:t xml:space="preserve">  (</w:t>
      </w:r>
      <w:r w:rsidRPr="00736A4E">
        <w:rPr>
          <w:i/>
          <w:iCs/>
          <w:sz w:val="22"/>
          <w:szCs w:val="22"/>
        </w:rPr>
        <w:t>d</w:t>
      </w:r>
      <w:r w:rsidRPr="00736A4E">
        <w:rPr>
          <w:position w:val="-4"/>
          <w:sz w:val="22"/>
          <w:szCs w:val="22"/>
        </w:rPr>
        <w:t>0</w:t>
      </w:r>
      <w:r w:rsidRPr="00736A4E">
        <w:rPr>
          <w:rFonts w:ascii="Tms Rmn" w:hAnsi="Tms Rmn"/>
          <w:sz w:val="22"/>
          <w:szCs w:val="22"/>
        </w:rPr>
        <w:t> </w:t>
      </w:r>
      <w:r w:rsidRPr="00736A4E">
        <w:rPr>
          <w:sz w:val="22"/>
          <w:szCs w:val="22"/>
        </w:rPr>
        <w:t>/</w:t>
      </w:r>
      <w:r w:rsidRPr="00736A4E">
        <w:rPr>
          <w:i/>
          <w:iCs/>
          <w:sz w:val="22"/>
          <w:szCs w:val="22"/>
        </w:rPr>
        <w:t>d</w:t>
      </w:r>
      <w:r w:rsidRPr="00736A4E">
        <w:rPr>
          <w:sz w:val="22"/>
          <w:szCs w:val="22"/>
        </w:rPr>
        <w:t>)</w:t>
      </w:r>
      <w:r w:rsidRPr="00736A4E">
        <w:rPr>
          <w:position w:val="6"/>
          <w:sz w:val="22"/>
          <w:szCs w:val="22"/>
        </w:rPr>
        <w:t>2</w:t>
      </w:r>
      <w:r w:rsidRPr="00736A4E">
        <w:rPr>
          <w:sz w:val="22"/>
          <w:szCs w:val="22"/>
        </w:rPr>
        <w:tab/>
        <w:t>(19)</w:t>
      </w:r>
    </w:p>
    <w:p w:rsidR="006F415D" w:rsidRPr="00736A4E" w:rsidRDefault="006F415D" w:rsidP="006F415D">
      <w:pPr>
        <w:rPr>
          <w:sz w:val="20"/>
        </w:rPr>
      </w:pPr>
      <w:r w:rsidRPr="00736A4E">
        <w:rPr>
          <w:sz w:val="20"/>
        </w:rPr>
        <w:t xml:space="preserve">On part de l'hypothèse que la valeur maximale de </w:t>
      </w:r>
      <w:r w:rsidRPr="00736A4E">
        <w:rPr>
          <w:i/>
          <w:iCs/>
          <w:sz w:val="20"/>
        </w:rPr>
        <w:t>h</w:t>
      </w:r>
      <w:r w:rsidRPr="00736A4E">
        <w:rPr>
          <w:sz w:val="20"/>
        </w:rPr>
        <w:t xml:space="preserve"> est de 20 km. A l'aide de ces valeurs, on calcule </w:t>
      </w:r>
      <w:r w:rsidRPr="00736A4E">
        <w:rPr>
          <w:i/>
          <w:iCs/>
          <w:sz w:val="20"/>
        </w:rPr>
        <w:t>M</w:t>
      </w:r>
      <w:r w:rsidRPr="00736A4E">
        <w:rPr>
          <w:i/>
          <w:iCs/>
          <w:position w:val="-4"/>
          <w:sz w:val="20"/>
        </w:rPr>
        <w:t>e</w:t>
      </w:r>
      <w:r w:rsidRPr="00736A4E">
        <w:rPr>
          <w:sz w:val="20"/>
        </w:rPr>
        <w:t xml:space="preserve"> en fonction de </w:t>
      </w:r>
      <w:r w:rsidRPr="00736A4E">
        <w:rPr>
          <w:rFonts w:ascii="Symbol" w:hAnsi="Symbol"/>
          <w:sz w:val="20"/>
        </w:rPr>
        <w:t></w:t>
      </w:r>
      <w:r w:rsidRPr="00736A4E">
        <w:rPr>
          <w:sz w:val="20"/>
        </w:rPr>
        <w:t xml:space="preserve">. Une formulation exacte de cette fonction peut être exprimée comme facteur d'augmentation de la puissance surfacique, </w:t>
      </w:r>
      <w:r w:rsidRPr="00736A4E">
        <w:rPr>
          <w:i/>
          <w:iCs/>
          <w:sz w:val="20"/>
        </w:rPr>
        <w:t>pfd</w:t>
      </w:r>
      <w:r w:rsidRPr="00736A4E">
        <w:rPr>
          <w:i/>
          <w:iCs/>
          <w:position w:val="-4"/>
          <w:sz w:val="20"/>
        </w:rPr>
        <w:t>e</w:t>
      </w:r>
      <w:r w:rsidRPr="00736A4E">
        <w:rPr>
          <w:sz w:val="20"/>
        </w:rPr>
        <w:t>, comme suit:</w:t>
      </w:r>
    </w:p>
    <w:p w:rsidR="006F415D" w:rsidRPr="00736A4E" w:rsidRDefault="006F415D" w:rsidP="00736A4E">
      <w:pPr>
        <w:pStyle w:val="Equation"/>
        <w:tabs>
          <w:tab w:val="clear" w:pos="794"/>
          <w:tab w:val="left" w:pos="1418"/>
          <w:tab w:val="left" w:pos="5954"/>
          <w:tab w:val="decimal" w:pos="6521"/>
          <w:tab w:val="left" w:pos="6804"/>
          <w:tab w:val="left" w:pos="7230"/>
          <w:tab w:val="left" w:pos="7598"/>
          <w:tab w:val="decimal" w:pos="8080"/>
        </w:tabs>
        <w:rPr>
          <w:sz w:val="22"/>
          <w:szCs w:val="22"/>
        </w:rPr>
      </w:pPr>
      <w:r w:rsidRPr="00736A4E">
        <w:rPr>
          <w:sz w:val="22"/>
          <w:szCs w:val="22"/>
        </w:rPr>
        <w:tab/>
      </w:r>
      <w:r w:rsidRPr="00736A4E">
        <w:rPr>
          <w:i/>
          <w:iCs/>
          <w:sz w:val="22"/>
          <w:szCs w:val="22"/>
        </w:rPr>
        <w:t>pfd</w:t>
      </w:r>
      <w:r w:rsidRPr="00736A4E">
        <w:rPr>
          <w:i/>
          <w:iCs/>
          <w:position w:val="-4"/>
          <w:sz w:val="22"/>
          <w:szCs w:val="22"/>
        </w:rPr>
        <w:t>e</w:t>
      </w:r>
      <w:r w:rsidRPr="00736A4E">
        <w:rPr>
          <w:sz w:val="22"/>
          <w:szCs w:val="22"/>
        </w:rPr>
        <w:t xml:space="preserve">  </w:t>
      </w:r>
      <w:r w:rsidRPr="00736A4E">
        <w:rPr>
          <w:rFonts w:ascii="Symbol" w:hAnsi="Symbol"/>
          <w:sz w:val="22"/>
          <w:szCs w:val="22"/>
        </w:rPr>
        <w:t></w:t>
      </w:r>
      <w:r w:rsidRPr="00736A4E">
        <w:rPr>
          <w:sz w:val="22"/>
          <w:szCs w:val="22"/>
        </w:rPr>
        <w:t xml:space="preserve">  1</w:t>
      </w:r>
      <w:r w:rsidRPr="00736A4E">
        <w:rPr>
          <w:sz w:val="22"/>
          <w:szCs w:val="22"/>
        </w:rPr>
        <w:tab/>
        <w:t>pour</w:t>
      </w:r>
      <w:r w:rsidRPr="00736A4E">
        <w:rPr>
          <w:sz w:val="22"/>
          <w:szCs w:val="22"/>
        </w:rPr>
        <w:tab/>
        <w:t>0</w:t>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t>30</w:t>
      </w:r>
      <w:r w:rsidRPr="00736A4E">
        <w:rPr>
          <w:rFonts w:ascii="Symbol" w:hAnsi="Symbol"/>
          <w:sz w:val="22"/>
          <w:szCs w:val="22"/>
        </w:rPr>
        <w:t></w:t>
      </w:r>
      <w:r w:rsidRPr="00736A4E">
        <w:rPr>
          <w:rFonts w:ascii="Symbol" w:hAnsi="Symbol"/>
          <w:sz w:val="22"/>
          <w:szCs w:val="22"/>
        </w:rPr>
        <w:tab/>
      </w:r>
      <w:r w:rsidR="00736A4E">
        <w:rPr>
          <w:rFonts w:ascii="Symbol" w:hAnsi="Symbol"/>
          <w:sz w:val="22"/>
          <w:szCs w:val="22"/>
        </w:rPr>
        <w:tab/>
      </w:r>
      <w:r w:rsidRPr="00736A4E">
        <w:rPr>
          <w:sz w:val="22"/>
          <w:szCs w:val="22"/>
        </w:rPr>
        <w:t>(20a)</w:t>
      </w:r>
    </w:p>
    <w:p w:rsidR="006F415D" w:rsidRPr="00736A4E" w:rsidRDefault="006F415D" w:rsidP="00736A4E">
      <w:pPr>
        <w:pStyle w:val="Equation"/>
        <w:tabs>
          <w:tab w:val="clear" w:pos="794"/>
          <w:tab w:val="left" w:pos="1418"/>
          <w:tab w:val="left" w:pos="5954"/>
          <w:tab w:val="decimal" w:pos="6521"/>
          <w:tab w:val="left" w:pos="6804"/>
          <w:tab w:val="left" w:pos="7230"/>
          <w:tab w:val="left" w:pos="7598"/>
          <w:tab w:val="decimal" w:pos="8080"/>
        </w:tabs>
        <w:rPr>
          <w:sz w:val="22"/>
          <w:szCs w:val="22"/>
        </w:rPr>
      </w:pPr>
      <w:r w:rsidRPr="00736A4E">
        <w:rPr>
          <w:sz w:val="22"/>
          <w:szCs w:val="22"/>
        </w:rPr>
        <w:tab/>
      </w:r>
      <w:r w:rsidRPr="00736A4E">
        <w:rPr>
          <w:i/>
          <w:iCs/>
          <w:sz w:val="22"/>
          <w:szCs w:val="22"/>
        </w:rPr>
        <w:t>pfd</w:t>
      </w:r>
      <w:r w:rsidRPr="00736A4E">
        <w:rPr>
          <w:i/>
          <w:iCs/>
          <w:position w:val="-4"/>
          <w:sz w:val="22"/>
          <w:szCs w:val="22"/>
        </w:rPr>
        <w:t>e</w:t>
      </w:r>
      <w:r w:rsidRPr="00736A4E">
        <w:rPr>
          <w:sz w:val="22"/>
          <w:szCs w:val="22"/>
        </w:rPr>
        <w:t xml:space="preserve">  </w:t>
      </w:r>
      <w:r w:rsidRPr="00736A4E">
        <w:rPr>
          <w:rFonts w:ascii="Symbol" w:hAnsi="Symbol"/>
          <w:sz w:val="22"/>
          <w:szCs w:val="22"/>
        </w:rPr>
        <w:t></w:t>
      </w:r>
      <w:r w:rsidRPr="00736A4E">
        <w:rPr>
          <w:sz w:val="22"/>
          <w:szCs w:val="22"/>
        </w:rPr>
        <w:t xml:space="preserve">  1  </w:t>
      </w:r>
      <w:r w:rsidRPr="00736A4E">
        <w:rPr>
          <w:rFonts w:ascii="Symbol" w:hAnsi="Symbol"/>
          <w:sz w:val="22"/>
          <w:szCs w:val="22"/>
        </w:rPr>
        <w:t></w:t>
      </w:r>
      <w:r w:rsidRPr="00736A4E">
        <w:rPr>
          <w:sz w:val="22"/>
          <w:szCs w:val="22"/>
        </w:rPr>
        <w:t xml:space="preserve">  0,066 (</w:t>
      </w:r>
      <w:r w:rsidRPr="00736A4E">
        <w:rPr>
          <w:rFonts w:ascii="Symbol" w:hAnsi="Symbol"/>
          <w:sz w:val="22"/>
          <w:szCs w:val="22"/>
        </w:rPr>
        <w:t></w:t>
      </w:r>
      <w:r w:rsidRPr="00736A4E">
        <w:rPr>
          <w:sz w:val="22"/>
          <w:szCs w:val="22"/>
        </w:rPr>
        <w:t xml:space="preserve">  –  30)</w:t>
      </w:r>
      <w:r w:rsidRPr="00736A4E">
        <w:rPr>
          <w:sz w:val="22"/>
          <w:szCs w:val="22"/>
        </w:rPr>
        <w:tab/>
        <w:t>pour</w:t>
      </w:r>
      <w:r w:rsidRPr="00736A4E">
        <w:rPr>
          <w:sz w:val="22"/>
          <w:szCs w:val="22"/>
        </w:rPr>
        <w:tab/>
        <w:t>30°</w:t>
      </w:r>
      <w:r w:rsidRPr="00736A4E">
        <w:rPr>
          <w:rFonts w:ascii="Symbol" w:hAnsi="Symbol"/>
          <w:sz w:val="22"/>
          <w:szCs w:val="22"/>
        </w:rPr>
        <w:tab/>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sz w:val="22"/>
          <w:szCs w:val="22"/>
        </w:rPr>
        <w:tab/>
        <w:t>62,5</w:t>
      </w:r>
      <w:r w:rsidRPr="00736A4E">
        <w:rPr>
          <w:rFonts w:ascii="Symbol" w:hAnsi="Symbol"/>
          <w:sz w:val="22"/>
          <w:szCs w:val="22"/>
        </w:rPr>
        <w:t></w:t>
      </w:r>
      <w:r w:rsidRPr="00736A4E">
        <w:rPr>
          <w:sz w:val="22"/>
          <w:szCs w:val="22"/>
        </w:rPr>
        <w:tab/>
      </w:r>
      <w:r w:rsidR="00736A4E">
        <w:rPr>
          <w:sz w:val="22"/>
          <w:szCs w:val="22"/>
        </w:rPr>
        <w:tab/>
      </w:r>
      <w:r w:rsidRPr="00736A4E">
        <w:rPr>
          <w:sz w:val="22"/>
          <w:szCs w:val="22"/>
        </w:rPr>
        <w:t>(20b)</w:t>
      </w:r>
    </w:p>
    <w:p w:rsidR="006F415D" w:rsidRPr="00736A4E" w:rsidRDefault="006F415D" w:rsidP="00736A4E">
      <w:pPr>
        <w:pStyle w:val="Equation"/>
        <w:tabs>
          <w:tab w:val="clear" w:pos="794"/>
          <w:tab w:val="left" w:pos="1418"/>
          <w:tab w:val="left" w:pos="5954"/>
          <w:tab w:val="decimal" w:pos="6521"/>
          <w:tab w:val="left" w:pos="6804"/>
          <w:tab w:val="left" w:pos="7230"/>
          <w:tab w:val="left" w:pos="7598"/>
          <w:tab w:val="decimal" w:pos="8080"/>
        </w:tabs>
        <w:rPr>
          <w:sz w:val="22"/>
          <w:szCs w:val="22"/>
        </w:rPr>
      </w:pPr>
      <w:r w:rsidRPr="00736A4E">
        <w:rPr>
          <w:sz w:val="22"/>
          <w:szCs w:val="22"/>
        </w:rPr>
        <w:tab/>
      </w:r>
      <w:r w:rsidRPr="00736A4E">
        <w:rPr>
          <w:i/>
          <w:iCs/>
          <w:sz w:val="22"/>
          <w:szCs w:val="22"/>
        </w:rPr>
        <w:t>pfd</w:t>
      </w:r>
      <w:r w:rsidRPr="00736A4E">
        <w:rPr>
          <w:i/>
          <w:iCs/>
          <w:position w:val="-4"/>
          <w:sz w:val="22"/>
          <w:szCs w:val="22"/>
        </w:rPr>
        <w:t>e</w:t>
      </w:r>
      <w:r w:rsidRPr="00736A4E">
        <w:rPr>
          <w:sz w:val="22"/>
          <w:szCs w:val="22"/>
        </w:rPr>
        <w:t xml:space="preserve">  </w:t>
      </w:r>
      <w:r w:rsidRPr="00736A4E">
        <w:rPr>
          <w:rFonts w:ascii="Symbol" w:hAnsi="Symbol"/>
          <w:sz w:val="22"/>
          <w:szCs w:val="22"/>
        </w:rPr>
        <w:t></w:t>
      </w:r>
      <w:r w:rsidRPr="00736A4E">
        <w:rPr>
          <w:sz w:val="22"/>
          <w:szCs w:val="22"/>
        </w:rPr>
        <w:t xml:space="preserve">  4 sin</w:t>
      </w:r>
      <w:r w:rsidRPr="00736A4E">
        <w:rPr>
          <w:position w:val="6"/>
          <w:sz w:val="22"/>
          <w:szCs w:val="22"/>
        </w:rPr>
        <w:t>2</w:t>
      </w:r>
      <w:r w:rsidRPr="00736A4E">
        <w:rPr>
          <w:sz w:val="22"/>
          <w:szCs w:val="22"/>
        </w:rPr>
        <w:t xml:space="preserve"> </w:t>
      </w:r>
      <w:r w:rsidRPr="00736A4E">
        <w:rPr>
          <w:rFonts w:ascii="Symbol" w:hAnsi="Symbol"/>
          <w:sz w:val="22"/>
          <w:szCs w:val="22"/>
        </w:rPr>
        <w:t></w:t>
      </w:r>
      <w:r w:rsidRPr="00736A4E">
        <w:rPr>
          <w:sz w:val="22"/>
          <w:szCs w:val="22"/>
        </w:rPr>
        <w:tab/>
        <w:t>pour</w:t>
      </w:r>
      <w:r w:rsidRPr="00736A4E">
        <w:rPr>
          <w:sz w:val="22"/>
          <w:szCs w:val="22"/>
        </w:rPr>
        <w:tab/>
        <w:t>62,5</w:t>
      </w:r>
      <w:r w:rsidRPr="00736A4E">
        <w:rPr>
          <w:rFonts w:ascii="Symbol" w:hAnsi="Symbol"/>
          <w:sz w:val="22"/>
          <w:szCs w:val="22"/>
        </w:rPr>
        <w:t></w:t>
      </w:r>
      <w:r w:rsidRPr="00736A4E">
        <w:rPr>
          <w:sz w:val="22"/>
          <w:szCs w:val="22"/>
        </w:rPr>
        <w:tab/>
        <w:t>&lt;</w:t>
      </w:r>
      <w:r w:rsidRPr="00736A4E">
        <w:rPr>
          <w:sz w:val="22"/>
          <w:szCs w:val="22"/>
        </w:rPr>
        <w:tab/>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t>90</w:t>
      </w:r>
      <w:r w:rsidRPr="00736A4E">
        <w:rPr>
          <w:rFonts w:ascii="Symbol" w:hAnsi="Symbol"/>
          <w:sz w:val="22"/>
          <w:szCs w:val="22"/>
        </w:rPr>
        <w:t></w:t>
      </w:r>
      <w:r w:rsidRPr="00736A4E">
        <w:rPr>
          <w:sz w:val="22"/>
          <w:szCs w:val="22"/>
        </w:rPr>
        <w:tab/>
      </w:r>
      <w:r w:rsidR="00736A4E">
        <w:rPr>
          <w:sz w:val="22"/>
          <w:szCs w:val="22"/>
        </w:rPr>
        <w:tab/>
      </w:r>
      <w:r w:rsidRPr="00736A4E">
        <w:rPr>
          <w:sz w:val="22"/>
          <w:szCs w:val="22"/>
        </w:rPr>
        <w:t>(20c)</w:t>
      </w:r>
    </w:p>
    <w:p w:rsidR="006F415D" w:rsidRPr="00736A4E" w:rsidRDefault="006F415D" w:rsidP="006F415D">
      <w:pPr>
        <w:pStyle w:val="Heading3"/>
        <w:rPr>
          <w:sz w:val="20"/>
        </w:rPr>
      </w:pPr>
      <w:r w:rsidRPr="00736A4E">
        <w:rPr>
          <w:sz w:val="20"/>
        </w:rPr>
        <w:t>2.2.7</w:t>
      </w:r>
      <w:r w:rsidRPr="00736A4E">
        <w:rPr>
          <w:sz w:val="20"/>
        </w:rPr>
        <w:tab/>
        <w:t>Sources de brouillage multiples</w:t>
      </w:r>
    </w:p>
    <w:p w:rsidR="006F415D" w:rsidRPr="00736A4E" w:rsidRDefault="006F415D" w:rsidP="006F415D">
      <w:pPr>
        <w:rPr>
          <w:sz w:val="20"/>
        </w:rPr>
      </w:pPr>
      <w:r w:rsidRPr="00736A4E">
        <w:rPr>
          <w:sz w:val="20"/>
        </w:rPr>
        <w:t xml:space="preserve">Lorsque la valeur de </w:t>
      </w:r>
      <w:r w:rsidRPr="00736A4E">
        <w:rPr>
          <w:i/>
          <w:iCs/>
          <w:sz w:val="20"/>
        </w:rPr>
        <w:t>S</w:t>
      </w:r>
      <w:r w:rsidRPr="00736A4E">
        <w:rPr>
          <w:sz w:val="20"/>
        </w:rPr>
        <w:t xml:space="preserve"> est très faible, le brouillage dans les lobes latéraux et dans les lobes arrières causé par des satellites OSG sera insignifiant par rapport au brouillage dans les lobes principaux. Au fur et à mesure que </w:t>
      </w:r>
      <w:r w:rsidRPr="00736A4E">
        <w:rPr>
          <w:i/>
          <w:iCs/>
          <w:sz w:val="20"/>
        </w:rPr>
        <w:t>S</w:t>
      </w:r>
      <w:r w:rsidRPr="00736A4E">
        <w:rPr>
          <w:sz w:val="20"/>
        </w:rPr>
        <w:t xml:space="preserve"> augmente, les niveaux de brouillage dans les lobes latéraux et dans les lobes arrières deviennent statistiquement significatifs et sont pris en considération satellite par satellite (voir § 2.2.1). Par conséquent, les sources de brouillage multiples sont essentiellement rapportées au nombre de satellites géostationnaires se trouvant dans la zone de couverture limitée (stéradians) de l'antenne de télémesure, </w:t>
      </w:r>
      <w:r w:rsidRPr="00736A4E">
        <w:rPr>
          <w:i/>
          <w:iCs/>
          <w:sz w:val="20"/>
        </w:rPr>
        <w:t>S</w:t>
      </w:r>
      <w:r w:rsidRPr="00736A4E">
        <w:rPr>
          <w:sz w:val="20"/>
        </w:rPr>
        <w:t>.</w:t>
      </w:r>
    </w:p>
    <w:p w:rsidR="006F415D" w:rsidRPr="00736A4E" w:rsidRDefault="006F415D" w:rsidP="006F415D">
      <w:pPr>
        <w:rPr>
          <w:sz w:val="20"/>
        </w:rPr>
      </w:pPr>
      <w:r w:rsidRPr="00736A4E">
        <w:rPr>
          <w:sz w:val="20"/>
        </w:rPr>
        <w:lastRenderedPageBreak/>
        <w:t xml:space="preserve">On suppose premièrement qu'une zone, </w:t>
      </w:r>
      <w:r w:rsidRPr="00736A4E">
        <w:rPr>
          <w:i/>
          <w:iCs/>
          <w:sz w:val="20"/>
        </w:rPr>
        <w:t>S'</w:t>
      </w:r>
      <w:r w:rsidRPr="00736A4E">
        <w:rPr>
          <w:rFonts w:ascii="Symbol" w:hAnsi="Symbol"/>
          <w:sz w:val="20"/>
        </w:rPr>
        <w:t></w:t>
      </w:r>
      <w:r w:rsidRPr="00736A4E">
        <w:rPr>
          <w:sz w:val="20"/>
        </w:rPr>
        <w:t xml:space="preserve"> est circulaire et que son diamètre, </w:t>
      </w:r>
      <w:r w:rsidRPr="00736A4E">
        <w:rPr>
          <w:rFonts w:ascii="Symbol" w:hAnsi="Symbol"/>
          <w:sz w:val="20"/>
        </w:rPr>
        <w:t></w:t>
      </w:r>
      <w:r w:rsidRPr="00736A4E">
        <w:rPr>
          <w:sz w:val="20"/>
        </w:rPr>
        <w:t xml:space="preserve">, est aligné sur l'OSG et deuxièmement, qu'il y a </w:t>
      </w:r>
      <w:r w:rsidRPr="00736A4E">
        <w:rPr>
          <w:i/>
          <w:iCs/>
          <w:sz w:val="20"/>
        </w:rPr>
        <w:t>N</w:t>
      </w:r>
      <w:r w:rsidRPr="00736A4E">
        <w:rPr>
          <w:sz w:val="20"/>
        </w:rPr>
        <w:t xml:space="preserve"> satellites séparés également les uns les autres par un angle </w:t>
      </w:r>
      <w:r w:rsidRPr="00736A4E">
        <w:rPr>
          <w:rFonts w:ascii="Symbol" w:hAnsi="Symbol"/>
          <w:sz w:val="20"/>
        </w:rPr>
        <w:t></w:t>
      </w:r>
      <w:r w:rsidRPr="00736A4E">
        <w:rPr>
          <w:sz w:val="20"/>
        </w:rPr>
        <w:t>, chacun rayonnant la même puissance surfacique au niveau de l'antenne de télémesure.</w:t>
      </w:r>
    </w:p>
    <w:p w:rsidR="006F415D" w:rsidRPr="00736A4E" w:rsidRDefault="006F415D" w:rsidP="006F415D">
      <w:pPr>
        <w:rPr>
          <w:sz w:val="20"/>
        </w:rPr>
      </w:pPr>
      <w:r w:rsidRPr="00736A4E">
        <w:rPr>
          <w:sz w:val="20"/>
        </w:rPr>
        <w:t xml:space="preserve">Lorsque </w:t>
      </w:r>
      <w:r w:rsidRPr="00736A4E">
        <w:rPr>
          <w:rFonts w:ascii="Symbol" w:hAnsi="Symbol"/>
          <w:sz w:val="20"/>
        </w:rPr>
        <w:t></w:t>
      </w:r>
      <w:r w:rsidRPr="00736A4E">
        <w:rPr>
          <w:sz w:val="20"/>
        </w:rPr>
        <w:t xml:space="preserve"> est égal à </w:t>
      </w:r>
      <w:r w:rsidRPr="00736A4E">
        <w:rPr>
          <w:rFonts w:ascii="Symbol" w:hAnsi="Symbol"/>
          <w:sz w:val="20"/>
        </w:rPr>
        <w:t></w:t>
      </w:r>
      <w:r w:rsidRPr="00736A4E">
        <w:rPr>
          <w:sz w:val="20"/>
        </w:rPr>
        <w:t xml:space="preserve">, deux sources de brouillage sont possibles mais la probabilité est proche de 0. Lorsque </w:t>
      </w:r>
      <w:r w:rsidRPr="00736A4E">
        <w:rPr>
          <w:rFonts w:ascii="Symbol" w:hAnsi="Symbol"/>
          <w:sz w:val="20"/>
        </w:rPr>
        <w:t></w:t>
      </w:r>
      <w:r w:rsidRPr="00736A4E">
        <w:rPr>
          <w:sz w:val="20"/>
        </w:rPr>
        <w:t xml:space="preserve"> est égal à 2</w:t>
      </w:r>
      <w:r w:rsidRPr="00736A4E">
        <w:rPr>
          <w:rFonts w:ascii="Symbol" w:hAnsi="Symbol"/>
          <w:sz w:val="20"/>
        </w:rPr>
        <w:t></w:t>
      </w:r>
      <w:r w:rsidRPr="00736A4E">
        <w:rPr>
          <w:sz w:val="20"/>
        </w:rPr>
        <w:t>, la probabilité de deux sources de brouillage est proche de 1, la probabilité de trois sources de brouillage est proche de 0, etc. Ainsi, pour une probabilité d'environ 0,5:</w:t>
      </w:r>
    </w:p>
    <w:p w:rsidR="006F415D" w:rsidRPr="00736A4E" w:rsidRDefault="006F415D" w:rsidP="006F415D">
      <w:pPr>
        <w:pStyle w:val="Equation"/>
        <w:tabs>
          <w:tab w:val="center" w:pos="3828"/>
          <w:tab w:val="left" w:pos="5387"/>
          <w:tab w:val="left" w:pos="6096"/>
          <w:tab w:val="left" w:pos="6521"/>
        </w:tabs>
        <w:rPr>
          <w:sz w:val="22"/>
          <w:szCs w:val="22"/>
        </w:rPr>
      </w:pPr>
      <w:r w:rsidRPr="00736A4E">
        <w:rPr>
          <w:sz w:val="22"/>
          <w:szCs w:val="22"/>
        </w:rPr>
        <w:tab/>
      </w:r>
      <w:r w:rsidRPr="00736A4E">
        <w:rPr>
          <w:sz w:val="22"/>
          <w:szCs w:val="22"/>
        </w:rPr>
        <w:tab/>
      </w:r>
      <w:r w:rsidRPr="00736A4E">
        <w:rPr>
          <w:rFonts w:ascii="Symbol" w:hAnsi="Symbol"/>
          <w:sz w:val="22"/>
          <w:szCs w:val="22"/>
        </w:rPr>
        <w:t></w:t>
      </w:r>
      <w:r w:rsidRPr="00736A4E">
        <w:rPr>
          <w:sz w:val="22"/>
          <w:szCs w:val="22"/>
        </w:rPr>
        <w:t xml:space="preserve">  </w:t>
      </w:r>
      <w:r w:rsidRPr="00736A4E">
        <w:rPr>
          <w:rFonts w:ascii="Symbol" w:hAnsi="Symbol"/>
          <w:sz w:val="22"/>
          <w:szCs w:val="22"/>
        </w:rPr>
        <w:t></w:t>
      </w:r>
      <w:r w:rsidRPr="00736A4E">
        <w:rPr>
          <w:sz w:val="22"/>
          <w:szCs w:val="22"/>
        </w:rPr>
        <w:t xml:space="preserve">  (</w:t>
      </w:r>
      <w:r w:rsidRPr="00736A4E">
        <w:rPr>
          <w:i/>
          <w:iCs/>
          <w:sz w:val="22"/>
          <w:szCs w:val="22"/>
        </w:rPr>
        <w:t>N</w:t>
      </w:r>
      <w:r w:rsidRPr="00736A4E">
        <w:rPr>
          <w:sz w:val="22"/>
          <w:szCs w:val="22"/>
        </w:rPr>
        <w:t xml:space="preserve">  –  0,5)</w:t>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rFonts w:ascii="Symbol" w:hAnsi="Symbol"/>
          <w:sz w:val="22"/>
          <w:szCs w:val="22"/>
        </w:rPr>
        <w:t></w:t>
      </w:r>
      <w:r w:rsidRPr="00736A4E">
        <w:rPr>
          <w:sz w:val="22"/>
          <w:szCs w:val="22"/>
        </w:rPr>
        <w:t xml:space="preserve">et </w:t>
      </w:r>
      <w:r w:rsidRPr="00736A4E">
        <w:rPr>
          <w:rFonts w:ascii="Symbol" w:hAnsi="Symbol"/>
          <w:sz w:val="22"/>
          <w:szCs w:val="22"/>
        </w:rPr>
        <w:t></w:t>
      </w:r>
      <w:r w:rsidRPr="00736A4E">
        <w:rPr>
          <w:sz w:val="22"/>
          <w:szCs w:val="22"/>
        </w:rPr>
        <w:t>, degrés</w:t>
      </w:r>
      <w:r w:rsidRPr="00736A4E">
        <w:rPr>
          <w:sz w:val="22"/>
          <w:szCs w:val="22"/>
        </w:rPr>
        <w:tab/>
        <w:t>(21)</w:t>
      </w:r>
    </w:p>
    <w:p w:rsidR="006F415D" w:rsidRPr="00736A4E" w:rsidRDefault="006F415D" w:rsidP="006F415D">
      <w:pPr>
        <w:tabs>
          <w:tab w:val="left" w:pos="5954"/>
          <w:tab w:val="left" w:pos="7938"/>
        </w:tabs>
        <w:rPr>
          <w:sz w:val="20"/>
        </w:rPr>
      </w:pPr>
      <w:r w:rsidRPr="00736A4E">
        <w:rPr>
          <w:sz w:val="20"/>
        </w:rPr>
        <w:t xml:space="preserve">La zone </w:t>
      </w:r>
      <w:r w:rsidRPr="00736A4E">
        <w:rPr>
          <w:i/>
          <w:iCs/>
          <w:sz w:val="20"/>
        </w:rPr>
        <w:t>S'</w:t>
      </w:r>
      <w:r w:rsidRPr="00736A4E">
        <w:rPr>
          <w:sz w:val="20"/>
        </w:rPr>
        <w:t xml:space="preserve"> est:</w:t>
      </w:r>
    </w:p>
    <w:p w:rsidR="006F415D" w:rsidRPr="00736A4E" w:rsidRDefault="006F415D" w:rsidP="006F415D">
      <w:pPr>
        <w:pStyle w:val="Equation"/>
        <w:rPr>
          <w:sz w:val="22"/>
          <w:szCs w:val="22"/>
          <w:lang w:val="fr-CH"/>
        </w:rPr>
      </w:pPr>
      <w:r w:rsidRPr="00736A4E">
        <w:rPr>
          <w:sz w:val="22"/>
          <w:szCs w:val="22"/>
          <w:lang w:val="fr-CH"/>
        </w:rPr>
        <w:tab/>
      </w:r>
      <w:r w:rsidRPr="00736A4E">
        <w:rPr>
          <w:sz w:val="22"/>
          <w:szCs w:val="22"/>
          <w:lang w:val="fr-CH"/>
        </w:rPr>
        <w:tab/>
      </w:r>
      <w:r w:rsidRPr="00736A4E">
        <w:rPr>
          <w:i/>
          <w:iCs/>
          <w:sz w:val="22"/>
          <w:szCs w:val="22"/>
          <w:lang w:val="fr-CH"/>
        </w:rPr>
        <w:t>S'</w:t>
      </w:r>
      <w:r w:rsidRPr="00736A4E">
        <w:rPr>
          <w:sz w:val="22"/>
          <w:szCs w:val="22"/>
          <w:lang w:val="fr-CH"/>
        </w:rPr>
        <w:t xml:space="preserve">  </w:t>
      </w:r>
      <w:r w:rsidRPr="00736A4E">
        <w:rPr>
          <w:rFonts w:ascii="Symbol" w:hAnsi="Symbol"/>
          <w:sz w:val="22"/>
          <w:szCs w:val="22"/>
        </w:rPr>
        <w:t></w:t>
      </w:r>
      <w:r w:rsidRPr="00736A4E">
        <w:rPr>
          <w:sz w:val="22"/>
          <w:szCs w:val="22"/>
          <w:lang w:val="fr-CH"/>
        </w:rPr>
        <w:t xml:space="preserve">  (</w:t>
      </w:r>
      <w:r w:rsidRPr="00736A4E">
        <w:rPr>
          <w:rFonts w:ascii="Symbol" w:hAnsi="Symbol"/>
          <w:sz w:val="22"/>
          <w:szCs w:val="22"/>
        </w:rPr>
        <w:t></w:t>
      </w:r>
      <w:r w:rsidRPr="00736A4E">
        <w:rPr>
          <w:sz w:val="22"/>
          <w:szCs w:val="22"/>
          <w:lang w:val="fr-CH"/>
        </w:rPr>
        <w:t xml:space="preserve">/4) </w:t>
      </w:r>
      <w:r w:rsidRPr="00736A4E">
        <w:rPr>
          <w:rFonts w:ascii="Symbol" w:hAnsi="Symbol"/>
          <w:sz w:val="22"/>
          <w:szCs w:val="22"/>
        </w:rPr>
        <w:t></w:t>
      </w:r>
      <w:r w:rsidRPr="00736A4E">
        <w:rPr>
          <w:position w:val="6"/>
          <w:sz w:val="22"/>
          <w:szCs w:val="22"/>
          <w:lang w:val="fr-CH"/>
        </w:rPr>
        <w:t>2</w:t>
      </w:r>
      <w:r w:rsidRPr="00736A4E">
        <w:rPr>
          <w:sz w:val="22"/>
          <w:szCs w:val="22"/>
          <w:lang w:val="fr-CH"/>
        </w:rPr>
        <w:t>                  stéradians         </w:t>
      </w:r>
      <w:r w:rsidRPr="00736A4E">
        <w:rPr>
          <w:rFonts w:ascii="Symbol" w:hAnsi="Symbol"/>
          <w:sz w:val="22"/>
          <w:szCs w:val="22"/>
        </w:rPr>
        <w:t></w:t>
      </w:r>
      <w:r w:rsidRPr="00736A4E">
        <w:rPr>
          <w:sz w:val="22"/>
          <w:szCs w:val="22"/>
        </w:rPr>
        <w:t>,</w:t>
      </w:r>
      <w:r w:rsidRPr="00736A4E">
        <w:rPr>
          <w:sz w:val="22"/>
          <w:szCs w:val="22"/>
          <w:lang w:val="fr-CH"/>
        </w:rPr>
        <w:t xml:space="preserve"> rad</w:t>
      </w:r>
      <w:r w:rsidRPr="00736A4E">
        <w:rPr>
          <w:sz w:val="22"/>
          <w:szCs w:val="22"/>
          <w:lang w:val="fr-CH"/>
        </w:rPr>
        <w:tab/>
        <w:t>(22)</w:t>
      </w:r>
    </w:p>
    <w:p w:rsidR="006F415D" w:rsidRPr="00736A4E" w:rsidRDefault="006F415D" w:rsidP="006F415D">
      <w:pPr>
        <w:rPr>
          <w:sz w:val="20"/>
        </w:rPr>
      </w:pPr>
      <w:r w:rsidRPr="00736A4E">
        <w:rPr>
          <w:sz w:val="20"/>
        </w:rPr>
        <w:t xml:space="preserve">A partir de ce modèle, on obtient une approximation proche de </w:t>
      </w:r>
      <w:r w:rsidRPr="00736A4E">
        <w:rPr>
          <w:i/>
          <w:iCs/>
          <w:sz w:val="20"/>
        </w:rPr>
        <w:t>N</w:t>
      </w:r>
      <w:r w:rsidRPr="00736A4E">
        <w:rPr>
          <w:sz w:val="20"/>
        </w:rPr>
        <w:t>:</w:t>
      </w:r>
    </w:p>
    <w:p w:rsidR="006F415D" w:rsidRPr="00736A4E" w:rsidRDefault="006F415D" w:rsidP="006F415D">
      <w:pPr>
        <w:pStyle w:val="Equation"/>
        <w:tabs>
          <w:tab w:val="clear" w:pos="794"/>
          <w:tab w:val="left" w:pos="2835"/>
          <w:tab w:val="left" w:pos="5954"/>
          <w:tab w:val="decimal" w:pos="6691"/>
          <w:tab w:val="left" w:pos="7144"/>
          <w:tab w:val="left" w:pos="7371"/>
          <w:tab w:val="left" w:pos="7598"/>
          <w:tab w:val="decimal" w:pos="8080"/>
        </w:tabs>
        <w:rPr>
          <w:sz w:val="22"/>
          <w:szCs w:val="22"/>
        </w:rPr>
      </w:pPr>
      <w:r w:rsidRPr="00736A4E">
        <w:rPr>
          <w:sz w:val="22"/>
          <w:szCs w:val="22"/>
        </w:rPr>
        <w:tab/>
      </w:r>
      <w:r w:rsidRPr="00736A4E">
        <w:rPr>
          <w:i/>
          <w:iCs/>
          <w:sz w:val="22"/>
          <w:szCs w:val="22"/>
        </w:rPr>
        <w:t>N</w:t>
      </w:r>
      <w:r w:rsidRPr="00736A4E">
        <w:rPr>
          <w:sz w:val="22"/>
          <w:szCs w:val="22"/>
        </w:rPr>
        <w:t xml:space="preserve">  </w:t>
      </w:r>
      <w:r w:rsidRPr="00736A4E">
        <w:rPr>
          <w:rFonts w:ascii="Symbol" w:hAnsi="Symbol"/>
          <w:sz w:val="22"/>
          <w:szCs w:val="22"/>
        </w:rPr>
        <w:t></w:t>
      </w:r>
      <w:r w:rsidRPr="00736A4E">
        <w:rPr>
          <w:sz w:val="22"/>
          <w:szCs w:val="22"/>
        </w:rPr>
        <w:t xml:space="preserve">  70(</w:t>
      </w:r>
      <w:r w:rsidRPr="00736A4E">
        <w:rPr>
          <w:i/>
          <w:iCs/>
          <w:sz w:val="22"/>
          <w:szCs w:val="22"/>
        </w:rPr>
        <w:t>S'</w:t>
      </w:r>
      <w:r w:rsidRPr="00736A4E">
        <w:rPr>
          <w:sz w:val="22"/>
          <w:szCs w:val="22"/>
        </w:rPr>
        <w:t>)</w:t>
      </w:r>
      <w:r w:rsidRPr="00736A4E">
        <w:rPr>
          <w:position w:val="6"/>
          <w:sz w:val="22"/>
          <w:szCs w:val="22"/>
        </w:rPr>
        <w:t>0,5</w:t>
      </w:r>
      <w:r w:rsidRPr="00736A4E">
        <w:rPr>
          <w:sz w:val="22"/>
          <w:szCs w:val="22"/>
        </w:rPr>
        <w:t>/</w:t>
      </w:r>
      <w:r w:rsidRPr="00736A4E">
        <w:rPr>
          <w:rFonts w:ascii="Symbol" w:hAnsi="Symbol"/>
          <w:sz w:val="22"/>
          <w:szCs w:val="22"/>
        </w:rPr>
        <w:t></w:t>
      </w:r>
      <w:r w:rsidRPr="00736A4E">
        <w:rPr>
          <w:rFonts w:ascii="Symbol" w:hAnsi="Symbol"/>
          <w:sz w:val="22"/>
          <w:szCs w:val="22"/>
        </w:rPr>
        <w:tab/>
      </w:r>
      <w:r w:rsidRPr="00736A4E">
        <w:rPr>
          <w:sz w:val="22"/>
          <w:szCs w:val="22"/>
        </w:rPr>
        <w:t>pour</w:t>
      </w:r>
      <w:r w:rsidRPr="00736A4E">
        <w:rPr>
          <w:sz w:val="22"/>
          <w:szCs w:val="22"/>
        </w:rPr>
        <w:tab/>
      </w:r>
      <w:r w:rsidRPr="00736A4E">
        <w:rPr>
          <w:rFonts w:ascii="Symbol" w:hAnsi="Symbol"/>
          <w:sz w:val="22"/>
          <w:szCs w:val="22"/>
        </w:rPr>
        <w:t></w:t>
      </w:r>
      <w:r w:rsidRPr="00736A4E">
        <w:rPr>
          <w:position w:val="6"/>
          <w:sz w:val="22"/>
          <w:szCs w:val="22"/>
        </w:rPr>
        <w:t>2</w:t>
      </w:r>
      <w:r w:rsidRPr="00736A4E">
        <w:rPr>
          <w:sz w:val="22"/>
          <w:szCs w:val="22"/>
        </w:rPr>
        <w:t>/4</w:t>
      </w:r>
      <w:r w:rsidRPr="00736A4E">
        <w:rPr>
          <w:rFonts w:ascii="Tms Rmn" w:hAnsi="Tms Rmn"/>
          <w:sz w:val="22"/>
          <w:szCs w:val="22"/>
        </w:rPr>
        <w:t> </w:t>
      </w:r>
      <w:r w:rsidRPr="00736A4E">
        <w:rPr>
          <w:sz w:val="22"/>
          <w:szCs w:val="22"/>
        </w:rPr>
        <w:t>900</w:t>
      </w:r>
      <w:r w:rsidRPr="00736A4E">
        <w:rPr>
          <w:sz w:val="22"/>
          <w:szCs w:val="22"/>
        </w:rPr>
        <w:tab/>
      </w:r>
      <w:r w:rsidRPr="00736A4E">
        <w:rPr>
          <w:rFonts w:ascii="Symbol" w:hAnsi="Symbol"/>
          <w:sz w:val="22"/>
          <w:szCs w:val="22"/>
        </w:rPr>
        <w:t></w:t>
      </w:r>
      <w:r w:rsidRPr="00736A4E">
        <w:rPr>
          <w:sz w:val="22"/>
          <w:szCs w:val="22"/>
        </w:rPr>
        <w:t xml:space="preserve">  </w:t>
      </w:r>
      <w:r w:rsidRPr="00736A4E">
        <w:rPr>
          <w:i/>
          <w:iCs/>
          <w:sz w:val="22"/>
          <w:szCs w:val="22"/>
        </w:rPr>
        <w:t>S'</w:t>
      </w:r>
      <w:r w:rsidRPr="00736A4E">
        <w:rPr>
          <w:sz w:val="22"/>
          <w:szCs w:val="22"/>
        </w:rPr>
        <w:t xml:space="preserve">  </w:t>
      </w:r>
      <w:r w:rsidRPr="00736A4E">
        <w:rPr>
          <w:rFonts w:ascii="Symbol" w:hAnsi="Symbol"/>
          <w:sz w:val="22"/>
          <w:szCs w:val="22"/>
        </w:rPr>
        <w:t></w:t>
      </w:r>
      <w:r w:rsidRPr="00736A4E">
        <w:rPr>
          <w:sz w:val="22"/>
          <w:szCs w:val="22"/>
        </w:rPr>
        <w:t xml:space="preserve">  1,938</w:t>
      </w:r>
      <w:r w:rsidRPr="00736A4E">
        <w:rPr>
          <w:sz w:val="22"/>
          <w:szCs w:val="22"/>
        </w:rPr>
        <w:tab/>
        <w:t>(23)</w:t>
      </w:r>
    </w:p>
    <w:p w:rsidR="006F415D" w:rsidRPr="00736A4E" w:rsidRDefault="006F415D" w:rsidP="006F415D">
      <w:pPr>
        <w:rPr>
          <w:sz w:val="20"/>
        </w:rPr>
      </w:pPr>
      <w:r w:rsidRPr="00736A4E">
        <w:rPr>
          <w:sz w:val="20"/>
        </w:rPr>
        <w:t xml:space="preserve">Etant donné que </w:t>
      </w:r>
      <w:r w:rsidRPr="00736A4E">
        <w:rPr>
          <w:i/>
          <w:iCs/>
          <w:sz w:val="20"/>
        </w:rPr>
        <w:t>N</w:t>
      </w:r>
      <w:r w:rsidRPr="00736A4E">
        <w:rPr>
          <w:sz w:val="20"/>
        </w:rPr>
        <w:t> </w:t>
      </w:r>
      <w:r w:rsidRPr="00736A4E">
        <w:rPr>
          <w:rFonts w:ascii="Symbol" w:hAnsi="Symbol"/>
          <w:sz w:val="20"/>
        </w:rPr>
        <w:t></w:t>
      </w:r>
      <w:r w:rsidRPr="00736A4E">
        <w:rPr>
          <w:sz w:val="20"/>
        </w:rPr>
        <w:t xml:space="preserve"> 1, </w:t>
      </w:r>
      <w:r w:rsidRPr="00736A4E">
        <w:rPr>
          <w:i/>
          <w:iCs/>
          <w:sz w:val="20"/>
        </w:rPr>
        <w:t>S'</w:t>
      </w:r>
      <w:r w:rsidRPr="00736A4E">
        <w:rPr>
          <w:sz w:val="20"/>
        </w:rPr>
        <w:t> </w:t>
      </w:r>
      <w:r w:rsidRPr="00736A4E">
        <w:rPr>
          <w:rFonts w:ascii="Symbol" w:hAnsi="Symbol"/>
          <w:sz w:val="20"/>
        </w:rPr>
        <w:t></w:t>
      </w:r>
      <w:r w:rsidRPr="00736A4E">
        <w:rPr>
          <w:sz w:val="20"/>
        </w:rPr>
        <w:t> </w:t>
      </w:r>
      <w:r w:rsidRPr="00736A4E">
        <w:rPr>
          <w:rFonts w:ascii="Symbol" w:hAnsi="Symbol"/>
          <w:sz w:val="20"/>
        </w:rPr>
        <w:t></w:t>
      </w:r>
      <w:r w:rsidRPr="00736A4E">
        <w:rPr>
          <w:position w:val="6"/>
          <w:sz w:val="20"/>
        </w:rPr>
        <w:t>2</w:t>
      </w:r>
      <w:r w:rsidRPr="00736A4E">
        <w:rPr>
          <w:sz w:val="20"/>
        </w:rPr>
        <w:t xml:space="preserve">/4 900 et que la valeur minimum «maximale» de </w:t>
      </w:r>
      <w:r w:rsidRPr="00736A4E">
        <w:rPr>
          <w:i/>
          <w:iCs/>
          <w:sz w:val="20"/>
        </w:rPr>
        <w:t>S</w:t>
      </w:r>
      <w:r w:rsidRPr="00736A4E">
        <w:rPr>
          <w:sz w:val="20"/>
        </w:rPr>
        <w:t xml:space="preserve"> (voir § 2.2.5) est de 1,938, </w:t>
      </w:r>
      <w:r w:rsidRPr="00736A4E">
        <w:rPr>
          <w:i/>
          <w:iCs/>
          <w:sz w:val="20"/>
        </w:rPr>
        <w:t>N</w:t>
      </w:r>
      <w:r w:rsidRPr="00736A4E">
        <w:rPr>
          <w:sz w:val="20"/>
        </w:rPr>
        <w:t xml:space="preserve"> dans l'équation (23) est limité à cette fourchette. </w:t>
      </w:r>
      <w:r w:rsidRPr="00736A4E">
        <w:rPr>
          <w:i/>
          <w:iCs/>
          <w:sz w:val="20"/>
        </w:rPr>
        <w:t>N</w:t>
      </w:r>
      <w:r w:rsidRPr="00736A4E">
        <w:rPr>
          <w:sz w:val="20"/>
        </w:rPr>
        <w:t xml:space="preserve"> est donc limité à la fourchette; 1 </w:t>
      </w:r>
      <w:r w:rsidRPr="00736A4E">
        <w:rPr>
          <w:rFonts w:ascii="Symbol" w:hAnsi="Symbol"/>
          <w:sz w:val="20"/>
        </w:rPr>
        <w:t></w:t>
      </w:r>
      <w:r w:rsidRPr="00736A4E">
        <w:rPr>
          <w:sz w:val="20"/>
        </w:rPr>
        <w:t> </w:t>
      </w:r>
      <w:r w:rsidRPr="00736A4E">
        <w:rPr>
          <w:i/>
          <w:iCs/>
          <w:sz w:val="20"/>
        </w:rPr>
        <w:t>N</w:t>
      </w:r>
      <w:r w:rsidRPr="00736A4E">
        <w:rPr>
          <w:sz w:val="20"/>
        </w:rPr>
        <w:t> </w:t>
      </w:r>
      <w:r w:rsidRPr="00736A4E">
        <w:rPr>
          <w:rFonts w:ascii="Symbol" w:hAnsi="Symbol"/>
          <w:sz w:val="20"/>
        </w:rPr>
        <w:t></w:t>
      </w:r>
      <w:r w:rsidRPr="00736A4E">
        <w:rPr>
          <w:sz w:val="20"/>
        </w:rPr>
        <w:t> ((90/</w:t>
      </w:r>
      <w:r w:rsidRPr="00736A4E">
        <w:rPr>
          <w:rFonts w:ascii="Symbol" w:hAnsi="Symbol"/>
          <w:sz w:val="20"/>
        </w:rPr>
        <w:t></w:t>
      </w:r>
      <w:r w:rsidRPr="00736A4E">
        <w:rPr>
          <w:sz w:val="20"/>
        </w:rPr>
        <w:t>) </w:t>
      </w:r>
      <w:r w:rsidRPr="00736A4E">
        <w:rPr>
          <w:rFonts w:ascii="Symbol" w:hAnsi="Symbol"/>
          <w:sz w:val="20"/>
        </w:rPr>
        <w:t></w:t>
      </w:r>
      <w:r w:rsidRPr="00736A4E">
        <w:rPr>
          <w:sz w:val="20"/>
        </w:rPr>
        <w:t> 0,5).</w:t>
      </w:r>
    </w:p>
    <w:p w:rsidR="006F415D" w:rsidRPr="00736A4E" w:rsidRDefault="006F415D" w:rsidP="006F415D">
      <w:pPr>
        <w:rPr>
          <w:sz w:val="20"/>
        </w:rPr>
      </w:pPr>
      <w:r w:rsidRPr="00736A4E">
        <w:rPr>
          <w:sz w:val="20"/>
        </w:rPr>
        <w:t xml:space="preserve">La relation entre l'augmentation de la puissance surfacique pour une seule source de brouillage, </w:t>
      </w:r>
      <w:r w:rsidRPr="00736A4E">
        <w:rPr>
          <w:i/>
          <w:iCs/>
          <w:sz w:val="20"/>
        </w:rPr>
        <w:t>pfd</w:t>
      </w:r>
      <w:r w:rsidRPr="00736A4E">
        <w:rPr>
          <w:i/>
          <w:iCs/>
          <w:position w:val="-4"/>
          <w:sz w:val="20"/>
        </w:rPr>
        <w:t>es</w:t>
      </w:r>
      <w:r w:rsidRPr="00736A4E">
        <w:rPr>
          <w:sz w:val="20"/>
        </w:rPr>
        <w:t xml:space="preserve">, et l'augmentation de la puissance surfacique globale, </w:t>
      </w:r>
      <w:r w:rsidRPr="00736A4E">
        <w:rPr>
          <w:i/>
          <w:iCs/>
          <w:sz w:val="20"/>
        </w:rPr>
        <w:t>pfd</w:t>
      </w:r>
      <w:r w:rsidRPr="00736A4E">
        <w:rPr>
          <w:i/>
          <w:iCs/>
          <w:position w:val="-4"/>
          <w:sz w:val="20"/>
        </w:rPr>
        <w:t>ea</w:t>
      </w:r>
      <w:r w:rsidRPr="00736A4E">
        <w:rPr>
          <w:sz w:val="20"/>
        </w:rPr>
        <w:t>, est donnée par la formule suivante:</w:t>
      </w:r>
    </w:p>
    <w:p w:rsidR="006F415D" w:rsidRPr="00736A4E" w:rsidRDefault="006F415D" w:rsidP="006F415D">
      <w:pPr>
        <w:pStyle w:val="Equation"/>
        <w:rPr>
          <w:sz w:val="22"/>
          <w:szCs w:val="22"/>
        </w:rPr>
      </w:pPr>
      <w:r w:rsidRPr="00736A4E">
        <w:rPr>
          <w:sz w:val="22"/>
          <w:szCs w:val="22"/>
        </w:rPr>
        <w:tab/>
      </w:r>
      <w:r w:rsidRPr="00736A4E">
        <w:rPr>
          <w:sz w:val="22"/>
          <w:szCs w:val="22"/>
        </w:rPr>
        <w:tab/>
      </w:r>
      <w:r w:rsidRPr="00736A4E">
        <w:rPr>
          <w:i/>
          <w:iCs/>
          <w:sz w:val="22"/>
          <w:szCs w:val="22"/>
        </w:rPr>
        <w:t>pfd</w:t>
      </w:r>
      <w:r w:rsidRPr="00736A4E">
        <w:rPr>
          <w:i/>
          <w:iCs/>
          <w:position w:val="-4"/>
          <w:sz w:val="22"/>
          <w:szCs w:val="22"/>
        </w:rPr>
        <w:t>es</w:t>
      </w:r>
      <w:r w:rsidRPr="00736A4E">
        <w:rPr>
          <w:sz w:val="22"/>
          <w:szCs w:val="22"/>
        </w:rPr>
        <w:t xml:space="preserve">  </w:t>
      </w:r>
      <w:r w:rsidRPr="00736A4E">
        <w:rPr>
          <w:rFonts w:ascii="Symbol" w:hAnsi="Symbol"/>
          <w:sz w:val="22"/>
          <w:szCs w:val="22"/>
        </w:rPr>
        <w:t></w:t>
      </w:r>
      <w:r w:rsidRPr="00736A4E">
        <w:rPr>
          <w:sz w:val="22"/>
          <w:szCs w:val="22"/>
        </w:rPr>
        <w:t xml:space="preserve">  </w:t>
      </w:r>
      <w:r w:rsidRPr="00736A4E">
        <w:rPr>
          <w:i/>
          <w:iCs/>
          <w:sz w:val="22"/>
          <w:szCs w:val="22"/>
        </w:rPr>
        <w:t>pfd</w:t>
      </w:r>
      <w:r w:rsidRPr="00736A4E">
        <w:rPr>
          <w:i/>
          <w:iCs/>
          <w:position w:val="-4"/>
          <w:sz w:val="22"/>
          <w:szCs w:val="22"/>
        </w:rPr>
        <w:t>ea</w:t>
      </w:r>
      <w:r w:rsidRPr="00736A4E">
        <w:rPr>
          <w:sz w:val="22"/>
          <w:szCs w:val="22"/>
        </w:rPr>
        <w:t>/</w:t>
      </w:r>
      <w:r w:rsidRPr="00736A4E">
        <w:rPr>
          <w:i/>
          <w:iCs/>
          <w:sz w:val="22"/>
          <w:szCs w:val="22"/>
        </w:rPr>
        <w:t>N</w:t>
      </w:r>
      <w:r w:rsidRPr="00736A4E">
        <w:rPr>
          <w:sz w:val="22"/>
          <w:szCs w:val="22"/>
        </w:rPr>
        <w:tab/>
        <w:t>(24)</w:t>
      </w:r>
    </w:p>
    <w:p w:rsidR="006F415D" w:rsidRPr="00736A4E" w:rsidRDefault="006F415D" w:rsidP="006F415D">
      <w:pPr>
        <w:pStyle w:val="Heading2"/>
        <w:rPr>
          <w:sz w:val="22"/>
          <w:szCs w:val="22"/>
        </w:rPr>
      </w:pPr>
      <w:r w:rsidRPr="00736A4E">
        <w:rPr>
          <w:sz w:val="22"/>
          <w:szCs w:val="22"/>
        </w:rPr>
        <w:t>2.3</w:t>
      </w:r>
      <w:r w:rsidRPr="00736A4E">
        <w:rPr>
          <w:sz w:val="22"/>
          <w:szCs w:val="22"/>
        </w:rPr>
        <w:tab/>
        <w:t>Valeurs de puissance surfacique pour une seule source de brouillage</w:t>
      </w:r>
    </w:p>
    <w:p w:rsidR="006F415D" w:rsidRPr="00736A4E" w:rsidRDefault="006F415D" w:rsidP="006F415D">
      <w:pPr>
        <w:rPr>
          <w:sz w:val="20"/>
        </w:rPr>
      </w:pPr>
      <w:r w:rsidRPr="00736A4E">
        <w:rPr>
          <w:sz w:val="20"/>
        </w:rPr>
        <w:t>A partir des analyses précédentes, on peut obtenir des valeurs de puissance surfacique pour une seule source de brouillage. Les valeurs de puissance surfacique pour une seule source de brouillage élaborées dans les paragraphes suivants s'appliquent aux systèmes de télémesure du service mobile aéronautique. Les valeurs de paramètre des systèmes de télémesure sont les suivants:</w:t>
      </w:r>
    </w:p>
    <w:p w:rsidR="006F415D" w:rsidRPr="00736A4E" w:rsidRDefault="006F415D" w:rsidP="00474C70">
      <w:pPr>
        <w:pStyle w:val="enumlev1"/>
        <w:tabs>
          <w:tab w:val="clear" w:pos="1191"/>
        </w:tabs>
        <w:rPr>
          <w:sz w:val="20"/>
        </w:rPr>
      </w:pPr>
      <w:r w:rsidRPr="00736A4E">
        <w:rPr>
          <w:sz w:val="20"/>
        </w:rPr>
        <w:tab/>
      </w:r>
      <w:r w:rsidRPr="00736A4E">
        <w:rPr>
          <w:i/>
          <w:iCs/>
          <w:sz w:val="20"/>
        </w:rPr>
        <w:t>T</w:t>
      </w:r>
      <w:r w:rsidRPr="00736A4E">
        <w:rPr>
          <w:sz w:val="20"/>
        </w:rPr>
        <w:t>:</w:t>
      </w:r>
      <w:r w:rsidRPr="00736A4E">
        <w:rPr>
          <w:sz w:val="20"/>
        </w:rPr>
        <w:tab/>
        <w:t xml:space="preserve">température de bruit de la station de réception </w:t>
      </w:r>
      <w:r w:rsidRPr="00736A4E">
        <w:rPr>
          <w:rFonts w:ascii="Symbol" w:hAnsi="Symbol"/>
          <w:sz w:val="20"/>
        </w:rPr>
        <w:t></w:t>
      </w:r>
      <w:r w:rsidRPr="00736A4E">
        <w:rPr>
          <w:sz w:val="20"/>
        </w:rPr>
        <w:t xml:space="preserve"> 250 K</w:t>
      </w:r>
    </w:p>
    <w:p w:rsidR="006F415D" w:rsidRPr="00736A4E" w:rsidRDefault="006F415D" w:rsidP="00474C70">
      <w:pPr>
        <w:pStyle w:val="enumlev1"/>
        <w:tabs>
          <w:tab w:val="clear" w:pos="1191"/>
        </w:tabs>
        <w:rPr>
          <w:sz w:val="20"/>
        </w:rPr>
      </w:pPr>
      <w:r w:rsidRPr="00736A4E">
        <w:rPr>
          <w:sz w:val="20"/>
        </w:rPr>
        <w:tab/>
      </w:r>
      <w:r w:rsidRPr="00736A4E">
        <w:rPr>
          <w:i/>
          <w:iCs/>
          <w:sz w:val="20"/>
        </w:rPr>
        <w:t>B</w:t>
      </w:r>
      <w:r w:rsidRPr="00736A4E">
        <w:rPr>
          <w:sz w:val="20"/>
        </w:rPr>
        <w:t>:</w:t>
      </w:r>
      <w:r w:rsidRPr="00736A4E">
        <w:rPr>
          <w:sz w:val="20"/>
        </w:rPr>
        <w:tab/>
        <w:t xml:space="preserve">largeur de bande de référence </w:t>
      </w:r>
      <w:r w:rsidRPr="00736A4E">
        <w:rPr>
          <w:rFonts w:ascii="Symbol" w:hAnsi="Symbol"/>
          <w:sz w:val="20"/>
        </w:rPr>
        <w:t></w:t>
      </w:r>
      <w:r w:rsidRPr="00736A4E">
        <w:rPr>
          <w:sz w:val="20"/>
        </w:rPr>
        <w:t xml:space="preserve"> 4 kHz</w:t>
      </w:r>
    </w:p>
    <w:p w:rsidR="006F415D" w:rsidRPr="00736A4E" w:rsidRDefault="006F415D" w:rsidP="00474C70">
      <w:pPr>
        <w:pStyle w:val="enumlev1"/>
        <w:tabs>
          <w:tab w:val="clear" w:pos="1191"/>
        </w:tabs>
        <w:rPr>
          <w:sz w:val="20"/>
        </w:rPr>
      </w:pPr>
      <w:r w:rsidRPr="00736A4E">
        <w:rPr>
          <w:sz w:val="20"/>
        </w:rPr>
        <w:tab/>
      </w:r>
      <w:r w:rsidRPr="00736A4E">
        <w:rPr>
          <w:rFonts w:ascii="Symbol" w:hAnsi="Symbol"/>
          <w:sz w:val="20"/>
        </w:rPr>
        <w:sym w:font="Symbol" w:char="F06C"/>
      </w:r>
      <w:r w:rsidRPr="00736A4E">
        <w:rPr>
          <w:sz w:val="20"/>
        </w:rPr>
        <w:t>:</w:t>
      </w:r>
      <w:r w:rsidRPr="00736A4E">
        <w:rPr>
          <w:sz w:val="20"/>
        </w:rPr>
        <w:tab/>
        <w:t xml:space="preserve">longueur d'onde </w:t>
      </w:r>
      <w:r w:rsidRPr="00736A4E">
        <w:rPr>
          <w:rFonts w:ascii="Symbol" w:hAnsi="Symbol"/>
          <w:sz w:val="20"/>
        </w:rPr>
        <w:t></w:t>
      </w:r>
      <w:r w:rsidRPr="00736A4E">
        <w:rPr>
          <w:sz w:val="20"/>
        </w:rPr>
        <w:t xml:space="preserve"> 0,2 m</w:t>
      </w:r>
    </w:p>
    <w:p w:rsidR="006F415D" w:rsidRPr="00736A4E" w:rsidRDefault="006F415D" w:rsidP="00474C70">
      <w:pPr>
        <w:pStyle w:val="enumlev1"/>
        <w:tabs>
          <w:tab w:val="clear" w:pos="1191"/>
        </w:tabs>
        <w:rPr>
          <w:sz w:val="20"/>
        </w:rPr>
      </w:pPr>
      <w:r w:rsidRPr="00736A4E">
        <w:rPr>
          <w:sz w:val="20"/>
        </w:rPr>
        <w:tab/>
      </w:r>
      <w:r w:rsidRPr="00736A4E">
        <w:rPr>
          <w:i/>
          <w:iCs/>
          <w:sz w:val="20"/>
        </w:rPr>
        <w:t>I</w:t>
      </w:r>
      <w:r w:rsidRPr="00736A4E">
        <w:rPr>
          <w:sz w:val="20"/>
        </w:rPr>
        <w:t>/</w:t>
      </w:r>
      <w:r w:rsidRPr="00736A4E">
        <w:rPr>
          <w:i/>
          <w:iCs/>
          <w:sz w:val="20"/>
        </w:rPr>
        <w:t>N</w:t>
      </w:r>
      <w:r w:rsidRPr="00736A4E">
        <w:rPr>
          <w:sz w:val="20"/>
        </w:rPr>
        <w:t>:</w:t>
      </w:r>
      <w:r w:rsidRPr="00736A4E">
        <w:rPr>
          <w:sz w:val="20"/>
        </w:rPr>
        <w:tab/>
        <w:t xml:space="preserve">brouillage/bruit </w:t>
      </w:r>
      <w:r w:rsidRPr="00736A4E">
        <w:rPr>
          <w:rFonts w:ascii="Symbol" w:hAnsi="Symbol"/>
          <w:sz w:val="20"/>
        </w:rPr>
        <w:t></w:t>
      </w:r>
      <w:r w:rsidRPr="00736A4E">
        <w:rPr>
          <w:sz w:val="20"/>
        </w:rPr>
        <w:t xml:space="preserve"> 0,3846</w:t>
      </w:r>
    </w:p>
    <w:p w:rsidR="006F415D" w:rsidRPr="00736A4E" w:rsidRDefault="006F415D" w:rsidP="00474C70">
      <w:pPr>
        <w:pStyle w:val="enumlev1"/>
        <w:tabs>
          <w:tab w:val="clear" w:pos="1191"/>
        </w:tabs>
        <w:rPr>
          <w:sz w:val="20"/>
        </w:rPr>
      </w:pPr>
      <w:r w:rsidRPr="00736A4E">
        <w:rPr>
          <w:sz w:val="20"/>
        </w:rPr>
        <w:tab/>
      </w:r>
      <w:r w:rsidRPr="00736A4E">
        <w:rPr>
          <w:i/>
          <w:iCs/>
          <w:sz w:val="20"/>
        </w:rPr>
        <w:t>P</w:t>
      </w:r>
      <w:r w:rsidRPr="00736A4E">
        <w:rPr>
          <w:sz w:val="20"/>
        </w:rPr>
        <w:t>(</w:t>
      </w:r>
      <w:r w:rsidRPr="00736A4E">
        <w:rPr>
          <w:rFonts w:ascii="Symbol" w:hAnsi="Symbol"/>
          <w:sz w:val="20"/>
        </w:rPr>
        <w:t></w:t>
      </w:r>
      <w:r w:rsidRPr="00736A4E">
        <w:rPr>
          <w:i/>
          <w:iCs/>
          <w:sz w:val="20"/>
        </w:rPr>
        <w:t>G</w:t>
      </w:r>
      <w:r w:rsidRPr="00736A4E">
        <w:rPr>
          <w:sz w:val="20"/>
        </w:rPr>
        <w:t>):</w:t>
      </w:r>
      <w:r w:rsidRPr="00736A4E">
        <w:rPr>
          <w:sz w:val="20"/>
        </w:rPr>
        <w:tab/>
        <w:t>probabilité de gain différentiel = 0,003611.</w:t>
      </w:r>
    </w:p>
    <w:p w:rsidR="006F415D" w:rsidRPr="00736A4E" w:rsidRDefault="006F415D" w:rsidP="006F415D">
      <w:pPr>
        <w:tabs>
          <w:tab w:val="left" w:pos="6804"/>
          <w:tab w:val="right" w:pos="9696"/>
        </w:tabs>
        <w:rPr>
          <w:sz w:val="20"/>
        </w:rPr>
      </w:pPr>
      <w:r w:rsidRPr="00736A4E">
        <w:rPr>
          <w:sz w:val="20"/>
        </w:rPr>
        <w:t xml:space="preserve">En utilisant conjointement ces valeurs et la fonction </w:t>
      </w:r>
      <w:r w:rsidRPr="00736A4E">
        <w:rPr>
          <w:rFonts w:ascii="Symbol" w:hAnsi="Symbol"/>
          <w:sz w:val="20"/>
        </w:rPr>
        <w:t></w:t>
      </w:r>
      <w:r w:rsidRPr="00736A4E">
        <w:rPr>
          <w:i/>
          <w:iCs/>
          <w:sz w:val="20"/>
        </w:rPr>
        <w:t>G</w:t>
      </w:r>
      <w:r w:rsidRPr="00736A4E">
        <w:rPr>
          <w:sz w:val="20"/>
        </w:rPr>
        <w:t xml:space="preserve"> en fonction de </w:t>
      </w:r>
      <w:r w:rsidRPr="00736A4E">
        <w:rPr>
          <w:i/>
          <w:iCs/>
          <w:sz w:val="20"/>
        </w:rPr>
        <w:t>S</w:t>
      </w:r>
      <w:r w:rsidRPr="00736A4E">
        <w:rPr>
          <w:sz w:val="20"/>
        </w:rPr>
        <w:t xml:space="preserve">, la marge excédentaire et le facteur pour plusieurs sources de brouillage pour une valeur de </w:t>
      </w:r>
      <w:r w:rsidRPr="00736A4E">
        <w:rPr>
          <w:rFonts w:ascii="Symbol" w:hAnsi="Symbol"/>
          <w:sz w:val="20"/>
        </w:rPr>
        <w:t></w:t>
      </w:r>
      <w:r w:rsidRPr="00736A4E">
        <w:rPr>
          <w:sz w:val="20"/>
        </w:rPr>
        <w:t xml:space="preserve"> de 45°, donnent la fonction illustrée dans la Fig. 6. Comme le montre également la Fig. 6, une bonne approximation de la puissance surfacique en fonction de l'angle d'incidence est donnée par la formule:</w:t>
      </w:r>
    </w:p>
    <w:p w:rsidR="006F415D" w:rsidRPr="00736A4E" w:rsidRDefault="006F415D" w:rsidP="00736A4E">
      <w:pPr>
        <w:pStyle w:val="Equation"/>
        <w:tabs>
          <w:tab w:val="left" w:pos="3686"/>
          <w:tab w:val="left" w:pos="6379"/>
          <w:tab w:val="decimal" w:pos="7144"/>
          <w:tab w:val="left" w:pos="7371"/>
          <w:tab w:val="left" w:pos="7598"/>
          <w:tab w:val="left" w:pos="7797"/>
          <w:tab w:val="decimal" w:pos="8222"/>
        </w:tabs>
        <w:rPr>
          <w:sz w:val="22"/>
          <w:szCs w:val="22"/>
        </w:rPr>
      </w:pPr>
      <w:r w:rsidRPr="00736A4E">
        <w:rPr>
          <w:sz w:val="22"/>
          <w:szCs w:val="22"/>
        </w:rPr>
        <w:tab/>
      </w:r>
      <w:r w:rsidRPr="00736A4E">
        <w:rPr>
          <w:i/>
          <w:iCs/>
          <w:sz w:val="22"/>
          <w:szCs w:val="22"/>
        </w:rPr>
        <w:t>pfd</w:t>
      </w:r>
      <w:r w:rsidRPr="00736A4E">
        <w:rPr>
          <w:sz w:val="22"/>
          <w:szCs w:val="22"/>
        </w:rPr>
        <w:t xml:space="preserve">  </w:t>
      </w:r>
      <w:r w:rsidRPr="00736A4E">
        <w:rPr>
          <w:rFonts w:ascii="Symbol" w:hAnsi="Symbol"/>
          <w:sz w:val="22"/>
          <w:szCs w:val="22"/>
        </w:rPr>
        <w:t></w:t>
      </w:r>
      <w:r w:rsidRPr="00736A4E">
        <w:rPr>
          <w:sz w:val="22"/>
          <w:szCs w:val="22"/>
        </w:rPr>
        <w:t xml:space="preserve">  –181,0</w:t>
      </w:r>
      <w:r w:rsidR="00736A4E">
        <w:rPr>
          <w:sz w:val="22"/>
          <w:szCs w:val="22"/>
        </w:rPr>
        <w:tab/>
      </w:r>
      <w:r w:rsidRPr="00736A4E">
        <w:rPr>
          <w:position w:val="-10"/>
          <w:sz w:val="22"/>
          <w:szCs w:val="22"/>
        </w:rPr>
        <w:object w:dxaOrig="1880" w:dyaOrig="380">
          <v:shape id="_x0000_i1040" type="#_x0000_t75" style="width:93.95pt;height:18.85pt" o:ole="">
            <v:imagedata r:id="rId50" o:title=""/>
          </v:shape>
          <o:OLEObject Type="Embed" ProgID="Equation.3" ShapeID="_x0000_i1040" DrawAspect="Content" ObjectID="_1369136236" r:id="rId51"/>
        </w:object>
      </w:r>
      <w:r w:rsidRPr="00736A4E">
        <w:rPr>
          <w:sz w:val="22"/>
          <w:szCs w:val="22"/>
        </w:rPr>
        <w:tab/>
        <w:t>pour</w:t>
      </w:r>
      <w:r w:rsidRPr="00736A4E">
        <w:rPr>
          <w:sz w:val="22"/>
          <w:szCs w:val="22"/>
        </w:rPr>
        <w:tab/>
        <w:t>0</w:t>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t>4</w:t>
      </w:r>
      <w:r w:rsidRPr="00736A4E">
        <w:rPr>
          <w:rFonts w:ascii="Symbol" w:hAnsi="Symbol"/>
          <w:sz w:val="22"/>
          <w:szCs w:val="22"/>
        </w:rPr>
        <w:t></w:t>
      </w:r>
      <w:r w:rsidRPr="00736A4E">
        <w:rPr>
          <w:sz w:val="22"/>
          <w:szCs w:val="22"/>
        </w:rPr>
        <w:tab/>
        <w:t>(25a)</w:t>
      </w:r>
    </w:p>
    <w:p w:rsidR="006F415D" w:rsidRPr="00736A4E" w:rsidRDefault="006F415D" w:rsidP="00736A4E">
      <w:pPr>
        <w:pStyle w:val="Equation"/>
        <w:tabs>
          <w:tab w:val="left" w:pos="3686"/>
          <w:tab w:val="left" w:pos="6379"/>
          <w:tab w:val="decimal" w:pos="7144"/>
          <w:tab w:val="left" w:pos="7371"/>
          <w:tab w:val="left" w:pos="7598"/>
          <w:tab w:val="left" w:pos="7797"/>
          <w:tab w:val="decimal" w:pos="8222"/>
        </w:tabs>
        <w:rPr>
          <w:sz w:val="22"/>
          <w:szCs w:val="22"/>
        </w:rPr>
      </w:pPr>
      <w:r w:rsidRPr="00736A4E">
        <w:rPr>
          <w:sz w:val="22"/>
          <w:szCs w:val="22"/>
        </w:rPr>
        <w:tab/>
      </w:r>
      <w:r w:rsidRPr="00736A4E">
        <w:rPr>
          <w:i/>
          <w:iCs/>
          <w:sz w:val="22"/>
          <w:szCs w:val="22"/>
        </w:rPr>
        <w:t>pfd</w:t>
      </w:r>
      <w:r w:rsidRPr="00736A4E">
        <w:rPr>
          <w:sz w:val="22"/>
          <w:szCs w:val="22"/>
        </w:rPr>
        <w:t xml:space="preserve">  </w:t>
      </w:r>
      <w:r w:rsidRPr="00736A4E">
        <w:rPr>
          <w:rFonts w:ascii="Symbol" w:hAnsi="Symbol"/>
          <w:sz w:val="22"/>
          <w:szCs w:val="22"/>
        </w:rPr>
        <w:t></w:t>
      </w:r>
      <w:r w:rsidRPr="00736A4E">
        <w:rPr>
          <w:sz w:val="22"/>
          <w:szCs w:val="22"/>
        </w:rPr>
        <w:t xml:space="preserve">  –193,0 </w:t>
      </w:r>
      <w:r w:rsidRPr="00736A4E">
        <w:rPr>
          <w:rFonts w:ascii="Symbol" w:hAnsi="Symbol"/>
          <w:sz w:val="22"/>
          <w:szCs w:val="22"/>
        </w:rPr>
        <w:t></w:t>
      </w:r>
      <w:r w:rsidRPr="00736A4E">
        <w:rPr>
          <w:sz w:val="22"/>
          <w:szCs w:val="22"/>
        </w:rPr>
        <w:t xml:space="preserve"> 20 log </w:t>
      </w:r>
      <w:r w:rsidRPr="00736A4E">
        <w:rPr>
          <w:rFonts w:ascii="Symbol" w:hAnsi="Symbol"/>
          <w:sz w:val="22"/>
          <w:szCs w:val="22"/>
        </w:rPr>
        <w:t></w:t>
      </w:r>
      <w:r w:rsidR="00736A4E">
        <w:rPr>
          <w:sz w:val="22"/>
          <w:szCs w:val="22"/>
        </w:rPr>
        <w:tab/>
      </w:r>
      <w:r w:rsidRPr="00736A4E">
        <w:rPr>
          <w:position w:val="-10"/>
          <w:sz w:val="22"/>
          <w:szCs w:val="22"/>
        </w:rPr>
        <w:object w:dxaOrig="1880" w:dyaOrig="380">
          <v:shape id="_x0000_i1041" type="#_x0000_t75" style="width:93.95pt;height:18.85pt" o:ole="">
            <v:imagedata r:id="rId52" o:title=""/>
          </v:shape>
          <o:OLEObject Type="Embed" ProgID="Equation.3" ShapeID="_x0000_i1041" DrawAspect="Content" ObjectID="_1369136237" r:id="rId53"/>
        </w:object>
      </w:r>
      <w:r w:rsidRPr="00736A4E">
        <w:rPr>
          <w:sz w:val="22"/>
          <w:szCs w:val="22"/>
        </w:rPr>
        <w:tab/>
        <w:t>pour</w:t>
      </w:r>
      <w:r w:rsidRPr="00736A4E">
        <w:rPr>
          <w:sz w:val="22"/>
          <w:szCs w:val="22"/>
        </w:rPr>
        <w:tab/>
        <w:t>4</w:t>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t>20</w:t>
      </w:r>
      <w:r w:rsidRPr="00736A4E">
        <w:rPr>
          <w:rFonts w:ascii="Symbol" w:hAnsi="Symbol"/>
          <w:sz w:val="22"/>
          <w:szCs w:val="22"/>
        </w:rPr>
        <w:t></w:t>
      </w:r>
      <w:r w:rsidRPr="00736A4E">
        <w:rPr>
          <w:sz w:val="22"/>
          <w:szCs w:val="22"/>
        </w:rPr>
        <w:tab/>
        <w:t>(25b)</w:t>
      </w:r>
    </w:p>
    <w:p w:rsidR="006F415D" w:rsidRPr="00736A4E" w:rsidRDefault="006F415D" w:rsidP="00736A4E">
      <w:pPr>
        <w:pStyle w:val="Equation"/>
        <w:tabs>
          <w:tab w:val="left" w:pos="3686"/>
          <w:tab w:val="left" w:pos="6379"/>
          <w:tab w:val="decimal" w:pos="7144"/>
          <w:tab w:val="left" w:pos="7371"/>
          <w:tab w:val="left" w:pos="7598"/>
          <w:tab w:val="left" w:pos="7797"/>
          <w:tab w:val="decimal" w:pos="8222"/>
        </w:tabs>
        <w:rPr>
          <w:sz w:val="22"/>
          <w:szCs w:val="22"/>
        </w:rPr>
      </w:pPr>
      <w:r w:rsidRPr="00736A4E">
        <w:rPr>
          <w:sz w:val="22"/>
          <w:szCs w:val="22"/>
        </w:rPr>
        <w:tab/>
      </w:r>
      <w:r w:rsidRPr="00736A4E">
        <w:rPr>
          <w:i/>
          <w:iCs/>
          <w:sz w:val="22"/>
          <w:szCs w:val="22"/>
        </w:rPr>
        <w:t>pfd</w:t>
      </w:r>
      <w:r w:rsidRPr="00736A4E">
        <w:rPr>
          <w:sz w:val="22"/>
          <w:szCs w:val="22"/>
        </w:rPr>
        <w:t xml:space="preserve">  </w:t>
      </w:r>
      <w:r w:rsidRPr="00736A4E">
        <w:rPr>
          <w:rFonts w:ascii="Symbol" w:hAnsi="Symbol"/>
          <w:sz w:val="22"/>
          <w:szCs w:val="22"/>
        </w:rPr>
        <w:t></w:t>
      </w:r>
      <w:r w:rsidRPr="00736A4E">
        <w:rPr>
          <w:sz w:val="22"/>
          <w:szCs w:val="22"/>
        </w:rPr>
        <w:t xml:space="preserve">  –213,3 </w:t>
      </w:r>
      <w:r w:rsidRPr="00736A4E">
        <w:rPr>
          <w:rFonts w:ascii="Symbol" w:hAnsi="Symbol"/>
          <w:sz w:val="22"/>
          <w:szCs w:val="22"/>
        </w:rPr>
        <w:t></w:t>
      </w:r>
      <w:r w:rsidRPr="00736A4E">
        <w:rPr>
          <w:sz w:val="22"/>
          <w:szCs w:val="22"/>
        </w:rPr>
        <w:t xml:space="preserve"> 35,6 log </w:t>
      </w:r>
      <w:r w:rsidRPr="00736A4E">
        <w:rPr>
          <w:rFonts w:ascii="Symbol" w:hAnsi="Symbol"/>
          <w:sz w:val="22"/>
          <w:szCs w:val="22"/>
        </w:rPr>
        <w:t></w:t>
      </w:r>
      <w:r w:rsidR="00736A4E">
        <w:rPr>
          <w:sz w:val="22"/>
          <w:szCs w:val="22"/>
        </w:rPr>
        <w:tab/>
      </w:r>
      <w:r w:rsidRPr="00736A4E">
        <w:rPr>
          <w:position w:val="-10"/>
          <w:sz w:val="22"/>
          <w:szCs w:val="22"/>
        </w:rPr>
        <w:object w:dxaOrig="1880" w:dyaOrig="380">
          <v:shape id="_x0000_i1042" type="#_x0000_t75" style="width:93.95pt;height:18.85pt" o:ole="">
            <v:imagedata r:id="rId54" o:title=""/>
          </v:shape>
          <o:OLEObject Type="Embed" ProgID="Equation.3" ShapeID="_x0000_i1042" DrawAspect="Content" ObjectID="_1369136238" r:id="rId55"/>
        </w:object>
      </w:r>
      <w:r w:rsidRPr="00736A4E">
        <w:rPr>
          <w:sz w:val="22"/>
          <w:szCs w:val="22"/>
        </w:rPr>
        <w:tab/>
        <w:t>pour</w:t>
      </w:r>
      <w:r w:rsidRPr="00736A4E">
        <w:rPr>
          <w:sz w:val="22"/>
          <w:szCs w:val="22"/>
        </w:rPr>
        <w:tab/>
        <w:t>20</w:t>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t>60</w:t>
      </w:r>
      <w:r w:rsidRPr="00736A4E">
        <w:rPr>
          <w:rFonts w:ascii="Symbol" w:hAnsi="Symbol"/>
          <w:sz w:val="22"/>
          <w:szCs w:val="22"/>
        </w:rPr>
        <w:t></w:t>
      </w:r>
      <w:r w:rsidRPr="00736A4E">
        <w:rPr>
          <w:sz w:val="22"/>
          <w:szCs w:val="22"/>
        </w:rPr>
        <w:tab/>
        <w:t>(25c)</w:t>
      </w:r>
    </w:p>
    <w:p w:rsidR="006F415D" w:rsidRPr="00736A4E" w:rsidRDefault="006F415D" w:rsidP="00736A4E">
      <w:pPr>
        <w:pStyle w:val="Equation"/>
        <w:tabs>
          <w:tab w:val="left" w:pos="3686"/>
          <w:tab w:val="left" w:pos="6379"/>
          <w:tab w:val="decimal" w:pos="7144"/>
          <w:tab w:val="left" w:pos="7371"/>
          <w:tab w:val="left" w:pos="7598"/>
          <w:tab w:val="left" w:pos="7797"/>
          <w:tab w:val="decimal" w:pos="8222"/>
        </w:tabs>
        <w:rPr>
          <w:sz w:val="22"/>
          <w:szCs w:val="22"/>
        </w:rPr>
      </w:pPr>
      <w:r w:rsidRPr="00736A4E">
        <w:rPr>
          <w:sz w:val="22"/>
          <w:szCs w:val="22"/>
        </w:rPr>
        <w:tab/>
      </w:r>
      <w:r w:rsidRPr="00736A4E">
        <w:rPr>
          <w:i/>
          <w:iCs/>
          <w:sz w:val="22"/>
          <w:szCs w:val="22"/>
        </w:rPr>
        <w:t>pfd</w:t>
      </w:r>
      <w:r w:rsidRPr="00736A4E">
        <w:rPr>
          <w:sz w:val="22"/>
          <w:szCs w:val="22"/>
        </w:rPr>
        <w:t xml:space="preserve">  </w:t>
      </w:r>
      <w:r w:rsidRPr="00736A4E">
        <w:rPr>
          <w:rFonts w:ascii="Symbol" w:hAnsi="Symbol"/>
          <w:sz w:val="22"/>
          <w:szCs w:val="22"/>
        </w:rPr>
        <w:t></w:t>
      </w:r>
      <w:r w:rsidRPr="00736A4E">
        <w:rPr>
          <w:sz w:val="22"/>
          <w:szCs w:val="22"/>
        </w:rPr>
        <w:t xml:space="preserve">  –150</w:t>
      </w:r>
      <w:r w:rsidR="00736A4E">
        <w:rPr>
          <w:sz w:val="22"/>
          <w:szCs w:val="22"/>
        </w:rPr>
        <w:tab/>
      </w:r>
      <w:r w:rsidRPr="00736A4E">
        <w:rPr>
          <w:position w:val="-10"/>
          <w:sz w:val="22"/>
          <w:szCs w:val="22"/>
        </w:rPr>
        <w:object w:dxaOrig="1880" w:dyaOrig="380">
          <v:shape id="_x0000_i1043" type="#_x0000_t75" style="width:93.95pt;height:18.85pt" o:ole="">
            <v:imagedata r:id="rId56" o:title=""/>
          </v:shape>
          <o:OLEObject Type="Embed" ProgID="Equation.3" ShapeID="_x0000_i1043" DrawAspect="Content" ObjectID="_1369136239" r:id="rId57"/>
        </w:object>
      </w:r>
      <w:r w:rsidRPr="00736A4E">
        <w:rPr>
          <w:sz w:val="22"/>
          <w:szCs w:val="22"/>
        </w:rPr>
        <w:tab/>
        <w:t>pour</w:t>
      </w:r>
      <w:r w:rsidRPr="00736A4E">
        <w:rPr>
          <w:sz w:val="22"/>
          <w:szCs w:val="22"/>
        </w:rPr>
        <w:tab/>
        <w:t>60</w:t>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r>
      <w:r w:rsidRPr="00736A4E">
        <w:rPr>
          <w:rFonts w:ascii="Symbol" w:hAnsi="Symbol"/>
          <w:sz w:val="22"/>
          <w:szCs w:val="22"/>
        </w:rPr>
        <w:t></w:t>
      </w:r>
      <w:r w:rsidRPr="00736A4E">
        <w:rPr>
          <w:rFonts w:ascii="Symbol" w:hAnsi="Symbol"/>
          <w:sz w:val="22"/>
          <w:szCs w:val="22"/>
        </w:rPr>
        <w:tab/>
      </w:r>
      <w:r w:rsidRPr="00736A4E">
        <w:rPr>
          <w:rFonts w:ascii="Symbol" w:hAnsi="Symbol"/>
          <w:sz w:val="22"/>
          <w:szCs w:val="22"/>
        </w:rPr>
        <w:t></w:t>
      </w:r>
      <w:r w:rsidRPr="00736A4E">
        <w:rPr>
          <w:sz w:val="22"/>
          <w:szCs w:val="22"/>
        </w:rPr>
        <w:tab/>
        <w:t>90</w:t>
      </w:r>
      <w:r w:rsidRPr="00736A4E">
        <w:rPr>
          <w:rFonts w:ascii="Symbol" w:hAnsi="Symbol"/>
          <w:sz w:val="22"/>
          <w:szCs w:val="22"/>
        </w:rPr>
        <w:t></w:t>
      </w:r>
      <w:r w:rsidRPr="00736A4E">
        <w:rPr>
          <w:sz w:val="22"/>
          <w:szCs w:val="22"/>
        </w:rPr>
        <w:tab/>
        <w:t>(25d)</w:t>
      </w:r>
    </w:p>
    <w:p w:rsidR="006F415D" w:rsidRDefault="006F415D" w:rsidP="00736A4E">
      <w:pPr>
        <w:pStyle w:val="Figure"/>
      </w:pPr>
      <w:r>
        <w:rPr>
          <w:noProof/>
          <w:lang w:val="en-US" w:eastAsia="zh-CN"/>
        </w:rPr>
        <w:lastRenderedPageBreak/>
        <w:drawing>
          <wp:inline distT="0" distB="0" distL="0" distR="0" wp14:anchorId="7ED0499F" wp14:editId="17A56721">
            <wp:extent cx="4337685" cy="537654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37685" cy="5376545"/>
                    </a:xfrm>
                    <a:prstGeom prst="rect">
                      <a:avLst/>
                    </a:prstGeom>
                    <a:noFill/>
                    <a:ln>
                      <a:noFill/>
                    </a:ln>
                  </pic:spPr>
                </pic:pic>
              </a:graphicData>
            </a:graphic>
          </wp:inline>
        </w:drawing>
      </w:r>
    </w:p>
    <w:p w:rsidR="006F415D" w:rsidRDefault="006F415D" w:rsidP="006F415D">
      <w:pPr>
        <w:pStyle w:val="Fig0"/>
        <w:rPr>
          <w:lang w:val="fr-FR"/>
        </w:rPr>
      </w:pPr>
      <w:r>
        <w:rPr>
          <w:lang w:val="fr-FR"/>
        </w:rPr>
        <w:t>FIGURE 6 - 1459</w:t>
      </w:r>
    </w:p>
    <w:p w:rsidR="006F415D" w:rsidRDefault="006F415D" w:rsidP="006F415D">
      <w:pPr>
        <w:pStyle w:val="Index1"/>
      </w:pPr>
    </w:p>
    <w:p w:rsidR="006F415D" w:rsidRDefault="006F415D" w:rsidP="006F415D">
      <w:pPr>
        <w:pStyle w:val="Annex"/>
        <w:rPr>
          <w:lang w:val="fr-FR"/>
        </w:rPr>
      </w:pPr>
      <w:r>
        <w:rPr>
          <w:lang w:val="fr-FR"/>
        </w:rPr>
        <w:t>ANNEXE  2</w:t>
      </w:r>
    </w:p>
    <w:p w:rsidR="006F415D" w:rsidRDefault="006F415D" w:rsidP="006F415D">
      <w:pPr>
        <w:pStyle w:val="AnnexTitle"/>
        <w:rPr>
          <w:lang w:val="fr-FR"/>
        </w:rPr>
      </w:pPr>
      <w:r>
        <w:rPr>
          <w:lang w:val="fr-FR"/>
        </w:rPr>
        <w:t>Techniques de réduction des brouillages</w:t>
      </w:r>
    </w:p>
    <w:p w:rsidR="006F415D" w:rsidRDefault="006F415D" w:rsidP="006F415D">
      <w:pPr>
        <w:pStyle w:val="Heading1"/>
      </w:pPr>
      <w:r>
        <w:t>1</w:t>
      </w:r>
      <w:r>
        <w:tab/>
        <w:t>Techniques de réduction des brouillages pour des systèmes de télémesure du service mobile aéronautique</w:t>
      </w:r>
    </w:p>
    <w:p w:rsidR="006F415D" w:rsidRPr="00736A4E" w:rsidRDefault="006F415D" w:rsidP="006F415D">
      <w:pPr>
        <w:rPr>
          <w:sz w:val="20"/>
        </w:rPr>
      </w:pPr>
      <w:r w:rsidRPr="00736A4E">
        <w:rPr>
          <w:sz w:val="20"/>
        </w:rPr>
        <w:t>Il convient d'étudier les techniques de réduction des brouillages suivantes et de les utiliser dans la mesure du possible pour assurer le partage avec le SRS (sonore).</w:t>
      </w:r>
    </w:p>
    <w:p w:rsidR="006F415D" w:rsidRPr="00736A4E" w:rsidRDefault="006F415D" w:rsidP="006F415D">
      <w:pPr>
        <w:pStyle w:val="Heading2"/>
        <w:rPr>
          <w:sz w:val="22"/>
          <w:szCs w:val="22"/>
        </w:rPr>
      </w:pPr>
      <w:r w:rsidRPr="00736A4E">
        <w:rPr>
          <w:sz w:val="22"/>
          <w:szCs w:val="22"/>
        </w:rPr>
        <w:t>1.1</w:t>
      </w:r>
      <w:r w:rsidRPr="00736A4E">
        <w:rPr>
          <w:sz w:val="22"/>
          <w:szCs w:val="22"/>
        </w:rPr>
        <w:tab/>
        <w:t>Evitement de fréquence</w:t>
      </w:r>
    </w:p>
    <w:p w:rsidR="006F415D" w:rsidRPr="00736A4E" w:rsidRDefault="006F415D" w:rsidP="006F415D">
      <w:pPr>
        <w:rPr>
          <w:sz w:val="20"/>
        </w:rPr>
      </w:pPr>
      <w:r w:rsidRPr="00736A4E">
        <w:rPr>
          <w:sz w:val="20"/>
        </w:rPr>
        <w:t xml:space="preserve">Si possible, éviter d'utiliser les portions des bandes de fréquences affectées. Dans le cas de sites de télémesure isolés (pas de chevauchement entre le volume spatial et un autre site), et pour un calendrier d'essais peu chargé, il est possible d'éviter d'utiliser les portions des bandes attribuées au SRS (sonore). Lorsqu'il y a beaucoup de chevauchements de couverture de site et d'essais simultanés, il se peut qu'il ne soit pas possible de pratiquer l'évitement de fréquence. </w:t>
      </w:r>
    </w:p>
    <w:p w:rsidR="006F415D" w:rsidRPr="00736A4E" w:rsidRDefault="006F415D" w:rsidP="006F415D">
      <w:pPr>
        <w:pStyle w:val="Heading2"/>
        <w:rPr>
          <w:sz w:val="22"/>
          <w:szCs w:val="22"/>
        </w:rPr>
      </w:pPr>
      <w:r w:rsidRPr="00736A4E">
        <w:rPr>
          <w:sz w:val="22"/>
          <w:szCs w:val="22"/>
        </w:rPr>
        <w:lastRenderedPageBreak/>
        <w:t>1.2</w:t>
      </w:r>
      <w:r w:rsidRPr="00736A4E">
        <w:rPr>
          <w:sz w:val="22"/>
          <w:szCs w:val="22"/>
        </w:rPr>
        <w:tab/>
        <w:t>Discrimination de polarisation</w:t>
      </w:r>
    </w:p>
    <w:p w:rsidR="006F415D" w:rsidRPr="00736A4E" w:rsidRDefault="006F415D" w:rsidP="006F415D">
      <w:pPr>
        <w:rPr>
          <w:sz w:val="20"/>
        </w:rPr>
      </w:pPr>
      <w:r w:rsidRPr="00736A4E">
        <w:rPr>
          <w:sz w:val="20"/>
        </w:rPr>
        <w:t xml:space="preserve">Dans les cas où il est possible pour les systèmes de télémesure du service mobile aéronautique d'utiliser des polarisations opposées à celles utilisées par les systèmes du SRS (sonore), on peut alors réaliser une certaine discrimination de polarisation dans le scénario de brouillage le plus défavorable. Lorsque les axes de visée de l'antenne d'émission du SRS (sonore) et de l'antenne de réception de télémesure sont pratiquement alignés. </w:t>
      </w:r>
    </w:p>
    <w:p w:rsidR="006F415D" w:rsidRPr="00736A4E" w:rsidRDefault="006F415D" w:rsidP="006F415D">
      <w:pPr>
        <w:pStyle w:val="Heading2"/>
        <w:rPr>
          <w:sz w:val="22"/>
          <w:szCs w:val="22"/>
        </w:rPr>
      </w:pPr>
      <w:r w:rsidRPr="00736A4E">
        <w:rPr>
          <w:sz w:val="22"/>
          <w:szCs w:val="22"/>
        </w:rPr>
        <w:t>1.3</w:t>
      </w:r>
      <w:r w:rsidRPr="00736A4E">
        <w:rPr>
          <w:sz w:val="22"/>
          <w:szCs w:val="22"/>
        </w:rPr>
        <w:tab/>
        <w:t>Considérations relatives à la modulation et à la largeur de bande</w:t>
      </w:r>
    </w:p>
    <w:p w:rsidR="006F415D" w:rsidRPr="00736A4E" w:rsidRDefault="006F415D" w:rsidP="006F415D">
      <w:pPr>
        <w:rPr>
          <w:sz w:val="20"/>
        </w:rPr>
      </w:pPr>
      <w:r w:rsidRPr="00736A4E">
        <w:rPr>
          <w:sz w:val="20"/>
        </w:rPr>
        <w:t>Les systèmes de télémesure du service mobile aéronautique qui passent au tout numérique utilisent plusieurs types de modulations et de largeurs de bande. L'utilisation de la modulation numérique facilitera l'utilisation des techniques de codage avec correction d'erreur directe, lesquelles assurent une plus grande immunité vis-à-vis des brouillages du SRS (sonore) ou un gain de codage élevé. Par ailleurs, le signal du SRS (sonore) brouilleur étant numérique, le brouillage causé au signal de télémesure sera assimilable à du bruit.</w:t>
      </w:r>
    </w:p>
    <w:p w:rsidR="006F415D" w:rsidRPr="00736A4E" w:rsidRDefault="006F415D" w:rsidP="006F415D">
      <w:pPr>
        <w:rPr>
          <w:sz w:val="20"/>
        </w:rPr>
      </w:pPr>
      <w:r w:rsidRPr="00736A4E">
        <w:rPr>
          <w:sz w:val="20"/>
        </w:rPr>
        <w:t>Les puissances surfaciques sont actuellement spécifiées dans une largeur de bande de 4 kHz à ces fréquences. Lorsque le signal brouillé est analogique ou numérique, limiter les niveaux de brouillage dans une largeur de bande aussi étroite peut conduire à l'adoption de critères de protection excessifs. L'utilisation de largeurs de bande moyennes mieux adaptées pour des situations de brouillage particulières peut refléter plus exactement les besoins de protection. En l'occurrence, une largeur de bande moyenne de 400 kHz peut être utilisée.</w:t>
      </w:r>
    </w:p>
    <w:p w:rsidR="006F415D" w:rsidRPr="00736A4E" w:rsidRDefault="006F415D" w:rsidP="006F415D">
      <w:pPr>
        <w:pStyle w:val="Heading2"/>
        <w:rPr>
          <w:sz w:val="22"/>
          <w:szCs w:val="22"/>
        </w:rPr>
      </w:pPr>
      <w:r w:rsidRPr="00736A4E">
        <w:rPr>
          <w:sz w:val="22"/>
          <w:szCs w:val="22"/>
        </w:rPr>
        <w:t>1.4</w:t>
      </w:r>
      <w:r w:rsidRPr="00736A4E">
        <w:rPr>
          <w:sz w:val="22"/>
          <w:szCs w:val="22"/>
        </w:rPr>
        <w:tab/>
        <w:t>Diversité d'antenne d'émission de télémesure à bord d'aéronefs</w:t>
      </w:r>
    </w:p>
    <w:p w:rsidR="006F415D" w:rsidRPr="00736A4E" w:rsidRDefault="006F415D" w:rsidP="006F415D">
      <w:pPr>
        <w:rPr>
          <w:sz w:val="20"/>
        </w:rPr>
      </w:pPr>
      <w:r w:rsidRPr="00736A4E">
        <w:rPr>
          <w:sz w:val="20"/>
        </w:rPr>
        <w:t xml:space="preserve">La disponibilité du signal est un paramètre important pour les systèmes de télémesure du service mobile aéronautique. Les manœuvres des aéronefs d'essai peuvent se traduire par d'importants évanouissements du signal de réception de télémesure qui obéissent à une distribution de Rayleigh. Lorsqu'il est possible de disposer plusieurs antennes d'émission le long du fuselage de l'aéronef d'essai, la diversité d'antennes d'émission ainsi obtenue pourrait contribuer à réduire de façon importante l'évanouissement du signal. </w:t>
      </w:r>
    </w:p>
    <w:p w:rsidR="006F415D" w:rsidRPr="00736A4E" w:rsidRDefault="006F415D" w:rsidP="006F415D">
      <w:pPr>
        <w:pStyle w:val="Heading2"/>
        <w:rPr>
          <w:sz w:val="22"/>
          <w:szCs w:val="22"/>
        </w:rPr>
      </w:pPr>
      <w:r w:rsidRPr="00736A4E">
        <w:rPr>
          <w:sz w:val="22"/>
          <w:szCs w:val="22"/>
        </w:rPr>
        <w:t>1.5</w:t>
      </w:r>
      <w:r w:rsidRPr="00736A4E">
        <w:rPr>
          <w:sz w:val="22"/>
          <w:szCs w:val="22"/>
        </w:rPr>
        <w:tab/>
        <w:t>Diversité de site de télémesure</w:t>
      </w:r>
    </w:p>
    <w:p w:rsidR="006F415D" w:rsidRPr="00736A4E" w:rsidRDefault="006F415D" w:rsidP="006F415D">
      <w:pPr>
        <w:rPr>
          <w:sz w:val="20"/>
        </w:rPr>
      </w:pPr>
      <w:r w:rsidRPr="00736A4E">
        <w:rPr>
          <w:sz w:val="20"/>
        </w:rPr>
        <w:t>Certains polygones d'essai de télémesure du service mobile aéronautique utilisent deux ou plus de deux antennes de réception. Si ces antennes peuvent être disposées de façon à assurer une diversité de site/d'espace, on pourrait obtenir une réduction importante de l'évanouissement du signal de Rayleigh. Par ailleurs, si les antennes de réception sont correctement espacées, on pourra éviter des scénarios de brouillage axe de visée-axe de visée et axe de visée-soleil, ce qui améliorera encore la disponibilité des signaux de télémesure et le partage. La combinaison de la diversité de fréquence et de la diversité de site permettrait de réduire encore davantage les marges de protection contre les évanouissements.</w:t>
      </w:r>
    </w:p>
    <w:p w:rsidR="006F415D" w:rsidRPr="00736A4E" w:rsidRDefault="006F415D" w:rsidP="006F415D">
      <w:pPr>
        <w:pStyle w:val="Heading2"/>
        <w:rPr>
          <w:sz w:val="22"/>
          <w:szCs w:val="22"/>
        </w:rPr>
      </w:pPr>
      <w:r w:rsidRPr="00736A4E">
        <w:rPr>
          <w:sz w:val="22"/>
          <w:szCs w:val="22"/>
        </w:rPr>
        <w:t>1.6</w:t>
      </w:r>
      <w:r w:rsidRPr="00736A4E">
        <w:rPr>
          <w:sz w:val="22"/>
          <w:szCs w:val="22"/>
        </w:rPr>
        <w:tab/>
        <w:t>Géométrie des polygones d'essai des systèmes de télémesure aéronautique</w:t>
      </w:r>
    </w:p>
    <w:p w:rsidR="006F415D" w:rsidRPr="00736A4E" w:rsidRDefault="006F415D" w:rsidP="006F415D">
      <w:pPr>
        <w:rPr>
          <w:sz w:val="20"/>
        </w:rPr>
      </w:pPr>
      <w:r w:rsidRPr="00736A4E">
        <w:rPr>
          <w:sz w:val="20"/>
        </w:rPr>
        <w:t xml:space="preserve">Dans la plupart des situations de brouillage, les scénarios axe de visée-axe de visée correspondront au cas de brouillage le plus défavorable. Si les mesures correctives décrites précédemment ne sont pas viables ou suffisantes, on peut choisir pour les aéronefs d'essai un trajet de vol qui évite les azimuts les plus critiques correspondant à une quasi-conjonction des axes de visée et éviter les petits angles d'élévation. La configuration particulière et le degré de réussite dépendront de la position spatiale de l'antenne réceptrice de télémesure d'essai par rapport à l'émetteur brouilleur du SRS (sonore). </w:t>
      </w:r>
    </w:p>
    <w:p w:rsidR="006F415D" w:rsidRPr="00736A4E" w:rsidRDefault="006F415D" w:rsidP="006F415D">
      <w:pPr>
        <w:rPr>
          <w:sz w:val="20"/>
        </w:rPr>
      </w:pPr>
      <w:r w:rsidRPr="00736A4E">
        <w:rPr>
          <w:sz w:val="20"/>
        </w:rPr>
        <w:t>Pour les systèmes de télémesure du service mobile aéronautique la technique de réduction des brouillages la plus efficace consisterait peut-être d'éviter les conjonctions des lobes principaux de l'antenne de télémesure avec les satellites géostationnaires. Ce cas a été analysé pour la bande 1</w:t>
      </w:r>
      <w:r w:rsidRPr="00736A4E">
        <w:rPr>
          <w:rFonts w:ascii="Tms Rmn" w:hAnsi="Tms Rmn"/>
          <w:sz w:val="20"/>
        </w:rPr>
        <w:t> </w:t>
      </w:r>
      <w:r w:rsidRPr="00736A4E">
        <w:rPr>
          <w:sz w:val="20"/>
        </w:rPr>
        <w:t>452</w:t>
      </w:r>
      <w:r w:rsidRPr="00736A4E">
        <w:rPr>
          <w:sz w:val="20"/>
        </w:rPr>
        <w:noBreakHyphen/>
        <w:t>1</w:t>
      </w:r>
      <w:r w:rsidRPr="00736A4E">
        <w:rPr>
          <w:rFonts w:ascii="Tms Rmn" w:hAnsi="Tms Rmn"/>
          <w:sz w:val="20"/>
        </w:rPr>
        <w:t> </w:t>
      </w:r>
      <w:r w:rsidRPr="00736A4E">
        <w:rPr>
          <w:sz w:val="20"/>
        </w:rPr>
        <w:t xml:space="preserve">525 MHz et, selon les estimations, on pourrait réaliser une protection supplémentaire de 20 dB pour de très petits angles d'incidence (jusqu'à environ 5 dB) à proximité du zénith. La mesure dans laquelle cette technique peut être utilisée dépend de la géométrie des polygones d'essai et des trajectoires de vol, paramètres qui pour l'instant ne sont pas connus. </w:t>
      </w:r>
    </w:p>
    <w:p w:rsidR="006F415D" w:rsidRPr="00736A4E" w:rsidRDefault="006F415D" w:rsidP="006F415D">
      <w:pPr>
        <w:pStyle w:val="Heading2"/>
        <w:rPr>
          <w:sz w:val="22"/>
          <w:szCs w:val="22"/>
        </w:rPr>
      </w:pPr>
      <w:r w:rsidRPr="00736A4E">
        <w:rPr>
          <w:sz w:val="22"/>
          <w:szCs w:val="22"/>
        </w:rPr>
        <w:t>1.7</w:t>
      </w:r>
      <w:r w:rsidRPr="00736A4E">
        <w:rPr>
          <w:sz w:val="22"/>
          <w:szCs w:val="22"/>
        </w:rPr>
        <w:tab/>
        <w:t>Techniques d'annulation des brouillages des récepteurs de télémesure aéronautique</w:t>
      </w:r>
    </w:p>
    <w:p w:rsidR="006F415D" w:rsidRPr="00736A4E" w:rsidRDefault="006F415D" w:rsidP="006F415D">
      <w:pPr>
        <w:rPr>
          <w:sz w:val="20"/>
        </w:rPr>
      </w:pPr>
      <w:r w:rsidRPr="00736A4E">
        <w:rPr>
          <w:sz w:val="20"/>
        </w:rPr>
        <w:t>On utilise régulièrement des techniques de suppression active des brouillages dans les systèmes radioélectriques du SFS et du service fixe à double polarisation ainsi que dans les cas nombreux où des problèmes particuliers de partage se posent. Selon la dynamique des évanouissements on peut annuler une partie importante des brouillages. Ces techniques pourraient permettre d'améliorer les situations de brouillage.</w:t>
      </w:r>
    </w:p>
    <w:p w:rsidR="006F415D" w:rsidRPr="00C66472" w:rsidRDefault="006F415D" w:rsidP="006F415D">
      <w:pPr>
        <w:pStyle w:val="Heading2"/>
        <w:rPr>
          <w:sz w:val="22"/>
          <w:szCs w:val="22"/>
        </w:rPr>
      </w:pPr>
      <w:r w:rsidRPr="00C66472">
        <w:rPr>
          <w:sz w:val="22"/>
          <w:szCs w:val="22"/>
        </w:rPr>
        <w:lastRenderedPageBreak/>
        <w:t>1.8</w:t>
      </w:r>
      <w:r w:rsidRPr="00C66472">
        <w:rPr>
          <w:sz w:val="22"/>
          <w:szCs w:val="22"/>
        </w:rPr>
        <w:tab/>
        <w:t>Evaluation générale du partage</w:t>
      </w:r>
    </w:p>
    <w:p w:rsidR="006F415D" w:rsidRPr="00C66472" w:rsidRDefault="006F415D" w:rsidP="006F415D">
      <w:pPr>
        <w:rPr>
          <w:sz w:val="20"/>
        </w:rPr>
      </w:pPr>
      <w:r w:rsidRPr="00C66472">
        <w:rPr>
          <w:sz w:val="20"/>
        </w:rPr>
        <w:t>Même dans les conditions géométriques les plus favorables, avec des techniques de réduction des brouillages, il est très peu probable qu'il puisse y avoir partage en configuration même couverture, même fréquence, étant donné que la puissance surfacique requise pour le SRS (sonore) va jusqu'à –122 dB(W/m</w:t>
      </w:r>
      <w:r w:rsidRPr="00C66472">
        <w:rPr>
          <w:position w:val="6"/>
          <w:sz w:val="20"/>
        </w:rPr>
        <w:t>2</w:t>
      </w:r>
      <w:r w:rsidRPr="00C66472">
        <w:rPr>
          <w:sz w:val="20"/>
        </w:rPr>
        <w:t> </w:t>
      </w:r>
      <w:r w:rsidRPr="00C66472">
        <w:rPr>
          <w:rFonts w:ascii="Symbol" w:hAnsi="Symbol"/>
          <w:sz w:val="20"/>
        </w:rPr>
        <w:sym w:font="Symbol" w:char="F0D7"/>
      </w:r>
      <w:r w:rsidRPr="00C66472">
        <w:rPr>
          <w:sz w:val="20"/>
        </w:rPr>
        <w:t> 4 kHz)).</w:t>
      </w:r>
    </w:p>
    <w:p w:rsidR="006F415D" w:rsidRPr="00C66472" w:rsidRDefault="006F415D" w:rsidP="006F415D">
      <w:pPr>
        <w:rPr>
          <w:sz w:val="20"/>
        </w:rPr>
      </w:pPr>
      <w:r w:rsidRPr="00C66472">
        <w:rPr>
          <w:sz w:val="20"/>
        </w:rPr>
        <w:t>Toutefois, dans des conditions géométriques favorables et lorsqu'il est possible de réaliser une discrimination d'antenne du satellite du SRS (sonore) vis-à-vis des antennes réceptrice de télémesure de l'ordre de 30 dB, on peut raisonnablement penser que le partage est possible entre systèmes à faible puissance, par exemple de l'ordre –138 dB(W/m</w:t>
      </w:r>
      <w:r w:rsidRPr="00C66472">
        <w:rPr>
          <w:position w:val="6"/>
          <w:sz w:val="20"/>
        </w:rPr>
        <w:t>2</w:t>
      </w:r>
      <w:r w:rsidRPr="00C66472">
        <w:rPr>
          <w:sz w:val="20"/>
        </w:rPr>
        <w:t> </w:t>
      </w:r>
      <w:r w:rsidRPr="00C66472">
        <w:rPr>
          <w:rFonts w:ascii="Symbol" w:hAnsi="Symbol"/>
          <w:sz w:val="20"/>
        </w:rPr>
        <w:sym w:font="Symbol" w:char="F0D7"/>
      </w:r>
      <w:r w:rsidRPr="00C66472">
        <w:rPr>
          <w:sz w:val="20"/>
        </w:rPr>
        <w:t> 4 kHz)). Toutefois, cette valeur n'est pas typique pour les systèmes du SRS (sonore).</w:t>
      </w:r>
    </w:p>
    <w:p w:rsidR="006F415D" w:rsidRDefault="006F415D" w:rsidP="006F415D">
      <w:pPr>
        <w:pStyle w:val="Heading1"/>
      </w:pPr>
      <w:r>
        <w:t>2</w:t>
      </w:r>
      <w:r>
        <w:tab/>
        <w:t>Techniques de réduction des brouillages pour faciliter le partage avec les systèmes du SRS (DSB)</w:t>
      </w:r>
    </w:p>
    <w:p w:rsidR="006F415D" w:rsidRPr="00C66472" w:rsidRDefault="006F415D" w:rsidP="006F415D">
      <w:pPr>
        <w:pStyle w:val="Heading2"/>
        <w:rPr>
          <w:sz w:val="22"/>
          <w:szCs w:val="22"/>
        </w:rPr>
      </w:pPr>
      <w:r w:rsidRPr="00C66472">
        <w:rPr>
          <w:sz w:val="22"/>
          <w:szCs w:val="22"/>
        </w:rPr>
        <w:t>2.1</w:t>
      </w:r>
      <w:r w:rsidRPr="00C66472">
        <w:rPr>
          <w:sz w:val="22"/>
          <w:szCs w:val="22"/>
        </w:rPr>
        <w:tab/>
        <w:t>Systèmes du SRS (sonore)</w:t>
      </w:r>
    </w:p>
    <w:p w:rsidR="006F415D" w:rsidRPr="00C66472" w:rsidRDefault="006F415D" w:rsidP="006F415D">
      <w:pPr>
        <w:rPr>
          <w:sz w:val="22"/>
          <w:szCs w:val="22"/>
        </w:rPr>
      </w:pPr>
      <w:r w:rsidRPr="00C66472">
        <w:rPr>
          <w:sz w:val="22"/>
          <w:szCs w:val="22"/>
        </w:rPr>
        <w:t>On part normalement de l'hypothèse que l'on a plus de souplesse dans le choix des paramètres d'exploitation pour les nouveaux systèmes au stade de la planification ou au début de la mise en œuvre, ce qui facilitera le partage avec les services existants. On trouvera ci-après une liste des techniques possibles de réduction des brouillages considérées comme applicables au SRS (sonore) pour faciliter le partage. Les résultats des différentes études de l'UIT-R concordent avec les vues énoncées ci-après concernant la faisabilité et l'application de ces techniques de réduction des brouillages.</w:t>
      </w:r>
    </w:p>
    <w:p w:rsidR="006F415D" w:rsidRPr="00C66472" w:rsidRDefault="006F415D" w:rsidP="006F415D">
      <w:pPr>
        <w:pStyle w:val="Heading2"/>
        <w:rPr>
          <w:sz w:val="22"/>
          <w:szCs w:val="22"/>
        </w:rPr>
      </w:pPr>
      <w:r w:rsidRPr="00C66472">
        <w:rPr>
          <w:sz w:val="22"/>
          <w:szCs w:val="22"/>
        </w:rPr>
        <w:t>2.2</w:t>
      </w:r>
      <w:r w:rsidRPr="00C66472">
        <w:rPr>
          <w:sz w:val="22"/>
          <w:szCs w:val="22"/>
        </w:rPr>
        <w:tab/>
        <w:t>Choix de la position orbitale</w:t>
      </w:r>
    </w:p>
    <w:p w:rsidR="006F415D" w:rsidRPr="00474C70" w:rsidRDefault="006F415D" w:rsidP="006F415D">
      <w:pPr>
        <w:rPr>
          <w:sz w:val="20"/>
        </w:rPr>
      </w:pPr>
      <w:r w:rsidRPr="00474C70">
        <w:rPr>
          <w:sz w:val="20"/>
        </w:rPr>
        <w:t xml:space="preserve">Le choix de positions orbitales réduisant au maximum l'exposition et le débordement dans des sites critiques du service mobile de télémesure aéronautique (MAT, </w:t>
      </w:r>
      <w:r w:rsidRPr="00474C70">
        <w:rPr>
          <w:i/>
          <w:iCs/>
          <w:sz w:val="20"/>
        </w:rPr>
        <w:t>mobile aeronautical telemetry</w:t>
      </w:r>
      <w:r w:rsidRPr="00474C70">
        <w:rPr>
          <w:sz w:val="20"/>
        </w:rPr>
        <w:t>) est une technique possible de réduction des brouillages. L'UIT-R considère qu'il serait très difficile de choisir des positions orbitales permettant de minimiser l'exposition pour les services affectés. On attend du SRS (sonore) qu'il offre un service mondial et les pays qui utilisent des systèmes MAT sont dispersés aux quatre coins du monde de sorte qu'il est impossible de ne pas illuminer un ou plusieurs d'entre eux. Par ailleurs, dans de nombreux cas il y a des contraintes qui pèsent sur le choix des positions orbitales disponibles pour offrir un service SRS (sonore) viable. L'UIT-R ne pense donc pas que cette technique puisse offrir des avantages importants.</w:t>
      </w:r>
    </w:p>
    <w:p w:rsidR="006F415D" w:rsidRPr="00C66472" w:rsidRDefault="006F415D" w:rsidP="006F415D">
      <w:pPr>
        <w:pStyle w:val="Heading2"/>
        <w:rPr>
          <w:sz w:val="22"/>
          <w:szCs w:val="22"/>
        </w:rPr>
      </w:pPr>
      <w:r w:rsidRPr="00C66472">
        <w:rPr>
          <w:sz w:val="22"/>
          <w:szCs w:val="22"/>
        </w:rPr>
        <w:t>2.3</w:t>
      </w:r>
      <w:r w:rsidRPr="00C66472">
        <w:rPr>
          <w:sz w:val="22"/>
          <w:szCs w:val="22"/>
        </w:rPr>
        <w:tab/>
        <w:t>Modulation et mise en œuvre</w:t>
      </w:r>
    </w:p>
    <w:p w:rsidR="006F415D" w:rsidRPr="00C66472" w:rsidRDefault="006F415D" w:rsidP="006F415D">
      <w:pPr>
        <w:rPr>
          <w:sz w:val="20"/>
        </w:rPr>
      </w:pPr>
      <w:r w:rsidRPr="00C66472">
        <w:rPr>
          <w:sz w:val="20"/>
        </w:rPr>
        <w:t xml:space="preserve">Ceci suppose l'utilisation de techniques de modulation et de codage des canaux efficaces ainsi que de techniques de diversité de trajet et minimise les impératifs au niveau de la puissance surfacique nécessaire pour obtenir le niveau souhaité de qualité de fonctionnement et de disponibilité des systèmes. </w:t>
      </w:r>
    </w:p>
    <w:p w:rsidR="006F415D" w:rsidRPr="00C66472" w:rsidRDefault="006F415D" w:rsidP="006F415D">
      <w:pPr>
        <w:rPr>
          <w:sz w:val="20"/>
        </w:rPr>
      </w:pPr>
      <w:r w:rsidRPr="00C66472">
        <w:rPr>
          <w:sz w:val="20"/>
        </w:rPr>
        <w:t xml:space="preserve">Concernant ces techniques, l'UIT-R a recherché activement des techniques de modulation et de codage des canaux efficaces. De fait, les travaux examinés à l'UIT-R ces dernières années ont été novateurs et ont permis de prendre en considération des systèmes à grande efficacité spectrale. Il est peu probable que de nouvelles améliorations conduisent à des réductions importantes des niveaux de puissance surfacique nécessaires et donc améliorent les scénarios de partage. </w:t>
      </w:r>
    </w:p>
    <w:p w:rsidR="006F415D" w:rsidRPr="00C66472" w:rsidRDefault="006F415D" w:rsidP="006F415D">
      <w:pPr>
        <w:pStyle w:val="Heading2"/>
        <w:rPr>
          <w:sz w:val="22"/>
          <w:szCs w:val="22"/>
        </w:rPr>
      </w:pPr>
      <w:r w:rsidRPr="00C66472">
        <w:rPr>
          <w:sz w:val="22"/>
          <w:szCs w:val="22"/>
        </w:rPr>
        <w:t>2.4</w:t>
      </w:r>
      <w:r w:rsidRPr="00C66472">
        <w:rPr>
          <w:sz w:val="22"/>
          <w:szCs w:val="22"/>
        </w:rPr>
        <w:tab/>
        <w:t>Etalement de spectre</w:t>
      </w:r>
    </w:p>
    <w:p w:rsidR="006F415D" w:rsidRPr="00C66472" w:rsidRDefault="006F415D" w:rsidP="006F415D">
      <w:pPr>
        <w:rPr>
          <w:sz w:val="20"/>
        </w:rPr>
      </w:pPr>
      <w:r w:rsidRPr="00C66472">
        <w:rPr>
          <w:sz w:val="20"/>
        </w:rPr>
        <w:t xml:space="preserve">Utiliser des techniques d'étalement de spectre permet de réduire la puissance surfacique de l'inverse du rapport d'étalement (largeur de bande étalée/largeur de bande non étalée) et accroît l'immunité au brouillage du rapport d'étalement. </w:t>
      </w:r>
    </w:p>
    <w:p w:rsidR="006F415D" w:rsidRPr="00C66472" w:rsidRDefault="006F415D" w:rsidP="006F415D">
      <w:pPr>
        <w:rPr>
          <w:sz w:val="20"/>
        </w:rPr>
      </w:pPr>
      <w:r w:rsidRPr="00C66472">
        <w:rPr>
          <w:sz w:val="20"/>
        </w:rPr>
        <w:t>L'UIT-R considère que pour que l'étalement de spectre puisse améliorer le partage il faut que suffisamment de spectre ait été attribué au service pour pouvoir étaler l'énergie du signal brouilleur sur une grande largeur de bande pour réaliser une réduction correspondante de la puissance surfacique par unité de largeur de bande, en l'occurrence 4 kHz. Par ailleurs, pour maximiser cet avantage, chaque service SRS (sonore) brouilleur devrait utiliser des bandes de fréquences exclusives (pas de chevauchement des canaux à étalement de spectre). Compte tenu du fait que la CAMR-92 a attribué une portion de spectre relativement étroite au SRS (sonore) et qu'en outre ces bandes de fréquences sont utilisées en partage avec le service de radiodiffusion (sonore), l'étalement de spectre n'est pas une technique de réduction des brouillages possible pour permettre le partage, ce qu'illustre l'exemple suivant:</w:t>
      </w:r>
    </w:p>
    <w:p w:rsidR="006F415D" w:rsidRPr="00C66472" w:rsidRDefault="006F415D" w:rsidP="00C66472">
      <w:pPr>
        <w:rPr>
          <w:sz w:val="20"/>
        </w:rPr>
      </w:pPr>
      <w:r w:rsidRPr="00C66472">
        <w:rPr>
          <w:sz w:val="20"/>
        </w:rPr>
        <w:lastRenderedPageBreak/>
        <w:t>Il apparaît que pour permettre le partage il faudrait accroître le niveau de puissance surfacique de plus de 30 dB. Or, pour obtenir un accroissement ne serait-ce que de 20 dB avec des techniques d'étalement de spectre, il faudrait, en utilisant des systèmes d'étalement normaux de pseudo-bruit, disposer d'un gain d'étalement d'environ 100, ce qui suppose d'utiliser un facteur d'étalement de 100. Etant donné que la bande attribuée au SRS à 1,5 GHz est large de 40 MHz et qu'elle sera, à terme, totalement utilisée, il faudrait 4 GHz de spectre pour le SRS si l'on adopte des techniques à étalement de spectre.</w:t>
      </w:r>
    </w:p>
    <w:p w:rsidR="006F415D" w:rsidRPr="00C66472" w:rsidRDefault="006F415D" w:rsidP="006F415D">
      <w:pPr>
        <w:pStyle w:val="Heading2"/>
        <w:rPr>
          <w:sz w:val="22"/>
          <w:szCs w:val="22"/>
        </w:rPr>
      </w:pPr>
      <w:r w:rsidRPr="00C66472">
        <w:rPr>
          <w:sz w:val="22"/>
          <w:szCs w:val="22"/>
        </w:rPr>
        <w:t>2.5</w:t>
      </w:r>
      <w:r w:rsidRPr="00C66472">
        <w:rPr>
          <w:sz w:val="22"/>
          <w:szCs w:val="22"/>
        </w:rPr>
        <w:tab/>
        <w:t>Qualité de fonctionnement du récepteur</w:t>
      </w:r>
    </w:p>
    <w:p w:rsidR="006F415D" w:rsidRPr="00C66472" w:rsidRDefault="006F415D" w:rsidP="006F415D">
      <w:pPr>
        <w:rPr>
          <w:sz w:val="20"/>
        </w:rPr>
      </w:pPr>
      <w:r w:rsidRPr="00C66472">
        <w:rPr>
          <w:sz w:val="20"/>
        </w:rPr>
        <w:t xml:space="preserve">Une solution possible de réduction des brouillages consiste à maximiser le facteur de qualité, </w:t>
      </w:r>
      <w:r w:rsidRPr="00C66472">
        <w:rPr>
          <w:i/>
          <w:iCs/>
          <w:sz w:val="20"/>
        </w:rPr>
        <w:t>G</w:t>
      </w:r>
      <w:r w:rsidRPr="00C66472">
        <w:rPr>
          <w:sz w:val="20"/>
        </w:rPr>
        <w:t>/</w:t>
      </w:r>
      <w:r w:rsidRPr="00C66472">
        <w:rPr>
          <w:i/>
          <w:iCs/>
          <w:sz w:val="20"/>
        </w:rPr>
        <w:t>T</w:t>
      </w:r>
      <w:r w:rsidRPr="00C66472">
        <w:rPr>
          <w:sz w:val="20"/>
        </w:rPr>
        <w:t xml:space="preserve">, du récepteur en utilisant des processeurs frontaux à faible bruit et des antennes à gain maximal conformes aux coûts et au type de service offert. </w:t>
      </w:r>
    </w:p>
    <w:p w:rsidR="006F415D" w:rsidRPr="00C66472" w:rsidRDefault="006F415D" w:rsidP="006F415D">
      <w:pPr>
        <w:rPr>
          <w:sz w:val="20"/>
        </w:rPr>
      </w:pPr>
      <w:r w:rsidRPr="00C66472">
        <w:rPr>
          <w:sz w:val="20"/>
        </w:rPr>
        <w:t xml:space="preserve">L'UIT-R considère que la technologie des dispositifs RF s'est améliorée au point que le processeur frontal à faible bruit n'est plus le facteur limitatif lors de l'établissement du bilan de bruit du récepteur. Les facteurs de bruit du récepteur type pris en considération se situent entre 1 et 3 dB. Comme d'autres sources de bruit - rayonnements provenant d'objets au sol, dans le ciel, ou d'objets environnants, affaiblissement de filtrage à l'entrée - interviennent pour une part importante dans le bilan de bruit global du récepteur, on peut de moins en moins considérer que la réduction du facteur de bruit du récepteur est une technique efficace de réduction des brouillages. Il est possible d'améliorer le gain de l'antenne et nous avons adopté cette formule pour essayer de trouver des solutions rentables. Toutefois, nous ne pouvons pas aller très loin dans cette direction puisque nous essayons de desservir des récepteurs mobiles et portables et d'offrir un système qui puisse être mis en œuvre à un prix à la portée de tous. Par conséquent, il serait difficile d'améliorer de façon significative le partage en améliorant éventuellement le facteur </w:t>
      </w:r>
      <w:r w:rsidRPr="00C66472">
        <w:rPr>
          <w:i/>
          <w:iCs/>
          <w:sz w:val="20"/>
        </w:rPr>
        <w:t>G</w:t>
      </w:r>
      <w:r w:rsidRPr="00C66472">
        <w:rPr>
          <w:sz w:val="20"/>
        </w:rPr>
        <w:t>/</w:t>
      </w:r>
      <w:r w:rsidRPr="00C66472">
        <w:rPr>
          <w:i/>
          <w:iCs/>
          <w:sz w:val="20"/>
        </w:rPr>
        <w:t>T</w:t>
      </w:r>
      <w:r w:rsidRPr="00C66472">
        <w:rPr>
          <w:sz w:val="20"/>
        </w:rPr>
        <w:t xml:space="preserve"> du récepteur.</w:t>
      </w:r>
    </w:p>
    <w:p w:rsidR="006F415D" w:rsidRPr="00C66472" w:rsidRDefault="006F415D" w:rsidP="006F415D">
      <w:pPr>
        <w:pStyle w:val="Heading2"/>
        <w:rPr>
          <w:sz w:val="22"/>
          <w:szCs w:val="22"/>
        </w:rPr>
      </w:pPr>
      <w:r w:rsidRPr="00C66472">
        <w:rPr>
          <w:sz w:val="22"/>
          <w:szCs w:val="22"/>
        </w:rPr>
        <w:t>2.6</w:t>
      </w:r>
      <w:r w:rsidRPr="00C66472">
        <w:rPr>
          <w:sz w:val="22"/>
          <w:szCs w:val="22"/>
        </w:rPr>
        <w:tab/>
        <w:t>Antenne d'émission du satellite et zone de couverture</w:t>
      </w:r>
    </w:p>
    <w:p w:rsidR="006F415D" w:rsidRPr="00C66472" w:rsidRDefault="006F415D" w:rsidP="006F415D">
      <w:pPr>
        <w:rPr>
          <w:sz w:val="20"/>
        </w:rPr>
      </w:pPr>
      <w:r w:rsidRPr="00C66472">
        <w:rPr>
          <w:sz w:val="20"/>
        </w:rPr>
        <w:t>Cette technique de réduction des brouillage consiste à minimiser le débordement du faisceau du satellite en utilisant un modelage des faisceaux pour l'adapter le plus possible à la zone que l'on souhaite desservir.</w:t>
      </w:r>
    </w:p>
    <w:p w:rsidR="006F415D" w:rsidRPr="00C66472" w:rsidRDefault="006F415D" w:rsidP="006F415D">
      <w:pPr>
        <w:rPr>
          <w:sz w:val="20"/>
        </w:rPr>
      </w:pPr>
      <w:r w:rsidRPr="00C66472">
        <w:rPr>
          <w:sz w:val="20"/>
        </w:rPr>
        <w:t xml:space="preserve">De l'avis de l'UIT-R toutes les propositions concernant les satellites SRS (sonore) prennent les techniques d'antenne en ligne de compte. La taille de l'antenne et la nécessité de minimiser le débordement pour utiliser efficacement le spectre attribué au SRS (sonore) signifient que le modelage des faisceaux est déjà pleinement optimisé. Par ailleurs, le modelage des faisceaux se traduira par une décroissance plus rapide à proximité des niveaux des lobes latéraux (par exemple premier lobe latéral) ce qui facilite le partage avec des services à proximité du bord de la zone de couverture, et ces techniques n'améliorent pas les niveaux des lobes latéraux d'ordre supérieur et donc n'amélioreront pas le partage pour des systèmes plus éloignés du bord de la zone de couverture, là où les angles d'élévation sont faibles ce qui suppose des niveaux de puissance surfacique minimaux. </w:t>
      </w:r>
    </w:p>
    <w:p w:rsidR="006F415D" w:rsidRPr="00C66472" w:rsidRDefault="006F415D" w:rsidP="006F415D">
      <w:pPr>
        <w:pStyle w:val="Heading2"/>
        <w:rPr>
          <w:sz w:val="22"/>
          <w:szCs w:val="22"/>
        </w:rPr>
      </w:pPr>
      <w:r w:rsidRPr="00C66472">
        <w:rPr>
          <w:sz w:val="22"/>
          <w:szCs w:val="22"/>
        </w:rPr>
        <w:t>2.7</w:t>
      </w:r>
      <w:r w:rsidRPr="00C66472">
        <w:rPr>
          <w:sz w:val="22"/>
          <w:szCs w:val="22"/>
        </w:rPr>
        <w:tab/>
        <w:t>Systèmes sur orbite elliptique fortement inclinée (HEO, highly-inclined elliptical orbit) du SRS (sonore)</w:t>
      </w:r>
    </w:p>
    <w:p w:rsidR="006F415D" w:rsidRPr="00C66472" w:rsidRDefault="006F415D" w:rsidP="006F415D">
      <w:pPr>
        <w:rPr>
          <w:sz w:val="20"/>
        </w:rPr>
      </w:pPr>
      <w:r w:rsidRPr="00C66472">
        <w:rPr>
          <w:sz w:val="20"/>
        </w:rPr>
        <w:t>Pour les systèmes HEO, une des techniques de réduction des brouillages possibles consiste à choisir des constellations de positions orbitales qui maximisent les angles d'élévation vers les sites MAT affectés et qui permettent de mettre à disposition des opérateurs de systèmes MAT les éphémérides disponibles (informations spatiales et temporelles sur les orbites).</w:t>
      </w:r>
    </w:p>
    <w:p w:rsidR="006F415D" w:rsidRPr="00C66472" w:rsidRDefault="006F415D" w:rsidP="006F415D">
      <w:pPr>
        <w:rPr>
          <w:sz w:val="20"/>
        </w:rPr>
      </w:pPr>
      <w:r w:rsidRPr="00C66472">
        <w:rPr>
          <w:sz w:val="20"/>
        </w:rPr>
        <w:t>De l'avis de l'UIT-R, compte tenu du fait qu'un nombre important de pays utilisent des systèmes fixes et que les informations concernant l'emplacement de ces systèmes sont incomplètes, il est peu probable que l'on puisse obtenir une amélioration majeure pour les systèmes HEO en dehors de celle déjà obtenue dans l'intérêt du service de radiodiffusion.</w:t>
      </w:r>
    </w:p>
    <w:p w:rsidR="006F415D" w:rsidRPr="00C66472" w:rsidRDefault="006F415D" w:rsidP="006F415D">
      <w:pPr>
        <w:pStyle w:val="Heading2"/>
        <w:rPr>
          <w:sz w:val="22"/>
          <w:szCs w:val="22"/>
        </w:rPr>
      </w:pPr>
      <w:r w:rsidRPr="00C66472">
        <w:rPr>
          <w:sz w:val="22"/>
          <w:szCs w:val="22"/>
        </w:rPr>
        <w:t>2.8</w:t>
      </w:r>
      <w:r w:rsidRPr="00C66472">
        <w:rPr>
          <w:sz w:val="22"/>
          <w:szCs w:val="22"/>
        </w:rPr>
        <w:tab/>
        <w:t>Evitement de fréquence</w:t>
      </w:r>
    </w:p>
    <w:p w:rsidR="006F415D" w:rsidRPr="00C66472" w:rsidRDefault="006F415D" w:rsidP="006F415D">
      <w:pPr>
        <w:rPr>
          <w:sz w:val="20"/>
        </w:rPr>
      </w:pPr>
      <w:r w:rsidRPr="00C66472">
        <w:rPr>
          <w:sz w:val="20"/>
        </w:rPr>
        <w:t>Il s'agit de choisir, si possible, la partie du spectre attribuée au SRS (sonore) la moins utilisée par les systèmes MAT.</w:t>
      </w:r>
    </w:p>
    <w:p w:rsidR="006F415D" w:rsidRPr="00C66472" w:rsidRDefault="006F415D" w:rsidP="006F415D">
      <w:pPr>
        <w:rPr>
          <w:sz w:val="20"/>
        </w:rPr>
      </w:pPr>
      <w:r w:rsidRPr="00C66472">
        <w:rPr>
          <w:sz w:val="20"/>
        </w:rPr>
        <w:t xml:space="preserve">De l'avis de l'UIT-R, cette technique de réduction des brouillages, s'il est vrai qu'elle ne représente pas au sens propre une technique de partage, apparaît être la seule qui puisse être concrètement exploitée. L'UIT-R est bien conscient que les systèmes MAT qui occupent une partie de cette bande sont des systèmes critiques pour la sécurité de la vie. Il apparaîtrait donc raisonnable que, à supposer que cela soit possible, ces éléments du service MAT occupent la partie du spectre non occupée par le SRS. Il serait raisonnable de demander la protection de cette partie du service aux niveaux proposés. </w:t>
      </w:r>
    </w:p>
    <w:p w:rsidR="006F415D" w:rsidRPr="00C66472" w:rsidRDefault="006F415D" w:rsidP="006F415D">
      <w:pPr>
        <w:rPr>
          <w:sz w:val="20"/>
        </w:rPr>
      </w:pPr>
      <w:r w:rsidRPr="00C66472">
        <w:rPr>
          <w:sz w:val="20"/>
        </w:rPr>
        <w:t xml:space="preserve">Les conclusions générales de l'UIT-R concernant les techniques de réduction de brouillage, susmentionnées, à appliquer au SRS (sonore) sont que, à l'exception de la technique d'évitement de fréquence, la somme des améliorations qu'il est possible de tirer de l'application de ces techniques ne sera pas tout à fait suffisante pour permettre le partage. Cela étant, </w:t>
      </w:r>
      <w:r w:rsidRPr="00C66472">
        <w:rPr>
          <w:sz w:val="20"/>
        </w:rPr>
        <w:lastRenderedPageBreak/>
        <w:t>l'UIT-R considère que toute amélioration du partage que pourrait apporter une quelconque de ces techniques de réduction des brouillages ou d'autres devrait garantir que toutes les administrations auront la possibilité de mettre en œuvre le SRS (sonore) dans la bande de fréquences appropriée attribuée par la CAMR-92 sans qu'il faille imposer des contraintes majeures sur le niveau de service pouvant être fourni.</w:t>
      </w:r>
    </w:p>
    <w:p w:rsidR="006F415D" w:rsidRDefault="006F415D" w:rsidP="006F415D">
      <w:pPr>
        <w:pStyle w:val="Heading1"/>
      </w:pPr>
      <w:r>
        <w:t>3</w:t>
      </w:r>
      <w:r>
        <w:tab/>
        <w:t>Mesures pratiques à mettre en œuvre pour autoriser le partage interservices</w:t>
      </w:r>
    </w:p>
    <w:p w:rsidR="006F415D" w:rsidRPr="00C66472" w:rsidRDefault="006F415D" w:rsidP="006F415D">
      <w:pPr>
        <w:rPr>
          <w:sz w:val="20"/>
        </w:rPr>
      </w:pPr>
      <w:r w:rsidRPr="00C66472">
        <w:rPr>
          <w:sz w:val="20"/>
        </w:rPr>
        <w:t xml:space="preserve">Pour les calculs de brouillage, on utilisera vraisemblablement les scénarios les plus défavorables, ce qui pourrait amener à penser qu'un partage d'une même fréquence ou d'un même canal entre différents services n'est pas possible. Les paramètres techniques généraux qui sont utilisés pour établir des critères de partage appropriés ne reflètent peut-être pas l'utilisation réelle que se proposent d'en faire les administrations. </w:t>
      </w:r>
    </w:p>
    <w:p w:rsidR="006F415D" w:rsidRPr="00C66472" w:rsidRDefault="006F415D" w:rsidP="006F415D">
      <w:pPr>
        <w:rPr>
          <w:sz w:val="20"/>
        </w:rPr>
      </w:pPr>
      <w:r w:rsidRPr="00C66472">
        <w:rPr>
          <w:sz w:val="20"/>
        </w:rPr>
        <w:t xml:space="preserve">Lorsqu'une administration souhaite établir un nouveau système et que les critères de partage appropriés n'ont pas été arrêtés, il convient de prendre les mesures indiquées ci-après pour s'assurer qu'aucun brouillage préjudiciable n'est causé au service existant ou au nouveau service proposé. </w:t>
      </w:r>
    </w:p>
    <w:p w:rsidR="006F415D" w:rsidRPr="00C66472" w:rsidRDefault="006F415D" w:rsidP="006F415D">
      <w:pPr>
        <w:rPr>
          <w:sz w:val="20"/>
        </w:rPr>
      </w:pPr>
      <w:r w:rsidRPr="00C66472">
        <w:rPr>
          <w:b/>
          <w:bCs/>
          <w:sz w:val="20"/>
        </w:rPr>
        <w:t>3.1</w:t>
      </w:r>
      <w:r w:rsidRPr="00C66472">
        <w:rPr>
          <w:sz w:val="20"/>
        </w:rPr>
        <w:tab/>
        <w:t>Les administrations affectées devraient déterminer les zones ou installations particulières où il pourrait avoir brouillage. Il sera alors possible de prendre les mesures qui s'imposent pour protéger ces zones ou ces installations.</w:t>
      </w:r>
    </w:p>
    <w:p w:rsidR="006F415D" w:rsidRPr="00C66472" w:rsidRDefault="006F415D" w:rsidP="006F415D">
      <w:pPr>
        <w:rPr>
          <w:sz w:val="20"/>
        </w:rPr>
      </w:pPr>
      <w:r w:rsidRPr="00C66472">
        <w:rPr>
          <w:b/>
          <w:bCs/>
          <w:sz w:val="20"/>
        </w:rPr>
        <w:t>3.2</w:t>
      </w:r>
      <w:r w:rsidRPr="00C66472">
        <w:rPr>
          <w:sz w:val="20"/>
        </w:rPr>
        <w:tab/>
        <w:t xml:space="preserve">Au départ on pourra envisager un espacement géographique, mais comme les zones frontalières adjacentes seront les plus affectées, cette formule aura peut-être des limites. </w:t>
      </w:r>
    </w:p>
    <w:p w:rsidR="006F415D" w:rsidRPr="00C66472" w:rsidRDefault="006F415D" w:rsidP="006F415D">
      <w:pPr>
        <w:rPr>
          <w:sz w:val="20"/>
        </w:rPr>
      </w:pPr>
      <w:r w:rsidRPr="00C66472">
        <w:rPr>
          <w:b/>
          <w:bCs/>
          <w:sz w:val="20"/>
        </w:rPr>
        <w:t>3.3</w:t>
      </w:r>
      <w:r w:rsidRPr="00C66472">
        <w:rPr>
          <w:sz w:val="20"/>
        </w:rPr>
        <w:tab/>
        <w:t>Lorsqu'on a déterminé que des installations ou des sites particuliers sont affectés, on peut appliquer des méthodes concrètes, par exemple annuleurs de brouillage, filtrage particulier, systèmes d'antennes adaptatifs (voir la Recommandation UIT-R SM.856).</w:t>
      </w:r>
    </w:p>
    <w:p w:rsidR="006F415D" w:rsidRPr="00C66472" w:rsidRDefault="006F415D" w:rsidP="006F415D">
      <w:pPr>
        <w:rPr>
          <w:sz w:val="20"/>
        </w:rPr>
      </w:pPr>
      <w:r w:rsidRPr="00C66472">
        <w:rPr>
          <w:b/>
          <w:bCs/>
          <w:sz w:val="20"/>
        </w:rPr>
        <w:t>3.4</w:t>
      </w:r>
      <w:r w:rsidRPr="00C66472">
        <w:rPr>
          <w:sz w:val="20"/>
        </w:rPr>
        <w:tab/>
        <w:t>On pourra peut-être aussi envisager d'apporter des modifications aux dispositions des canaux existantes pour les systèmes du service fixe à condition que cette formule soit cohérente avec avantage économique.</w:t>
      </w:r>
    </w:p>
    <w:p w:rsidR="006F415D" w:rsidRPr="00C66472" w:rsidRDefault="006F415D" w:rsidP="006F415D">
      <w:pPr>
        <w:rPr>
          <w:sz w:val="20"/>
        </w:rPr>
      </w:pPr>
      <w:r w:rsidRPr="00C66472">
        <w:rPr>
          <w:b/>
          <w:bCs/>
          <w:sz w:val="20"/>
        </w:rPr>
        <w:t>3.5</w:t>
      </w:r>
      <w:r w:rsidRPr="00C66472">
        <w:rPr>
          <w:sz w:val="20"/>
        </w:rPr>
        <w:tab/>
        <w:t>Sur le long terme, l'utilisation de techniques de transmission améliorées, par étalement de spectre (voir la Recommandation UIT-R SM.1055), techniques de codage, commande de puissance automatique, dispersion d'énergie, pourront faciliter davantage le partage entre services.</w:t>
      </w:r>
    </w:p>
    <w:p w:rsidR="006F415D" w:rsidRPr="00C66472" w:rsidRDefault="006F415D" w:rsidP="006F415D">
      <w:pPr>
        <w:rPr>
          <w:sz w:val="20"/>
        </w:rPr>
      </w:pPr>
    </w:p>
    <w:p w:rsidR="006F415D" w:rsidRDefault="006F415D" w:rsidP="006F415D"/>
    <w:p w:rsidR="006F415D" w:rsidRDefault="006F415D" w:rsidP="006F415D">
      <w:pPr>
        <w:pStyle w:val="Line"/>
        <w:rPr>
          <w:lang w:val="fr-FR"/>
        </w:rPr>
      </w:pPr>
    </w:p>
    <w:p w:rsidR="00A6617B" w:rsidRPr="006F415D" w:rsidRDefault="00A6617B" w:rsidP="00A6617B"/>
    <w:sectPr w:rsidR="00A6617B" w:rsidRPr="006F415D" w:rsidSect="00473DB3">
      <w:headerReference w:type="even" r:id="rId59"/>
      <w:head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8E4" w:rsidRDefault="00A608E4">
      <w:r>
        <w:separator/>
      </w:r>
    </w:p>
  </w:endnote>
  <w:endnote w:type="continuationSeparator" w:id="0">
    <w:p w:rsidR="00A608E4" w:rsidRDefault="00A6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8E4" w:rsidRDefault="00A608E4">
      <w:r>
        <w:separator/>
      </w:r>
    </w:p>
  </w:footnote>
  <w:footnote w:type="continuationSeparator" w:id="0">
    <w:p w:rsidR="00A608E4" w:rsidRDefault="00A608E4">
      <w:r>
        <w:continuationSeparator/>
      </w:r>
    </w:p>
  </w:footnote>
  <w:footnote w:id="1">
    <w:p w:rsidR="00A608E4" w:rsidRPr="00C241CD" w:rsidRDefault="00A608E4" w:rsidP="00740FDA">
      <w:pPr>
        <w:pStyle w:val="FootnoteText"/>
        <w:ind w:left="313" w:hanging="313"/>
        <w:rPr>
          <w:sz w:val="18"/>
          <w:szCs w:val="18"/>
        </w:rPr>
      </w:pPr>
      <w:r w:rsidRPr="00C241CD">
        <w:rPr>
          <w:rStyle w:val="FootnoteReference"/>
          <w:szCs w:val="18"/>
        </w:rPr>
        <w:t>*</w:t>
      </w:r>
      <w:r w:rsidRPr="00C241CD">
        <w:rPr>
          <w:sz w:val="18"/>
          <w:szCs w:val="18"/>
        </w:rPr>
        <w:t xml:space="preserve"> </w:t>
      </w:r>
      <w:r w:rsidRPr="00C241CD">
        <w:rPr>
          <w:sz w:val="18"/>
          <w:szCs w:val="18"/>
        </w:rPr>
        <w:tab/>
        <w:t>La présente Recommandation doit être portée à l'attention de la Commission d'études 6 des radiocommunications.</w:t>
      </w:r>
    </w:p>
  </w:footnote>
  <w:footnote w:id="2">
    <w:p w:rsidR="00A608E4" w:rsidRPr="00C241CD" w:rsidRDefault="00A608E4" w:rsidP="00740FDA">
      <w:pPr>
        <w:pStyle w:val="FootnoteText"/>
        <w:ind w:left="313" w:hanging="313"/>
        <w:rPr>
          <w:sz w:val="18"/>
          <w:szCs w:val="18"/>
          <w:lang w:val="fr-CH"/>
        </w:rPr>
      </w:pPr>
      <w:r w:rsidRPr="00C241CD">
        <w:rPr>
          <w:rStyle w:val="FootnoteReference"/>
          <w:szCs w:val="18"/>
          <w:lang w:val="fr-CH"/>
        </w:rPr>
        <w:t>**</w:t>
      </w:r>
      <w:r w:rsidRPr="00C241CD">
        <w:rPr>
          <w:sz w:val="18"/>
          <w:szCs w:val="18"/>
          <w:lang w:val="fr-CH"/>
        </w:rPr>
        <w:tab/>
        <w:t>La Commission d'études 5 des radiocommunications a apporté des modifications de forme à la présente Recommandation en novembre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E4" w:rsidRDefault="00A608E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E4" w:rsidRDefault="00A608E4" w:rsidP="006F415D">
    <w:pPr>
      <w:pStyle w:val="Header"/>
      <w:ind w:right="360" w:firstLine="360"/>
    </w:pPr>
    <w:r>
      <w:rPr>
        <w:noProof/>
        <w:lang w:val="en-US" w:eastAsia="zh-CN"/>
      </w:rPr>
      <w:drawing>
        <wp:anchor distT="0" distB="0" distL="114300" distR="114300" simplePos="0" relativeHeight="251659264" behindDoc="1" locked="0" layoutInCell="1" allowOverlap="1" wp14:anchorId="11B59C39" wp14:editId="7F36F62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E4" w:rsidRPr="00C241CD" w:rsidRDefault="00A608E4" w:rsidP="00C241CD">
    <w:pPr>
      <w:pStyle w:val="Header"/>
      <w:jc w:val="left"/>
      <w:rPr>
        <w:sz w:val="20"/>
      </w:rPr>
    </w:pPr>
    <w:r w:rsidRPr="00C241CD">
      <w:rPr>
        <w:rStyle w:val="PageNumber"/>
        <w:b/>
        <w:bCs/>
        <w:sz w:val="20"/>
      </w:rPr>
      <w:fldChar w:fldCharType="begin"/>
    </w:r>
    <w:r w:rsidRPr="00C241CD">
      <w:rPr>
        <w:rStyle w:val="PageNumber"/>
        <w:b/>
        <w:bCs/>
        <w:sz w:val="20"/>
      </w:rPr>
      <w:instrText xml:space="preserve"> PAGE </w:instrText>
    </w:r>
    <w:r w:rsidRPr="00C241CD">
      <w:rPr>
        <w:rStyle w:val="PageNumber"/>
        <w:b/>
        <w:bCs/>
        <w:sz w:val="20"/>
      </w:rPr>
      <w:fldChar w:fldCharType="separate"/>
    </w:r>
    <w:r w:rsidR="00706556">
      <w:rPr>
        <w:rStyle w:val="PageNumber"/>
        <w:b/>
        <w:bCs/>
        <w:noProof/>
        <w:sz w:val="20"/>
      </w:rPr>
      <w:t>ii</w:t>
    </w:r>
    <w:r w:rsidRPr="00C241CD">
      <w:rPr>
        <w:rStyle w:val="PageNumber"/>
        <w:b/>
        <w:bCs/>
        <w:sz w:val="20"/>
      </w:rPr>
      <w:fldChar w:fldCharType="end"/>
    </w:r>
    <w:r w:rsidRPr="00C241CD">
      <w:rPr>
        <w:sz w:val="20"/>
      </w:rPr>
      <w:tab/>
    </w:r>
    <w:r w:rsidRPr="00C241CD">
      <w:rPr>
        <w:b/>
        <w:bCs/>
        <w:sz w:val="20"/>
      </w:rPr>
      <w:fldChar w:fldCharType="begin"/>
    </w:r>
    <w:r w:rsidRPr="00C241CD">
      <w:rPr>
        <w:b/>
        <w:bCs/>
        <w:sz w:val="20"/>
      </w:rPr>
      <w:instrText>styleref head_foot</w:instrText>
    </w:r>
    <w:r w:rsidRPr="00C241CD">
      <w:rPr>
        <w:b/>
        <w:bCs/>
        <w:sz w:val="20"/>
      </w:rPr>
      <w:fldChar w:fldCharType="separate"/>
    </w:r>
    <w:r w:rsidR="00706556">
      <w:rPr>
        <w:b/>
        <w:bCs/>
        <w:noProof/>
        <w:sz w:val="20"/>
      </w:rPr>
      <w:t>Rec. UIT-R M.1459</w:t>
    </w:r>
    <w:r w:rsidRPr="00C241CD">
      <w:rPr>
        <w:b/>
        <w:bCs/>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E4" w:rsidRDefault="00A608E4">
    <w:pPr>
      <w:pStyle w:val="Header"/>
    </w:pPr>
    <w:r>
      <w:tab/>
    </w:r>
    <w:fldSimple w:instr=" DOCPROPERTY &quot;Header&quot; \* MERGEFORMAT ">
      <w:r w:rsidR="00122D87" w:rsidRPr="00122D8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22D87">
      <w:rPr>
        <w:b/>
        <w:bCs/>
        <w:noProof/>
      </w:rPr>
      <w:t>RECOMMANDATION  UIT-R  M.1459*, **</w:t>
    </w:r>
    <w:r w:rsidR="00122D87">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25752">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E4" w:rsidRDefault="00A608E4" w:rsidP="00473DB3">
    <w:pPr>
      <w:pStyle w:val="Header"/>
      <w:jc w:val="left"/>
      <w:rPr>
        <w:lang w:val="en-US"/>
      </w:rPr>
    </w:pPr>
    <w:r w:rsidRPr="00474C70">
      <w:rPr>
        <w:rStyle w:val="PageNumber"/>
        <w:b/>
        <w:bCs/>
        <w:sz w:val="20"/>
      </w:rPr>
      <w:fldChar w:fldCharType="begin"/>
    </w:r>
    <w:r w:rsidRPr="00474C70">
      <w:rPr>
        <w:rStyle w:val="PageNumber"/>
        <w:b/>
        <w:bCs/>
        <w:sz w:val="20"/>
        <w:lang w:val="en-US"/>
      </w:rPr>
      <w:instrText xml:space="preserve"> PAGE </w:instrText>
    </w:r>
    <w:r w:rsidRPr="00474C70">
      <w:rPr>
        <w:rStyle w:val="PageNumber"/>
        <w:b/>
        <w:bCs/>
        <w:sz w:val="20"/>
      </w:rPr>
      <w:fldChar w:fldCharType="separate"/>
    </w:r>
    <w:r w:rsidR="00706556">
      <w:rPr>
        <w:rStyle w:val="PageNumber"/>
        <w:b/>
        <w:bCs/>
        <w:noProof/>
        <w:sz w:val="20"/>
        <w:lang w:val="en-US"/>
      </w:rPr>
      <w:t>2</w:t>
    </w:r>
    <w:r w:rsidRPr="00474C70">
      <w:rPr>
        <w:rStyle w:val="PageNumber"/>
        <w:b/>
        <w:bCs/>
        <w:sz w:val="20"/>
      </w:rPr>
      <w:fldChar w:fldCharType="end"/>
    </w:r>
    <w:r>
      <w:rPr>
        <w:lang w:val="en-US"/>
      </w:rPr>
      <w:tab/>
    </w:r>
    <w:r w:rsidRPr="00473DB3">
      <w:rPr>
        <w:sz w:val="20"/>
      </w:rPr>
      <w:fldChar w:fldCharType="begin"/>
    </w:r>
    <w:r w:rsidRPr="00473DB3">
      <w:rPr>
        <w:sz w:val="20"/>
      </w:rPr>
      <w:instrText xml:space="preserve"> DOCPROPERTY "Header" \* MERGEFORMAT </w:instrText>
    </w:r>
    <w:r w:rsidRPr="00473DB3">
      <w:rPr>
        <w:sz w:val="20"/>
      </w:rPr>
      <w:fldChar w:fldCharType="separate"/>
    </w:r>
    <w:r w:rsidR="00122D87" w:rsidRPr="00122D87">
      <w:rPr>
        <w:b/>
        <w:bCs/>
        <w:sz w:val="20"/>
      </w:rPr>
      <w:t xml:space="preserve">Rec. </w:t>
    </w:r>
    <w:r w:rsidRPr="00473DB3">
      <w:rPr>
        <w:b/>
        <w:bCs/>
        <w:sz w:val="20"/>
      </w:rPr>
      <w:fldChar w:fldCharType="end"/>
    </w:r>
    <w:r w:rsidRPr="00473DB3">
      <w:rPr>
        <w:b/>
        <w:bCs/>
        <w:sz w:val="20"/>
      </w:rPr>
      <w:t xml:space="preserve"> UIT-R  M.1459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E4" w:rsidRPr="00474C70" w:rsidRDefault="00A608E4" w:rsidP="006F415D">
    <w:pPr>
      <w:pStyle w:val="Header"/>
      <w:rPr>
        <w:sz w:val="20"/>
      </w:rPr>
    </w:pPr>
    <w:r>
      <w:tab/>
    </w:r>
    <w:r w:rsidRPr="00473DB3">
      <w:rPr>
        <w:sz w:val="20"/>
      </w:rPr>
      <w:fldChar w:fldCharType="begin"/>
    </w:r>
    <w:r w:rsidRPr="00473DB3">
      <w:rPr>
        <w:sz w:val="20"/>
      </w:rPr>
      <w:instrText xml:space="preserve"> DOCPROPERTY "Header" \* MERGEFORMAT </w:instrText>
    </w:r>
    <w:r w:rsidRPr="00473DB3">
      <w:rPr>
        <w:sz w:val="20"/>
      </w:rPr>
      <w:fldChar w:fldCharType="separate"/>
    </w:r>
    <w:r w:rsidR="00122D87" w:rsidRPr="00122D87">
      <w:rPr>
        <w:b/>
        <w:bCs/>
        <w:sz w:val="20"/>
      </w:rPr>
      <w:t xml:space="preserve">Rec. </w:t>
    </w:r>
    <w:r w:rsidRPr="00473DB3">
      <w:rPr>
        <w:b/>
        <w:bCs/>
        <w:sz w:val="20"/>
      </w:rPr>
      <w:fldChar w:fldCharType="end"/>
    </w:r>
    <w:r w:rsidRPr="00473DB3">
      <w:rPr>
        <w:b/>
        <w:bCs/>
        <w:sz w:val="20"/>
      </w:rPr>
      <w:t xml:space="preserve"> UIT-R  M.1459</w:t>
    </w:r>
    <w:r>
      <w:tab/>
    </w:r>
    <w:r w:rsidRPr="00474C70">
      <w:rPr>
        <w:rStyle w:val="PageNumber"/>
        <w:b/>
        <w:bCs/>
        <w:sz w:val="20"/>
      </w:rPr>
      <w:fldChar w:fldCharType="begin"/>
    </w:r>
    <w:r w:rsidRPr="00474C70">
      <w:rPr>
        <w:rStyle w:val="PageNumber"/>
        <w:b/>
        <w:bCs/>
        <w:sz w:val="20"/>
      </w:rPr>
      <w:instrText xml:space="preserve"> PAGE </w:instrText>
    </w:r>
    <w:r w:rsidRPr="00474C70">
      <w:rPr>
        <w:rStyle w:val="PageNumber"/>
        <w:b/>
        <w:bCs/>
        <w:sz w:val="20"/>
      </w:rPr>
      <w:fldChar w:fldCharType="separate"/>
    </w:r>
    <w:r w:rsidR="00706556">
      <w:rPr>
        <w:rStyle w:val="PageNumber"/>
        <w:b/>
        <w:bCs/>
        <w:noProof/>
        <w:sz w:val="20"/>
      </w:rPr>
      <w:t>1</w:t>
    </w:r>
    <w:r w:rsidRPr="00474C70">
      <w:rPr>
        <w:rStyle w:val="PageNumber"/>
        <w:b/>
        <w:bCs/>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73C"/>
    <w:rsid w:val="000669B6"/>
    <w:rsid w:val="000B43F9"/>
    <w:rsid w:val="00122D87"/>
    <w:rsid w:val="00217EBF"/>
    <w:rsid w:val="002D76C4"/>
    <w:rsid w:val="00473DB3"/>
    <w:rsid w:val="00474C70"/>
    <w:rsid w:val="005112D3"/>
    <w:rsid w:val="00607D68"/>
    <w:rsid w:val="006959A6"/>
    <w:rsid w:val="006F415D"/>
    <w:rsid w:val="00706556"/>
    <w:rsid w:val="00736A4E"/>
    <w:rsid w:val="00740FDA"/>
    <w:rsid w:val="007468DA"/>
    <w:rsid w:val="00A50B68"/>
    <w:rsid w:val="00A608E4"/>
    <w:rsid w:val="00A6617B"/>
    <w:rsid w:val="00AB0DC8"/>
    <w:rsid w:val="00B25752"/>
    <w:rsid w:val="00B44E24"/>
    <w:rsid w:val="00B8536C"/>
    <w:rsid w:val="00C241CD"/>
    <w:rsid w:val="00C66472"/>
    <w:rsid w:val="00DF4176"/>
    <w:rsid w:val="00E80C6C"/>
    <w:rsid w:val="00EA673C"/>
    <w:rsid w:val="00F009B0"/>
    <w:rsid w:val="00FB13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69B6"/>
    <w:rPr>
      <w:color w:val="0000FF"/>
      <w:u w:val="single"/>
    </w:rPr>
  </w:style>
  <w:style w:type="paragraph" w:styleId="Index7">
    <w:name w:val="index 7"/>
    <w:basedOn w:val="Normal"/>
    <w:next w:val="Normal"/>
    <w:rsid w:val="006F415D"/>
    <w:pPr>
      <w:spacing w:before="136"/>
      <w:ind w:left="1698"/>
    </w:pPr>
    <w:rPr>
      <w:sz w:val="20"/>
      <w:lang w:val="en-GB"/>
    </w:rPr>
  </w:style>
  <w:style w:type="paragraph" w:styleId="Index6">
    <w:name w:val="index 6"/>
    <w:basedOn w:val="Normal"/>
    <w:next w:val="Normal"/>
    <w:rsid w:val="006F415D"/>
    <w:pPr>
      <w:spacing w:before="136"/>
      <w:ind w:left="1415"/>
    </w:pPr>
    <w:rPr>
      <w:sz w:val="20"/>
      <w:lang w:val="en-GB"/>
    </w:rPr>
  </w:style>
  <w:style w:type="paragraph" w:styleId="Index5">
    <w:name w:val="index 5"/>
    <w:basedOn w:val="Normal"/>
    <w:next w:val="Normal"/>
    <w:rsid w:val="006F415D"/>
    <w:pPr>
      <w:spacing w:before="136"/>
      <w:ind w:left="1132"/>
    </w:pPr>
    <w:rPr>
      <w:sz w:val="20"/>
      <w:lang w:val="en-GB"/>
    </w:rPr>
  </w:style>
  <w:style w:type="paragraph" w:styleId="Index4">
    <w:name w:val="index 4"/>
    <w:basedOn w:val="Normal"/>
    <w:next w:val="Normal"/>
    <w:rsid w:val="006F415D"/>
    <w:pPr>
      <w:spacing w:before="136"/>
      <w:ind w:left="849"/>
    </w:pPr>
    <w:rPr>
      <w:sz w:val="20"/>
      <w:lang w:val="en-GB"/>
    </w:rPr>
  </w:style>
  <w:style w:type="character" w:styleId="LineNumber">
    <w:name w:val="line number"/>
    <w:basedOn w:val="DefaultParagraphFont"/>
    <w:rsid w:val="006F415D"/>
  </w:style>
  <w:style w:type="paragraph" w:customStyle="1" w:styleId="TableLegend0">
    <w:name w:val="Table_Legend"/>
    <w:basedOn w:val="Normal"/>
    <w:next w:val="Normal"/>
    <w:rsid w:val="006F415D"/>
    <w:pPr>
      <w:keepNext/>
      <w:spacing w:before="86" w:line="199" w:lineRule="exact"/>
      <w:ind w:left="-85" w:right="-85"/>
    </w:pPr>
    <w:rPr>
      <w:sz w:val="18"/>
      <w:lang w:val="en-GB"/>
    </w:rPr>
  </w:style>
  <w:style w:type="paragraph" w:customStyle="1" w:styleId="TableTitle0">
    <w:name w:val="Table_Title"/>
    <w:basedOn w:val="Table"/>
    <w:next w:val="Blanc"/>
    <w:rsid w:val="006F415D"/>
    <w:pPr>
      <w:spacing w:before="0"/>
    </w:pPr>
    <w:rPr>
      <w:b/>
    </w:rPr>
  </w:style>
  <w:style w:type="paragraph" w:customStyle="1" w:styleId="Table">
    <w:name w:val="Table_#"/>
    <w:basedOn w:val="Normal"/>
    <w:next w:val="TableTitle0"/>
    <w:rsid w:val="006F415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F415D"/>
    <w:pPr>
      <w:spacing w:before="100" w:after="100" w:line="190" w:lineRule="exact"/>
      <w:ind w:left="0" w:right="0"/>
    </w:pPr>
  </w:style>
  <w:style w:type="paragraph" w:customStyle="1" w:styleId="FigureLegend0">
    <w:name w:val="Figure_Legend"/>
    <w:basedOn w:val="TableLegend0"/>
    <w:next w:val="FigureRemark"/>
    <w:rsid w:val="006F415D"/>
    <w:pPr>
      <w:jc w:val="left"/>
    </w:pPr>
  </w:style>
  <w:style w:type="paragraph" w:customStyle="1" w:styleId="FigureRemark">
    <w:name w:val="Figure_Remark"/>
    <w:basedOn w:val="TableLegend0"/>
    <w:rsid w:val="006F415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6F415D"/>
  </w:style>
  <w:style w:type="paragraph" w:customStyle="1" w:styleId="FigureTitle0">
    <w:name w:val="Figure_Title"/>
    <w:basedOn w:val="TableTitle0"/>
    <w:next w:val="FigureLegend0"/>
    <w:rsid w:val="006F415D"/>
    <w:pPr>
      <w:spacing w:after="240"/>
    </w:pPr>
  </w:style>
  <w:style w:type="paragraph" w:customStyle="1" w:styleId="Annex">
    <w:name w:val="Annex_#"/>
    <w:basedOn w:val="Normal"/>
    <w:next w:val="AnnexRef0"/>
    <w:rsid w:val="006F415D"/>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6F415D"/>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6F415D"/>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6F415D"/>
    <w:pPr>
      <w:spacing w:before="480"/>
    </w:pPr>
    <w:rPr>
      <w:sz w:val="20"/>
      <w:lang w:val="en-GB"/>
    </w:rPr>
  </w:style>
  <w:style w:type="paragraph" w:customStyle="1" w:styleId="Appendix">
    <w:name w:val="Appendix_#"/>
    <w:basedOn w:val="Annex"/>
    <w:next w:val="AppendixRef0"/>
    <w:rsid w:val="006F415D"/>
  </w:style>
  <w:style w:type="paragraph" w:customStyle="1" w:styleId="AppendixRef0">
    <w:name w:val="Appendix_Ref"/>
    <w:basedOn w:val="AnnexRef0"/>
    <w:next w:val="AppendixTitle"/>
    <w:rsid w:val="006F415D"/>
  </w:style>
  <w:style w:type="paragraph" w:customStyle="1" w:styleId="AppendixTitle">
    <w:name w:val="Appendix_Title"/>
    <w:basedOn w:val="AnnexTitle"/>
    <w:next w:val="Normal"/>
    <w:rsid w:val="006F415D"/>
  </w:style>
  <w:style w:type="paragraph" w:customStyle="1" w:styleId="RefTitle0">
    <w:name w:val="Ref_Title"/>
    <w:basedOn w:val="Normal"/>
    <w:next w:val="RefText0"/>
    <w:rsid w:val="006F415D"/>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6F415D"/>
    <w:pPr>
      <w:spacing w:before="136"/>
      <w:ind w:left="567" w:hanging="567"/>
    </w:pPr>
    <w:rPr>
      <w:sz w:val="18"/>
      <w:lang w:val="en-GB"/>
    </w:rPr>
  </w:style>
  <w:style w:type="paragraph" w:customStyle="1" w:styleId="listitem">
    <w:name w:val="listitem"/>
    <w:basedOn w:val="Normal"/>
    <w:rsid w:val="006F415D"/>
    <w:pPr>
      <w:keepLines/>
      <w:spacing w:before="0"/>
      <w:jc w:val="left"/>
    </w:pPr>
    <w:rPr>
      <w:sz w:val="20"/>
      <w:lang w:val="en-GB"/>
    </w:rPr>
  </w:style>
  <w:style w:type="paragraph" w:customStyle="1" w:styleId="Rec">
    <w:name w:val="Rec_#"/>
    <w:basedOn w:val="Normal"/>
    <w:next w:val="RecTitle0"/>
    <w:rsid w:val="006F415D"/>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6F415D"/>
    <w:pPr>
      <w:spacing w:before="180"/>
    </w:pPr>
    <w:rPr>
      <w:b/>
    </w:rPr>
  </w:style>
  <w:style w:type="paragraph" w:customStyle="1" w:styleId="RecTitleRef">
    <w:name w:val="Rec_Title/Ref"/>
    <w:basedOn w:val="RecTitle0"/>
    <w:next w:val="RecTitleDate"/>
    <w:rsid w:val="006F415D"/>
    <w:pPr>
      <w:spacing w:before="136"/>
    </w:pPr>
    <w:rPr>
      <w:b w:val="0"/>
    </w:rPr>
  </w:style>
  <w:style w:type="paragraph" w:customStyle="1" w:styleId="RecTitleDate">
    <w:name w:val="Rec_Title/Date"/>
    <w:basedOn w:val="RecTitleRef"/>
    <w:next w:val="headfoot"/>
    <w:rsid w:val="006F415D"/>
    <w:pPr>
      <w:tabs>
        <w:tab w:val="clear" w:pos="4849"/>
      </w:tabs>
      <w:jc w:val="right"/>
    </w:pPr>
  </w:style>
  <w:style w:type="paragraph" w:customStyle="1" w:styleId="headfoot">
    <w:name w:val="head_foot"/>
    <w:basedOn w:val="Normal"/>
    <w:next w:val="Normalaftertitle0"/>
    <w:rsid w:val="006F415D"/>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6F415D"/>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6F415D"/>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6F415D"/>
    <w:pPr>
      <w:spacing w:before="136"/>
    </w:pPr>
    <w:rPr>
      <w:sz w:val="20"/>
      <w:lang w:val="en-GB"/>
    </w:rPr>
  </w:style>
  <w:style w:type="paragraph" w:customStyle="1" w:styleId="Section">
    <w:name w:val="Section #"/>
    <w:basedOn w:val="Normal"/>
    <w:next w:val="Sectiontitle0"/>
    <w:rsid w:val="006F415D"/>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6F415D"/>
    <w:pPr>
      <w:pageBreakBefore w:val="0"/>
      <w:spacing w:before="240"/>
    </w:pPr>
    <w:rPr>
      <w:i/>
    </w:rPr>
  </w:style>
  <w:style w:type="paragraph" w:customStyle="1" w:styleId="heading">
    <w:name w:val="heading"/>
    <w:basedOn w:val="Heading2"/>
    <w:rsid w:val="006F415D"/>
    <w:pPr>
      <w:tabs>
        <w:tab w:val="clear" w:pos="1985"/>
      </w:tabs>
      <w:spacing w:before="313"/>
      <w:outlineLvl w:val="9"/>
    </w:pPr>
    <w:rPr>
      <w:sz w:val="22"/>
      <w:lang w:val="en-GB"/>
    </w:rPr>
  </w:style>
  <w:style w:type="paragraph" w:customStyle="1" w:styleId="Line1">
    <w:name w:val="Line_1"/>
    <w:basedOn w:val="Normal"/>
    <w:next w:val="Normal"/>
    <w:rsid w:val="006F415D"/>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6F415D"/>
  </w:style>
  <w:style w:type="paragraph" w:customStyle="1" w:styleId="PartRef0">
    <w:name w:val="Part_Ref"/>
    <w:basedOn w:val="AnnexRef0"/>
    <w:rsid w:val="006F415D"/>
  </w:style>
  <w:style w:type="paragraph" w:customStyle="1" w:styleId="PartTitle0">
    <w:name w:val="Part_Title"/>
    <w:basedOn w:val="AnnexTitle"/>
    <w:next w:val="Normalaftertitle0"/>
    <w:rsid w:val="006F415D"/>
  </w:style>
  <w:style w:type="paragraph" w:customStyle="1" w:styleId="Rep">
    <w:name w:val="Rep_#"/>
    <w:basedOn w:val="Rec"/>
    <w:next w:val="RepTitle0"/>
    <w:rsid w:val="006F415D"/>
  </w:style>
  <w:style w:type="paragraph" w:customStyle="1" w:styleId="RepTitle0">
    <w:name w:val="Rep_Title"/>
    <w:basedOn w:val="RecTitle0"/>
    <w:next w:val="RepTitleRef"/>
    <w:rsid w:val="006F415D"/>
  </w:style>
  <w:style w:type="paragraph" w:customStyle="1" w:styleId="RepTitleRef">
    <w:name w:val="Rep_Title/Ref"/>
    <w:basedOn w:val="RecTitleRef"/>
    <w:next w:val="RepTitleDate"/>
    <w:rsid w:val="006F415D"/>
  </w:style>
  <w:style w:type="paragraph" w:customStyle="1" w:styleId="RepTitleDate">
    <w:name w:val="Rep_Title/Date"/>
    <w:basedOn w:val="RecTitleDate"/>
    <w:next w:val="headfoot"/>
    <w:rsid w:val="006F415D"/>
  </w:style>
  <w:style w:type="paragraph" w:customStyle="1" w:styleId="RefDoc">
    <w:name w:val="Ref_Doc"/>
    <w:basedOn w:val="RefText0"/>
    <w:next w:val="RefText0"/>
    <w:rsid w:val="006F415D"/>
    <w:pPr>
      <w:spacing w:before="227"/>
    </w:pPr>
    <w:rPr>
      <w:i/>
    </w:rPr>
  </w:style>
  <w:style w:type="paragraph" w:customStyle="1" w:styleId="Question">
    <w:name w:val="Question_#"/>
    <w:basedOn w:val="Rec"/>
    <w:next w:val="QuestionTitle0"/>
    <w:rsid w:val="006F415D"/>
    <w:pPr>
      <w:spacing w:before="0"/>
    </w:pPr>
  </w:style>
  <w:style w:type="paragraph" w:customStyle="1" w:styleId="QuestionTitle0">
    <w:name w:val="Question_Title"/>
    <w:basedOn w:val="RecTitle0"/>
    <w:next w:val="QuestionTitleRef"/>
    <w:rsid w:val="006F415D"/>
  </w:style>
  <w:style w:type="paragraph" w:customStyle="1" w:styleId="QuestionTitleRef">
    <w:name w:val="Question_Title/Ref"/>
    <w:basedOn w:val="RecTitleRef"/>
    <w:next w:val="QuestionTitleDate"/>
    <w:rsid w:val="006F415D"/>
  </w:style>
  <w:style w:type="paragraph" w:customStyle="1" w:styleId="QuestionTitleDate">
    <w:name w:val="Question_Title/Date"/>
    <w:basedOn w:val="RecTitleDate"/>
    <w:next w:val="headfoot"/>
    <w:rsid w:val="006F415D"/>
  </w:style>
  <w:style w:type="paragraph" w:customStyle="1" w:styleId="Res">
    <w:name w:val="Res_#"/>
    <w:basedOn w:val="Rec"/>
    <w:next w:val="ResTitle0"/>
    <w:rsid w:val="006F415D"/>
  </w:style>
  <w:style w:type="paragraph" w:customStyle="1" w:styleId="ResTitle0">
    <w:name w:val="Res_Title"/>
    <w:basedOn w:val="RecTitle0"/>
    <w:next w:val="ResTitleRef"/>
    <w:rsid w:val="006F415D"/>
  </w:style>
  <w:style w:type="paragraph" w:customStyle="1" w:styleId="ResTitleRef">
    <w:name w:val="Res_Title/Ref"/>
    <w:basedOn w:val="RecTitleRef"/>
    <w:next w:val="ResTitleDate"/>
    <w:rsid w:val="006F415D"/>
  </w:style>
  <w:style w:type="paragraph" w:customStyle="1" w:styleId="ResTitleDate">
    <w:name w:val="Res_Title/Date"/>
    <w:basedOn w:val="RecTitleDate"/>
    <w:next w:val="headfoot"/>
    <w:rsid w:val="006F415D"/>
  </w:style>
  <w:style w:type="paragraph" w:customStyle="1" w:styleId="Style">
    <w:name w:val="Style"/>
    <w:basedOn w:val="Normal"/>
    <w:rsid w:val="006F415D"/>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6F415D"/>
    <w:pPr>
      <w:pageBreakBefore w:val="0"/>
      <w:spacing w:before="240"/>
    </w:pPr>
  </w:style>
  <w:style w:type="paragraph" w:customStyle="1" w:styleId="CCI">
    <w:name w:val="CCI"/>
    <w:basedOn w:val="Normal"/>
    <w:next w:val="call0"/>
    <w:rsid w:val="006F415D"/>
    <w:pPr>
      <w:keepNext/>
      <w:keepLines/>
      <w:tabs>
        <w:tab w:val="clear" w:pos="794"/>
        <w:tab w:val="clear" w:pos="1191"/>
        <w:tab w:val="clear" w:pos="1588"/>
        <w:tab w:val="clear" w:pos="1985"/>
      </w:tabs>
      <w:spacing w:before="199"/>
    </w:pPr>
    <w:rPr>
      <w:sz w:val="20"/>
      <w:lang w:val="en-GB"/>
    </w:rPr>
  </w:style>
  <w:style w:type="paragraph" w:customStyle="1" w:styleId="Fig">
    <w:name w:val="Fig"/>
    <w:basedOn w:val="Figure"/>
    <w:next w:val="Fig0"/>
    <w:rsid w:val="006F415D"/>
    <w:pPr>
      <w:keepLines w:val="0"/>
      <w:spacing w:before="136" w:after="0"/>
    </w:pPr>
    <w:rPr>
      <w:caps w:val="0"/>
      <w:sz w:val="20"/>
      <w:lang w:val="en-US"/>
    </w:rPr>
  </w:style>
  <w:style w:type="paragraph" w:customStyle="1" w:styleId="Fig0">
    <w:name w:val="Fig_#"/>
    <w:basedOn w:val="Fig"/>
    <w:next w:val="Normal"/>
    <w:rsid w:val="006F415D"/>
    <w:pPr>
      <w:jc w:val="left"/>
    </w:pPr>
    <w:rPr>
      <w:color w:val="FFFFFF"/>
    </w:rPr>
  </w:style>
  <w:style w:type="paragraph" w:customStyle="1" w:styleId="heading13">
    <w:name w:val="heading 13"/>
    <w:basedOn w:val="Heading3"/>
    <w:rsid w:val="006F415D"/>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character" w:styleId="EndnoteReference">
    <w:name w:val="endnote reference"/>
    <w:basedOn w:val="DefaultParagraphFont"/>
    <w:rsid w:val="006F415D"/>
    <w:rPr>
      <w:vertAlign w:val="superscript"/>
    </w:rPr>
  </w:style>
  <w:style w:type="paragraph" w:customStyle="1" w:styleId="AnnexNo">
    <w:name w:val="Annex_No"/>
    <w:basedOn w:val="ArtNo"/>
    <w:next w:val="Annexref"/>
    <w:rsid w:val="006F415D"/>
    <w:pPr>
      <w:tabs>
        <w:tab w:val="clear" w:pos="794"/>
        <w:tab w:val="clear" w:pos="1191"/>
        <w:tab w:val="clear" w:pos="1588"/>
        <w:tab w:val="clear" w:pos="1985"/>
        <w:tab w:val="left" w:pos="1134"/>
        <w:tab w:val="left" w:pos="1871"/>
        <w:tab w:val="left" w:pos="2268"/>
      </w:tabs>
      <w:spacing w:before="720"/>
    </w:pPr>
    <w:rPr>
      <w:caps/>
    </w:rPr>
  </w:style>
  <w:style w:type="paragraph" w:customStyle="1" w:styleId="Annextitle0">
    <w:name w:val="Annex_title"/>
    <w:basedOn w:val="Arttitle"/>
    <w:next w:val="Normal"/>
    <w:rsid w:val="006F415D"/>
    <w:pPr>
      <w:tabs>
        <w:tab w:val="clear" w:pos="794"/>
        <w:tab w:val="clear" w:pos="1191"/>
        <w:tab w:val="clear" w:pos="1588"/>
        <w:tab w:val="clear" w:pos="1985"/>
        <w:tab w:val="left" w:pos="1134"/>
        <w:tab w:val="left" w:pos="1871"/>
        <w:tab w:val="left" w:pos="2268"/>
      </w:tabs>
      <w:spacing w:before="160"/>
    </w:pPr>
  </w:style>
  <w:style w:type="paragraph" w:customStyle="1" w:styleId="AppendixNo">
    <w:name w:val="Appendix_No"/>
    <w:basedOn w:val="ArtNo"/>
    <w:next w:val="Appendixtitle0"/>
    <w:rsid w:val="006F415D"/>
    <w:pPr>
      <w:tabs>
        <w:tab w:val="clear" w:pos="794"/>
        <w:tab w:val="clear" w:pos="1191"/>
        <w:tab w:val="clear" w:pos="1588"/>
        <w:tab w:val="clear" w:pos="1985"/>
        <w:tab w:val="left" w:pos="1134"/>
        <w:tab w:val="left" w:pos="1871"/>
        <w:tab w:val="left" w:pos="2268"/>
      </w:tabs>
      <w:spacing w:before="720"/>
    </w:pPr>
    <w:rPr>
      <w:caps/>
    </w:rPr>
  </w:style>
  <w:style w:type="paragraph" w:customStyle="1" w:styleId="Appendixtitle0">
    <w:name w:val="Appendix_title"/>
    <w:basedOn w:val="Arttitle"/>
    <w:next w:val="Normal"/>
    <w:rsid w:val="006F415D"/>
    <w:pPr>
      <w:tabs>
        <w:tab w:val="clear" w:pos="794"/>
        <w:tab w:val="clear" w:pos="1191"/>
        <w:tab w:val="clear" w:pos="1588"/>
        <w:tab w:val="clear" w:pos="1985"/>
        <w:tab w:val="left" w:pos="1134"/>
        <w:tab w:val="left" w:pos="1871"/>
        <w:tab w:val="left" w:pos="2268"/>
      </w:tabs>
      <w:spacing w:before="160" w:after="80"/>
    </w:pPr>
  </w:style>
  <w:style w:type="paragraph" w:customStyle="1" w:styleId="Tableref">
    <w:name w:val="Table_ref"/>
    <w:basedOn w:val="Normal"/>
    <w:next w:val="Tabletitle"/>
    <w:rsid w:val="006F415D"/>
    <w:pPr>
      <w:keepNext/>
      <w:tabs>
        <w:tab w:val="clear" w:pos="794"/>
        <w:tab w:val="clear" w:pos="1191"/>
        <w:tab w:val="clear" w:pos="1588"/>
        <w:tab w:val="clear" w:pos="1985"/>
        <w:tab w:val="left" w:pos="1134"/>
        <w:tab w:val="left" w:pos="1871"/>
        <w:tab w:val="left" w:pos="2268"/>
      </w:tabs>
      <w:spacing w:before="567"/>
      <w:jc w:val="center"/>
    </w:pPr>
  </w:style>
  <w:style w:type="paragraph" w:customStyle="1" w:styleId="Signcountry">
    <w:name w:val="Sign_country"/>
    <w:basedOn w:val="Normal"/>
    <w:next w:val="Signpart"/>
    <w:rsid w:val="006F415D"/>
    <w:pPr>
      <w:keepNext/>
      <w:keepLines/>
      <w:tabs>
        <w:tab w:val="clear" w:pos="794"/>
        <w:tab w:val="clear" w:pos="1191"/>
        <w:tab w:val="clear" w:pos="1588"/>
        <w:tab w:val="clear" w:pos="1985"/>
        <w:tab w:val="left" w:pos="1134"/>
        <w:tab w:val="left" w:pos="1871"/>
        <w:tab w:val="left" w:pos="2268"/>
      </w:tabs>
      <w:spacing w:after="57"/>
      <w:jc w:val="left"/>
    </w:pPr>
    <w:rPr>
      <w:b/>
    </w:rPr>
  </w:style>
  <w:style w:type="paragraph" w:customStyle="1" w:styleId="Signpart">
    <w:name w:val="Sign_part"/>
    <w:basedOn w:val="Signcountry"/>
    <w:rsid w:val="006F415D"/>
    <w:pPr>
      <w:keepNext w:val="0"/>
      <w:keepLines w:val="0"/>
      <w:spacing w:before="0"/>
      <w:ind w:left="284"/>
    </w:pPr>
    <w:rPr>
      <w:b w:val="0"/>
      <w:smallCaps/>
    </w:rPr>
  </w:style>
  <w:style w:type="paragraph" w:customStyle="1" w:styleId="Protfin">
    <w:name w:val="Prot_fin"/>
    <w:basedOn w:val="Normal"/>
    <w:next w:val="Normalaftertitle0"/>
    <w:rsid w:val="006F415D"/>
    <w:pPr>
      <w:pageBreakBefore/>
      <w:tabs>
        <w:tab w:val="clear" w:pos="794"/>
        <w:tab w:val="clear" w:pos="1191"/>
        <w:tab w:val="clear" w:pos="1588"/>
        <w:tab w:val="clear" w:pos="1985"/>
        <w:tab w:val="left" w:pos="1134"/>
        <w:tab w:val="left" w:pos="1871"/>
        <w:tab w:val="left" w:pos="2268"/>
      </w:tabs>
      <w:spacing w:before="720" w:after="240"/>
      <w:jc w:val="center"/>
    </w:pPr>
    <w:rPr>
      <w:b/>
    </w:rPr>
  </w:style>
  <w:style w:type="paragraph" w:customStyle="1" w:styleId="ProtNo">
    <w:name w:val="Prot_No"/>
    <w:basedOn w:val="Normal"/>
    <w:next w:val="Protlang"/>
    <w:rsid w:val="006F415D"/>
    <w:pPr>
      <w:keepNext/>
      <w:tabs>
        <w:tab w:val="clear" w:pos="794"/>
        <w:tab w:val="clear" w:pos="1191"/>
        <w:tab w:val="clear" w:pos="1588"/>
        <w:tab w:val="clear" w:pos="1985"/>
        <w:tab w:val="left" w:pos="1134"/>
        <w:tab w:val="left" w:pos="1871"/>
        <w:tab w:val="left" w:pos="2268"/>
      </w:tabs>
      <w:jc w:val="center"/>
    </w:pPr>
  </w:style>
  <w:style w:type="paragraph" w:customStyle="1" w:styleId="Protlang">
    <w:name w:val="Prot_lang"/>
    <w:basedOn w:val="ProtNo"/>
    <w:next w:val="Protpays"/>
    <w:rsid w:val="006F415D"/>
    <w:pPr>
      <w:keepLines/>
      <w:framePr w:hSpace="181" w:vSpace="181" w:wrap="auto" w:hAnchor="text" w:xAlign="right"/>
      <w:spacing w:before="0"/>
      <w:jc w:val="right"/>
    </w:pPr>
    <w:rPr>
      <w:i/>
      <w:sz w:val="18"/>
    </w:rPr>
  </w:style>
  <w:style w:type="paragraph" w:customStyle="1" w:styleId="Protpays">
    <w:name w:val="Prot_pays"/>
    <w:basedOn w:val="Protlang"/>
    <w:next w:val="headfoot"/>
    <w:rsid w:val="006F415D"/>
    <w:pPr>
      <w:framePr w:wrap="auto"/>
      <w:spacing w:before="113" w:line="199" w:lineRule="exact"/>
      <w:jc w:val="left"/>
    </w:pPr>
  </w:style>
  <w:style w:type="paragraph" w:customStyle="1" w:styleId="Prottexte">
    <w:name w:val="Prot_texte"/>
    <w:basedOn w:val="Protlang"/>
    <w:rsid w:val="006F415D"/>
    <w:pPr>
      <w:keepNext w:val="0"/>
      <w:keepLines w:val="0"/>
      <w:framePr w:wrap="auto"/>
      <w:spacing w:before="113" w:line="199" w:lineRule="exact"/>
      <w:jc w:val="both"/>
    </w:pPr>
    <w:rPr>
      <w:i w:val="0"/>
    </w:rPr>
  </w:style>
  <w:style w:type="paragraph" w:customStyle="1" w:styleId="Protcall">
    <w:name w:val="Prot_call"/>
    <w:basedOn w:val="Prottexte"/>
    <w:next w:val="Prottexte"/>
    <w:rsid w:val="006F415D"/>
    <w:pPr>
      <w:keepNext/>
      <w:keepLines/>
      <w:framePr w:wrap="auto" w:xAlign="left"/>
      <w:spacing w:before="170"/>
      <w:ind w:left="794"/>
      <w:jc w:val="left"/>
    </w:pPr>
    <w:rPr>
      <w:i/>
    </w:rPr>
  </w:style>
  <w:style w:type="paragraph" w:customStyle="1" w:styleId="Section1">
    <w:name w:val="Section_1"/>
    <w:basedOn w:val="Normal"/>
    <w:rsid w:val="006F415D"/>
    <w:pPr>
      <w:tabs>
        <w:tab w:val="clear" w:pos="794"/>
        <w:tab w:val="clear" w:pos="1191"/>
        <w:tab w:val="clear" w:pos="1588"/>
        <w:tab w:val="clear" w:pos="1985"/>
        <w:tab w:val="center" w:pos="4820"/>
      </w:tabs>
      <w:spacing w:before="360"/>
      <w:jc w:val="center"/>
    </w:pPr>
    <w:rPr>
      <w:b/>
    </w:rPr>
  </w:style>
  <w:style w:type="paragraph" w:customStyle="1" w:styleId="MEP">
    <w:name w:val="MEP"/>
    <w:basedOn w:val="Normal"/>
    <w:rsid w:val="006F415D"/>
    <w:pPr>
      <w:tabs>
        <w:tab w:val="clear" w:pos="794"/>
        <w:tab w:val="clear" w:pos="1191"/>
        <w:tab w:val="clear" w:pos="1588"/>
        <w:tab w:val="clear" w:pos="1985"/>
        <w:tab w:val="left" w:pos="1134"/>
        <w:tab w:val="left" w:pos="1871"/>
        <w:tab w:val="left" w:pos="2268"/>
      </w:tabs>
      <w:jc w:val="left"/>
    </w:pPr>
  </w:style>
  <w:style w:type="character" w:customStyle="1" w:styleId="Tablefreq">
    <w:name w:val="Table_freq"/>
    <w:basedOn w:val="DefaultParagraphFont"/>
    <w:rsid w:val="006F415D"/>
    <w:rPr>
      <w:b/>
      <w:color w:val="FF0000"/>
    </w:rPr>
  </w:style>
  <w:style w:type="paragraph" w:customStyle="1" w:styleId="TableTextS5">
    <w:name w:val="Table_TextS5"/>
    <w:basedOn w:val="Normal"/>
    <w:rsid w:val="006F415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Section2">
    <w:name w:val="Section_2"/>
    <w:basedOn w:val="Section1"/>
    <w:rsid w:val="006F415D"/>
    <w:rPr>
      <w:b w:val="0"/>
      <w:i/>
    </w:rPr>
  </w:style>
  <w:style w:type="paragraph" w:customStyle="1" w:styleId="Section3">
    <w:name w:val="Section_3"/>
    <w:basedOn w:val="Section1"/>
    <w:rsid w:val="006F415D"/>
    <w:rPr>
      <w:b w:val="0"/>
    </w:rPr>
  </w:style>
  <w:style w:type="character" w:customStyle="1" w:styleId="Artref">
    <w:name w:val="Art_ref"/>
    <w:basedOn w:val="DefaultParagraphFont"/>
    <w:rsid w:val="006F415D"/>
  </w:style>
  <w:style w:type="character" w:customStyle="1" w:styleId="Artdef">
    <w:name w:val="Art_def"/>
    <w:basedOn w:val="DefaultParagraphFont"/>
    <w:rsid w:val="006F415D"/>
    <w:rPr>
      <w:rFonts w:ascii="Times New Roman" w:hAnsi="Times New Roman"/>
      <w:b/>
    </w:rPr>
  </w:style>
  <w:style w:type="character" w:customStyle="1" w:styleId="Appdef">
    <w:name w:val="App_def"/>
    <w:basedOn w:val="DefaultParagraphFont"/>
    <w:rsid w:val="006F415D"/>
    <w:rPr>
      <w:rFonts w:ascii="Times New Roman" w:hAnsi="Times New Roman"/>
      <w:b/>
    </w:rPr>
  </w:style>
  <w:style w:type="character" w:customStyle="1" w:styleId="Appref">
    <w:name w:val="App_ref"/>
    <w:basedOn w:val="DefaultParagraphFont"/>
    <w:rsid w:val="006F415D"/>
  </w:style>
  <w:style w:type="character" w:customStyle="1" w:styleId="Recdef">
    <w:name w:val="Rec_def"/>
    <w:basedOn w:val="DefaultParagraphFont"/>
    <w:rsid w:val="006F415D"/>
  </w:style>
  <w:style w:type="character" w:customStyle="1" w:styleId="Resdef">
    <w:name w:val="Res_def"/>
    <w:basedOn w:val="DefaultParagraphFont"/>
    <w:rsid w:val="006F415D"/>
    <w:rPr>
      <w:rFonts w:ascii="Times New Roman" w:hAnsi="Times New Roman"/>
      <w:b/>
    </w:rPr>
  </w:style>
  <w:style w:type="paragraph" w:customStyle="1" w:styleId="TableNote">
    <w:name w:val="TableNote"/>
    <w:basedOn w:val="Tabletext"/>
    <w:rsid w:val="006F415D"/>
    <w:pP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jc w:val="left"/>
    </w:pPr>
  </w:style>
  <w:style w:type="paragraph" w:customStyle="1" w:styleId="enumlev2a">
    <w:name w:val="enumlev2a"/>
    <w:basedOn w:val="enumlev1"/>
    <w:rsid w:val="006F415D"/>
    <w:pPr>
      <w:tabs>
        <w:tab w:val="clear" w:pos="794"/>
        <w:tab w:val="clear" w:pos="1191"/>
        <w:tab w:val="clear" w:pos="1588"/>
        <w:tab w:val="clear" w:pos="1985"/>
        <w:tab w:val="left" w:pos="1871"/>
        <w:tab w:val="left" w:pos="2608"/>
        <w:tab w:val="left" w:pos="3345"/>
      </w:tabs>
      <w:ind w:left="1871" w:hanging="1871"/>
      <w:jc w:val="left"/>
    </w:pPr>
    <w:rPr>
      <w:bCs/>
    </w:rPr>
  </w:style>
  <w:style w:type="paragraph" w:customStyle="1" w:styleId="enumlev3a">
    <w:name w:val="enumlev3a"/>
    <w:basedOn w:val="enumlev2a"/>
    <w:rsid w:val="006F415D"/>
    <w:pPr>
      <w:tabs>
        <w:tab w:val="clear" w:pos="1871"/>
      </w:tabs>
      <w:ind w:left="2608" w:hanging="2608"/>
    </w:pPr>
    <w:rPr>
      <w:bCs w:val="0"/>
    </w:rPr>
  </w:style>
  <w:style w:type="paragraph" w:customStyle="1" w:styleId="Reasons">
    <w:name w:val="Reasons"/>
    <w:basedOn w:val="Normal"/>
    <w:rsid w:val="006F415D"/>
    <w:pPr>
      <w:tabs>
        <w:tab w:val="clear" w:pos="794"/>
        <w:tab w:val="clear" w:pos="1191"/>
        <w:tab w:val="left" w:pos="1134"/>
      </w:tabs>
      <w:overflowPunct/>
      <w:autoSpaceDE/>
      <w:autoSpaceDN/>
      <w:adjustRightInd/>
      <w:jc w:val="left"/>
      <w:textAlignment w:val="auto"/>
    </w:pPr>
  </w:style>
  <w:style w:type="paragraph" w:customStyle="1" w:styleId="Head">
    <w:name w:val="Head"/>
    <w:basedOn w:val="Normal"/>
    <w:rsid w:val="006F415D"/>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rPr>
  </w:style>
  <w:style w:type="paragraph" w:customStyle="1" w:styleId="Source">
    <w:name w:val="Source"/>
    <w:basedOn w:val="Normal"/>
    <w:next w:val="Normal"/>
    <w:rsid w:val="006F415D"/>
    <w:pPr>
      <w:tabs>
        <w:tab w:val="clear" w:pos="794"/>
        <w:tab w:val="clear" w:pos="1191"/>
        <w:tab w:val="clear" w:pos="1588"/>
        <w:tab w:val="clear" w:pos="1985"/>
      </w:tabs>
      <w:spacing w:before="960"/>
      <w:jc w:val="center"/>
    </w:pPr>
    <w:rPr>
      <w:b/>
      <w:sz w:val="28"/>
    </w:rPr>
  </w:style>
  <w:style w:type="paragraph" w:customStyle="1" w:styleId="Title1">
    <w:name w:val="Title 1"/>
    <w:basedOn w:val="Source"/>
    <w:next w:val="Normal"/>
    <w:rsid w:val="006F415D"/>
    <w:pPr>
      <w:tabs>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rsid w:val="006F415D"/>
    <w:pPr>
      <w:overflowPunct/>
      <w:autoSpaceDE/>
      <w:autoSpaceDN/>
      <w:adjustRightInd/>
      <w:spacing w:before="480"/>
      <w:textAlignment w:val="auto"/>
    </w:pPr>
    <w:rPr>
      <w:b w:val="0"/>
      <w:caps/>
    </w:rPr>
  </w:style>
  <w:style w:type="paragraph" w:customStyle="1" w:styleId="Title3">
    <w:name w:val="Title 3"/>
    <w:basedOn w:val="Title2"/>
    <w:next w:val="Normal"/>
    <w:rsid w:val="006F415D"/>
    <w:pPr>
      <w:spacing w:before="240"/>
    </w:pPr>
    <w:rPr>
      <w:caps w:val="0"/>
    </w:rPr>
  </w:style>
  <w:style w:type="paragraph" w:customStyle="1" w:styleId="Title4">
    <w:name w:val="Title 4"/>
    <w:basedOn w:val="Title3"/>
    <w:next w:val="Heading1"/>
    <w:rsid w:val="006F415D"/>
    <w:rPr>
      <w:b/>
    </w:rPr>
  </w:style>
  <w:style w:type="paragraph" w:customStyle="1" w:styleId="FirstFooter">
    <w:name w:val="FirstFooter"/>
    <w:basedOn w:val="Footer"/>
    <w:rsid w:val="006F415D"/>
    <w:pPr>
      <w:tabs>
        <w:tab w:val="left" w:pos="567"/>
        <w:tab w:val="left" w:pos="1134"/>
        <w:tab w:val="left" w:pos="1701"/>
        <w:tab w:val="left" w:pos="2268"/>
        <w:tab w:val="left" w:pos="2835"/>
        <w:tab w:val="left" w:pos="5954"/>
        <w:tab w:val="right" w:pos="9639"/>
      </w:tabs>
      <w:jc w:val="left"/>
    </w:pPr>
    <w:rPr>
      <w:noProof w:val="0"/>
    </w:rPr>
  </w:style>
  <w:style w:type="paragraph" w:customStyle="1" w:styleId="SpecialFooter">
    <w:name w:val="Special Footer"/>
    <w:basedOn w:val="Footer"/>
    <w:rsid w:val="006F415D"/>
    <w:pPr>
      <w:tabs>
        <w:tab w:val="left" w:pos="567"/>
        <w:tab w:val="left" w:pos="1134"/>
        <w:tab w:val="left" w:pos="1701"/>
        <w:tab w:val="left" w:pos="2268"/>
        <w:tab w:val="left" w:pos="2835"/>
        <w:tab w:val="left" w:pos="5954"/>
        <w:tab w:val="right" w:pos="9639"/>
      </w:tabs>
    </w:pPr>
    <w:rPr>
      <w:noProof w:val="0"/>
    </w:rPr>
  </w:style>
  <w:style w:type="character" w:customStyle="1" w:styleId="MODRef">
    <w:name w:val="MODRef"/>
    <w:basedOn w:val="DefaultParagraphFont"/>
    <w:rsid w:val="006F415D"/>
    <w:rPr>
      <w:b/>
      <w:sz w:val="24"/>
      <w:lang w:val="fr-FR"/>
    </w:rPr>
  </w:style>
  <w:style w:type="paragraph" w:customStyle="1" w:styleId="headingb0">
    <w:name w:val="heading_b"/>
    <w:basedOn w:val="Heading3"/>
    <w:next w:val="Normal"/>
    <w:rsid w:val="006F415D"/>
    <w:pPr>
      <w:tabs>
        <w:tab w:val="clear" w:pos="1191"/>
        <w:tab w:val="clear" w:pos="1588"/>
        <w:tab w:val="clear" w:pos="1985"/>
        <w:tab w:val="left" w:pos="2127"/>
        <w:tab w:val="left" w:pos="2410"/>
        <w:tab w:val="left" w:pos="2921"/>
        <w:tab w:val="left" w:pos="3261"/>
      </w:tabs>
      <w:spacing w:before="160"/>
      <w:ind w:left="0" w:firstLine="0"/>
      <w:jc w:val="left"/>
      <w:outlineLvl w:val="9"/>
    </w:pPr>
    <w:rPr>
      <w:lang w:val="en-GB"/>
    </w:rPr>
  </w:style>
  <w:style w:type="paragraph" w:customStyle="1" w:styleId="EquationLegend0">
    <w:name w:val="Equation_Legend"/>
    <w:basedOn w:val="Normal"/>
    <w:rsid w:val="006F415D"/>
    <w:pPr>
      <w:tabs>
        <w:tab w:val="clear" w:pos="794"/>
        <w:tab w:val="clear" w:pos="1191"/>
        <w:tab w:val="clear" w:pos="1588"/>
        <w:tab w:val="clear" w:pos="1985"/>
        <w:tab w:val="right" w:pos="1531"/>
        <w:tab w:val="left" w:pos="1701"/>
      </w:tabs>
      <w:spacing w:before="80"/>
      <w:ind w:left="1701" w:hanging="1701"/>
      <w:jc w:val="left"/>
    </w:pPr>
    <w:rPr>
      <w:lang w:val="en-GB"/>
    </w:rPr>
  </w:style>
  <w:style w:type="paragraph" w:customStyle="1" w:styleId="foot">
    <w:name w:val="foot"/>
    <w:basedOn w:val="headfoot"/>
    <w:rsid w:val="006F41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69B6"/>
    <w:rPr>
      <w:color w:val="0000FF"/>
      <w:u w:val="single"/>
    </w:rPr>
  </w:style>
  <w:style w:type="paragraph" w:styleId="Index7">
    <w:name w:val="index 7"/>
    <w:basedOn w:val="Normal"/>
    <w:next w:val="Normal"/>
    <w:rsid w:val="006F415D"/>
    <w:pPr>
      <w:spacing w:before="136"/>
      <w:ind w:left="1698"/>
    </w:pPr>
    <w:rPr>
      <w:sz w:val="20"/>
      <w:lang w:val="en-GB"/>
    </w:rPr>
  </w:style>
  <w:style w:type="paragraph" w:styleId="Index6">
    <w:name w:val="index 6"/>
    <w:basedOn w:val="Normal"/>
    <w:next w:val="Normal"/>
    <w:rsid w:val="006F415D"/>
    <w:pPr>
      <w:spacing w:before="136"/>
      <w:ind w:left="1415"/>
    </w:pPr>
    <w:rPr>
      <w:sz w:val="20"/>
      <w:lang w:val="en-GB"/>
    </w:rPr>
  </w:style>
  <w:style w:type="paragraph" w:styleId="Index5">
    <w:name w:val="index 5"/>
    <w:basedOn w:val="Normal"/>
    <w:next w:val="Normal"/>
    <w:rsid w:val="006F415D"/>
    <w:pPr>
      <w:spacing w:before="136"/>
      <w:ind w:left="1132"/>
    </w:pPr>
    <w:rPr>
      <w:sz w:val="20"/>
      <w:lang w:val="en-GB"/>
    </w:rPr>
  </w:style>
  <w:style w:type="paragraph" w:styleId="Index4">
    <w:name w:val="index 4"/>
    <w:basedOn w:val="Normal"/>
    <w:next w:val="Normal"/>
    <w:rsid w:val="006F415D"/>
    <w:pPr>
      <w:spacing w:before="136"/>
      <w:ind w:left="849"/>
    </w:pPr>
    <w:rPr>
      <w:sz w:val="20"/>
      <w:lang w:val="en-GB"/>
    </w:rPr>
  </w:style>
  <w:style w:type="character" w:styleId="LineNumber">
    <w:name w:val="line number"/>
    <w:basedOn w:val="DefaultParagraphFont"/>
    <w:rsid w:val="006F415D"/>
  </w:style>
  <w:style w:type="paragraph" w:customStyle="1" w:styleId="TableLegend0">
    <w:name w:val="Table_Legend"/>
    <w:basedOn w:val="Normal"/>
    <w:next w:val="Normal"/>
    <w:rsid w:val="006F415D"/>
    <w:pPr>
      <w:keepNext/>
      <w:spacing w:before="86" w:line="199" w:lineRule="exact"/>
      <w:ind w:left="-85" w:right="-85"/>
    </w:pPr>
    <w:rPr>
      <w:sz w:val="18"/>
      <w:lang w:val="en-GB"/>
    </w:rPr>
  </w:style>
  <w:style w:type="paragraph" w:customStyle="1" w:styleId="TableTitle0">
    <w:name w:val="Table_Title"/>
    <w:basedOn w:val="Table"/>
    <w:next w:val="Blanc"/>
    <w:rsid w:val="006F415D"/>
    <w:pPr>
      <w:spacing w:before="0"/>
    </w:pPr>
    <w:rPr>
      <w:b/>
    </w:rPr>
  </w:style>
  <w:style w:type="paragraph" w:customStyle="1" w:styleId="Table">
    <w:name w:val="Table_#"/>
    <w:basedOn w:val="Normal"/>
    <w:next w:val="TableTitle0"/>
    <w:rsid w:val="006F415D"/>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F415D"/>
    <w:pPr>
      <w:spacing w:before="100" w:after="100" w:line="190" w:lineRule="exact"/>
      <w:ind w:left="0" w:right="0"/>
    </w:pPr>
  </w:style>
  <w:style w:type="paragraph" w:customStyle="1" w:styleId="FigureLegend0">
    <w:name w:val="Figure_Legend"/>
    <w:basedOn w:val="TableLegend0"/>
    <w:next w:val="FigureRemark"/>
    <w:rsid w:val="006F415D"/>
    <w:pPr>
      <w:jc w:val="left"/>
    </w:pPr>
  </w:style>
  <w:style w:type="paragraph" w:customStyle="1" w:styleId="FigureRemark">
    <w:name w:val="Figure_Remark"/>
    <w:basedOn w:val="TableLegend0"/>
    <w:rsid w:val="006F415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6F415D"/>
  </w:style>
  <w:style w:type="paragraph" w:customStyle="1" w:styleId="FigureTitle0">
    <w:name w:val="Figure_Title"/>
    <w:basedOn w:val="TableTitle0"/>
    <w:next w:val="FigureLegend0"/>
    <w:rsid w:val="006F415D"/>
    <w:pPr>
      <w:spacing w:after="240"/>
    </w:pPr>
  </w:style>
  <w:style w:type="paragraph" w:customStyle="1" w:styleId="Annex">
    <w:name w:val="Annex_#"/>
    <w:basedOn w:val="Normal"/>
    <w:next w:val="AnnexRef0"/>
    <w:rsid w:val="006F415D"/>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6F415D"/>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6F415D"/>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6F415D"/>
    <w:pPr>
      <w:spacing w:before="480"/>
    </w:pPr>
    <w:rPr>
      <w:sz w:val="20"/>
      <w:lang w:val="en-GB"/>
    </w:rPr>
  </w:style>
  <w:style w:type="paragraph" w:customStyle="1" w:styleId="Appendix">
    <w:name w:val="Appendix_#"/>
    <w:basedOn w:val="Annex"/>
    <w:next w:val="AppendixRef0"/>
    <w:rsid w:val="006F415D"/>
  </w:style>
  <w:style w:type="paragraph" w:customStyle="1" w:styleId="AppendixRef0">
    <w:name w:val="Appendix_Ref"/>
    <w:basedOn w:val="AnnexRef0"/>
    <w:next w:val="AppendixTitle"/>
    <w:rsid w:val="006F415D"/>
  </w:style>
  <w:style w:type="paragraph" w:customStyle="1" w:styleId="AppendixTitle">
    <w:name w:val="Appendix_Title"/>
    <w:basedOn w:val="AnnexTitle"/>
    <w:next w:val="Normal"/>
    <w:rsid w:val="006F415D"/>
  </w:style>
  <w:style w:type="paragraph" w:customStyle="1" w:styleId="RefTitle0">
    <w:name w:val="Ref_Title"/>
    <w:basedOn w:val="Normal"/>
    <w:next w:val="RefText0"/>
    <w:rsid w:val="006F415D"/>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6F415D"/>
    <w:pPr>
      <w:spacing w:before="136"/>
      <w:ind w:left="567" w:hanging="567"/>
    </w:pPr>
    <w:rPr>
      <w:sz w:val="18"/>
      <w:lang w:val="en-GB"/>
    </w:rPr>
  </w:style>
  <w:style w:type="paragraph" w:customStyle="1" w:styleId="listitem">
    <w:name w:val="listitem"/>
    <w:basedOn w:val="Normal"/>
    <w:rsid w:val="006F415D"/>
    <w:pPr>
      <w:keepLines/>
      <w:spacing w:before="0"/>
      <w:jc w:val="left"/>
    </w:pPr>
    <w:rPr>
      <w:sz w:val="20"/>
      <w:lang w:val="en-GB"/>
    </w:rPr>
  </w:style>
  <w:style w:type="paragraph" w:customStyle="1" w:styleId="Rec">
    <w:name w:val="Rec_#"/>
    <w:basedOn w:val="Normal"/>
    <w:next w:val="RecTitle0"/>
    <w:rsid w:val="006F415D"/>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6F415D"/>
    <w:pPr>
      <w:spacing w:before="180"/>
    </w:pPr>
    <w:rPr>
      <w:b/>
    </w:rPr>
  </w:style>
  <w:style w:type="paragraph" w:customStyle="1" w:styleId="RecTitleRef">
    <w:name w:val="Rec_Title/Ref"/>
    <w:basedOn w:val="RecTitle0"/>
    <w:next w:val="RecTitleDate"/>
    <w:rsid w:val="006F415D"/>
    <w:pPr>
      <w:spacing w:before="136"/>
    </w:pPr>
    <w:rPr>
      <w:b w:val="0"/>
    </w:rPr>
  </w:style>
  <w:style w:type="paragraph" w:customStyle="1" w:styleId="RecTitleDate">
    <w:name w:val="Rec_Title/Date"/>
    <w:basedOn w:val="RecTitleRef"/>
    <w:next w:val="headfoot"/>
    <w:rsid w:val="006F415D"/>
    <w:pPr>
      <w:tabs>
        <w:tab w:val="clear" w:pos="4849"/>
      </w:tabs>
      <w:jc w:val="right"/>
    </w:pPr>
  </w:style>
  <w:style w:type="paragraph" w:customStyle="1" w:styleId="headfoot">
    <w:name w:val="head_foot"/>
    <w:basedOn w:val="Normal"/>
    <w:next w:val="Normalaftertitle0"/>
    <w:rsid w:val="006F415D"/>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6F415D"/>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6F415D"/>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6F415D"/>
    <w:pPr>
      <w:spacing w:before="136"/>
    </w:pPr>
    <w:rPr>
      <w:sz w:val="20"/>
      <w:lang w:val="en-GB"/>
    </w:rPr>
  </w:style>
  <w:style w:type="paragraph" w:customStyle="1" w:styleId="Section">
    <w:name w:val="Section #"/>
    <w:basedOn w:val="Normal"/>
    <w:next w:val="Sectiontitle0"/>
    <w:rsid w:val="006F415D"/>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6F415D"/>
    <w:pPr>
      <w:pageBreakBefore w:val="0"/>
      <w:spacing w:before="240"/>
    </w:pPr>
    <w:rPr>
      <w:i/>
    </w:rPr>
  </w:style>
  <w:style w:type="paragraph" w:customStyle="1" w:styleId="heading">
    <w:name w:val="heading"/>
    <w:basedOn w:val="Heading2"/>
    <w:rsid w:val="006F415D"/>
    <w:pPr>
      <w:tabs>
        <w:tab w:val="clear" w:pos="1985"/>
      </w:tabs>
      <w:spacing w:before="313"/>
      <w:outlineLvl w:val="9"/>
    </w:pPr>
    <w:rPr>
      <w:sz w:val="22"/>
      <w:lang w:val="en-GB"/>
    </w:rPr>
  </w:style>
  <w:style w:type="paragraph" w:customStyle="1" w:styleId="Line1">
    <w:name w:val="Line_1"/>
    <w:basedOn w:val="Normal"/>
    <w:next w:val="Normal"/>
    <w:rsid w:val="006F415D"/>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6F415D"/>
  </w:style>
  <w:style w:type="paragraph" w:customStyle="1" w:styleId="PartRef0">
    <w:name w:val="Part_Ref"/>
    <w:basedOn w:val="AnnexRef0"/>
    <w:rsid w:val="006F415D"/>
  </w:style>
  <w:style w:type="paragraph" w:customStyle="1" w:styleId="PartTitle0">
    <w:name w:val="Part_Title"/>
    <w:basedOn w:val="AnnexTitle"/>
    <w:next w:val="Normalaftertitle0"/>
    <w:rsid w:val="006F415D"/>
  </w:style>
  <w:style w:type="paragraph" w:customStyle="1" w:styleId="Rep">
    <w:name w:val="Rep_#"/>
    <w:basedOn w:val="Rec"/>
    <w:next w:val="RepTitle0"/>
    <w:rsid w:val="006F415D"/>
  </w:style>
  <w:style w:type="paragraph" w:customStyle="1" w:styleId="RepTitle0">
    <w:name w:val="Rep_Title"/>
    <w:basedOn w:val="RecTitle0"/>
    <w:next w:val="RepTitleRef"/>
    <w:rsid w:val="006F415D"/>
  </w:style>
  <w:style w:type="paragraph" w:customStyle="1" w:styleId="RepTitleRef">
    <w:name w:val="Rep_Title/Ref"/>
    <w:basedOn w:val="RecTitleRef"/>
    <w:next w:val="RepTitleDate"/>
    <w:rsid w:val="006F415D"/>
  </w:style>
  <w:style w:type="paragraph" w:customStyle="1" w:styleId="RepTitleDate">
    <w:name w:val="Rep_Title/Date"/>
    <w:basedOn w:val="RecTitleDate"/>
    <w:next w:val="headfoot"/>
    <w:rsid w:val="006F415D"/>
  </w:style>
  <w:style w:type="paragraph" w:customStyle="1" w:styleId="RefDoc">
    <w:name w:val="Ref_Doc"/>
    <w:basedOn w:val="RefText0"/>
    <w:next w:val="RefText0"/>
    <w:rsid w:val="006F415D"/>
    <w:pPr>
      <w:spacing w:before="227"/>
    </w:pPr>
    <w:rPr>
      <w:i/>
    </w:rPr>
  </w:style>
  <w:style w:type="paragraph" w:customStyle="1" w:styleId="Question">
    <w:name w:val="Question_#"/>
    <w:basedOn w:val="Rec"/>
    <w:next w:val="QuestionTitle0"/>
    <w:rsid w:val="006F415D"/>
    <w:pPr>
      <w:spacing w:before="0"/>
    </w:pPr>
  </w:style>
  <w:style w:type="paragraph" w:customStyle="1" w:styleId="QuestionTitle0">
    <w:name w:val="Question_Title"/>
    <w:basedOn w:val="RecTitle0"/>
    <w:next w:val="QuestionTitleRef"/>
    <w:rsid w:val="006F415D"/>
  </w:style>
  <w:style w:type="paragraph" w:customStyle="1" w:styleId="QuestionTitleRef">
    <w:name w:val="Question_Title/Ref"/>
    <w:basedOn w:val="RecTitleRef"/>
    <w:next w:val="QuestionTitleDate"/>
    <w:rsid w:val="006F415D"/>
  </w:style>
  <w:style w:type="paragraph" w:customStyle="1" w:styleId="QuestionTitleDate">
    <w:name w:val="Question_Title/Date"/>
    <w:basedOn w:val="RecTitleDate"/>
    <w:next w:val="headfoot"/>
    <w:rsid w:val="006F415D"/>
  </w:style>
  <w:style w:type="paragraph" w:customStyle="1" w:styleId="Res">
    <w:name w:val="Res_#"/>
    <w:basedOn w:val="Rec"/>
    <w:next w:val="ResTitle0"/>
    <w:rsid w:val="006F415D"/>
  </w:style>
  <w:style w:type="paragraph" w:customStyle="1" w:styleId="ResTitle0">
    <w:name w:val="Res_Title"/>
    <w:basedOn w:val="RecTitle0"/>
    <w:next w:val="ResTitleRef"/>
    <w:rsid w:val="006F415D"/>
  </w:style>
  <w:style w:type="paragraph" w:customStyle="1" w:styleId="ResTitleRef">
    <w:name w:val="Res_Title/Ref"/>
    <w:basedOn w:val="RecTitleRef"/>
    <w:next w:val="ResTitleDate"/>
    <w:rsid w:val="006F415D"/>
  </w:style>
  <w:style w:type="paragraph" w:customStyle="1" w:styleId="ResTitleDate">
    <w:name w:val="Res_Title/Date"/>
    <w:basedOn w:val="RecTitleDate"/>
    <w:next w:val="headfoot"/>
    <w:rsid w:val="006F415D"/>
  </w:style>
  <w:style w:type="paragraph" w:customStyle="1" w:styleId="Style">
    <w:name w:val="Style"/>
    <w:basedOn w:val="Normal"/>
    <w:rsid w:val="006F415D"/>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6F415D"/>
    <w:pPr>
      <w:pageBreakBefore w:val="0"/>
      <w:spacing w:before="240"/>
    </w:pPr>
  </w:style>
  <w:style w:type="paragraph" w:customStyle="1" w:styleId="CCI">
    <w:name w:val="CCI"/>
    <w:basedOn w:val="Normal"/>
    <w:next w:val="call0"/>
    <w:rsid w:val="006F415D"/>
    <w:pPr>
      <w:keepNext/>
      <w:keepLines/>
      <w:tabs>
        <w:tab w:val="clear" w:pos="794"/>
        <w:tab w:val="clear" w:pos="1191"/>
        <w:tab w:val="clear" w:pos="1588"/>
        <w:tab w:val="clear" w:pos="1985"/>
      </w:tabs>
      <w:spacing w:before="199"/>
    </w:pPr>
    <w:rPr>
      <w:sz w:val="20"/>
      <w:lang w:val="en-GB"/>
    </w:rPr>
  </w:style>
  <w:style w:type="paragraph" w:customStyle="1" w:styleId="Fig">
    <w:name w:val="Fig"/>
    <w:basedOn w:val="Figure"/>
    <w:next w:val="Fig0"/>
    <w:rsid w:val="006F415D"/>
    <w:pPr>
      <w:keepLines w:val="0"/>
      <w:spacing w:before="136" w:after="0"/>
    </w:pPr>
    <w:rPr>
      <w:caps w:val="0"/>
      <w:sz w:val="20"/>
      <w:lang w:val="en-US"/>
    </w:rPr>
  </w:style>
  <w:style w:type="paragraph" w:customStyle="1" w:styleId="Fig0">
    <w:name w:val="Fig_#"/>
    <w:basedOn w:val="Fig"/>
    <w:next w:val="Normal"/>
    <w:rsid w:val="006F415D"/>
    <w:pPr>
      <w:jc w:val="left"/>
    </w:pPr>
    <w:rPr>
      <w:color w:val="FFFFFF"/>
    </w:rPr>
  </w:style>
  <w:style w:type="paragraph" w:customStyle="1" w:styleId="heading13">
    <w:name w:val="heading 13"/>
    <w:basedOn w:val="Heading3"/>
    <w:rsid w:val="006F415D"/>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character" w:styleId="EndnoteReference">
    <w:name w:val="endnote reference"/>
    <w:basedOn w:val="DefaultParagraphFont"/>
    <w:rsid w:val="006F415D"/>
    <w:rPr>
      <w:vertAlign w:val="superscript"/>
    </w:rPr>
  </w:style>
  <w:style w:type="paragraph" w:customStyle="1" w:styleId="AnnexNo">
    <w:name w:val="Annex_No"/>
    <w:basedOn w:val="ArtNo"/>
    <w:next w:val="Annexref"/>
    <w:rsid w:val="006F415D"/>
    <w:pPr>
      <w:tabs>
        <w:tab w:val="clear" w:pos="794"/>
        <w:tab w:val="clear" w:pos="1191"/>
        <w:tab w:val="clear" w:pos="1588"/>
        <w:tab w:val="clear" w:pos="1985"/>
        <w:tab w:val="left" w:pos="1134"/>
        <w:tab w:val="left" w:pos="1871"/>
        <w:tab w:val="left" w:pos="2268"/>
      </w:tabs>
      <w:spacing w:before="720"/>
    </w:pPr>
    <w:rPr>
      <w:caps/>
    </w:rPr>
  </w:style>
  <w:style w:type="paragraph" w:customStyle="1" w:styleId="Annextitle0">
    <w:name w:val="Annex_title"/>
    <w:basedOn w:val="Arttitle"/>
    <w:next w:val="Normal"/>
    <w:rsid w:val="006F415D"/>
    <w:pPr>
      <w:tabs>
        <w:tab w:val="clear" w:pos="794"/>
        <w:tab w:val="clear" w:pos="1191"/>
        <w:tab w:val="clear" w:pos="1588"/>
        <w:tab w:val="clear" w:pos="1985"/>
        <w:tab w:val="left" w:pos="1134"/>
        <w:tab w:val="left" w:pos="1871"/>
        <w:tab w:val="left" w:pos="2268"/>
      </w:tabs>
      <w:spacing w:before="160"/>
    </w:pPr>
  </w:style>
  <w:style w:type="paragraph" w:customStyle="1" w:styleId="AppendixNo">
    <w:name w:val="Appendix_No"/>
    <w:basedOn w:val="ArtNo"/>
    <w:next w:val="Appendixtitle0"/>
    <w:rsid w:val="006F415D"/>
    <w:pPr>
      <w:tabs>
        <w:tab w:val="clear" w:pos="794"/>
        <w:tab w:val="clear" w:pos="1191"/>
        <w:tab w:val="clear" w:pos="1588"/>
        <w:tab w:val="clear" w:pos="1985"/>
        <w:tab w:val="left" w:pos="1134"/>
        <w:tab w:val="left" w:pos="1871"/>
        <w:tab w:val="left" w:pos="2268"/>
      </w:tabs>
      <w:spacing w:before="720"/>
    </w:pPr>
    <w:rPr>
      <w:caps/>
    </w:rPr>
  </w:style>
  <w:style w:type="paragraph" w:customStyle="1" w:styleId="Appendixtitle0">
    <w:name w:val="Appendix_title"/>
    <w:basedOn w:val="Arttitle"/>
    <w:next w:val="Normal"/>
    <w:rsid w:val="006F415D"/>
    <w:pPr>
      <w:tabs>
        <w:tab w:val="clear" w:pos="794"/>
        <w:tab w:val="clear" w:pos="1191"/>
        <w:tab w:val="clear" w:pos="1588"/>
        <w:tab w:val="clear" w:pos="1985"/>
        <w:tab w:val="left" w:pos="1134"/>
        <w:tab w:val="left" w:pos="1871"/>
        <w:tab w:val="left" w:pos="2268"/>
      </w:tabs>
      <w:spacing w:before="160" w:after="80"/>
    </w:pPr>
  </w:style>
  <w:style w:type="paragraph" w:customStyle="1" w:styleId="Tableref">
    <w:name w:val="Table_ref"/>
    <w:basedOn w:val="Normal"/>
    <w:next w:val="Tabletitle"/>
    <w:rsid w:val="006F415D"/>
    <w:pPr>
      <w:keepNext/>
      <w:tabs>
        <w:tab w:val="clear" w:pos="794"/>
        <w:tab w:val="clear" w:pos="1191"/>
        <w:tab w:val="clear" w:pos="1588"/>
        <w:tab w:val="clear" w:pos="1985"/>
        <w:tab w:val="left" w:pos="1134"/>
        <w:tab w:val="left" w:pos="1871"/>
        <w:tab w:val="left" w:pos="2268"/>
      </w:tabs>
      <w:spacing w:before="567"/>
      <w:jc w:val="center"/>
    </w:pPr>
  </w:style>
  <w:style w:type="paragraph" w:customStyle="1" w:styleId="Signcountry">
    <w:name w:val="Sign_country"/>
    <w:basedOn w:val="Normal"/>
    <w:next w:val="Signpart"/>
    <w:rsid w:val="006F415D"/>
    <w:pPr>
      <w:keepNext/>
      <w:keepLines/>
      <w:tabs>
        <w:tab w:val="clear" w:pos="794"/>
        <w:tab w:val="clear" w:pos="1191"/>
        <w:tab w:val="clear" w:pos="1588"/>
        <w:tab w:val="clear" w:pos="1985"/>
        <w:tab w:val="left" w:pos="1134"/>
        <w:tab w:val="left" w:pos="1871"/>
        <w:tab w:val="left" w:pos="2268"/>
      </w:tabs>
      <w:spacing w:after="57"/>
      <w:jc w:val="left"/>
    </w:pPr>
    <w:rPr>
      <w:b/>
    </w:rPr>
  </w:style>
  <w:style w:type="paragraph" w:customStyle="1" w:styleId="Signpart">
    <w:name w:val="Sign_part"/>
    <w:basedOn w:val="Signcountry"/>
    <w:rsid w:val="006F415D"/>
    <w:pPr>
      <w:keepNext w:val="0"/>
      <w:keepLines w:val="0"/>
      <w:spacing w:before="0"/>
      <w:ind w:left="284"/>
    </w:pPr>
    <w:rPr>
      <w:b w:val="0"/>
      <w:smallCaps/>
    </w:rPr>
  </w:style>
  <w:style w:type="paragraph" w:customStyle="1" w:styleId="Protfin">
    <w:name w:val="Prot_fin"/>
    <w:basedOn w:val="Normal"/>
    <w:next w:val="Normalaftertitle0"/>
    <w:rsid w:val="006F415D"/>
    <w:pPr>
      <w:pageBreakBefore/>
      <w:tabs>
        <w:tab w:val="clear" w:pos="794"/>
        <w:tab w:val="clear" w:pos="1191"/>
        <w:tab w:val="clear" w:pos="1588"/>
        <w:tab w:val="clear" w:pos="1985"/>
        <w:tab w:val="left" w:pos="1134"/>
        <w:tab w:val="left" w:pos="1871"/>
        <w:tab w:val="left" w:pos="2268"/>
      </w:tabs>
      <w:spacing w:before="720" w:after="240"/>
      <w:jc w:val="center"/>
    </w:pPr>
    <w:rPr>
      <w:b/>
    </w:rPr>
  </w:style>
  <w:style w:type="paragraph" w:customStyle="1" w:styleId="ProtNo">
    <w:name w:val="Prot_No"/>
    <w:basedOn w:val="Normal"/>
    <w:next w:val="Protlang"/>
    <w:rsid w:val="006F415D"/>
    <w:pPr>
      <w:keepNext/>
      <w:tabs>
        <w:tab w:val="clear" w:pos="794"/>
        <w:tab w:val="clear" w:pos="1191"/>
        <w:tab w:val="clear" w:pos="1588"/>
        <w:tab w:val="clear" w:pos="1985"/>
        <w:tab w:val="left" w:pos="1134"/>
        <w:tab w:val="left" w:pos="1871"/>
        <w:tab w:val="left" w:pos="2268"/>
      </w:tabs>
      <w:jc w:val="center"/>
    </w:pPr>
  </w:style>
  <w:style w:type="paragraph" w:customStyle="1" w:styleId="Protlang">
    <w:name w:val="Prot_lang"/>
    <w:basedOn w:val="ProtNo"/>
    <w:next w:val="Protpays"/>
    <w:rsid w:val="006F415D"/>
    <w:pPr>
      <w:keepLines/>
      <w:framePr w:hSpace="181" w:vSpace="181" w:wrap="auto" w:hAnchor="text" w:xAlign="right"/>
      <w:spacing w:before="0"/>
      <w:jc w:val="right"/>
    </w:pPr>
    <w:rPr>
      <w:i/>
      <w:sz w:val="18"/>
    </w:rPr>
  </w:style>
  <w:style w:type="paragraph" w:customStyle="1" w:styleId="Protpays">
    <w:name w:val="Prot_pays"/>
    <w:basedOn w:val="Protlang"/>
    <w:next w:val="headfoot"/>
    <w:rsid w:val="006F415D"/>
    <w:pPr>
      <w:framePr w:wrap="auto"/>
      <w:spacing w:before="113" w:line="199" w:lineRule="exact"/>
      <w:jc w:val="left"/>
    </w:pPr>
  </w:style>
  <w:style w:type="paragraph" w:customStyle="1" w:styleId="Prottexte">
    <w:name w:val="Prot_texte"/>
    <w:basedOn w:val="Protlang"/>
    <w:rsid w:val="006F415D"/>
    <w:pPr>
      <w:keepNext w:val="0"/>
      <w:keepLines w:val="0"/>
      <w:framePr w:wrap="auto"/>
      <w:spacing w:before="113" w:line="199" w:lineRule="exact"/>
      <w:jc w:val="both"/>
    </w:pPr>
    <w:rPr>
      <w:i w:val="0"/>
    </w:rPr>
  </w:style>
  <w:style w:type="paragraph" w:customStyle="1" w:styleId="Protcall">
    <w:name w:val="Prot_call"/>
    <w:basedOn w:val="Prottexte"/>
    <w:next w:val="Prottexte"/>
    <w:rsid w:val="006F415D"/>
    <w:pPr>
      <w:keepNext/>
      <w:keepLines/>
      <w:framePr w:wrap="auto" w:xAlign="left"/>
      <w:spacing w:before="170"/>
      <w:ind w:left="794"/>
      <w:jc w:val="left"/>
    </w:pPr>
    <w:rPr>
      <w:i/>
    </w:rPr>
  </w:style>
  <w:style w:type="paragraph" w:customStyle="1" w:styleId="Section1">
    <w:name w:val="Section_1"/>
    <w:basedOn w:val="Normal"/>
    <w:rsid w:val="006F415D"/>
    <w:pPr>
      <w:tabs>
        <w:tab w:val="clear" w:pos="794"/>
        <w:tab w:val="clear" w:pos="1191"/>
        <w:tab w:val="clear" w:pos="1588"/>
        <w:tab w:val="clear" w:pos="1985"/>
        <w:tab w:val="center" w:pos="4820"/>
      </w:tabs>
      <w:spacing w:before="360"/>
      <w:jc w:val="center"/>
    </w:pPr>
    <w:rPr>
      <w:b/>
    </w:rPr>
  </w:style>
  <w:style w:type="paragraph" w:customStyle="1" w:styleId="MEP">
    <w:name w:val="MEP"/>
    <w:basedOn w:val="Normal"/>
    <w:rsid w:val="006F415D"/>
    <w:pPr>
      <w:tabs>
        <w:tab w:val="clear" w:pos="794"/>
        <w:tab w:val="clear" w:pos="1191"/>
        <w:tab w:val="clear" w:pos="1588"/>
        <w:tab w:val="clear" w:pos="1985"/>
        <w:tab w:val="left" w:pos="1134"/>
        <w:tab w:val="left" w:pos="1871"/>
        <w:tab w:val="left" w:pos="2268"/>
      </w:tabs>
      <w:jc w:val="left"/>
    </w:pPr>
  </w:style>
  <w:style w:type="character" w:customStyle="1" w:styleId="Tablefreq">
    <w:name w:val="Table_freq"/>
    <w:basedOn w:val="DefaultParagraphFont"/>
    <w:rsid w:val="006F415D"/>
    <w:rPr>
      <w:b/>
      <w:color w:val="FF0000"/>
    </w:rPr>
  </w:style>
  <w:style w:type="paragraph" w:customStyle="1" w:styleId="TableTextS5">
    <w:name w:val="Table_TextS5"/>
    <w:basedOn w:val="Normal"/>
    <w:rsid w:val="006F415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Section2">
    <w:name w:val="Section_2"/>
    <w:basedOn w:val="Section1"/>
    <w:rsid w:val="006F415D"/>
    <w:rPr>
      <w:b w:val="0"/>
      <w:i/>
    </w:rPr>
  </w:style>
  <w:style w:type="paragraph" w:customStyle="1" w:styleId="Section3">
    <w:name w:val="Section_3"/>
    <w:basedOn w:val="Section1"/>
    <w:rsid w:val="006F415D"/>
    <w:rPr>
      <w:b w:val="0"/>
    </w:rPr>
  </w:style>
  <w:style w:type="character" w:customStyle="1" w:styleId="Artref">
    <w:name w:val="Art_ref"/>
    <w:basedOn w:val="DefaultParagraphFont"/>
    <w:rsid w:val="006F415D"/>
  </w:style>
  <w:style w:type="character" w:customStyle="1" w:styleId="Artdef">
    <w:name w:val="Art_def"/>
    <w:basedOn w:val="DefaultParagraphFont"/>
    <w:rsid w:val="006F415D"/>
    <w:rPr>
      <w:rFonts w:ascii="Times New Roman" w:hAnsi="Times New Roman"/>
      <w:b/>
    </w:rPr>
  </w:style>
  <w:style w:type="character" w:customStyle="1" w:styleId="Appdef">
    <w:name w:val="App_def"/>
    <w:basedOn w:val="DefaultParagraphFont"/>
    <w:rsid w:val="006F415D"/>
    <w:rPr>
      <w:rFonts w:ascii="Times New Roman" w:hAnsi="Times New Roman"/>
      <w:b/>
    </w:rPr>
  </w:style>
  <w:style w:type="character" w:customStyle="1" w:styleId="Appref">
    <w:name w:val="App_ref"/>
    <w:basedOn w:val="DefaultParagraphFont"/>
    <w:rsid w:val="006F415D"/>
  </w:style>
  <w:style w:type="character" w:customStyle="1" w:styleId="Recdef">
    <w:name w:val="Rec_def"/>
    <w:basedOn w:val="DefaultParagraphFont"/>
    <w:rsid w:val="006F415D"/>
  </w:style>
  <w:style w:type="character" w:customStyle="1" w:styleId="Resdef">
    <w:name w:val="Res_def"/>
    <w:basedOn w:val="DefaultParagraphFont"/>
    <w:rsid w:val="006F415D"/>
    <w:rPr>
      <w:rFonts w:ascii="Times New Roman" w:hAnsi="Times New Roman"/>
      <w:b/>
    </w:rPr>
  </w:style>
  <w:style w:type="paragraph" w:customStyle="1" w:styleId="TableNote">
    <w:name w:val="TableNote"/>
    <w:basedOn w:val="Tabletext"/>
    <w:rsid w:val="006F415D"/>
    <w:pP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jc w:val="left"/>
    </w:pPr>
  </w:style>
  <w:style w:type="paragraph" w:customStyle="1" w:styleId="enumlev2a">
    <w:name w:val="enumlev2a"/>
    <w:basedOn w:val="enumlev1"/>
    <w:rsid w:val="006F415D"/>
    <w:pPr>
      <w:tabs>
        <w:tab w:val="clear" w:pos="794"/>
        <w:tab w:val="clear" w:pos="1191"/>
        <w:tab w:val="clear" w:pos="1588"/>
        <w:tab w:val="clear" w:pos="1985"/>
        <w:tab w:val="left" w:pos="1871"/>
        <w:tab w:val="left" w:pos="2608"/>
        <w:tab w:val="left" w:pos="3345"/>
      </w:tabs>
      <w:ind w:left="1871" w:hanging="1871"/>
      <w:jc w:val="left"/>
    </w:pPr>
    <w:rPr>
      <w:bCs/>
    </w:rPr>
  </w:style>
  <w:style w:type="paragraph" w:customStyle="1" w:styleId="enumlev3a">
    <w:name w:val="enumlev3a"/>
    <w:basedOn w:val="enumlev2a"/>
    <w:rsid w:val="006F415D"/>
    <w:pPr>
      <w:tabs>
        <w:tab w:val="clear" w:pos="1871"/>
      </w:tabs>
      <w:ind w:left="2608" w:hanging="2608"/>
    </w:pPr>
    <w:rPr>
      <w:bCs w:val="0"/>
    </w:rPr>
  </w:style>
  <w:style w:type="paragraph" w:customStyle="1" w:styleId="Reasons">
    <w:name w:val="Reasons"/>
    <w:basedOn w:val="Normal"/>
    <w:rsid w:val="006F415D"/>
    <w:pPr>
      <w:tabs>
        <w:tab w:val="clear" w:pos="794"/>
        <w:tab w:val="clear" w:pos="1191"/>
        <w:tab w:val="left" w:pos="1134"/>
      </w:tabs>
      <w:overflowPunct/>
      <w:autoSpaceDE/>
      <w:autoSpaceDN/>
      <w:adjustRightInd/>
      <w:jc w:val="left"/>
      <w:textAlignment w:val="auto"/>
    </w:pPr>
  </w:style>
  <w:style w:type="paragraph" w:customStyle="1" w:styleId="Head">
    <w:name w:val="Head"/>
    <w:basedOn w:val="Normal"/>
    <w:rsid w:val="006F415D"/>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rPr>
  </w:style>
  <w:style w:type="paragraph" w:customStyle="1" w:styleId="Source">
    <w:name w:val="Source"/>
    <w:basedOn w:val="Normal"/>
    <w:next w:val="Normal"/>
    <w:rsid w:val="006F415D"/>
    <w:pPr>
      <w:tabs>
        <w:tab w:val="clear" w:pos="794"/>
        <w:tab w:val="clear" w:pos="1191"/>
        <w:tab w:val="clear" w:pos="1588"/>
        <w:tab w:val="clear" w:pos="1985"/>
      </w:tabs>
      <w:spacing w:before="960"/>
      <w:jc w:val="center"/>
    </w:pPr>
    <w:rPr>
      <w:b/>
      <w:sz w:val="28"/>
    </w:rPr>
  </w:style>
  <w:style w:type="paragraph" w:customStyle="1" w:styleId="Title1">
    <w:name w:val="Title 1"/>
    <w:basedOn w:val="Source"/>
    <w:next w:val="Normal"/>
    <w:rsid w:val="006F415D"/>
    <w:pPr>
      <w:tabs>
        <w:tab w:val="left" w:pos="567"/>
        <w:tab w:val="left" w:pos="1134"/>
        <w:tab w:val="left" w:pos="1701"/>
        <w:tab w:val="left" w:pos="2268"/>
        <w:tab w:val="left" w:pos="2835"/>
      </w:tabs>
      <w:spacing w:before="240"/>
    </w:pPr>
    <w:rPr>
      <w:b w:val="0"/>
      <w:caps/>
    </w:rPr>
  </w:style>
  <w:style w:type="paragraph" w:customStyle="1" w:styleId="Title2">
    <w:name w:val="Title 2"/>
    <w:basedOn w:val="Source"/>
    <w:next w:val="Normal"/>
    <w:rsid w:val="006F415D"/>
    <w:pPr>
      <w:overflowPunct/>
      <w:autoSpaceDE/>
      <w:autoSpaceDN/>
      <w:adjustRightInd/>
      <w:spacing w:before="480"/>
      <w:textAlignment w:val="auto"/>
    </w:pPr>
    <w:rPr>
      <w:b w:val="0"/>
      <w:caps/>
    </w:rPr>
  </w:style>
  <w:style w:type="paragraph" w:customStyle="1" w:styleId="Title3">
    <w:name w:val="Title 3"/>
    <w:basedOn w:val="Title2"/>
    <w:next w:val="Normal"/>
    <w:rsid w:val="006F415D"/>
    <w:pPr>
      <w:spacing w:before="240"/>
    </w:pPr>
    <w:rPr>
      <w:caps w:val="0"/>
    </w:rPr>
  </w:style>
  <w:style w:type="paragraph" w:customStyle="1" w:styleId="Title4">
    <w:name w:val="Title 4"/>
    <w:basedOn w:val="Title3"/>
    <w:next w:val="Heading1"/>
    <w:rsid w:val="006F415D"/>
    <w:rPr>
      <w:b/>
    </w:rPr>
  </w:style>
  <w:style w:type="paragraph" w:customStyle="1" w:styleId="FirstFooter">
    <w:name w:val="FirstFooter"/>
    <w:basedOn w:val="Footer"/>
    <w:rsid w:val="006F415D"/>
    <w:pPr>
      <w:tabs>
        <w:tab w:val="left" w:pos="567"/>
        <w:tab w:val="left" w:pos="1134"/>
        <w:tab w:val="left" w:pos="1701"/>
        <w:tab w:val="left" w:pos="2268"/>
        <w:tab w:val="left" w:pos="2835"/>
        <w:tab w:val="left" w:pos="5954"/>
        <w:tab w:val="right" w:pos="9639"/>
      </w:tabs>
      <w:jc w:val="left"/>
    </w:pPr>
    <w:rPr>
      <w:noProof w:val="0"/>
    </w:rPr>
  </w:style>
  <w:style w:type="paragraph" w:customStyle="1" w:styleId="SpecialFooter">
    <w:name w:val="Special Footer"/>
    <w:basedOn w:val="Footer"/>
    <w:rsid w:val="006F415D"/>
    <w:pPr>
      <w:tabs>
        <w:tab w:val="left" w:pos="567"/>
        <w:tab w:val="left" w:pos="1134"/>
        <w:tab w:val="left" w:pos="1701"/>
        <w:tab w:val="left" w:pos="2268"/>
        <w:tab w:val="left" w:pos="2835"/>
        <w:tab w:val="left" w:pos="5954"/>
        <w:tab w:val="right" w:pos="9639"/>
      </w:tabs>
    </w:pPr>
    <w:rPr>
      <w:noProof w:val="0"/>
    </w:rPr>
  </w:style>
  <w:style w:type="character" w:customStyle="1" w:styleId="MODRef">
    <w:name w:val="MODRef"/>
    <w:basedOn w:val="DefaultParagraphFont"/>
    <w:rsid w:val="006F415D"/>
    <w:rPr>
      <w:b/>
      <w:sz w:val="24"/>
      <w:lang w:val="fr-FR"/>
    </w:rPr>
  </w:style>
  <w:style w:type="paragraph" w:customStyle="1" w:styleId="headingb0">
    <w:name w:val="heading_b"/>
    <w:basedOn w:val="Heading3"/>
    <w:next w:val="Normal"/>
    <w:rsid w:val="006F415D"/>
    <w:pPr>
      <w:tabs>
        <w:tab w:val="clear" w:pos="1191"/>
        <w:tab w:val="clear" w:pos="1588"/>
        <w:tab w:val="clear" w:pos="1985"/>
        <w:tab w:val="left" w:pos="2127"/>
        <w:tab w:val="left" w:pos="2410"/>
        <w:tab w:val="left" w:pos="2921"/>
        <w:tab w:val="left" w:pos="3261"/>
      </w:tabs>
      <w:spacing w:before="160"/>
      <w:ind w:left="0" w:firstLine="0"/>
      <w:jc w:val="left"/>
      <w:outlineLvl w:val="9"/>
    </w:pPr>
    <w:rPr>
      <w:lang w:val="en-GB"/>
    </w:rPr>
  </w:style>
  <w:style w:type="paragraph" w:customStyle="1" w:styleId="EquationLegend0">
    <w:name w:val="Equation_Legend"/>
    <w:basedOn w:val="Normal"/>
    <w:rsid w:val="006F415D"/>
    <w:pPr>
      <w:tabs>
        <w:tab w:val="clear" w:pos="794"/>
        <w:tab w:val="clear" w:pos="1191"/>
        <w:tab w:val="clear" w:pos="1588"/>
        <w:tab w:val="clear" w:pos="1985"/>
        <w:tab w:val="right" w:pos="1531"/>
        <w:tab w:val="left" w:pos="1701"/>
      </w:tabs>
      <w:spacing w:before="80"/>
      <w:ind w:left="1701" w:hanging="1701"/>
      <w:jc w:val="left"/>
    </w:pPr>
    <w:rPr>
      <w:lang w:val="en-GB"/>
    </w:rPr>
  </w:style>
  <w:style w:type="paragraph" w:customStyle="1" w:styleId="foot">
    <w:name w:val="foot"/>
    <w:basedOn w:val="headfoot"/>
    <w:rsid w:val="006F4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wmf"/><Relationship Id="rId21" Type="http://schemas.openxmlformats.org/officeDocument/2006/relationships/image" Target="media/image5.wmf"/><Relationship Id="rId34" Type="http://schemas.openxmlformats.org/officeDocument/2006/relationships/image" Target="media/image13.wmf"/><Relationship Id="rId42" Type="http://schemas.openxmlformats.org/officeDocument/2006/relationships/oleObject" Target="embeddings/oleObject12.bin"/><Relationship Id="rId47" Type="http://schemas.openxmlformats.org/officeDocument/2006/relationships/image" Target="media/image20.wmf"/><Relationship Id="rId50" Type="http://schemas.openxmlformats.org/officeDocument/2006/relationships/image" Target="media/image22.wmf"/><Relationship Id="rId55" Type="http://schemas.openxmlformats.org/officeDocument/2006/relationships/oleObject" Target="embeddings/oleObject18.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7.wmf"/><Relationship Id="rId54" Type="http://schemas.openxmlformats.org/officeDocument/2006/relationships/image" Target="media/image24.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oleObject" Target="embeddings/oleObject17.bin"/><Relationship Id="rId58" Type="http://schemas.openxmlformats.org/officeDocument/2006/relationships/image" Target="media/image26.wmf"/><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4.w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image" Target="media/image23.wmf"/><Relationship Id="rId60"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image" Target="media/image25.wmf"/><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8.bin"/><Relationship Id="rId38" Type="http://schemas.openxmlformats.org/officeDocument/2006/relationships/image" Target="media/image15.wmf"/><Relationship Id="rId46" Type="http://schemas.openxmlformats.org/officeDocument/2006/relationships/oleObject" Target="embeddings/oleObject14.bin"/><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59F4-6505-4316-B287-03163400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263</TotalTime>
  <Pages>19</Pages>
  <Words>6928</Words>
  <Characters>37672</Characters>
  <Application>Microsoft Office Word</Application>
  <DocSecurity>0</DocSecurity>
  <Lines>313</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12</cp:revision>
  <cp:lastPrinted>2011-05-17T12:22:00Z</cp:lastPrinted>
  <dcterms:created xsi:type="dcterms:W3CDTF">2011-05-17T07:53:00Z</dcterms:created>
  <dcterms:modified xsi:type="dcterms:W3CDTF">2011-06-09T12:48:00Z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