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F36" w:rsidRPr="00A518F9" w:rsidRDefault="00593F36">
      <w:pPr>
        <w:rPr>
          <w:lang w:val="fr-CH"/>
        </w:rPr>
      </w:pPr>
      <w:bookmarkStart w:id="0" w:name="_GoBack"/>
      <w:bookmarkEnd w:id="0"/>
    </w:p>
    <w:p w:rsidR="00593F36" w:rsidRPr="00A518F9" w:rsidRDefault="00593F36">
      <w:pPr>
        <w:rPr>
          <w:lang w:val="fr-CH"/>
        </w:rPr>
      </w:pPr>
    </w:p>
    <w:p w:rsidR="00593F36" w:rsidRPr="00A518F9" w:rsidRDefault="00593F36">
      <w:pPr>
        <w:rPr>
          <w:lang w:val="fr-CH"/>
        </w:rPr>
      </w:pPr>
    </w:p>
    <w:p w:rsidR="00593F36" w:rsidRPr="00A518F9" w:rsidRDefault="00593F36">
      <w:pPr>
        <w:rPr>
          <w:lang w:val="fr-CH"/>
        </w:rPr>
      </w:pPr>
    </w:p>
    <w:p w:rsidR="00593F36" w:rsidRPr="00A518F9" w:rsidRDefault="00593F36">
      <w:pPr>
        <w:rPr>
          <w:lang w:val="fr-CH"/>
        </w:rPr>
      </w:pPr>
    </w:p>
    <w:p w:rsidR="00593F36" w:rsidRPr="00A518F9" w:rsidRDefault="00593F36">
      <w:pPr>
        <w:rPr>
          <w:lang w:val="fr-CH"/>
        </w:rPr>
      </w:pPr>
    </w:p>
    <w:p w:rsidR="00593F36" w:rsidRPr="00A518F9" w:rsidRDefault="00593F36">
      <w:pPr>
        <w:rPr>
          <w:lang w:val="fr-CH"/>
        </w:rPr>
      </w:pPr>
    </w:p>
    <w:tbl>
      <w:tblPr>
        <w:tblW w:w="10089" w:type="dxa"/>
        <w:tblLook w:val="01E0" w:firstRow="1" w:lastRow="1" w:firstColumn="1" w:lastColumn="1" w:noHBand="0" w:noVBand="0"/>
      </w:tblPr>
      <w:tblGrid>
        <w:gridCol w:w="10089"/>
      </w:tblGrid>
      <w:tr w:rsidR="00593F36" w:rsidRPr="00A518F9">
        <w:tc>
          <w:tcPr>
            <w:tcW w:w="10089" w:type="dxa"/>
          </w:tcPr>
          <w:p w:rsidR="00593F36" w:rsidRPr="00A518F9" w:rsidRDefault="00593F36" w:rsidP="00F45A74">
            <w:pPr>
              <w:spacing w:before="380" w:line="280" w:lineRule="exact"/>
              <w:jc w:val="right"/>
              <w:rPr>
                <w:rFonts w:ascii="Tahoma" w:hAnsi="Tahoma" w:cs="Tahoma"/>
                <w:b/>
                <w:bCs/>
                <w:iCs/>
                <w:color w:val="243285"/>
                <w:sz w:val="32"/>
                <w:szCs w:val="32"/>
                <w:lang w:val="fr-CH"/>
              </w:rPr>
            </w:pPr>
          </w:p>
          <w:p w:rsidR="00593F36" w:rsidRPr="00A518F9" w:rsidRDefault="00593F36" w:rsidP="002C27CA">
            <w:pPr>
              <w:spacing w:before="380" w:line="280" w:lineRule="exact"/>
              <w:jc w:val="right"/>
              <w:rPr>
                <w:rFonts w:ascii="Tahoma" w:hAnsi="Tahoma" w:cs="Tahoma"/>
                <w:b/>
                <w:bCs/>
                <w:iCs/>
                <w:color w:val="243285"/>
                <w:sz w:val="36"/>
                <w:szCs w:val="36"/>
                <w:lang w:val="fr-CH"/>
              </w:rPr>
            </w:pPr>
            <w:r w:rsidRPr="00A518F9">
              <w:rPr>
                <w:rFonts w:ascii="Tahoma" w:hAnsi="Tahoma" w:cs="Tahoma"/>
                <w:b/>
                <w:bCs/>
                <w:iCs/>
                <w:color w:val="243285"/>
                <w:sz w:val="36"/>
                <w:szCs w:val="36"/>
                <w:lang w:val="fr-CH"/>
              </w:rPr>
              <w:t>Recommandation  UIT-R  M.</w:t>
            </w:r>
            <w:r w:rsidR="002C27CA" w:rsidRPr="00A518F9">
              <w:rPr>
                <w:rFonts w:ascii="Tahoma" w:hAnsi="Tahoma" w:cs="Tahoma"/>
                <w:b/>
                <w:bCs/>
                <w:iCs/>
                <w:color w:val="243285"/>
                <w:sz w:val="36"/>
                <w:szCs w:val="36"/>
                <w:lang w:val="fr-CH"/>
              </w:rPr>
              <w:t>1456</w:t>
            </w:r>
          </w:p>
          <w:p w:rsidR="00593F36" w:rsidRPr="00A518F9" w:rsidRDefault="00593F36" w:rsidP="002C27CA">
            <w:pPr>
              <w:spacing w:before="80" w:line="280" w:lineRule="exact"/>
              <w:jc w:val="right"/>
              <w:rPr>
                <w:rFonts w:ascii="Tahoma" w:hAnsi="Tahoma" w:cs="Tahoma"/>
                <w:b/>
                <w:bCs/>
                <w:iCs/>
                <w:color w:val="243285"/>
                <w:szCs w:val="24"/>
                <w:lang w:val="fr-CH"/>
              </w:rPr>
            </w:pPr>
            <w:r w:rsidRPr="00A518F9">
              <w:rPr>
                <w:rFonts w:ascii="Tahoma" w:hAnsi="Tahoma" w:cs="Tahoma"/>
                <w:b/>
                <w:bCs/>
                <w:iCs/>
                <w:color w:val="243285"/>
                <w:szCs w:val="24"/>
                <w:lang w:val="fr-CH"/>
              </w:rPr>
              <w:t>(0</w:t>
            </w:r>
            <w:r w:rsidR="002C27CA" w:rsidRPr="00A518F9">
              <w:rPr>
                <w:rFonts w:ascii="Tahoma" w:hAnsi="Tahoma" w:cs="Tahoma"/>
                <w:b/>
                <w:bCs/>
                <w:iCs/>
                <w:color w:val="243285"/>
                <w:szCs w:val="24"/>
                <w:lang w:val="fr-CH"/>
              </w:rPr>
              <w:t>5</w:t>
            </w:r>
            <w:r w:rsidRPr="00A518F9">
              <w:rPr>
                <w:rFonts w:ascii="Tahoma" w:hAnsi="Tahoma" w:cs="Tahoma"/>
                <w:b/>
                <w:bCs/>
                <w:iCs/>
                <w:color w:val="243285"/>
                <w:szCs w:val="24"/>
                <w:lang w:val="fr-CH"/>
              </w:rPr>
              <w:t>/</w:t>
            </w:r>
            <w:r w:rsidR="002C27CA" w:rsidRPr="00A518F9">
              <w:rPr>
                <w:rFonts w:ascii="Tahoma" w:hAnsi="Tahoma" w:cs="Tahoma"/>
                <w:b/>
                <w:bCs/>
                <w:iCs/>
                <w:color w:val="243285"/>
                <w:szCs w:val="24"/>
                <w:lang w:val="fr-CH"/>
              </w:rPr>
              <w:t>2000</w:t>
            </w:r>
            <w:r w:rsidRPr="00A518F9">
              <w:rPr>
                <w:rFonts w:ascii="Tahoma" w:hAnsi="Tahoma" w:cs="Tahoma"/>
                <w:b/>
                <w:bCs/>
                <w:iCs/>
                <w:color w:val="243285"/>
                <w:szCs w:val="24"/>
                <w:lang w:val="fr-CH"/>
              </w:rPr>
              <w:t>)</w:t>
            </w:r>
          </w:p>
        </w:tc>
      </w:tr>
      <w:tr w:rsidR="00593F36" w:rsidRPr="00A518F9">
        <w:tc>
          <w:tcPr>
            <w:tcW w:w="10089" w:type="dxa"/>
          </w:tcPr>
          <w:p w:rsidR="00593F36" w:rsidRPr="00A518F9" w:rsidRDefault="00593F36" w:rsidP="00F45A74">
            <w:pPr>
              <w:spacing w:before="80" w:line="500" w:lineRule="exact"/>
              <w:jc w:val="right"/>
              <w:rPr>
                <w:rFonts w:ascii="Tahoma" w:hAnsi="Tahoma" w:cs="Tahoma"/>
                <w:b/>
                <w:bCs/>
                <w:iCs/>
                <w:color w:val="243285"/>
                <w:sz w:val="44"/>
                <w:szCs w:val="44"/>
                <w:lang w:val="fr-CH"/>
              </w:rPr>
            </w:pPr>
          </w:p>
          <w:p w:rsidR="00593F36" w:rsidRPr="00A518F9" w:rsidRDefault="002C27CA" w:rsidP="00CE4453">
            <w:pPr>
              <w:spacing w:before="80" w:line="500" w:lineRule="exact"/>
              <w:jc w:val="right"/>
              <w:rPr>
                <w:rFonts w:ascii="Tahoma" w:hAnsi="Tahoma" w:cs="Tahoma"/>
                <w:b/>
                <w:bCs/>
                <w:iCs/>
                <w:color w:val="243285"/>
                <w:sz w:val="44"/>
                <w:szCs w:val="44"/>
                <w:lang w:val="fr-CH"/>
              </w:rPr>
            </w:pPr>
            <w:r w:rsidRPr="00A518F9">
              <w:rPr>
                <w:rFonts w:ascii="Tahoma" w:hAnsi="Tahoma" w:cs="Tahoma"/>
                <w:b/>
                <w:bCs/>
                <w:iCs/>
                <w:color w:val="243285"/>
                <w:sz w:val="44"/>
                <w:szCs w:val="44"/>
                <w:lang w:val="fr-CH"/>
              </w:rPr>
              <w:t>Caractéristiques minimales de</w:t>
            </w:r>
            <w:r w:rsidR="00F45A74" w:rsidRPr="00A518F9">
              <w:rPr>
                <w:rFonts w:ascii="Tahoma" w:hAnsi="Tahoma" w:cs="Tahoma"/>
                <w:b/>
                <w:bCs/>
                <w:iCs/>
                <w:color w:val="243285"/>
                <w:sz w:val="44"/>
                <w:szCs w:val="44"/>
                <w:lang w:val="fr-CH"/>
              </w:rPr>
              <w:t xml:space="preserve"> </w:t>
            </w:r>
            <w:r w:rsidRPr="00A518F9">
              <w:rPr>
                <w:rFonts w:ascii="Tahoma" w:hAnsi="Tahoma" w:cs="Tahoma"/>
                <w:b/>
                <w:bCs/>
                <w:iCs/>
                <w:color w:val="243285"/>
                <w:sz w:val="44"/>
                <w:szCs w:val="44"/>
                <w:lang w:val="fr-CH"/>
              </w:rPr>
              <w:t>fonctionnement et conditions d'exploitation</w:t>
            </w:r>
            <w:r w:rsidR="00F45A74" w:rsidRPr="00A518F9">
              <w:rPr>
                <w:rFonts w:ascii="Tahoma" w:hAnsi="Tahoma" w:cs="Tahoma"/>
                <w:b/>
                <w:bCs/>
                <w:iCs/>
                <w:color w:val="243285"/>
                <w:sz w:val="44"/>
                <w:szCs w:val="44"/>
                <w:lang w:val="fr-CH"/>
              </w:rPr>
              <w:t xml:space="preserve"> </w:t>
            </w:r>
            <w:r w:rsidRPr="00A518F9">
              <w:rPr>
                <w:rFonts w:ascii="Tahoma" w:hAnsi="Tahoma" w:cs="Tahoma"/>
                <w:b/>
                <w:bCs/>
                <w:iCs/>
                <w:color w:val="243285"/>
                <w:sz w:val="44"/>
                <w:szCs w:val="44"/>
                <w:lang w:val="fr-CH"/>
              </w:rPr>
              <w:t>des stations placées sur des plates-formes</w:t>
            </w:r>
            <w:r w:rsidR="00F45A74" w:rsidRPr="00A518F9">
              <w:rPr>
                <w:rFonts w:ascii="Tahoma" w:hAnsi="Tahoma" w:cs="Tahoma"/>
                <w:b/>
                <w:bCs/>
                <w:iCs/>
                <w:color w:val="243285"/>
                <w:sz w:val="44"/>
                <w:szCs w:val="44"/>
                <w:lang w:val="fr-CH"/>
              </w:rPr>
              <w:t xml:space="preserve"> </w:t>
            </w:r>
            <w:r w:rsidRPr="00A518F9">
              <w:rPr>
                <w:rFonts w:ascii="Tahoma" w:hAnsi="Tahoma" w:cs="Tahoma"/>
                <w:b/>
                <w:bCs/>
                <w:iCs/>
                <w:color w:val="243285"/>
                <w:sz w:val="44"/>
                <w:szCs w:val="44"/>
                <w:lang w:val="fr-CH"/>
              </w:rPr>
              <w:t>à haute altitude assurant les services</w:t>
            </w:r>
            <w:r w:rsidR="00F45A74" w:rsidRPr="00A518F9">
              <w:rPr>
                <w:rFonts w:ascii="Tahoma" w:hAnsi="Tahoma" w:cs="Tahoma"/>
                <w:b/>
                <w:bCs/>
                <w:iCs/>
                <w:color w:val="243285"/>
                <w:sz w:val="44"/>
                <w:szCs w:val="44"/>
                <w:lang w:val="fr-CH"/>
              </w:rPr>
              <w:t xml:space="preserve"> </w:t>
            </w:r>
            <w:r w:rsidRPr="00A518F9">
              <w:rPr>
                <w:rFonts w:ascii="Tahoma" w:hAnsi="Tahoma" w:cs="Tahoma"/>
                <w:b/>
                <w:bCs/>
                <w:iCs/>
                <w:color w:val="243285"/>
                <w:sz w:val="44"/>
                <w:szCs w:val="44"/>
                <w:lang w:val="fr-CH"/>
              </w:rPr>
              <w:t>IMT</w:t>
            </w:r>
            <w:r w:rsidRPr="00A518F9">
              <w:rPr>
                <w:rFonts w:ascii="Tahoma" w:hAnsi="Tahoma" w:cs="Tahoma"/>
                <w:b/>
                <w:bCs/>
                <w:iCs/>
                <w:color w:val="243285"/>
                <w:sz w:val="44"/>
                <w:szCs w:val="44"/>
                <w:lang w:val="fr-CH"/>
              </w:rPr>
              <w:noBreakHyphen/>
              <w:t>2000 dans les bandes</w:t>
            </w:r>
            <w:r w:rsidR="00F45A74" w:rsidRPr="00A518F9">
              <w:rPr>
                <w:rFonts w:ascii="Tahoma" w:hAnsi="Tahoma" w:cs="Tahoma"/>
                <w:b/>
                <w:bCs/>
                <w:iCs/>
                <w:color w:val="243285"/>
                <w:sz w:val="44"/>
                <w:szCs w:val="44"/>
                <w:lang w:val="fr-CH"/>
              </w:rPr>
              <w:t xml:space="preserve"> </w:t>
            </w:r>
            <w:r w:rsidRPr="00A518F9">
              <w:rPr>
                <w:rFonts w:ascii="Tahoma" w:hAnsi="Tahoma" w:cs="Tahoma"/>
                <w:b/>
                <w:bCs/>
                <w:iCs/>
                <w:color w:val="243285"/>
                <w:sz w:val="44"/>
                <w:szCs w:val="44"/>
                <w:lang w:val="fr-CH"/>
              </w:rPr>
              <w:t>1 885</w:t>
            </w:r>
            <w:r w:rsidRPr="00A518F9">
              <w:rPr>
                <w:rFonts w:ascii="Tahoma" w:hAnsi="Tahoma" w:cs="Tahoma"/>
                <w:b/>
                <w:bCs/>
                <w:iCs/>
                <w:color w:val="243285"/>
                <w:sz w:val="44"/>
                <w:szCs w:val="44"/>
                <w:lang w:val="fr-CH"/>
              </w:rPr>
              <w:noBreakHyphen/>
              <w:t>1 980 MHz, 2 010-2 025 MHz</w:t>
            </w:r>
            <w:r w:rsidR="00F45A74" w:rsidRPr="00A518F9">
              <w:rPr>
                <w:rFonts w:ascii="Tahoma" w:hAnsi="Tahoma" w:cs="Tahoma"/>
                <w:b/>
                <w:bCs/>
                <w:iCs/>
                <w:color w:val="243285"/>
                <w:sz w:val="44"/>
                <w:szCs w:val="44"/>
                <w:lang w:val="fr-CH"/>
              </w:rPr>
              <w:t xml:space="preserve"> </w:t>
            </w:r>
            <w:r w:rsidR="00F45A74" w:rsidRPr="00A518F9">
              <w:rPr>
                <w:rFonts w:ascii="Tahoma" w:hAnsi="Tahoma" w:cs="Tahoma"/>
                <w:b/>
                <w:bCs/>
                <w:iCs/>
                <w:color w:val="243285"/>
                <w:sz w:val="44"/>
                <w:szCs w:val="44"/>
                <w:lang w:val="fr-CH"/>
              </w:rPr>
              <w:br/>
            </w:r>
            <w:r w:rsidRPr="00A518F9">
              <w:rPr>
                <w:rFonts w:ascii="Tahoma" w:hAnsi="Tahoma" w:cs="Tahoma"/>
                <w:b/>
                <w:bCs/>
                <w:iCs/>
                <w:color w:val="243285"/>
                <w:sz w:val="44"/>
                <w:szCs w:val="44"/>
                <w:lang w:val="fr-CH"/>
              </w:rPr>
              <w:t>et 2</w:t>
            </w:r>
            <w:r w:rsidR="00F45A74" w:rsidRPr="00A518F9">
              <w:rPr>
                <w:rFonts w:ascii="Tahoma" w:hAnsi="Tahoma" w:cs="Tahoma"/>
                <w:b/>
                <w:bCs/>
                <w:iCs/>
                <w:color w:val="243285"/>
                <w:sz w:val="44"/>
                <w:szCs w:val="44"/>
                <w:lang w:val="fr-CH"/>
              </w:rPr>
              <w:t> </w:t>
            </w:r>
            <w:r w:rsidRPr="00A518F9">
              <w:rPr>
                <w:rFonts w:ascii="Tahoma" w:hAnsi="Tahoma" w:cs="Tahoma"/>
                <w:b/>
                <w:bCs/>
                <w:iCs/>
                <w:color w:val="243285"/>
                <w:sz w:val="44"/>
                <w:szCs w:val="44"/>
                <w:lang w:val="fr-CH"/>
              </w:rPr>
              <w:t>110-2 170 MHz dans les Régions 1 et</w:t>
            </w:r>
            <w:r w:rsidR="00CE4453">
              <w:rPr>
                <w:rFonts w:ascii="Tahoma" w:hAnsi="Tahoma" w:cs="Tahoma"/>
                <w:b/>
                <w:bCs/>
                <w:iCs/>
                <w:color w:val="243285"/>
                <w:sz w:val="44"/>
                <w:szCs w:val="44"/>
                <w:lang w:val="fr-CH"/>
              </w:rPr>
              <w:t xml:space="preserve"> </w:t>
            </w:r>
            <w:r w:rsidRPr="00A518F9">
              <w:rPr>
                <w:rFonts w:ascii="Tahoma" w:hAnsi="Tahoma" w:cs="Tahoma"/>
                <w:b/>
                <w:bCs/>
                <w:iCs/>
                <w:color w:val="243285"/>
                <w:sz w:val="44"/>
                <w:szCs w:val="44"/>
                <w:lang w:val="fr-CH"/>
              </w:rPr>
              <w:t>3 et</w:t>
            </w:r>
            <w:r w:rsidR="00F45A74" w:rsidRPr="00A518F9">
              <w:rPr>
                <w:rFonts w:ascii="Tahoma" w:hAnsi="Tahoma" w:cs="Tahoma"/>
                <w:b/>
                <w:bCs/>
                <w:iCs/>
                <w:color w:val="243285"/>
                <w:sz w:val="44"/>
                <w:szCs w:val="44"/>
                <w:lang w:val="fr-CH"/>
              </w:rPr>
              <w:t xml:space="preserve"> </w:t>
            </w:r>
            <w:r w:rsidRPr="00A518F9">
              <w:rPr>
                <w:rFonts w:ascii="Tahoma" w:hAnsi="Tahoma" w:cs="Tahoma"/>
                <w:b/>
                <w:bCs/>
                <w:iCs/>
                <w:color w:val="243285"/>
                <w:sz w:val="44"/>
                <w:szCs w:val="44"/>
                <w:lang w:val="fr-CH"/>
              </w:rPr>
              <w:t>1</w:t>
            </w:r>
            <w:r w:rsidR="00F45A74" w:rsidRPr="00A518F9">
              <w:rPr>
                <w:rFonts w:ascii="Tahoma" w:hAnsi="Tahoma" w:cs="Tahoma"/>
                <w:b/>
                <w:bCs/>
                <w:iCs/>
                <w:color w:val="243285"/>
                <w:sz w:val="44"/>
                <w:szCs w:val="44"/>
                <w:lang w:val="fr-CH"/>
              </w:rPr>
              <w:t> </w:t>
            </w:r>
            <w:r w:rsidRPr="00A518F9">
              <w:rPr>
                <w:rFonts w:ascii="Tahoma" w:hAnsi="Tahoma" w:cs="Tahoma"/>
                <w:b/>
                <w:bCs/>
                <w:iCs/>
                <w:color w:val="243285"/>
                <w:sz w:val="44"/>
                <w:szCs w:val="44"/>
                <w:lang w:val="fr-CH"/>
              </w:rPr>
              <w:t>885-1 980 MHz et 2 110-2 160 MHz</w:t>
            </w:r>
            <w:r w:rsidR="00F45A74" w:rsidRPr="00A518F9">
              <w:rPr>
                <w:rFonts w:ascii="Tahoma" w:hAnsi="Tahoma" w:cs="Tahoma"/>
                <w:b/>
                <w:bCs/>
                <w:iCs/>
                <w:color w:val="243285"/>
                <w:sz w:val="44"/>
                <w:szCs w:val="44"/>
                <w:lang w:val="fr-CH"/>
              </w:rPr>
              <w:t xml:space="preserve"> </w:t>
            </w:r>
            <w:r w:rsidR="00F45A74" w:rsidRPr="00A518F9">
              <w:rPr>
                <w:rFonts w:ascii="Tahoma" w:hAnsi="Tahoma" w:cs="Tahoma"/>
                <w:b/>
                <w:bCs/>
                <w:iCs/>
                <w:color w:val="243285"/>
                <w:sz w:val="44"/>
                <w:szCs w:val="44"/>
                <w:lang w:val="fr-CH"/>
              </w:rPr>
              <w:br/>
            </w:r>
            <w:r w:rsidRPr="00A518F9">
              <w:rPr>
                <w:rFonts w:ascii="Tahoma" w:hAnsi="Tahoma" w:cs="Tahoma"/>
                <w:b/>
                <w:bCs/>
                <w:iCs/>
                <w:color w:val="243285"/>
                <w:sz w:val="44"/>
                <w:szCs w:val="44"/>
                <w:lang w:val="fr-CH"/>
              </w:rPr>
              <w:t>en Région 2</w:t>
            </w:r>
          </w:p>
        </w:tc>
      </w:tr>
      <w:tr w:rsidR="00593F36" w:rsidRPr="00A518F9">
        <w:tc>
          <w:tcPr>
            <w:tcW w:w="10089" w:type="dxa"/>
          </w:tcPr>
          <w:p w:rsidR="00593F36" w:rsidRPr="00A518F9" w:rsidRDefault="00593F36" w:rsidP="00F45A74">
            <w:pPr>
              <w:spacing w:before="80" w:line="280" w:lineRule="exact"/>
              <w:ind w:right="640"/>
              <w:rPr>
                <w:rFonts w:ascii="Tahoma" w:hAnsi="Tahoma" w:cs="Tahoma"/>
                <w:b/>
                <w:bCs/>
                <w:iCs/>
                <w:color w:val="243285"/>
                <w:sz w:val="32"/>
                <w:szCs w:val="32"/>
                <w:lang w:val="fr-CH"/>
              </w:rPr>
            </w:pPr>
          </w:p>
          <w:p w:rsidR="00593F36" w:rsidRPr="00A518F9" w:rsidRDefault="00593F36" w:rsidP="00F45A74">
            <w:pPr>
              <w:spacing w:before="80" w:line="280" w:lineRule="exact"/>
              <w:ind w:right="640"/>
              <w:rPr>
                <w:rFonts w:ascii="Tahoma" w:hAnsi="Tahoma" w:cs="Tahoma"/>
                <w:b/>
                <w:bCs/>
                <w:iCs/>
                <w:color w:val="243285"/>
                <w:sz w:val="32"/>
                <w:szCs w:val="32"/>
                <w:lang w:val="fr-CH"/>
              </w:rPr>
            </w:pPr>
          </w:p>
          <w:p w:rsidR="00593F36" w:rsidRPr="00A518F9" w:rsidRDefault="00593F36" w:rsidP="00F45A74">
            <w:pPr>
              <w:spacing w:before="80" w:after="180" w:line="360" w:lineRule="exact"/>
              <w:ind w:right="720"/>
              <w:rPr>
                <w:rFonts w:ascii="Tahoma" w:hAnsi="Tahoma" w:cs="Tahoma"/>
                <w:b/>
                <w:bCs/>
                <w:iCs/>
                <w:color w:val="243285"/>
                <w:sz w:val="36"/>
                <w:szCs w:val="36"/>
                <w:lang w:val="fr-CH"/>
              </w:rPr>
            </w:pPr>
          </w:p>
          <w:p w:rsidR="00593F36" w:rsidRPr="00A518F9" w:rsidRDefault="00593F36" w:rsidP="00F45A74">
            <w:pPr>
              <w:spacing w:before="80" w:after="180" w:line="360" w:lineRule="exact"/>
              <w:jc w:val="right"/>
              <w:rPr>
                <w:rFonts w:ascii="Tahoma" w:hAnsi="Tahoma" w:cs="Tahoma"/>
                <w:b/>
                <w:bCs/>
                <w:iCs/>
                <w:color w:val="243285"/>
                <w:sz w:val="36"/>
                <w:szCs w:val="36"/>
                <w:lang w:val="fr-CH"/>
              </w:rPr>
            </w:pPr>
            <w:r w:rsidRPr="00A518F9">
              <w:rPr>
                <w:rFonts w:ascii="Tahoma" w:hAnsi="Tahoma" w:cs="Tahoma"/>
                <w:b/>
                <w:bCs/>
                <w:iCs/>
                <w:color w:val="243285"/>
                <w:sz w:val="36"/>
                <w:szCs w:val="36"/>
                <w:lang w:val="fr-CH"/>
              </w:rPr>
              <w:t>Série M</w:t>
            </w:r>
          </w:p>
          <w:p w:rsidR="00593F36" w:rsidRPr="00A518F9" w:rsidRDefault="00593F36" w:rsidP="00F45A74">
            <w:pPr>
              <w:spacing w:before="80" w:line="420" w:lineRule="exact"/>
              <w:jc w:val="right"/>
              <w:rPr>
                <w:rFonts w:ascii="Tahoma" w:hAnsi="Tahoma" w:cs="Tahoma"/>
                <w:b/>
                <w:bCs/>
                <w:iCs/>
                <w:color w:val="243285"/>
                <w:sz w:val="36"/>
                <w:szCs w:val="36"/>
                <w:lang w:val="fr-CH"/>
              </w:rPr>
            </w:pPr>
            <w:r w:rsidRPr="00A518F9">
              <w:rPr>
                <w:rFonts w:ascii="Tahoma" w:hAnsi="Tahoma" w:cs="Tahoma"/>
                <w:b/>
                <w:bCs/>
                <w:iCs/>
                <w:color w:val="243285"/>
                <w:sz w:val="36"/>
                <w:szCs w:val="36"/>
                <w:lang w:val="fr-CH"/>
              </w:rPr>
              <w:t>Services mobile, de radiorepérage et d’amateur</w:t>
            </w:r>
            <w:r w:rsidRPr="00A518F9">
              <w:rPr>
                <w:rFonts w:ascii="Tahoma" w:hAnsi="Tahoma" w:cs="Tahoma"/>
                <w:b/>
                <w:bCs/>
                <w:iCs/>
                <w:color w:val="243285"/>
                <w:sz w:val="36"/>
                <w:szCs w:val="36"/>
                <w:lang w:val="fr-CH"/>
              </w:rPr>
              <w:br/>
              <w:t>y compris les services par satellite associés</w:t>
            </w:r>
          </w:p>
        </w:tc>
      </w:tr>
    </w:tbl>
    <w:p w:rsidR="00593F36" w:rsidRPr="00A518F9" w:rsidRDefault="00593F36" w:rsidP="00F45A74">
      <w:pPr>
        <w:spacing w:before="80"/>
        <w:rPr>
          <w:i/>
          <w:sz w:val="22"/>
          <w:lang w:val="fr-CH"/>
        </w:rPr>
      </w:pPr>
    </w:p>
    <w:p w:rsidR="00593F36" w:rsidRPr="00A518F9" w:rsidRDefault="00593F36" w:rsidP="00F45A74">
      <w:pPr>
        <w:spacing w:before="80"/>
        <w:rPr>
          <w:i/>
          <w:sz w:val="22"/>
          <w:lang w:val="fr-CH"/>
        </w:rPr>
      </w:pPr>
    </w:p>
    <w:p w:rsidR="00593F36" w:rsidRPr="00A518F9" w:rsidRDefault="00593F36" w:rsidP="00F45A74">
      <w:pPr>
        <w:spacing w:before="80"/>
        <w:rPr>
          <w:i/>
          <w:sz w:val="22"/>
          <w:lang w:val="fr-CH"/>
        </w:rPr>
      </w:pPr>
    </w:p>
    <w:p w:rsidR="00593F36" w:rsidRPr="00A518F9" w:rsidRDefault="00593F36" w:rsidP="00F45A74">
      <w:pPr>
        <w:spacing w:before="80"/>
        <w:rPr>
          <w:i/>
          <w:sz w:val="22"/>
          <w:lang w:val="fr-CH"/>
        </w:rPr>
      </w:pPr>
    </w:p>
    <w:p w:rsidR="00593F36" w:rsidRPr="00A518F9" w:rsidRDefault="00593F36" w:rsidP="00F45A74">
      <w:pPr>
        <w:pStyle w:val="Equation"/>
        <w:tabs>
          <w:tab w:val="clear" w:pos="4820"/>
          <w:tab w:val="clear" w:pos="9639"/>
          <w:tab w:val="left" w:pos="1191"/>
          <w:tab w:val="left" w:pos="1588"/>
          <w:tab w:val="left" w:pos="1985"/>
        </w:tabs>
        <w:rPr>
          <w:rFonts w:ascii="Palatino Linotype" w:hAnsi="Palatino Linotype"/>
          <w:lang w:val="fr-CH"/>
        </w:rPr>
        <w:sectPr w:rsidR="00593F36" w:rsidRPr="00A518F9" w:rsidSect="00F45A74">
          <w:headerReference w:type="even" r:id="rId9"/>
          <w:headerReference w:type="default" r:id="rId10"/>
          <w:pgSz w:w="11907" w:h="16834" w:code="9"/>
          <w:pgMar w:top="1418" w:right="1134" w:bottom="1134" w:left="1134" w:header="720" w:footer="482" w:gutter="0"/>
          <w:paperSrc w:first="15" w:other="15"/>
          <w:cols w:space="720"/>
        </w:sectPr>
      </w:pPr>
    </w:p>
    <w:p w:rsidR="00593F36" w:rsidRPr="00A518F9" w:rsidRDefault="00593F36" w:rsidP="00F45A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A518F9">
        <w:rPr>
          <w:bCs/>
          <w:sz w:val="24"/>
          <w:szCs w:val="24"/>
          <w:lang w:val="fr-CH"/>
        </w:rPr>
        <w:lastRenderedPageBreak/>
        <w:t>Avant-propos</w:t>
      </w:r>
    </w:p>
    <w:p w:rsidR="00593F36" w:rsidRPr="00A518F9" w:rsidRDefault="00593F36" w:rsidP="00F45A74">
      <w:pPr>
        <w:spacing w:before="240"/>
        <w:rPr>
          <w:sz w:val="20"/>
          <w:lang w:val="fr-CH"/>
        </w:rPr>
      </w:pPr>
      <w:r w:rsidRPr="00A518F9">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93F36" w:rsidRPr="00A518F9" w:rsidRDefault="00593F36" w:rsidP="00F45A74">
      <w:pPr>
        <w:rPr>
          <w:sz w:val="20"/>
          <w:lang w:val="fr-CH"/>
        </w:rPr>
      </w:pPr>
      <w:r w:rsidRPr="00A518F9">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593F36" w:rsidRPr="00A518F9" w:rsidRDefault="00593F36" w:rsidP="00F45A74">
      <w:pPr>
        <w:pStyle w:val="Heading1"/>
        <w:spacing w:before="360"/>
        <w:jc w:val="center"/>
        <w:rPr>
          <w:szCs w:val="24"/>
          <w:lang w:val="fr-CH"/>
        </w:rPr>
      </w:pPr>
      <w:r w:rsidRPr="00A518F9">
        <w:rPr>
          <w:szCs w:val="24"/>
          <w:lang w:val="fr-CH"/>
        </w:rPr>
        <w:t>Politique en matière de droits de propriété intellectuelle (IPR)</w:t>
      </w:r>
    </w:p>
    <w:p w:rsidR="00593F36" w:rsidRPr="00A518F9" w:rsidRDefault="00593F36" w:rsidP="00F45A74">
      <w:pPr>
        <w:spacing w:before="240"/>
        <w:rPr>
          <w:sz w:val="20"/>
          <w:lang w:val="fr-CH"/>
        </w:rPr>
      </w:pPr>
      <w:r w:rsidRPr="00A518F9">
        <w:rPr>
          <w:sz w:val="20"/>
          <w:lang w:val="fr-CH"/>
        </w:rPr>
        <w:t>La politique de l'UIT</w:t>
      </w:r>
      <w:r w:rsidRPr="00A518F9">
        <w:rPr>
          <w:sz w:val="20"/>
          <w:lang w:val="fr-CH"/>
        </w:rPr>
        <w:noBreakHyphen/>
        <w:t>R en matière de droits de propriété intellectuelle est décrite dans la «Politique commune de l'UIT</w:t>
      </w:r>
      <w:r w:rsidRPr="00A518F9">
        <w:rPr>
          <w:sz w:val="20"/>
          <w:lang w:val="fr-CH"/>
        </w:rPr>
        <w:noBreakHyphen/>
        <w:t>T, l'UIT</w:t>
      </w:r>
      <w:r w:rsidRPr="00A518F9">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1" w:history="1">
        <w:r w:rsidRPr="00A518F9">
          <w:rPr>
            <w:rStyle w:val="Hyperlink"/>
            <w:sz w:val="20"/>
            <w:lang w:val="fr-CH"/>
          </w:rPr>
          <w:t>http://www.itu.int/ITU-R/go/patents/fr</w:t>
        </w:r>
      </w:hyperlink>
      <w:r w:rsidRPr="00A518F9">
        <w:rPr>
          <w:sz w:val="20"/>
          <w:lang w:val="fr-CH"/>
        </w:rPr>
        <w:t xml:space="preserve">, où l'on trouvera également les Lignes directrices pour la mise en </w:t>
      </w:r>
      <w:r w:rsidR="00A518F9" w:rsidRPr="00A518F9">
        <w:rPr>
          <w:sz w:val="20"/>
          <w:lang w:val="fr-CH"/>
        </w:rPr>
        <w:t>œuvre</w:t>
      </w:r>
      <w:r w:rsidRPr="00A518F9">
        <w:rPr>
          <w:sz w:val="20"/>
          <w:lang w:val="fr-CH"/>
        </w:rPr>
        <w:t xml:space="preserve"> de la politique commune en matière de brevets de l'UIT</w:t>
      </w:r>
      <w:r w:rsidRPr="00A518F9">
        <w:rPr>
          <w:sz w:val="20"/>
          <w:lang w:val="fr-CH"/>
        </w:rPr>
        <w:noBreakHyphen/>
        <w:t>T, l'UIT</w:t>
      </w:r>
      <w:r w:rsidRPr="00A518F9">
        <w:rPr>
          <w:sz w:val="20"/>
          <w:lang w:val="fr-CH"/>
        </w:rPr>
        <w:noBreakHyphen/>
        <w:t>R, l'ISO et la CEI</w:t>
      </w:r>
      <w:r w:rsidRPr="00A518F9" w:rsidDel="0061025C">
        <w:rPr>
          <w:sz w:val="20"/>
          <w:lang w:val="fr-CH"/>
        </w:rPr>
        <w:t xml:space="preserve"> </w:t>
      </w:r>
      <w:r w:rsidRPr="00A518F9">
        <w:rPr>
          <w:sz w:val="20"/>
          <w:lang w:val="fr-CH"/>
        </w:rPr>
        <w:t>et la base de données en matière de brevets de l'UIT-R.</w:t>
      </w:r>
    </w:p>
    <w:p w:rsidR="00593F36" w:rsidRPr="00A518F9" w:rsidRDefault="00593F36" w:rsidP="00F45A7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93F36" w:rsidRPr="00A518F9">
        <w:tc>
          <w:tcPr>
            <w:tcW w:w="9360" w:type="dxa"/>
            <w:gridSpan w:val="2"/>
          </w:tcPr>
          <w:p w:rsidR="00593F36" w:rsidRPr="00A518F9" w:rsidRDefault="00593F36" w:rsidP="00F45A74">
            <w:pPr>
              <w:pStyle w:val="Chaptitle"/>
              <w:keepLines w:val="0"/>
              <w:tabs>
                <w:tab w:val="clear" w:pos="794"/>
                <w:tab w:val="clear" w:pos="1191"/>
                <w:tab w:val="clear" w:pos="1588"/>
                <w:tab w:val="clear" w:pos="1985"/>
              </w:tabs>
              <w:overflowPunct/>
              <w:spacing w:before="140"/>
              <w:textAlignment w:val="auto"/>
              <w:rPr>
                <w:sz w:val="22"/>
                <w:szCs w:val="22"/>
                <w:lang w:val="fr-CH"/>
              </w:rPr>
            </w:pPr>
            <w:r w:rsidRPr="00A518F9">
              <w:rPr>
                <w:sz w:val="22"/>
                <w:szCs w:val="22"/>
                <w:lang w:val="fr-CH"/>
              </w:rPr>
              <w:t xml:space="preserve">Séries des Recommandations UIT-R </w:t>
            </w:r>
          </w:p>
          <w:p w:rsidR="00593F36" w:rsidRPr="00A518F9" w:rsidRDefault="00593F36" w:rsidP="00F45A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A518F9">
              <w:rPr>
                <w:b w:val="0"/>
                <w:sz w:val="18"/>
                <w:szCs w:val="18"/>
                <w:lang w:val="fr-CH"/>
              </w:rPr>
              <w:t xml:space="preserve">(Egalement disponible en ligne: </w:t>
            </w:r>
            <w:hyperlink r:id="rId12" w:history="1">
              <w:r w:rsidRPr="00A518F9">
                <w:rPr>
                  <w:rStyle w:val="Hyperlink"/>
                  <w:b w:val="0"/>
                  <w:bCs/>
                  <w:sz w:val="18"/>
                  <w:szCs w:val="18"/>
                  <w:lang w:val="fr-CH"/>
                </w:rPr>
                <w:t>http://www.itu.int/publ/R-REC/fr</w:t>
              </w:r>
            </w:hyperlink>
            <w:r w:rsidRPr="00A518F9">
              <w:rPr>
                <w:b w:val="0"/>
                <w:bCs/>
                <w:sz w:val="18"/>
                <w:szCs w:val="18"/>
                <w:lang w:val="fr-CH"/>
              </w:rPr>
              <w:t>)</w:t>
            </w:r>
          </w:p>
        </w:tc>
      </w:tr>
      <w:tr w:rsidR="00593F36" w:rsidRPr="00A518F9">
        <w:tc>
          <w:tcPr>
            <w:tcW w:w="1140" w:type="dxa"/>
          </w:tcPr>
          <w:p w:rsidR="00593F36" w:rsidRPr="00A518F9" w:rsidRDefault="00593F36" w:rsidP="00F45A74">
            <w:pPr>
              <w:spacing w:before="90" w:after="100"/>
              <w:ind w:left="57"/>
              <w:rPr>
                <w:b/>
                <w:bCs/>
                <w:sz w:val="20"/>
                <w:lang w:val="fr-CH"/>
              </w:rPr>
            </w:pPr>
            <w:r w:rsidRPr="00A518F9">
              <w:rPr>
                <w:b/>
                <w:bCs/>
                <w:sz w:val="20"/>
                <w:lang w:val="fr-CH"/>
              </w:rPr>
              <w:t>Séries</w:t>
            </w:r>
          </w:p>
        </w:tc>
        <w:tc>
          <w:tcPr>
            <w:tcW w:w="8220" w:type="dxa"/>
          </w:tcPr>
          <w:p w:rsidR="00593F36" w:rsidRPr="00A518F9" w:rsidRDefault="00593F36" w:rsidP="00F45A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A518F9">
              <w:rPr>
                <w:bCs/>
                <w:sz w:val="20"/>
                <w:lang w:val="fr-CH"/>
              </w:rPr>
              <w:t>Titre</w:t>
            </w:r>
          </w:p>
        </w:tc>
      </w:tr>
      <w:tr w:rsidR="00593F36" w:rsidRPr="00A518F9">
        <w:tc>
          <w:tcPr>
            <w:tcW w:w="1140" w:type="dxa"/>
          </w:tcPr>
          <w:p w:rsidR="00593F36" w:rsidRPr="00A518F9" w:rsidRDefault="00593F36" w:rsidP="00F45A74">
            <w:pPr>
              <w:spacing w:before="30" w:after="30"/>
              <w:ind w:left="57"/>
              <w:jc w:val="left"/>
              <w:rPr>
                <w:b/>
                <w:bCs/>
                <w:sz w:val="20"/>
                <w:lang w:val="fr-CH"/>
              </w:rPr>
            </w:pPr>
            <w:r w:rsidRPr="00A518F9">
              <w:rPr>
                <w:b/>
                <w:bCs/>
                <w:sz w:val="20"/>
                <w:lang w:val="fr-CH"/>
              </w:rPr>
              <w:t>BO</w:t>
            </w:r>
          </w:p>
        </w:tc>
        <w:tc>
          <w:tcPr>
            <w:tcW w:w="8220" w:type="dxa"/>
          </w:tcPr>
          <w:p w:rsidR="00593F36" w:rsidRPr="00A518F9" w:rsidRDefault="00593F36" w:rsidP="00F45A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A518F9">
              <w:rPr>
                <w:b w:val="0"/>
                <w:bCs/>
                <w:sz w:val="20"/>
                <w:lang w:val="fr-CH"/>
              </w:rPr>
              <w:t>Diffusion par satellite</w:t>
            </w:r>
          </w:p>
        </w:tc>
      </w:tr>
      <w:tr w:rsidR="00593F36" w:rsidRPr="00A518F9">
        <w:tc>
          <w:tcPr>
            <w:tcW w:w="1140" w:type="dxa"/>
          </w:tcPr>
          <w:p w:rsidR="00593F36" w:rsidRPr="00A518F9" w:rsidRDefault="00593F36" w:rsidP="00F45A74">
            <w:pPr>
              <w:spacing w:before="30" w:after="30"/>
              <w:ind w:left="57"/>
              <w:jc w:val="left"/>
              <w:rPr>
                <w:b/>
                <w:bCs/>
                <w:sz w:val="20"/>
                <w:lang w:val="fr-CH"/>
              </w:rPr>
            </w:pPr>
            <w:r w:rsidRPr="00A518F9">
              <w:rPr>
                <w:b/>
                <w:bCs/>
                <w:sz w:val="20"/>
                <w:lang w:val="fr-CH"/>
              </w:rPr>
              <w:t>BR</w:t>
            </w:r>
          </w:p>
        </w:tc>
        <w:tc>
          <w:tcPr>
            <w:tcW w:w="8220" w:type="dxa"/>
          </w:tcPr>
          <w:p w:rsidR="00593F36" w:rsidRPr="00A518F9" w:rsidRDefault="00593F36" w:rsidP="00F45A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A518F9">
              <w:rPr>
                <w:b w:val="0"/>
                <w:bCs/>
                <w:sz w:val="20"/>
                <w:lang w:val="fr-CH"/>
              </w:rPr>
              <w:t>Enregistrement pour la production, l'archivage et la diffusion; films pour la télévision</w:t>
            </w:r>
          </w:p>
        </w:tc>
      </w:tr>
      <w:tr w:rsidR="00593F36" w:rsidRPr="00A518F9">
        <w:tc>
          <w:tcPr>
            <w:tcW w:w="1140" w:type="dxa"/>
          </w:tcPr>
          <w:p w:rsidR="00593F36" w:rsidRPr="00A518F9" w:rsidRDefault="00593F36" w:rsidP="00F45A74">
            <w:pPr>
              <w:spacing w:before="30" w:after="30"/>
              <w:ind w:left="57"/>
              <w:jc w:val="left"/>
              <w:rPr>
                <w:b/>
                <w:bCs/>
                <w:sz w:val="20"/>
                <w:lang w:val="fr-CH"/>
              </w:rPr>
            </w:pPr>
            <w:r w:rsidRPr="00A518F9">
              <w:rPr>
                <w:b/>
                <w:bCs/>
                <w:sz w:val="20"/>
                <w:lang w:val="fr-CH"/>
              </w:rPr>
              <w:t>BS</w:t>
            </w:r>
          </w:p>
        </w:tc>
        <w:tc>
          <w:tcPr>
            <w:tcW w:w="8220" w:type="dxa"/>
          </w:tcPr>
          <w:p w:rsidR="00593F36" w:rsidRPr="00A518F9" w:rsidRDefault="00593F36" w:rsidP="00F45A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A518F9">
              <w:rPr>
                <w:b w:val="0"/>
                <w:bCs/>
                <w:sz w:val="20"/>
                <w:lang w:val="fr-CH"/>
              </w:rPr>
              <w:t>Service de radiodiffusion sonore</w:t>
            </w:r>
          </w:p>
        </w:tc>
      </w:tr>
      <w:tr w:rsidR="00593F36" w:rsidRPr="00A518F9">
        <w:tc>
          <w:tcPr>
            <w:tcW w:w="1140" w:type="dxa"/>
            <w:shd w:val="clear" w:color="auto" w:fill="auto"/>
          </w:tcPr>
          <w:p w:rsidR="00593F36" w:rsidRPr="00A518F9" w:rsidRDefault="00593F36" w:rsidP="00F45A74">
            <w:pPr>
              <w:spacing w:before="30" w:after="30"/>
              <w:ind w:left="57"/>
              <w:jc w:val="left"/>
              <w:rPr>
                <w:b/>
                <w:bCs/>
                <w:sz w:val="20"/>
                <w:lang w:val="fr-CH"/>
              </w:rPr>
            </w:pPr>
            <w:r w:rsidRPr="00A518F9">
              <w:rPr>
                <w:b/>
                <w:bCs/>
                <w:sz w:val="20"/>
                <w:lang w:val="fr-CH"/>
              </w:rPr>
              <w:t>BT</w:t>
            </w:r>
          </w:p>
        </w:tc>
        <w:tc>
          <w:tcPr>
            <w:tcW w:w="8220" w:type="dxa"/>
            <w:shd w:val="clear" w:color="auto" w:fill="auto"/>
          </w:tcPr>
          <w:p w:rsidR="00593F36" w:rsidRPr="00A518F9" w:rsidRDefault="00593F36" w:rsidP="00F45A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A518F9">
              <w:rPr>
                <w:b w:val="0"/>
                <w:bCs/>
                <w:sz w:val="20"/>
                <w:lang w:val="fr-CH"/>
              </w:rPr>
              <w:t>Service de radiodiffusion télévisuelle</w:t>
            </w:r>
          </w:p>
        </w:tc>
      </w:tr>
      <w:tr w:rsidR="00593F36" w:rsidRPr="00A518F9">
        <w:tc>
          <w:tcPr>
            <w:tcW w:w="1140" w:type="dxa"/>
            <w:shd w:val="clear" w:color="auto" w:fill="auto"/>
          </w:tcPr>
          <w:p w:rsidR="00593F36" w:rsidRPr="00A518F9" w:rsidRDefault="00593F36" w:rsidP="00F45A74">
            <w:pPr>
              <w:spacing w:before="30" w:after="30"/>
              <w:ind w:left="57"/>
              <w:jc w:val="left"/>
              <w:rPr>
                <w:b/>
                <w:bCs/>
                <w:sz w:val="20"/>
                <w:lang w:val="fr-CH"/>
              </w:rPr>
            </w:pPr>
            <w:r w:rsidRPr="00A518F9">
              <w:rPr>
                <w:b/>
                <w:bCs/>
                <w:sz w:val="20"/>
                <w:lang w:val="fr-CH"/>
              </w:rPr>
              <w:t>F</w:t>
            </w:r>
          </w:p>
        </w:tc>
        <w:tc>
          <w:tcPr>
            <w:tcW w:w="8220" w:type="dxa"/>
            <w:shd w:val="clear" w:color="auto" w:fill="auto"/>
          </w:tcPr>
          <w:p w:rsidR="00593F36" w:rsidRPr="00A518F9" w:rsidRDefault="00593F36" w:rsidP="00F45A7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A518F9">
              <w:rPr>
                <w:sz w:val="20"/>
                <w:lang w:val="fr-CH"/>
              </w:rPr>
              <w:t>Service fixe</w:t>
            </w:r>
          </w:p>
        </w:tc>
      </w:tr>
      <w:tr w:rsidR="00593F36" w:rsidRPr="00A518F9">
        <w:tc>
          <w:tcPr>
            <w:tcW w:w="1140" w:type="dxa"/>
            <w:shd w:val="clear" w:color="auto" w:fill="F3F3F3"/>
          </w:tcPr>
          <w:p w:rsidR="00593F36" w:rsidRPr="00A518F9" w:rsidRDefault="00593F36" w:rsidP="00F45A74">
            <w:pPr>
              <w:spacing w:before="30" w:after="30"/>
              <w:ind w:left="57"/>
              <w:jc w:val="left"/>
              <w:rPr>
                <w:b/>
                <w:bCs/>
                <w:color w:val="000080"/>
                <w:sz w:val="20"/>
                <w:lang w:val="fr-CH"/>
              </w:rPr>
            </w:pPr>
            <w:r w:rsidRPr="00A518F9">
              <w:rPr>
                <w:b/>
                <w:bCs/>
                <w:color w:val="000080"/>
                <w:sz w:val="20"/>
                <w:lang w:val="fr-CH"/>
              </w:rPr>
              <w:t>M</w:t>
            </w:r>
          </w:p>
        </w:tc>
        <w:tc>
          <w:tcPr>
            <w:tcW w:w="8220" w:type="dxa"/>
            <w:shd w:val="clear" w:color="auto" w:fill="F3F3F3"/>
          </w:tcPr>
          <w:p w:rsidR="00593F36" w:rsidRPr="00A518F9" w:rsidRDefault="00593F36" w:rsidP="00F45A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A518F9">
              <w:rPr>
                <w:bCs/>
                <w:color w:val="000080"/>
                <w:sz w:val="20"/>
                <w:lang w:val="fr-CH"/>
              </w:rPr>
              <w:t>Services mobile, de radiorepérage et d'amateur y compris les services par satellite associés</w:t>
            </w:r>
          </w:p>
        </w:tc>
      </w:tr>
      <w:tr w:rsidR="00593F36" w:rsidRPr="00A518F9">
        <w:tc>
          <w:tcPr>
            <w:tcW w:w="1140" w:type="dxa"/>
          </w:tcPr>
          <w:p w:rsidR="00593F36" w:rsidRPr="00A518F9" w:rsidRDefault="00593F36" w:rsidP="00F45A74">
            <w:pPr>
              <w:spacing w:before="30" w:after="30"/>
              <w:ind w:left="57"/>
              <w:jc w:val="left"/>
              <w:rPr>
                <w:b/>
                <w:bCs/>
                <w:sz w:val="20"/>
                <w:lang w:val="fr-CH"/>
              </w:rPr>
            </w:pPr>
            <w:r w:rsidRPr="00A518F9">
              <w:rPr>
                <w:b/>
                <w:bCs/>
                <w:sz w:val="20"/>
                <w:lang w:val="fr-CH"/>
              </w:rPr>
              <w:t>P</w:t>
            </w:r>
          </w:p>
        </w:tc>
        <w:tc>
          <w:tcPr>
            <w:tcW w:w="8220" w:type="dxa"/>
          </w:tcPr>
          <w:p w:rsidR="00593F36" w:rsidRPr="00A518F9" w:rsidRDefault="00593F36" w:rsidP="00F45A74">
            <w:pPr>
              <w:spacing w:before="30" w:after="30"/>
              <w:jc w:val="left"/>
              <w:rPr>
                <w:sz w:val="20"/>
                <w:lang w:val="fr-CH"/>
              </w:rPr>
            </w:pPr>
            <w:r w:rsidRPr="00A518F9">
              <w:rPr>
                <w:sz w:val="20"/>
                <w:lang w:val="fr-CH"/>
              </w:rPr>
              <w:t>Propagation des ondes radioélectriques</w:t>
            </w:r>
          </w:p>
        </w:tc>
      </w:tr>
      <w:tr w:rsidR="00593F36" w:rsidRPr="00A518F9">
        <w:tc>
          <w:tcPr>
            <w:tcW w:w="1140" w:type="dxa"/>
          </w:tcPr>
          <w:p w:rsidR="00593F36" w:rsidRPr="00A518F9" w:rsidRDefault="00593F36" w:rsidP="00F45A74">
            <w:pPr>
              <w:spacing w:before="30" w:after="30"/>
              <w:ind w:left="57"/>
              <w:jc w:val="left"/>
              <w:rPr>
                <w:b/>
                <w:bCs/>
                <w:sz w:val="20"/>
                <w:lang w:val="fr-CH"/>
              </w:rPr>
            </w:pPr>
            <w:r w:rsidRPr="00A518F9">
              <w:rPr>
                <w:b/>
                <w:bCs/>
                <w:sz w:val="20"/>
                <w:lang w:val="fr-CH"/>
              </w:rPr>
              <w:t>RA</w:t>
            </w:r>
          </w:p>
        </w:tc>
        <w:tc>
          <w:tcPr>
            <w:tcW w:w="8220" w:type="dxa"/>
          </w:tcPr>
          <w:p w:rsidR="00593F36" w:rsidRPr="00A518F9" w:rsidRDefault="00593F36" w:rsidP="00F45A7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A518F9">
              <w:rPr>
                <w:sz w:val="20"/>
                <w:lang w:val="fr-CH"/>
              </w:rPr>
              <w:t>Radio astronomie</w:t>
            </w:r>
          </w:p>
        </w:tc>
      </w:tr>
      <w:tr w:rsidR="00593F36" w:rsidRPr="00A518F9">
        <w:tc>
          <w:tcPr>
            <w:tcW w:w="1140" w:type="dxa"/>
          </w:tcPr>
          <w:p w:rsidR="00593F36" w:rsidRPr="00A518F9" w:rsidRDefault="00593F36" w:rsidP="00F45A74">
            <w:pPr>
              <w:spacing w:before="30" w:after="30"/>
              <w:ind w:left="57"/>
              <w:jc w:val="left"/>
              <w:rPr>
                <w:b/>
                <w:bCs/>
                <w:sz w:val="20"/>
                <w:lang w:val="fr-CH"/>
              </w:rPr>
            </w:pPr>
            <w:r w:rsidRPr="00A518F9">
              <w:rPr>
                <w:b/>
                <w:bCs/>
                <w:sz w:val="20"/>
                <w:lang w:val="fr-CH"/>
              </w:rPr>
              <w:t>RS</w:t>
            </w:r>
          </w:p>
        </w:tc>
        <w:tc>
          <w:tcPr>
            <w:tcW w:w="8220" w:type="dxa"/>
          </w:tcPr>
          <w:p w:rsidR="00593F36" w:rsidRPr="00A518F9" w:rsidRDefault="00593F36" w:rsidP="00F45A7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A518F9">
              <w:rPr>
                <w:sz w:val="20"/>
                <w:lang w:val="fr-CH"/>
              </w:rPr>
              <w:t>Systèmes de télédétection</w:t>
            </w:r>
          </w:p>
        </w:tc>
      </w:tr>
      <w:tr w:rsidR="00593F36" w:rsidRPr="00A518F9">
        <w:tc>
          <w:tcPr>
            <w:tcW w:w="1140" w:type="dxa"/>
          </w:tcPr>
          <w:p w:rsidR="00593F36" w:rsidRPr="00A518F9" w:rsidRDefault="00593F36" w:rsidP="00F45A74">
            <w:pPr>
              <w:spacing w:before="30" w:after="30"/>
              <w:ind w:left="57"/>
              <w:jc w:val="left"/>
              <w:rPr>
                <w:b/>
                <w:bCs/>
                <w:sz w:val="20"/>
                <w:lang w:val="fr-CH"/>
              </w:rPr>
            </w:pPr>
            <w:r w:rsidRPr="00A518F9">
              <w:rPr>
                <w:b/>
                <w:bCs/>
                <w:sz w:val="20"/>
                <w:lang w:val="fr-CH"/>
              </w:rPr>
              <w:t>S</w:t>
            </w:r>
          </w:p>
        </w:tc>
        <w:tc>
          <w:tcPr>
            <w:tcW w:w="8220" w:type="dxa"/>
          </w:tcPr>
          <w:p w:rsidR="00593F36" w:rsidRPr="00A518F9" w:rsidRDefault="00593F36" w:rsidP="00F45A74">
            <w:pPr>
              <w:spacing w:before="30" w:after="30"/>
              <w:jc w:val="left"/>
              <w:rPr>
                <w:sz w:val="20"/>
                <w:lang w:val="fr-CH"/>
              </w:rPr>
            </w:pPr>
            <w:r w:rsidRPr="00A518F9">
              <w:rPr>
                <w:sz w:val="20"/>
                <w:lang w:val="fr-CH"/>
              </w:rPr>
              <w:t>Service fixe par satellite</w:t>
            </w:r>
          </w:p>
        </w:tc>
      </w:tr>
      <w:tr w:rsidR="00593F36" w:rsidRPr="00A518F9">
        <w:tc>
          <w:tcPr>
            <w:tcW w:w="1140" w:type="dxa"/>
          </w:tcPr>
          <w:p w:rsidR="00593F36" w:rsidRPr="00A518F9" w:rsidRDefault="00593F36" w:rsidP="00F45A74">
            <w:pPr>
              <w:spacing w:before="30" w:after="30"/>
              <w:ind w:left="57"/>
              <w:jc w:val="left"/>
              <w:rPr>
                <w:b/>
                <w:bCs/>
                <w:sz w:val="20"/>
                <w:lang w:val="fr-CH"/>
              </w:rPr>
            </w:pPr>
            <w:r w:rsidRPr="00A518F9">
              <w:rPr>
                <w:b/>
                <w:bCs/>
                <w:sz w:val="20"/>
                <w:lang w:val="fr-CH"/>
              </w:rPr>
              <w:t>SA</w:t>
            </w:r>
          </w:p>
        </w:tc>
        <w:tc>
          <w:tcPr>
            <w:tcW w:w="8220" w:type="dxa"/>
          </w:tcPr>
          <w:p w:rsidR="00593F36" w:rsidRPr="00A518F9" w:rsidRDefault="00593F36" w:rsidP="00F45A74">
            <w:pPr>
              <w:spacing w:before="30" w:after="30"/>
              <w:jc w:val="left"/>
              <w:rPr>
                <w:sz w:val="20"/>
                <w:lang w:val="fr-CH"/>
              </w:rPr>
            </w:pPr>
            <w:r w:rsidRPr="00A518F9">
              <w:rPr>
                <w:sz w:val="20"/>
                <w:lang w:val="fr-CH"/>
              </w:rPr>
              <w:t>Applications spatiales et météorologie</w:t>
            </w:r>
          </w:p>
        </w:tc>
      </w:tr>
      <w:tr w:rsidR="00593F36" w:rsidRPr="00A518F9">
        <w:tc>
          <w:tcPr>
            <w:tcW w:w="1140" w:type="dxa"/>
          </w:tcPr>
          <w:p w:rsidR="00593F36" w:rsidRPr="00A518F9" w:rsidRDefault="00593F36" w:rsidP="00F45A74">
            <w:pPr>
              <w:spacing w:before="30" w:after="30"/>
              <w:ind w:left="57"/>
              <w:jc w:val="left"/>
              <w:rPr>
                <w:b/>
                <w:bCs/>
                <w:sz w:val="20"/>
                <w:lang w:val="fr-CH"/>
              </w:rPr>
            </w:pPr>
            <w:r w:rsidRPr="00A518F9">
              <w:rPr>
                <w:b/>
                <w:bCs/>
                <w:sz w:val="20"/>
                <w:lang w:val="fr-CH"/>
              </w:rPr>
              <w:t>SF</w:t>
            </w:r>
          </w:p>
        </w:tc>
        <w:tc>
          <w:tcPr>
            <w:tcW w:w="8220" w:type="dxa"/>
          </w:tcPr>
          <w:p w:rsidR="00593F36" w:rsidRPr="00A518F9" w:rsidRDefault="00593F36" w:rsidP="00F45A74">
            <w:pPr>
              <w:spacing w:before="30" w:after="30"/>
              <w:jc w:val="left"/>
              <w:rPr>
                <w:sz w:val="20"/>
                <w:lang w:val="fr-CH"/>
              </w:rPr>
            </w:pPr>
            <w:r w:rsidRPr="00A518F9">
              <w:rPr>
                <w:sz w:val="20"/>
                <w:lang w:val="fr-CH"/>
              </w:rPr>
              <w:t>Partage des fréquences et coordination entre les systèmes du service fixe par satellite et du service fixe</w:t>
            </w:r>
          </w:p>
        </w:tc>
      </w:tr>
      <w:tr w:rsidR="00593F36" w:rsidRPr="00A518F9">
        <w:tc>
          <w:tcPr>
            <w:tcW w:w="1140" w:type="dxa"/>
            <w:shd w:val="clear" w:color="auto" w:fill="auto"/>
          </w:tcPr>
          <w:p w:rsidR="00593F36" w:rsidRPr="00A518F9" w:rsidRDefault="00593F36" w:rsidP="00F45A74">
            <w:pPr>
              <w:spacing w:before="30" w:after="30"/>
              <w:ind w:left="57"/>
              <w:jc w:val="left"/>
              <w:rPr>
                <w:b/>
                <w:bCs/>
                <w:sz w:val="20"/>
                <w:lang w:val="fr-CH"/>
              </w:rPr>
            </w:pPr>
            <w:r w:rsidRPr="00A518F9">
              <w:rPr>
                <w:b/>
                <w:bCs/>
                <w:sz w:val="20"/>
                <w:lang w:val="fr-CH"/>
              </w:rPr>
              <w:t>SM</w:t>
            </w:r>
          </w:p>
        </w:tc>
        <w:tc>
          <w:tcPr>
            <w:tcW w:w="8220" w:type="dxa"/>
            <w:shd w:val="clear" w:color="auto" w:fill="auto"/>
          </w:tcPr>
          <w:p w:rsidR="00593F36" w:rsidRPr="00A518F9" w:rsidRDefault="00593F36" w:rsidP="00F45A74">
            <w:pPr>
              <w:spacing w:before="30" w:after="30"/>
              <w:jc w:val="left"/>
              <w:rPr>
                <w:sz w:val="20"/>
                <w:lang w:val="fr-CH"/>
              </w:rPr>
            </w:pPr>
            <w:r w:rsidRPr="00A518F9">
              <w:rPr>
                <w:sz w:val="20"/>
                <w:lang w:val="fr-CH"/>
              </w:rPr>
              <w:t>Gestion du spectre</w:t>
            </w:r>
          </w:p>
        </w:tc>
      </w:tr>
      <w:tr w:rsidR="00593F36" w:rsidRPr="00A518F9">
        <w:tc>
          <w:tcPr>
            <w:tcW w:w="1140" w:type="dxa"/>
          </w:tcPr>
          <w:p w:rsidR="00593F36" w:rsidRPr="00A518F9" w:rsidRDefault="00593F36" w:rsidP="00F45A74">
            <w:pPr>
              <w:spacing w:before="30" w:after="30"/>
              <w:ind w:left="57"/>
              <w:jc w:val="left"/>
              <w:rPr>
                <w:b/>
                <w:bCs/>
                <w:sz w:val="20"/>
                <w:lang w:val="fr-CH"/>
              </w:rPr>
            </w:pPr>
            <w:r w:rsidRPr="00A518F9">
              <w:rPr>
                <w:b/>
                <w:bCs/>
                <w:sz w:val="20"/>
                <w:lang w:val="fr-CH"/>
              </w:rPr>
              <w:t>SNG</w:t>
            </w:r>
          </w:p>
        </w:tc>
        <w:tc>
          <w:tcPr>
            <w:tcW w:w="8220" w:type="dxa"/>
          </w:tcPr>
          <w:p w:rsidR="00593F36" w:rsidRPr="00A518F9" w:rsidRDefault="00593F36" w:rsidP="00F45A74">
            <w:pPr>
              <w:spacing w:before="30" w:after="30"/>
              <w:jc w:val="left"/>
              <w:rPr>
                <w:sz w:val="20"/>
                <w:lang w:val="fr-CH"/>
              </w:rPr>
            </w:pPr>
            <w:r w:rsidRPr="00A518F9">
              <w:rPr>
                <w:sz w:val="20"/>
                <w:lang w:val="fr-CH"/>
              </w:rPr>
              <w:t>Reportage d'actualités par satellite</w:t>
            </w:r>
          </w:p>
        </w:tc>
      </w:tr>
      <w:tr w:rsidR="00593F36" w:rsidRPr="00A518F9">
        <w:tc>
          <w:tcPr>
            <w:tcW w:w="1140" w:type="dxa"/>
          </w:tcPr>
          <w:p w:rsidR="00593F36" w:rsidRPr="00A518F9" w:rsidRDefault="00593F36" w:rsidP="00F45A74">
            <w:pPr>
              <w:spacing w:before="30" w:after="30"/>
              <w:ind w:left="57"/>
              <w:jc w:val="left"/>
              <w:rPr>
                <w:b/>
                <w:bCs/>
                <w:sz w:val="20"/>
                <w:lang w:val="fr-CH"/>
              </w:rPr>
            </w:pPr>
            <w:r w:rsidRPr="00A518F9">
              <w:rPr>
                <w:b/>
                <w:bCs/>
                <w:sz w:val="20"/>
                <w:lang w:val="fr-CH"/>
              </w:rPr>
              <w:t>TF</w:t>
            </w:r>
          </w:p>
        </w:tc>
        <w:tc>
          <w:tcPr>
            <w:tcW w:w="8220" w:type="dxa"/>
          </w:tcPr>
          <w:p w:rsidR="00593F36" w:rsidRPr="00A518F9" w:rsidRDefault="00593F36" w:rsidP="00F45A74">
            <w:pPr>
              <w:spacing w:before="30" w:after="30"/>
              <w:jc w:val="left"/>
              <w:rPr>
                <w:sz w:val="20"/>
                <w:lang w:val="fr-CH"/>
              </w:rPr>
            </w:pPr>
            <w:r w:rsidRPr="00A518F9">
              <w:rPr>
                <w:sz w:val="20"/>
                <w:lang w:val="fr-CH"/>
              </w:rPr>
              <w:t>Emissions de fréquences étalon et de signaux horaires</w:t>
            </w:r>
          </w:p>
        </w:tc>
      </w:tr>
      <w:tr w:rsidR="00593F36" w:rsidRPr="00A518F9">
        <w:tc>
          <w:tcPr>
            <w:tcW w:w="1140" w:type="dxa"/>
          </w:tcPr>
          <w:p w:rsidR="00593F36" w:rsidRPr="00A518F9" w:rsidRDefault="00593F36" w:rsidP="00F45A74">
            <w:pPr>
              <w:spacing w:before="30" w:after="30"/>
              <w:ind w:left="57"/>
              <w:jc w:val="left"/>
              <w:rPr>
                <w:b/>
                <w:bCs/>
                <w:sz w:val="20"/>
                <w:lang w:val="fr-CH"/>
              </w:rPr>
            </w:pPr>
            <w:r w:rsidRPr="00A518F9">
              <w:rPr>
                <w:b/>
                <w:bCs/>
                <w:sz w:val="20"/>
                <w:lang w:val="fr-CH"/>
              </w:rPr>
              <w:t>V</w:t>
            </w:r>
          </w:p>
        </w:tc>
        <w:tc>
          <w:tcPr>
            <w:tcW w:w="8220" w:type="dxa"/>
          </w:tcPr>
          <w:p w:rsidR="00593F36" w:rsidRPr="00A518F9" w:rsidRDefault="00593F36" w:rsidP="00F45A74">
            <w:pPr>
              <w:spacing w:before="30" w:after="140"/>
              <w:jc w:val="left"/>
              <w:rPr>
                <w:sz w:val="20"/>
                <w:lang w:val="fr-CH"/>
              </w:rPr>
            </w:pPr>
            <w:r w:rsidRPr="00A518F9">
              <w:rPr>
                <w:sz w:val="20"/>
                <w:lang w:val="fr-CH"/>
              </w:rPr>
              <w:t>Vocabulaire et sujets associés</w:t>
            </w:r>
          </w:p>
        </w:tc>
      </w:tr>
    </w:tbl>
    <w:p w:rsidR="00593F36" w:rsidRPr="00A518F9" w:rsidRDefault="00593F36" w:rsidP="00F45A74">
      <w:pPr>
        <w:spacing w:before="0"/>
        <w:jc w:val="center"/>
        <w:rPr>
          <w:sz w:val="20"/>
          <w:lang w:val="fr-CH"/>
        </w:rPr>
      </w:pPr>
    </w:p>
    <w:p w:rsidR="00593F36" w:rsidRPr="00A518F9" w:rsidRDefault="00593F36" w:rsidP="00F45A74">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93F36" w:rsidRPr="00A518F9">
        <w:tc>
          <w:tcPr>
            <w:tcW w:w="9360" w:type="dxa"/>
          </w:tcPr>
          <w:p w:rsidR="00593F36" w:rsidRPr="00A518F9" w:rsidRDefault="00593F36" w:rsidP="00F45A74">
            <w:pPr>
              <w:spacing w:before="80" w:after="80"/>
              <w:jc w:val="left"/>
              <w:rPr>
                <w:i/>
                <w:iCs/>
                <w:sz w:val="20"/>
                <w:lang w:val="fr-CH"/>
              </w:rPr>
            </w:pPr>
            <w:r w:rsidRPr="00A518F9">
              <w:rPr>
                <w:b/>
                <w:bCs/>
                <w:i/>
                <w:iCs/>
                <w:sz w:val="20"/>
                <w:lang w:val="fr-CH"/>
              </w:rPr>
              <w:t xml:space="preserve">    Note</w:t>
            </w:r>
            <w:r w:rsidRPr="00A518F9">
              <w:rPr>
                <w:i/>
                <w:iCs/>
                <w:sz w:val="20"/>
                <w:lang w:val="fr-CH"/>
              </w:rPr>
              <w:t>: Cette Recommandation UIT-R a été approuvée en anglais aux termes de la procédure détaillée dans la</w:t>
            </w:r>
            <w:r w:rsidRPr="00A518F9">
              <w:rPr>
                <w:i/>
                <w:iCs/>
                <w:sz w:val="20"/>
                <w:lang w:val="fr-CH"/>
              </w:rPr>
              <w:br/>
              <w:t xml:space="preserve">   Résolution UIT-R 1. </w:t>
            </w:r>
          </w:p>
        </w:tc>
      </w:tr>
    </w:tbl>
    <w:p w:rsidR="00593F36" w:rsidRPr="00A518F9" w:rsidRDefault="00593F36" w:rsidP="00F45A74">
      <w:pPr>
        <w:spacing w:before="0"/>
        <w:jc w:val="center"/>
        <w:rPr>
          <w:sz w:val="22"/>
          <w:lang w:val="fr-CH"/>
        </w:rPr>
      </w:pPr>
    </w:p>
    <w:p w:rsidR="00593F36" w:rsidRPr="00A518F9" w:rsidRDefault="00593F36" w:rsidP="00F45A74">
      <w:pPr>
        <w:spacing w:before="100"/>
        <w:jc w:val="right"/>
        <w:rPr>
          <w:i/>
          <w:iCs/>
          <w:sz w:val="20"/>
          <w:lang w:val="fr-CH"/>
        </w:rPr>
      </w:pPr>
      <w:r w:rsidRPr="00A518F9">
        <w:rPr>
          <w:i/>
          <w:iCs/>
          <w:sz w:val="20"/>
          <w:lang w:val="fr-CH"/>
        </w:rPr>
        <w:t>Publication électronique</w:t>
      </w:r>
    </w:p>
    <w:p w:rsidR="00593F36" w:rsidRPr="00A518F9" w:rsidRDefault="00593F36" w:rsidP="002C27CA">
      <w:pPr>
        <w:spacing w:before="0"/>
        <w:jc w:val="right"/>
        <w:rPr>
          <w:sz w:val="20"/>
          <w:lang w:val="fr-CH"/>
        </w:rPr>
      </w:pPr>
      <w:r w:rsidRPr="00A518F9">
        <w:rPr>
          <w:sz w:val="20"/>
          <w:lang w:val="fr-CH"/>
        </w:rPr>
        <w:t>Genève, 201</w:t>
      </w:r>
      <w:r w:rsidR="002C27CA" w:rsidRPr="00A518F9">
        <w:rPr>
          <w:sz w:val="20"/>
          <w:lang w:val="fr-CH"/>
        </w:rPr>
        <w:t>1</w:t>
      </w:r>
    </w:p>
    <w:p w:rsidR="00593F36" w:rsidRPr="00A518F9" w:rsidRDefault="00593F36" w:rsidP="00F45A74">
      <w:pPr>
        <w:spacing w:before="200"/>
        <w:jc w:val="center"/>
        <w:rPr>
          <w:sz w:val="20"/>
          <w:lang w:val="fr-CH"/>
        </w:rPr>
      </w:pPr>
      <w:r w:rsidRPr="00A518F9">
        <w:rPr>
          <w:sz w:val="20"/>
          <w:lang w:val="fr-CH"/>
        </w:rPr>
        <w:sym w:font="Symbol" w:char="F0E3"/>
      </w:r>
      <w:r w:rsidRPr="00A518F9">
        <w:rPr>
          <w:sz w:val="20"/>
          <w:lang w:val="fr-CH"/>
        </w:rPr>
        <w:t xml:space="preserve"> UIT </w:t>
      </w:r>
      <w:bookmarkStart w:id="2" w:name="iiannee"/>
      <w:bookmarkEnd w:id="2"/>
      <w:r w:rsidRPr="00A518F9">
        <w:rPr>
          <w:sz w:val="20"/>
          <w:lang w:val="fr-CH"/>
        </w:rPr>
        <w:t>20</w:t>
      </w:r>
      <w:r w:rsidR="002C27CA" w:rsidRPr="00A518F9">
        <w:rPr>
          <w:sz w:val="20"/>
          <w:lang w:val="fr-CH"/>
        </w:rPr>
        <w:t>11</w:t>
      </w:r>
    </w:p>
    <w:p w:rsidR="00593F36" w:rsidRPr="00A518F9" w:rsidRDefault="00593F36" w:rsidP="00F45A74">
      <w:pPr>
        <w:rPr>
          <w:sz w:val="18"/>
          <w:szCs w:val="18"/>
          <w:lang w:val="fr-CH"/>
        </w:rPr>
      </w:pPr>
      <w:r w:rsidRPr="00A518F9">
        <w:rPr>
          <w:sz w:val="18"/>
          <w:szCs w:val="18"/>
          <w:lang w:val="fr-CH"/>
        </w:rPr>
        <w:t>Tous droits réservés. Aucune partie de cette publication ne peut être reproduite, par quelque procédé que ce soit, sans l’accord écrit préalable de l’UIT.</w:t>
      </w:r>
    </w:p>
    <w:p w:rsidR="00593F36" w:rsidRPr="00A518F9" w:rsidRDefault="00593F36" w:rsidP="00F45A74">
      <w:pPr>
        <w:spacing w:before="160"/>
        <w:rPr>
          <w:i/>
          <w:sz w:val="20"/>
          <w:highlight w:val="yellow"/>
          <w:lang w:val="fr-CH"/>
        </w:rPr>
        <w:sectPr w:rsidR="00593F36" w:rsidRPr="00A518F9" w:rsidSect="00F45A74">
          <w:headerReference w:type="even" r:id="rId13"/>
          <w:headerReference w:type="default" r:id="rId14"/>
          <w:pgSz w:w="11907" w:h="16834" w:code="9"/>
          <w:pgMar w:top="1418" w:right="1134" w:bottom="1134" w:left="1134" w:header="720" w:footer="482" w:gutter="0"/>
          <w:pgNumType w:fmt="lowerRoman" w:start="2"/>
          <w:cols w:space="720"/>
        </w:sectPr>
      </w:pPr>
    </w:p>
    <w:p w:rsidR="00A6617B" w:rsidRPr="00A518F9" w:rsidRDefault="00593F36" w:rsidP="001E5E0D">
      <w:pPr>
        <w:pStyle w:val="RecNo"/>
        <w:spacing w:before="0"/>
        <w:rPr>
          <w:lang w:val="fr-CH"/>
        </w:rPr>
      </w:pPr>
      <w:bookmarkStart w:id="3" w:name="irecnoe"/>
      <w:bookmarkEnd w:id="3"/>
      <w:r w:rsidRPr="00A518F9">
        <w:rPr>
          <w:lang w:val="fr-CH"/>
        </w:rPr>
        <w:lastRenderedPageBreak/>
        <w:t xml:space="preserve">RECOMMANDATION  </w:t>
      </w:r>
      <w:r w:rsidRPr="00A518F9">
        <w:rPr>
          <w:rStyle w:val="href"/>
          <w:lang w:val="fr-CH"/>
        </w:rPr>
        <w:t>UIT-R  M.</w:t>
      </w:r>
      <w:r w:rsidR="002C27CA" w:rsidRPr="00A518F9">
        <w:rPr>
          <w:rStyle w:val="href"/>
          <w:lang w:val="fr-CH"/>
        </w:rPr>
        <w:t>1456</w:t>
      </w:r>
      <w:r w:rsidR="002C27CA" w:rsidRPr="00A518F9">
        <w:rPr>
          <w:rStyle w:val="FootnoteReference"/>
          <w:lang w:val="fr-CH"/>
        </w:rPr>
        <w:footnoteReference w:customMarkFollows="1" w:id="1"/>
        <w:t>*</w:t>
      </w:r>
      <w:r w:rsidR="002C27CA" w:rsidRPr="00A518F9">
        <w:rPr>
          <w:vertAlign w:val="superscript"/>
          <w:lang w:val="fr-CH"/>
        </w:rPr>
        <w:t>,</w:t>
      </w:r>
      <w:r w:rsidR="002C27CA" w:rsidRPr="00A518F9">
        <w:rPr>
          <w:rStyle w:val="FootnoteReference"/>
          <w:lang w:val="fr-CH"/>
        </w:rPr>
        <w:t xml:space="preserve"> </w:t>
      </w:r>
      <w:r w:rsidR="002C27CA" w:rsidRPr="00A518F9">
        <w:rPr>
          <w:rStyle w:val="FootnoteReference"/>
          <w:lang w:val="fr-CH"/>
        </w:rPr>
        <w:footnoteReference w:customMarkFollows="1" w:id="2"/>
        <w:t>**</w:t>
      </w:r>
    </w:p>
    <w:p w:rsidR="002C27CA" w:rsidRPr="00A518F9" w:rsidRDefault="002C27CA" w:rsidP="00F45A74">
      <w:pPr>
        <w:pStyle w:val="Rectitle"/>
        <w:rPr>
          <w:rStyle w:val="FootnoteReference"/>
          <w:b w:val="0"/>
          <w:lang w:val="fr-CH"/>
        </w:rPr>
      </w:pPr>
      <w:r w:rsidRPr="00A518F9">
        <w:rPr>
          <w:lang w:val="fr-CH"/>
        </w:rPr>
        <w:t>Caractéristiques minimales de fonctionnement et conditions d'exploitation</w:t>
      </w:r>
      <w:r w:rsidRPr="00A518F9">
        <w:rPr>
          <w:lang w:val="fr-CH"/>
        </w:rPr>
        <w:br/>
        <w:t>des stations placées sur des plates-formes à haute altitude assurant les services IMT-2000 dans les bandes 1 885-1 980 MHz, 2 010-2 025 MHz et</w:t>
      </w:r>
      <w:r w:rsidRPr="00A518F9">
        <w:rPr>
          <w:lang w:val="fr-CH"/>
        </w:rPr>
        <w:br/>
        <w:t xml:space="preserve">2 110-2 170 MHz dans les Régions 1 et 3 et 1 885-1 980 MHz </w:t>
      </w:r>
      <w:r w:rsidRPr="00A518F9">
        <w:rPr>
          <w:lang w:val="fr-CH"/>
        </w:rPr>
        <w:br/>
        <w:t>et 2 110-2 160 MHz en Région 2</w:t>
      </w:r>
      <w:r w:rsidRPr="00A518F9">
        <w:rPr>
          <w:rStyle w:val="FootnoteReference"/>
          <w:b w:val="0"/>
          <w:lang w:val="fr-CH"/>
        </w:rPr>
        <w:footnoteReference w:customMarkFollows="1" w:id="3"/>
        <w:t>***</w:t>
      </w:r>
    </w:p>
    <w:p w:rsidR="002C27CA" w:rsidRPr="00A518F9" w:rsidRDefault="002C27CA" w:rsidP="002C27CA">
      <w:pPr>
        <w:pStyle w:val="Recdate"/>
        <w:rPr>
          <w:lang w:val="fr-CH"/>
        </w:rPr>
      </w:pPr>
      <w:r w:rsidRPr="00A518F9">
        <w:rPr>
          <w:lang w:val="fr-CH"/>
        </w:rPr>
        <w:t>(2000)</w:t>
      </w:r>
    </w:p>
    <w:p w:rsidR="002C27CA" w:rsidRPr="00A518F9" w:rsidRDefault="002C27CA" w:rsidP="002C27CA">
      <w:pPr>
        <w:pStyle w:val="HeadingSum"/>
        <w:spacing w:before="120"/>
        <w:rPr>
          <w:lang w:val="fr-CH"/>
        </w:rPr>
      </w:pPr>
      <w:r w:rsidRPr="00A518F9">
        <w:rPr>
          <w:lang w:val="fr-CH"/>
        </w:rPr>
        <w:t>Domaine d'application</w:t>
      </w:r>
    </w:p>
    <w:p w:rsidR="002C27CA" w:rsidRPr="00A518F9" w:rsidRDefault="002C27CA" w:rsidP="002C27CA">
      <w:pPr>
        <w:pStyle w:val="Summary"/>
        <w:spacing w:after="0"/>
        <w:rPr>
          <w:lang w:val="fr-CH"/>
        </w:rPr>
      </w:pPr>
      <w:r w:rsidRPr="00A518F9">
        <w:rPr>
          <w:lang w:val="fr-CH"/>
        </w:rPr>
        <w:t>La présente Recommandation traite des caractéristiques minimales de fonctionnement et des conditions d'exploitation des stations placées sur des plates</w:t>
      </w:r>
      <w:r w:rsidRPr="00A518F9">
        <w:rPr>
          <w:lang w:val="fr-CH"/>
        </w:rPr>
        <w:noBreakHyphen/>
        <w:t>formes à haute altitude (HAPS) fonctionnant comme stations de base IMT</w:t>
      </w:r>
      <w:r w:rsidRPr="00A518F9">
        <w:rPr>
          <w:lang w:val="fr-CH"/>
        </w:rPr>
        <w:noBreakHyphen/>
        <w:t xml:space="preserve">2000 dans les bandes de fréquences au voisinage de 2 GHz identifiées comme pouvant être utilisées, à l'échelle mondiale, par les administrations souhaitant mettre en </w:t>
      </w:r>
      <w:r w:rsidR="00A518F9" w:rsidRPr="00A518F9">
        <w:rPr>
          <w:lang w:val="fr-CH"/>
        </w:rPr>
        <w:t>œuvre</w:t>
      </w:r>
      <w:r w:rsidRPr="00A518F9">
        <w:rPr>
          <w:lang w:val="fr-CH"/>
        </w:rPr>
        <w:t xml:space="preserve"> les IMT</w:t>
      </w:r>
      <w:r w:rsidRPr="00A518F9">
        <w:rPr>
          <w:lang w:val="fr-CH"/>
        </w:rPr>
        <w:noBreakHyphen/>
        <w:t>2000.</w:t>
      </w:r>
    </w:p>
    <w:p w:rsidR="002C27CA" w:rsidRPr="00A518F9" w:rsidRDefault="002C27CA" w:rsidP="00F45A74">
      <w:pPr>
        <w:pStyle w:val="Summary"/>
        <w:rPr>
          <w:lang w:val="fr-CH"/>
        </w:rPr>
      </w:pPr>
      <w:r w:rsidRPr="00A518F9">
        <w:rPr>
          <w:lang w:val="fr-CH"/>
        </w:rPr>
        <w:t>Une méthode permettant d'évaluer le niveau de brouillage cocanal causé par des stations HAPS fonctionnant comme stations de base IMT</w:t>
      </w:r>
      <w:r w:rsidRPr="00A518F9">
        <w:rPr>
          <w:lang w:val="fr-CH"/>
        </w:rPr>
        <w:noBreakHyphen/>
        <w:t>2000 est décrite et des critères de fonctionnement sont recommandés pour les diagrammes d'antenne des stations HAPS en vue d'assurer la protection des autres stations dans le même canal. La Recommandation précise les limites de puissance surfacique que doivent respecter les stations de base HAPS en ce qui concerne le brouillage cocanal et le brouillage hors bande.</w:t>
      </w:r>
    </w:p>
    <w:p w:rsidR="002C27CA" w:rsidRPr="00A518F9" w:rsidRDefault="002C27CA" w:rsidP="00F03494">
      <w:pPr>
        <w:pStyle w:val="Normalaftertitle"/>
        <w:spacing w:before="240"/>
        <w:rPr>
          <w:lang w:val="fr-CH"/>
        </w:rPr>
      </w:pPr>
      <w:r w:rsidRPr="00A518F9">
        <w:rPr>
          <w:lang w:val="fr-CH"/>
        </w:rPr>
        <w:t>L'Assemblée des radiocommunications de l'UIT,</w:t>
      </w:r>
    </w:p>
    <w:p w:rsidR="002C27CA" w:rsidRPr="00A518F9" w:rsidRDefault="002C27CA" w:rsidP="00F45A74">
      <w:pPr>
        <w:pStyle w:val="Call"/>
        <w:rPr>
          <w:lang w:val="fr-CH"/>
        </w:rPr>
      </w:pPr>
      <w:r w:rsidRPr="00A518F9">
        <w:rPr>
          <w:lang w:val="fr-CH"/>
        </w:rPr>
        <w:t>considérant</w:t>
      </w:r>
    </w:p>
    <w:p w:rsidR="002C27CA" w:rsidRPr="00A518F9" w:rsidRDefault="002C27CA" w:rsidP="001E5E0D">
      <w:pPr>
        <w:rPr>
          <w:lang w:val="fr-CH"/>
        </w:rPr>
      </w:pPr>
      <w:r w:rsidRPr="00A518F9">
        <w:rPr>
          <w:lang w:val="fr-CH"/>
        </w:rPr>
        <w:t>a)</w:t>
      </w:r>
      <w:r w:rsidRPr="00A518F9">
        <w:rPr>
          <w:lang w:val="fr-CH"/>
        </w:rPr>
        <w:tab/>
        <w:t xml:space="preserve">que les stations placées sur des stations sur plates-formes à haute altitude (HAPS, </w:t>
      </w:r>
      <w:r w:rsidRPr="00A518F9">
        <w:rPr>
          <w:i/>
          <w:iCs/>
          <w:lang w:val="fr-CH"/>
        </w:rPr>
        <w:t>high altitude platform stations</w:t>
      </w:r>
      <w:r w:rsidRPr="00A518F9">
        <w:rPr>
          <w:lang w:val="fr-CH"/>
        </w:rPr>
        <w:t>)</w:t>
      </w:r>
      <w:r w:rsidRPr="00A518F9">
        <w:rPr>
          <w:rStyle w:val="FootnoteReference"/>
          <w:lang w:val="fr-CH"/>
        </w:rPr>
        <w:footnoteReference w:id="4"/>
      </w:r>
      <w:r w:rsidRPr="00A518F9">
        <w:rPr>
          <w:lang w:val="fr-CH"/>
        </w:rPr>
        <w:t xml:space="preserve"> peuvent offrir un accès hertzien IMT-2000 mobile ou fixe en utilisant </w:t>
      </w:r>
      <w:r w:rsidRPr="00A518F9">
        <w:rPr>
          <w:lang w:val="fr-CH"/>
        </w:rPr>
        <w:lastRenderedPageBreak/>
        <w:t>les technologies et les protocoles de transmission radioélectrique des composantes de Terre IMT</w:t>
      </w:r>
      <w:r w:rsidRPr="00A518F9">
        <w:rPr>
          <w:lang w:val="fr-CH"/>
        </w:rPr>
        <w:noBreakHyphen/>
        <w:t>2000;</w:t>
      </w:r>
    </w:p>
    <w:p w:rsidR="002C27CA" w:rsidRPr="00A518F9" w:rsidRDefault="002C27CA" w:rsidP="002C27CA">
      <w:pPr>
        <w:rPr>
          <w:lang w:val="fr-CH"/>
        </w:rPr>
      </w:pPr>
      <w:r w:rsidRPr="00A518F9">
        <w:rPr>
          <w:lang w:val="fr-CH"/>
        </w:rPr>
        <w:t>b)</w:t>
      </w:r>
      <w:r w:rsidRPr="00A518F9">
        <w:rPr>
          <w:lang w:val="fr-CH"/>
        </w:rPr>
        <w:tab/>
        <w:t>que chaque station HAPS est équipée d'une antenne à réseau déphaseur permettant de produire plusieurs centaines de faisceaux ponctuels en vue d'assurer des services de télécommunication dans des zones de couverture de taille diverse allant des grandes villes aux zones étendues;</w:t>
      </w:r>
    </w:p>
    <w:p w:rsidR="002C27CA" w:rsidRPr="00A518F9" w:rsidRDefault="002C27CA" w:rsidP="002C27CA">
      <w:pPr>
        <w:rPr>
          <w:lang w:val="fr-CH"/>
        </w:rPr>
      </w:pPr>
      <w:r w:rsidRPr="00A518F9">
        <w:rPr>
          <w:lang w:val="fr-CH"/>
        </w:rPr>
        <w:t>c)</w:t>
      </w:r>
      <w:r w:rsidRPr="00A518F9">
        <w:rPr>
          <w:lang w:val="fr-CH"/>
        </w:rPr>
        <w:tab/>
        <w:t>que pour les systèmes de Terre non HAPS, tels les systèmes à tour, l'illumination de zones en dehors des zones opérationnelles nominales dépend des caractéristiques de l'antenne montée sur une tour et de l'affaiblissement de propagation alors que pour les HAPS, cette illumination dépend davantage des caractéristiques des antennes montées sur les stations HAPS et en particulier des caractéristiques de lobes secondaires et de la précision de pointage. Les exigences en matière de caractéristiques d'antenne augmentent avec la taille de la zone de couverture des stations HAPS;</w:t>
      </w:r>
    </w:p>
    <w:p w:rsidR="002C27CA" w:rsidRPr="00A518F9" w:rsidRDefault="002C27CA" w:rsidP="002C27CA">
      <w:pPr>
        <w:rPr>
          <w:lang w:val="fr-CH"/>
        </w:rPr>
      </w:pPr>
      <w:r w:rsidRPr="00A518F9">
        <w:rPr>
          <w:lang w:val="fr-CH"/>
        </w:rPr>
        <w:t>d)</w:t>
      </w:r>
      <w:r w:rsidRPr="00A518F9">
        <w:rPr>
          <w:lang w:val="fr-CH"/>
        </w:rPr>
        <w:tab/>
        <w:t>que les caractéristiques de partage cocanal et de coordination entre systèmes HAPS et d'autres systèmes IMT</w:t>
      </w:r>
      <w:r w:rsidRPr="00A518F9">
        <w:rPr>
          <w:lang w:val="fr-CH"/>
        </w:rPr>
        <w:noBreakHyphen/>
        <w:t>2000 dépendent des caractéristiques des antennes HAPS, de l'interface radioélectrique IMT-2000 utilisée par les stations HAPS et de la zone de couverture des systèmes HAPS;</w:t>
      </w:r>
    </w:p>
    <w:p w:rsidR="002C27CA" w:rsidRPr="00A518F9" w:rsidRDefault="002C27CA" w:rsidP="002C27CA">
      <w:pPr>
        <w:rPr>
          <w:lang w:val="fr-CH"/>
        </w:rPr>
      </w:pPr>
      <w:r w:rsidRPr="00A518F9">
        <w:rPr>
          <w:lang w:val="fr-CH"/>
        </w:rPr>
        <w:t>e)</w:t>
      </w:r>
      <w:r w:rsidRPr="00A518F9">
        <w:rPr>
          <w:lang w:val="fr-CH"/>
        </w:rPr>
        <w:tab/>
        <w:t>que les niveaux des brouillages hors bande ayant pour origine les stations HAPS et reçus par des stations terriennes mobiles, des stations du service fixe, des stations des services scientifiques spatiaux et des stations mobiles fonctionnant dans les canaux adjacents peuvent être abaissés grâce à l'utilisation par les HAPS de filtres et de bandes de garde limitant les niveaux d'émission hors bande;</w:t>
      </w:r>
    </w:p>
    <w:p w:rsidR="002C27CA" w:rsidRPr="00A518F9" w:rsidRDefault="002C27CA" w:rsidP="002C27CA">
      <w:pPr>
        <w:rPr>
          <w:lang w:val="fr-CH"/>
        </w:rPr>
      </w:pPr>
      <w:r w:rsidRPr="00A518F9">
        <w:rPr>
          <w:lang w:val="fr-CH"/>
        </w:rPr>
        <w:t>f)</w:t>
      </w:r>
      <w:r w:rsidRPr="00A518F9">
        <w:rPr>
          <w:lang w:val="fr-CH"/>
        </w:rPr>
        <w:tab/>
        <w:t>que les bandes 1</w:t>
      </w:r>
      <w:r w:rsidRPr="00A518F9">
        <w:rPr>
          <w:rFonts w:ascii="Tms Rmn" w:hAnsi="Tms Rmn"/>
          <w:sz w:val="12"/>
          <w:lang w:val="fr-CH"/>
        </w:rPr>
        <w:t> </w:t>
      </w:r>
      <w:r w:rsidRPr="00A518F9">
        <w:rPr>
          <w:lang w:val="fr-CH"/>
        </w:rPr>
        <w:t>885-1</w:t>
      </w:r>
      <w:r w:rsidRPr="00A518F9">
        <w:rPr>
          <w:rFonts w:ascii="Tms Rmn" w:hAnsi="Tms Rmn"/>
          <w:sz w:val="12"/>
          <w:lang w:val="fr-CH"/>
        </w:rPr>
        <w:t> </w:t>
      </w:r>
      <w:r w:rsidRPr="00A518F9">
        <w:rPr>
          <w:lang w:val="fr-CH"/>
        </w:rPr>
        <w:t>980 MHz, 2</w:t>
      </w:r>
      <w:r w:rsidRPr="00A518F9">
        <w:rPr>
          <w:rFonts w:ascii="Tms Rmn" w:hAnsi="Tms Rmn"/>
          <w:sz w:val="12"/>
          <w:lang w:val="fr-CH"/>
        </w:rPr>
        <w:t> </w:t>
      </w:r>
      <w:r w:rsidRPr="00A518F9">
        <w:rPr>
          <w:lang w:val="fr-CH"/>
        </w:rPr>
        <w:t>010-2</w:t>
      </w:r>
      <w:r w:rsidRPr="00A518F9">
        <w:rPr>
          <w:rFonts w:ascii="Tms Rmn" w:hAnsi="Tms Rmn"/>
          <w:sz w:val="12"/>
          <w:lang w:val="fr-CH"/>
        </w:rPr>
        <w:t> </w:t>
      </w:r>
      <w:r w:rsidRPr="00A518F9">
        <w:rPr>
          <w:lang w:val="fr-CH"/>
        </w:rPr>
        <w:t>025 MHz et 2</w:t>
      </w:r>
      <w:r w:rsidRPr="00A518F9">
        <w:rPr>
          <w:rFonts w:ascii="Tms Rmn" w:hAnsi="Tms Rmn"/>
          <w:sz w:val="12"/>
          <w:lang w:val="fr-CH"/>
        </w:rPr>
        <w:t> </w:t>
      </w:r>
      <w:r w:rsidRPr="00A518F9">
        <w:rPr>
          <w:lang w:val="fr-CH"/>
        </w:rPr>
        <w:t>110-2</w:t>
      </w:r>
      <w:r w:rsidRPr="00A518F9">
        <w:rPr>
          <w:rFonts w:ascii="Tms Rmn" w:hAnsi="Tms Rmn"/>
          <w:sz w:val="12"/>
          <w:lang w:val="fr-CH"/>
        </w:rPr>
        <w:t> </w:t>
      </w:r>
      <w:r w:rsidRPr="00A518F9">
        <w:rPr>
          <w:lang w:val="fr-CH"/>
        </w:rPr>
        <w:t>170 MHz sont attribuées à titre primaire à l'échelle mondiale au service fixe et au service mobile;</w:t>
      </w:r>
    </w:p>
    <w:p w:rsidR="002C27CA" w:rsidRPr="00A518F9" w:rsidRDefault="002C27CA" w:rsidP="002C27CA">
      <w:pPr>
        <w:rPr>
          <w:lang w:val="fr-CH"/>
        </w:rPr>
      </w:pPr>
      <w:r w:rsidRPr="00A518F9">
        <w:rPr>
          <w:lang w:val="fr-CH"/>
        </w:rPr>
        <w:t>g)</w:t>
      </w:r>
      <w:r w:rsidRPr="00A518F9">
        <w:rPr>
          <w:lang w:val="fr-CH"/>
        </w:rPr>
        <w:tab/>
        <w:t>que les bandes 1</w:t>
      </w:r>
      <w:r w:rsidRPr="00A518F9">
        <w:rPr>
          <w:rFonts w:ascii="Tms Rmn" w:hAnsi="Tms Rmn"/>
          <w:sz w:val="12"/>
          <w:lang w:val="fr-CH"/>
        </w:rPr>
        <w:t> </w:t>
      </w:r>
      <w:r w:rsidRPr="00A518F9">
        <w:rPr>
          <w:lang w:val="fr-CH"/>
        </w:rPr>
        <w:t>980-2</w:t>
      </w:r>
      <w:r w:rsidRPr="00A518F9">
        <w:rPr>
          <w:rFonts w:ascii="Tms Rmn" w:hAnsi="Tms Rmn"/>
          <w:sz w:val="12"/>
          <w:lang w:val="fr-CH"/>
        </w:rPr>
        <w:t> </w:t>
      </w:r>
      <w:r w:rsidRPr="00A518F9">
        <w:rPr>
          <w:lang w:val="fr-CH"/>
        </w:rPr>
        <w:t>010 MHz et 2</w:t>
      </w:r>
      <w:r w:rsidRPr="00A518F9">
        <w:rPr>
          <w:rFonts w:ascii="Tms Rmn" w:hAnsi="Tms Rmn"/>
          <w:sz w:val="12"/>
          <w:lang w:val="fr-CH"/>
        </w:rPr>
        <w:t> </w:t>
      </w:r>
      <w:r w:rsidRPr="00A518F9">
        <w:rPr>
          <w:lang w:val="fr-CH"/>
        </w:rPr>
        <w:t>170-2</w:t>
      </w:r>
      <w:r w:rsidRPr="00A518F9">
        <w:rPr>
          <w:rFonts w:ascii="Tms Rmn" w:hAnsi="Tms Rmn"/>
          <w:sz w:val="12"/>
          <w:lang w:val="fr-CH"/>
        </w:rPr>
        <w:t> </w:t>
      </w:r>
      <w:r w:rsidRPr="00A518F9">
        <w:rPr>
          <w:lang w:val="fr-CH"/>
        </w:rPr>
        <w:t>200 MHz sont attribuées à titre primaire à l'échelle mondiale au SMS, que la bande 2</w:t>
      </w:r>
      <w:r w:rsidRPr="00A518F9">
        <w:rPr>
          <w:rFonts w:ascii="Tms Rmn" w:hAnsi="Tms Rmn"/>
          <w:sz w:val="12"/>
          <w:lang w:val="fr-CH"/>
        </w:rPr>
        <w:t> </w:t>
      </w:r>
      <w:r w:rsidRPr="00A518F9">
        <w:rPr>
          <w:lang w:val="fr-CH"/>
        </w:rPr>
        <w:t>160-2</w:t>
      </w:r>
      <w:r w:rsidRPr="00A518F9">
        <w:rPr>
          <w:rFonts w:ascii="Tms Rmn" w:hAnsi="Tms Rmn"/>
          <w:sz w:val="12"/>
          <w:lang w:val="fr-CH"/>
        </w:rPr>
        <w:t> </w:t>
      </w:r>
      <w:r w:rsidRPr="00A518F9">
        <w:rPr>
          <w:lang w:val="fr-CH"/>
        </w:rPr>
        <w:t>170 MHz est attribuée à titre primaire au SMS en Région 2 et que la bande 2</w:t>
      </w:r>
      <w:r w:rsidRPr="00A518F9">
        <w:rPr>
          <w:rFonts w:ascii="Tms Rmn" w:hAnsi="Tms Rmn"/>
          <w:sz w:val="12"/>
          <w:lang w:val="fr-CH"/>
        </w:rPr>
        <w:t> </w:t>
      </w:r>
      <w:r w:rsidRPr="00A518F9">
        <w:rPr>
          <w:lang w:val="fr-CH"/>
        </w:rPr>
        <w:t>010-2</w:t>
      </w:r>
      <w:r w:rsidRPr="00A518F9">
        <w:rPr>
          <w:rFonts w:ascii="Tms Rmn" w:hAnsi="Tms Rmn"/>
          <w:sz w:val="12"/>
          <w:lang w:val="fr-CH"/>
        </w:rPr>
        <w:t> </w:t>
      </w:r>
      <w:r w:rsidRPr="00A518F9">
        <w:rPr>
          <w:lang w:val="fr-CH"/>
        </w:rPr>
        <w:t>025 MHz est, de plus, attribuée à titre primaire avec égalité des droits en Région 2 au service mobile par satellite (SMS) (Terre vers espace);</w:t>
      </w:r>
    </w:p>
    <w:p w:rsidR="002C27CA" w:rsidRPr="00A518F9" w:rsidRDefault="002C27CA" w:rsidP="00F45A74">
      <w:pPr>
        <w:rPr>
          <w:lang w:val="fr-CH"/>
        </w:rPr>
      </w:pPr>
      <w:r w:rsidRPr="00A518F9">
        <w:rPr>
          <w:lang w:val="fr-CH"/>
        </w:rPr>
        <w:t>h)</w:t>
      </w:r>
      <w:r w:rsidRPr="00A518F9">
        <w:rPr>
          <w:lang w:val="fr-CH"/>
        </w:rPr>
        <w:tab/>
        <w:t>que le numéro S5.388 du RR stipule que «les bandes 1</w:t>
      </w:r>
      <w:r w:rsidRPr="00A518F9">
        <w:rPr>
          <w:rFonts w:ascii="Tms Rmn" w:hAnsi="Tms Rmn"/>
          <w:sz w:val="12"/>
          <w:lang w:val="fr-CH"/>
        </w:rPr>
        <w:t> </w:t>
      </w:r>
      <w:r w:rsidRPr="00A518F9">
        <w:rPr>
          <w:lang w:val="fr-CH"/>
        </w:rPr>
        <w:t>885-2</w:t>
      </w:r>
      <w:r w:rsidRPr="00A518F9">
        <w:rPr>
          <w:rFonts w:ascii="Tms Rmn" w:hAnsi="Tms Rmn"/>
          <w:sz w:val="12"/>
          <w:lang w:val="fr-CH"/>
        </w:rPr>
        <w:t> </w:t>
      </w:r>
      <w:r w:rsidRPr="00A518F9">
        <w:rPr>
          <w:lang w:val="fr-CH"/>
        </w:rPr>
        <w:t>025 MHz et 2</w:t>
      </w:r>
      <w:r w:rsidRPr="00A518F9">
        <w:rPr>
          <w:rFonts w:ascii="Tms Rmn" w:hAnsi="Tms Rmn"/>
          <w:sz w:val="12"/>
          <w:lang w:val="fr-CH"/>
        </w:rPr>
        <w:t> </w:t>
      </w:r>
      <w:r w:rsidRPr="00A518F9">
        <w:rPr>
          <w:lang w:val="fr-CH"/>
        </w:rPr>
        <w:t>110</w:t>
      </w:r>
      <w:r w:rsidR="00F45A74" w:rsidRPr="00A518F9">
        <w:rPr>
          <w:lang w:val="fr-CH"/>
        </w:rPr>
        <w:noBreakHyphen/>
      </w:r>
      <w:r w:rsidRPr="00A518F9">
        <w:rPr>
          <w:lang w:val="fr-CH"/>
        </w:rPr>
        <w:t>2</w:t>
      </w:r>
      <w:r w:rsidRPr="00A518F9">
        <w:rPr>
          <w:rFonts w:ascii="Tms Rmn" w:hAnsi="Tms Rmn"/>
          <w:sz w:val="12"/>
          <w:lang w:val="fr-CH"/>
        </w:rPr>
        <w:t> </w:t>
      </w:r>
      <w:r w:rsidRPr="00A518F9">
        <w:rPr>
          <w:lang w:val="fr-CH"/>
        </w:rPr>
        <w:t>200</w:t>
      </w:r>
      <w:r w:rsidR="00F45A74" w:rsidRPr="00A518F9">
        <w:rPr>
          <w:lang w:val="fr-CH"/>
        </w:rPr>
        <w:t> </w:t>
      </w:r>
      <w:r w:rsidRPr="00A518F9">
        <w:rPr>
          <w:lang w:val="fr-CH"/>
        </w:rPr>
        <w:t>MHz sont destinées à être utilisées, à l'échelle mondiale, par les administrations qui souhaitent mettre en œuvre les télécommunications mobiles internationales-2000 (IMT-2000). Cette utilisation n'exclut pas l'utilisation de ces bandes par d'autres services auxquels elles sont attribuées. Les bandes devraient être mises à la disposition des IMT-2000 conformément aux dispositions de la Résolution </w:t>
      </w:r>
      <w:r w:rsidRPr="00A518F9">
        <w:rPr>
          <w:b/>
          <w:bCs/>
          <w:lang w:val="fr-CH"/>
        </w:rPr>
        <w:t>212 (Rév.CMR-97)</w:t>
      </w:r>
      <w:r w:rsidRPr="00A518F9">
        <w:rPr>
          <w:lang w:val="fr-CH"/>
        </w:rPr>
        <w:t>»;</w:t>
      </w:r>
    </w:p>
    <w:p w:rsidR="002C27CA" w:rsidRPr="00A518F9" w:rsidRDefault="002C27CA" w:rsidP="002C27CA">
      <w:pPr>
        <w:rPr>
          <w:lang w:val="fr-CH"/>
        </w:rPr>
      </w:pPr>
      <w:r w:rsidRPr="00A518F9">
        <w:rPr>
          <w:lang w:val="fr-CH"/>
        </w:rPr>
        <w:t>j)</w:t>
      </w:r>
      <w:r w:rsidRPr="00A518F9">
        <w:rPr>
          <w:lang w:val="fr-CH"/>
        </w:rPr>
        <w:tab/>
        <w:t>que néanmoins dans ces bandes, les administrations peuvent utiliser des systèmes non IMT</w:t>
      </w:r>
      <w:r w:rsidRPr="00A518F9">
        <w:rPr>
          <w:lang w:val="fr-CH"/>
        </w:rPr>
        <w:noBreakHyphen/>
        <w:t>2000 dans le service mobile,</w:t>
      </w:r>
    </w:p>
    <w:p w:rsidR="002C27CA" w:rsidRPr="00A518F9" w:rsidRDefault="002C27CA" w:rsidP="002C27CA">
      <w:pPr>
        <w:pStyle w:val="Call"/>
        <w:rPr>
          <w:lang w:val="fr-CH"/>
        </w:rPr>
      </w:pPr>
      <w:r w:rsidRPr="00A518F9">
        <w:rPr>
          <w:lang w:val="fr-CH"/>
        </w:rPr>
        <w:t>recommande</w:t>
      </w:r>
    </w:p>
    <w:p w:rsidR="002C27CA" w:rsidRPr="00A518F9" w:rsidRDefault="002C27CA" w:rsidP="002C27CA">
      <w:pPr>
        <w:rPr>
          <w:lang w:val="fr-CH"/>
        </w:rPr>
      </w:pPr>
      <w:r w:rsidRPr="00A518F9">
        <w:rPr>
          <w:b/>
          <w:bCs/>
          <w:lang w:val="fr-CH"/>
        </w:rPr>
        <w:t>1</w:t>
      </w:r>
      <w:r w:rsidRPr="00A518F9">
        <w:rPr>
          <w:lang w:val="fr-CH"/>
        </w:rPr>
        <w:tab/>
        <w:t>de faire en sorte que les interfaces radioélectriques des stations HAPS assurant des services IMT-2000 dans les bandes 1</w:t>
      </w:r>
      <w:r w:rsidRPr="00A518F9">
        <w:rPr>
          <w:rFonts w:ascii="Tms Rmn" w:hAnsi="Tms Rmn"/>
          <w:sz w:val="12"/>
          <w:lang w:val="fr-CH"/>
        </w:rPr>
        <w:t> </w:t>
      </w:r>
      <w:r w:rsidRPr="00A518F9">
        <w:rPr>
          <w:lang w:val="fr-CH"/>
        </w:rPr>
        <w:t>885-1</w:t>
      </w:r>
      <w:r w:rsidRPr="00A518F9">
        <w:rPr>
          <w:rFonts w:ascii="Tms Rmn" w:hAnsi="Tms Rmn"/>
          <w:sz w:val="12"/>
          <w:lang w:val="fr-CH"/>
        </w:rPr>
        <w:t> </w:t>
      </w:r>
      <w:r w:rsidRPr="00A518F9">
        <w:rPr>
          <w:lang w:val="fr-CH"/>
        </w:rPr>
        <w:t>980 MHz, 2</w:t>
      </w:r>
      <w:r w:rsidRPr="00A518F9">
        <w:rPr>
          <w:rFonts w:ascii="Tms Rmn" w:hAnsi="Tms Rmn"/>
          <w:sz w:val="12"/>
          <w:lang w:val="fr-CH"/>
        </w:rPr>
        <w:t> </w:t>
      </w:r>
      <w:r w:rsidRPr="00A518F9">
        <w:rPr>
          <w:lang w:val="fr-CH"/>
        </w:rPr>
        <w:t>010-2</w:t>
      </w:r>
      <w:r w:rsidRPr="00A518F9">
        <w:rPr>
          <w:rFonts w:ascii="Tms Rmn" w:hAnsi="Tms Rmn"/>
          <w:sz w:val="12"/>
          <w:lang w:val="fr-CH"/>
        </w:rPr>
        <w:t> </w:t>
      </w:r>
      <w:r w:rsidRPr="00A518F9">
        <w:rPr>
          <w:lang w:val="fr-CH"/>
        </w:rPr>
        <w:t>025 MHz et 2</w:t>
      </w:r>
      <w:r w:rsidRPr="00A518F9">
        <w:rPr>
          <w:rFonts w:ascii="Tms Rmn" w:hAnsi="Tms Rmn"/>
          <w:sz w:val="12"/>
          <w:lang w:val="fr-CH"/>
        </w:rPr>
        <w:t> </w:t>
      </w:r>
      <w:r w:rsidRPr="00A518F9">
        <w:rPr>
          <w:lang w:val="fr-CH"/>
        </w:rPr>
        <w:t>110-2</w:t>
      </w:r>
      <w:r w:rsidRPr="00A518F9">
        <w:rPr>
          <w:rFonts w:ascii="Tms Rmn" w:hAnsi="Tms Rmn"/>
          <w:sz w:val="12"/>
          <w:lang w:val="fr-CH"/>
        </w:rPr>
        <w:t> </w:t>
      </w:r>
      <w:r w:rsidRPr="00A518F9">
        <w:rPr>
          <w:lang w:val="fr-CH"/>
        </w:rPr>
        <w:t>170 MHz en Régions 1 et 3, et 1</w:t>
      </w:r>
      <w:r w:rsidRPr="00A518F9">
        <w:rPr>
          <w:rFonts w:ascii="Tms Rmn" w:hAnsi="Tms Rmn"/>
          <w:sz w:val="12"/>
          <w:lang w:val="fr-CH"/>
        </w:rPr>
        <w:t> </w:t>
      </w:r>
      <w:r w:rsidRPr="00A518F9">
        <w:rPr>
          <w:lang w:val="fr-CH"/>
        </w:rPr>
        <w:t>885-1</w:t>
      </w:r>
      <w:r w:rsidRPr="00A518F9">
        <w:rPr>
          <w:rFonts w:ascii="Tms Rmn" w:hAnsi="Tms Rmn"/>
          <w:sz w:val="12"/>
          <w:lang w:val="fr-CH"/>
        </w:rPr>
        <w:t> </w:t>
      </w:r>
      <w:r w:rsidRPr="00A518F9">
        <w:rPr>
          <w:lang w:val="fr-CH"/>
        </w:rPr>
        <w:t>980 MHz et 2</w:t>
      </w:r>
      <w:r w:rsidRPr="00A518F9">
        <w:rPr>
          <w:rFonts w:ascii="Tms Rmn" w:hAnsi="Tms Rmn"/>
          <w:sz w:val="12"/>
          <w:lang w:val="fr-CH"/>
        </w:rPr>
        <w:t> </w:t>
      </w:r>
      <w:r w:rsidRPr="00A518F9">
        <w:rPr>
          <w:lang w:val="fr-CH"/>
        </w:rPr>
        <w:t>110-2</w:t>
      </w:r>
      <w:r w:rsidRPr="00A518F9">
        <w:rPr>
          <w:rFonts w:ascii="Tms Rmn" w:hAnsi="Tms Rmn"/>
          <w:sz w:val="12"/>
          <w:lang w:val="fr-CH"/>
        </w:rPr>
        <w:t> </w:t>
      </w:r>
      <w:r w:rsidRPr="00A518F9">
        <w:rPr>
          <w:lang w:val="fr-CH"/>
        </w:rPr>
        <w:t>160 MHz en Région 2 soient conformes à la Recommandation UIT-R M.1457;</w:t>
      </w:r>
    </w:p>
    <w:p w:rsidR="002C27CA" w:rsidRPr="00A518F9" w:rsidRDefault="002C27CA" w:rsidP="002C27CA">
      <w:pPr>
        <w:rPr>
          <w:lang w:val="fr-CH"/>
        </w:rPr>
      </w:pPr>
      <w:r w:rsidRPr="00A518F9">
        <w:rPr>
          <w:b/>
          <w:bCs/>
          <w:lang w:val="fr-CH"/>
        </w:rPr>
        <w:t>2</w:t>
      </w:r>
      <w:r w:rsidRPr="00A518F9">
        <w:rPr>
          <w:b/>
          <w:bCs/>
          <w:lang w:val="fr-CH"/>
        </w:rPr>
        <w:tab/>
      </w:r>
      <w:r w:rsidRPr="00A518F9">
        <w:rPr>
          <w:lang w:val="fr-CH"/>
        </w:rPr>
        <w:t>de faire en sorte que pour protéger les stations exploitées dans les administrations voisines contre les brouillages cocanal, les administrations utilisant des stations HAPS comme station de base pour assurer des IMT-2000 les équipent d'antennes conformes au diagramme de rayonnement suivant:</w:t>
      </w:r>
    </w:p>
    <w:p w:rsidR="00F45A74" w:rsidRPr="00A518F9" w:rsidRDefault="00F45A74" w:rsidP="00F45A74">
      <w:pPr>
        <w:pStyle w:val="Blanc"/>
        <w:rPr>
          <w:lang w:val="fr-CH"/>
        </w:rPr>
      </w:pPr>
    </w:p>
    <w:p w:rsidR="002C27CA" w:rsidRPr="00A518F9" w:rsidRDefault="002C27CA" w:rsidP="00F45A74">
      <w:pPr>
        <w:pStyle w:val="Equation"/>
        <w:tabs>
          <w:tab w:val="left" w:pos="1843"/>
          <w:tab w:val="center" w:pos="5387"/>
          <w:tab w:val="left" w:pos="6096"/>
          <w:tab w:val="right" w:pos="7088"/>
          <w:tab w:val="left" w:pos="7229"/>
        </w:tabs>
        <w:rPr>
          <w:lang w:val="fr-CH"/>
        </w:rPr>
      </w:pPr>
      <w:r w:rsidRPr="00A518F9">
        <w:rPr>
          <w:lang w:val="fr-CH"/>
        </w:rPr>
        <w:tab/>
      </w:r>
      <w:r w:rsidRPr="00A518F9">
        <w:rPr>
          <w:lang w:val="fr-CH"/>
        </w:rPr>
        <w:tab/>
      </w:r>
      <w:r w:rsidRPr="00A518F9">
        <w:rPr>
          <w:i/>
          <w:lang w:val="fr-CH"/>
        </w:rPr>
        <w:t>G</w:t>
      </w:r>
      <w:r w:rsidRPr="00A518F9">
        <w:rPr>
          <w:lang w:val="fr-CH"/>
        </w:rPr>
        <w:t>(</w:t>
      </w:r>
      <w:r w:rsidRPr="00A518F9">
        <w:rPr>
          <w:lang w:val="fr-CH"/>
        </w:rPr>
        <w:sym w:font="Symbol" w:char="F079"/>
      </w:r>
      <w:r w:rsidRPr="00A518F9">
        <w:rPr>
          <w:lang w:val="fr-CH"/>
        </w:rPr>
        <w:t xml:space="preserve">)  =  </w:t>
      </w:r>
      <w:r w:rsidRPr="00A518F9">
        <w:rPr>
          <w:i/>
          <w:lang w:val="fr-CH"/>
        </w:rPr>
        <w:t>G</w:t>
      </w:r>
      <w:r w:rsidRPr="00A518F9">
        <w:rPr>
          <w:i/>
          <w:iCs/>
          <w:vertAlign w:val="subscript"/>
          <w:lang w:val="fr-CH"/>
        </w:rPr>
        <w:t>m</w:t>
      </w:r>
      <w:r w:rsidRPr="00A518F9">
        <w:rPr>
          <w:lang w:val="fr-CH"/>
        </w:rPr>
        <w:t xml:space="preserve">  –  3 (</w:t>
      </w:r>
      <w:r w:rsidRPr="00A518F9">
        <w:rPr>
          <w:lang w:val="fr-CH"/>
        </w:rPr>
        <w:sym w:font="Symbol" w:char="F079"/>
      </w:r>
      <w:r w:rsidRPr="00A518F9">
        <w:rPr>
          <w:lang w:val="fr-CH"/>
        </w:rPr>
        <w:t>/</w:t>
      </w:r>
      <w:r w:rsidRPr="00A518F9">
        <w:rPr>
          <w:lang w:val="fr-CH"/>
        </w:rPr>
        <w:sym w:font="Symbol" w:char="F079"/>
      </w:r>
      <w:r w:rsidRPr="00A518F9">
        <w:rPr>
          <w:i/>
          <w:iCs/>
          <w:vertAlign w:val="subscript"/>
          <w:lang w:val="fr-CH"/>
        </w:rPr>
        <w:t>b</w:t>
      </w:r>
      <w:r w:rsidRPr="00A518F9">
        <w:rPr>
          <w:lang w:val="fr-CH"/>
        </w:rPr>
        <w:t>)</w:t>
      </w:r>
      <w:r w:rsidRPr="00A518F9">
        <w:rPr>
          <w:position w:val="6"/>
          <w:sz w:val="18"/>
          <w:lang w:val="fr-CH"/>
        </w:rPr>
        <w:t>2</w:t>
      </w:r>
      <w:r w:rsidR="00F45A74" w:rsidRPr="00A518F9">
        <w:rPr>
          <w:position w:val="6"/>
          <w:sz w:val="18"/>
          <w:lang w:val="fr-CH"/>
        </w:rPr>
        <w:tab/>
      </w:r>
      <w:r w:rsidRPr="00A518F9">
        <w:rPr>
          <w:lang w:val="fr-CH"/>
        </w:rPr>
        <w:t>dBi</w:t>
      </w:r>
      <w:r w:rsidRPr="00A518F9">
        <w:rPr>
          <w:lang w:val="fr-CH"/>
        </w:rPr>
        <w:tab/>
        <w:t>pour</w:t>
      </w:r>
      <w:r w:rsidRPr="00A518F9">
        <w:rPr>
          <w:lang w:val="fr-CH"/>
        </w:rPr>
        <w:tab/>
        <w:t xml:space="preserve">0° </w:t>
      </w:r>
      <w:r w:rsidRPr="00A518F9">
        <w:rPr>
          <w:lang w:val="fr-CH"/>
        </w:rPr>
        <w:tab/>
        <w:t xml:space="preserve">≤  </w:t>
      </w:r>
      <w:r w:rsidRPr="00A518F9">
        <w:rPr>
          <w:lang w:val="fr-CH"/>
        </w:rPr>
        <w:sym w:font="Symbol" w:char="F079"/>
      </w:r>
      <w:r w:rsidRPr="00A518F9">
        <w:rPr>
          <w:lang w:val="fr-CH"/>
        </w:rPr>
        <w:t xml:space="preserve">  ≤  </w:t>
      </w:r>
      <w:r w:rsidRPr="00A518F9">
        <w:rPr>
          <w:lang w:val="fr-CH"/>
        </w:rPr>
        <w:sym w:font="Symbol" w:char="F079"/>
      </w:r>
      <w:r w:rsidRPr="00A518F9">
        <w:rPr>
          <w:vertAlign w:val="subscript"/>
          <w:lang w:val="fr-CH"/>
        </w:rPr>
        <w:t>1</w:t>
      </w:r>
      <w:r w:rsidRPr="00A518F9">
        <w:rPr>
          <w:i/>
          <w:position w:val="-4"/>
          <w:sz w:val="18"/>
          <w:lang w:val="fr-CH"/>
        </w:rPr>
        <w:tab/>
      </w:r>
      <w:r w:rsidRPr="00A518F9">
        <w:rPr>
          <w:lang w:val="fr-CH"/>
        </w:rPr>
        <w:t>(1)</w:t>
      </w:r>
    </w:p>
    <w:p w:rsidR="00F45A74" w:rsidRPr="00A518F9" w:rsidRDefault="00F45A74" w:rsidP="00F45A74">
      <w:pPr>
        <w:pStyle w:val="Blanc"/>
        <w:rPr>
          <w:lang w:val="fr-CH"/>
        </w:rPr>
      </w:pPr>
    </w:p>
    <w:p w:rsidR="002C27CA" w:rsidRPr="00A518F9" w:rsidRDefault="002C27CA" w:rsidP="002C27CA">
      <w:pPr>
        <w:pStyle w:val="Equation"/>
        <w:tabs>
          <w:tab w:val="left" w:pos="1843"/>
          <w:tab w:val="center" w:pos="5387"/>
          <w:tab w:val="left" w:pos="6096"/>
          <w:tab w:val="right" w:pos="7088"/>
          <w:tab w:val="left" w:pos="7229"/>
        </w:tabs>
        <w:rPr>
          <w:lang w:val="fr-CH"/>
        </w:rPr>
      </w:pPr>
      <w:r w:rsidRPr="00A518F9">
        <w:rPr>
          <w:lang w:val="fr-CH"/>
        </w:rPr>
        <w:tab/>
      </w:r>
      <w:r w:rsidRPr="00A518F9">
        <w:rPr>
          <w:lang w:val="fr-CH"/>
        </w:rPr>
        <w:tab/>
      </w:r>
      <w:r w:rsidRPr="00A518F9">
        <w:rPr>
          <w:i/>
          <w:lang w:val="fr-CH"/>
        </w:rPr>
        <w:t>G</w:t>
      </w:r>
      <w:r w:rsidRPr="00A518F9">
        <w:rPr>
          <w:lang w:val="fr-CH"/>
        </w:rPr>
        <w:t>(</w:t>
      </w:r>
      <w:r w:rsidRPr="00A518F9">
        <w:rPr>
          <w:lang w:val="fr-CH"/>
        </w:rPr>
        <w:sym w:font="Symbol" w:char="F079"/>
      </w:r>
      <w:r w:rsidRPr="00A518F9">
        <w:rPr>
          <w:lang w:val="fr-CH"/>
        </w:rPr>
        <w:t xml:space="preserve">)  =  </w:t>
      </w:r>
      <w:r w:rsidRPr="00A518F9">
        <w:rPr>
          <w:i/>
          <w:lang w:val="fr-CH"/>
        </w:rPr>
        <w:t>G</w:t>
      </w:r>
      <w:r w:rsidRPr="00A518F9">
        <w:rPr>
          <w:i/>
          <w:iCs/>
          <w:vertAlign w:val="subscript"/>
          <w:lang w:val="fr-CH"/>
        </w:rPr>
        <w:t>m</w:t>
      </w:r>
      <w:r w:rsidRPr="00A518F9">
        <w:rPr>
          <w:lang w:val="fr-CH"/>
        </w:rPr>
        <w:t xml:space="preserve">  +  </w:t>
      </w:r>
      <w:r w:rsidRPr="00A518F9">
        <w:rPr>
          <w:i/>
          <w:iCs/>
          <w:lang w:val="fr-CH"/>
        </w:rPr>
        <w:t>L</w:t>
      </w:r>
      <w:r w:rsidRPr="00A518F9">
        <w:rPr>
          <w:i/>
          <w:iCs/>
          <w:vertAlign w:val="subscript"/>
          <w:lang w:val="fr-CH"/>
        </w:rPr>
        <w:t>N</w:t>
      </w:r>
      <w:r w:rsidRPr="00A518F9">
        <w:rPr>
          <w:lang w:val="fr-CH"/>
        </w:rPr>
        <w:tab/>
        <w:t>dBi</w:t>
      </w:r>
      <w:r w:rsidRPr="00A518F9">
        <w:rPr>
          <w:lang w:val="fr-CH"/>
        </w:rPr>
        <w:tab/>
        <w:t>pour</w:t>
      </w:r>
      <w:r w:rsidRPr="00A518F9">
        <w:rPr>
          <w:lang w:val="fr-CH"/>
        </w:rPr>
        <w:tab/>
      </w:r>
      <w:r w:rsidRPr="00A518F9">
        <w:rPr>
          <w:lang w:val="fr-CH"/>
        </w:rPr>
        <w:sym w:font="Symbol" w:char="F079"/>
      </w:r>
      <w:r w:rsidRPr="00A518F9">
        <w:rPr>
          <w:vertAlign w:val="subscript"/>
          <w:lang w:val="fr-CH"/>
        </w:rPr>
        <w:t>1</w:t>
      </w:r>
      <w:r w:rsidRPr="00A518F9">
        <w:rPr>
          <w:lang w:val="fr-CH"/>
        </w:rPr>
        <w:tab/>
        <w:t xml:space="preserve">  &lt;  </w:t>
      </w:r>
      <w:r w:rsidRPr="00A518F9">
        <w:rPr>
          <w:lang w:val="fr-CH"/>
        </w:rPr>
        <w:sym w:font="Symbol" w:char="F079"/>
      </w:r>
      <w:r w:rsidRPr="00A518F9">
        <w:rPr>
          <w:lang w:val="fr-CH"/>
        </w:rPr>
        <w:t xml:space="preserve">  ≤  </w:t>
      </w:r>
      <w:r w:rsidRPr="00A518F9">
        <w:rPr>
          <w:lang w:val="fr-CH"/>
        </w:rPr>
        <w:sym w:font="Symbol" w:char="F079"/>
      </w:r>
      <w:r w:rsidRPr="00A518F9">
        <w:rPr>
          <w:vertAlign w:val="subscript"/>
          <w:lang w:val="fr-CH"/>
        </w:rPr>
        <w:t>2</w:t>
      </w:r>
      <w:r w:rsidRPr="00A518F9">
        <w:rPr>
          <w:i/>
          <w:position w:val="-4"/>
          <w:sz w:val="18"/>
          <w:lang w:val="fr-CH"/>
        </w:rPr>
        <w:tab/>
      </w:r>
      <w:r w:rsidRPr="00A518F9">
        <w:rPr>
          <w:lang w:val="fr-CH"/>
        </w:rPr>
        <w:t>(2)</w:t>
      </w:r>
    </w:p>
    <w:p w:rsidR="00F45A74" w:rsidRPr="00A518F9" w:rsidRDefault="00F45A74" w:rsidP="00F45A74">
      <w:pPr>
        <w:pStyle w:val="Blanc"/>
        <w:rPr>
          <w:lang w:val="fr-CH"/>
        </w:rPr>
      </w:pPr>
    </w:p>
    <w:p w:rsidR="002C27CA" w:rsidRPr="00A518F9" w:rsidRDefault="002C27CA" w:rsidP="002C27CA">
      <w:pPr>
        <w:pStyle w:val="Equation"/>
        <w:tabs>
          <w:tab w:val="left" w:pos="1843"/>
          <w:tab w:val="center" w:pos="5387"/>
          <w:tab w:val="left" w:pos="6096"/>
          <w:tab w:val="right" w:pos="7088"/>
          <w:tab w:val="left" w:pos="7229"/>
        </w:tabs>
        <w:rPr>
          <w:lang w:val="fr-CH"/>
        </w:rPr>
      </w:pPr>
      <w:r w:rsidRPr="00A518F9">
        <w:rPr>
          <w:lang w:val="fr-CH"/>
        </w:rPr>
        <w:tab/>
      </w:r>
      <w:r w:rsidRPr="00A518F9">
        <w:rPr>
          <w:lang w:val="fr-CH"/>
        </w:rPr>
        <w:tab/>
      </w:r>
      <w:r w:rsidRPr="00A518F9">
        <w:rPr>
          <w:i/>
          <w:lang w:val="fr-CH"/>
        </w:rPr>
        <w:t>G</w:t>
      </w:r>
      <w:r w:rsidRPr="00A518F9">
        <w:rPr>
          <w:lang w:val="fr-CH"/>
        </w:rPr>
        <w:t>(</w:t>
      </w:r>
      <w:r w:rsidRPr="00A518F9">
        <w:rPr>
          <w:lang w:val="fr-CH"/>
        </w:rPr>
        <w:sym w:font="Symbol" w:char="F079"/>
      </w:r>
      <w:r w:rsidRPr="00A518F9">
        <w:rPr>
          <w:lang w:val="fr-CH"/>
        </w:rPr>
        <w:t xml:space="preserve">)  =  </w:t>
      </w:r>
      <w:r w:rsidRPr="00A518F9">
        <w:rPr>
          <w:i/>
          <w:lang w:val="fr-CH"/>
        </w:rPr>
        <w:t>X</w:t>
      </w:r>
      <w:r w:rsidRPr="00A518F9">
        <w:rPr>
          <w:lang w:val="fr-CH"/>
        </w:rPr>
        <w:t xml:space="preserve">  –  60 log (</w:t>
      </w:r>
      <w:r w:rsidRPr="00A518F9">
        <w:rPr>
          <w:lang w:val="fr-CH"/>
        </w:rPr>
        <w:sym w:font="Symbol" w:char="F079"/>
      </w:r>
      <w:r w:rsidRPr="00A518F9">
        <w:rPr>
          <w:lang w:val="fr-CH"/>
        </w:rPr>
        <w:t>)</w:t>
      </w:r>
      <w:r w:rsidRPr="00A518F9">
        <w:rPr>
          <w:lang w:val="fr-CH"/>
        </w:rPr>
        <w:tab/>
        <w:t>dBi</w:t>
      </w:r>
      <w:r w:rsidRPr="00A518F9">
        <w:rPr>
          <w:lang w:val="fr-CH"/>
        </w:rPr>
        <w:tab/>
        <w:t>pour</w:t>
      </w:r>
      <w:r w:rsidRPr="00A518F9">
        <w:rPr>
          <w:lang w:val="fr-CH"/>
        </w:rPr>
        <w:tab/>
      </w:r>
      <w:r w:rsidRPr="00A518F9">
        <w:rPr>
          <w:lang w:val="fr-CH"/>
        </w:rPr>
        <w:sym w:font="Symbol" w:char="F079"/>
      </w:r>
      <w:r w:rsidRPr="00A518F9">
        <w:rPr>
          <w:vertAlign w:val="subscript"/>
          <w:lang w:val="fr-CH"/>
        </w:rPr>
        <w:t>2</w:t>
      </w:r>
      <w:r w:rsidRPr="00A518F9">
        <w:rPr>
          <w:lang w:val="fr-CH"/>
        </w:rPr>
        <w:tab/>
        <w:t xml:space="preserve">  &lt;  </w:t>
      </w:r>
      <w:r w:rsidRPr="00A518F9">
        <w:rPr>
          <w:lang w:val="fr-CH"/>
        </w:rPr>
        <w:sym w:font="Symbol" w:char="F079"/>
      </w:r>
      <w:r w:rsidRPr="00A518F9">
        <w:rPr>
          <w:lang w:val="fr-CH"/>
        </w:rPr>
        <w:t xml:space="preserve">  ≤  </w:t>
      </w:r>
      <w:r w:rsidRPr="00A518F9">
        <w:rPr>
          <w:lang w:val="fr-CH"/>
        </w:rPr>
        <w:sym w:font="Symbol" w:char="F079"/>
      </w:r>
      <w:r w:rsidRPr="00A518F9">
        <w:rPr>
          <w:vertAlign w:val="subscript"/>
          <w:lang w:val="fr-CH"/>
        </w:rPr>
        <w:t>3</w:t>
      </w:r>
      <w:r w:rsidRPr="00A518F9">
        <w:rPr>
          <w:lang w:val="fr-CH"/>
        </w:rPr>
        <w:tab/>
        <w:t>(3)</w:t>
      </w:r>
    </w:p>
    <w:p w:rsidR="00F45A74" w:rsidRPr="00A518F9" w:rsidRDefault="00F45A74" w:rsidP="00F45A74">
      <w:pPr>
        <w:pStyle w:val="Blanc"/>
        <w:rPr>
          <w:lang w:val="fr-CH"/>
        </w:rPr>
      </w:pPr>
    </w:p>
    <w:p w:rsidR="002C27CA" w:rsidRPr="00A518F9" w:rsidRDefault="002C27CA" w:rsidP="002C27CA">
      <w:pPr>
        <w:pStyle w:val="Equation"/>
        <w:tabs>
          <w:tab w:val="left" w:pos="1843"/>
          <w:tab w:val="center" w:pos="5387"/>
          <w:tab w:val="left" w:pos="6096"/>
          <w:tab w:val="right" w:pos="7088"/>
          <w:tab w:val="left" w:pos="7229"/>
        </w:tabs>
        <w:rPr>
          <w:lang w:val="fr-CH"/>
        </w:rPr>
      </w:pPr>
      <w:r w:rsidRPr="00A518F9">
        <w:rPr>
          <w:lang w:val="fr-CH"/>
        </w:rPr>
        <w:tab/>
      </w:r>
      <w:r w:rsidRPr="00A518F9">
        <w:rPr>
          <w:lang w:val="fr-CH"/>
        </w:rPr>
        <w:tab/>
      </w:r>
      <w:r w:rsidRPr="00A518F9">
        <w:rPr>
          <w:i/>
          <w:lang w:val="fr-CH"/>
        </w:rPr>
        <w:t>G</w:t>
      </w:r>
      <w:r w:rsidRPr="00A518F9">
        <w:rPr>
          <w:lang w:val="fr-CH"/>
        </w:rPr>
        <w:t>(</w:t>
      </w:r>
      <w:r w:rsidRPr="00A518F9">
        <w:rPr>
          <w:lang w:val="fr-CH"/>
        </w:rPr>
        <w:sym w:font="Symbol" w:char="F079"/>
      </w:r>
      <w:r w:rsidRPr="00A518F9">
        <w:rPr>
          <w:lang w:val="fr-CH"/>
        </w:rPr>
        <w:t xml:space="preserve">)  =  </w:t>
      </w:r>
      <w:r w:rsidRPr="00A518F9">
        <w:rPr>
          <w:i/>
          <w:iCs/>
          <w:lang w:val="fr-CH"/>
        </w:rPr>
        <w:t>L</w:t>
      </w:r>
      <w:r w:rsidRPr="00A518F9">
        <w:rPr>
          <w:i/>
          <w:iCs/>
          <w:vertAlign w:val="subscript"/>
          <w:lang w:val="fr-CH"/>
        </w:rPr>
        <w:t>F</w:t>
      </w:r>
      <w:r w:rsidRPr="00A518F9">
        <w:rPr>
          <w:lang w:val="fr-CH"/>
        </w:rPr>
        <w:tab/>
        <w:t>dBi</w:t>
      </w:r>
      <w:r w:rsidRPr="00A518F9">
        <w:rPr>
          <w:lang w:val="fr-CH"/>
        </w:rPr>
        <w:tab/>
        <w:t>pour</w:t>
      </w:r>
      <w:r w:rsidRPr="00A518F9">
        <w:rPr>
          <w:lang w:val="fr-CH"/>
        </w:rPr>
        <w:tab/>
      </w:r>
      <w:r w:rsidRPr="00A518F9">
        <w:rPr>
          <w:lang w:val="fr-CH"/>
        </w:rPr>
        <w:sym w:font="Symbol" w:char="F079"/>
      </w:r>
      <w:r w:rsidRPr="00A518F9">
        <w:rPr>
          <w:vertAlign w:val="subscript"/>
          <w:lang w:val="fr-CH"/>
        </w:rPr>
        <w:t>3</w:t>
      </w:r>
      <w:r w:rsidRPr="00A518F9">
        <w:rPr>
          <w:lang w:val="fr-CH"/>
        </w:rPr>
        <w:tab/>
        <w:t xml:space="preserve">  &lt;  </w:t>
      </w:r>
      <w:r w:rsidRPr="00A518F9">
        <w:rPr>
          <w:lang w:val="fr-CH"/>
        </w:rPr>
        <w:sym w:font="Symbol" w:char="F079"/>
      </w:r>
      <w:r w:rsidRPr="00A518F9">
        <w:rPr>
          <w:lang w:val="fr-CH"/>
        </w:rPr>
        <w:t xml:space="preserve">  ≤   90°</w:t>
      </w:r>
      <w:r w:rsidRPr="00A518F9">
        <w:rPr>
          <w:lang w:val="fr-CH"/>
        </w:rPr>
        <w:tab/>
        <w:t>(4)</w:t>
      </w:r>
    </w:p>
    <w:p w:rsidR="00F45A74" w:rsidRPr="00A518F9" w:rsidRDefault="00F45A74" w:rsidP="00F45A74">
      <w:pPr>
        <w:pStyle w:val="Blanc"/>
        <w:rPr>
          <w:lang w:val="fr-CH"/>
        </w:rPr>
      </w:pPr>
    </w:p>
    <w:p w:rsidR="002C27CA" w:rsidRPr="00A518F9" w:rsidRDefault="002C27CA" w:rsidP="002C27CA">
      <w:pPr>
        <w:rPr>
          <w:lang w:val="fr-CH"/>
        </w:rPr>
      </w:pPr>
      <w:r w:rsidRPr="00A518F9">
        <w:rPr>
          <w:lang w:val="fr-CH"/>
        </w:rPr>
        <w:t>où:</w:t>
      </w:r>
    </w:p>
    <w:p w:rsidR="002C27CA" w:rsidRPr="00A518F9" w:rsidRDefault="002C27CA" w:rsidP="002C27CA">
      <w:pPr>
        <w:pStyle w:val="Equationlegend"/>
        <w:rPr>
          <w:lang w:val="fr-CH"/>
        </w:rPr>
      </w:pPr>
      <w:r w:rsidRPr="00A518F9">
        <w:rPr>
          <w:lang w:val="fr-CH"/>
        </w:rPr>
        <w:tab/>
      </w:r>
      <w:r w:rsidRPr="00A518F9">
        <w:rPr>
          <w:i/>
          <w:lang w:val="fr-CH"/>
        </w:rPr>
        <w:t>G</w:t>
      </w:r>
      <w:r w:rsidRPr="00A518F9">
        <w:rPr>
          <w:lang w:val="fr-CH"/>
        </w:rPr>
        <w:t>(</w:t>
      </w:r>
      <w:r w:rsidRPr="00A518F9">
        <w:rPr>
          <w:lang w:val="fr-CH"/>
        </w:rPr>
        <w:sym w:font="Symbol" w:char="F079"/>
      </w:r>
      <w:r w:rsidRPr="00A518F9">
        <w:rPr>
          <w:lang w:val="fr-CH"/>
        </w:rPr>
        <w:t>)</w:t>
      </w:r>
      <w:r w:rsidRPr="00A518F9">
        <w:rPr>
          <w:rFonts w:ascii="Tms Rmn" w:hAnsi="Tms Rmn"/>
          <w:sz w:val="12"/>
          <w:lang w:val="fr-CH"/>
        </w:rPr>
        <w:t> </w:t>
      </w:r>
      <w:r w:rsidRPr="00A518F9">
        <w:rPr>
          <w:lang w:val="fr-CH"/>
        </w:rPr>
        <w:t>:</w:t>
      </w:r>
      <w:r w:rsidRPr="00A518F9">
        <w:rPr>
          <w:lang w:val="fr-CH"/>
        </w:rPr>
        <w:tab/>
        <w:t xml:space="preserve">gain à l'angle </w:t>
      </w:r>
      <w:r w:rsidRPr="00A518F9">
        <w:rPr>
          <w:lang w:val="fr-CH"/>
        </w:rPr>
        <w:sym w:font="Symbol" w:char="F079"/>
      </w:r>
      <w:r w:rsidRPr="00A518F9">
        <w:rPr>
          <w:lang w:val="fr-CH"/>
        </w:rPr>
        <w:t xml:space="preserve"> depuis la direction du faisceau principal (dBi)</w:t>
      </w:r>
    </w:p>
    <w:p w:rsidR="002C27CA" w:rsidRPr="00A518F9" w:rsidRDefault="002C27CA" w:rsidP="002C27CA">
      <w:pPr>
        <w:pStyle w:val="Equationlegend"/>
        <w:rPr>
          <w:lang w:val="fr-CH"/>
        </w:rPr>
      </w:pPr>
      <w:r w:rsidRPr="00A518F9">
        <w:rPr>
          <w:lang w:val="fr-CH"/>
        </w:rPr>
        <w:tab/>
      </w:r>
      <w:r w:rsidRPr="00A518F9">
        <w:rPr>
          <w:i/>
          <w:lang w:val="fr-CH"/>
        </w:rPr>
        <w:t>G</w:t>
      </w:r>
      <w:r w:rsidRPr="00A518F9">
        <w:rPr>
          <w:i/>
          <w:iCs/>
          <w:vertAlign w:val="subscript"/>
          <w:lang w:val="fr-CH"/>
        </w:rPr>
        <w:t>m</w:t>
      </w:r>
      <w:r w:rsidRPr="00A518F9">
        <w:rPr>
          <w:rFonts w:ascii="Tms Rmn" w:hAnsi="Tms Rmn"/>
          <w:sz w:val="12"/>
          <w:lang w:val="fr-CH"/>
        </w:rPr>
        <w:t> </w:t>
      </w:r>
      <w:r w:rsidRPr="00A518F9">
        <w:rPr>
          <w:lang w:val="fr-CH"/>
        </w:rPr>
        <w:t>:</w:t>
      </w:r>
      <w:r w:rsidRPr="00A518F9">
        <w:rPr>
          <w:lang w:val="fr-CH"/>
        </w:rPr>
        <w:tab/>
        <w:t>gain maximal dans le lobe principal (dBi)</w:t>
      </w:r>
    </w:p>
    <w:p w:rsidR="002C27CA" w:rsidRPr="00A518F9" w:rsidRDefault="002C27CA" w:rsidP="002C27CA">
      <w:pPr>
        <w:pStyle w:val="Equationlegend"/>
        <w:rPr>
          <w:lang w:val="fr-CH"/>
        </w:rPr>
      </w:pPr>
      <w:r w:rsidRPr="00A518F9">
        <w:rPr>
          <w:lang w:val="fr-CH"/>
        </w:rPr>
        <w:tab/>
      </w:r>
      <w:r w:rsidRPr="00A518F9">
        <w:rPr>
          <w:lang w:val="fr-CH"/>
        </w:rPr>
        <w:sym w:font="Symbol" w:char="F079"/>
      </w:r>
      <w:r w:rsidRPr="00A518F9">
        <w:rPr>
          <w:i/>
          <w:iCs/>
          <w:vertAlign w:val="subscript"/>
          <w:lang w:val="fr-CH"/>
        </w:rPr>
        <w:t>b</w:t>
      </w:r>
      <w:r w:rsidRPr="00A518F9">
        <w:rPr>
          <w:rFonts w:ascii="Tms Rmn" w:hAnsi="Tms Rmn"/>
          <w:sz w:val="12"/>
          <w:lang w:val="fr-CH"/>
        </w:rPr>
        <w:t> </w:t>
      </w:r>
      <w:r w:rsidRPr="00A518F9">
        <w:rPr>
          <w:lang w:val="fr-CH"/>
        </w:rPr>
        <w:t>:</w:t>
      </w:r>
      <w:r w:rsidRPr="00A518F9">
        <w:rPr>
          <w:lang w:val="fr-CH"/>
        </w:rPr>
        <w:tab/>
        <w:t xml:space="preserve">demi-ouverture de faisceau à 3 dB dans le plan considéré (3 dB en dessous de </w:t>
      </w:r>
      <w:r w:rsidRPr="00A518F9">
        <w:rPr>
          <w:i/>
          <w:lang w:val="fr-CH"/>
        </w:rPr>
        <w:t>G</w:t>
      </w:r>
      <w:r w:rsidRPr="00A518F9">
        <w:rPr>
          <w:i/>
          <w:iCs/>
          <w:vertAlign w:val="subscript"/>
          <w:lang w:val="fr-CH"/>
        </w:rPr>
        <w:t>m</w:t>
      </w:r>
      <w:r w:rsidRPr="00A518F9">
        <w:rPr>
          <w:lang w:val="fr-CH"/>
        </w:rPr>
        <w:t>) (degrés)</w:t>
      </w:r>
    </w:p>
    <w:p w:rsidR="002C27CA" w:rsidRPr="00A518F9" w:rsidRDefault="002C27CA" w:rsidP="002C27CA">
      <w:pPr>
        <w:pStyle w:val="Equationlegend"/>
        <w:rPr>
          <w:lang w:val="fr-CH"/>
        </w:rPr>
      </w:pPr>
      <w:r w:rsidRPr="00A518F9">
        <w:rPr>
          <w:lang w:val="fr-CH"/>
        </w:rPr>
        <w:tab/>
      </w:r>
      <w:r w:rsidRPr="00A518F9">
        <w:rPr>
          <w:i/>
          <w:iCs/>
          <w:lang w:val="fr-CH"/>
        </w:rPr>
        <w:t>L</w:t>
      </w:r>
      <w:r w:rsidRPr="00A518F9">
        <w:rPr>
          <w:i/>
          <w:iCs/>
          <w:vertAlign w:val="subscript"/>
          <w:lang w:val="fr-CH"/>
        </w:rPr>
        <w:t>N</w:t>
      </w:r>
      <w:r w:rsidRPr="00A518F9">
        <w:rPr>
          <w:rFonts w:ascii="Tms Rmn" w:hAnsi="Tms Rmn"/>
          <w:sz w:val="12"/>
          <w:lang w:val="fr-CH"/>
        </w:rPr>
        <w:t> </w:t>
      </w:r>
      <w:r w:rsidRPr="00A518F9">
        <w:rPr>
          <w:lang w:val="fr-CH"/>
        </w:rPr>
        <w:t>:</w:t>
      </w:r>
      <w:r w:rsidRPr="00A518F9">
        <w:rPr>
          <w:lang w:val="fr-CH"/>
        </w:rPr>
        <w:tab/>
        <w:t>niveau dans le lobe latéral proche (dB) relativement au gain crête nominal défini pour le système, et dont la valeur maximale est de –</w:t>
      </w:r>
      <w:r w:rsidRPr="00A518F9">
        <w:rPr>
          <w:sz w:val="4"/>
          <w:lang w:val="fr-CH"/>
        </w:rPr>
        <w:t> </w:t>
      </w:r>
      <w:r w:rsidRPr="00A518F9">
        <w:rPr>
          <w:lang w:val="fr-CH"/>
        </w:rPr>
        <w:t>25 dB</w:t>
      </w:r>
    </w:p>
    <w:p w:rsidR="002C27CA" w:rsidRPr="00A518F9" w:rsidRDefault="002C27CA" w:rsidP="002C27CA">
      <w:pPr>
        <w:pStyle w:val="Equationlegend"/>
        <w:rPr>
          <w:lang w:val="fr-CH"/>
        </w:rPr>
      </w:pPr>
      <w:r w:rsidRPr="00A518F9">
        <w:rPr>
          <w:lang w:val="fr-CH"/>
        </w:rPr>
        <w:tab/>
      </w:r>
      <w:r w:rsidRPr="00A518F9">
        <w:rPr>
          <w:i/>
          <w:iCs/>
          <w:lang w:val="fr-CH"/>
        </w:rPr>
        <w:t>L</w:t>
      </w:r>
      <w:r w:rsidRPr="00A518F9">
        <w:rPr>
          <w:i/>
          <w:iCs/>
          <w:vertAlign w:val="subscript"/>
          <w:lang w:val="fr-CH"/>
        </w:rPr>
        <w:t>F</w:t>
      </w:r>
      <w:r w:rsidRPr="00A518F9">
        <w:rPr>
          <w:lang w:val="fr-CH"/>
        </w:rPr>
        <w:t xml:space="preserve">   =  </w:t>
      </w:r>
      <w:r w:rsidRPr="00A518F9">
        <w:rPr>
          <w:lang w:val="fr-CH"/>
        </w:rPr>
        <w:tab/>
      </w:r>
      <w:r w:rsidRPr="00A518F9">
        <w:rPr>
          <w:i/>
          <w:lang w:val="fr-CH"/>
        </w:rPr>
        <w:t>G</w:t>
      </w:r>
      <w:r w:rsidRPr="00A518F9">
        <w:rPr>
          <w:i/>
          <w:iCs/>
          <w:vertAlign w:val="subscript"/>
          <w:lang w:val="fr-CH"/>
        </w:rPr>
        <w:t>m</w:t>
      </w:r>
      <w:r w:rsidRPr="00A518F9">
        <w:rPr>
          <w:lang w:val="fr-CH"/>
        </w:rPr>
        <w:t xml:space="preserve"> – 73 dBi, niveau du lobe latéral éloigné (dBi)</w:t>
      </w:r>
    </w:p>
    <w:p w:rsidR="00F45A74" w:rsidRPr="00A518F9" w:rsidRDefault="00F45A74" w:rsidP="00F45A74">
      <w:pPr>
        <w:pStyle w:val="Blanc"/>
        <w:rPr>
          <w:lang w:val="fr-CH"/>
        </w:rPr>
      </w:pPr>
    </w:p>
    <w:p w:rsidR="002C27CA" w:rsidRPr="00A518F9" w:rsidRDefault="002C27CA" w:rsidP="002C27CA">
      <w:pPr>
        <w:pStyle w:val="Equation"/>
        <w:tabs>
          <w:tab w:val="left" w:pos="7371"/>
        </w:tabs>
        <w:rPr>
          <w:lang w:val="fr-CH"/>
        </w:rPr>
      </w:pPr>
      <w:r w:rsidRPr="00A518F9">
        <w:rPr>
          <w:lang w:val="fr-CH"/>
        </w:rPr>
        <w:tab/>
      </w:r>
      <w:r w:rsidRPr="00A518F9">
        <w:rPr>
          <w:lang w:val="fr-CH"/>
        </w:rPr>
        <w:tab/>
      </w:r>
      <w:r w:rsidR="002B1FA9" w:rsidRPr="00A518F9">
        <w:rPr>
          <w:position w:val="-14"/>
          <w:lang w:val="fr-CH"/>
        </w:rPr>
        <w:object w:dxaOrig="176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21pt" o:ole="">
            <v:imagedata r:id="rId15" o:title=""/>
          </v:shape>
          <o:OLEObject Type="Embed" ProgID="Equation.3" ShapeID="_x0000_i1025" DrawAspect="Content" ObjectID="_1370084531" r:id="rId16"/>
        </w:object>
      </w:r>
      <w:r w:rsidRPr="00A518F9">
        <w:rPr>
          <w:lang w:val="fr-CH"/>
        </w:rPr>
        <w:tab/>
        <w:t>degrés</w:t>
      </w:r>
      <w:r w:rsidRPr="00A518F9">
        <w:rPr>
          <w:lang w:val="fr-CH"/>
        </w:rPr>
        <w:tab/>
        <w:t>(5)</w:t>
      </w:r>
    </w:p>
    <w:p w:rsidR="00F45A74" w:rsidRPr="00A518F9" w:rsidRDefault="00F45A74" w:rsidP="00F45A74">
      <w:pPr>
        <w:pStyle w:val="Blanc"/>
        <w:rPr>
          <w:lang w:val="fr-CH"/>
        </w:rPr>
      </w:pPr>
    </w:p>
    <w:p w:rsidR="002C27CA" w:rsidRPr="00A518F9" w:rsidRDefault="002C27CA" w:rsidP="002C27CA">
      <w:pPr>
        <w:pStyle w:val="Equation"/>
        <w:tabs>
          <w:tab w:val="left" w:pos="7371"/>
        </w:tabs>
        <w:rPr>
          <w:lang w:val="fr-CH"/>
        </w:rPr>
      </w:pPr>
      <w:r w:rsidRPr="00A518F9">
        <w:rPr>
          <w:lang w:val="fr-CH"/>
        </w:rPr>
        <w:tab/>
      </w:r>
      <w:r w:rsidRPr="00A518F9">
        <w:rPr>
          <w:lang w:val="fr-CH"/>
        </w:rPr>
        <w:tab/>
      </w:r>
      <w:r w:rsidR="002B1FA9" w:rsidRPr="00A518F9">
        <w:rPr>
          <w:position w:val="-12"/>
          <w:lang w:val="fr-CH"/>
        </w:rPr>
        <w:object w:dxaOrig="1440" w:dyaOrig="360">
          <v:shape id="_x0000_i1026" type="#_x0000_t75" style="width:1in;height:18pt" o:ole="">
            <v:imagedata r:id="rId17" o:title=""/>
          </v:shape>
          <o:OLEObject Type="Embed" ProgID="Equation.3" ShapeID="_x0000_i1026" DrawAspect="Content" ObjectID="_1370084532" r:id="rId18"/>
        </w:object>
      </w:r>
      <w:r w:rsidRPr="00A518F9">
        <w:rPr>
          <w:lang w:val="fr-CH"/>
        </w:rPr>
        <w:tab/>
        <w:t>degrés</w:t>
      </w:r>
      <w:r w:rsidRPr="00A518F9">
        <w:rPr>
          <w:lang w:val="fr-CH"/>
        </w:rPr>
        <w:tab/>
        <w:t>(6)</w:t>
      </w:r>
    </w:p>
    <w:p w:rsidR="00F45A74" w:rsidRPr="00A518F9" w:rsidRDefault="00F45A74" w:rsidP="00F45A74">
      <w:pPr>
        <w:pStyle w:val="Blanc"/>
        <w:rPr>
          <w:lang w:val="fr-CH"/>
        </w:rPr>
      </w:pPr>
    </w:p>
    <w:p w:rsidR="002C27CA" w:rsidRPr="00A518F9" w:rsidRDefault="002C27CA" w:rsidP="002C27CA">
      <w:pPr>
        <w:pStyle w:val="Equation"/>
        <w:tabs>
          <w:tab w:val="left" w:pos="7371"/>
        </w:tabs>
        <w:rPr>
          <w:lang w:val="fr-CH"/>
        </w:rPr>
      </w:pPr>
      <w:r w:rsidRPr="00A518F9">
        <w:rPr>
          <w:lang w:val="fr-CH"/>
        </w:rPr>
        <w:tab/>
      </w:r>
      <w:r w:rsidRPr="00A518F9">
        <w:rPr>
          <w:lang w:val="fr-CH"/>
        </w:rPr>
        <w:tab/>
      </w:r>
      <w:r w:rsidR="002B1FA9" w:rsidRPr="00A518F9">
        <w:rPr>
          <w:position w:val="-12"/>
          <w:lang w:val="fr-CH"/>
        </w:rPr>
        <w:object w:dxaOrig="2700" w:dyaOrig="360">
          <v:shape id="_x0000_i1027" type="#_x0000_t75" style="width:135pt;height:18pt" o:ole="">
            <v:imagedata r:id="rId19" o:title=""/>
          </v:shape>
          <o:OLEObject Type="Embed" ProgID="Equation.3" ShapeID="_x0000_i1027" DrawAspect="Content" ObjectID="_1370084533" r:id="rId20"/>
        </w:object>
      </w:r>
      <w:r w:rsidRPr="00A518F9">
        <w:rPr>
          <w:lang w:val="fr-CH"/>
        </w:rPr>
        <w:tab/>
        <w:t>dB</w:t>
      </w:r>
      <w:r w:rsidRPr="00A518F9">
        <w:rPr>
          <w:lang w:val="fr-CH"/>
        </w:rPr>
        <w:tab/>
        <w:t>(7)</w:t>
      </w:r>
    </w:p>
    <w:p w:rsidR="00F45A74" w:rsidRPr="00A518F9" w:rsidRDefault="00F45A74" w:rsidP="00F45A74">
      <w:pPr>
        <w:pStyle w:val="Blanc"/>
        <w:rPr>
          <w:lang w:val="fr-CH"/>
        </w:rPr>
      </w:pPr>
    </w:p>
    <w:p w:rsidR="002C27CA" w:rsidRPr="00A518F9" w:rsidRDefault="002C27CA" w:rsidP="002C27CA">
      <w:pPr>
        <w:pStyle w:val="Equation"/>
        <w:tabs>
          <w:tab w:val="left" w:pos="7371"/>
        </w:tabs>
        <w:rPr>
          <w:lang w:val="fr-CH"/>
        </w:rPr>
      </w:pPr>
      <w:r w:rsidRPr="00A518F9">
        <w:rPr>
          <w:lang w:val="fr-CH"/>
        </w:rPr>
        <w:tab/>
      </w:r>
      <w:r w:rsidRPr="00A518F9">
        <w:rPr>
          <w:lang w:val="fr-CH"/>
        </w:rPr>
        <w:tab/>
      </w:r>
      <w:r w:rsidR="002B1FA9" w:rsidRPr="00A518F9">
        <w:rPr>
          <w:position w:val="-12"/>
          <w:lang w:val="fr-CH"/>
        </w:rPr>
        <w:object w:dxaOrig="1380" w:dyaOrig="540">
          <v:shape id="_x0000_i1028" type="#_x0000_t75" style="width:69.5pt;height:27pt" o:ole="">
            <v:imagedata r:id="rId21" o:title=""/>
          </v:shape>
          <o:OLEObject Type="Embed" ProgID="Equation.3" ShapeID="_x0000_i1028" DrawAspect="Content" ObjectID="_1370084534" r:id="rId22"/>
        </w:object>
      </w:r>
      <w:r w:rsidRPr="00A518F9">
        <w:rPr>
          <w:lang w:val="fr-CH"/>
        </w:rPr>
        <w:tab/>
        <w:t>degrés</w:t>
      </w:r>
      <w:r w:rsidRPr="00A518F9">
        <w:rPr>
          <w:lang w:val="fr-CH"/>
        </w:rPr>
        <w:tab/>
        <w:t>(8)</w:t>
      </w:r>
    </w:p>
    <w:p w:rsidR="00F45A74" w:rsidRPr="00A518F9" w:rsidRDefault="00F45A74" w:rsidP="00F45A74">
      <w:pPr>
        <w:pStyle w:val="Blanc"/>
        <w:rPr>
          <w:lang w:val="fr-CH"/>
        </w:rPr>
      </w:pPr>
    </w:p>
    <w:p w:rsidR="002C27CA" w:rsidRPr="00A518F9" w:rsidRDefault="002C27CA" w:rsidP="00F45A74">
      <w:pPr>
        <w:keepNext/>
        <w:keepLines/>
        <w:rPr>
          <w:lang w:val="fr-CH"/>
        </w:rPr>
      </w:pPr>
      <w:r w:rsidRPr="00A518F9">
        <w:rPr>
          <w:lang w:val="fr-CH"/>
        </w:rPr>
        <w:t>L'ouverture de faisceau à 3 dB (2</w:t>
      </w:r>
      <w:r w:rsidRPr="00A518F9">
        <w:rPr>
          <w:lang w:val="fr-CH"/>
        </w:rPr>
        <w:sym w:font="Symbol" w:char="F079"/>
      </w:r>
      <w:r w:rsidRPr="00A518F9">
        <w:rPr>
          <w:i/>
          <w:iCs/>
          <w:vertAlign w:val="subscript"/>
          <w:lang w:val="fr-CH"/>
        </w:rPr>
        <w:t>b</w:t>
      </w:r>
      <w:r w:rsidRPr="00A518F9">
        <w:rPr>
          <w:lang w:val="fr-CH"/>
        </w:rPr>
        <w:t>) est approximativement donnée par la relation:</w:t>
      </w:r>
    </w:p>
    <w:p w:rsidR="00F45A74" w:rsidRPr="00A518F9" w:rsidRDefault="00F45A74" w:rsidP="00F45A74">
      <w:pPr>
        <w:pStyle w:val="Blanc"/>
        <w:rPr>
          <w:lang w:val="fr-CH"/>
        </w:rPr>
      </w:pPr>
    </w:p>
    <w:p w:rsidR="002C27CA" w:rsidRPr="00A518F9" w:rsidRDefault="002C27CA" w:rsidP="002C27CA">
      <w:pPr>
        <w:pStyle w:val="Equation"/>
        <w:rPr>
          <w:lang w:val="fr-CH"/>
        </w:rPr>
      </w:pPr>
      <w:r w:rsidRPr="00A518F9">
        <w:rPr>
          <w:lang w:val="fr-CH"/>
        </w:rPr>
        <w:tab/>
      </w:r>
      <w:r w:rsidRPr="00A518F9">
        <w:rPr>
          <w:lang w:val="fr-CH"/>
        </w:rPr>
        <w:tab/>
      </w:r>
      <w:r w:rsidR="002B1FA9" w:rsidRPr="00A518F9">
        <w:rPr>
          <w:position w:val="-28"/>
          <w:lang w:val="fr-CH"/>
        </w:rPr>
        <w:object w:dxaOrig="1520" w:dyaOrig="720">
          <v:shape id="_x0000_i1029" type="#_x0000_t75" style="width:76pt;height:35.5pt" o:ole="">
            <v:imagedata r:id="rId23" o:title=""/>
          </v:shape>
          <o:OLEObject Type="Embed" ProgID="Equation.3" ShapeID="_x0000_i1029" DrawAspect="Content" ObjectID="_1370084535" r:id="rId24"/>
        </w:object>
      </w:r>
      <w:r w:rsidRPr="00A518F9">
        <w:rPr>
          <w:lang w:val="fr-CH"/>
        </w:rPr>
        <w:tab/>
        <w:t>(9)</w:t>
      </w:r>
    </w:p>
    <w:p w:rsidR="00F45A74" w:rsidRPr="00A518F9" w:rsidRDefault="00F45A74" w:rsidP="00F45A74">
      <w:pPr>
        <w:pStyle w:val="Blanc"/>
        <w:rPr>
          <w:lang w:val="fr-CH"/>
        </w:rPr>
      </w:pPr>
    </w:p>
    <w:p w:rsidR="002C27CA" w:rsidRPr="00A518F9" w:rsidRDefault="002C27CA" w:rsidP="002C27CA">
      <w:pPr>
        <w:rPr>
          <w:lang w:val="fr-CH"/>
        </w:rPr>
      </w:pPr>
      <w:r w:rsidRPr="00A518F9">
        <w:rPr>
          <w:lang w:val="fr-CH"/>
        </w:rPr>
        <w:t xml:space="preserve">dans laquelle </w:t>
      </w:r>
      <w:r w:rsidRPr="00A518F9">
        <w:rPr>
          <w:i/>
          <w:lang w:val="fr-CH"/>
        </w:rPr>
        <w:t>G</w:t>
      </w:r>
      <w:r w:rsidRPr="00A518F9">
        <w:rPr>
          <w:i/>
          <w:iCs/>
          <w:vertAlign w:val="subscript"/>
          <w:lang w:val="fr-CH"/>
        </w:rPr>
        <w:t>m</w:t>
      </w:r>
      <w:r w:rsidRPr="00A518F9">
        <w:rPr>
          <w:lang w:val="fr-CH"/>
        </w:rPr>
        <w:t xml:space="preserve"> est le gain d'ouverture crête (dBi);</w:t>
      </w:r>
    </w:p>
    <w:p w:rsidR="002C27CA" w:rsidRPr="00A518F9" w:rsidRDefault="002C27CA" w:rsidP="002B1FA9">
      <w:pPr>
        <w:rPr>
          <w:lang w:val="fr-CH"/>
        </w:rPr>
      </w:pPr>
      <w:r w:rsidRPr="00A518F9">
        <w:rPr>
          <w:b/>
          <w:lang w:val="fr-CH"/>
        </w:rPr>
        <w:t>3</w:t>
      </w:r>
      <w:r w:rsidRPr="00A518F9">
        <w:rPr>
          <w:lang w:val="fr-CH"/>
        </w:rPr>
        <w:tab/>
        <w:t xml:space="preserve">de faire en sorte que le niveau de puissance surfacique cocanal à la surface de la Terre en provenance d'une station HAPS fonctionnant comme station de base IMT-2000 ne dépasse pas </w:t>
      </w:r>
      <w:r w:rsidR="002B1FA9" w:rsidRPr="00A518F9">
        <w:rPr>
          <w:lang w:val="fr-CH"/>
        </w:rPr>
        <w:br/>
        <w:t>–121,5 dB(W/m</w:t>
      </w:r>
      <w:r w:rsidR="002B1FA9" w:rsidRPr="00A518F9">
        <w:rPr>
          <w:vertAlign w:val="superscript"/>
          <w:lang w:val="fr-CH"/>
        </w:rPr>
        <w:t>2</w:t>
      </w:r>
      <w:r w:rsidR="002B1FA9" w:rsidRPr="00A518F9">
        <w:rPr>
          <w:lang w:val="fr-CH"/>
        </w:rPr>
        <w:t> </w:t>
      </w:r>
      <w:r w:rsidR="002B1FA9" w:rsidRPr="00A518F9">
        <w:rPr>
          <w:lang w:val="fr-CH"/>
        </w:rPr>
        <w:sym w:font="Symbol" w:char="F0D7"/>
      </w:r>
      <w:r w:rsidR="002B1FA9" w:rsidRPr="00A518F9">
        <w:rPr>
          <w:lang w:val="fr-CH"/>
        </w:rPr>
        <w:t xml:space="preserve"> 1 MHz)) </w:t>
      </w:r>
      <w:r w:rsidRPr="00A518F9">
        <w:rPr>
          <w:lang w:val="fr-CH"/>
        </w:rPr>
        <w:t>en dehors des frontières d'une administration sauf accord contraire avec l'administration affectée voisine</w:t>
      </w:r>
      <w:r w:rsidRPr="00A518F9">
        <w:rPr>
          <w:rStyle w:val="FootnoteReference"/>
          <w:lang w:val="fr-CH"/>
        </w:rPr>
        <w:footnoteReference w:customMarkFollows="1" w:id="5"/>
        <w:t>*</w:t>
      </w:r>
      <w:r w:rsidRPr="00A518F9">
        <w:rPr>
          <w:lang w:val="fr-CH"/>
        </w:rPr>
        <w:t>. La méthode décrite dans l'Annexe 1 peut être utilisée par les administrations susceptibles d'être affectées pour déterminer si l'utilisation d'une station HAPS comme station de base assurant des IMT-2000 est acceptable compte tenu de l'utilisation qu'ils font de la bande;</w:t>
      </w:r>
    </w:p>
    <w:p w:rsidR="002C27CA" w:rsidRPr="00A518F9" w:rsidRDefault="002C27CA" w:rsidP="002C27CA">
      <w:pPr>
        <w:rPr>
          <w:lang w:val="fr-CH"/>
        </w:rPr>
      </w:pPr>
      <w:r w:rsidRPr="00A518F9">
        <w:rPr>
          <w:b/>
          <w:lang w:val="fr-CH"/>
        </w:rPr>
        <w:t>4</w:t>
      </w:r>
      <w:r w:rsidRPr="00A518F9">
        <w:rPr>
          <w:lang w:val="fr-CH"/>
        </w:rPr>
        <w:tab/>
        <w:t>de faire en sorte, afin de protéger les stations terriennes mobiles contre les brouillages, que le niveau de puissance spectrale surfacique hors bande en provenance d'une station HAPS fonctionnant comme station de base IMT</w:t>
      </w:r>
      <w:r w:rsidRPr="00A518F9">
        <w:rPr>
          <w:lang w:val="fr-CH"/>
        </w:rPr>
        <w:noBreakHyphen/>
        <w:t>2000, ne dépasse pas –</w:t>
      </w:r>
      <w:r w:rsidRPr="00A518F9">
        <w:rPr>
          <w:sz w:val="4"/>
          <w:lang w:val="fr-CH"/>
        </w:rPr>
        <w:t> </w:t>
      </w:r>
      <w:r w:rsidRPr="00A518F9">
        <w:rPr>
          <w:lang w:val="fr-CH"/>
        </w:rPr>
        <w:t>165 dB(W/(m</w:t>
      </w:r>
      <w:r w:rsidRPr="00A518F9">
        <w:rPr>
          <w:position w:val="6"/>
          <w:sz w:val="16"/>
          <w:lang w:val="fr-CH"/>
        </w:rPr>
        <w:t>2</w:t>
      </w:r>
      <w:r w:rsidRPr="00A518F9">
        <w:rPr>
          <w:lang w:val="fr-CH"/>
        </w:rPr>
        <w:t xml:space="preserve"> </w:t>
      </w:r>
      <w:r w:rsidRPr="00A518F9">
        <w:rPr>
          <w:lang w:val="fr-CH"/>
        </w:rPr>
        <w:sym w:font="Symbol" w:char="F0D7"/>
      </w:r>
      <w:r w:rsidRPr="00A518F9">
        <w:rPr>
          <w:lang w:val="fr-CH"/>
        </w:rPr>
        <w:t xml:space="preserve"> 4 kHz)) à la </w:t>
      </w:r>
      <w:r w:rsidRPr="00A518F9">
        <w:rPr>
          <w:lang w:val="fr-CH"/>
        </w:rPr>
        <w:lastRenderedPageBreak/>
        <w:t>surface de la Terre dans les bandes 2</w:t>
      </w:r>
      <w:r w:rsidRPr="00A518F9">
        <w:rPr>
          <w:rFonts w:ascii="Tms Rmn" w:hAnsi="Tms Rmn"/>
          <w:sz w:val="12"/>
          <w:lang w:val="fr-CH"/>
        </w:rPr>
        <w:t> </w:t>
      </w:r>
      <w:r w:rsidRPr="00A518F9">
        <w:rPr>
          <w:lang w:val="fr-CH"/>
        </w:rPr>
        <w:t>160-2</w:t>
      </w:r>
      <w:r w:rsidRPr="00A518F9">
        <w:rPr>
          <w:rFonts w:ascii="Tms Rmn" w:hAnsi="Tms Rmn"/>
          <w:sz w:val="12"/>
          <w:lang w:val="fr-CH"/>
        </w:rPr>
        <w:t> </w:t>
      </w:r>
      <w:r w:rsidRPr="00A518F9">
        <w:rPr>
          <w:lang w:val="fr-CH"/>
        </w:rPr>
        <w:t>200 MHz en Région 2 et 2</w:t>
      </w:r>
      <w:r w:rsidRPr="00A518F9">
        <w:rPr>
          <w:rFonts w:ascii="Tms Rmn" w:hAnsi="Tms Rmn"/>
          <w:sz w:val="12"/>
          <w:lang w:val="fr-CH"/>
        </w:rPr>
        <w:t> </w:t>
      </w:r>
      <w:r w:rsidRPr="00A518F9">
        <w:rPr>
          <w:lang w:val="fr-CH"/>
        </w:rPr>
        <w:t>170-2</w:t>
      </w:r>
      <w:r w:rsidRPr="00A518F9">
        <w:rPr>
          <w:rFonts w:ascii="Tms Rmn" w:hAnsi="Tms Rmn"/>
          <w:sz w:val="12"/>
          <w:lang w:val="fr-CH"/>
        </w:rPr>
        <w:t> </w:t>
      </w:r>
      <w:r w:rsidRPr="00A518F9">
        <w:rPr>
          <w:lang w:val="fr-CH"/>
        </w:rPr>
        <w:t>200 MHz en Régions 1 et 3. L'Annexe 2 définit les bases permettant de calculer ce niveau de puissance surfacique;</w:t>
      </w:r>
    </w:p>
    <w:p w:rsidR="002C27CA" w:rsidRPr="00A518F9" w:rsidRDefault="002C27CA" w:rsidP="002C27CA">
      <w:pPr>
        <w:rPr>
          <w:lang w:val="fr-CH"/>
        </w:rPr>
      </w:pPr>
      <w:r w:rsidRPr="00A518F9">
        <w:rPr>
          <w:b/>
          <w:lang w:val="fr-CH"/>
        </w:rPr>
        <w:t>5</w:t>
      </w:r>
      <w:r w:rsidRPr="00A518F9">
        <w:rPr>
          <w:lang w:val="fr-CH"/>
        </w:rPr>
        <w:tab/>
        <w:t>de faire en sorte, afin de protéger les stations fixes contre les brouillages, que le niveau de puissance surfacique hors bande à la surface de la Terre dans la bande 2</w:t>
      </w:r>
      <w:r w:rsidRPr="00A518F9">
        <w:rPr>
          <w:rFonts w:ascii="Tms Rmn" w:hAnsi="Tms Rmn"/>
          <w:sz w:val="12"/>
          <w:lang w:val="fr-CH"/>
        </w:rPr>
        <w:t> </w:t>
      </w:r>
      <w:r w:rsidRPr="00A518F9">
        <w:rPr>
          <w:lang w:val="fr-CH"/>
        </w:rPr>
        <w:t>025-2</w:t>
      </w:r>
      <w:r w:rsidRPr="00A518F9">
        <w:rPr>
          <w:rFonts w:ascii="Tms Rmn" w:hAnsi="Tms Rmn"/>
          <w:sz w:val="12"/>
          <w:lang w:val="fr-CH"/>
        </w:rPr>
        <w:t> </w:t>
      </w:r>
      <w:r w:rsidRPr="00A518F9">
        <w:rPr>
          <w:lang w:val="fr-CH"/>
        </w:rPr>
        <w:t>110 MHz en provenance d'une station HAPS fonctionnant comme station de base IMT-2000, ne dépasse pas les valeurs suivantes:</w:t>
      </w:r>
    </w:p>
    <w:p w:rsidR="002C27CA" w:rsidRPr="00A518F9" w:rsidRDefault="002C27CA" w:rsidP="002C27CA">
      <w:pPr>
        <w:rPr>
          <w:lang w:val="fr-CH"/>
        </w:rPr>
      </w:pPr>
      <w:r w:rsidRPr="00A518F9">
        <w:rPr>
          <w:lang w:val="fr-CH"/>
        </w:rPr>
        <w:t>5.1</w:t>
      </w:r>
      <w:r w:rsidRPr="00A518F9">
        <w:rPr>
          <w:lang w:val="fr-CH"/>
        </w:rPr>
        <w:tab/>
        <w:t>–</w:t>
      </w:r>
      <w:r w:rsidRPr="00A518F9">
        <w:rPr>
          <w:sz w:val="4"/>
          <w:lang w:val="fr-CH"/>
        </w:rPr>
        <w:t> </w:t>
      </w:r>
      <w:r w:rsidRPr="00A518F9">
        <w:rPr>
          <w:lang w:val="fr-CH"/>
        </w:rPr>
        <w:t>165 dB(W/(m</w:t>
      </w:r>
      <w:r w:rsidRPr="00A518F9">
        <w:rPr>
          <w:position w:val="6"/>
          <w:sz w:val="16"/>
          <w:lang w:val="fr-CH"/>
        </w:rPr>
        <w:t>2</w:t>
      </w:r>
      <w:r w:rsidRPr="00A518F9">
        <w:rPr>
          <w:lang w:val="fr-CH"/>
        </w:rPr>
        <w:t xml:space="preserve"> </w:t>
      </w:r>
      <w:r w:rsidRPr="00A518F9">
        <w:rPr>
          <w:lang w:val="fr-CH"/>
        </w:rPr>
        <w:sym w:font="Symbol" w:char="F0D7"/>
      </w:r>
      <w:r w:rsidRPr="00A518F9">
        <w:rPr>
          <w:lang w:val="fr-CH"/>
        </w:rPr>
        <w:t xml:space="preserve"> 1 MHz)) pour des angles d'incidence, </w:t>
      </w:r>
      <w:r w:rsidRPr="00A518F9">
        <w:rPr>
          <w:lang w:val="fr-CH"/>
        </w:rPr>
        <w:sym w:font="Symbol" w:char="F071"/>
      </w:r>
      <w:r w:rsidRPr="00A518F9">
        <w:rPr>
          <w:lang w:val="fr-CH"/>
        </w:rPr>
        <w:t>, inférieurs à 5° au-dessus du plan horizontal;</w:t>
      </w:r>
    </w:p>
    <w:p w:rsidR="002C27CA" w:rsidRPr="00A518F9" w:rsidRDefault="002C27CA" w:rsidP="002C27CA">
      <w:pPr>
        <w:rPr>
          <w:lang w:val="fr-CH"/>
        </w:rPr>
      </w:pPr>
      <w:r w:rsidRPr="00A518F9">
        <w:rPr>
          <w:lang w:val="fr-CH"/>
        </w:rPr>
        <w:t>5.2</w:t>
      </w:r>
      <w:r w:rsidRPr="00A518F9">
        <w:rPr>
          <w:lang w:val="fr-CH"/>
        </w:rPr>
        <w:tab/>
        <w:t>–</w:t>
      </w:r>
      <w:r w:rsidRPr="00A518F9">
        <w:rPr>
          <w:sz w:val="4"/>
          <w:lang w:val="fr-CH"/>
        </w:rPr>
        <w:t> </w:t>
      </w:r>
      <w:r w:rsidRPr="00A518F9">
        <w:rPr>
          <w:lang w:val="fr-CH"/>
        </w:rPr>
        <w:t>165 + 1,75 (θ – 5) dB(W/(m</w:t>
      </w:r>
      <w:r w:rsidRPr="00A518F9">
        <w:rPr>
          <w:position w:val="6"/>
          <w:sz w:val="16"/>
          <w:lang w:val="fr-CH"/>
        </w:rPr>
        <w:t>2</w:t>
      </w:r>
      <w:r w:rsidRPr="00A518F9">
        <w:rPr>
          <w:lang w:val="fr-CH"/>
        </w:rPr>
        <w:t xml:space="preserve"> </w:t>
      </w:r>
      <w:r w:rsidRPr="00A518F9">
        <w:rPr>
          <w:lang w:val="fr-CH"/>
        </w:rPr>
        <w:sym w:font="Symbol" w:char="F0D7"/>
      </w:r>
      <w:r w:rsidRPr="00A518F9">
        <w:rPr>
          <w:lang w:val="fr-CH"/>
        </w:rPr>
        <w:t xml:space="preserve"> 1 MHz)) pour des angles d'incidence compris entre 5° et 25° au-dessus du plan horizontal; et</w:t>
      </w:r>
    </w:p>
    <w:p w:rsidR="002C27CA" w:rsidRPr="00A518F9" w:rsidRDefault="002C27CA" w:rsidP="002C27CA">
      <w:pPr>
        <w:rPr>
          <w:lang w:val="fr-CH"/>
        </w:rPr>
      </w:pPr>
      <w:r w:rsidRPr="00A518F9">
        <w:rPr>
          <w:lang w:val="fr-CH"/>
        </w:rPr>
        <w:t>5.3</w:t>
      </w:r>
      <w:r w:rsidRPr="00A518F9">
        <w:rPr>
          <w:lang w:val="fr-CH"/>
        </w:rPr>
        <w:tab/>
        <w:t>–</w:t>
      </w:r>
      <w:r w:rsidRPr="00A518F9">
        <w:rPr>
          <w:sz w:val="4"/>
          <w:lang w:val="fr-CH"/>
        </w:rPr>
        <w:t> </w:t>
      </w:r>
      <w:r w:rsidRPr="00A518F9">
        <w:rPr>
          <w:lang w:val="fr-CH"/>
        </w:rPr>
        <w:t>130 dB(W/(m</w:t>
      </w:r>
      <w:r w:rsidRPr="00A518F9">
        <w:rPr>
          <w:position w:val="6"/>
          <w:sz w:val="16"/>
          <w:lang w:val="fr-CH"/>
        </w:rPr>
        <w:t>2</w:t>
      </w:r>
      <w:r w:rsidRPr="00A518F9">
        <w:rPr>
          <w:lang w:val="fr-CH"/>
        </w:rPr>
        <w:t xml:space="preserve"> </w:t>
      </w:r>
      <w:r w:rsidRPr="00A518F9">
        <w:rPr>
          <w:lang w:val="fr-CH"/>
        </w:rPr>
        <w:sym w:font="Symbol" w:char="F0D7"/>
      </w:r>
      <w:r w:rsidRPr="00A518F9">
        <w:rPr>
          <w:lang w:val="fr-CH"/>
        </w:rPr>
        <w:t xml:space="preserve"> 1 MHz)) pour des angles d'incidence compris entre 25° et 90° au-dessus du plan horizontal.</w:t>
      </w:r>
    </w:p>
    <w:p w:rsidR="002C27CA" w:rsidRPr="00A518F9" w:rsidRDefault="002C27CA" w:rsidP="002C27CA">
      <w:pPr>
        <w:rPr>
          <w:lang w:val="fr-CH"/>
        </w:rPr>
      </w:pPr>
      <w:r w:rsidRPr="00A518F9">
        <w:rPr>
          <w:lang w:val="fr-CH"/>
        </w:rPr>
        <w:t>L'Annexe 2 définit la base de calcul de ce niveau de puissance spectrale surfacique;</w:t>
      </w:r>
    </w:p>
    <w:p w:rsidR="002C27CA" w:rsidRPr="00A518F9" w:rsidRDefault="002C27CA" w:rsidP="002C27CA">
      <w:pPr>
        <w:rPr>
          <w:lang w:val="fr-CH"/>
        </w:rPr>
      </w:pPr>
      <w:r w:rsidRPr="00A518F9">
        <w:rPr>
          <w:b/>
          <w:lang w:val="fr-CH"/>
        </w:rPr>
        <w:t>6</w:t>
      </w:r>
      <w:r w:rsidRPr="00A518F9">
        <w:rPr>
          <w:lang w:val="fr-CH"/>
        </w:rPr>
        <w:tab/>
        <w:t>de faire en sorte qu'une station HAPS fonctionnant comme station de base IMT-2000 conforme aux caracté</w:t>
      </w:r>
      <w:r w:rsidRPr="00A518F9">
        <w:rPr>
          <w:lang w:val="fr-CH"/>
        </w:rPr>
        <w:softHyphen/>
        <w:t>ristiques spécifiées dans l'Annexe 1 ne brouille pas les stations spatiales du service scientifique spatial fonctionnant dans la bande 2</w:t>
      </w:r>
      <w:r w:rsidRPr="00A518F9">
        <w:rPr>
          <w:rFonts w:ascii="Tms Rmn" w:hAnsi="Tms Rmn"/>
          <w:sz w:val="12"/>
          <w:lang w:val="fr-CH"/>
        </w:rPr>
        <w:t> </w:t>
      </w:r>
      <w:r w:rsidRPr="00A518F9">
        <w:rPr>
          <w:lang w:val="fr-CH"/>
        </w:rPr>
        <w:t>025-2</w:t>
      </w:r>
      <w:r w:rsidRPr="00A518F9">
        <w:rPr>
          <w:rFonts w:ascii="Tms Rmn" w:hAnsi="Tms Rmn"/>
          <w:sz w:val="12"/>
          <w:lang w:val="fr-CH"/>
        </w:rPr>
        <w:t> </w:t>
      </w:r>
      <w:r w:rsidRPr="00A518F9">
        <w:rPr>
          <w:lang w:val="fr-CH"/>
        </w:rPr>
        <w:t>110 MHz (voir l'Annexe 3);</w:t>
      </w:r>
    </w:p>
    <w:p w:rsidR="002C27CA" w:rsidRPr="00A518F9" w:rsidRDefault="002C27CA" w:rsidP="002C27CA">
      <w:pPr>
        <w:rPr>
          <w:lang w:val="fr-CH"/>
        </w:rPr>
      </w:pPr>
      <w:r w:rsidRPr="00A518F9">
        <w:rPr>
          <w:b/>
          <w:lang w:val="fr-CH"/>
        </w:rPr>
        <w:t>7</w:t>
      </w:r>
      <w:r w:rsidRPr="00A518F9">
        <w:rPr>
          <w:lang w:val="fr-CH"/>
        </w:rPr>
        <w:tab/>
        <w:t>d'utiliser les techniques d'amélioration des caractéristiques, telle que le filtrage à hautes performances à l'émission, la réduction du nombre de faisceaux ponctuels, la diminution du nombre d'utilisateurs et la réduction de la puissance de la station HAPS au besoin afin d'éviter de brouiller des stations du service fixe, y compris les systèmes point à multipoint, du service mobile et du SMS dans les bandes de fréquences adjacentes à celles utilisées par les stations HAPS.</w:t>
      </w:r>
    </w:p>
    <w:p w:rsidR="00F03494" w:rsidRPr="00A518F9" w:rsidRDefault="00F03494" w:rsidP="002C27CA">
      <w:pPr>
        <w:rPr>
          <w:lang w:val="fr-CH"/>
        </w:rPr>
      </w:pPr>
    </w:p>
    <w:p w:rsidR="002C27CA" w:rsidRPr="00A518F9" w:rsidRDefault="002C27CA" w:rsidP="00F03494">
      <w:pPr>
        <w:pStyle w:val="AnnexNoTitle"/>
        <w:rPr>
          <w:lang w:val="fr-CH"/>
        </w:rPr>
      </w:pPr>
      <w:r w:rsidRPr="00A518F9">
        <w:rPr>
          <w:lang w:val="fr-CH"/>
        </w:rPr>
        <w:t>Annexe 1</w:t>
      </w:r>
      <w:r w:rsidRPr="00A518F9">
        <w:rPr>
          <w:lang w:val="fr-CH"/>
        </w:rPr>
        <w:br/>
      </w:r>
      <w:r w:rsidRPr="00A518F9">
        <w:rPr>
          <w:lang w:val="fr-CH"/>
        </w:rPr>
        <w:br/>
        <w:t xml:space="preserve">Brouillage cocanal causé par des stations HAPS fonctionnant </w:t>
      </w:r>
      <w:r w:rsidRPr="00A518F9">
        <w:rPr>
          <w:lang w:val="fr-CH"/>
        </w:rPr>
        <w:br/>
        <w:t>comme station de base IMT-2000</w:t>
      </w:r>
    </w:p>
    <w:p w:rsidR="002C27CA" w:rsidRPr="00A518F9" w:rsidRDefault="002C27CA" w:rsidP="002C27CA">
      <w:pPr>
        <w:pStyle w:val="Heading1"/>
        <w:rPr>
          <w:lang w:val="fr-CH"/>
        </w:rPr>
      </w:pPr>
      <w:r w:rsidRPr="00A518F9">
        <w:rPr>
          <w:lang w:val="fr-CH"/>
        </w:rPr>
        <w:t>1</w:t>
      </w:r>
      <w:r w:rsidRPr="00A518F9">
        <w:rPr>
          <w:lang w:val="fr-CH"/>
        </w:rPr>
        <w:tab/>
        <w:t>Puissance reçue en fonction de la distance depuis le nadir</w:t>
      </w:r>
    </w:p>
    <w:p w:rsidR="002C27CA" w:rsidRPr="00A518F9" w:rsidRDefault="002C27CA" w:rsidP="002C27CA">
      <w:pPr>
        <w:rPr>
          <w:lang w:val="fr-CH"/>
        </w:rPr>
      </w:pPr>
      <w:r w:rsidRPr="00A518F9">
        <w:rPr>
          <w:lang w:val="fr-CH"/>
        </w:rPr>
        <w:t xml:space="preserve">Dans le mode duplex à répartition en fréquence (DRF), seuls les systèmes HAPS utilisant des interfaces radioélectriques AMRC et AMRT IMT-2000 terrestres seront considérés ici. Dans les interfaces radioélectriques DF IMT-2000, seuls deux formats seront pris en considération </w:t>
      </w:r>
      <w:r w:rsidRPr="00A518F9">
        <w:rPr>
          <w:iCs/>
          <w:lang w:val="fr-CH"/>
        </w:rPr>
        <w:t>à savoir le format à étalement direct AMRC IMT-2000 et le format multiporteuses AMRC IMT-2000</w:t>
      </w:r>
      <w:r w:rsidRPr="00A518F9">
        <w:rPr>
          <w:lang w:val="fr-CH"/>
        </w:rPr>
        <w:t xml:space="preserve"> étant donné que les autres découlent étroitement de l'un ou de l'autre. Pour les formats AMRT IMT-2000, seule l'AMRT IMT-2000 monoporteuse sera étudiée. Le duplex à répartition dans le temps (DRT) ne sera pas pris en considération car le temps de propagation entre la station HAPS et la surface de la Terre rend ce type de duplex incompatible avec le HAPS.</w:t>
      </w:r>
    </w:p>
    <w:p w:rsidR="002C27CA" w:rsidRPr="00A518F9" w:rsidRDefault="002C27CA" w:rsidP="002C27CA">
      <w:pPr>
        <w:rPr>
          <w:lang w:val="fr-CH"/>
        </w:rPr>
      </w:pPr>
      <w:r w:rsidRPr="00A518F9">
        <w:rPr>
          <w:lang w:val="fr-CH"/>
        </w:rPr>
        <w:t>Etant donné que les formats AMRC IMT-2000 à étalement direct et AMRC IMT-2000 multiporteuses peuvent nécessiter différents espacements entre porteuses, il serait plus approprié d'utiliser les puissances surfaciques pour comparer les caractéristiques de transmission des réalisations AMRC IMT-2000 à étalement direct et les réalisations AMRC IMT</w:t>
      </w:r>
      <w:r w:rsidRPr="00A518F9">
        <w:rPr>
          <w:lang w:val="fr-CH"/>
        </w:rPr>
        <w:noBreakHyphen/>
        <w:t>2000 multiporteuses sur HAPS. La puissance surfacique maximale pour un système AMRC IMT-2000 à étalement direct est de –</w:t>
      </w:r>
      <w:r w:rsidRPr="00A518F9">
        <w:rPr>
          <w:sz w:val="4"/>
          <w:lang w:val="fr-CH"/>
        </w:rPr>
        <w:t> </w:t>
      </w:r>
      <w:r w:rsidRPr="00A518F9">
        <w:rPr>
          <w:lang w:val="fr-CH"/>
        </w:rPr>
        <w:t>98,2 dB(W/(m</w:t>
      </w:r>
      <w:r w:rsidRPr="00A518F9">
        <w:rPr>
          <w:vertAlign w:val="superscript"/>
          <w:lang w:val="fr-CH"/>
        </w:rPr>
        <w:t>2</w:t>
      </w:r>
      <w:r w:rsidRPr="00A518F9">
        <w:rPr>
          <w:lang w:val="fr-CH"/>
        </w:rPr>
        <w:t xml:space="preserve"> </w:t>
      </w:r>
      <w:r w:rsidRPr="00A518F9">
        <w:rPr>
          <w:lang w:val="fr-CH"/>
        </w:rPr>
        <w:sym w:font="Symbol" w:char="F0D7"/>
      </w:r>
      <w:r w:rsidRPr="00A518F9">
        <w:rPr>
          <w:lang w:val="fr-CH"/>
        </w:rPr>
        <w:t xml:space="preserve"> 4 kHz)), tandis que pour un système AMRC IMT-2000 multiporteuses sur HAPS la puissance surfacique est de –</w:t>
      </w:r>
      <w:r w:rsidRPr="00A518F9">
        <w:rPr>
          <w:sz w:val="4"/>
          <w:lang w:val="fr-CH"/>
        </w:rPr>
        <w:t> </w:t>
      </w:r>
      <w:r w:rsidRPr="00A518F9">
        <w:rPr>
          <w:lang w:val="fr-CH"/>
        </w:rPr>
        <w:t>101,1 dB(W/(m</w:t>
      </w:r>
      <w:r w:rsidRPr="00A518F9">
        <w:rPr>
          <w:position w:val="6"/>
          <w:sz w:val="16"/>
          <w:lang w:val="fr-CH"/>
        </w:rPr>
        <w:t>2</w:t>
      </w:r>
      <w:r w:rsidRPr="00A518F9">
        <w:rPr>
          <w:lang w:val="fr-CH"/>
        </w:rPr>
        <w:t xml:space="preserve"> </w:t>
      </w:r>
      <w:r w:rsidRPr="00A518F9">
        <w:rPr>
          <w:lang w:val="fr-CH"/>
        </w:rPr>
        <w:sym w:font="Symbol" w:char="F0D7"/>
      </w:r>
      <w:r w:rsidRPr="00A518F9">
        <w:rPr>
          <w:lang w:val="fr-CH"/>
        </w:rPr>
        <w:t xml:space="preserve"> 4 kHz)).</w:t>
      </w:r>
    </w:p>
    <w:p w:rsidR="002C27CA" w:rsidRPr="00A518F9" w:rsidRDefault="002C27CA" w:rsidP="002C27CA">
      <w:pPr>
        <w:rPr>
          <w:lang w:val="fr-CH"/>
        </w:rPr>
      </w:pPr>
      <w:r w:rsidRPr="00A518F9">
        <w:rPr>
          <w:lang w:val="fr-CH"/>
        </w:rPr>
        <w:lastRenderedPageBreak/>
        <w:t xml:space="preserve">Pour une station HAPS utilisant le format AMRT IMT-2000 monoporteuse, la puissance surfacique maximale dans le cas d'un système AMRT HAPS en pleine charge est de </w:t>
      </w:r>
      <w:r w:rsidRPr="00A518F9">
        <w:rPr>
          <w:lang w:val="fr-CH"/>
        </w:rPr>
        <w:fldChar w:fldCharType="begin"/>
      </w:r>
      <w:r w:rsidRPr="00A518F9">
        <w:rPr>
          <w:lang w:val="fr-CH"/>
        </w:rPr>
        <w:instrText xml:space="preserve"> EQ  –</w:instrText>
      </w:r>
      <w:r w:rsidRPr="00A518F9">
        <w:rPr>
          <w:sz w:val="4"/>
          <w:lang w:val="fr-CH"/>
        </w:rPr>
        <w:instrText> </w:instrText>
      </w:r>
      <w:r w:rsidRPr="00A518F9">
        <w:rPr>
          <w:lang w:val="fr-CH"/>
        </w:rPr>
        <w:instrText>96,8 dB(W/(m</w:instrText>
      </w:r>
      <w:r w:rsidRPr="00A518F9">
        <w:rPr>
          <w:vertAlign w:val="superscript"/>
          <w:lang w:val="fr-CH"/>
        </w:rPr>
        <w:instrText>2</w:instrText>
      </w:r>
      <w:r w:rsidRPr="00A518F9">
        <w:rPr>
          <w:lang w:val="fr-CH"/>
        </w:rPr>
        <w:instrText xml:space="preserve"> </w:instrText>
      </w:r>
      <w:r w:rsidRPr="00A518F9">
        <w:rPr>
          <w:lang w:val="fr-CH"/>
        </w:rPr>
        <w:sym w:font="Symbol" w:char="F0D7"/>
      </w:r>
      <w:r w:rsidRPr="00A518F9">
        <w:rPr>
          <w:lang w:val="fr-CH"/>
        </w:rPr>
        <w:instrText xml:space="preserve"> 4 kHz)). </w:instrText>
      </w:r>
      <w:r w:rsidRPr="00A518F9">
        <w:rPr>
          <w:lang w:val="fr-CH"/>
        </w:rPr>
        <w:fldChar w:fldCharType="end"/>
      </w:r>
      <w:r w:rsidRPr="00A518F9">
        <w:rPr>
          <w:lang w:val="fr-CH"/>
        </w:rPr>
        <w:t>Ce chiffre est légèrement supérieur (de 1,4 dB) au chiffre correspondant pour le format AMRC IMT-2000 à étalement direct.</w:t>
      </w:r>
    </w:p>
    <w:p w:rsidR="002C27CA" w:rsidRPr="00A518F9" w:rsidRDefault="002C27CA" w:rsidP="002C27CA">
      <w:pPr>
        <w:rPr>
          <w:lang w:val="fr-CH"/>
        </w:rPr>
      </w:pPr>
      <w:r w:rsidRPr="00A518F9">
        <w:rPr>
          <w:lang w:val="fr-CH"/>
        </w:rPr>
        <w:t>La puissance surfacique maximale est calculée pour un système IMT-2000 sur HAPS à pleine charge doté de 700 faisceaux.</w:t>
      </w:r>
    </w:p>
    <w:p w:rsidR="002C27CA" w:rsidRPr="00A518F9" w:rsidRDefault="002C27CA" w:rsidP="002C27CA">
      <w:pPr>
        <w:rPr>
          <w:lang w:val="fr-CH"/>
        </w:rPr>
      </w:pPr>
      <w:r w:rsidRPr="00A518F9">
        <w:rPr>
          <w:lang w:val="fr-CH"/>
        </w:rPr>
        <w:t>Pour les calculs on a supposé que la station HAPS était placée à une altitude de 22 km.</w:t>
      </w:r>
    </w:p>
    <w:p w:rsidR="002C27CA" w:rsidRPr="00A518F9" w:rsidRDefault="002C27CA" w:rsidP="002C27CA">
      <w:pPr>
        <w:pStyle w:val="Heading2"/>
        <w:rPr>
          <w:lang w:val="fr-CH"/>
        </w:rPr>
      </w:pPr>
      <w:r w:rsidRPr="00A518F9">
        <w:rPr>
          <w:lang w:val="fr-CH"/>
        </w:rPr>
        <w:t>1.1</w:t>
      </w:r>
      <w:r w:rsidRPr="00A518F9">
        <w:rPr>
          <w:lang w:val="fr-CH"/>
        </w:rPr>
        <w:tab/>
        <w:t>Stations HAPS utilisant l'AMRT IMT-2000</w:t>
      </w:r>
    </w:p>
    <w:p w:rsidR="002C27CA" w:rsidRPr="00A518F9" w:rsidRDefault="002C27CA" w:rsidP="002C27CA">
      <w:pPr>
        <w:rPr>
          <w:lang w:val="fr-CH"/>
        </w:rPr>
      </w:pPr>
      <w:r w:rsidRPr="00A518F9">
        <w:rPr>
          <w:lang w:val="fr-CH"/>
        </w:rPr>
        <w:t xml:space="preserve">La puissance spectrale totale reçue au nadir peut être calculée à partir de la puissance surfacique de </w:t>
      </w:r>
      <w:r w:rsidRPr="00A518F9">
        <w:rPr>
          <w:position w:val="7"/>
          <w:lang w:val="fr-CH"/>
        </w:rPr>
        <w:t>_</w:t>
      </w:r>
      <w:r w:rsidRPr="00A518F9">
        <w:rPr>
          <w:sz w:val="4"/>
          <w:lang w:val="fr-CH"/>
        </w:rPr>
        <w:t> </w:t>
      </w:r>
      <w:r w:rsidRPr="00A518F9">
        <w:rPr>
          <w:lang w:val="fr-CH"/>
        </w:rPr>
        <w:t>96,8 dB(W/(m</w:t>
      </w:r>
      <w:r w:rsidRPr="00A518F9">
        <w:rPr>
          <w:vertAlign w:val="superscript"/>
          <w:lang w:val="fr-CH"/>
        </w:rPr>
        <w:t>2</w:t>
      </w:r>
      <w:r w:rsidRPr="00A518F9">
        <w:rPr>
          <w:lang w:val="fr-CH"/>
        </w:rPr>
        <w:t> </w:t>
      </w:r>
      <w:r w:rsidRPr="00A518F9">
        <w:rPr>
          <w:lang w:val="fr-CH"/>
        </w:rPr>
        <w:sym w:font="Symbol" w:char="F0D7"/>
      </w:r>
      <w:r w:rsidRPr="00A518F9">
        <w:rPr>
          <w:lang w:val="fr-CH"/>
        </w:rPr>
        <w:t> 4 kHz)) et d'une ouverture apparente de –</w:t>
      </w:r>
      <w:r w:rsidRPr="00A518F9">
        <w:rPr>
          <w:sz w:val="4"/>
          <w:lang w:val="fr-CH"/>
        </w:rPr>
        <w:t> </w:t>
      </w:r>
      <w:r w:rsidRPr="00A518F9">
        <w:rPr>
          <w:lang w:val="fr-CH"/>
        </w:rPr>
        <w:t>27,5 dB(m</w:t>
      </w:r>
      <w:r w:rsidRPr="00A518F9">
        <w:rPr>
          <w:vertAlign w:val="superscript"/>
          <w:lang w:val="fr-CH"/>
        </w:rPr>
        <w:t>2</w:t>
      </w:r>
      <w:r w:rsidRPr="00A518F9">
        <w:rPr>
          <w:lang w:val="fr-CH"/>
        </w:rPr>
        <w:t>) de l'antenne de portable qui présente un gain de 0 dBi. Cela donne une valeur de –</w:t>
      </w:r>
      <w:r w:rsidRPr="00A518F9">
        <w:rPr>
          <w:sz w:val="4"/>
          <w:lang w:val="fr-CH"/>
        </w:rPr>
        <w:t> </w:t>
      </w:r>
      <w:r w:rsidRPr="00A518F9">
        <w:rPr>
          <w:lang w:val="fr-CH"/>
        </w:rPr>
        <w:t xml:space="preserve">124,3 dB(W/4 kHz) pour la densité spectrale de puissance reçue, chiffre qui est de 38,7 dB au-dessus du niveau du bruit thermique: </w:t>
      </w:r>
      <w:r w:rsidRPr="00A518F9">
        <w:rPr>
          <w:position w:val="7"/>
          <w:lang w:val="fr-CH"/>
        </w:rPr>
        <w:t>_</w:t>
      </w:r>
      <w:r w:rsidRPr="00A518F9">
        <w:rPr>
          <w:sz w:val="4"/>
          <w:lang w:val="fr-CH"/>
        </w:rPr>
        <w:t> </w:t>
      </w:r>
      <w:r w:rsidRPr="00A518F9">
        <w:rPr>
          <w:lang w:val="fr-CH"/>
        </w:rPr>
        <w:t>135,5 dB(W/(m</w:t>
      </w:r>
      <w:r w:rsidRPr="00A518F9">
        <w:rPr>
          <w:vertAlign w:val="superscript"/>
          <w:lang w:val="fr-CH"/>
        </w:rPr>
        <w:t>2</w:t>
      </w:r>
      <w:r w:rsidRPr="00A518F9">
        <w:rPr>
          <w:lang w:val="fr-CH"/>
        </w:rPr>
        <w:t> </w:t>
      </w:r>
      <w:r w:rsidRPr="00A518F9">
        <w:rPr>
          <w:lang w:val="fr-CH"/>
        </w:rPr>
        <w:sym w:font="Symbol" w:char="F0D7"/>
      </w:r>
      <w:r w:rsidRPr="00A518F9">
        <w:rPr>
          <w:lang w:val="fr-CH"/>
        </w:rPr>
        <w:t> 4 kHz)), basé sur la puissance thermique pour une antenne de réception isotrope, –</w:t>
      </w:r>
      <w:r w:rsidRPr="00A518F9">
        <w:rPr>
          <w:sz w:val="4"/>
          <w:lang w:val="fr-CH"/>
        </w:rPr>
        <w:t> </w:t>
      </w:r>
      <w:r w:rsidRPr="00A518F9">
        <w:rPr>
          <w:lang w:val="fr-CH"/>
        </w:rPr>
        <w:t>204 dB(W/Hz) à 299 K, facteur de bruit, 5 dB, et ouverture d'une antenne isotrope à 2 GHz, –</w:t>
      </w:r>
      <w:r w:rsidRPr="00A518F9">
        <w:rPr>
          <w:sz w:val="4"/>
          <w:lang w:val="fr-CH"/>
        </w:rPr>
        <w:t> </w:t>
      </w:r>
      <w:r w:rsidRPr="00A518F9">
        <w:rPr>
          <w:lang w:val="fr-CH"/>
        </w:rPr>
        <w:t>27,5 dB(m</w:t>
      </w:r>
      <w:r w:rsidRPr="00A518F9">
        <w:rPr>
          <w:vertAlign w:val="superscript"/>
          <w:lang w:val="fr-CH"/>
        </w:rPr>
        <w:t>2</w:t>
      </w:r>
      <w:r w:rsidRPr="00A518F9">
        <w:rPr>
          <w:lang w:val="fr-CH"/>
        </w:rPr>
        <w:t xml:space="preserve">). Etant donné que le niveau de brouillage admissible, </w:t>
      </w:r>
      <w:r w:rsidRPr="00A518F9">
        <w:rPr>
          <w:i/>
          <w:iCs/>
          <w:lang w:val="fr-CH"/>
        </w:rPr>
        <w:t>I</w:t>
      </w:r>
      <w:r w:rsidRPr="00A518F9">
        <w:rPr>
          <w:lang w:val="fr-CH"/>
        </w:rPr>
        <w:t>, est situé à 10 dB au-dessous du niveau de bruit thermique, la densité spectrale de puissance reçue se trouve à 48,7 dB au-dessus du niveau admissible. Cette valeur est à comparer avec le niveau du brouillage cumulatif dans les lobes latéraux éloignés qui est de 43,1 dB en dessous de la puissance reçue et on peut constater que la contribution du lobe latéral éloigné est toujours à 5,6 dB au-dessus du niveau admissible. Ainsi, le lobe latéral éloigné joue un rôle important dans la détermination de la distance de coordination. En fait, la contribution du lobe latéral éloigné influe fortement sur la longueur de la distance de coordination car lorsqu'on a atteint le niveau cumulatif dans le lobe latéral éloigné, la seule façon de le faire décroître consiste à avoir un plus fort affaiblissement sur le trajet en espace libre. La décroissance lente du niveau de brouillage dans les lobes latéraux en fonction de la distance à partir du nadir fait que la distance de coordination devient grande.</w:t>
      </w:r>
    </w:p>
    <w:p w:rsidR="002C27CA" w:rsidRPr="00A518F9" w:rsidRDefault="002C27CA" w:rsidP="002C27CA">
      <w:pPr>
        <w:rPr>
          <w:lang w:val="fr-CH"/>
        </w:rPr>
      </w:pPr>
      <w:r w:rsidRPr="00A518F9">
        <w:rPr>
          <w:lang w:val="fr-CH"/>
        </w:rPr>
        <w:t>Une couverture de type isoflux donne une puissance surfacique pratiquement uniforme jusqu'à la limite de la zone de couverture principale et au-delà la puissance surfacique diminue rapidement en raison de la décroissance du profil de rayonnement de l'antenne après le lobe principal et de l'augmentation de l'affaiblissement sur le trajet en espace libre. On constate ce phénomène dans la Fig. 1, où les profils de puissance surfacique en fonction de la distance depuis le nadir sont représentés pour des rayons de couverture de 8, 19, 27, 43, 62, 78, 108, 131 et 158 km. La puissance surfacique maximale est pratiquement indépendante du rayon de couverture. Pour obtenir une couverture avec 700 faisceaux dans un rayon principal de 8 km seulement, il suffit d'une antenne à réseau déphaseur de 12,5 m pour obtenir un gain maximal d'antenne de 45,7 dBi.</w:t>
      </w:r>
    </w:p>
    <w:p w:rsidR="002C27CA" w:rsidRPr="00A518F9" w:rsidRDefault="002C27CA" w:rsidP="002C27CA">
      <w:pPr>
        <w:rPr>
          <w:lang w:val="fr-CH"/>
        </w:rPr>
      </w:pPr>
      <w:r w:rsidRPr="00A518F9">
        <w:rPr>
          <w:lang w:val="fr-CH"/>
        </w:rPr>
        <w:t>Une station HAPS utilisant le format monoporteuse AMRT IMT-2000 peut assurer une couverture sur une vaste zone à partir d'une seule station HAPS. Toutefois, la probabilité de brouillage résultant d'une couverture sur vaste zone et l'exploitation cocanal d'un système AMRT IMT-2000 à tour existant ou en projet dans la même zone géographique doit être prise en considération.</w:t>
      </w:r>
    </w:p>
    <w:p w:rsidR="002C27CA" w:rsidRPr="00A518F9" w:rsidRDefault="002C27CA" w:rsidP="002C27CA">
      <w:pPr>
        <w:rPr>
          <w:lang w:val="fr-CH"/>
        </w:rPr>
      </w:pPr>
      <w:r w:rsidRPr="00A518F9">
        <w:rPr>
          <w:lang w:val="fr-CH"/>
        </w:rPr>
        <w:t>La Fig. 4 montre la variation de la distance entre la limite de coordination et le nadir d'une station HAPS en fonction du rayon de couverture du système HAPS.</w:t>
      </w:r>
    </w:p>
    <w:p w:rsidR="002C27CA" w:rsidRPr="00A518F9" w:rsidRDefault="002C27CA" w:rsidP="002C27CA">
      <w:pPr>
        <w:pStyle w:val="Heading2"/>
        <w:rPr>
          <w:lang w:val="fr-CH"/>
        </w:rPr>
      </w:pPr>
      <w:r w:rsidRPr="00A518F9">
        <w:rPr>
          <w:lang w:val="fr-CH"/>
        </w:rPr>
        <w:t>1.2</w:t>
      </w:r>
      <w:r w:rsidRPr="00A518F9">
        <w:rPr>
          <w:lang w:val="fr-CH"/>
        </w:rPr>
        <w:tab/>
        <w:t>Système HAPS utilisant l'AMRC IMT-2000</w:t>
      </w:r>
    </w:p>
    <w:p w:rsidR="002C27CA" w:rsidRPr="00A518F9" w:rsidRDefault="002C27CA" w:rsidP="002C27CA">
      <w:pPr>
        <w:rPr>
          <w:lang w:val="fr-CH"/>
        </w:rPr>
      </w:pPr>
      <w:r w:rsidRPr="00A518F9">
        <w:rPr>
          <w:lang w:val="fr-CH"/>
        </w:rPr>
        <w:t xml:space="preserve">La puissance spectrale totale reçue au nadir peut être calculée à partir de la puissance surfacique de </w:t>
      </w:r>
      <w:r w:rsidRPr="00A518F9">
        <w:rPr>
          <w:position w:val="7"/>
          <w:lang w:val="fr-CH"/>
        </w:rPr>
        <w:t>_</w:t>
      </w:r>
      <w:r w:rsidRPr="00A518F9">
        <w:rPr>
          <w:sz w:val="4"/>
          <w:lang w:val="fr-CH"/>
        </w:rPr>
        <w:t> </w:t>
      </w:r>
      <w:r w:rsidRPr="00A518F9">
        <w:rPr>
          <w:lang w:val="fr-CH"/>
        </w:rPr>
        <w:t>98,2 dB(W/(m</w:t>
      </w:r>
      <w:r w:rsidRPr="00A518F9">
        <w:rPr>
          <w:vertAlign w:val="superscript"/>
          <w:lang w:val="fr-CH"/>
        </w:rPr>
        <w:t>2</w:t>
      </w:r>
      <w:r w:rsidRPr="00A518F9">
        <w:rPr>
          <w:lang w:val="fr-CH"/>
        </w:rPr>
        <w:t> </w:t>
      </w:r>
      <w:r w:rsidRPr="00A518F9">
        <w:rPr>
          <w:lang w:val="fr-CH"/>
        </w:rPr>
        <w:sym w:font="Symbol" w:char="F0D7"/>
      </w:r>
      <w:r w:rsidRPr="00A518F9">
        <w:rPr>
          <w:lang w:val="fr-CH"/>
        </w:rPr>
        <w:t> 4 kHz)) et une ouverture apparente d'antenne de –</w:t>
      </w:r>
      <w:r w:rsidRPr="00A518F9">
        <w:rPr>
          <w:sz w:val="4"/>
          <w:lang w:val="fr-CH"/>
        </w:rPr>
        <w:t> </w:t>
      </w:r>
      <w:r w:rsidRPr="00A518F9">
        <w:rPr>
          <w:lang w:val="fr-CH"/>
        </w:rPr>
        <w:t>27,5 dB(m</w:t>
      </w:r>
      <w:r w:rsidRPr="00A518F9">
        <w:rPr>
          <w:vertAlign w:val="superscript"/>
          <w:lang w:val="fr-CH"/>
        </w:rPr>
        <w:t>2</w:t>
      </w:r>
      <w:r w:rsidRPr="00A518F9">
        <w:rPr>
          <w:lang w:val="fr-CH"/>
        </w:rPr>
        <w:t xml:space="preserve">) pour l'antenne de portable ayant un gain de 0 dBi. La densité spectrale de puissance reçue est donc de </w:t>
      </w:r>
      <w:r w:rsidRPr="00A518F9">
        <w:rPr>
          <w:lang w:val="fr-CH"/>
        </w:rPr>
        <w:fldChar w:fldCharType="begin"/>
      </w:r>
      <w:r w:rsidRPr="00A518F9">
        <w:rPr>
          <w:lang w:val="fr-CH"/>
        </w:rPr>
        <w:instrText xml:space="preserve"> EQ  –</w:instrText>
      </w:r>
      <w:r w:rsidRPr="00A518F9">
        <w:rPr>
          <w:sz w:val="4"/>
          <w:lang w:val="fr-CH"/>
        </w:rPr>
        <w:instrText> </w:instrText>
      </w:r>
      <w:r w:rsidRPr="00A518F9">
        <w:rPr>
          <w:lang w:val="fr-CH"/>
        </w:rPr>
        <w:instrText xml:space="preserve">125,7 dB(W/4 kHz), </w:instrText>
      </w:r>
      <w:r w:rsidRPr="00A518F9">
        <w:rPr>
          <w:lang w:val="fr-CH"/>
        </w:rPr>
        <w:fldChar w:fldCharType="end"/>
      </w:r>
      <w:r w:rsidRPr="00A518F9">
        <w:rPr>
          <w:lang w:val="fr-CH"/>
        </w:rPr>
        <w:t>valeur qui est à 37,3 dB au</w:t>
      </w:r>
      <w:r w:rsidRPr="00A518F9">
        <w:rPr>
          <w:lang w:val="fr-CH"/>
        </w:rPr>
        <w:noBreakHyphen/>
        <w:t xml:space="preserve">dessus du niveau du bruit thermique. Si le niveau </w:t>
      </w:r>
      <w:r w:rsidRPr="00A518F9">
        <w:rPr>
          <w:lang w:val="fr-CH"/>
        </w:rPr>
        <w:lastRenderedPageBreak/>
        <w:t xml:space="preserve">de brouillage admissible, </w:t>
      </w:r>
      <w:r w:rsidRPr="00A518F9">
        <w:rPr>
          <w:i/>
          <w:iCs/>
          <w:lang w:val="fr-CH"/>
        </w:rPr>
        <w:t>I</w:t>
      </w:r>
      <w:r w:rsidRPr="00A518F9">
        <w:rPr>
          <w:lang w:val="fr-CH"/>
        </w:rPr>
        <w:t>, est de 10 dB en dessous du niveau du bruit thermique, la densité spectrale de puissance reçue est de 47,3 dB au-dessus du niveau admissible. Ce chiffre est à comparer avec le niveau du brouillage cumulatif dans les lobes latéraux qui est de 44,5 dB inférieur à la puissance reçue; on peut constater que la contribution des lobes latéraux éloignés est toujours de 2,8 dB supérieure au niveau admissible. Ainsi, le lobe latéral éloigné joue un rôle important dans la détermination de la distance de coordination. En réalité, la contribution des lobes latéraux éloignés influe fortement sur la distance de coordination car lorsqu'on a atteint le niveau cumulatif dans le lobe latéral éloigné, la seule façon de le faire décroître consiste à augmenter l'affaiblissement en espace libre.</w:t>
      </w:r>
    </w:p>
    <w:p w:rsidR="002C27CA" w:rsidRPr="00A518F9" w:rsidRDefault="002C27CA" w:rsidP="002C27CA">
      <w:pPr>
        <w:pStyle w:val="FigureNo"/>
        <w:rPr>
          <w:lang w:val="fr-CH"/>
        </w:rPr>
      </w:pPr>
      <w:r w:rsidRPr="00A518F9">
        <w:rPr>
          <w:noProof/>
          <w:lang w:val="en-US" w:eastAsia="zh-CN"/>
        </w:rPr>
        <w:drawing>
          <wp:inline distT="0" distB="0" distL="0" distR="0" wp14:anchorId="4A83011E" wp14:editId="1ECEBBBC">
            <wp:extent cx="5979160" cy="598741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9160" cy="5987415"/>
                    </a:xfrm>
                    <a:prstGeom prst="rect">
                      <a:avLst/>
                    </a:prstGeom>
                    <a:noFill/>
                    <a:ln>
                      <a:noFill/>
                    </a:ln>
                  </pic:spPr>
                </pic:pic>
              </a:graphicData>
            </a:graphic>
          </wp:inline>
        </w:drawing>
      </w:r>
    </w:p>
    <w:p w:rsidR="002C27CA" w:rsidRPr="00A518F9" w:rsidRDefault="002C27CA" w:rsidP="002C27CA">
      <w:pPr>
        <w:pStyle w:val="Normalaftertitle"/>
        <w:rPr>
          <w:lang w:val="fr-CH"/>
        </w:rPr>
      </w:pPr>
      <w:r w:rsidRPr="00A518F9">
        <w:rPr>
          <w:lang w:val="fr-CH"/>
        </w:rPr>
        <w:t xml:space="preserve">Une couverture de type isoflux donne une puissance surfacique pratiquement uniforme jusqu'à la limite de la zone de couverture principale et au-delà la puissance surfacique diminue rapidement en raison de la décroissance du profil de rayonnement de l'antenne après le lobe principal et de l'augmentation de l'affaiblissement sur le trajet en espace libre. On constate ce phénomène dans la Fig. 2, où les profils de puissance surfacique en fonction de la distance depuis le nadir sont </w:t>
      </w:r>
      <w:r w:rsidRPr="00A518F9">
        <w:rPr>
          <w:lang w:val="fr-CH"/>
        </w:rPr>
        <w:lastRenderedPageBreak/>
        <w:t>représentés pour des rayons de couverture de 8, 19, 27, 43, 62, 78, 108, 131 et 158 km. La puissance surfacique maximale est pratiquement indépendante du rayon de couverture. Pour assurer une couverture avec 700 faisceaux sur un rayon principal de 8 km, il suffit d'une antenne à réseau déphaseur de 12,5 m pour obtenir un gain maximal d'antenne de 45,7 dBi. La Fig. 3 montre la variation de la distance de coordination en fonction du rayon de couverture de la station HAPS et la Fig. 5 la variation de la distance entre la limite de coordination et le nadir de la station HAPS en fonction du rayon de couverture du système HAPS.</w:t>
      </w:r>
    </w:p>
    <w:p w:rsidR="002C27CA" w:rsidRPr="00A518F9" w:rsidRDefault="002C27CA" w:rsidP="002C27CA">
      <w:pPr>
        <w:pStyle w:val="Heading1"/>
        <w:rPr>
          <w:lang w:val="fr-CH"/>
        </w:rPr>
      </w:pPr>
      <w:r w:rsidRPr="00A518F9">
        <w:rPr>
          <w:lang w:val="fr-CH"/>
        </w:rPr>
        <w:t>2</w:t>
      </w:r>
      <w:r w:rsidRPr="00A518F9">
        <w:rPr>
          <w:lang w:val="fr-CH"/>
        </w:rPr>
        <w:tab/>
        <w:t>Critères de brouillage</w:t>
      </w:r>
    </w:p>
    <w:p w:rsidR="002C27CA" w:rsidRPr="00A518F9" w:rsidRDefault="002C27CA" w:rsidP="002C27CA">
      <w:pPr>
        <w:rPr>
          <w:lang w:val="fr-CH"/>
        </w:rPr>
      </w:pPr>
      <w:r w:rsidRPr="00A518F9">
        <w:rPr>
          <w:lang w:val="fr-CH"/>
        </w:rPr>
        <w:t>Le brouillage cocanal entre un système IMT-2000 terrestre de type HAPS et un système IMT-2000 terrestre à tour ou un système du service fixe exploité dans la même bande a les plus fortes probabilités de se produire à la limite entre les deux zones de couverture.</w:t>
      </w:r>
    </w:p>
    <w:p w:rsidR="002C27CA" w:rsidRPr="00A518F9" w:rsidRDefault="002C27CA" w:rsidP="00F03494">
      <w:pPr>
        <w:pStyle w:val="FigureNo"/>
        <w:keepNext w:val="0"/>
        <w:keepLines w:val="0"/>
        <w:rPr>
          <w:lang w:val="fr-CH"/>
        </w:rPr>
      </w:pPr>
      <w:r w:rsidRPr="00A518F9">
        <w:rPr>
          <w:noProof/>
          <w:lang w:val="en-US" w:eastAsia="zh-CN"/>
        </w:rPr>
        <w:drawing>
          <wp:inline distT="0" distB="0" distL="0" distR="0" wp14:anchorId="7C04DAFC" wp14:editId="6151DE85">
            <wp:extent cx="5979160" cy="595566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9160" cy="5955665"/>
                    </a:xfrm>
                    <a:prstGeom prst="rect">
                      <a:avLst/>
                    </a:prstGeom>
                    <a:noFill/>
                    <a:ln>
                      <a:noFill/>
                    </a:ln>
                  </pic:spPr>
                </pic:pic>
              </a:graphicData>
            </a:graphic>
          </wp:inline>
        </w:drawing>
      </w:r>
    </w:p>
    <w:p w:rsidR="002C27CA" w:rsidRPr="00A518F9" w:rsidRDefault="002C27CA" w:rsidP="002C27CA">
      <w:pPr>
        <w:pStyle w:val="Normalaftertitle"/>
        <w:rPr>
          <w:lang w:val="fr-CH"/>
        </w:rPr>
      </w:pPr>
      <w:r w:rsidRPr="00A518F9">
        <w:rPr>
          <w:lang w:val="fr-CH"/>
        </w:rPr>
        <w:lastRenderedPageBreak/>
        <w:t xml:space="preserve">Le critère de brouillage admissible, </w:t>
      </w:r>
      <w:r w:rsidRPr="00A518F9">
        <w:rPr>
          <w:i/>
          <w:iCs/>
          <w:lang w:val="fr-CH"/>
        </w:rPr>
        <w:t>I</w:t>
      </w:r>
      <w:r w:rsidRPr="00A518F9">
        <w:rPr>
          <w:lang w:val="fr-CH"/>
        </w:rPr>
        <w:t>/</w:t>
      </w:r>
      <w:r w:rsidRPr="00A518F9">
        <w:rPr>
          <w:i/>
          <w:iCs/>
          <w:lang w:val="fr-CH"/>
        </w:rPr>
        <w:t>N</w:t>
      </w:r>
      <w:r w:rsidRPr="00A518F9">
        <w:rPr>
          <w:i/>
          <w:iCs/>
          <w:vertAlign w:val="subscript"/>
          <w:lang w:val="fr-CH"/>
        </w:rPr>
        <w:t>thermique</w:t>
      </w:r>
      <w:r w:rsidRPr="00A518F9">
        <w:rPr>
          <w:lang w:val="fr-CH"/>
        </w:rPr>
        <w:t xml:space="preserve"> = –</w:t>
      </w:r>
      <w:r w:rsidRPr="00A518F9">
        <w:rPr>
          <w:sz w:val="4"/>
          <w:lang w:val="fr-CH"/>
        </w:rPr>
        <w:t> </w:t>
      </w:r>
      <w:r w:rsidRPr="00A518F9">
        <w:rPr>
          <w:lang w:val="fr-CH"/>
        </w:rPr>
        <w:t xml:space="preserve">10 dB, sera utilisé pour les portables brouillés indépendamment du format d'accès de l'interface radioélectrique brouillée. Le même critère de brouillage admissible sera également appliqué aux stations de base brouillées. Il convient de noter que si le portable brouillé utilise un format d'accès AMRC, il est moins sensible au brouillage cocanal étant donné que dans un système AMRC, l'autobrouillage est en général bien supérieur au niveau de bruit thermique. Toutefois, en limite de la zone de couverture du système AMRC brouillé, là où l'«autobrouillage» est bien inférieur au niveau de bruit, la présence d'un brouillage causé par le système HAPS diminue encore la couverture du système AMRC brouillé. Par conséquent, dans la présente Recommandation, le critère de brouillage admissible </w:t>
      </w:r>
      <w:r w:rsidRPr="00A518F9">
        <w:rPr>
          <w:lang w:val="fr-CH"/>
        </w:rPr>
        <w:fldChar w:fldCharType="begin"/>
      </w:r>
      <w:r w:rsidRPr="00A518F9">
        <w:rPr>
          <w:lang w:val="fr-CH"/>
        </w:rPr>
        <w:instrText xml:space="preserve"> EQ  </w:instrText>
      </w:r>
      <w:r w:rsidRPr="00A518F9">
        <w:rPr>
          <w:i/>
          <w:iCs/>
          <w:lang w:val="fr-CH"/>
        </w:rPr>
        <w:instrText>I</w:instrText>
      </w:r>
      <w:r w:rsidRPr="00A518F9">
        <w:rPr>
          <w:lang w:val="fr-CH"/>
        </w:rPr>
        <w:instrText>/</w:instrText>
      </w:r>
      <w:r w:rsidRPr="00A518F9">
        <w:rPr>
          <w:i/>
          <w:iCs/>
          <w:lang w:val="fr-CH"/>
        </w:rPr>
        <w:instrText>N</w:instrText>
      </w:r>
      <w:r w:rsidRPr="00A518F9">
        <w:rPr>
          <w:i/>
          <w:iCs/>
          <w:vertAlign w:val="subscript"/>
          <w:lang w:val="fr-CH"/>
        </w:rPr>
        <w:instrText>thermique</w:instrText>
      </w:r>
      <w:r w:rsidRPr="00A518F9">
        <w:rPr>
          <w:lang w:val="fr-CH"/>
        </w:rPr>
        <w:instrText xml:space="preserve"> = –</w:instrText>
      </w:r>
      <w:r w:rsidRPr="00A518F9">
        <w:rPr>
          <w:sz w:val="4"/>
          <w:lang w:val="fr-CH"/>
        </w:rPr>
        <w:instrText> </w:instrText>
      </w:r>
      <w:r w:rsidRPr="00A518F9">
        <w:rPr>
          <w:lang w:val="fr-CH"/>
        </w:rPr>
        <w:instrText xml:space="preserve">10 dB </w:instrText>
      </w:r>
      <w:r w:rsidRPr="00A518F9">
        <w:rPr>
          <w:lang w:val="fr-CH"/>
        </w:rPr>
        <w:fldChar w:fldCharType="end"/>
      </w:r>
      <w:r w:rsidRPr="00A518F9">
        <w:rPr>
          <w:lang w:val="fr-CH"/>
        </w:rPr>
        <w:t>sera appliqué de manière uniforme indépendamment du format d'accès du système brouillé.</w:t>
      </w:r>
    </w:p>
    <w:p w:rsidR="002C27CA" w:rsidRPr="00A518F9" w:rsidRDefault="002C27CA" w:rsidP="002C27CA">
      <w:pPr>
        <w:rPr>
          <w:lang w:val="fr-CH"/>
        </w:rPr>
      </w:pPr>
      <w:r w:rsidRPr="00A518F9">
        <w:rPr>
          <w:lang w:val="fr-CH"/>
        </w:rPr>
        <w:t xml:space="preserve">Il convient de noter que ce critère, </w:t>
      </w:r>
      <w:r w:rsidRPr="00A518F9">
        <w:rPr>
          <w:i/>
          <w:iCs/>
          <w:lang w:val="fr-CH"/>
        </w:rPr>
        <w:t>I</w:t>
      </w:r>
      <w:r w:rsidRPr="00A518F9">
        <w:rPr>
          <w:lang w:val="fr-CH"/>
        </w:rPr>
        <w:t>/</w:t>
      </w:r>
      <w:r w:rsidRPr="00A518F9">
        <w:rPr>
          <w:i/>
          <w:iCs/>
          <w:lang w:val="fr-CH"/>
        </w:rPr>
        <w:t>N</w:t>
      </w:r>
      <w:r w:rsidRPr="00A518F9">
        <w:rPr>
          <w:i/>
          <w:iCs/>
          <w:vertAlign w:val="subscript"/>
          <w:lang w:val="fr-CH"/>
        </w:rPr>
        <w:t>thermique</w:t>
      </w:r>
      <w:r w:rsidRPr="00A518F9">
        <w:rPr>
          <w:lang w:val="fr-CH"/>
        </w:rPr>
        <w:t xml:space="preserve"> = –</w:t>
      </w:r>
      <w:r w:rsidRPr="00A518F9">
        <w:rPr>
          <w:sz w:val="4"/>
          <w:lang w:val="fr-CH"/>
        </w:rPr>
        <w:t> </w:t>
      </w:r>
      <w:r w:rsidRPr="00A518F9">
        <w:rPr>
          <w:lang w:val="fr-CH"/>
        </w:rPr>
        <w:t>10 dB, autorise pour le brouillage cumulatif causé au système de réception par un faisceau unique une dégradation maximale de la qualité de fonctionnement de 0,4 dB au pire.</w:t>
      </w:r>
    </w:p>
    <w:p w:rsidR="002C27CA" w:rsidRPr="00A518F9" w:rsidRDefault="002C27CA" w:rsidP="002C27CA">
      <w:pPr>
        <w:rPr>
          <w:lang w:val="fr-CH"/>
        </w:rPr>
      </w:pPr>
      <w:r w:rsidRPr="00A518F9">
        <w:rPr>
          <w:lang w:val="fr-CH"/>
        </w:rPr>
        <w:t>Une formule approximative de calcul de la distance de coordination requise entre une station de base HAPS et des stations mobiles brouillées est donnée ci-après.</w:t>
      </w:r>
    </w:p>
    <w:p w:rsidR="002C27CA" w:rsidRPr="00A518F9" w:rsidRDefault="002C27CA" w:rsidP="002C27CA">
      <w:pPr>
        <w:rPr>
          <w:lang w:val="fr-CH"/>
        </w:rPr>
      </w:pPr>
      <w:r w:rsidRPr="00A518F9">
        <w:rPr>
          <w:lang w:val="fr-CH"/>
        </w:rPr>
        <w:t>Compte tenu des gains d'antenne élevés, il est possible de faire une approximation du calcul de la distance de coordination au moyen des formules données ci-dessous. Les formules sont valables pour un rayon de couverture principal HAPS inférieur à 132 km. Deux cas seront considérés selon que l'accumulation dans les lobes latéraux est la contribution dominante ou non. Une formule unique couvrant les deux cas est donnée.</w:t>
      </w:r>
    </w:p>
    <w:p w:rsidR="002C27CA" w:rsidRPr="00A518F9" w:rsidRDefault="002C27CA" w:rsidP="002C27CA">
      <w:pPr>
        <w:rPr>
          <w:lang w:val="fr-CH"/>
        </w:rPr>
      </w:pPr>
      <w:r w:rsidRPr="00A518F9">
        <w:rPr>
          <w:lang w:val="fr-CH"/>
        </w:rPr>
        <w:t>Le cas où le portable est essentiellement brouillé par les émissions cumulatives dans les lobes latéraux est étudié en premier.</w:t>
      </w:r>
    </w:p>
    <w:p w:rsidR="002C27CA" w:rsidRPr="00A518F9" w:rsidRDefault="002C27CA" w:rsidP="002C27CA">
      <w:pPr>
        <w:rPr>
          <w:lang w:val="fr-CH"/>
        </w:rPr>
      </w:pPr>
      <w:r w:rsidRPr="00A518F9">
        <w:rPr>
          <w:lang w:val="fr-CH"/>
        </w:rPr>
        <w:t>La puissance brouilleuse reçue par le portable dans ce cas est donnée par la formule:</w:t>
      </w:r>
    </w:p>
    <w:p w:rsidR="002C27CA" w:rsidRPr="00A518F9" w:rsidRDefault="002C27CA" w:rsidP="002C27CA">
      <w:pPr>
        <w:pStyle w:val="Blanc"/>
        <w:rPr>
          <w:lang w:val="fr-CH"/>
        </w:rPr>
      </w:pPr>
    </w:p>
    <w:p w:rsidR="002C27CA" w:rsidRPr="00A518F9" w:rsidRDefault="002C27CA" w:rsidP="002C27CA">
      <w:pPr>
        <w:pStyle w:val="Equation"/>
        <w:tabs>
          <w:tab w:val="left" w:pos="567"/>
        </w:tabs>
        <w:rPr>
          <w:lang w:val="fr-CH"/>
        </w:rPr>
      </w:pPr>
      <w:r w:rsidRPr="00A518F9">
        <w:rPr>
          <w:i/>
          <w:iCs/>
          <w:lang w:val="fr-CH"/>
        </w:rPr>
        <w:tab/>
      </w:r>
      <w:r w:rsidR="002B1FA9" w:rsidRPr="00A518F9">
        <w:rPr>
          <w:position w:val="-16"/>
          <w:lang w:val="fr-CH"/>
        </w:rPr>
        <w:object w:dxaOrig="7540" w:dyaOrig="460">
          <v:shape id="_x0000_i1030" type="#_x0000_t75" style="width:376.5pt;height:23.5pt" o:ole="">
            <v:imagedata r:id="rId27" o:title=""/>
          </v:shape>
          <o:OLEObject Type="Embed" ProgID="Equation.3" ShapeID="_x0000_i1030" DrawAspect="Content" ObjectID="_1370084536" r:id="rId28"/>
        </w:object>
      </w:r>
      <w:r w:rsidRPr="00A518F9">
        <w:rPr>
          <w:lang w:val="fr-CH"/>
        </w:rPr>
        <w:t xml:space="preserve">       dB</w:t>
      </w:r>
      <w:r w:rsidRPr="00A518F9">
        <w:rPr>
          <w:lang w:val="fr-CH"/>
        </w:rPr>
        <w:tab/>
        <w:t>(10)</w:t>
      </w:r>
    </w:p>
    <w:p w:rsidR="002C27CA" w:rsidRPr="00A518F9" w:rsidRDefault="002C27CA" w:rsidP="002C27CA">
      <w:pPr>
        <w:pStyle w:val="Blanc"/>
        <w:rPr>
          <w:lang w:val="fr-CH"/>
        </w:rPr>
      </w:pPr>
    </w:p>
    <w:p w:rsidR="002C27CA" w:rsidRPr="00A518F9" w:rsidRDefault="002C27CA" w:rsidP="002C27CA">
      <w:pPr>
        <w:rPr>
          <w:lang w:val="fr-CH"/>
        </w:rPr>
      </w:pPr>
      <w:r w:rsidRPr="00A518F9">
        <w:rPr>
          <w:lang w:val="fr-CH"/>
        </w:rPr>
        <w:t>où:</w:t>
      </w:r>
    </w:p>
    <w:p w:rsidR="002C27CA" w:rsidRPr="00A518F9" w:rsidRDefault="002C27CA" w:rsidP="002C27CA">
      <w:pPr>
        <w:pStyle w:val="Equationlegend"/>
        <w:rPr>
          <w:lang w:val="fr-CH"/>
        </w:rPr>
      </w:pPr>
      <w:r w:rsidRPr="00A518F9">
        <w:rPr>
          <w:lang w:val="fr-CH"/>
        </w:rPr>
        <w:tab/>
      </w:r>
      <w:r w:rsidRPr="00A518F9">
        <w:rPr>
          <w:i/>
          <w:lang w:val="fr-CH"/>
        </w:rPr>
        <w:t>h</w:t>
      </w:r>
      <w:r w:rsidRPr="00A518F9">
        <w:rPr>
          <w:rFonts w:ascii="Tms Rmn" w:hAnsi="Tms Rmn"/>
          <w:sz w:val="12"/>
          <w:lang w:val="fr-CH"/>
        </w:rPr>
        <w:t> </w:t>
      </w:r>
      <w:r w:rsidRPr="00A518F9">
        <w:rPr>
          <w:lang w:val="fr-CH"/>
        </w:rPr>
        <w:t>:</w:t>
      </w:r>
      <w:r w:rsidRPr="00A518F9">
        <w:rPr>
          <w:lang w:val="fr-CH"/>
        </w:rPr>
        <w:tab/>
        <w:t>altitude de la station HAPS</w:t>
      </w:r>
    </w:p>
    <w:p w:rsidR="002C27CA" w:rsidRPr="00A518F9" w:rsidRDefault="002C27CA" w:rsidP="002C27CA">
      <w:pPr>
        <w:pStyle w:val="Equationlegend"/>
        <w:rPr>
          <w:lang w:val="fr-CH"/>
        </w:rPr>
      </w:pPr>
      <w:r w:rsidRPr="00A518F9">
        <w:rPr>
          <w:lang w:val="fr-CH"/>
        </w:rPr>
        <w:tab/>
      </w:r>
      <w:r w:rsidRPr="00A518F9">
        <w:rPr>
          <w:i/>
          <w:lang w:val="fr-CH"/>
        </w:rPr>
        <w:t>r</w:t>
      </w:r>
      <w:r w:rsidRPr="00A518F9">
        <w:rPr>
          <w:rFonts w:ascii="Tms Rmn" w:hAnsi="Tms Rmn"/>
          <w:sz w:val="12"/>
          <w:lang w:val="fr-CH"/>
        </w:rPr>
        <w:t> </w:t>
      </w:r>
      <w:r w:rsidRPr="00A518F9">
        <w:rPr>
          <w:lang w:val="fr-CH"/>
        </w:rPr>
        <w:t>:</w:t>
      </w:r>
      <w:r w:rsidRPr="00A518F9">
        <w:rPr>
          <w:lang w:val="fr-CH"/>
        </w:rPr>
        <w:tab/>
        <w:t>distance du portable brouillé depuis le nadir</w:t>
      </w:r>
    </w:p>
    <w:p w:rsidR="002C27CA" w:rsidRPr="00A518F9" w:rsidRDefault="002C27CA" w:rsidP="002C27CA">
      <w:pPr>
        <w:pStyle w:val="Equationlegend"/>
        <w:rPr>
          <w:lang w:val="fr-CH"/>
        </w:rPr>
      </w:pPr>
      <w:r w:rsidRPr="00A518F9">
        <w:rPr>
          <w:lang w:val="fr-CH"/>
        </w:rPr>
        <w:tab/>
      </w:r>
      <w:r w:rsidRPr="00A518F9">
        <w:rPr>
          <w:i/>
          <w:iCs/>
          <w:lang w:val="fr-CH"/>
        </w:rPr>
        <w:t>P</w:t>
      </w:r>
      <w:r w:rsidRPr="00A518F9">
        <w:rPr>
          <w:i/>
          <w:iCs/>
          <w:vertAlign w:val="subscript"/>
          <w:lang w:val="fr-CH"/>
        </w:rPr>
        <w:t>victime</w:t>
      </w:r>
      <w:r w:rsidRPr="00A518F9">
        <w:rPr>
          <w:lang w:val="fr-CH"/>
        </w:rPr>
        <w:t xml:space="preserve"> – </w:t>
      </w:r>
      <w:r w:rsidRPr="00A518F9">
        <w:rPr>
          <w:i/>
          <w:iCs/>
          <w:lang w:val="fr-CH"/>
        </w:rPr>
        <w:t>P</w:t>
      </w:r>
      <w:r w:rsidRPr="00A518F9">
        <w:rPr>
          <w:i/>
          <w:iCs/>
          <w:vertAlign w:val="subscript"/>
          <w:lang w:val="fr-CH"/>
        </w:rPr>
        <w:t>centre</w:t>
      </w:r>
      <w:r w:rsidRPr="00A518F9">
        <w:rPr>
          <w:lang w:val="fr-CH"/>
        </w:rPr>
        <w:t>:</w:t>
      </w:r>
      <w:r w:rsidRPr="00A518F9">
        <w:rPr>
          <w:lang w:val="fr-CH"/>
        </w:rPr>
        <w:tab/>
        <w:t>niveau de la puissance brouilleuse reçue relativement à la puissance dans le lobe principal sur l'axe de visée du faisceau HAPS le plus proche</w:t>
      </w:r>
    </w:p>
    <w:p w:rsidR="002C27CA" w:rsidRPr="00A518F9" w:rsidRDefault="002C27CA" w:rsidP="002C27CA">
      <w:pPr>
        <w:pStyle w:val="Equationlegend"/>
        <w:rPr>
          <w:lang w:val="fr-CH"/>
        </w:rPr>
      </w:pPr>
      <w:r w:rsidRPr="00A518F9">
        <w:rPr>
          <w:lang w:val="fr-CH"/>
        </w:rPr>
        <w:tab/>
      </w:r>
      <w:r w:rsidRPr="00A518F9">
        <w:rPr>
          <w:i/>
          <w:iCs/>
          <w:lang w:val="fr-CH"/>
        </w:rPr>
        <w:t>r</w:t>
      </w:r>
      <w:r w:rsidRPr="00A518F9">
        <w:rPr>
          <w:i/>
          <w:iCs/>
          <w:vertAlign w:val="subscript"/>
          <w:lang w:val="fr-CH"/>
        </w:rPr>
        <w:t>centre</w:t>
      </w:r>
      <w:r w:rsidRPr="00A518F9">
        <w:rPr>
          <w:lang w:val="fr-CH"/>
        </w:rPr>
        <w:t>:</w:t>
      </w:r>
      <w:r w:rsidRPr="00A518F9">
        <w:rPr>
          <w:lang w:val="fr-CH"/>
        </w:rPr>
        <w:tab/>
        <w:t>distance du centre du faisceau par rapport au nadir</w:t>
      </w:r>
    </w:p>
    <w:p w:rsidR="002C27CA" w:rsidRPr="00A518F9" w:rsidRDefault="002C27CA" w:rsidP="002C27CA">
      <w:pPr>
        <w:pStyle w:val="Equationlegend"/>
        <w:rPr>
          <w:lang w:val="fr-CH"/>
        </w:rPr>
      </w:pPr>
      <w:r w:rsidRPr="00A518F9">
        <w:rPr>
          <w:lang w:val="fr-CH"/>
        </w:rPr>
        <w:tab/>
      </w:r>
      <w:r w:rsidRPr="00A518F9">
        <w:rPr>
          <w:i/>
          <w:iCs/>
          <w:lang w:val="fr-CH"/>
        </w:rPr>
        <w:t>Num</w:t>
      </w:r>
      <w:r w:rsidRPr="00A518F9">
        <w:rPr>
          <w:rFonts w:ascii="Tms Rmn" w:hAnsi="Tms Rmn"/>
          <w:sz w:val="12"/>
          <w:lang w:val="fr-CH"/>
        </w:rPr>
        <w:t> </w:t>
      </w:r>
      <w:r w:rsidRPr="00A518F9">
        <w:rPr>
          <w:lang w:val="fr-CH"/>
        </w:rPr>
        <w:t>:</w:t>
      </w:r>
      <w:r w:rsidRPr="00A518F9">
        <w:rPr>
          <w:lang w:val="fr-CH"/>
        </w:rPr>
        <w:tab/>
        <w:t>nombre total de faisceaux</w:t>
      </w:r>
    </w:p>
    <w:p w:rsidR="002C27CA" w:rsidRPr="00A518F9" w:rsidRDefault="002C27CA" w:rsidP="002C27CA">
      <w:pPr>
        <w:pStyle w:val="Equationlegend"/>
        <w:rPr>
          <w:lang w:val="fr-CH"/>
        </w:rPr>
      </w:pPr>
      <w:r w:rsidRPr="00A518F9">
        <w:rPr>
          <w:lang w:val="fr-CH"/>
        </w:rPr>
        <w:tab/>
      </w:r>
      <w:r w:rsidRPr="00A518F9">
        <w:rPr>
          <w:i/>
          <w:iCs/>
          <w:lang w:val="fr-CH"/>
        </w:rPr>
        <w:t>F</w:t>
      </w:r>
      <w:r w:rsidRPr="00A518F9">
        <w:rPr>
          <w:lang w:val="fr-CH"/>
        </w:rPr>
        <w:t xml:space="preserve"> = 73 dB</w:t>
      </w:r>
      <w:r w:rsidRPr="00A518F9">
        <w:rPr>
          <w:rFonts w:ascii="Tms Rmn" w:hAnsi="Tms Rmn"/>
          <w:sz w:val="12"/>
          <w:lang w:val="fr-CH"/>
        </w:rPr>
        <w:t> </w:t>
      </w:r>
      <w:r w:rsidRPr="00A518F9">
        <w:rPr>
          <w:lang w:val="fr-CH"/>
        </w:rPr>
        <w:t>:</w:t>
      </w:r>
      <w:r w:rsidRPr="00A518F9">
        <w:rPr>
          <w:lang w:val="fr-CH"/>
        </w:rPr>
        <w:tab/>
        <w:t>niveau dans le lobe latéral éloigné relativement au gain crête.</w:t>
      </w:r>
    </w:p>
    <w:p w:rsidR="002C27CA" w:rsidRPr="00A518F9" w:rsidRDefault="002C27CA" w:rsidP="002C27CA">
      <w:pPr>
        <w:rPr>
          <w:lang w:val="fr-CH"/>
        </w:rPr>
      </w:pPr>
      <w:r w:rsidRPr="00A518F9">
        <w:rPr>
          <w:lang w:val="fr-CH"/>
        </w:rPr>
        <w:t>On peut alors déterminer la distance de coordination comme suit:</w:t>
      </w:r>
    </w:p>
    <w:p w:rsidR="002C27CA" w:rsidRPr="00A518F9" w:rsidRDefault="002C27CA" w:rsidP="002C27CA">
      <w:pPr>
        <w:pStyle w:val="Blanc"/>
        <w:rPr>
          <w:lang w:val="fr-CH"/>
        </w:rPr>
      </w:pPr>
    </w:p>
    <w:p w:rsidR="002C27CA" w:rsidRPr="00A518F9" w:rsidRDefault="002C27CA" w:rsidP="002C27CA">
      <w:pPr>
        <w:pStyle w:val="Equation"/>
        <w:rPr>
          <w:lang w:val="fr-CH"/>
        </w:rPr>
      </w:pPr>
      <w:r w:rsidRPr="00A518F9">
        <w:rPr>
          <w:lang w:val="fr-CH"/>
        </w:rPr>
        <w:tab/>
      </w:r>
      <w:r w:rsidRPr="00A518F9">
        <w:rPr>
          <w:lang w:val="fr-CH"/>
        </w:rPr>
        <w:tab/>
      </w:r>
      <w:r w:rsidR="002B1FA9" w:rsidRPr="00A518F9">
        <w:rPr>
          <w:position w:val="-12"/>
          <w:lang w:val="fr-CH"/>
        </w:rPr>
        <w:object w:dxaOrig="5560" w:dyaOrig="480">
          <v:shape id="_x0000_i1031" type="#_x0000_t75" style="width:278.5pt;height:24pt" o:ole="">
            <v:imagedata r:id="rId29" o:title=""/>
          </v:shape>
          <o:OLEObject Type="Embed" ProgID="Equation.3" ShapeID="_x0000_i1031" DrawAspect="Content" ObjectID="_1370084537" r:id="rId30"/>
        </w:object>
      </w:r>
      <w:r w:rsidRPr="00A518F9">
        <w:rPr>
          <w:lang w:val="fr-CH"/>
        </w:rPr>
        <w:t xml:space="preserve">                 km</w:t>
      </w:r>
      <w:r w:rsidRPr="00A518F9">
        <w:rPr>
          <w:lang w:val="fr-CH"/>
        </w:rPr>
        <w:tab/>
        <w:t>(11)</w:t>
      </w:r>
    </w:p>
    <w:p w:rsidR="002C27CA" w:rsidRPr="00A518F9" w:rsidRDefault="002C27CA" w:rsidP="002C27CA">
      <w:pPr>
        <w:pStyle w:val="Blanc"/>
        <w:rPr>
          <w:lang w:val="fr-CH"/>
        </w:rPr>
      </w:pPr>
    </w:p>
    <w:p w:rsidR="002C27CA" w:rsidRPr="00A518F9" w:rsidRDefault="002C27CA" w:rsidP="002C27CA">
      <w:pPr>
        <w:rPr>
          <w:lang w:val="fr-CH"/>
        </w:rPr>
      </w:pPr>
      <w:r w:rsidRPr="00A518F9">
        <w:rPr>
          <w:lang w:val="fr-CH"/>
        </w:rPr>
        <w:t>où:</w:t>
      </w:r>
    </w:p>
    <w:p w:rsidR="00F45A74" w:rsidRPr="00A518F9" w:rsidRDefault="00F45A74" w:rsidP="00F45A74">
      <w:pPr>
        <w:pStyle w:val="Blanc"/>
        <w:rPr>
          <w:lang w:val="fr-CH"/>
        </w:rPr>
      </w:pPr>
    </w:p>
    <w:p w:rsidR="002C27CA" w:rsidRPr="00A518F9" w:rsidRDefault="002C27CA" w:rsidP="002C27CA">
      <w:pPr>
        <w:pStyle w:val="Equationlegend"/>
        <w:rPr>
          <w:lang w:val="fr-CH"/>
        </w:rPr>
      </w:pPr>
      <w:r w:rsidRPr="00A518F9">
        <w:rPr>
          <w:lang w:val="fr-CH"/>
        </w:rPr>
        <w:tab/>
      </w:r>
      <w:r w:rsidRPr="00A518F9">
        <w:rPr>
          <w:lang w:val="fr-CH"/>
        </w:rPr>
        <w:tab/>
      </w:r>
      <w:r w:rsidRPr="00A518F9">
        <w:rPr>
          <w:i/>
          <w:iCs/>
          <w:lang w:val="fr-CH"/>
        </w:rPr>
        <w:t>B</w:t>
      </w:r>
      <w:r w:rsidRPr="00A518F9">
        <w:rPr>
          <w:lang w:val="fr-CH"/>
        </w:rPr>
        <w:t xml:space="preserve">  =  0,1  (</w:t>
      </w:r>
      <w:r w:rsidRPr="00A518F9">
        <w:rPr>
          <w:i/>
          <w:iCs/>
          <w:lang w:val="fr-CH"/>
        </w:rPr>
        <w:t>P</w:t>
      </w:r>
      <w:r w:rsidRPr="00A518F9">
        <w:rPr>
          <w:i/>
          <w:iCs/>
          <w:vertAlign w:val="subscript"/>
          <w:lang w:val="fr-CH"/>
        </w:rPr>
        <w:t>centre</w:t>
      </w:r>
      <w:r w:rsidRPr="00A518F9">
        <w:rPr>
          <w:lang w:val="fr-CH"/>
        </w:rPr>
        <w:t>/N)  +  1.</w:t>
      </w:r>
    </w:p>
    <w:p w:rsidR="00F45A74" w:rsidRPr="00A518F9" w:rsidRDefault="00F45A74" w:rsidP="00F45A74">
      <w:pPr>
        <w:pStyle w:val="Blanc"/>
        <w:rPr>
          <w:lang w:val="fr-CH"/>
        </w:rPr>
      </w:pPr>
    </w:p>
    <w:p w:rsidR="002C27CA" w:rsidRPr="00A518F9" w:rsidRDefault="002C27CA" w:rsidP="002C27CA">
      <w:pPr>
        <w:rPr>
          <w:lang w:val="fr-CH"/>
        </w:rPr>
      </w:pPr>
      <w:r w:rsidRPr="00A518F9">
        <w:rPr>
          <w:lang w:val="fr-CH"/>
        </w:rPr>
        <w:t xml:space="preserve">L'équation (11) n'est valable que pour </w:t>
      </w:r>
      <w:r w:rsidRPr="00A518F9">
        <w:rPr>
          <w:i/>
          <w:iCs/>
          <w:lang w:val="fr-CH"/>
        </w:rPr>
        <w:t>B</w:t>
      </w:r>
      <w:r w:rsidRPr="00A518F9">
        <w:rPr>
          <w:lang w:val="fr-CH"/>
        </w:rPr>
        <w:t xml:space="preserve"> + log(</w:t>
      </w:r>
      <w:r w:rsidRPr="00A518F9">
        <w:rPr>
          <w:i/>
          <w:iCs/>
          <w:lang w:val="fr-CH"/>
        </w:rPr>
        <w:t>Num</w:t>
      </w:r>
      <w:r w:rsidRPr="00A518F9">
        <w:rPr>
          <w:lang w:val="fr-CH"/>
        </w:rPr>
        <w:t xml:space="preserve">) &gt; 7,3 = 0,1 </w:t>
      </w:r>
      <w:r w:rsidRPr="00A518F9">
        <w:rPr>
          <w:i/>
          <w:iCs/>
          <w:lang w:val="fr-CH"/>
        </w:rPr>
        <w:t>F</w:t>
      </w:r>
      <w:r w:rsidRPr="00A518F9">
        <w:rPr>
          <w:lang w:val="fr-CH"/>
        </w:rPr>
        <w:t xml:space="preserve">, condition pour que le niveau cumulatif dans les lobes latéraux soit dominant dans la détermination de la distance de coordination. </w:t>
      </w:r>
      <w:r w:rsidRPr="00A518F9">
        <w:rPr>
          <w:lang w:val="fr-CH"/>
        </w:rPr>
        <w:lastRenderedPageBreak/>
        <w:t>L'équation (11) n'est valable que pour une couverture HAPS très étroite. Dans la limite opposée, où, en raison de l'affaiblissement rapide dans les lobes latéraux, le brouillage est dominé par un seul faisceau, le rapport puissance de brouillage/bruit thermique pour le récepteur du portable brouillé est donné approximativement par la formule:</w:t>
      </w:r>
    </w:p>
    <w:p w:rsidR="002C27CA" w:rsidRPr="00A518F9" w:rsidRDefault="002C27CA" w:rsidP="002C27CA">
      <w:pPr>
        <w:pStyle w:val="Blanc"/>
        <w:rPr>
          <w:lang w:val="fr-CH"/>
        </w:rPr>
      </w:pPr>
    </w:p>
    <w:p w:rsidR="002C27CA" w:rsidRPr="00A518F9" w:rsidRDefault="002C27CA" w:rsidP="002C27CA">
      <w:pPr>
        <w:pStyle w:val="Equation"/>
        <w:rPr>
          <w:lang w:val="fr-CH"/>
        </w:rPr>
      </w:pPr>
      <w:r w:rsidRPr="00A518F9">
        <w:rPr>
          <w:lang w:val="fr-CH"/>
        </w:rPr>
        <w:tab/>
      </w:r>
      <w:r w:rsidRPr="00A518F9">
        <w:rPr>
          <w:lang w:val="fr-CH"/>
        </w:rPr>
        <w:tab/>
        <w:t>(</w:t>
      </w:r>
      <w:r w:rsidRPr="00A518F9">
        <w:rPr>
          <w:i/>
          <w:iCs/>
          <w:lang w:val="fr-CH"/>
        </w:rPr>
        <w:t>I</w:t>
      </w:r>
      <w:r w:rsidRPr="00A518F9">
        <w:rPr>
          <w:i/>
          <w:iCs/>
          <w:vertAlign w:val="subscript"/>
          <w:lang w:val="fr-CH"/>
        </w:rPr>
        <w:t>reçue</w:t>
      </w:r>
      <w:r w:rsidRPr="00A518F9">
        <w:rPr>
          <w:lang w:val="fr-CH"/>
        </w:rPr>
        <w:t>/</w:t>
      </w:r>
      <w:r w:rsidRPr="00A518F9">
        <w:rPr>
          <w:i/>
          <w:iCs/>
          <w:lang w:val="fr-CH"/>
        </w:rPr>
        <w:t>N</w:t>
      </w:r>
      <w:r w:rsidRPr="00A518F9">
        <w:rPr>
          <w:lang w:val="fr-CH"/>
        </w:rPr>
        <w:t>)  =  (</w:t>
      </w:r>
      <w:r w:rsidRPr="00A518F9">
        <w:rPr>
          <w:i/>
          <w:iCs/>
          <w:lang w:val="fr-CH"/>
        </w:rPr>
        <w:t>I</w:t>
      </w:r>
      <w:r w:rsidRPr="00A518F9">
        <w:rPr>
          <w:i/>
          <w:iCs/>
          <w:vertAlign w:val="subscript"/>
          <w:lang w:val="fr-CH"/>
        </w:rPr>
        <w:t>reçue</w:t>
      </w:r>
      <w:r w:rsidRPr="00A518F9">
        <w:rPr>
          <w:lang w:val="fr-CH"/>
        </w:rPr>
        <w:t>/</w:t>
      </w:r>
      <w:r w:rsidRPr="00A518F9">
        <w:rPr>
          <w:i/>
          <w:iCs/>
          <w:lang w:val="fr-CH"/>
        </w:rPr>
        <w:t>N</w:t>
      </w:r>
      <w:r w:rsidRPr="00A518F9">
        <w:rPr>
          <w:lang w:val="fr-CH"/>
        </w:rPr>
        <w:t>)</w:t>
      </w:r>
      <w:r w:rsidRPr="00A518F9">
        <w:rPr>
          <w:i/>
          <w:iCs/>
          <w:vertAlign w:val="subscript"/>
          <w:lang w:val="fr-CH"/>
        </w:rPr>
        <w:t>centre</w:t>
      </w:r>
      <w:r w:rsidRPr="00A518F9">
        <w:rPr>
          <w:lang w:val="fr-CH"/>
        </w:rPr>
        <w:t xml:space="preserve">  +  </w:t>
      </w:r>
      <w:r w:rsidRPr="00A518F9">
        <w:rPr>
          <w:lang w:val="fr-CH"/>
        </w:rPr>
        <w:sym w:font="Symbol" w:char="F064"/>
      </w:r>
      <w:r w:rsidRPr="00A518F9">
        <w:rPr>
          <w:lang w:val="fr-CH"/>
        </w:rPr>
        <w:t xml:space="preserve"> </w:t>
      </w:r>
      <w:r w:rsidRPr="00A518F9">
        <w:rPr>
          <w:i/>
          <w:iCs/>
          <w:lang w:val="fr-CH"/>
        </w:rPr>
        <w:t>G</w:t>
      </w:r>
      <w:r w:rsidRPr="00A518F9">
        <w:rPr>
          <w:lang w:val="fr-CH"/>
        </w:rPr>
        <w:t>(θ  –  θ</w:t>
      </w:r>
      <w:r w:rsidRPr="00A518F9">
        <w:rPr>
          <w:vertAlign w:val="subscript"/>
          <w:lang w:val="fr-CH"/>
        </w:rPr>
        <w:t>0</w:t>
      </w:r>
      <w:r w:rsidRPr="00A518F9">
        <w:rPr>
          <w:lang w:val="fr-CH"/>
        </w:rPr>
        <w:t xml:space="preserve">)  –  </w:t>
      </w:r>
      <w:r w:rsidRPr="00A518F9">
        <w:rPr>
          <w:lang w:val="fr-CH"/>
        </w:rPr>
        <w:sym w:font="Symbol" w:char="F064"/>
      </w:r>
      <w:r w:rsidRPr="00A518F9">
        <w:rPr>
          <w:lang w:val="fr-CH"/>
        </w:rPr>
        <w:t xml:space="preserve"> </w:t>
      </w:r>
      <w:r w:rsidRPr="00A518F9">
        <w:rPr>
          <w:i/>
          <w:iCs/>
          <w:lang w:val="fr-CH"/>
        </w:rPr>
        <w:t>FSL</w:t>
      </w:r>
      <w:r w:rsidRPr="00A518F9">
        <w:rPr>
          <w:lang w:val="fr-CH"/>
        </w:rPr>
        <w:t>(θ)</w:t>
      </w:r>
      <w:r w:rsidRPr="00A518F9">
        <w:rPr>
          <w:lang w:val="fr-CH"/>
        </w:rPr>
        <w:tab/>
        <w:t>(12)</w:t>
      </w:r>
    </w:p>
    <w:p w:rsidR="002C27CA" w:rsidRPr="00A518F9" w:rsidRDefault="002C27CA" w:rsidP="002C27CA">
      <w:pPr>
        <w:rPr>
          <w:lang w:val="fr-CH"/>
        </w:rPr>
      </w:pPr>
      <w:r w:rsidRPr="00A518F9">
        <w:rPr>
          <w:lang w:val="fr-CH"/>
        </w:rPr>
        <w:t>où:</w:t>
      </w:r>
    </w:p>
    <w:p w:rsidR="002C27CA" w:rsidRPr="00A518F9" w:rsidRDefault="002C27CA" w:rsidP="002C27CA">
      <w:pPr>
        <w:pStyle w:val="Equationlegend"/>
        <w:rPr>
          <w:lang w:val="fr-CH"/>
        </w:rPr>
      </w:pPr>
      <w:r w:rsidRPr="00A518F9">
        <w:rPr>
          <w:lang w:val="fr-CH"/>
        </w:rPr>
        <w:tab/>
        <w:t>(</w:t>
      </w:r>
      <w:r w:rsidRPr="00A518F9">
        <w:rPr>
          <w:i/>
          <w:iCs/>
          <w:lang w:val="fr-CH"/>
        </w:rPr>
        <w:t>I</w:t>
      </w:r>
      <w:r w:rsidRPr="00A518F9">
        <w:rPr>
          <w:i/>
          <w:iCs/>
          <w:vertAlign w:val="subscript"/>
          <w:lang w:val="fr-CH"/>
        </w:rPr>
        <w:t>reçue</w:t>
      </w:r>
      <w:r w:rsidRPr="00A518F9">
        <w:rPr>
          <w:lang w:val="fr-CH"/>
        </w:rPr>
        <w:t>/</w:t>
      </w:r>
      <w:r w:rsidRPr="00A518F9">
        <w:rPr>
          <w:i/>
          <w:iCs/>
          <w:lang w:val="fr-CH"/>
        </w:rPr>
        <w:t>N</w:t>
      </w:r>
      <w:r w:rsidRPr="00A518F9">
        <w:rPr>
          <w:lang w:val="fr-CH"/>
        </w:rPr>
        <w:t>)</w:t>
      </w:r>
      <w:r w:rsidRPr="00A518F9">
        <w:rPr>
          <w:i/>
          <w:iCs/>
          <w:vertAlign w:val="subscript"/>
          <w:lang w:val="fr-CH"/>
        </w:rPr>
        <w:t>centre</w:t>
      </w:r>
      <w:r w:rsidRPr="00A518F9">
        <w:rPr>
          <w:rFonts w:ascii="Tms Rmn" w:hAnsi="Tms Rmn"/>
          <w:sz w:val="12"/>
          <w:lang w:val="fr-CH"/>
        </w:rPr>
        <w:t> </w:t>
      </w:r>
      <w:r w:rsidRPr="00A518F9">
        <w:rPr>
          <w:lang w:val="fr-CH"/>
        </w:rPr>
        <w:t>:</w:t>
      </w:r>
      <w:r w:rsidRPr="00A518F9">
        <w:rPr>
          <w:lang w:val="fr-CH"/>
        </w:rPr>
        <w:tab/>
        <w:t>rapport puissance du brouillage cumulatif reçue/bruit mesuré sur l'axe de visée du faisceau HAPS le plus éloigné</w:t>
      </w:r>
    </w:p>
    <w:p w:rsidR="002C27CA" w:rsidRPr="00A518F9" w:rsidRDefault="002C27CA" w:rsidP="002C27CA">
      <w:pPr>
        <w:pStyle w:val="Equationlegend"/>
        <w:rPr>
          <w:lang w:val="fr-CH"/>
        </w:rPr>
      </w:pPr>
      <w:r w:rsidRPr="00A518F9">
        <w:rPr>
          <w:lang w:val="fr-CH"/>
        </w:rPr>
        <w:tab/>
        <w:t>θ</w:t>
      </w:r>
      <w:r w:rsidRPr="00A518F9">
        <w:rPr>
          <w:vertAlign w:val="subscript"/>
          <w:lang w:val="fr-CH"/>
        </w:rPr>
        <w:t>0</w:t>
      </w:r>
      <w:r w:rsidRPr="00A518F9">
        <w:rPr>
          <w:rFonts w:ascii="Tms Rmn" w:hAnsi="Tms Rmn"/>
          <w:sz w:val="12"/>
          <w:lang w:val="fr-CH"/>
        </w:rPr>
        <w:t> </w:t>
      </w:r>
      <w:r w:rsidRPr="00A518F9">
        <w:rPr>
          <w:lang w:val="fr-CH"/>
        </w:rPr>
        <w:t>:</w:t>
      </w:r>
      <w:r w:rsidRPr="00A518F9">
        <w:rPr>
          <w:lang w:val="fr-CH"/>
        </w:rPr>
        <w:tab/>
        <w:t>angle d'inclinaison du dernier faisceau HAPS</w:t>
      </w:r>
    </w:p>
    <w:p w:rsidR="002C27CA" w:rsidRPr="00A518F9" w:rsidRDefault="002C27CA" w:rsidP="002C27CA">
      <w:pPr>
        <w:pStyle w:val="Equationlegend"/>
        <w:rPr>
          <w:lang w:val="fr-CH"/>
        </w:rPr>
      </w:pPr>
      <w:r w:rsidRPr="00A518F9">
        <w:rPr>
          <w:lang w:val="fr-CH"/>
        </w:rPr>
        <w:tab/>
        <w:t>θ</w:t>
      </w:r>
      <w:r w:rsidRPr="00A518F9">
        <w:rPr>
          <w:rFonts w:ascii="Tms Rmn" w:hAnsi="Tms Rmn"/>
          <w:sz w:val="12"/>
          <w:lang w:val="fr-CH"/>
        </w:rPr>
        <w:t> </w:t>
      </w:r>
      <w:r w:rsidRPr="00A518F9">
        <w:rPr>
          <w:lang w:val="fr-CH"/>
        </w:rPr>
        <w:t>:</w:t>
      </w:r>
      <w:r w:rsidRPr="00A518F9">
        <w:rPr>
          <w:lang w:val="fr-CH"/>
        </w:rPr>
        <w:tab/>
        <w:t>angle d'inclinaison du portable brouillé par rapport à la station HAPS</w:t>
      </w:r>
    </w:p>
    <w:p w:rsidR="002C27CA" w:rsidRPr="00A518F9" w:rsidRDefault="002C27CA" w:rsidP="002C27CA">
      <w:pPr>
        <w:pStyle w:val="Equationlegend"/>
        <w:rPr>
          <w:lang w:val="fr-CH"/>
        </w:rPr>
      </w:pPr>
      <w:r w:rsidRPr="00A518F9">
        <w:rPr>
          <w:lang w:val="fr-CH"/>
        </w:rPr>
        <w:tab/>
      </w:r>
      <w:r w:rsidRPr="00A518F9">
        <w:rPr>
          <w:lang w:val="fr-CH"/>
        </w:rPr>
        <w:sym w:font="Symbol" w:char="F064"/>
      </w:r>
      <w:r w:rsidRPr="00A518F9">
        <w:rPr>
          <w:lang w:val="fr-CH"/>
        </w:rPr>
        <w:t xml:space="preserve"> </w:t>
      </w:r>
      <w:r w:rsidRPr="00A518F9">
        <w:rPr>
          <w:i/>
          <w:iCs/>
          <w:lang w:val="fr-CH"/>
        </w:rPr>
        <w:t>G</w:t>
      </w:r>
      <w:r w:rsidRPr="00A518F9">
        <w:rPr>
          <w:lang w:val="fr-CH"/>
        </w:rPr>
        <w:t>(θ – θ</w:t>
      </w:r>
      <w:r w:rsidRPr="00A518F9">
        <w:rPr>
          <w:vertAlign w:val="subscript"/>
          <w:lang w:val="fr-CH"/>
        </w:rPr>
        <w:t>0</w:t>
      </w:r>
      <w:r w:rsidRPr="00A518F9">
        <w:rPr>
          <w:lang w:val="fr-CH"/>
        </w:rPr>
        <w:t xml:space="preserve">) = </w:t>
      </w:r>
      <w:r w:rsidRPr="00A518F9">
        <w:rPr>
          <w:i/>
          <w:iCs/>
          <w:lang w:val="fr-CH"/>
        </w:rPr>
        <w:t>G</w:t>
      </w:r>
      <w:r w:rsidRPr="00A518F9">
        <w:rPr>
          <w:lang w:val="fr-CH"/>
        </w:rPr>
        <w:t>(θ – θ</w:t>
      </w:r>
      <w:r w:rsidRPr="00A518F9">
        <w:rPr>
          <w:vertAlign w:val="subscript"/>
          <w:lang w:val="fr-CH"/>
        </w:rPr>
        <w:t>0</w:t>
      </w:r>
      <w:r w:rsidRPr="00A518F9">
        <w:rPr>
          <w:lang w:val="fr-CH"/>
        </w:rPr>
        <w:t xml:space="preserve">) – </w:t>
      </w:r>
      <w:r w:rsidRPr="00A518F9">
        <w:rPr>
          <w:i/>
          <w:lang w:val="fr-CH"/>
        </w:rPr>
        <w:t>G</w:t>
      </w:r>
      <w:r w:rsidRPr="00A518F9">
        <w:rPr>
          <w:i/>
          <w:iCs/>
          <w:vertAlign w:val="subscript"/>
          <w:lang w:val="fr-CH"/>
        </w:rPr>
        <w:t>m</w:t>
      </w:r>
      <w:r w:rsidRPr="00A518F9">
        <w:rPr>
          <w:rFonts w:ascii="Tms Rmn" w:hAnsi="Tms Rmn"/>
          <w:sz w:val="12"/>
          <w:lang w:val="fr-CH"/>
        </w:rPr>
        <w:t> </w:t>
      </w:r>
      <w:r w:rsidRPr="00A518F9">
        <w:rPr>
          <w:lang w:val="fr-CH"/>
        </w:rPr>
        <w:t>:  gain différentiel d'antenne</w:t>
      </w:r>
    </w:p>
    <w:p w:rsidR="002C27CA" w:rsidRPr="00A518F9" w:rsidRDefault="002C27CA" w:rsidP="002C27CA">
      <w:pPr>
        <w:pStyle w:val="Equationlegend"/>
        <w:rPr>
          <w:lang w:val="fr-CH"/>
        </w:rPr>
      </w:pPr>
      <w:r w:rsidRPr="00A518F9">
        <w:rPr>
          <w:lang w:val="fr-CH"/>
        </w:rPr>
        <w:tab/>
      </w:r>
      <w:r w:rsidRPr="00A518F9">
        <w:rPr>
          <w:lang w:val="fr-CH"/>
        </w:rPr>
        <w:sym w:font="Symbol" w:char="F064"/>
      </w:r>
      <w:r w:rsidRPr="00A518F9">
        <w:rPr>
          <w:lang w:val="fr-CH"/>
        </w:rPr>
        <w:t xml:space="preserve"> </w:t>
      </w:r>
      <w:r w:rsidRPr="00A518F9">
        <w:rPr>
          <w:i/>
          <w:iCs/>
          <w:lang w:val="fr-CH"/>
        </w:rPr>
        <w:t>FSL</w:t>
      </w:r>
      <w:r w:rsidRPr="00A518F9">
        <w:rPr>
          <w:lang w:val="fr-CH"/>
        </w:rPr>
        <w:t>(θ) = 20 log(cos(θ</w:t>
      </w:r>
      <w:r w:rsidRPr="00A518F9">
        <w:rPr>
          <w:vertAlign w:val="subscript"/>
          <w:lang w:val="fr-CH"/>
        </w:rPr>
        <w:t>0</w:t>
      </w:r>
      <w:r w:rsidRPr="00A518F9">
        <w:rPr>
          <w:lang w:val="fr-CH"/>
        </w:rPr>
        <w:t xml:space="preserve">)) – 20 log(cos(θ)):  affaiblissement différentiel sur le trajet en espace libre (FSL, </w:t>
      </w:r>
      <w:r w:rsidRPr="00A518F9">
        <w:rPr>
          <w:i/>
          <w:iCs/>
          <w:lang w:val="fr-CH"/>
        </w:rPr>
        <w:t>free space path loss</w:t>
      </w:r>
      <w:r w:rsidRPr="00A518F9">
        <w:rPr>
          <w:lang w:val="fr-CH"/>
        </w:rPr>
        <w:t>) entre les émetteurs HAPS et le portable brouillé relativement à l'affaiblissement sur le trajet en espace libre sur l'axe de visée du dernier faisceau.</w:t>
      </w:r>
    </w:p>
    <w:p w:rsidR="002C27CA" w:rsidRPr="00A518F9" w:rsidRDefault="002C27CA" w:rsidP="002C27CA">
      <w:pPr>
        <w:rPr>
          <w:lang w:val="fr-CH"/>
        </w:rPr>
      </w:pPr>
      <w:r w:rsidRPr="00A518F9">
        <w:rPr>
          <w:lang w:val="fr-CH"/>
        </w:rPr>
        <w:t>Etant donné que la puissance brouilleuse reçue par le portable brouillé à l'intérieur du lobe principal de l'émission HAPS est en général trop importante pour être admissible, seule la partie en puissance sixième inverse du diagramme de rayonnement de l'antenne sera visée par la présente discussion.</w:t>
      </w:r>
    </w:p>
    <w:p w:rsidR="002C27CA" w:rsidRPr="00A518F9" w:rsidRDefault="002C27CA" w:rsidP="002C27CA">
      <w:pPr>
        <w:rPr>
          <w:lang w:val="fr-CH"/>
        </w:rPr>
      </w:pPr>
      <w:r w:rsidRPr="00A518F9">
        <w:rPr>
          <w:lang w:val="fr-CH"/>
        </w:rPr>
        <w:t xml:space="preserve">De ce fait, on peut exprimer </w:t>
      </w:r>
      <w:r w:rsidRPr="00A518F9">
        <w:rPr>
          <w:lang w:val="fr-CH"/>
        </w:rPr>
        <w:sym w:font="Symbol" w:char="F064"/>
      </w:r>
      <w:r w:rsidRPr="00A518F9">
        <w:rPr>
          <w:lang w:val="fr-CH"/>
        </w:rPr>
        <w:t xml:space="preserve"> </w:t>
      </w:r>
      <w:r w:rsidRPr="00A518F9">
        <w:rPr>
          <w:i/>
          <w:iCs/>
          <w:lang w:val="fr-CH"/>
        </w:rPr>
        <w:t>G</w:t>
      </w:r>
      <w:r w:rsidRPr="00A518F9">
        <w:rPr>
          <w:lang w:val="fr-CH"/>
        </w:rPr>
        <w:t>(θ – θ</w:t>
      </w:r>
      <w:r w:rsidRPr="00A518F9">
        <w:rPr>
          <w:vertAlign w:val="subscript"/>
          <w:lang w:val="fr-CH"/>
        </w:rPr>
        <w:t>0</w:t>
      </w:r>
      <w:r w:rsidRPr="00A518F9">
        <w:rPr>
          <w:lang w:val="fr-CH"/>
        </w:rPr>
        <w:t>) en posant θ – θ</w:t>
      </w:r>
      <w:r w:rsidRPr="00A518F9">
        <w:rPr>
          <w:vertAlign w:val="subscript"/>
          <w:lang w:val="fr-CH"/>
        </w:rPr>
        <w:t>0</w:t>
      </w:r>
      <w:r w:rsidRPr="00A518F9">
        <w:rPr>
          <w:lang w:val="fr-CH"/>
        </w:rPr>
        <w:t xml:space="preserve"> = </w:t>
      </w:r>
      <w:r w:rsidRPr="00A518F9">
        <w:rPr>
          <w:lang w:val="fr-CH"/>
        </w:rPr>
        <w:sym w:font="Symbol" w:char="F079"/>
      </w:r>
      <w:r w:rsidRPr="00A518F9">
        <w:rPr>
          <w:vertAlign w:val="subscript"/>
          <w:lang w:val="fr-CH"/>
        </w:rPr>
        <w:t>2</w:t>
      </w:r>
      <w:r w:rsidRPr="00A518F9">
        <w:rPr>
          <w:lang w:val="fr-CH"/>
        </w:rPr>
        <w:sym w:font="Symbol" w:char="F068"/>
      </w:r>
      <w:r w:rsidRPr="00A518F9">
        <w:rPr>
          <w:lang w:val="fr-CH"/>
        </w:rPr>
        <w:t xml:space="preserve"> + </w:t>
      </w:r>
      <w:r w:rsidRPr="00A518F9">
        <w:rPr>
          <w:lang w:val="fr-CH"/>
        </w:rPr>
        <w:sym w:font="Symbol" w:char="F079"/>
      </w:r>
      <w:r w:rsidRPr="00A518F9">
        <w:rPr>
          <w:vertAlign w:val="subscript"/>
          <w:lang w:val="fr-CH"/>
        </w:rPr>
        <w:t>2</w:t>
      </w:r>
      <w:r w:rsidRPr="00A518F9">
        <w:rPr>
          <w:lang w:val="fr-CH"/>
        </w:rPr>
        <w:t>, comme suit:</w:t>
      </w:r>
    </w:p>
    <w:p w:rsidR="002C27CA" w:rsidRPr="00A518F9" w:rsidRDefault="002C27CA" w:rsidP="002C27CA">
      <w:pPr>
        <w:pStyle w:val="Blanc"/>
        <w:rPr>
          <w:lang w:val="fr-CH"/>
        </w:rPr>
      </w:pPr>
    </w:p>
    <w:p w:rsidR="002C27CA" w:rsidRPr="00CE4453" w:rsidRDefault="002C27CA" w:rsidP="002C27CA">
      <w:pPr>
        <w:pStyle w:val="Equation"/>
        <w:rPr>
          <w:lang w:val="es-ES_tradnl"/>
        </w:rPr>
      </w:pPr>
      <w:r w:rsidRPr="00A518F9">
        <w:rPr>
          <w:lang w:val="fr-CH"/>
        </w:rPr>
        <w:tab/>
      </w:r>
      <w:r w:rsidRPr="00A518F9">
        <w:rPr>
          <w:lang w:val="fr-CH"/>
        </w:rPr>
        <w:tab/>
      </w:r>
      <w:r w:rsidRPr="00A518F9">
        <w:rPr>
          <w:lang w:val="fr-CH"/>
        </w:rPr>
        <w:sym w:font="Symbol" w:char="F064"/>
      </w:r>
      <w:r w:rsidRPr="00CE4453">
        <w:rPr>
          <w:lang w:val="es-ES_tradnl"/>
        </w:rPr>
        <w:t xml:space="preserve"> </w:t>
      </w:r>
      <w:r w:rsidRPr="00CE4453">
        <w:rPr>
          <w:i/>
          <w:iCs/>
          <w:lang w:val="es-ES_tradnl"/>
        </w:rPr>
        <w:t>G</w:t>
      </w:r>
      <w:r w:rsidRPr="00CE4453">
        <w:rPr>
          <w:lang w:val="es-ES_tradnl"/>
        </w:rPr>
        <w:t>(</w:t>
      </w:r>
      <w:r w:rsidRPr="00A518F9">
        <w:rPr>
          <w:lang w:val="fr-CH"/>
        </w:rPr>
        <w:t>θ</w:t>
      </w:r>
      <w:r w:rsidRPr="00CE4453">
        <w:rPr>
          <w:lang w:val="es-ES_tradnl"/>
        </w:rPr>
        <w:t xml:space="preserve"> – </w:t>
      </w:r>
      <w:r w:rsidRPr="00A518F9">
        <w:rPr>
          <w:lang w:val="fr-CH"/>
        </w:rPr>
        <w:t>θ</w:t>
      </w:r>
      <w:r w:rsidRPr="00CE4453">
        <w:rPr>
          <w:vertAlign w:val="subscript"/>
          <w:lang w:val="es-ES_tradnl"/>
        </w:rPr>
        <w:t>0</w:t>
      </w:r>
      <w:r w:rsidRPr="00CE4453">
        <w:rPr>
          <w:lang w:val="es-ES_tradnl"/>
        </w:rPr>
        <w:t>)  =  –</w:t>
      </w:r>
      <w:r w:rsidRPr="00CE4453">
        <w:rPr>
          <w:i/>
          <w:iCs/>
          <w:lang w:val="es-ES_tradnl"/>
        </w:rPr>
        <w:t>L</w:t>
      </w:r>
      <w:r w:rsidRPr="00CE4453">
        <w:rPr>
          <w:i/>
          <w:iCs/>
          <w:vertAlign w:val="subscript"/>
          <w:lang w:val="es-ES_tradnl"/>
        </w:rPr>
        <w:t>N</w:t>
      </w:r>
      <w:r w:rsidRPr="00CE4453">
        <w:rPr>
          <w:lang w:val="es-ES_tradnl"/>
        </w:rPr>
        <w:t xml:space="preserve">  –  60 log(1  +  </w:t>
      </w:r>
      <w:r w:rsidRPr="00A518F9">
        <w:rPr>
          <w:lang w:val="fr-CH"/>
        </w:rPr>
        <w:sym w:font="Symbol" w:char="F068"/>
      </w:r>
      <w:r w:rsidRPr="00CE4453">
        <w:rPr>
          <w:lang w:val="es-ES_tradnl"/>
        </w:rPr>
        <w:t>)  =  –</w:t>
      </w:r>
      <w:r w:rsidRPr="00CE4453">
        <w:rPr>
          <w:i/>
          <w:iCs/>
          <w:lang w:val="es-ES_tradnl"/>
        </w:rPr>
        <w:t>L</w:t>
      </w:r>
      <w:r w:rsidRPr="00CE4453">
        <w:rPr>
          <w:i/>
          <w:iCs/>
          <w:vertAlign w:val="subscript"/>
          <w:lang w:val="es-ES_tradnl"/>
        </w:rPr>
        <w:t>N</w:t>
      </w:r>
      <w:r w:rsidRPr="00CE4453">
        <w:rPr>
          <w:lang w:val="es-ES_tradnl"/>
        </w:rPr>
        <w:t xml:space="preserve">  –  60 </w:t>
      </w:r>
      <w:r w:rsidRPr="00CE4453">
        <w:rPr>
          <w:i/>
          <w:iCs/>
          <w:lang w:val="es-ES_tradnl"/>
        </w:rPr>
        <w:t>y</w:t>
      </w:r>
      <w:r w:rsidRPr="00CE4453">
        <w:rPr>
          <w:lang w:val="es-ES_tradnl"/>
        </w:rPr>
        <w:t>               dB</w:t>
      </w:r>
      <w:r w:rsidRPr="00CE4453">
        <w:rPr>
          <w:lang w:val="es-ES_tradnl"/>
        </w:rPr>
        <w:tab/>
        <w:t>(13)</w:t>
      </w:r>
    </w:p>
    <w:p w:rsidR="002C27CA" w:rsidRPr="00CE4453" w:rsidRDefault="002C27CA" w:rsidP="002C27CA">
      <w:pPr>
        <w:pStyle w:val="Blanc"/>
        <w:rPr>
          <w:lang w:val="es-ES_tradnl"/>
        </w:rPr>
      </w:pPr>
    </w:p>
    <w:p w:rsidR="002C27CA" w:rsidRPr="00A518F9" w:rsidRDefault="002C27CA" w:rsidP="002C27CA">
      <w:pPr>
        <w:rPr>
          <w:lang w:val="fr-CH"/>
        </w:rPr>
      </w:pPr>
      <w:r w:rsidRPr="00A518F9">
        <w:rPr>
          <w:lang w:val="fr-CH"/>
        </w:rPr>
        <w:t>où:</w:t>
      </w:r>
    </w:p>
    <w:p w:rsidR="002C27CA" w:rsidRPr="00A518F9" w:rsidRDefault="002C27CA" w:rsidP="002C27CA">
      <w:pPr>
        <w:pStyle w:val="Equationlegend"/>
        <w:rPr>
          <w:lang w:val="fr-CH"/>
        </w:rPr>
      </w:pPr>
      <w:r w:rsidRPr="00A518F9">
        <w:rPr>
          <w:lang w:val="fr-CH"/>
        </w:rPr>
        <w:tab/>
      </w:r>
      <w:r w:rsidRPr="00A518F9">
        <w:rPr>
          <w:i/>
          <w:iCs/>
          <w:lang w:val="fr-CH"/>
        </w:rPr>
        <w:t>y</w:t>
      </w:r>
      <w:r w:rsidRPr="00A518F9">
        <w:rPr>
          <w:lang w:val="fr-CH"/>
        </w:rPr>
        <w:t xml:space="preserve"> =</w:t>
      </w:r>
      <w:r w:rsidRPr="00A518F9">
        <w:rPr>
          <w:lang w:val="fr-CH"/>
        </w:rPr>
        <w:tab/>
        <w:t xml:space="preserve">log(1 + </w:t>
      </w:r>
      <w:r w:rsidRPr="00A518F9">
        <w:rPr>
          <w:lang w:val="fr-CH"/>
        </w:rPr>
        <w:sym w:font="Symbol" w:char="F068"/>
      </w:r>
      <w:r w:rsidRPr="00A518F9">
        <w:rPr>
          <w:lang w:val="fr-CH"/>
        </w:rPr>
        <w:t>)</w:t>
      </w:r>
    </w:p>
    <w:p w:rsidR="002C27CA" w:rsidRPr="00A518F9" w:rsidRDefault="002C27CA" w:rsidP="002C27CA">
      <w:pPr>
        <w:pStyle w:val="Equationlegend"/>
        <w:rPr>
          <w:lang w:val="fr-CH"/>
        </w:rPr>
      </w:pPr>
      <w:r w:rsidRPr="00A518F9">
        <w:rPr>
          <w:lang w:val="fr-CH"/>
        </w:rPr>
        <w:tab/>
      </w:r>
      <w:r w:rsidRPr="00A518F9">
        <w:rPr>
          <w:i/>
          <w:iCs/>
          <w:lang w:val="fr-CH"/>
        </w:rPr>
        <w:t>L</w:t>
      </w:r>
      <w:r w:rsidRPr="00A518F9">
        <w:rPr>
          <w:i/>
          <w:iCs/>
          <w:position w:val="-4"/>
          <w:sz w:val="16"/>
          <w:lang w:val="fr-CH"/>
        </w:rPr>
        <w:t>N</w:t>
      </w:r>
      <w:r w:rsidRPr="00A518F9">
        <w:rPr>
          <w:rFonts w:ascii="Tms Rmn" w:hAnsi="Tms Rmn"/>
          <w:sz w:val="12"/>
          <w:lang w:val="fr-CH"/>
        </w:rPr>
        <w:t> </w:t>
      </w:r>
      <w:r w:rsidRPr="00A518F9">
        <w:rPr>
          <w:lang w:val="fr-CH"/>
        </w:rPr>
        <w:t>:</w:t>
      </w:r>
      <w:r w:rsidRPr="00A518F9">
        <w:rPr>
          <w:lang w:val="fr-CH"/>
        </w:rPr>
        <w:tab/>
        <w:t>gain relatif dans les lobes latéraux proches par rapport au gain crête (dB) nominalement spécifié pour le système.</w:t>
      </w:r>
    </w:p>
    <w:p w:rsidR="002C27CA" w:rsidRPr="00A518F9" w:rsidRDefault="002C27CA" w:rsidP="002C27CA">
      <w:pPr>
        <w:rPr>
          <w:lang w:val="fr-CH"/>
        </w:rPr>
      </w:pPr>
      <w:r w:rsidRPr="00A518F9">
        <w:rPr>
          <w:lang w:val="fr-CH"/>
        </w:rPr>
        <w:t xml:space="preserve">Dans la présente étude, </w:t>
      </w:r>
      <w:r w:rsidRPr="00A518F9">
        <w:rPr>
          <w:i/>
          <w:iCs/>
          <w:lang w:val="fr-CH"/>
        </w:rPr>
        <w:t>L</w:t>
      </w:r>
      <w:r w:rsidRPr="00A518F9">
        <w:rPr>
          <w:i/>
          <w:iCs/>
          <w:vertAlign w:val="subscript"/>
          <w:lang w:val="fr-CH"/>
        </w:rPr>
        <w:t>N</w:t>
      </w:r>
      <w:r w:rsidRPr="00A518F9">
        <w:rPr>
          <w:lang w:val="fr-CH"/>
        </w:rPr>
        <w:t xml:space="preserve"> sera égal à 32 dB. Pour les rayons de couverture principale inférieurs à 132 km, l'affaiblissement sur le trajet en espace libre varie bien plus lentement en fonction de l'angle d'inclinaison θ qu'en fonction du gain d'antenne. Par conséquent, une bonne approximation consiste à remplacer le terme affaiblissement différentiel en espace libre par les deux premiers termes de son développement en série de Taylor, en utilisant θ</w:t>
      </w:r>
      <w:r w:rsidRPr="00A518F9">
        <w:rPr>
          <w:vertAlign w:val="subscript"/>
          <w:lang w:val="fr-CH"/>
        </w:rPr>
        <w:t>0</w:t>
      </w:r>
      <w:r w:rsidRPr="00A518F9">
        <w:rPr>
          <w:lang w:val="fr-CH"/>
        </w:rPr>
        <w:t> = θ</w:t>
      </w:r>
      <w:r w:rsidRPr="00A518F9">
        <w:rPr>
          <w:vertAlign w:val="subscript"/>
          <w:lang w:val="fr-CH"/>
        </w:rPr>
        <w:t>0</w:t>
      </w:r>
      <w:r w:rsidRPr="00A518F9">
        <w:rPr>
          <w:lang w:val="fr-CH"/>
        </w:rPr>
        <w:t xml:space="preserve"> + (1 + </w:t>
      </w:r>
      <w:r w:rsidRPr="00A518F9">
        <w:rPr>
          <w:lang w:val="fr-CH"/>
        </w:rPr>
        <w:sym w:font="Symbol" w:char="F068"/>
      </w:r>
      <w:r w:rsidRPr="00A518F9">
        <w:rPr>
          <w:lang w:val="fr-CH"/>
        </w:rPr>
        <w:t>)</w:t>
      </w:r>
      <w:r w:rsidRPr="00A518F9">
        <w:rPr>
          <w:lang w:val="fr-CH"/>
        </w:rPr>
        <w:sym w:font="Symbol" w:char="F079"/>
      </w:r>
      <w:r w:rsidRPr="00A518F9">
        <w:rPr>
          <w:position w:val="-4"/>
          <w:sz w:val="16"/>
          <w:lang w:val="fr-CH"/>
        </w:rPr>
        <w:t>2</w:t>
      </w:r>
      <w:r w:rsidRPr="00A518F9">
        <w:rPr>
          <w:lang w:val="fr-CH"/>
        </w:rPr>
        <w:t xml:space="preserve"> = θ</w:t>
      </w:r>
      <w:r w:rsidRPr="00A518F9">
        <w:rPr>
          <w:vertAlign w:val="subscript"/>
          <w:lang w:val="fr-CH"/>
        </w:rPr>
        <w:t>0</w:t>
      </w:r>
      <w:r w:rsidRPr="00A518F9">
        <w:rPr>
          <w:lang w:val="fr-CH"/>
        </w:rPr>
        <w:t xml:space="preserve"> + 10</w:t>
      </w:r>
      <w:r w:rsidRPr="00A518F9">
        <w:rPr>
          <w:i/>
          <w:iCs/>
          <w:vertAlign w:val="superscript"/>
          <w:lang w:val="fr-CH"/>
        </w:rPr>
        <w:t>y</w:t>
      </w:r>
      <w:r w:rsidRPr="00A518F9">
        <w:rPr>
          <w:lang w:val="fr-CH"/>
        </w:rPr>
        <w:sym w:font="Symbol" w:char="F079"/>
      </w:r>
      <w:r w:rsidRPr="00A518F9">
        <w:rPr>
          <w:vertAlign w:val="subscript"/>
          <w:lang w:val="fr-CH"/>
        </w:rPr>
        <w:t>2</w:t>
      </w:r>
      <w:r w:rsidRPr="00A518F9">
        <w:rPr>
          <w:lang w:val="fr-CH"/>
        </w:rPr>
        <w:t>.</w:t>
      </w:r>
    </w:p>
    <w:p w:rsidR="002C27CA" w:rsidRPr="00A518F9" w:rsidRDefault="002C27CA" w:rsidP="002C27CA">
      <w:pPr>
        <w:pStyle w:val="Blanc"/>
        <w:rPr>
          <w:lang w:val="fr-CH"/>
        </w:rPr>
      </w:pPr>
    </w:p>
    <w:p w:rsidR="002C27CA" w:rsidRPr="00CE4453" w:rsidRDefault="002C27CA" w:rsidP="002C27CA">
      <w:pPr>
        <w:pStyle w:val="Equation"/>
        <w:tabs>
          <w:tab w:val="clear" w:pos="794"/>
          <w:tab w:val="left" w:pos="1389"/>
          <w:tab w:val="left" w:pos="2268"/>
        </w:tabs>
        <w:rPr>
          <w:lang w:val="es-ES_tradnl"/>
        </w:rPr>
      </w:pPr>
      <w:r w:rsidRPr="00A518F9">
        <w:rPr>
          <w:lang w:val="fr-CH"/>
        </w:rPr>
        <w:tab/>
      </w:r>
      <w:r w:rsidRPr="00A518F9">
        <w:rPr>
          <w:lang w:val="fr-CH"/>
        </w:rPr>
        <w:sym w:font="Symbol" w:char="F064"/>
      </w:r>
      <w:r w:rsidRPr="00CE4453">
        <w:rPr>
          <w:lang w:val="es-ES_tradnl"/>
        </w:rPr>
        <w:t xml:space="preserve"> </w:t>
      </w:r>
      <w:r w:rsidRPr="00CE4453">
        <w:rPr>
          <w:i/>
          <w:iCs/>
          <w:lang w:val="es-ES_tradnl"/>
        </w:rPr>
        <w:t>FSL</w:t>
      </w:r>
      <w:r w:rsidRPr="00CE4453">
        <w:rPr>
          <w:lang w:val="es-ES_tradnl"/>
        </w:rPr>
        <w:t>(</w:t>
      </w:r>
      <w:r w:rsidRPr="00A518F9">
        <w:rPr>
          <w:lang w:val="fr-CH"/>
        </w:rPr>
        <w:t>θ</w:t>
      </w:r>
      <w:r w:rsidRPr="00CE4453">
        <w:rPr>
          <w:lang w:val="es-ES_tradnl"/>
        </w:rPr>
        <w:t>)</w:t>
      </w:r>
      <w:r w:rsidRPr="00CE4453">
        <w:rPr>
          <w:lang w:val="es-ES_tradnl"/>
        </w:rPr>
        <w:tab/>
        <w:t>=  20 log(cos(</w:t>
      </w:r>
      <w:r w:rsidRPr="00A518F9">
        <w:rPr>
          <w:lang w:val="fr-CH"/>
        </w:rPr>
        <w:t>θ</w:t>
      </w:r>
      <w:r w:rsidRPr="00CE4453">
        <w:rPr>
          <w:vertAlign w:val="subscript"/>
          <w:lang w:val="es-ES_tradnl"/>
        </w:rPr>
        <w:t>0</w:t>
      </w:r>
      <w:r w:rsidRPr="00CE4453">
        <w:rPr>
          <w:lang w:val="es-ES_tradnl"/>
        </w:rPr>
        <w:t>))  –  20 log(cos(</w:t>
      </w:r>
      <w:r w:rsidRPr="00A518F9">
        <w:rPr>
          <w:lang w:val="fr-CH"/>
        </w:rPr>
        <w:t>θ</w:t>
      </w:r>
      <w:r w:rsidRPr="00CE4453">
        <w:rPr>
          <w:vertAlign w:val="subscript"/>
          <w:lang w:val="es-ES_tradnl"/>
        </w:rPr>
        <w:t>0</w:t>
      </w:r>
      <w:r w:rsidRPr="00CE4453">
        <w:rPr>
          <w:lang w:val="es-ES_tradnl"/>
        </w:rPr>
        <w:t xml:space="preserve">  +  10</w:t>
      </w:r>
      <w:r w:rsidRPr="00CE4453">
        <w:rPr>
          <w:rFonts w:ascii="Tms Rmn" w:hAnsi="Tms Rmn"/>
          <w:sz w:val="12"/>
          <w:lang w:val="es-ES_tradnl"/>
        </w:rPr>
        <w:t> </w:t>
      </w:r>
      <w:r w:rsidRPr="00CE4453">
        <w:rPr>
          <w:i/>
          <w:iCs/>
          <w:position w:val="10"/>
          <w:sz w:val="18"/>
          <w:lang w:val="es-ES_tradnl"/>
        </w:rPr>
        <w:t>y</w:t>
      </w:r>
      <w:r w:rsidRPr="00CE4453">
        <w:rPr>
          <w:lang w:val="es-ES_tradnl"/>
        </w:rPr>
        <w:t xml:space="preserve"> </w:t>
      </w:r>
      <w:r w:rsidRPr="00A518F9">
        <w:rPr>
          <w:lang w:val="fr-CH"/>
        </w:rPr>
        <w:sym w:font="Symbol" w:char="F079"/>
      </w:r>
      <w:r w:rsidRPr="00CE4453">
        <w:rPr>
          <w:vertAlign w:val="subscript"/>
          <w:lang w:val="es-ES_tradnl"/>
        </w:rPr>
        <w:t>2</w:t>
      </w:r>
      <w:r w:rsidRPr="00CE4453">
        <w:rPr>
          <w:lang w:val="es-ES_tradnl"/>
        </w:rPr>
        <w:t>))</w:t>
      </w:r>
    </w:p>
    <w:p w:rsidR="002C27CA" w:rsidRPr="00CE4453" w:rsidRDefault="002C27CA" w:rsidP="002C27CA">
      <w:pPr>
        <w:pStyle w:val="Blanc"/>
        <w:rPr>
          <w:lang w:val="es-ES_tradnl"/>
        </w:rPr>
      </w:pPr>
    </w:p>
    <w:p w:rsidR="002C27CA" w:rsidRPr="00CE4453" w:rsidRDefault="002C27CA" w:rsidP="002C27CA">
      <w:pPr>
        <w:pStyle w:val="Equation"/>
        <w:tabs>
          <w:tab w:val="clear" w:pos="794"/>
          <w:tab w:val="left" w:pos="1418"/>
          <w:tab w:val="left" w:pos="2268"/>
        </w:tabs>
        <w:rPr>
          <w:lang w:val="es-ES_tradnl"/>
        </w:rPr>
      </w:pPr>
      <w:r w:rsidRPr="00CE4453">
        <w:rPr>
          <w:lang w:val="es-ES_tradnl"/>
        </w:rPr>
        <w:tab/>
      </w:r>
      <w:r w:rsidRPr="00CE4453">
        <w:rPr>
          <w:lang w:val="es-ES_tradnl"/>
        </w:rPr>
        <w:tab/>
      </w:r>
      <w:r w:rsidRPr="00A518F9">
        <w:rPr>
          <w:lang w:val="fr-CH"/>
        </w:rPr>
        <w:sym w:font="Symbol" w:char="F040"/>
      </w:r>
      <w:r w:rsidRPr="00CE4453">
        <w:rPr>
          <w:lang w:val="es-ES_tradnl"/>
        </w:rPr>
        <w:t xml:space="preserve"> 20 log(cos(</w:t>
      </w:r>
      <w:r w:rsidRPr="00A518F9">
        <w:rPr>
          <w:lang w:val="fr-CH"/>
        </w:rPr>
        <w:t>θ</w:t>
      </w:r>
      <w:r w:rsidRPr="00CE4453">
        <w:rPr>
          <w:vertAlign w:val="subscript"/>
          <w:lang w:val="es-ES_tradnl"/>
        </w:rPr>
        <w:t>0</w:t>
      </w:r>
      <w:r w:rsidRPr="00CE4453">
        <w:rPr>
          <w:lang w:val="es-ES_tradnl"/>
        </w:rPr>
        <w:t>))  –  20 log(cos(</w:t>
      </w:r>
      <w:r w:rsidRPr="00A518F9">
        <w:rPr>
          <w:lang w:val="fr-CH"/>
        </w:rPr>
        <w:t>θ</w:t>
      </w:r>
      <w:r w:rsidRPr="00CE4453">
        <w:rPr>
          <w:vertAlign w:val="subscript"/>
          <w:lang w:val="es-ES_tradnl"/>
        </w:rPr>
        <w:t>0</w:t>
      </w:r>
      <w:r w:rsidRPr="00CE4453">
        <w:rPr>
          <w:lang w:val="es-ES_tradnl"/>
        </w:rPr>
        <w:t xml:space="preserve">  +  </w:t>
      </w:r>
      <w:r w:rsidRPr="00A518F9">
        <w:rPr>
          <w:lang w:val="fr-CH"/>
        </w:rPr>
        <w:sym w:font="Symbol" w:char="F079"/>
      </w:r>
      <w:r w:rsidRPr="00CE4453">
        <w:rPr>
          <w:vertAlign w:val="subscript"/>
          <w:lang w:val="es-ES_tradnl"/>
        </w:rPr>
        <w:t>2</w:t>
      </w:r>
      <w:r w:rsidRPr="00CE4453">
        <w:rPr>
          <w:lang w:val="es-ES_tradnl"/>
        </w:rPr>
        <w:t>))  +  20 </w:t>
      </w:r>
      <w:r w:rsidRPr="00A518F9">
        <w:rPr>
          <w:lang w:val="fr-CH"/>
        </w:rPr>
        <w:sym w:font="Symbol" w:char="F079"/>
      </w:r>
      <w:r w:rsidRPr="00CE4453">
        <w:rPr>
          <w:vertAlign w:val="subscript"/>
          <w:lang w:val="es-ES_tradnl"/>
        </w:rPr>
        <w:t>2</w:t>
      </w:r>
      <w:r w:rsidRPr="00CE4453">
        <w:rPr>
          <w:lang w:val="es-ES_tradnl"/>
        </w:rPr>
        <w:t xml:space="preserve"> tg(</w:t>
      </w:r>
      <w:r w:rsidRPr="00A518F9">
        <w:rPr>
          <w:lang w:val="fr-CH"/>
        </w:rPr>
        <w:t>θ</w:t>
      </w:r>
      <w:r w:rsidRPr="00CE4453">
        <w:rPr>
          <w:vertAlign w:val="subscript"/>
          <w:lang w:val="es-ES_tradnl"/>
        </w:rPr>
        <w:t>0</w:t>
      </w:r>
      <w:r w:rsidRPr="00CE4453">
        <w:rPr>
          <w:lang w:val="es-ES_tradnl"/>
        </w:rPr>
        <w:t xml:space="preserve">  +  </w:t>
      </w:r>
      <w:r w:rsidRPr="00A518F9">
        <w:rPr>
          <w:lang w:val="fr-CH"/>
        </w:rPr>
        <w:sym w:font="Symbol" w:char="F079"/>
      </w:r>
      <w:r w:rsidRPr="00CE4453">
        <w:rPr>
          <w:vertAlign w:val="subscript"/>
          <w:lang w:val="es-ES_tradnl"/>
        </w:rPr>
        <w:t>2</w:t>
      </w:r>
      <w:r w:rsidRPr="00CE4453">
        <w:rPr>
          <w:lang w:val="es-ES_tradnl"/>
        </w:rPr>
        <w:t xml:space="preserve">) </w:t>
      </w:r>
      <w:r w:rsidRPr="00CE4453">
        <w:rPr>
          <w:i/>
          <w:iCs/>
          <w:lang w:val="es-ES_tradnl"/>
        </w:rPr>
        <w:t>y</w:t>
      </w:r>
      <w:r w:rsidRPr="00CE4453">
        <w:rPr>
          <w:lang w:val="es-ES_tradnl"/>
        </w:rPr>
        <w:tab/>
        <w:t>(14)</w:t>
      </w:r>
    </w:p>
    <w:p w:rsidR="002C27CA" w:rsidRPr="00CE4453" w:rsidRDefault="002C27CA" w:rsidP="002C27CA">
      <w:pPr>
        <w:pStyle w:val="Blanc"/>
        <w:rPr>
          <w:lang w:val="es-ES_tradnl"/>
        </w:rPr>
      </w:pPr>
    </w:p>
    <w:p w:rsidR="002C27CA" w:rsidRPr="00CE4453" w:rsidRDefault="002C27CA" w:rsidP="002C27CA">
      <w:pPr>
        <w:pStyle w:val="Equation"/>
        <w:tabs>
          <w:tab w:val="clear" w:pos="794"/>
          <w:tab w:val="left" w:pos="1418"/>
          <w:tab w:val="left" w:pos="2268"/>
        </w:tabs>
        <w:rPr>
          <w:lang w:val="es-ES_tradnl"/>
        </w:rPr>
      </w:pPr>
      <w:r w:rsidRPr="00CE4453">
        <w:rPr>
          <w:lang w:val="es-ES_tradnl"/>
        </w:rPr>
        <w:tab/>
      </w:r>
      <w:r w:rsidRPr="00CE4453">
        <w:rPr>
          <w:lang w:val="es-ES_tradnl"/>
        </w:rPr>
        <w:tab/>
        <w:t>=  20 log(cos(</w:t>
      </w:r>
      <w:r w:rsidRPr="00A518F9">
        <w:rPr>
          <w:lang w:val="fr-CH"/>
        </w:rPr>
        <w:t>θ</w:t>
      </w:r>
      <w:r w:rsidRPr="00CE4453">
        <w:rPr>
          <w:vertAlign w:val="subscript"/>
          <w:lang w:val="es-ES_tradnl"/>
        </w:rPr>
        <w:t>0</w:t>
      </w:r>
      <w:r w:rsidRPr="00CE4453">
        <w:rPr>
          <w:lang w:val="es-ES_tradnl"/>
        </w:rPr>
        <w:t>))  –  20 log(cos(</w:t>
      </w:r>
      <w:r w:rsidRPr="00A518F9">
        <w:rPr>
          <w:lang w:val="fr-CH"/>
        </w:rPr>
        <w:t>θ</w:t>
      </w:r>
      <w:r w:rsidRPr="00CE4453">
        <w:rPr>
          <w:vertAlign w:val="subscript"/>
          <w:lang w:val="es-ES_tradnl"/>
        </w:rPr>
        <w:t>0</w:t>
      </w:r>
      <w:r w:rsidRPr="00CE4453">
        <w:rPr>
          <w:lang w:val="es-ES_tradnl"/>
        </w:rPr>
        <w:t xml:space="preserve">  +  </w:t>
      </w:r>
      <w:r w:rsidRPr="00A518F9">
        <w:rPr>
          <w:lang w:val="fr-CH"/>
        </w:rPr>
        <w:sym w:font="Symbol" w:char="F079"/>
      </w:r>
      <w:r w:rsidRPr="00CE4453">
        <w:rPr>
          <w:vertAlign w:val="subscript"/>
          <w:lang w:val="es-ES_tradnl"/>
        </w:rPr>
        <w:t>2</w:t>
      </w:r>
      <w:r w:rsidRPr="00CE4453">
        <w:rPr>
          <w:lang w:val="es-ES_tradnl"/>
        </w:rPr>
        <w:t>))  +  20 </w:t>
      </w:r>
      <w:r w:rsidRPr="00A518F9">
        <w:rPr>
          <w:lang w:val="fr-CH"/>
        </w:rPr>
        <w:sym w:font="Symbol" w:char="F079"/>
      </w:r>
      <w:r w:rsidRPr="00CE4453">
        <w:rPr>
          <w:vertAlign w:val="subscript"/>
          <w:lang w:val="es-ES_tradnl"/>
        </w:rPr>
        <w:t>2</w:t>
      </w:r>
      <w:r w:rsidRPr="00CE4453">
        <w:rPr>
          <w:lang w:val="es-ES_tradnl"/>
        </w:rPr>
        <w:t xml:space="preserve"> tg(</w:t>
      </w:r>
      <w:r w:rsidRPr="00A518F9">
        <w:rPr>
          <w:lang w:val="fr-CH"/>
        </w:rPr>
        <w:t>θ</w:t>
      </w:r>
      <w:r w:rsidRPr="00CE4453">
        <w:rPr>
          <w:vertAlign w:val="subscript"/>
          <w:lang w:val="es-ES_tradnl"/>
        </w:rPr>
        <w:t>0</w:t>
      </w:r>
      <w:r w:rsidRPr="00CE4453">
        <w:rPr>
          <w:lang w:val="es-ES_tradnl"/>
        </w:rPr>
        <w:t xml:space="preserve">  +  </w:t>
      </w:r>
      <w:r w:rsidRPr="00A518F9">
        <w:rPr>
          <w:lang w:val="fr-CH"/>
        </w:rPr>
        <w:sym w:font="Symbol" w:char="F079"/>
      </w:r>
      <w:r w:rsidRPr="00CE4453">
        <w:rPr>
          <w:vertAlign w:val="subscript"/>
          <w:lang w:val="es-ES_tradnl"/>
        </w:rPr>
        <w:t>2</w:t>
      </w:r>
      <w:r w:rsidRPr="00CE4453">
        <w:rPr>
          <w:lang w:val="es-ES_tradnl"/>
        </w:rPr>
        <w:t xml:space="preserve">) </w:t>
      </w:r>
      <w:r w:rsidRPr="00CE4453">
        <w:rPr>
          <w:i/>
          <w:iCs/>
          <w:lang w:val="es-ES_tradnl"/>
        </w:rPr>
        <w:t>y</w:t>
      </w:r>
    </w:p>
    <w:p w:rsidR="002C27CA" w:rsidRPr="00CE4453" w:rsidRDefault="002C27CA" w:rsidP="002C27CA">
      <w:pPr>
        <w:pStyle w:val="Blanc"/>
        <w:rPr>
          <w:lang w:val="es-ES_tradnl"/>
        </w:rPr>
      </w:pPr>
    </w:p>
    <w:p w:rsidR="002C27CA" w:rsidRPr="00A518F9" w:rsidRDefault="002C27CA" w:rsidP="002C27CA">
      <w:pPr>
        <w:rPr>
          <w:lang w:val="fr-CH"/>
        </w:rPr>
      </w:pPr>
      <w:r w:rsidRPr="00A518F9">
        <w:rPr>
          <w:lang w:val="fr-CH"/>
        </w:rPr>
        <w:t xml:space="preserve">Soit </w:t>
      </w:r>
      <w:r w:rsidRPr="00A518F9">
        <w:rPr>
          <w:i/>
          <w:iCs/>
          <w:lang w:val="fr-CH"/>
        </w:rPr>
        <w:t>D</w:t>
      </w:r>
      <w:r w:rsidRPr="00A518F9">
        <w:rPr>
          <w:lang w:val="fr-CH"/>
        </w:rPr>
        <w:t xml:space="preserve"> = (</w:t>
      </w:r>
      <w:r w:rsidRPr="00A518F9">
        <w:rPr>
          <w:i/>
          <w:iCs/>
          <w:lang w:val="fr-CH"/>
        </w:rPr>
        <w:t>I</w:t>
      </w:r>
      <w:r w:rsidRPr="00A518F9">
        <w:rPr>
          <w:i/>
          <w:iCs/>
          <w:vertAlign w:val="subscript"/>
          <w:lang w:val="fr-CH"/>
        </w:rPr>
        <w:t>reçue</w:t>
      </w:r>
      <w:r w:rsidRPr="00A518F9">
        <w:rPr>
          <w:lang w:val="fr-CH"/>
        </w:rPr>
        <w:t>/</w:t>
      </w:r>
      <w:r w:rsidRPr="00A518F9">
        <w:rPr>
          <w:i/>
          <w:iCs/>
          <w:lang w:val="fr-CH"/>
        </w:rPr>
        <w:t>N</w:t>
      </w:r>
      <w:r w:rsidRPr="00A518F9">
        <w:rPr>
          <w:lang w:val="fr-CH"/>
        </w:rPr>
        <w:t>)</w:t>
      </w:r>
      <w:r w:rsidRPr="00A518F9">
        <w:rPr>
          <w:i/>
          <w:iCs/>
          <w:vertAlign w:val="subscript"/>
          <w:lang w:val="fr-CH"/>
        </w:rPr>
        <w:t>centre</w:t>
      </w:r>
      <w:r w:rsidRPr="00A518F9">
        <w:rPr>
          <w:lang w:val="fr-CH"/>
        </w:rPr>
        <w:t xml:space="preserve"> – </w:t>
      </w:r>
      <w:r w:rsidRPr="00A518F9">
        <w:rPr>
          <w:i/>
          <w:iCs/>
          <w:lang w:val="fr-CH"/>
        </w:rPr>
        <w:t>Seuil</w:t>
      </w:r>
      <w:r w:rsidRPr="00A518F9">
        <w:rPr>
          <w:lang w:val="fr-CH"/>
        </w:rPr>
        <w:t xml:space="preserve"> – </w:t>
      </w:r>
      <w:r w:rsidRPr="00A518F9">
        <w:rPr>
          <w:i/>
          <w:iCs/>
          <w:lang w:val="fr-CH"/>
        </w:rPr>
        <w:t>L</w:t>
      </w:r>
      <w:r w:rsidRPr="00A518F9">
        <w:rPr>
          <w:i/>
          <w:iCs/>
          <w:vertAlign w:val="subscript"/>
          <w:lang w:val="fr-CH"/>
        </w:rPr>
        <w:t>N</w:t>
      </w:r>
      <w:r w:rsidRPr="00A518F9">
        <w:rPr>
          <w:lang w:val="fr-CH"/>
        </w:rPr>
        <w:t xml:space="preserve">, la distance de coordination peut être obtenue à partir d'une solution pour </w:t>
      </w:r>
      <w:r w:rsidRPr="00A518F9">
        <w:rPr>
          <w:i/>
          <w:iCs/>
          <w:lang w:val="fr-CH"/>
        </w:rPr>
        <w:t>y</w:t>
      </w:r>
      <w:r w:rsidRPr="00A518F9">
        <w:rPr>
          <w:lang w:val="fr-CH"/>
        </w:rPr>
        <w:t xml:space="preserve"> dans laquelle </w:t>
      </w:r>
      <w:r w:rsidRPr="00A518F9">
        <w:rPr>
          <w:i/>
          <w:iCs/>
          <w:lang w:val="fr-CH"/>
        </w:rPr>
        <w:t>Seuil</w:t>
      </w:r>
      <w:r w:rsidRPr="00A518F9">
        <w:rPr>
          <w:lang w:val="fr-CH"/>
        </w:rPr>
        <w:t xml:space="preserve"> = –</w:t>
      </w:r>
      <w:r w:rsidRPr="00A518F9">
        <w:rPr>
          <w:sz w:val="4"/>
          <w:lang w:val="fr-CH"/>
        </w:rPr>
        <w:t> </w:t>
      </w:r>
      <w:r w:rsidRPr="00A518F9">
        <w:rPr>
          <w:lang w:val="fr-CH"/>
        </w:rPr>
        <w:t xml:space="preserve">10 dB est le seuil du rapport </w:t>
      </w:r>
      <w:r w:rsidRPr="00A518F9">
        <w:rPr>
          <w:i/>
          <w:iCs/>
          <w:lang w:val="fr-CH"/>
        </w:rPr>
        <w:t>I</w:t>
      </w:r>
      <w:r w:rsidRPr="00A518F9">
        <w:rPr>
          <w:lang w:val="fr-CH"/>
        </w:rPr>
        <w:t>/</w:t>
      </w:r>
      <w:r w:rsidRPr="00A518F9">
        <w:rPr>
          <w:i/>
          <w:iCs/>
          <w:lang w:val="fr-CH"/>
        </w:rPr>
        <w:t>N</w:t>
      </w:r>
      <w:r w:rsidRPr="00A518F9">
        <w:rPr>
          <w:lang w:val="fr-CH"/>
        </w:rPr>
        <w:t xml:space="preserve"> admissible pour un système HAPS brouillant des stations mobiles.</w:t>
      </w:r>
    </w:p>
    <w:p w:rsidR="002C27CA" w:rsidRPr="00A518F9" w:rsidRDefault="002C27CA" w:rsidP="002C27CA">
      <w:pPr>
        <w:pStyle w:val="Blanc"/>
        <w:rPr>
          <w:lang w:val="fr-CH"/>
        </w:rPr>
      </w:pPr>
    </w:p>
    <w:p w:rsidR="002C27CA" w:rsidRPr="00CE4453" w:rsidRDefault="002C27CA" w:rsidP="002C27CA">
      <w:pPr>
        <w:pStyle w:val="Equation"/>
        <w:rPr>
          <w:lang w:val="es-ES_tradnl"/>
        </w:rPr>
      </w:pPr>
      <w:r w:rsidRPr="00A518F9">
        <w:rPr>
          <w:lang w:val="fr-CH"/>
        </w:rPr>
        <w:tab/>
      </w:r>
      <w:r w:rsidRPr="00A518F9">
        <w:rPr>
          <w:lang w:val="fr-CH"/>
        </w:rPr>
        <w:tab/>
      </w:r>
      <w:r w:rsidRPr="00CE4453">
        <w:rPr>
          <w:i/>
          <w:iCs/>
          <w:lang w:val="es-ES_tradnl"/>
        </w:rPr>
        <w:t>y</w:t>
      </w:r>
      <w:r w:rsidRPr="00CE4453">
        <w:rPr>
          <w:lang w:val="es-ES_tradnl"/>
        </w:rPr>
        <w:t xml:space="preserve">  =  [</w:t>
      </w:r>
      <w:r w:rsidRPr="00CE4453">
        <w:rPr>
          <w:i/>
          <w:iCs/>
          <w:lang w:val="es-ES_tradnl"/>
        </w:rPr>
        <w:t>D</w:t>
      </w:r>
      <w:r w:rsidRPr="00CE4453">
        <w:rPr>
          <w:lang w:val="es-ES_tradnl"/>
        </w:rPr>
        <w:t xml:space="preserve">  –  20 log(cos(</w:t>
      </w:r>
      <w:r w:rsidRPr="00A518F9">
        <w:rPr>
          <w:lang w:val="fr-CH"/>
        </w:rPr>
        <w:t>θ</w:t>
      </w:r>
      <w:r w:rsidRPr="00CE4453">
        <w:rPr>
          <w:vertAlign w:val="subscript"/>
          <w:lang w:val="es-ES_tradnl"/>
        </w:rPr>
        <w:t>0</w:t>
      </w:r>
      <w:r w:rsidRPr="00CE4453">
        <w:rPr>
          <w:lang w:val="es-ES_tradnl"/>
        </w:rPr>
        <w:t>))  +  20 log(cos (</w:t>
      </w:r>
      <w:r w:rsidRPr="00A518F9">
        <w:rPr>
          <w:lang w:val="fr-CH"/>
        </w:rPr>
        <w:t>θ</w:t>
      </w:r>
      <w:r w:rsidRPr="00CE4453">
        <w:rPr>
          <w:vertAlign w:val="subscript"/>
          <w:lang w:val="es-ES_tradnl"/>
        </w:rPr>
        <w:t>0</w:t>
      </w:r>
      <w:r w:rsidRPr="00CE4453">
        <w:rPr>
          <w:lang w:val="es-ES_tradnl"/>
        </w:rPr>
        <w:t xml:space="preserve">  +  </w:t>
      </w:r>
      <w:r w:rsidRPr="00A518F9">
        <w:rPr>
          <w:lang w:val="fr-CH"/>
        </w:rPr>
        <w:sym w:font="Symbol" w:char="F079"/>
      </w:r>
      <w:r w:rsidRPr="00CE4453">
        <w:rPr>
          <w:vertAlign w:val="subscript"/>
          <w:lang w:val="es-ES_tradnl"/>
        </w:rPr>
        <w:t>2</w:t>
      </w:r>
      <w:r w:rsidRPr="00CE4453">
        <w:rPr>
          <w:lang w:val="es-ES_tradnl"/>
        </w:rPr>
        <w:t xml:space="preserve">))]/[60  +  20 </w:t>
      </w:r>
      <w:r w:rsidRPr="00A518F9">
        <w:rPr>
          <w:lang w:val="fr-CH"/>
        </w:rPr>
        <w:sym w:font="Symbol" w:char="F079"/>
      </w:r>
      <w:r w:rsidRPr="00CE4453">
        <w:rPr>
          <w:vertAlign w:val="subscript"/>
          <w:lang w:val="es-ES_tradnl"/>
        </w:rPr>
        <w:t>2</w:t>
      </w:r>
      <w:r w:rsidRPr="00CE4453">
        <w:rPr>
          <w:lang w:val="es-ES_tradnl"/>
        </w:rPr>
        <w:t xml:space="preserve"> tg(</w:t>
      </w:r>
      <w:r w:rsidRPr="00A518F9">
        <w:rPr>
          <w:lang w:val="fr-CH"/>
        </w:rPr>
        <w:t>θ</w:t>
      </w:r>
      <w:r w:rsidRPr="00CE4453">
        <w:rPr>
          <w:vertAlign w:val="subscript"/>
          <w:lang w:val="es-ES_tradnl"/>
        </w:rPr>
        <w:t>0</w:t>
      </w:r>
      <w:r w:rsidRPr="00CE4453">
        <w:rPr>
          <w:lang w:val="es-ES_tradnl"/>
        </w:rPr>
        <w:t xml:space="preserve">  +  </w:t>
      </w:r>
      <w:r w:rsidRPr="00A518F9">
        <w:rPr>
          <w:lang w:val="fr-CH"/>
        </w:rPr>
        <w:sym w:font="Symbol" w:char="F079"/>
      </w:r>
      <w:r w:rsidRPr="00CE4453">
        <w:rPr>
          <w:vertAlign w:val="subscript"/>
          <w:lang w:val="es-ES_tradnl"/>
        </w:rPr>
        <w:t>2</w:t>
      </w:r>
      <w:r w:rsidRPr="00CE4453">
        <w:rPr>
          <w:lang w:val="es-ES_tradnl"/>
        </w:rPr>
        <w:t>)]</w:t>
      </w:r>
      <w:r w:rsidRPr="00CE4453">
        <w:rPr>
          <w:lang w:val="es-ES_tradnl"/>
        </w:rPr>
        <w:tab/>
        <w:t>(15)</w:t>
      </w:r>
    </w:p>
    <w:p w:rsidR="002C27CA" w:rsidRPr="00A518F9" w:rsidRDefault="002C27CA" w:rsidP="002C27CA">
      <w:pPr>
        <w:rPr>
          <w:lang w:val="fr-CH"/>
        </w:rPr>
      </w:pPr>
      <w:r w:rsidRPr="00A518F9">
        <w:rPr>
          <w:lang w:val="fr-CH"/>
        </w:rPr>
        <w:lastRenderedPageBreak/>
        <w:t>La distance de coordination requise (par rapport au nadir de la station HAPS) est donnée par la relation:</w:t>
      </w:r>
    </w:p>
    <w:p w:rsidR="002C27CA" w:rsidRPr="00A518F9" w:rsidRDefault="002C27CA" w:rsidP="002C27CA">
      <w:pPr>
        <w:pStyle w:val="Blanc"/>
        <w:rPr>
          <w:lang w:val="fr-CH"/>
        </w:rPr>
      </w:pPr>
    </w:p>
    <w:p w:rsidR="002C27CA" w:rsidRPr="00A518F9" w:rsidRDefault="002C27CA" w:rsidP="002C27CA">
      <w:pPr>
        <w:pStyle w:val="Equation"/>
        <w:rPr>
          <w:lang w:val="fr-CH"/>
        </w:rPr>
      </w:pPr>
      <w:r w:rsidRPr="00A518F9">
        <w:rPr>
          <w:lang w:val="fr-CH"/>
        </w:rPr>
        <w:tab/>
      </w:r>
      <w:r w:rsidRPr="00A518F9">
        <w:rPr>
          <w:lang w:val="fr-CH"/>
        </w:rPr>
        <w:tab/>
      </w:r>
      <w:r w:rsidRPr="00A518F9">
        <w:rPr>
          <w:i/>
          <w:iCs/>
          <w:lang w:val="fr-CH"/>
        </w:rPr>
        <w:t>R</w:t>
      </w:r>
      <w:r w:rsidRPr="00A518F9">
        <w:rPr>
          <w:i/>
          <w:iCs/>
          <w:vertAlign w:val="subscript"/>
          <w:lang w:val="fr-CH"/>
        </w:rPr>
        <w:t>coordination</w:t>
      </w:r>
      <w:r w:rsidRPr="00A518F9">
        <w:rPr>
          <w:lang w:val="fr-CH"/>
        </w:rPr>
        <w:t xml:space="preserve">  =  tg (θ</w:t>
      </w:r>
      <w:r w:rsidRPr="00A518F9">
        <w:rPr>
          <w:vertAlign w:val="subscript"/>
          <w:lang w:val="fr-CH"/>
        </w:rPr>
        <w:t>0</w:t>
      </w:r>
      <w:r w:rsidRPr="00A518F9">
        <w:rPr>
          <w:lang w:val="fr-CH"/>
        </w:rPr>
        <w:t xml:space="preserve">  +  10</w:t>
      </w:r>
      <w:r w:rsidRPr="00A518F9">
        <w:rPr>
          <w:i/>
          <w:iCs/>
          <w:vertAlign w:val="superscript"/>
          <w:lang w:val="fr-CH"/>
        </w:rPr>
        <w:t>y</w:t>
      </w:r>
      <w:r w:rsidRPr="00A518F9">
        <w:rPr>
          <w:lang w:val="fr-CH"/>
        </w:rPr>
        <w:sym w:font="Symbol" w:char="F079"/>
      </w:r>
      <w:r w:rsidRPr="00A518F9">
        <w:rPr>
          <w:vertAlign w:val="subscript"/>
          <w:lang w:val="fr-CH"/>
        </w:rPr>
        <w:t>2</w:t>
      </w:r>
      <w:r w:rsidRPr="00A518F9">
        <w:rPr>
          <w:lang w:val="fr-CH"/>
        </w:rPr>
        <w:t>)</w:t>
      </w:r>
      <w:r w:rsidRPr="00A518F9">
        <w:rPr>
          <w:i/>
          <w:iCs/>
          <w:lang w:val="fr-CH"/>
        </w:rPr>
        <w:t>h</w:t>
      </w:r>
      <w:r w:rsidRPr="00A518F9">
        <w:rPr>
          <w:lang w:val="fr-CH"/>
        </w:rPr>
        <w:t>               km</w:t>
      </w:r>
      <w:r w:rsidRPr="00A518F9">
        <w:rPr>
          <w:lang w:val="fr-CH"/>
        </w:rPr>
        <w:tab/>
        <w:t>(16)</w:t>
      </w:r>
    </w:p>
    <w:p w:rsidR="002C27CA" w:rsidRPr="00A518F9" w:rsidRDefault="002C27CA" w:rsidP="002C27CA">
      <w:pPr>
        <w:pStyle w:val="Blanc"/>
        <w:rPr>
          <w:lang w:val="fr-CH"/>
        </w:rPr>
      </w:pPr>
    </w:p>
    <w:p w:rsidR="002C27CA" w:rsidRPr="00A518F9" w:rsidRDefault="002C27CA" w:rsidP="002C27CA">
      <w:pPr>
        <w:rPr>
          <w:lang w:val="fr-CH"/>
        </w:rPr>
      </w:pPr>
      <w:r w:rsidRPr="00A518F9">
        <w:rPr>
          <w:lang w:val="fr-CH"/>
        </w:rPr>
        <w:t>Une formule empirique obtenue à partir de l'équation (16) qui prend en considération le niveau de brouillage cumulatif dans l'équation (11) est donnée ci-après:</w:t>
      </w:r>
    </w:p>
    <w:p w:rsidR="002C27CA" w:rsidRPr="00A518F9" w:rsidRDefault="002C27CA" w:rsidP="002C27CA">
      <w:pPr>
        <w:pStyle w:val="Blanc"/>
        <w:rPr>
          <w:lang w:val="fr-CH"/>
        </w:rPr>
      </w:pPr>
    </w:p>
    <w:p w:rsidR="002C27CA" w:rsidRPr="00CE4453" w:rsidRDefault="002C27CA" w:rsidP="002C27CA">
      <w:pPr>
        <w:pStyle w:val="Equation"/>
        <w:rPr>
          <w:lang w:val="en-US"/>
        </w:rPr>
      </w:pPr>
      <w:r w:rsidRPr="00CE4453">
        <w:rPr>
          <w:i/>
          <w:iCs/>
          <w:lang w:val="en-US"/>
        </w:rPr>
        <w:t>R</w:t>
      </w:r>
      <w:r w:rsidRPr="00CE4453">
        <w:rPr>
          <w:i/>
          <w:iCs/>
          <w:vertAlign w:val="subscript"/>
          <w:lang w:val="en-US"/>
        </w:rPr>
        <w:t>coordination</w:t>
      </w:r>
      <w:r w:rsidRPr="00CE4453">
        <w:rPr>
          <w:lang w:val="en-US"/>
        </w:rPr>
        <w:t xml:space="preserve">  =  tg (</w:t>
      </w:r>
      <w:r w:rsidRPr="00A518F9">
        <w:rPr>
          <w:lang w:val="fr-CH"/>
        </w:rPr>
        <w:t>θ</w:t>
      </w:r>
      <w:r w:rsidRPr="00CE4453">
        <w:rPr>
          <w:vertAlign w:val="subscript"/>
          <w:lang w:val="en-US"/>
        </w:rPr>
        <w:t>0</w:t>
      </w:r>
      <w:r w:rsidRPr="00CE4453">
        <w:rPr>
          <w:lang w:val="en-US"/>
        </w:rPr>
        <w:t xml:space="preserve">  +  10</w:t>
      </w:r>
      <w:r w:rsidRPr="00CE4453">
        <w:rPr>
          <w:i/>
          <w:iCs/>
          <w:vertAlign w:val="superscript"/>
          <w:lang w:val="en-US"/>
        </w:rPr>
        <w:t>y</w:t>
      </w:r>
      <w:r w:rsidRPr="00A518F9">
        <w:rPr>
          <w:lang w:val="fr-CH"/>
        </w:rPr>
        <w:sym w:font="Symbol" w:char="F079"/>
      </w:r>
      <w:r w:rsidRPr="00CE4453">
        <w:rPr>
          <w:vertAlign w:val="subscript"/>
          <w:lang w:val="en-US"/>
        </w:rPr>
        <w:t>2</w:t>
      </w:r>
      <w:r w:rsidRPr="00CE4453">
        <w:rPr>
          <w:lang w:val="en-US"/>
        </w:rPr>
        <w:t>)</w:t>
      </w:r>
      <w:r w:rsidRPr="00CE4453">
        <w:rPr>
          <w:i/>
          <w:iCs/>
          <w:lang w:val="en-US"/>
        </w:rPr>
        <w:t>h</w:t>
      </w:r>
      <w:r w:rsidRPr="00CE4453">
        <w:rPr>
          <w:lang w:val="en-US"/>
        </w:rPr>
        <w:t xml:space="preserve">  +   (1  –  </w:t>
      </w:r>
      <w:r w:rsidRPr="00CE4453">
        <w:rPr>
          <w:i/>
          <w:iCs/>
          <w:lang w:val="en-US"/>
        </w:rPr>
        <w:t>h</w:t>
      </w:r>
      <w:r w:rsidRPr="00CE4453">
        <w:rPr>
          <w:lang w:val="en-US"/>
        </w:rPr>
        <w:t>/(158 cos (</w:t>
      </w:r>
      <w:r w:rsidRPr="00A518F9">
        <w:rPr>
          <w:lang w:val="fr-CH"/>
        </w:rPr>
        <w:t>θ</w:t>
      </w:r>
      <w:r w:rsidRPr="00CE4453">
        <w:rPr>
          <w:vertAlign w:val="subscript"/>
          <w:lang w:val="en-US"/>
        </w:rPr>
        <w:t>0</w:t>
      </w:r>
      <w:r w:rsidRPr="00CE4453">
        <w:rPr>
          <w:lang w:val="en-US"/>
        </w:rPr>
        <w:t>))(</w:t>
      </w:r>
      <w:r w:rsidRPr="00CE4453">
        <w:rPr>
          <w:i/>
          <w:iCs/>
          <w:lang w:val="en-US"/>
        </w:rPr>
        <w:t>Num</w:t>
      </w:r>
      <w:r w:rsidRPr="00CE4453">
        <w:rPr>
          <w:lang w:val="en-US"/>
        </w:rPr>
        <w:t xml:space="preserve">  ×  10</w:t>
      </w:r>
      <w:r w:rsidRPr="00CE4453">
        <w:rPr>
          <w:vertAlign w:val="superscript"/>
          <w:lang w:val="en-US"/>
        </w:rPr>
        <w:t>–7,3+B</w:t>
      </w:r>
      <w:r w:rsidRPr="00CE4453">
        <w:rPr>
          <w:lang w:val="en-US"/>
        </w:rPr>
        <w:t xml:space="preserve">  –  1)</w:t>
      </w:r>
      <w:r w:rsidRPr="00CE4453">
        <w:rPr>
          <w:vertAlign w:val="superscript"/>
          <w:lang w:val="en-US"/>
        </w:rPr>
        <w:t>1/2</w:t>
      </w:r>
      <w:r w:rsidRPr="00CE4453">
        <w:rPr>
          <w:lang w:val="en-US"/>
        </w:rPr>
        <w:t xml:space="preserve"> </w:t>
      </w:r>
      <w:r w:rsidRPr="00CE4453">
        <w:rPr>
          <w:i/>
          <w:iCs/>
          <w:lang w:val="en-US"/>
        </w:rPr>
        <w:t>h</w:t>
      </w:r>
      <w:r w:rsidRPr="00CE4453">
        <w:rPr>
          <w:lang w:val="en-US"/>
        </w:rPr>
        <w:t>          km</w:t>
      </w:r>
      <w:r w:rsidRPr="00CE4453">
        <w:rPr>
          <w:lang w:val="en-US"/>
        </w:rPr>
        <w:tab/>
        <w:t>(17)</w:t>
      </w:r>
    </w:p>
    <w:p w:rsidR="002C27CA" w:rsidRPr="00CE4453" w:rsidRDefault="002C27CA" w:rsidP="002C27CA">
      <w:pPr>
        <w:pStyle w:val="Blanc"/>
        <w:rPr>
          <w:lang w:val="en-US"/>
        </w:rPr>
      </w:pPr>
    </w:p>
    <w:p w:rsidR="002C27CA" w:rsidRPr="00A518F9" w:rsidRDefault="002C27CA" w:rsidP="002C27CA">
      <w:pPr>
        <w:rPr>
          <w:lang w:val="fr-CH"/>
        </w:rPr>
      </w:pPr>
      <w:r w:rsidRPr="00A518F9">
        <w:rPr>
          <w:lang w:val="fr-CH"/>
        </w:rPr>
        <w:t>La méthode d'approximation conduit à des résultats assez exacts lorsqu'on les compare avec ceux obtenus avec un calcul réel multifaisceaux. Comme on peut le constater dans la Fig. 3:</w:t>
      </w:r>
    </w:p>
    <w:p w:rsidR="002C27CA" w:rsidRPr="00A518F9" w:rsidRDefault="002C27CA" w:rsidP="002C27CA">
      <w:pPr>
        <w:pStyle w:val="FigureNo"/>
        <w:rPr>
          <w:lang w:val="fr-CH"/>
        </w:rPr>
      </w:pPr>
      <w:r w:rsidRPr="00A518F9">
        <w:rPr>
          <w:noProof/>
          <w:lang w:val="en-US" w:eastAsia="zh-CN"/>
        </w:rPr>
        <w:drawing>
          <wp:inline distT="0" distB="0" distL="0" distR="0" wp14:anchorId="1CD28097" wp14:editId="529BE663">
            <wp:extent cx="5963285" cy="53987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3285" cy="5398770"/>
                    </a:xfrm>
                    <a:prstGeom prst="rect">
                      <a:avLst/>
                    </a:prstGeom>
                    <a:noFill/>
                    <a:ln>
                      <a:noFill/>
                    </a:ln>
                  </pic:spPr>
                </pic:pic>
              </a:graphicData>
            </a:graphic>
          </wp:inline>
        </w:drawing>
      </w:r>
    </w:p>
    <w:p w:rsidR="002C27CA" w:rsidRPr="00A518F9" w:rsidRDefault="002C27CA" w:rsidP="002C27CA">
      <w:pPr>
        <w:pStyle w:val="Normalaftertitle"/>
        <w:rPr>
          <w:lang w:val="fr-CH"/>
        </w:rPr>
      </w:pPr>
      <w:r w:rsidRPr="00A518F9">
        <w:rPr>
          <w:lang w:val="fr-CH"/>
        </w:rPr>
        <w:t xml:space="preserve">On constate à la Fig. 3 que la formule approximative conduit à des résultats qui se trouvent dans une fourchette de 1% par rapport à ceux obtenus au moyen d'un calcul multifaisceaux explicite pour des rayons de couverture allant jusqu'à 132 km. Il convient de noter que si une station mobile se trouve au-delà de l'horizon, elle ne doit pas recevoir de brouillage en provenance du système </w:t>
      </w:r>
      <w:r w:rsidRPr="00A518F9">
        <w:rPr>
          <w:lang w:val="fr-CH"/>
        </w:rPr>
        <w:lastRenderedPageBreak/>
        <w:t>HAPS compte tenu des contraintes de visibilité. Ainsi, lorsque le système HAPS se trouve à 22 km d'altitude, son horizon est d'environ 600 km mesuré depuis le nadir. Compte tenu du fort affaiblissement par le fouillis, l'horizon visible et l'horizon radioélectrique doivent être pratiquement les mêmes.</w:t>
      </w:r>
    </w:p>
    <w:p w:rsidR="002C27CA" w:rsidRPr="00A518F9" w:rsidRDefault="002C27CA" w:rsidP="002C27CA">
      <w:pPr>
        <w:pStyle w:val="Heading2"/>
        <w:rPr>
          <w:lang w:val="fr-CH"/>
        </w:rPr>
      </w:pPr>
      <w:r w:rsidRPr="00A518F9">
        <w:rPr>
          <w:lang w:val="fr-CH"/>
        </w:rPr>
        <w:t>2.1</w:t>
      </w:r>
      <w:r w:rsidRPr="00A518F9">
        <w:rPr>
          <w:lang w:val="fr-CH"/>
        </w:rPr>
        <w:tab/>
        <w:t xml:space="preserve">Brouillage du service fixe par une station HAPS </w:t>
      </w:r>
    </w:p>
    <w:p w:rsidR="002C27CA" w:rsidRPr="00A518F9" w:rsidRDefault="002C27CA" w:rsidP="002C27CA">
      <w:pPr>
        <w:rPr>
          <w:lang w:val="fr-CH"/>
        </w:rPr>
      </w:pPr>
      <w:r w:rsidRPr="00A518F9">
        <w:rPr>
          <w:lang w:val="fr-CH"/>
        </w:rPr>
        <w:t>Le brouillage causé au service fixe point à point par une station HAPS fonctionnant dans les mêmes bandes que le service fixe nécessitera la définition d'une distance de coordination entre le nadir du système HAPS et l'antenne du service fixe qui est une fonction du gain d'antenne du système du service fixe, de son angle de visée par rapport au système HAPS et du rayon de couverture du système HAPS. Un tel service point à point utilise en général des antennes présentant une directivité suffisante pour optimiser les communications à longue distance. En supposant que les antennes du service fixe pointent approximativement dans la direction horizontale, la puissance brouilleuse reçue par l'antenne du service fixe en provenance du système HAPS peut s'écrire comme suit:</w:t>
      </w:r>
    </w:p>
    <w:p w:rsidR="002C27CA" w:rsidRPr="00A518F9" w:rsidRDefault="002C27CA" w:rsidP="002C27CA">
      <w:pPr>
        <w:pStyle w:val="Blanc"/>
        <w:rPr>
          <w:lang w:val="fr-CH"/>
        </w:rPr>
      </w:pPr>
    </w:p>
    <w:p w:rsidR="002C27CA" w:rsidRPr="00A518F9" w:rsidRDefault="002C27CA" w:rsidP="002C27CA">
      <w:pPr>
        <w:pStyle w:val="Equation"/>
        <w:rPr>
          <w:lang w:val="fr-CH"/>
        </w:rPr>
      </w:pPr>
      <w:r w:rsidRPr="00A518F9">
        <w:rPr>
          <w:lang w:val="fr-CH"/>
        </w:rPr>
        <w:tab/>
      </w:r>
      <w:r w:rsidRPr="00A518F9">
        <w:rPr>
          <w:lang w:val="fr-CH"/>
        </w:rPr>
        <w:tab/>
      </w:r>
      <w:r w:rsidR="002B1FA9" w:rsidRPr="00A518F9">
        <w:rPr>
          <w:position w:val="-14"/>
          <w:lang w:val="fr-CH"/>
        </w:rPr>
        <w:object w:dxaOrig="4140" w:dyaOrig="440">
          <v:shape id="_x0000_i1032" type="#_x0000_t75" style="width:207pt;height:22pt" o:ole="">
            <v:imagedata r:id="rId32" o:title=""/>
          </v:shape>
          <o:OLEObject Type="Embed" ProgID="Equation.3" ShapeID="_x0000_i1032" DrawAspect="Content" ObjectID="_1370084538" r:id="rId33"/>
        </w:object>
      </w:r>
      <w:r w:rsidRPr="00A518F9">
        <w:rPr>
          <w:lang w:val="fr-CH"/>
        </w:rPr>
        <w:tab/>
        <w:t>(18)</w:t>
      </w:r>
    </w:p>
    <w:p w:rsidR="002C27CA" w:rsidRPr="00A518F9" w:rsidRDefault="002C27CA" w:rsidP="002C27CA">
      <w:pPr>
        <w:pStyle w:val="Blanc"/>
        <w:rPr>
          <w:lang w:val="fr-CH"/>
        </w:rPr>
      </w:pPr>
    </w:p>
    <w:p w:rsidR="002C27CA" w:rsidRPr="00A518F9" w:rsidRDefault="002C27CA" w:rsidP="002C27CA">
      <w:pPr>
        <w:rPr>
          <w:lang w:val="fr-CH"/>
        </w:rPr>
      </w:pPr>
      <w:r w:rsidRPr="00A518F9">
        <w:rPr>
          <w:lang w:val="fr-CH"/>
        </w:rPr>
        <w:t>où:</w:t>
      </w:r>
    </w:p>
    <w:p w:rsidR="002C27CA" w:rsidRPr="00A518F9" w:rsidRDefault="002C27CA" w:rsidP="002C27CA">
      <w:pPr>
        <w:pStyle w:val="Equationlegend"/>
        <w:rPr>
          <w:lang w:val="fr-CH"/>
        </w:rPr>
      </w:pPr>
      <w:r w:rsidRPr="00A518F9">
        <w:rPr>
          <w:lang w:val="fr-CH"/>
        </w:rPr>
        <w:tab/>
      </w:r>
      <w:r w:rsidRPr="00A518F9">
        <w:rPr>
          <w:i/>
          <w:iCs/>
          <w:lang w:val="fr-CH"/>
        </w:rPr>
        <w:t>P</w:t>
      </w:r>
      <w:r w:rsidRPr="00A518F9">
        <w:rPr>
          <w:i/>
          <w:iCs/>
          <w:vertAlign w:val="subscript"/>
          <w:lang w:val="fr-CH"/>
        </w:rPr>
        <w:t>reçue</w:t>
      </w:r>
      <w:r w:rsidRPr="00A518F9">
        <w:rPr>
          <w:lang w:val="fr-CH"/>
        </w:rPr>
        <w:t>(θ):</w:t>
      </w:r>
      <w:r w:rsidRPr="00A518F9">
        <w:rPr>
          <w:lang w:val="fr-CH"/>
        </w:rPr>
        <w:tab/>
        <w:t>puissance reçue au sol en fonction de l'angle d'inclinaison θ</w:t>
      </w:r>
    </w:p>
    <w:p w:rsidR="002C27CA" w:rsidRPr="00A518F9" w:rsidRDefault="002C27CA" w:rsidP="002C27CA">
      <w:pPr>
        <w:pStyle w:val="Equationlegend"/>
        <w:rPr>
          <w:lang w:val="fr-CH"/>
        </w:rPr>
      </w:pPr>
      <w:r w:rsidRPr="00A518F9">
        <w:rPr>
          <w:lang w:val="fr-CH"/>
        </w:rPr>
        <w:tab/>
      </w:r>
      <w:r w:rsidRPr="00A518F9">
        <w:rPr>
          <w:i/>
          <w:iCs/>
          <w:lang w:val="fr-CH"/>
        </w:rPr>
        <w:t>r</w:t>
      </w:r>
      <w:r w:rsidRPr="00A518F9">
        <w:rPr>
          <w:rFonts w:ascii="Tms Rmn" w:hAnsi="Tms Rmn"/>
          <w:sz w:val="12"/>
          <w:lang w:val="fr-CH"/>
        </w:rPr>
        <w:t> </w:t>
      </w:r>
      <w:r w:rsidRPr="00A518F9">
        <w:rPr>
          <w:lang w:val="fr-CH"/>
        </w:rPr>
        <w:t>:</w:t>
      </w:r>
      <w:r w:rsidRPr="00A518F9">
        <w:rPr>
          <w:lang w:val="fr-CH"/>
        </w:rPr>
        <w:tab/>
      </w:r>
      <w:r w:rsidRPr="00A518F9">
        <w:rPr>
          <w:lang w:val="fr-CH"/>
        </w:rPr>
        <w:tab/>
        <w:t>distance depuis le nadir du faisceau HAPS le plus proche</w:t>
      </w:r>
    </w:p>
    <w:p w:rsidR="002C27CA" w:rsidRPr="00A518F9" w:rsidRDefault="002C27CA" w:rsidP="002C27CA">
      <w:pPr>
        <w:pStyle w:val="Equationlegend"/>
        <w:rPr>
          <w:lang w:val="fr-CH"/>
        </w:rPr>
      </w:pPr>
      <w:r w:rsidRPr="00A518F9">
        <w:rPr>
          <w:lang w:val="fr-CH"/>
        </w:rPr>
        <w:tab/>
      </w:r>
      <w:r w:rsidRPr="00A518F9">
        <w:rPr>
          <w:i/>
          <w:iCs/>
          <w:lang w:val="fr-CH"/>
        </w:rPr>
        <w:t>G</w:t>
      </w:r>
      <w:r w:rsidRPr="00A518F9">
        <w:rPr>
          <w:i/>
          <w:iCs/>
          <w:vertAlign w:val="subscript"/>
          <w:lang w:val="fr-CH"/>
        </w:rPr>
        <w:t>victime</w:t>
      </w:r>
      <w:r w:rsidRPr="00A518F9">
        <w:rPr>
          <w:lang w:val="fr-CH"/>
        </w:rPr>
        <w:t>(</w:t>
      </w:r>
      <w:r w:rsidRPr="00A518F9">
        <w:rPr>
          <w:lang w:val="fr-CH"/>
        </w:rPr>
        <w:sym w:font="Symbol" w:char="F06A"/>
      </w:r>
      <w:r w:rsidRPr="00A518F9">
        <w:rPr>
          <w:lang w:val="fr-CH"/>
        </w:rPr>
        <w:t xml:space="preserve">, </w:t>
      </w:r>
      <w:r w:rsidRPr="00A518F9">
        <w:rPr>
          <w:i/>
          <w:iCs/>
          <w:lang w:val="fr-CH"/>
        </w:rPr>
        <w:t>r</w:t>
      </w:r>
      <w:r w:rsidRPr="00A518F9">
        <w:rPr>
          <w:lang w:val="fr-CH"/>
        </w:rPr>
        <w:t>)</w:t>
      </w:r>
      <w:r w:rsidRPr="00A518F9">
        <w:rPr>
          <w:rFonts w:ascii="Tms Rmn" w:hAnsi="Tms Rmn"/>
          <w:sz w:val="12"/>
          <w:lang w:val="fr-CH"/>
        </w:rPr>
        <w:t> </w:t>
      </w:r>
      <w:r w:rsidRPr="00A518F9">
        <w:rPr>
          <w:lang w:val="fr-CH"/>
        </w:rPr>
        <w:t>:</w:t>
      </w:r>
      <w:r w:rsidRPr="00A518F9">
        <w:rPr>
          <w:lang w:val="fr-CH"/>
        </w:rPr>
        <w:tab/>
        <w:t>gain d'antenne de l'antenne du service fixe brouillé en fonction à la fois de l'angle hors axe de visée par rapport au nadir du système HAPS et de la distance de l'antenne du service fixe par rapport au nadir.</w:t>
      </w:r>
    </w:p>
    <w:p w:rsidR="002C27CA" w:rsidRPr="00A518F9" w:rsidRDefault="002C27CA" w:rsidP="002C27CA">
      <w:pPr>
        <w:rPr>
          <w:lang w:val="fr-CH"/>
        </w:rPr>
      </w:pPr>
      <w:r w:rsidRPr="00A518F9">
        <w:rPr>
          <w:lang w:val="fr-CH"/>
        </w:rPr>
        <w:t>Ce dernier peut s'exprimer en fonction de l'angle hors axe de visée, α, défini par l'expression:</w:t>
      </w:r>
    </w:p>
    <w:p w:rsidR="002C27CA" w:rsidRPr="00A518F9" w:rsidRDefault="002C27CA" w:rsidP="002C27CA">
      <w:pPr>
        <w:pStyle w:val="Blanc"/>
        <w:rPr>
          <w:lang w:val="fr-CH"/>
        </w:rPr>
      </w:pPr>
    </w:p>
    <w:p w:rsidR="002C27CA" w:rsidRPr="00A518F9" w:rsidRDefault="002C27CA" w:rsidP="002C27CA">
      <w:pPr>
        <w:pStyle w:val="Equation"/>
        <w:rPr>
          <w:lang w:val="fr-CH"/>
        </w:rPr>
      </w:pPr>
      <w:r w:rsidRPr="00A518F9">
        <w:rPr>
          <w:lang w:val="fr-CH"/>
        </w:rPr>
        <w:tab/>
      </w:r>
      <w:r w:rsidRPr="00A518F9">
        <w:rPr>
          <w:lang w:val="fr-CH"/>
        </w:rPr>
        <w:tab/>
      </w:r>
      <w:r w:rsidR="002B1FA9" w:rsidRPr="00A518F9">
        <w:rPr>
          <w:position w:val="-10"/>
          <w:sz w:val="18"/>
          <w:lang w:val="fr-CH"/>
        </w:rPr>
        <w:object w:dxaOrig="3240" w:dyaOrig="580">
          <v:shape id="_x0000_i1033" type="#_x0000_t75" style="width:162pt;height:28.5pt" o:ole="">
            <v:imagedata r:id="rId34" o:title=""/>
          </v:shape>
          <o:OLEObject Type="Embed" ProgID="Equation.3" ShapeID="_x0000_i1033" DrawAspect="Content" ObjectID="_1370084539" r:id="rId35"/>
        </w:object>
      </w:r>
      <w:r w:rsidRPr="00A518F9">
        <w:rPr>
          <w:lang w:val="fr-CH"/>
        </w:rPr>
        <w:tab/>
        <w:t>(19)</w:t>
      </w:r>
    </w:p>
    <w:p w:rsidR="002C27CA" w:rsidRPr="00A518F9" w:rsidRDefault="002C27CA" w:rsidP="002C27CA">
      <w:pPr>
        <w:pStyle w:val="Blanc"/>
        <w:rPr>
          <w:lang w:val="fr-CH"/>
        </w:rPr>
      </w:pPr>
    </w:p>
    <w:p w:rsidR="002C27CA" w:rsidRPr="00A518F9" w:rsidRDefault="002C27CA" w:rsidP="002C27CA">
      <w:pPr>
        <w:rPr>
          <w:lang w:val="fr-CH"/>
        </w:rPr>
      </w:pPr>
      <w:r w:rsidRPr="00A518F9">
        <w:rPr>
          <w:lang w:val="fr-CH"/>
        </w:rPr>
        <w:t>Compte tenu des valeurs élevées de la puissance surfacique rayonnée par le système HAPS à pleine charge à l'intérieur de leur zone de couverture principale, le partage cocanal dans la zone de couverture HAPS est à l'évidence impossible et ce que montre le calcul explicite multifaisceaux du scénario précité. En dehors de la zone de couverture principale HAPS, on peut utiliser valablement l'équation (20):</w:t>
      </w:r>
    </w:p>
    <w:p w:rsidR="002C27CA" w:rsidRPr="00A518F9" w:rsidRDefault="002C27CA" w:rsidP="002C27CA">
      <w:pPr>
        <w:pStyle w:val="Blanc"/>
        <w:rPr>
          <w:lang w:val="fr-CH"/>
        </w:rPr>
      </w:pPr>
    </w:p>
    <w:p w:rsidR="002C27CA" w:rsidRPr="00A518F9" w:rsidRDefault="002C27CA" w:rsidP="002C27CA">
      <w:pPr>
        <w:pStyle w:val="Equation"/>
        <w:rPr>
          <w:lang w:val="fr-CH"/>
        </w:rPr>
      </w:pPr>
      <w:r w:rsidRPr="00A518F9">
        <w:rPr>
          <w:lang w:val="fr-CH"/>
        </w:rPr>
        <w:tab/>
      </w:r>
      <w:r w:rsidRPr="00A518F9">
        <w:rPr>
          <w:lang w:val="fr-CH"/>
        </w:rPr>
        <w:tab/>
        <w:t>(</w:t>
      </w:r>
      <w:r w:rsidRPr="00A518F9">
        <w:rPr>
          <w:i/>
          <w:iCs/>
          <w:lang w:val="fr-CH"/>
        </w:rPr>
        <w:t>I</w:t>
      </w:r>
      <w:r w:rsidRPr="00A518F9">
        <w:rPr>
          <w:i/>
          <w:iCs/>
          <w:vertAlign w:val="subscript"/>
          <w:lang w:val="fr-CH"/>
        </w:rPr>
        <w:t>reçue</w:t>
      </w:r>
      <w:r w:rsidRPr="00A518F9">
        <w:rPr>
          <w:lang w:val="fr-CH"/>
        </w:rPr>
        <w:t>/</w:t>
      </w:r>
      <w:r w:rsidRPr="00A518F9">
        <w:rPr>
          <w:i/>
          <w:iCs/>
          <w:lang w:val="fr-CH"/>
        </w:rPr>
        <w:t>N</w:t>
      </w:r>
      <w:r w:rsidRPr="00A518F9">
        <w:rPr>
          <w:lang w:val="fr-CH"/>
        </w:rPr>
        <w:t>)  =  (</w:t>
      </w:r>
      <w:r w:rsidRPr="00A518F9">
        <w:rPr>
          <w:i/>
          <w:iCs/>
          <w:lang w:val="fr-CH"/>
        </w:rPr>
        <w:t>I</w:t>
      </w:r>
      <w:r w:rsidRPr="00A518F9">
        <w:rPr>
          <w:i/>
          <w:iCs/>
          <w:vertAlign w:val="subscript"/>
          <w:lang w:val="fr-CH"/>
        </w:rPr>
        <w:t>reçue</w:t>
      </w:r>
      <w:r w:rsidRPr="00A518F9">
        <w:rPr>
          <w:lang w:val="fr-CH"/>
        </w:rPr>
        <w:t>/</w:t>
      </w:r>
      <w:r w:rsidRPr="00A518F9">
        <w:rPr>
          <w:i/>
          <w:iCs/>
          <w:lang w:val="fr-CH"/>
        </w:rPr>
        <w:t>N</w:t>
      </w:r>
      <w:r w:rsidRPr="00A518F9">
        <w:rPr>
          <w:lang w:val="fr-CH"/>
        </w:rPr>
        <w:t>)</w:t>
      </w:r>
      <w:r w:rsidRPr="00A518F9">
        <w:rPr>
          <w:i/>
          <w:iCs/>
          <w:vertAlign w:val="subscript"/>
          <w:lang w:val="fr-CH"/>
        </w:rPr>
        <w:t>centre</w:t>
      </w:r>
      <w:r w:rsidRPr="00A518F9">
        <w:rPr>
          <w:lang w:val="fr-CH"/>
        </w:rPr>
        <w:t xml:space="preserve">  +  </w:t>
      </w:r>
      <w:r w:rsidRPr="00A518F9">
        <w:rPr>
          <w:lang w:val="fr-CH"/>
        </w:rPr>
        <w:sym w:font="Symbol" w:char="F064"/>
      </w:r>
      <w:r w:rsidRPr="00A518F9">
        <w:rPr>
          <w:lang w:val="fr-CH"/>
        </w:rPr>
        <w:t xml:space="preserve"> </w:t>
      </w:r>
      <w:r w:rsidRPr="00A518F9">
        <w:rPr>
          <w:i/>
          <w:iCs/>
          <w:lang w:val="fr-CH"/>
        </w:rPr>
        <w:t>G</w:t>
      </w:r>
      <w:r w:rsidRPr="00A518F9">
        <w:rPr>
          <w:lang w:val="fr-CH"/>
        </w:rPr>
        <w:t>(θ  –  θ</w:t>
      </w:r>
      <w:r w:rsidRPr="00A518F9">
        <w:rPr>
          <w:vertAlign w:val="subscript"/>
          <w:lang w:val="fr-CH"/>
        </w:rPr>
        <w:t>0</w:t>
      </w:r>
      <w:r w:rsidRPr="00A518F9">
        <w:rPr>
          <w:lang w:val="fr-CH"/>
        </w:rPr>
        <w:t xml:space="preserve">)  –  </w:t>
      </w:r>
      <w:r w:rsidRPr="00A518F9">
        <w:rPr>
          <w:lang w:val="fr-CH"/>
        </w:rPr>
        <w:sym w:font="Symbol" w:char="F064"/>
      </w:r>
      <w:r w:rsidRPr="00A518F9">
        <w:rPr>
          <w:lang w:val="fr-CH"/>
        </w:rPr>
        <w:t xml:space="preserve"> </w:t>
      </w:r>
      <w:r w:rsidRPr="00A518F9">
        <w:rPr>
          <w:i/>
          <w:iCs/>
          <w:lang w:val="fr-CH"/>
        </w:rPr>
        <w:t>FSL</w:t>
      </w:r>
      <w:r w:rsidRPr="00A518F9">
        <w:rPr>
          <w:lang w:val="fr-CH"/>
        </w:rPr>
        <w:t xml:space="preserve">(θ)  +  </w:t>
      </w:r>
      <w:r w:rsidRPr="00A518F9">
        <w:rPr>
          <w:i/>
          <w:iCs/>
          <w:lang w:val="fr-CH"/>
        </w:rPr>
        <w:t>G</w:t>
      </w:r>
      <w:r w:rsidRPr="00A518F9">
        <w:rPr>
          <w:i/>
          <w:iCs/>
          <w:vertAlign w:val="subscript"/>
          <w:lang w:val="fr-CH"/>
        </w:rPr>
        <w:t>FS</w:t>
      </w:r>
      <w:r w:rsidRPr="00A518F9">
        <w:rPr>
          <w:lang w:val="fr-CH"/>
        </w:rPr>
        <w:t>(α(</w:t>
      </w:r>
      <w:r w:rsidRPr="00A518F9">
        <w:rPr>
          <w:lang w:val="fr-CH"/>
        </w:rPr>
        <w:sym w:font="Symbol" w:char="F06A"/>
      </w:r>
      <w:r w:rsidRPr="00A518F9">
        <w:rPr>
          <w:lang w:val="fr-CH"/>
        </w:rPr>
        <w:t xml:space="preserve">, </w:t>
      </w:r>
      <w:r w:rsidRPr="00A518F9">
        <w:rPr>
          <w:i/>
          <w:iCs/>
          <w:lang w:val="fr-CH"/>
        </w:rPr>
        <w:t>r</w:t>
      </w:r>
      <w:r w:rsidRPr="00A518F9">
        <w:rPr>
          <w:lang w:val="fr-CH"/>
        </w:rPr>
        <w:t>))</w:t>
      </w:r>
      <w:r w:rsidRPr="00A518F9">
        <w:rPr>
          <w:lang w:val="fr-CH"/>
        </w:rPr>
        <w:tab/>
        <w:t>(20)</w:t>
      </w:r>
    </w:p>
    <w:p w:rsidR="002C27CA" w:rsidRPr="00A518F9" w:rsidRDefault="002C27CA" w:rsidP="002C27CA">
      <w:pPr>
        <w:pStyle w:val="Blanc"/>
        <w:rPr>
          <w:lang w:val="fr-CH"/>
        </w:rPr>
      </w:pPr>
    </w:p>
    <w:p w:rsidR="002C27CA" w:rsidRPr="00A518F9" w:rsidRDefault="002C27CA" w:rsidP="002C27CA">
      <w:pPr>
        <w:rPr>
          <w:lang w:val="fr-CH"/>
        </w:rPr>
      </w:pPr>
      <w:r w:rsidRPr="00A518F9">
        <w:rPr>
          <w:lang w:val="fr-CH"/>
        </w:rPr>
        <w:t xml:space="preserve">dans laquelle </w:t>
      </w:r>
      <w:r w:rsidRPr="00A518F9">
        <w:rPr>
          <w:lang w:val="fr-CH"/>
        </w:rPr>
        <w:sym w:font="Symbol" w:char="F064"/>
      </w:r>
      <w:r w:rsidRPr="00A518F9">
        <w:rPr>
          <w:lang w:val="fr-CH"/>
        </w:rPr>
        <w:t xml:space="preserve"> </w:t>
      </w:r>
      <w:r w:rsidRPr="00A518F9">
        <w:rPr>
          <w:i/>
          <w:iCs/>
          <w:lang w:val="fr-CH"/>
        </w:rPr>
        <w:t>G</w:t>
      </w:r>
      <w:r w:rsidRPr="00A518F9">
        <w:rPr>
          <w:lang w:val="fr-CH"/>
        </w:rPr>
        <w:t>(θ – θ</w:t>
      </w:r>
      <w:r w:rsidRPr="00A518F9">
        <w:rPr>
          <w:vertAlign w:val="subscript"/>
          <w:lang w:val="fr-CH"/>
        </w:rPr>
        <w:t>0</w:t>
      </w:r>
      <w:r w:rsidRPr="00A518F9">
        <w:rPr>
          <w:lang w:val="fr-CH"/>
        </w:rPr>
        <w:t xml:space="preserve">) et </w:t>
      </w:r>
      <w:r w:rsidRPr="00A518F9">
        <w:rPr>
          <w:lang w:val="fr-CH"/>
        </w:rPr>
        <w:sym w:font="Symbol" w:char="F064"/>
      </w:r>
      <w:r w:rsidRPr="00A518F9">
        <w:rPr>
          <w:lang w:val="fr-CH"/>
        </w:rPr>
        <w:t xml:space="preserve"> </w:t>
      </w:r>
      <w:r w:rsidRPr="00A518F9">
        <w:rPr>
          <w:i/>
          <w:iCs/>
          <w:lang w:val="fr-CH"/>
        </w:rPr>
        <w:t>FSL</w:t>
      </w:r>
      <w:r w:rsidRPr="00A518F9">
        <w:rPr>
          <w:lang w:val="fr-CH"/>
        </w:rPr>
        <w:t xml:space="preserve">(θ) ont déjà été définis, et </w:t>
      </w:r>
      <w:r w:rsidRPr="00A518F9">
        <w:rPr>
          <w:i/>
          <w:iCs/>
          <w:lang w:val="fr-CH"/>
        </w:rPr>
        <w:t>G</w:t>
      </w:r>
      <w:r w:rsidRPr="00A518F9">
        <w:rPr>
          <w:i/>
          <w:iCs/>
          <w:vertAlign w:val="subscript"/>
          <w:lang w:val="fr-CH"/>
        </w:rPr>
        <w:t>FS</w:t>
      </w:r>
      <w:r w:rsidRPr="00A518F9">
        <w:rPr>
          <w:lang w:val="fr-CH"/>
        </w:rPr>
        <w:t>(α(</w:t>
      </w:r>
      <w:r w:rsidRPr="00A518F9">
        <w:rPr>
          <w:lang w:val="fr-CH"/>
        </w:rPr>
        <w:sym w:font="Symbol" w:char="F06A"/>
      </w:r>
      <w:r w:rsidRPr="00A518F9">
        <w:rPr>
          <w:lang w:val="fr-CH"/>
        </w:rPr>
        <w:t xml:space="preserve">, </w:t>
      </w:r>
      <w:r w:rsidRPr="00A518F9">
        <w:rPr>
          <w:i/>
          <w:iCs/>
          <w:lang w:val="fr-CH"/>
        </w:rPr>
        <w:t>r</w:t>
      </w:r>
      <w:r w:rsidRPr="00A518F9">
        <w:rPr>
          <w:lang w:val="fr-CH"/>
        </w:rPr>
        <w:t xml:space="preserve">)) =  </w:t>
      </w:r>
      <w:r w:rsidRPr="00A518F9">
        <w:rPr>
          <w:i/>
          <w:lang w:val="fr-CH"/>
        </w:rPr>
        <w:t>G</w:t>
      </w:r>
      <w:r w:rsidRPr="00A518F9">
        <w:rPr>
          <w:i/>
          <w:iCs/>
          <w:vertAlign w:val="subscript"/>
          <w:lang w:val="fr-CH"/>
        </w:rPr>
        <w:t xml:space="preserve">victime </w:t>
      </w:r>
      <w:r w:rsidRPr="00A518F9">
        <w:rPr>
          <w:lang w:val="fr-CH"/>
        </w:rPr>
        <w:t>(</w:t>
      </w:r>
      <w:r w:rsidRPr="00A518F9">
        <w:rPr>
          <w:lang w:val="fr-CH"/>
        </w:rPr>
        <w:sym w:font="Symbol" w:char="F06A"/>
      </w:r>
      <w:r w:rsidRPr="00A518F9">
        <w:rPr>
          <w:lang w:val="fr-CH"/>
        </w:rPr>
        <w:t xml:space="preserve">, </w:t>
      </w:r>
      <w:r w:rsidRPr="00A518F9">
        <w:rPr>
          <w:i/>
          <w:iCs/>
          <w:lang w:val="fr-CH"/>
        </w:rPr>
        <w:t>r</w:t>
      </w:r>
      <w:r w:rsidRPr="00A518F9">
        <w:rPr>
          <w:lang w:val="fr-CH"/>
        </w:rPr>
        <w:t>). On obtient donc les équations (21) et (22):</w:t>
      </w:r>
    </w:p>
    <w:p w:rsidR="002C27CA" w:rsidRPr="00A518F9" w:rsidRDefault="002C27CA" w:rsidP="002C27CA">
      <w:pPr>
        <w:pStyle w:val="Blanc"/>
        <w:rPr>
          <w:lang w:val="fr-CH"/>
        </w:rPr>
      </w:pPr>
    </w:p>
    <w:p w:rsidR="002C27CA" w:rsidRPr="00A518F9" w:rsidRDefault="002C27CA" w:rsidP="002C27CA">
      <w:pPr>
        <w:pStyle w:val="Equation"/>
        <w:rPr>
          <w:lang w:val="fr-CH"/>
        </w:rPr>
      </w:pPr>
      <w:r w:rsidRPr="00A518F9">
        <w:rPr>
          <w:lang w:val="fr-CH"/>
        </w:rPr>
        <w:tab/>
      </w:r>
      <w:r w:rsidRPr="00A518F9">
        <w:rPr>
          <w:lang w:val="fr-CH"/>
        </w:rPr>
        <w:tab/>
      </w:r>
      <w:r w:rsidRPr="00A518F9">
        <w:rPr>
          <w:i/>
          <w:iCs/>
          <w:lang w:val="fr-CH"/>
        </w:rPr>
        <w:t>y</w:t>
      </w:r>
      <w:r w:rsidRPr="00A518F9">
        <w:rPr>
          <w:lang w:val="fr-CH"/>
        </w:rPr>
        <w:t xml:space="preserve">  =  [</w:t>
      </w:r>
      <w:r w:rsidRPr="00A518F9">
        <w:rPr>
          <w:i/>
          <w:iCs/>
          <w:lang w:val="fr-CH"/>
        </w:rPr>
        <w:t>D</w:t>
      </w:r>
      <w:r w:rsidRPr="00A518F9">
        <w:rPr>
          <w:lang w:val="fr-CH"/>
        </w:rPr>
        <w:t>(θ</w:t>
      </w:r>
      <w:r w:rsidRPr="00A518F9">
        <w:rPr>
          <w:position w:val="-4"/>
          <w:sz w:val="18"/>
          <w:lang w:val="fr-CH"/>
        </w:rPr>
        <w:t>0</w:t>
      </w:r>
      <w:r w:rsidRPr="00A518F9">
        <w:rPr>
          <w:lang w:val="fr-CH"/>
        </w:rPr>
        <w:t xml:space="preserve">, </w:t>
      </w:r>
      <w:r w:rsidRPr="00A518F9">
        <w:rPr>
          <w:lang w:val="fr-CH"/>
        </w:rPr>
        <w:sym w:font="Symbol" w:char="F06A"/>
      </w:r>
      <w:r w:rsidRPr="00A518F9">
        <w:rPr>
          <w:lang w:val="fr-CH"/>
        </w:rPr>
        <w:t>)  –  20 log(cos(θ</w:t>
      </w:r>
      <w:r w:rsidRPr="00A518F9">
        <w:rPr>
          <w:vertAlign w:val="subscript"/>
          <w:lang w:val="fr-CH"/>
        </w:rPr>
        <w:t>0</w:t>
      </w:r>
      <w:r w:rsidRPr="00A518F9">
        <w:rPr>
          <w:lang w:val="fr-CH"/>
        </w:rPr>
        <w:t>))  +  20 log(cos (θ</w:t>
      </w:r>
      <w:r w:rsidRPr="00A518F9">
        <w:rPr>
          <w:vertAlign w:val="subscript"/>
          <w:lang w:val="fr-CH"/>
        </w:rPr>
        <w:t>0</w:t>
      </w:r>
      <w:r w:rsidRPr="00A518F9">
        <w:rPr>
          <w:lang w:val="fr-CH"/>
        </w:rPr>
        <w:t xml:space="preserve">  +  </w:t>
      </w:r>
      <w:r w:rsidRPr="00A518F9">
        <w:rPr>
          <w:lang w:val="fr-CH"/>
        </w:rPr>
        <w:sym w:font="Symbol" w:char="F079"/>
      </w:r>
      <w:r w:rsidRPr="00A518F9">
        <w:rPr>
          <w:vertAlign w:val="subscript"/>
          <w:lang w:val="fr-CH"/>
        </w:rPr>
        <w:t>2</w:t>
      </w:r>
      <w:r w:rsidRPr="00A518F9">
        <w:rPr>
          <w:lang w:val="fr-CH"/>
        </w:rPr>
        <w:t xml:space="preserve">))]/[60  +  20 </w:t>
      </w:r>
      <w:r w:rsidRPr="00A518F9">
        <w:rPr>
          <w:lang w:val="fr-CH"/>
        </w:rPr>
        <w:sym w:font="Symbol" w:char="F079"/>
      </w:r>
      <w:r w:rsidRPr="00A518F9">
        <w:rPr>
          <w:vertAlign w:val="subscript"/>
          <w:lang w:val="fr-CH"/>
        </w:rPr>
        <w:t>2</w:t>
      </w:r>
      <w:r w:rsidRPr="00A518F9">
        <w:rPr>
          <w:lang w:val="fr-CH"/>
        </w:rPr>
        <w:t xml:space="preserve"> tg(θ</w:t>
      </w:r>
      <w:r w:rsidRPr="00A518F9">
        <w:rPr>
          <w:vertAlign w:val="subscript"/>
          <w:lang w:val="fr-CH"/>
        </w:rPr>
        <w:t>0</w:t>
      </w:r>
      <w:r w:rsidRPr="00A518F9">
        <w:rPr>
          <w:lang w:val="fr-CH"/>
        </w:rPr>
        <w:t xml:space="preserve">  +  </w:t>
      </w:r>
      <w:r w:rsidRPr="00A518F9">
        <w:rPr>
          <w:lang w:val="fr-CH"/>
        </w:rPr>
        <w:sym w:font="Symbol" w:char="F079"/>
      </w:r>
      <w:r w:rsidRPr="00A518F9">
        <w:rPr>
          <w:vertAlign w:val="subscript"/>
          <w:lang w:val="fr-CH"/>
        </w:rPr>
        <w:t>2</w:t>
      </w:r>
      <w:r w:rsidRPr="00A518F9">
        <w:rPr>
          <w:lang w:val="fr-CH"/>
        </w:rPr>
        <w:t>)]</w:t>
      </w:r>
      <w:r w:rsidRPr="00A518F9">
        <w:rPr>
          <w:lang w:val="fr-CH"/>
        </w:rPr>
        <w:tab/>
        <w:t>(21)</w:t>
      </w:r>
    </w:p>
    <w:p w:rsidR="002C27CA" w:rsidRPr="00A518F9" w:rsidRDefault="002C27CA" w:rsidP="002C27CA">
      <w:pPr>
        <w:pStyle w:val="Blanc"/>
        <w:rPr>
          <w:lang w:val="fr-CH"/>
        </w:rPr>
      </w:pPr>
    </w:p>
    <w:p w:rsidR="002C27CA" w:rsidRPr="00CE4453" w:rsidRDefault="002C27CA" w:rsidP="002C27CA">
      <w:pPr>
        <w:pStyle w:val="Equation"/>
        <w:rPr>
          <w:lang w:val="en-US"/>
        </w:rPr>
      </w:pPr>
      <w:r w:rsidRPr="00CE4453">
        <w:rPr>
          <w:i/>
          <w:iCs/>
          <w:lang w:val="en-US"/>
        </w:rPr>
        <w:t>R</w:t>
      </w:r>
      <w:r w:rsidRPr="00CE4453">
        <w:rPr>
          <w:i/>
          <w:iCs/>
          <w:vertAlign w:val="subscript"/>
          <w:lang w:val="en-US"/>
        </w:rPr>
        <w:t>coordination</w:t>
      </w:r>
      <w:r w:rsidRPr="00CE4453">
        <w:rPr>
          <w:lang w:val="en-US"/>
        </w:rPr>
        <w:t xml:space="preserve"> = tg (</w:t>
      </w:r>
      <w:r w:rsidRPr="00A518F9">
        <w:rPr>
          <w:lang w:val="fr-CH"/>
        </w:rPr>
        <w:t>θ</w:t>
      </w:r>
      <w:r w:rsidRPr="00CE4453">
        <w:rPr>
          <w:vertAlign w:val="subscript"/>
          <w:lang w:val="en-US"/>
        </w:rPr>
        <w:t>0</w:t>
      </w:r>
      <w:r w:rsidRPr="00CE4453">
        <w:rPr>
          <w:lang w:val="en-US"/>
        </w:rPr>
        <w:t xml:space="preserve"> + 10</w:t>
      </w:r>
      <w:r w:rsidRPr="00CE4453">
        <w:rPr>
          <w:i/>
          <w:iCs/>
          <w:vertAlign w:val="superscript"/>
          <w:lang w:val="en-US"/>
        </w:rPr>
        <w:t>y</w:t>
      </w:r>
      <w:r w:rsidRPr="00A518F9">
        <w:rPr>
          <w:lang w:val="fr-CH"/>
        </w:rPr>
        <w:sym w:font="Symbol" w:char="F079"/>
      </w:r>
      <w:r w:rsidRPr="00CE4453">
        <w:rPr>
          <w:vertAlign w:val="subscript"/>
          <w:lang w:val="en-US"/>
        </w:rPr>
        <w:t>2</w:t>
      </w:r>
      <w:r w:rsidRPr="00CE4453">
        <w:rPr>
          <w:lang w:val="en-US"/>
        </w:rPr>
        <w:t xml:space="preserve">) </w:t>
      </w:r>
      <w:r w:rsidRPr="00CE4453">
        <w:rPr>
          <w:i/>
          <w:iCs/>
          <w:lang w:val="en-US"/>
        </w:rPr>
        <w:t>h</w:t>
      </w:r>
      <w:r w:rsidRPr="00CE4453">
        <w:rPr>
          <w:lang w:val="en-US"/>
        </w:rPr>
        <w:t xml:space="preserve"> + (1 – </w:t>
      </w:r>
      <w:r w:rsidRPr="00CE4453">
        <w:rPr>
          <w:i/>
          <w:iCs/>
          <w:lang w:val="en-US"/>
        </w:rPr>
        <w:t>h</w:t>
      </w:r>
      <w:r w:rsidRPr="00CE4453">
        <w:rPr>
          <w:lang w:val="en-US"/>
        </w:rPr>
        <w:t>/(158 cos (</w:t>
      </w:r>
      <w:r w:rsidRPr="00A518F9">
        <w:rPr>
          <w:lang w:val="fr-CH"/>
        </w:rPr>
        <w:t>θ</w:t>
      </w:r>
      <w:r w:rsidRPr="00CE4453">
        <w:rPr>
          <w:vertAlign w:val="subscript"/>
          <w:lang w:val="en-US"/>
        </w:rPr>
        <w:t>0</w:t>
      </w:r>
      <w:r w:rsidRPr="00CE4453">
        <w:rPr>
          <w:lang w:val="en-US"/>
        </w:rPr>
        <w:t>))(</w:t>
      </w:r>
      <w:r w:rsidRPr="00CE4453">
        <w:rPr>
          <w:i/>
          <w:iCs/>
          <w:lang w:val="en-US"/>
        </w:rPr>
        <w:t>Num</w:t>
      </w:r>
      <w:r w:rsidRPr="00CE4453">
        <w:rPr>
          <w:lang w:val="en-US"/>
        </w:rPr>
        <w:t xml:space="preserve"> × </w:t>
      </w:r>
      <w:r w:rsidR="002B1FA9" w:rsidRPr="00A518F9">
        <w:rPr>
          <w:position w:val="-6"/>
          <w:sz w:val="14"/>
          <w:lang w:val="fr-CH"/>
        </w:rPr>
        <w:object w:dxaOrig="1400" w:dyaOrig="360">
          <v:shape id="_x0000_i1034" type="#_x0000_t75" style="width:70pt;height:18pt" o:ole="">
            <v:imagedata r:id="rId36" o:title=""/>
          </v:shape>
          <o:OLEObject Type="Embed" ProgID="Equation.3" ShapeID="_x0000_i1034" DrawAspect="Content" ObjectID="_1370084540" r:id="rId37"/>
        </w:object>
      </w:r>
      <w:r w:rsidRPr="00CE4453">
        <w:rPr>
          <w:lang w:val="en-US"/>
        </w:rPr>
        <w:t xml:space="preserve"> – 1)</w:t>
      </w:r>
      <w:r w:rsidRPr="00CE4453">
        <w:rPr>
          <w:vertAlign w:val="superscript"/>
          <w:lang w:val="en-US"/>
        </w:rPr>
        <w:t>1/2</w:t>
      </w:r>
      <w:r w:rsidRPr="00CE4453">
        <w:rPr>
          <w:lang w:val="en-US"/>
        </w:rPr>
        <w:t xml:space="preserve"> </w:t>
      </w:r>
      <w:r w:rsidRPr="00CE4453">
        <w:rPr>
          <w:i/>
          <w:iCs/>
          <w:lang w:val="en-US"/>
        </w:rPr>
        <w:t>h</w:t>
      </w:r>
      <w:r w:rsidRPr="00CE4453">
        <w:rPr>
          <w:lang w:val="en-US"/>
        </w:rPr>
        <w:t>       km</w:t>
      </w:r>
      <w:r w:rsidRPr="00CE4453">
        <w:rPr>
          <w:lang w:val="en-US"/>
        </w:rPr>
        <w:tab/>
        <w:t>(22)</w:t>
      </w:r>
    </w:p>
    <w:p w:rsidR="002C27CA" w:rsidRPr="00CE4453" w:rsidRDefault="002C27CA" w:rsidP="002C27CA">
      <w:pPr>
        <w:pStyle w:val="Blanc"/>
        <w:rPr>
          <w:lang w:val="en-US"/>
        </w:rPr>
      </w:pPr>
    </w:p>
    <w:p w:rsidR="002C27CA" w:rsidRPr="00A518F9" w:rsidRDefault="002C27CA" w:rsidP="002C27CA">
      <w:pPr>
        <w:rPr>
          <w:lang w:val="fr-CH"/>
        </w:rPr>
      </w:pPr>
      <w:r w:rsidRPr="00A518F9">
        <w:rPr>
          <w:lang w:val="fr-CH"/>
        </w:rPr>
        <w:t>où:</w:t>
      </w:r>
    </w:p>
    <w:p w:rsidR="002C27CA" w:rsidRPr="00A518F9" w:rsidRDefault="002C27CA" w:rsidP="002C27CA">
      <w:pPr>
        <w:pStyle w:val="Equationlegend"/>
        <w:rPr>
          <w:lang w:val="fr-CH"/>
        </w:rPr>
      </w:pPr>
      <w:r w:rsidRPr="00A518F9">
        <w:rPr>
          <w:lang w:val="fr-CH"/>
        </w:rPr>
        <w:tab/>
      </w:r>
      <w:r w:rsidRPr="00A518F9">
        <w:rPr>
          <w:lang w:val="fr-CH"/>
        </w:rPr>
        <w:tab/>
      </w:r>
      <w:r w:rsidRPr="00A518F9">
        <w:rPr>
          <w:i/>
          <w:iCs/>
          <w:lang w:val="fr-CH"/>
        </w:rPr>
        <w:t>D</w:t>
      </w:r>
      <w:r w:rsidRPr="00A518F9">
        <w:rPr>
          <w:lang w:val="fr-CH"/>
        </w:rPr>
        <w:t>(θ</w:t>
      </w:r>
      <w:r w:rsidRPr="00A518F9">
        <w:rPr>
          <w:vertAlign w:val="subscript"/>
          <w:lang w:val="fr-CH"/>
        </w:rPr>
        <w:t>0</w:t>
      </w:r>
      <w:r w:rsidRPr="00A518F9">
        <w:rPr>
          <w:lang w:val="fr-CH"/>
        </w:rPr>
        <w:t xml:space="preserve">, </w:t>
      </w:r>
      <w:r w:rsidRPr="00A518F9">
        <w:rPr>
          <w:lang w:val="fr-CH"/>
        </w:rPr>
        <w:sym w:font="Symbol" w:char="F06A"/>
      </w:r>
      <w:r w:rsidRPr="00A518F9">
        <w:rPr>
          <w:lang w:val="fr-CH"/>
        </w:rPr>
        <w:t>)  =  (</w:t>
      </w:r>
      <w:r w:rsidRPr="00A518F9">
        <w:rPr>
          <w:i/>
          <w:iCs/>
          <w:lang w:val="fr-CH"/>
        </w:rPr>
        <w:t>I</w:t>
      </w:r>
      <w:r w:rsidRPr="00A518F9">
        <w:rPr>
          <w:i/>
          <w:iCs/>
          <w:vertAlign w:val="subscript"/>
          <w:lang w:val="fr-CH"/>
        </w:rPr>
        <w:t>reçue</w:t>
      </w:r>
      <w:r w:rsidRPr="00A518F9">
        <w:rPr>
          <w:lang w:val="fr-CH"/>
        </w:rPr>
        <w:t>/</w:t>
      </w:r>
      <w:r w:rsidRPr="00A518F9">
        <w:rPr>
          <w:i/>
          <w:iCs/>
          <w:lang w:val="fr-CH"/>
        </w:rPr>
        <w:t>N</w:t>
      </w:r>
      <w:r w:rsidRPr="00A518F9">
        <w:rPr>
          <w:lang w:val="fr-CH"/>
        </w:rPr>
        <w:t>)</w:t>
      </w:r>
      <w:r w:rsidRPr="00A518F9">
        <w:rPr>
          <w:i/>
          <w:iCs/>
          <w:vertAlign w:val="subscript"/>
          <w:lang w:val="fr-CH"/>
        </w:rPr>
        <w:t>centre</w:t>
      </w:r>
      <w:r w:rsidRPr="00A518F9">
        <w:rPr>
          <w:lang w:val="fr-CH"/>
        </w:rPr>
        <w:t xml:space="preserve"> + </w:t>
      </w:r>
      <w:r w:rsidRPr="00A518F9">
        <w:rPr>
          <w:i/>
          <w:lang w:val="fr-CH"/>
        </w:rPr>
        <w:t>G</w:t>
      </w:r>
      <w:r w:rsidRPr="00A518F9">
        <w:rPr>
          <w:i/>
          <w:iCs/>
          <w:vertAlign w:val="subscript"/>
          <w:lang w:val="fr-CH"/>
        </w:rPr>
        <w:t>victime</w:t>
      </w:r>
      <w:r w:rsidRPr="00A518F9">
        <w:rPr>
          <w:lang w:val="fr-CH"/>
        </w:rPr>
        <w:t>(</w:t>
      </w:r>
      <w:r w:rsidRPr="00A518F9">
        <w:rPr>
          <w:lang w:val="fr-CH"/>
        </w:rPr>
        <w:sym w:font="Symbol" w:char="F070"/>
      </w:r>
      <w:r w:rsidRPr="00A518F9">
        <w:rPr>
          <w:lang w:val="fr-CH"/>
        </w:rPr>
        <w:t>/2 – θ</w:t>
      </w:r>
      <w:r w:rsidRPr="00A518F9">
        <w:rPr>
          <w:vertAlign w:val="subscript"/>
          <w:lang w:val="fr-CH"/>
        </w:rPr>
        <w:t>0</w:t>
      </w:r>
      <w:r w:rsidRPr="00A518F9">
        <w:rPr>
          <w:lang w:val="fr-CH"/>
        </w:rPr>
        <w:t xml:space="preserve">, </w:t>
      </w:r>
      <w:r w:rsidRPr="00A518F9">
        <w:rPr>
          <w:lang w:val="fr-CH"/>
        </w:rPr>
        <w:sym w:font="Symbol" w:char="F06A"/>
      </w:r>
      <w:r w:rsidRPr="00A518F9">
        <w:rPr>
          <w:lang w:val="fr-CH"/>
        </w:rPr>
        <w:t xml:space="preserve">) – </w:t>
      </w:r>
      <w:r w:rsidRPr="00A518F9">
        <w:rPr>
          <w:i/>
          <w:iCs/>
          <w:lang w:val="fr-CH"/>
        </w:rPr>
        <w:t>Seuil</w:t>
      </w:r>
      <w:r w:rsidRPr="00A518F9">
        <w:rPr>
          <w:lang w:val="fr-CH"/>
        </w:rPr>
        <w:t xml:space="preserve"> – </w:t>
      </w:r>
      <w:r w:rsidRPr="00A518F9">
        <w:rPr>
          <w:i/>
          <w:iCs/>
          <w:lang w:val="fr-CH"/>
        </w:rPr>
        <w:t>L</w:t>
      </w:r>
      <w:r w:rsidRPr="00A518F9">
        <w:rPr>
          <w:i/>
          <w:iCs/>
          <w:vertAlign w:val="subscript"/>
          <w:lang w:val="fr-CH"/>
        </w:rPr>
        <w:t>N</w:t>
      </w:r>
    </w:p>
    <w:p w:rsidR="002C27CA" w:rsidRPr="00A518F9" w:rsidRDefault="002C27CA" w:rsidP="002C27CA">
      <w:pPr>
        <w:pStyle w:val="Equationlegend"/>
        <w:rPr>
          <w:lang w:val="fr-CH"/>
        </w:rPr>
      </w:pPr>
      <w:r w:rsidRPr="00A518F9">
        <w:rPr>
          <w:lang w:val="fr-CH"/>
        </w:rPr>
        <w:tab/>
      </w:r>
      <w:r w:rsidRPr="00A518F9">
        <w:rPr>
          <w:lang w:val="fr-CH"/>
        </w:rPr>
        <w:tab/>
      </w:r>
      <w:r w:rsidRPr="00A518F9">
        <w:rPr>
          <w:i/>
          <w:iCs/>
          <w:lang w:val="fr-CH"/>
        </w:rPr>
        <w:t>B</w:t>
      </w:r>
      <w:r w:rsidRPr="00A518F9">
        <w:rPr>
          <w:lang w:val="fr-CH"/>
        </w:rPr>
        <w:t>(θ</w:t>
      </w:r>
      <w:r w:rsidRPr="00A518F9">
        <w:rPr>
          <w:vertAlign w:val="subscript"/>
          <w:lang w:val="fr-CH"/>
        </w:rPr>
        <w:t>0</w:t>
      </w:r>
      <w:r w:rsidRPr="00A518F9">
        <w:rPr>
          <w:lang w:val="fr-CH"/>
        </w:rPr>
        <w:t xml:space="preserve">, </w:t>
      </w:r>
      <w:r w:rsidRPr="00A518F9">
        <w:rPr>
          <w:lang w:val="fr-CH"/>
        </w:rPr>
        <w:sym w:font="Symbol" w:char="F06A"/>
      </w:r>
      <w:r w:rsidRPr="00A518F9">
        <w:rPr>
          <w:lang w:val="fr-CH"/>
        </w:rPr>
        <w:t>)  =  0,1[(</w:t>
      </w:r>
      <w:r w:rsidRPr="00A518F9">
        <w:rPr>
          <w:i/>
          <w:iCs/>
          <w:lang w:val="fr-CH"/>
        </w:rPr>
        <w:t>I</w:t>
      </w:r>
      <w:r w:rsidRPr="00A518F9">
        <w:rPr>
          <w:i/>
          <w:iCs/>
          <w:vertAlign w:val="subscript"/>
          <w:lang w:val="fr-CH"/>
        </w:rPr>
        <w:t>reçue</w:t>
      </w:r>
      <w:r w:rsidRPr="00A518F9">
        <w:rPr>
          <w:lang w:val="fr-CH"/>
        </w:rPr>
        <w:t>/</w:t>
      </w:r>
      <w:r w:rsidRPr="00A518F9">
        <w:rPr>
          <w:i/>
          <w:iCs/>
          <w:lang w:val="fr-CH"/>
        </w:rPr>
        <w:t>N</w:t>
      </w:r>
      <w:r w:rsidRPr="00A518F9">
        <w:rPr>
          <w:lang w:val="fr-CH"/>
        </w:rPr>
        <w:t>)</w:t>
      </w:r>
      <w:r w:rsidRPr="00A518F9">
        <w:rPr>
          <w:i/>
          <w:iCs/>
          <w:vertAlign w:val="subscript"/>
          <w:lang w:val="fr-CH"/>
        </w:rPr>
        <w:t>centre</w:t>
      </w:r>
      <w:r w:rsidRPr="00A518F9">
        <w:rPr>
          <w:lang w:val="fr-CH"/>
        </w:rPr>
        <w:t xml:space="preserve"> + </w:t>
      </w:r>
      <w:r w:rsidRPr="00A518F9">
        <w:rPr>
          <w:i/>
          <w:lang w:val="fr-CH"/>
        </w:rPr>
        <w:t>G</w:t>
      </w:r>
      <w:r w:rsidRPr="00A518F9">
        <w:rPr>
          <w:i/>
          <w:iCs/>
          <w:vertAlign w:val="subscript"/>
          <w:lang w:val="fr-CH"/>
        </w:rPr>
        <w:t>victime</w:t>
      </w:r>
      <w:r w:rsidRPr="00A518F9">
        <w:rPr>
          <w:lang w:val="fr-CH"/>
        </w:rPr>
        <w:t>(</w:t>
      </w:r>
      <w:r w:rsidRPr="00A518F9">
        <w:rPr>
          <w:lang w:val="fr-CH"/>
        </w:rPr>
        <w:sym w:font="Symbol" w:char="F070"/>
      </w:r>
      <w:r w:rsidRPr="00A518F9">
        <w:rPr>
          <w:lang w:val="fr-CH"/>
        </w:rPr>
        <w:t>/2 – θ</w:t>
      </w:r>
      <w:r w:rsidRPr="00A518F9">
        <w:rPr>
          <w:vertAlign w:val="subscript"/>
          <w:lang w:val="fr-CH"/>
        </w:rPr>
        <w:t>0</w:t>
      </w:r>
      <w:r w:rsidRPr="00A518F9">
        <w:rPr>
          <w:lang w:val="fr-CH"/>
        </w:rPr>
        <w:t xml:space="preserve">, </w:t>
      </w:r>
      <w:r w:rsidRPr="00A518F9">
        <w:rPr>
          <w:lang w:val="fr-CH"/>
        </w:rPr>
        <w:sym w:font="Symbol" w:char="F06A"/>
      </w:r>
      <w:r w:rsidRPr="00A518F9">
        <w:rPr>
          <w:lang w:val="fr-CH"/>
        </w:rPr>
        <w:t xml:space="preserve">) – </w:t>
      </w:r>
      <w:r w:rsidRPr="00A518F9">
        <w:rPr>
          <w:i/>
          <w:iCs/>
          <w:lang w:val="fr-CH"/>
        </w:rPr>
        <w:t>Seuil</w:t>
      </w:r>
      <w:r w:rsidRPr="00A518F9">
        <w:rPr>
          <w:lang w:val="fr-CH"/>
        </w:rPr>
        <w:t>].</w:t>
      </w:r>
    </w:p>
    <w:p w:rsidR="002C27CA" w:rsidRPr="00A518F9" w:rsidRDefault="002C27CA" w:rsidP="002C27CA">
      <w:pPr>
        <w:rPr>
          <w:lang w:val="fr-CH"/>
        </w:rPr>
      </w:pPr>
      <w:r w:rsidRPr="00A518F9">
        <w:rPr>
          <w:lang w:val="fr-CH"/>
        </w:rPr>
        <w:lastRenderedPageBreak/>
        <w:t>La Fig. 4 donne les distances de coordination en fonction du cosinus de l'angle entre l'axe de visée de l'antenne du service fixe et le nadir de la station HAPS pour des rayons de couverture HAPS de 8, 37, 87, 110, 158 km. On suppose que l'antenne du service fixe présente un gain de 31 dBi et un diagramme de directivité conforme à la Recomman</w:t>
      </w:r>
      <w:r w:rsidRPr="00A518F9">
        <w:rPr>
          <w:lang w:val="fr-CH"/>
        </w:rPr>
        <w:softHyphen/>
        <w:t>dation UIT</w:t>
      </w:r>
      <w:r w:rsidRPr="00A518F9">
        <w:rPr>
          <w:lang w:val="fr-CH"/>
        </w:rPr>
        <w:noBreakHyphen/>
        <w:t>R F.699. Les diagrammes de référence des antennes situées sur des plates-formes HAPS sont donnés dans l'Appendice 1 à l'Annexe 1.</w:t>
      </w:r>
    </w:p>
    <w:p w:rsidR="002C27CA" w:rsidRPr="00A518F9" w:rsidRDefault="002C27CA" w:rsidP="002C27CA">
      <w:pPr>
        <w:rPr>
          <w:lang w:val="fr-CH"/>
        </w:rPr>
      </w:pPr>
      <w:r w:rsidRPr="00A518F9">
        <w:rPr>
          <w:lang w:val="fr-CH"/>
        </w:rPr>
        <w:t>La méthode d'approximation conduit à des résultats exacts seulement lorsque le rayon de couverture est faible (</w:t>
      </w:r>
      <w:r w:rsidRPr="00A518F9">
        <w:rPr>
          <w:lang w:val="fr-CH"/>
        </w:rPr>
        <w:sym w:font="Symbol" w:char="F0A3"/>
      </w:r>
      <w:r w:rsidRPr="00A518F9">
        <w:rPr>
          <w:lang w:val="fr-CH"/>
        </w:rPr>
        <w:t> 60 km). Ce que montre la Fig. 5.</w:t>
      </w:r>
    </w:p>
    <w:p w:rsidR="002C27CA" w:rsidRPr="00A518F9" w:rsidRDefault="002C27CA" w:rsidP="002C27CA">
      <w:pPr>
        <w:pStyle w:val="FigureNo"/>
        <w:keepNext w:val="0"/>
        <w:keepLines w:val="0"/>
        <w:rPr>
          <w:lang w:val="fr-CH"/>
        </w:rPr>
      </w:pPr>
      <w:r w:rsidRPr="00A518F9">
        <w:rPr>
          <w:lang w:val="fr-CH"/>
        </w:rPr>
        <w:object w:dxaOrig="7354" w:dyaOrig="10685">
          <v:shape id="_x0000_i1035" type="#_x0000_t75" style="width:367.5pt;height:534.5pt" o:ole="">
            <v:imagedata r:id="rId38" o:title=""/>
          </v:shape>
          <o:OLEObject Type="Embed" ProgID="Designer.Drawing.7" ShapeID="_x0000_i1035" DrawAspect="Content" ObjectID="_1370084541" r:id="rId39"/>
        </w:object>
      </w:r>
    </w:p>
    <w:p w:rsidR="002C27CA" w:rsidRPr="00A518F9" w:rsidRDefault="002C27CA" w:rsidP="002C27CA">
      <w:pPr>
        <w:pStyle w:val="FigureNo"/>
        <w:keepNext w:val="0"/>
        <w:keepLines w:val="0"/>
        <w:rPr>
          <w:lang w:val="fr-CH"/>
        </w:rPr>
      </w:pPr>
      <w:r w:rsidRPr="00A518F9">
        <w:rPr>
          <w:noProof/>
          <w:lang w:val="en-US" w:eastAsia="zh-CN"/>
        </w:rPr>
        <w:lastRenderedPageBreak/>
        <w:drawing>
          <wp:inline distT="0" distB="0" distL="0" distR="0" wp14:anchorId="41E25362" wp14:editId="22A5B444">
            <wp:extent cx="4667250" cy="70446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7250" cy="7044690"/>
                    </a:xfrm>
                    <a:prstGeom prst="rect">
                      <a:avLst/>
                    </a:prstGeom>
                    <a:noFill/>
                    <a:ln>
                      <a:noFill/>
                    </a:ln>
                  </pic:spPr>
                </pic:pic>
              </a:graphicData>
            </a:graphic>
          </wp:inline>
        </w:drawing>
      </w:r>
    </w:p>
    <w:p w:rsidR="002C27CA" w:rsidRPr="00A518F9" w:rsidRDefault="002C27CA" w:rsidP="002C27CA">
      <w:pPr>
        <w:pStyle w:val="Heading2"/>
        <w:keepNext w:val="0"/>
        <w:keepLines w:val="0"/>
        <w:rPr>
          <w:lang w:val="fr-CH"/>
        </w:rPr>
      </w:pPr>
      <w:r w:rsidRPr="00A518F9">
        <w:rPr>
          <w:lang w:val="fr-CH"/>
        </w:rPr>
        <w:t>2.2</w:t>
      </w:r>
      <w:r w:rsidRPr="00A518F9">
        <w:rPr>
          <w:lang w:val="fr-CH"/>
        </w:rPr>
        <w:tab/>
        <w:t>Brouillage de stations mobiles IMT-2000 par un système HAPS utilisant le format AMRC IMT-2000</w:t>
      </w:r>
    </w:p>
    <w:p w:rsidR="002C27CA" w:rsidRPr="00A518F9" w:rsidRDefault="002C27CA" w:rsidP="002C27CA">
      <w:pPr>
        <w:rPr>
          <w:lang w:val="fr-CH"/>
        </w:rPr>
      </w:pPr>
      <w:r w:rsidRPr="00A518F9">
        <w:rPr>
          <w:lang w:val="fr-CH"/>
        </w:rPr>
        <w:t xml:space="preserve">On appliquera le critère de brouillage </w:t>
      </w:r>
      <w:r w:rsidRPr="00A518F9">
        <w:rPr>
          <w:i/>
          <w:iCs/>
          <w:lang w:val="fr-CH"/>
        </w:rPr>
        <w:t>I</w:t>
      </w:r>
      <w:r w:rsidRPr="00A518F9">
        <w:rPr>
          <w:lang w:val="fr-CH"/>
        </w:rPr>
        <w:t>/</w:t>
      </w:r>
      <w:r w:rsidRPr="00A518F9">
        <w:rPr>
          <w:i/>
          <w:iCs/>
          <w:lang w:val="fr-CH"/>
        </w:rPr>
        <w:t>N</w:t>
      </w:r>
      <w:r w:rsidRPr="00A518F9">
        <w:rPr>
          <w:lang w:val="fr-CH"/>
        </w:rPr>
        <w:t xml:space="preserve"> = –</w:t>
      </w:r>
      <w:r w:rsidRPr="00A518F9">
        <w:rPr>
          <w:sz w:val="4"/>
          <w:lang w:val="fr-CH"/>
        </w:rPr>
        <w:t> </w:t>
      </w:r>
      <w:r w:rsidRPr="00A518F9">
        <w:rPr>
          <w:lang w:val="fr-CH"/>
        </w:rPr>
        <w:t>10 dB. Il n'y a pas de différence si la station mobile brouillée utilise ou non le format AMRC IMT-2000 ou AMRT IMT-2000. Seul le niveau des brouillages causés par le système HAPS revêt de l'importance.</w:t>
      </w:r>
    </w:p>
    <w:p w:rsidR="002C27CA" w:rsidRPr="00A518F9" w:rsidRDefault="002C27CA" w:rsidP="002C27CA">
      <w:pPr>
        <w:rPr>
          <w:lang w:val="fr-CH"/>
        </w:rPr>
      </w:pPr>
      <w:r w:rsidRPr="00A518F9">
        <w:rPr>
          <w:lang w:val="fr-CH"/>
        </w:rPr>
        <w:t xml:space="preserve">Il est clair sur la Fig. 1 qu'un tel partage est tout à fait possible pour une couverture HAPS de faible rayon. Même pour un rayon de couverture principale de 62 km, le système à tour brouillé peut assurer le service IMT-2000 dans la même bande de fréquences à condition que sa zone de couverture se trouve au moins à 33 km du faisceau principal HAPS le plus proche. La Fig. 6 montre </w:t>
      </w:r>
      <w:r w:rsidRPr="00A518F9">
        <w:rPr>
          <w:lang w:val="fr-CH"/>
        </w:rPr>
        <w:lastRenderedPageBreak/>
        <w:t>la relation entre la distance de coordination et le rayon de couverture HAPS et la Fig. 7 la distance entre la limite de coordination et le nadir du système HAPS en fonction du rayon de couverture HAPS. Les résultats donnés à la Fig. 7 sont résumés dans le Tableau 1.</w:t>
      </w:r>
    </w:p>
    <w:p w:rsidR="002C27CA" w:rsidRPr="00A518F9" w:rsidRDefault="002C27CA" w:rsidP="002C27CA">
      <w:pPr>
        <w:pStyle w:val="FigureNo"/>
        <w:keepNext w:val="0"/>
        <w:keepLines w:val="0"/>
        <w:rPr>
          <w:lang w:val="fr-CH"/>
        </w:rPr>
      </w:pPr>
      <w:r w:rsidRPr="00A518F9">
        <w:rPr>
          <w:noProof/>
          <w:lang w:val="en-US" w:eastAsia="zh-CN"/>
        </w:rPr>
        <w:drawing>
          <wp:inline distT="0" distB="0" distL="0" distR="0" wp14:anchorId="4A014A20" wp14:editId="2E859B06">
            <wp:extent cx="5971540" cy="50730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1540" cy="5073015"/>
                    </a:xfrm>
                    <a:prstGeom prst="rect">
                      <a:avLst/>
                    </a:prstGeom>
                    <a:noFill/>
                    <a:ln>
                      <a:noFill/>
                    </a:ln>
                  </pic:spPr>
                </pic:pic>
              </a:graphicData>
            </a:graphic>
          </wp:inline>
        </w:drawing>
      </w:r>
    </w:p>
    <w:p w:rsidR="002C27CA" w:rsidRPr="00A518F9" w:rsidRDefault="002C27CA" w:rsidP="002C27CA">
      <w:pPr>
        <w:pStyle w:val="FigureNo"/>
        <w:keepNext w:val="0"/>
        <w:keepLines w:val="0"/>
        <w:rPr>
          <w:lang w:val="fr-CH"/>
        </w:rPr>
      </w:pPr>
      <w:r w:rsidRPr="00A518F9">
        <w:rPr>
          <w:noProof/>
          <w:lang w:val="en-US" w:eastAsia="zh-CN"/>
        </w:rPr>
        <w:lastRenderedPageBreak/>
        <w:drawing>
          <wp:inline distT="0" distB="0" distL="0" distR="0" wp14:anchorId="5698F026" wp14:editId="4441B9C5">
            <wp:extent cx="5963285" cy="50647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3285" cy="5064760"/>
                    </a:xfrm>
                    <a:prstGeom prst="rect">
                      <a:avLst/>
                    </a:prstGeom>
                    <a:noFill/>
                    <a:ln>
                      <a:noFill/>
                    </a:ln>
                  </pic:spPr>
                </pic:pic>
              </a:graphicData>
            </a:graphic>
          </wp:inline>
        </w:drawing>
      </w:r>
    </w:p>
    <w:p w:rsidR="002C27CA" w:rsidRPr="00A518F9" w:rsidRDefault="002C27CA" w:rsidP="002C27CA">
      <w:pPr>
        <w:pStyle w:val="TableNo"/>
        <w:keepNext w:val="0"/>
        <w:rPr>
          <w:lang w:val="fr-CH"/>
        </w:rPr>
      </w:pPr>
      <w:r w:rsidRPr="00A518F9">
        <w:rPr>
          <w:lang w:val="fr-CH"/>
        </w:rPr>
        <w:t>TABLEAU  1</w:t>
      </w:r>
    </w:p>
    <w:p w:rsidR="002C27CA" w:rsidRPr="00A518F9" w:rsidRDefault="002C27CA" w:rsidP="002C27CA">
      <w:pPr>
        <w:pStyle w:val="Tabletitle"/>
        <w:keepNext w:val="0"/>
        <w:rPr>
          <w:lang w:val="fr-CH"/>
        </w:rPr>
      </w:pPr>
      <w:r w:rsidRPr="00A518F9">
        <w:rPr>
          <w:lang w:val="fr-CH"/>
        </w:rPr>
        <w:t>Distances de coordination (km) pour différents rayons de couverture (km)</w:t>
      </w:r>
      <w:r w:rsidRPr="00A518F9">
        <w:rPr>
          <w:lang w:val="fr-CH"/>
        </w:rPr>
        <w:br/>
        <w:t>en utilisant l'équation (22) (HAPS utilisant le format AMRC)</w:t>
      </w:r>
    </w:p>
    <w:p w:rsidR="002C27CA" w:rsidRPr="00A518F9" w:rsidRDefault="002C27CA" w:rsidP="002C27CA">
      <w:pPr>
        <w:pStyle w:val="Blanc"/>
        <w:keepNext w:val="0"/>
        <w:keepLines w:val="0"/>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8"/>
        <w:gridCol w:w="426"/>
        <w:gridCol w:w="427"/>
        <w:gridCol w:w="427"/>
        <w:gridCol w:w="427"/>
        <w:gridCol w:w="427"/>
        <w:gridCol w:w="427"/>
        <w:gridCol w:w="427"/>
        <w:gridCol w:w="427"/>
        <w:gridCol w:w="427"/>
        <w:gridCol w:w="427"/>
        <w:gridCol w:w="427"/>
        <w:gridCol w:w="525"/>
        <w:gridCol w:w="525"/>
        <w:gridCol w:w="525"/>
        <w:gridCol w:w="525"/>
        <w:gridCol w:w="525"/>
        <w:gridCol w:w="525"/>
        <w:gridCol w:w="525"/>
      </w:tblGrid>
      <w:tr w:rsidR="002C27CA" w:rsidRPr="00A518F9" w:rsidTr="00F45A74">
        <w:trPr>
          <w:cantSplit/>
          <w:jc w:val="center"/>
        </w:trPr>
        <w:tc>
          <w:tcPr>
            <w:tcW w:w="1418" w:type="dxa"/>
          </w:tcPr>
          <w:p w:rsidR="002C27CA" w:rsidRPr="00A518F9" w:rsidRDefault="002C27CA" w:rsidP="00F45A74">
            <w:pPr>
              <w:pStyle w:val="Tabletext"/>
              <w:jc w:val="left"/>
              <w:rPr>
                <w:sz w:val="18"/>
                <w:szCs w:val="18"/>
                <w:lang w:val="fr-CH"/>
              </w:rPr>
            </w:pPr>
            <w:r w:rsidRPr="00A518F9">
              <w:rPr>
                <w:sz w:val="18"/>
                <w:szCs w:val="18"/>
                <w:lang w:val="fr-CH"/>
              </w:rPr>
              <w:t>Rayon de couverture</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8</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11</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15</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19</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23</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27</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32</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37</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43</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49</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55</w:t>
            </w:r>
          </w:p>
        </w:tc>
        <w:tc>
          <w:tcPr>
            <w:tcW w:w="567" w:type="dxa"/>
          </w:tcPr>
          <w:p w:rsidR="002C27CA" w:rsidRPr="00A518F9" w:rsidRDefault="002C27CA" w:rsidP="00F45A74">
            <w:pPr>
              <w:pStyle w:val="Tabletext"/>
              <w:jc w:val="center"/>
              <w:rPr>
                <w:sz w:val="18"/>
                <w:szCs w:val="18"/>
                <w:lang w:val="fr-CH"/>
              </w:rPr>
            </w:pPr>
            <w:r w:rsidRPr="00A518F9">
              <w:rPr>
                <w:sz w:val="18"/>
                <w:szCs w:val="18"/>
                <w:lang w:val="fr-CH"/>
              </w:rPr>
              <w:t>62</w:t>
            </w:r>
          </w:p>
        </w:tc>
        <w:tc>
          <w:tcPr>
            <w:tcW w:w="567" w:type="dxa"/>
          </w:tcPr>
          <w:p w:rsidR="002C27CA" w:rsidRPr="00A518F9" w:rsidRDefault="002C27CA" w:rsidP="00F45A74">
            <w:pPr>
              <w:pStyle w:val="Tabletext"/>
              <w:jc w:val="center"/>
              <w:rPr>
                <w:sz w:val="18"/>
                <w:szCs w:val="18"/>
                <w:lang w:val="fr-CH"/>
              </w:rPr>
            </w:pPr>
            <w:r w:rsidRPr="00A518F9">
              <w:rPr>
                <w:sz w:val="18"/>
                <w:szCs w:val="18"/>
                <w:lang w:val="fr-CH"/>
              </w:rPr>
              <w:t>70</w:t>
            </w:r>
          </w:p>
        </w:tc>
        <w:tc>
          <w:tcPr>
            <w:tcW w:w="567" w:type="dxa"/>
          </w:tcPr>
          <w:p w:rsidR="002C27CA" w:rsidRPr="00A518F9" w:rsidRDefault="002C27CA" w:rsidP="00F45A74">
            <w:pPr>
              <w:pStyle w:val="Tabletext"/>
              <w:jc w:val="center"/>
              <w:rPr>
                <w:sz w:val="18"/>
                <w:szCs w:val="18"/>
                <w:lang w:val="fr-CH"/>
              </w:rPr>
            </w:pPr>
            <w:r w:rsidRPr="00A518F9">
              <w:rPr>
                <w:sz w:val="18"/>
                <w:szCs w:val="18"/>
                <w:lang w:val="fr-CH"/>
              </w:rPr>
              <w:t>78</w:t>
            </w:r>
          </w:p>
        </w:tc>
        <w:tc>
          <w:tcPr>
            <w:tcW w:w="567" w:type="dxa"/>
          </w:tcPr>
          <w:p w:rsidR="002C27CA" w:rsidRPr="00A518F9" w:rsidRDefault="002C27CA" w:rsidP="00F45A74">
            <w:pPr>
              <w:pStyle w:val="Tabletext"/>
              <w:jc w:val="center"/>
              <w:rPr>
                <w:sz w:val="18"/>
                <w:szCs w:val="18"/>
                <w:lang w:val="fr-CH"/>
              </w:rPr>
            </w:pPr>
            <w:r w:rsidRPr="00A518F9">
              <w:rPr>
                <w:sz w:val="18"/>
                <w:szCs w:val="18"/>
                <w:lang w:val="fr-CH"/>
              </w:rPr>
              <w:t>87</w:t>
            </w:r>
          </w:p>
        </w:tc>
        <w:tc>
          <w:tcPr>
            <w:tcW w:w="567" w:type="dxa"/>
          </w:tcPr>
          <w:p w:rsidR="002C27CA" w:rsidRPr="00A518F9" w:rsidRDefault="002C27CA" w:rsidP="00F45A74">
            <w:pPr>
              <w:pStyle w:val="Tabletext"/>
              <w:jc w:val="center"/>
              <w:rPr>
                <w:sz w:val="18"/>
                <w:szCs w:val="18"/>
                <w:lang w:val="fr-CH"/>
              </w:rPr>
            </w:pPr>
            <w:r w:rsidRPr="00A518F9">
              <w:rPr>
                <w:sz w:val="18"/>
                <w:szCs w:val="18"/>
                <w:lang w:val="fr-CH"/>
              </w:rPr>
              <w:t>97</w:t>
            </w:r>
          </w:p>
        </w:tc>
        <w:tc>
          <w:tcPr>
            <w:tcW w:w="567" w:type="dxa"/>
          </w:tcPr>
          <w:p w:rsidR="002C27CA" w:rsidRPr="00A518F9" w:rsidRDefault="002C27CA" w:rsidP="00F45A74">
            <w:pPr>
              <w:pStyle w:val="Tabletext"/>
              <w:jc w:val="center"/>
              <w:rPr>
                <w:sz w:val="18"/>
                <w:szCs w:val="18"/>
                <w:lang w:val="fr-CH"/>
              </w:rPr>
            </w:pPr>
            <w:r w:rsidRPr="00A518F9">
              <w:rPr>
                <w:sz w:val="18"/>
                <w:szCs w:val="18"/>
                <w:lang w:val="fr-CH"/>
              </w:rPr>
              <w:t>107</w:t>
            </w:r>
          </w:p>
        </w:tc>
        <w:tc>
          <w:tcPr>
            <w:tcW w:w="567" w:type="dxa"/>
          </w:tcPr>
          <w:p w:rsidR="002C27CA" w:rsidRPr="00A518F9" w:rsidRDefault="002C27CA" w:rsidP="00F45A74">
            <w:pPr>
              <w:pStyle w:val="Tabletext"/>
              <w:jc w:val="center"/>
              <w:rPr>
                <w:sz w:val="18"/>
                <w:szCs w:val="18"/>
                <w:lang w:val="fr-CH"/>
              </w:rPr>
            </w:pPr>
            <w:r w:rsidRPr="00A518F9">
              <w:rPr>
                <w:sz w:val="18"/>
                <w:szCs w:val="18"/>
                <w:lang w:val="fr-CH"/>
              </w:rPr>
              <w:t>119</w:t>
            </w:r>
          </w:p>
        </w:tc>
      </w:tr>
      <w:tr w:rsidR="002C27CA" w:rsidRPr="00A518F9" w:rsidTr="00F45A74">
        <w:trPr>
          <w:cantSplit/>
          <w:trHeight w:val="970"/>
          <w:jc w:val="center"/>
        </w:trPr>
        <w:tc>
          <w:tcPr>
            <w:tcW w:w="1418" w:type="dxa"/>
          </w:tcPr>
          <w:p w:rsidR="002C27CA" w:rsidRPr="00A518F9" w:rsidRDefault="002C27CA" w:rsidP="00F45A74">
            <w:pPr>
              <w:pStyle w:val="Tabletext"/>
              <w:jc w:val="left"/>
              <w:rPr>
                <w:sz w:val="18"/>
                <w:szCs w:val="18"/>
                <w:lang w:val="fr-CH"/>
              </w:rPr>
            </w:pPr>
            <w:r w:rsidRPr="00A518F9">
              <w:rPr>
                <w:sz w:val="18"/>
                <w:szCs w:val="18"/>
                <w:lang w:val="fr-CH"/>
              </w:rPr>
              <w:t>Distance de coordination (mesurée depuis le nadir)</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27</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30</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34</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38</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43</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48</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54</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61</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69</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79</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91</w:t>
            </w:r>
          </w:p>
        </w:tc>
        <w:tc>
          <w:tcPr>
            <w:tcW w:w="567" w:type="dxa"/>
          </w:tcPr>
          <w:p w:rsidR="002C27CA" w:rsidRPr="00A518F9" w:rsidRDefault="002C27CA" w:rsidP="00F45A74">
            <w:pPr>
              <w:pStyle w:val="Tabletext"/>
              <w:jc w:val="center"/>
              <w:rPr>
                <w:sz w:val="18"/>
                <w:szCs w:val="18"/>
                <w:lang w:val="fr-CH"/>
              </w:rPr>
            </w:pPr>
            <w:r w:rsidRPr="00A518F9">
              <w:rPr>
                <w:sz w:val="18"/>
                <w:szCs w:val="18"/>
                <w:lang w:val="fr-CH"/>
              </w:rPr>
              <w:t>106</w:t>
            </w:r>
          </w:p>
        </w:tc>
        <w:tc>
          <w:tcPr>
            <w:tcW w:w="567" w:type="dxa"/>
          </w:tcPr>
          <w:p w:rsidR="002C27CA" w:rsidRPr="00A518F9" w:rsidRDefault="002C27CA" w:rsidP="00F45A74">
            <w:pPr>
              <w:pStyle w:val="Tabletext"/>
              <w:jc w:val="center"/>
              <w:rPr>
                <w:sz w:val="18"/>
                <w:szCs w:val="18"/>
                <w:lang w:val="fr-CH"/>
              </w:rPr>
            </w:pPr>
            <w:r w:rsidRPr="00A518F9">
              <w:rPr>
                <w:sz w:val="18"/>
                <w:szCs w:val="18"/>
                <w:lang w:val="fr-CH"/>
              </w:rPr>
              <w:t>126</w:t>
            </w:r>
          </w:p>
        </w:tc>
        <w:tc>
          <w:tcPr>
            <w:tcW w:w="567" w:type="dxa"/>
          </w:tcPr>
          <w:p w:rsidR="002C27CA" w:rsidRPr="00A518F9" w:rsidRDefault="002C27CA" w:rsidP="00F45A74">
            <w:pPr>
              <w:pStyle w:val="Tabletext"/>
              <w:jc w:val="center"/>
              <w:rPr>
                <w:sz w:val="18"/>
                <w:szCs w:val="18"/>
                <w:lang w:val="fr-CH"/>
              </w:rPr>
            </w:pPr>
            <w:r w:rsidRPr="00A518F9">
              <w:rPr>
                <w:sz w:val="18"/>
                <w:szCs w:val="18"/>
                <w:lang w:val="fr-CH"/>
              </w:rPr>
              <w:t>153</w:t>
            </w:r>
          </w:p>
        </w:tc>
        <w:tc>
          <w:tcPr>
            <w:tcW w:w="567" w:type="dxa"/>
          </w:tcPr>
          <w:p w:rsidR="002C27CA" w:rsidRPr="00A518F9" w:rsidRDefault="002C27CA" w:rsidP="00F45A74">
            <w:pPr>
              <w:pStyle w:val="Tabletext"/>
              <w:jc w:val="center"/>
              <w:rPr>
                <w:sz w:val="18"/>
                <w:szCs w:val="18"/>
                <w:lang w:val="fr-CH"/>
              </w:rPr>
            </w:pPr>
            <w:r w:rsidRPr="00A518F9">
              <w:rPr>
                <w:sz w:val="18"/>
                <w:szCs w:val="18"/>
                <w:lang w:val="fr-CH"/>
              </w:rPr>
              <w:t>190</w:t>
            </w:r>
          </w:p>
        </w:tc>
        <w:tc>
          <w:tcPr>
            <w:tcW w:w="567" w:type="dxa"/>
          </w:tcPr>
          <w:p w:rsidR="002C27CA" w:rsidRPr="00A518F9" w:rsidRDefault="002C27CA" w:rsidP="00F45A74">
            <w:pPr>
              <w:pStyle w:val="Tabletext"/>
              <w:jc w:val="center"/>
              <w:rPr>
                <w:sz w:val="18"/>
                <w:szCs w:val="18"/>
                <w:lang w:val="fr-CH"/>
              </w:rPr>
            </w:pPr>
            <w:r w:rsidRPr="00A518F9">
              <w:rPr>
                <w:sz w:val="18"/>
                <w:szCs w:val="18"/>
                <w:lang w:val="fr-CH"/>
              </w:rPr>
              <w:t>242</w:t>
            </w:r>
          </w:p>
        </w:tc>
        <w:tc>
          <w:tcPr>
            <w:tcW w:w="567" w:type="dxa"/>
          </w:tcPr>
          <w:p w:rsidR="002C27CA" w:rsidRPr="00A518F9" w:rsidRDefault="002C27CA" w:rsidP="00F45A74">
            <w:pPr>
              <w:pStyle w:val="Tabletext"/>
              <w:jc w:val="center"/>
              <w:rPr>
                <w:sz w:val="18"/>
                <w:szCs w:val="18"/>
                <w:lang w:val="fr-CH"/>
              </w:rPr>
            </w:pPr>
            <w:r w:rsidRPr="00A518F9">
              <w:rPr>
                <w:sz w:val="18"/>
                <w:szCs w:val="18"/>
                <w:lang w:val="fr-CH"/>
              </w:rPr>
              <w:t>319</w:t>
            </w:r>
          </w:p>
        </w:tc>
        <w:tc>
          <w:tcPr>
            <w:tcW w:w="567" w:type="dxa"/>
          </w:tcPr>
          <w:p w:rsidR="002C27CA" w:rsidRPr="00A518F9" w:rsidRDefault="002C27CA" w:rsidP="00F45A74">
            <w:pPr>
              <w:pStyle w:val="Tabletext"/>
              <w:jc w:val="center"/>
              <w:rPr>
                <w:sz w:val="18"/>
                <w:szCs w:val="18"/>
                <w:lang w:val="fr-CH"/>
              </w:rPr>
            </w:pPr>
            <w:r w:rsidRPr="00A518F9">
              <w:rPr>
                <w:sz w:val="18"/>
                <w:szCs w:val="18"/>
                <w:lang w:val="fr-CH"/>
              </w:rPr>
              <w:t>433</w:t>
            </w:r>
          </w:p>
        </w:tc>
      </w:tr>
      <w:tr w:rsidR="002C27CA" w:rsidRPr="00A518F9" w:rsidTr="00F45A74">
        <w:trPr>
          <w:cantSplit/>
          <w:trHeight w:val="970"/>
          <w:jc w:val="center"/>
        </w:trPr>
        <w:tc>
          <w:tcPr>
            <w:tcW w:w="1418" w:type="dxa"/>
          </w:tcPr>
          <w:p w:rsidR="002C27CA" w:rsidRPr="00A518F9" w:rsidRDefault="002C27CA" w:rsidP="00F45A74">
            <w:pPr>
              <w:pStyle w:val="Tabletext"/>
              <w:jc w:val="left"/>
              <w:rPr>
                <w:sz w:val="18"/>
                <w:szCs w:val="18"/>
                <w:lang w:val="fr-CH"/>
              </w:rPr>
            </w:pPr>
            <w:r w:rsidRPr="00A518F9">
              <w:rPr>
                <w:sz w:val="18"/>
                <w:szCs w:val="18"/>
                <w:lang w:val="fr-CH"/>
              </w:rPr>
              <w:t>Distance de coordination (mesurée depuis le centre du faisceau le plus proche)</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19</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19</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19</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19</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20</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21</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22</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26</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26</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30</w:t>
            </w:r>
          </w:p>
        </w:tc>
        <w:tc>
          <w:tcPr>
            <w:tcW w:w="454" w:type="dxa"/>
          </w:tcPr>
          <w:p w:rsidR="002C27CA" w:rsidRPr="00A518F9" w:rsidRDefault="002C27CA" w:rsidP="00F45A74">
            <w:pPr>
              <w:pStyle w:val="Tabletext"/>
              <w:jc w:val="center"/>
              <w:rPr>
                <w:sz w:val="18"/>
                <w:szCs w:val="18"/>
                <w:lang w:val="fr-CH"/>
              </w:rPr>
            </w:pPr>
            <w:r w:rsidRPr="00A518F9">
              <w:rPr>
                <w:sz w:val="18"/>
                <w:szCs w:val="18"/>
                <w:lang w:val="fr-CH"/>
              </w:rPr>
              <w:t>36</w:t>
            </w:r>
          </w:p>
        </w:tc>
        <w:tc>
          <w:tcPr>
            <w:tcW w:w="567" w:type="dxa"/>
          </w:tcPr>
          <w:p w:rsidR="002C27CA" w:rsidRPr="00A518F9" w:rsidRDefault="002C27CA" w:rsidP="00F45A74">
            <w:pPr>
              <w:pStyle w:val="Tabletext"/>
              <w:jc w:val="center"/>
              <w:rPr>
                <w:sz w:val="18"/>
                <w:szCs w:val="18"/>
                <w:lang w:val="fr-CH"/>
              </w:rPr>
            </w:pPr>
            <w:r w:rsidRPr="00A518F9">
              <w:rPr>
                <w:sz w:val="18"/>
                <w:szCs w:val="18"/>
                <w:lang w:val="fr-CH"/>
              </w:rPr>
              <w:t>44</w:t>
            </w:r>
          </w:p>
        </w:tc>
        <w:tc>
          <w:tcPr>
            <w:tcW w:w="567" w:type="dxa"/>
          </w:tcPr>
          <w:p w:rsidR="002C27CA" w:rsidRPr="00A518F9" w:rsidRDefault="002C27CA" w:rsidP="00F45A74">
            <w:pPr>
              <w:pStyle w:val="Tabletext"/>
              <w:jc w:val="center"/>
              <w:rPr>
                <w:sz w:val="18"/>
                <w:szCs w:val="18"/>
                <w:lang w:val="fr-CH"/>
              </w:rPr>
            </w:pPr>
            <w:r w:rsidRPr="00A518F9">
              <w:rPr>
                <w:sz w:val="18"/>
                <w:szCs w:val="18"/>
                <w:lang w:val="fr-CH"/>
              </w:rPr>
              <w:t>56</w:t>
            </w:r>
          </w:p>
        </w:tc>
        <w:tc>
          <w:tcPr>
            <w:tcW w:w="567" w:type="dxa"/>
          </w:tcPr>
          <w:p w:rsidR="002C27CA" w:rsidRPr="00A518F9" w:rsidRDefault="002C27CA" w:rsidP="00F45A74">
            <w:pPr>
              <w:pStyle w:val="Tabletext"/>
              <w:jc w:val="center"/>
              <w:rPr>
                <w:sz w:val="18"/>
                <w:szCs w:val="18"/>
                <w:lang w:val="fr-CH"/>
              </w:rPr>
            </w:pPr>
            <w:r w:rsidRPr="00A518F9">
              <w:rPr>
                <w:sz w:val="18"/>
                <w:szCs w:val="18"/>
                <w:lang w:val="fr-CH"/>
              </w:rPr>
              <w:t>75</w:t>
            </w:r>
          </w:p>
        </w:tc>
        <w:tc>
          <w:tcPr>
            <w:tcW w:w="567" w:type="dxa"/>
          </w:tcPr>
          <w:p w:rsidR="002C27CA" w:rsidRPr="00A518F9" w:rsidRDefault="002C27CA" w:rsidP="00F45A74">
            <w:pPr>
              <w:pStyle w:val="Tabletext"/>
              <w:jc w:val="center"/>
              <w:rPr>
                <w:sz w:val="18"/>
                <w:szCs w:val="18"/>
                <w:lang w:val="fr-CH"/>
              </w:rPr>
            </w:pPr>
            <w:r w:rsidRPr="00A518F9">
              <w:rPr>
                <w:sz w:val="18"/>
                <w:szCs w:val="18"/>
                <w:lang w:val="fr-CH"/>
              </w:rPr>
              <w:t>103</w:t>
            </w:r>
          </w:p>
        </w:tc>
        <w:tc>
          <w:tcPr>
            <w:tcW w:w="567" w:type="dxa"/>
          </w:tcPr>
          <w:p w:rsidR="002C27CA" w:rsidRPr="00A518F9" w:rsidRDefault="002C27CA" w:rsidP="00F45A74">
            <w:pPr>
              <w:pStyle w:val="Tabletext"/>
              <w:jc w:val="center"/>
              <w:rPr>
                <w:sz w:val="18"/>
                <w:szCs w:val="18"/>
                <w:lang w:val="fr-CH"/>
              </w:rPr>
            </w:pPr>
            <w:r w:rsidRPr="00A518F9">
              <w:rPr>
                <w:sz w:val="18"/>
                <w:szCs w:val="18"/>
                <w:lang w:val="fr-CH"/>
              </w:rPr>
              <w:t>145</w:t>
            </w:r>
          </w:p>
        </w:tc>
        <w:tc>
          <w:tcPr>
            <w:tcW w:w="567" w:type="dxa"/>
          </w:tcPr>
          <w:p w:rsidR="002C27CA" w:rsidRPr="00A518F9" w:rsidRDefault="002C27CA" w:rsidP="00F45A74">
            <w:pPr>
              <w:pStyle w:val="Tabletext"/>
              <w:jc w:val="center"/>
              <w:rPr>
                <w:sz w:val="18"/>
                <w:szCs w:val="18"/>
                <w:lang w:val="fr-CH"/>
              </w:rPr>
            </w:pPr>
            <w:r w:rsidRPr="00A518F9">
              <w:rPr>
                <w:sz w:val="18"/>
                <w:szCs w:val="18"/>
                <w:lang w:val="fr-CH"/>
              </w:rPr>
              <w:t>212</w:t>
            </w:r>
          </w:p>
        </w:tc>
        <w:tc>
          <w:tcPr>
            <w:tcW w:w="567" w:type="dxa"/>
          </w:tcPr>
          <w:p w:rsidR="002C27CA" w:rsidRPr="00A518F9" w:rsidRDefault="002C27CA" w:rsidP="00F45A74">
            <w:pPr>
              <w:pStyle w:val="Tabletext"/>
              <w:jc w:val="center"/>
              <w:rPr>
                <w:sz w:val="18"/>
                <w:szCs w:val="18"/>
                <w:lang w:val="fr-CH"/>
              </w:rPr>
            </w:pPr>
            <w:r w:rsidRPr="00A518F9">
              <w:rPr>
                <w:sz w:val="18"/>
                <w:szCs w:val="18"/>
                <w:lang w:val="fr-CH"/>
              </w:rPr>
              <w:t>314</w:t>
            </w:r>
          </w:p>
        </w:tc>
      </w:tr>
    </w:tbl>
    <w:p w:rsidR="002C27CA" w:rsidRPr="00A518F9" w:rsidRDefault="002C27CA" w:rsidP="002C27CA">
      <w:pPr>
        <w:pStyle w:val="Tablefin"/>
        <w:rPr>
          <w:lang w:val="fr-CH"/>
        </w:rPr>
      </w:pPr>
    </w:p>
    <w:p w:rsidR="002C27CA" w:rsidRPr="00A518F9" w:rsidRDefault="002C27CA" w:rsidP="002C27CA">
      <w:pPr>
        <w:rPr>
          <w:lang w:val="fr-CH"/>
        </w:rPr>
      </w:pPr>
      <w:r w:rsidRPr="00A518F9">
        <w:rPr>
          <w:lang w:val="fr-CH"/>
        </w:rPr>
        <w:t xml:space="preserve">Si le nombre de faisceaux du système HAPS brouilleur est différent de 700, ou si le critère de brouillage admissible n'est pas le critère </w:t>
      </w:r>
      <w:r w:rsidRPr="00A518F9">
        <w:rPr>
          <w:i/>
          <w:iCs/>
          <w:lang w:val="fr-CH"/>
        </w:rPr>
        <w:t>I</w:t>
      </w:r>
      <w:r w:rsidRPr="00A518F9">
        <w:rPr>
          <w:lang w:val="fr-CH"/>
        </w:rPr>
        <w:t>/</w:t>
      </w:r>
      <w:r w:rsidRPr="00A518F9">
        <w:rPr>
          <w:i/>
          <w:iCs/>
          <w:lang w:val="fr-CH"/>
        </w:rPr>
        <w:t>N</w:t>
      </w:r>
      <w:r w:rsidRPr="00A518F9">
        <w:rPr>
          <w:lang w:val="fr-CH"/>
        </w:rPr>
        <w:t xml:space="preserve"> = –</w:t>
      </w:r>
      <w:r w:rsidRPr="00A518F9">
        <w:rPr>
          <w:sz w:val="4"/>
          <w:lang w:val="fr-CH"/>
        </w:rPr>
        <w:t> </w:t>
      </w:r>
      <w:r w:rsidRPr="00A518F9">
        <w:rPr>
          <w:lang w:val="fr-CH"/>
        </w:rPr>
        <w:t>10 dB utilisé ci-dessus, l'équation (22) doit être utilisée pour la détermination de la distance minimale de coordination.</w:t>
      </w:r>
    </w:p>
    <w:p w:rsidR="002C27CA" w:rsidRPr="00A518F9" w:rsidRDefault="002C27CA" w:rsidP="002C27CA">
      <w:pPr>
        <w:pStyle w:val="Heading2"/>
        <w:keepNext w:val="0"/>
        <w:keepLines w:val="0"/>
        <w:rPr>
          <w:lang w:val="fr-CH"/>
        </w:rPr>
      </w:pPr>
      <w:r w:rsidRPr="00A518F9">
        <w:rPr>
          <w:lang w:val="fr-CH"/>
        </w:rPr>
        <w:lastRenderedPageBreak/>
        <w:t>2.3</w:t>
      </w:r>
      <w:r w:rsidRPr="00A518F9">
        <w:rPr>
          <w:lang w:val="fr-CH"/>
        </w:rPr>
        <w:tab/>
        <w:t>Brouillage de stations mobiles IMT-2000 par une station HAPS utilisant le format AMRT IMT-2000</w:t>
      </w:r>
    </w:p>
    <w:p w:rsidR="002C27CA" w:rsidRPr="00A518F9" w:rsidRDefault="002C27CA" w:rsidP="002C27CA">
      <w:pPr>
        <w:rPr>
          <w:lang w:val="fr-CH"/>
        </w:rPr>
      </w:pPr>
      <w:r w:rsidRPr="00A518F9">
        <w:rPr>
          <w:lang w:val="fr-CH"/>
        </w:rPr>
        <w:t>La Fig. 2 montre clairement qu'un tel partage est tout à fait possible pour une couverture HAPS de faible rayon. Même pour un rayon de couverture principale de 62 km, le système à tour brouillé peut assurer le service IMT-2000 dans la même bande de fréquences à condition que sa zone de couverture se trouve au moins à 50 km du faisceau principal HAPS le plus proche. La Fig. 8 montre la relation entre la distance de coordination et le rayon de couverture HAPS et la Fig. 9 la distance entre la limite de coordination et le nadir du système HAPS en fonction du rayon de couverture HAPS. Les résultats donnés à la Fig. 9 sont résumés dans le Tableau 2.</w:t>
      </w:r>
    </w:p>
    <w:p w:rsidR="002C27CA" w:rsidRPr="00A518F9" w:rsidRDefault="002C27CA" w:rsidP="002C27CA">
      <w:pPr>
        <w:pStyle w:val="FigureNo"/>
        <w:keepNext w:val="0"/>
        <w:keepLines w:val="0"/>
        <w:rPr>
          <w:lang w:val="fr-CH"/>
        </w:rPr>
      </w:pPr>
      <w:r w:rsidRPr="00A518F9">
        <w:rPr>
          <w:noProof/>
          <w:lang w:val="en-US" w:eastAsia="zh-CN"/>
        </w:rPr>
        <w:drawing>
          <wp:inline distT="0" distB="0" distL="0" distR="0" wp14:anchorId="28809DD9" wp14:editId="69345B28">
            <wp:extent cx="5923915" cy="507301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3915" cy="5073015"/>
                    </a:xfrm>
                    <a:prstGeom prst="rect">
                      <a:avLst/>
                    </a:prstGeom>
                    <a:noFill/>
                    <a:ln>
                      <a:noFill/>
                    </a:ln>
                  </pic:spPr>
                </pic:pic>
              </a:graphicData>
            </a:graphic>
          </wp:inline>
        </w:drawing>
      </w:r>
    </w:p>
    <w:p w:rsidR="002C27CA" w:rsidRPr="00A518F9" w:rsidRDefault="002C27CA" w:rsidP="002C27CA">
      <w:pPr>
        <w:pStyle w:val="FigureNo"/>
        <w:keepNext w:val="0"/>
        <w:keepLines w:val="0"/>
        <w:rPr>
          <w:lang w:val="fr-CH"/>
        </w:rPr>
      </w:pPr>
      <w:r w:rsidRPr="00A518F9">
        <w:rPr>
          <w:noProof/>
          <w:lang w:val="en-US" w:eastAsia="zh-CN"/>
        </w:rPr>
        <w:lastRenderedPageBreak/>
        <w:drawing>
          <wp:inline distT="0" distB="0" distL="0" distR="0" wp14:anchorId="1899F8C2" wp14:editId="65E8DB2E">
            <wp:extent cx="5987415" cy="49377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7415" cy="4937760"/>
                    </a:xfrm>
                    <a:prstGeom prst="rect">
                      <a:avLst/>
                    </a:prstGeom>
                    <a:noFill/>
                    <a:ln>
                      <a:noFill/>
                    </a:ln>
                  </pic:spPr>
                </pic:pic>
              </a:graphicData>
            </a:graphic>
          </wp:inline>
        </w:drawing>
      </w:r>
    </w:p>
    <w:p w:rsidR="002C27CA" w:rsidRPr="00A518F9" w:rsidRDefault="002C27CA" w:rsidP="002C27CA">
      <w:pPr>
        <w:pStyle w:val="TableNo"/>
        <w:keepNext w:val="0"/>
        <w:rPr>
          <w:lang w:val="fr-CH"/>
        </w:rPr>
      </w:pPr>
      <w:r w:rsidRPr="00A518F9">
        <w:rPr>
          <w:lang w:val="fr-CH"/>
        </w:rPr>
        <w:t>TABLEAU  2</w:t>
      </w:r>
    </w:p>
    <w:p w:rsidR="002C27CA" w:rsidRPr="00A518F9" w:rsidRDefault="002C27CA" w:rsidP="002C27CA">
      <w:pPr>
        <w:pStyle w:val="Tabletitle"/>
        <w:keepNext w:val="0"/>
        <w:rPr>
          <w:lang w:val="fr-CH"/>
        </w:rPr>
      </w:pPr>
      <w:r w:rsidRPr="00A518F9">
        <w:rPr>
          <w:lang w:val="fr-CH"/>
        </w:rPr>
        <w:t>Distances de coordination (km) pour différents rayons de couverture (km)</w:t>
      </w:r>
      <w:r w:rsidRPr="00A518F9">
        <w:rPr>
          <w:lang w:val="fr-CH"/>
        </w:rPr>
        <w:br/>
        <w:t>utilisant l'équation (22) (HAPS utilisant le format AMRT)</w:t>
      </w:r>
    </w:p>
    <w:p w:rsidR="002C27CA" w:rsidRPr="00A518F9" w:rsidRDefault="002C27CA" w:rsidP="002C27CA">
      <w:pPr>
        <w:pStyle w:val="Blanc"/>
        <w:keepNext w:val="0"/>
        <w:keepLines w:val="0"/>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8"/>
        <w:gridCol w:w="425"/>
        <w:gridCol w:w="425"/>
        <w:gridCol w:w="426"/>
        <w:gridCol w:w="426"/>
        <w:gridCol w:w="426"/>
        <w:gridCol w:w="426"/>
        <w:gridCol w:w="427"/>
        <w:gridCol w:w="427"/>
        <w:gridCol w:w="427"/>
        <w:gridCol w:w="427"/>
        <w:gridCol w:w="427"/>
        <w:gridCol w:w="526"/>
        <w:gridCol w:w="526"/>
        <w:gridCol w:w="526"/>
        <w:gridCol w:w="526"/>
        <w:gridCol w:w="526"/>
        <w:gridCol w:w="526"/>
        <w:gridCol w:w="526"/>
      </w:tblGrid>
      <w:tr w:rsidR="002C27CA" w:rsidRPr="00A518F9" w:rsidTr="00F45A74">
        <w:trPr>
          <w:cantSplit/>
          <w:jc w:val="center"/>
        </w:trPr>
        <w:tc>
          <w:tcPr>
            <w:tcW w:w="1280" w:type="dxa"/>
          </w:tcPr>
          <w:p w:rsidR="002C27CA" w:rsidRPr="00A518F9" w:rsidRDefault="002C27CA" w:rsidP="00F45A74">
            <w:pPr>
              <w:pStyle w:val="Tabletext"/>
              <w:jc w:val="left"/>
              <w:rPr>
                <w:sz w:val="18"/>
                <w:szCs w:val="18"/>
                <w:lang w:val="fr-CH"/>
              </w:rPr>
            </w:pPr>
            <w:r w:rsidRPr="00A518F9">
              <w:rPr>
                <w:sz w:val="18"/>
                <w:szCs w:val="18"/>
                <w:lang w:val="fr-CH"/>
              </w:rPr>
              <w:t>Rayon de couverture</w:t>
            </w:r>
          </w:p>
        </w:tc>
        <w:tc>
          <w:tcPr>
            <w:tcW w:w="428" w:type="dxa"/>
          </w:tcPr>
          <w:p w:rsidR="002C27CA" w:rsidRPr="00A518F9" w:rsidRDefault="002C27CA" w:rsidP="00F45A74">
            <w:pPr>
              <w:pStyle w:val="Tabletext"/>
              <w:jc w:val="center"/>
              <w:rPr>
                <w:sz w:val="18"/>
                <w:szCs w:val="18"/>
                <w:lang w:val="fr-CH"/>
              </w:rPr>
            </w:pPr>
            <w:r w:rsidRPr="00A518F9">
              <w:rPr>
                <w:sz w:val="18"/>
                <w:szCs w:val="18"/>
                <w:lang w:val="fr-CH"/>
              </w:rPr>
              <w:t>8</w:t>
            </w:r>
          </w:p>
        </w:tc>
        <w:tc>
          <w:tcPr>
            <w:tcW w:w="428" w:type="dxa"/>
          </w:tcPr>
          <w:p w:rsidR="002C27CA" w:rsidRPr="00A518F9" w:rsidRDefault="002C27CA" w:rsidP="00F45A74">
            <w:pPr>
              <w:pStyle w:val="Tabletext"/>
              <w:jc w:val="center"/>
              <w:rPr>
                <w:sz w:val="18"/>
                <w:szCs w:val="18"/>
                <w:lang w:val="fr-CH"/>
              </w:rPr>
            </w:pPr>
            <w:r w:rsidRPr="00A518F9">
              <w:rPr>
                <w:sz w:val="18"/>
                <w:szCs w:val="18"/>
                <w:lang w:val="fr-CH"/>
              </w:rPr>
              <w:t>11</w:t>
            </w:r>
          </w:p>
        </w:tc>
        <w:tc>
          <w:tcPr>
            <w:tcW w:w="428" w:type="dxa"/>
          </w:tcPr>
          <w:p w:rsidR="002C27CA" w:rsidRPr="00A518F9" w:rsidRDefault="002C27CA" w:rsidP="00F45A74">
            <w:pPr>
              <w:pStyle w:val="Tabletext"/>
              <w:jc w:val="center"/>
              <w:rPr>
                <w:sz w:val="18"/>
                <w:szCs w:val="18"/>
                <w:lang w:val="fr-CH"/>
              </w:rPr>
            </w:pPr>
            <w:r w:rsidRPr="00A518F9">
              <w:rPr>
                <w:sz w:val="18"/>
                <w:szCs w:val="18"/>
                <w:lang w:val="fr-CH"/>
              </w:rPr>
              <w:t>15</w:t>
            </w:r>
          </w:p>
        </w:tc>
        <w:tc>
          <w:tcPr>
            <w:tcW w:w="428" w:type="dxa"/>
          </w:tcPr>
          <w:p w:rsidR="002C27CA" w:rsidRPr="00A518F9" w:rsidRDefault="002C27CA" w:rsidP="00F45A74">
            <w:pPr>
              <w:pStyle w:val="Tabletext"/>
              <w:jc w:val="center"/>
              <w:rPr>
                <w:sz w:val="18"/>
                <w:szCs w:val="18"/>
                <w:lang w:val="fr-CH"/>
              </w:rPr>
            </w:pPr>
            <w:r w:rsidRPr="00A518F9">
              <w:rPr>
                <w:sz w:val="18"/>
                <w:szCs w:val="18"/>
                <w:lang w:val="fr-CH"/>
              </w:rPr>
              <w:t>19</w:t>
            </w:r>
          </w:p>
        </w:tc>
        <w:tc>
          <w:tcPr>
            <w:tcW w:w="428" w:type="dxa"/>
          </w:tcPr>
          <w:p w:rsidR="002C27CA" w:rsidRPr="00A518F9" w:rsidRDefault="002C27CA" w:rsidP="00F45A74">
            <w:pPr>
              <w:pStyle w:val="Tabletext"/>
              <w:jc w:val="center"/>
              <w:rPr>
                <w:sz w:val="18"/>
                <w:szCs w:val="18"/>
                <w:lang w:val="fr-CH"/>
              </w:rPr>
            </w:pPr>
            <w:r w:rsidRPr="00A518F9">
              <w:rPr>
                <w:sz w:val="18"/>
                <w:szCs w:val="18"/>
                <w:lang w:val="fr-CH"/>
              </w:rPr>
              <w:t>23</w:t>
            </w:r>
          </w:p>
        </w:tc>
        <w:tc>
          <w:tcPr>
            <w:tcW w:w="428" w:type="dxa"/>
          </w:tcPr>
          <w:p w:rsidR="002C27CA" w:rsidRPr="00A518F9" w:rsidRDefault="002C27CA" w:rsidP="00F45A74">
            <w:pPr>
              <w:pStyle w:val="Tabletext"/>
              <w:jc w:val="center"/>
              <w:rPr>
                <w:sz w:val="18"/>
                <w:szCs w:val="18"/>
                <w:lang w:val="fr-CH"/>
              </w:rPr>
            </w:pPr>
            <w:r w:rsidRPr="00A518F9">
              <w:rPr>
                <w:sz w:val="18"/>
                <w:szCs w:val="18"/>
                <w:lang w:val="fr-CH"/>
              </w:rPr>
              <w:t>27</w:t>
            </w:r>
          </w:p>
        </w:tc>
        <w:tc>
          <w:tcPr>
            <w:tcW w:w="429" w:type="dxa"/>
          </w:tcPr>
          <w:p w:rsidR="002C27CA" w:rsidRPr="00A518F9" w:rsidRDefault="002C27CA" w:rsidP="00F45A74">
            <w:pPr>
              <w:pStyle w:val="Tabletext"/>
              <w:jc w:val="center"/>
              <w:rPr>
                <w:sz w:val="18"/>
                <w:szCs w:val="18"/>
                <w:lang w:val="fr-CH"/>
              </w:rPr>
            </w:pPr>
            <w:r w:rsidRPr="00A518F9">
              <w:rPr>
                <w:sz w:val="18"/>
                <w:szCs w:val="18"/>
                <w:lang w:val="fr-CH"/>
              </w:rPr>
              <w:t>32</w:t>
            </w:r>
          </w:p>
        </w:tc>
        <w:tc>
          <w:tcPr>
            <w:tcW w:w="429" w:type="dxa"/>
          </w:tcPr>
          <w:p w:rsidR="002C27CA" w:rsidRPr="00A518F9" w:rsidRDefault="002C27CA" w:rsidP="00F45A74">
            <w:pPr>
              <w:pStyle w:val="Tabletext"/>
              <w:jc w:val="center"/>
              <w:rPr>
                <w:sz w:val="18"/>
                <w:szCs w:val="18"/>
                <w:lang w:val="fr-CH"/>
              </w:rPr>
            </w:pPr>
            <w:r w:rsidRPr="00A518F9">
              <w:rPr>
                <w:sz w:val="18"/>
                <w:szCs w:val="18"/>
                <w:lang w:val="fr-CH"/>
              </w:rPr>
              <w:t>37</w:t>
            </w:r>
          </w:p>
        </w:tc>
        <w:tc>
          <w:tcPr>
            <w:tcW w:w="429" w:type="dxa"/>
          </w:tcPr>
          <w:p w:rsidR="002C27CA" w:rsidRPr="00A518F9" w:rsidRDefault="002C27CA" w:rsidP="00F45A74">
            <w:pPr>
              <w:pStyle w:val="Tabletext"/>
              <w:jc w:val="center"/>
              <w:rPr>
                <w:sz w:val="18"/>
                <w:szCs w:val="18"/>
                <w:lang w:val="fr-CH"/>
              </w:rPr>
            </w:pPr>
            <w:r w:rsidRPr="00A518F9">
              <w:rPr>
                <w:sz w:val="18"/>
                <w:szCs w:val="18"/>
                <w:lang w:val="fr-CH"/>
              </w:rPr>
              <w:t>43</w:t>
            </w:r>
          </w:p>
        </w:tc>
        <w:tc>
          <w:tcPr>
            <w:tcW w:w="429" w:type="dxa"/>
          </w:tcPr>
          <w:p w:rsidR="002C27CA" w:rsidRPr="00A518F9" w:rsidRDefault="002C27CA" w:rsidP="00F45A74">
            <w:pPr>
              <w:pStyle w:val="Tabletext"/>
              <w:jc w:val="center"/>
              <w:rPr>
                <w:sz w:val="18"/>
                <w:szCs w:val="18"/>
                <w:lang w:val="fr-CH"/>
              </w:rPr>
            </w:pPr>
            <w:r w:rsidRPr="00A518F9">
              <w:rPr>
                <w:sz w:val="18"/>
                <w:szCs w:val="18"/>
                <w:lang w:val="fr-CH"/>
              </w:rPr>
              <w:t>49</w:t>
            </w:r>
          </w:p>
        </w:tc>
        <w:tc>
          <w:tcPr>
            <w:tcW w:w="429" w:type="dxa"/>
          </w:tcPr>
          <w:p w:rsidR="002C27CA" w:rsidRPr="00A518F9" w:rsidRDefault="002C27CA" w:rsidP="00F45A74">
            <w:pPr>
              <w:pStyle w:val="Tabletext"/>
              <w:jc w:val="center"/>
              <w:rPr>
                <w:sz w:val="18"/>
                <w:szCs w:val="18"/>
                <w:lang w:val="fr-CH"/>
              </w:rPr>
            </w:pPr>
            <w:r w:rsidRPr="00A518F9">
              <w:rPr>
                <w:sz w:val="18"/>
                <w:szCs w:val="18"/>
                <w:lang w:val="fr-CH"/>
              </w:rPr>
              <w:t>55</w:t>
            </w:r>
          </w:p>
        </w:tc>
        <w:tc>
          <w:tcPr>
            <w:tcW w:w="529" w:type="dxa"/>
          </w:tcPr>
          <w:p w:rsidR="002C27CA" w:rsidRPr="00A518F9" w:rsidRDefault="002C27CA" w:rsidP="00F45A74">
            <w:pPr>
              <w:pStyle w:val="Tabletext"/>
              <w:jc w:val="center"/>
              <w:rPr>
                <w:sz w:val="18"/>
                <w:szCs w:val="18"/>
                <w:lang w:val="fr-CH"/>
              </w:rPr>
            </w:pPr>
            <w:r w:rsidRPr="00A518F9">
              <w:rPr>
                <w:sz w:val="18"/>
                <w:szCs w:val="18"/>
                <w:lang w:val="fr-CH"/>
              </w:rPr>
              <w:t>62</w:t>
            </w:r>
          </w:p>
        </w:tc>
        <w:tc>
          <w:tcPr>
            <w:tcW w:w="529" w:type="dxa"/>
          </w:tcPr>
          <w:p w:rsidR="002C27CA" w:rsidRPr="00A518F9" w:rsidRDefault="002C27CA" w:rsidP="00F45A74">
            <w:pPr>
              <w:pStyle w:val="Tabletext"/>
              <w:jc w:val="center"/>
              <w:rPr>
                <w:sz w:val="18"/>
                <w:szCs w:val="18"/>
                <w:lang w:val="fr-CH"/>
              </w:rPr>
            </w:pPr>
            <w:r w:rsidRPr="00A518F9">
              <w:rPr>
                <w:sz w:val="18"/>
                <w:szCs w:val="18"/>
                <w:lang w:val="fr-CH"/>
              </w:rPr>
              <w:t>70</w:t>
            </w:r>
          </w:p>
        </w:tc>
        <w:tc>
          <w:tcPr>
            <w:tcW w:w="529" w:type="dxa"/>
          </w:tcPr>
          <w:p w:rsidR="002C27CA" w:rsidRPr="00A518F9" w:rsidRDefault="002C27CA" w:rsidP="00F45A74">
            <w:pPr>
              <w:pStyle w:val="Tabletext"/>
              <w:jc w:val="center"/>
              <w:rPr>
                <w:sz w:val="18"/>
                <w:szCs w:val="18"/>
                <w:lang w:val="fr-CH"/>
              </w:rPr>
            </w:pPr>
            <w:r w:rsidRPr="00A518F9">
              <w:rPr>
                <w:sz w:val="18"/>
                <w:szCs w:val="18"/>
                <w:lang w:val="fr-CH"/>
              </w:rPr>
              <w:t>78</w:t>
            </w:r>
          </w:p>
        </w:tc>
        <w:tc>
          <w:tcPr>
            <w:tcW w:w="529" w:type="dxa"/>
          </w:tcPr>
          <w:p w:rsidR="002C27CA" w:rsidRPr="00A518F9" w:rsidRDefault="002C27CA" w:rsidP="00F45A74">
            <w:pPr>
              <w:pStyle w:val="Tabletext"/>
              <w:jc w:val="center"/>
              <w:rPr>
                <w:sz w:val="18"/>
                <w:szCs w:val="18"/>
                <w:lang w:val="fr-CH"/>
              </w:rPr>
            </w:pPr>
            <w:r w:rsidRPr="00A518F9">
              <w:rPr>
                <w:sz w:val="18"/>
                <w:szCs w:val="18"/>
                <w:lang w:val="fr-CH"/>
              </w:rPr>
              <w:t>87</w:t>
            </w:r>
          </w:p>
        </w:tc>
        <w:tc>
          <w:tcPr>
            <w:tcW w:w="529" w:type="dxa"/>
          </w:tcPr>
          <w:p w:rsidR="002C27CA" w:rsidRPr="00A518F9" w:rsidRDefault="002C27CA" w:rsidP="00F45A74">
            <w:pPr>
              <w:pStyle w:val="Tabletext"/>
              <w:jc w:val="center"/>
              <w:rPr>
                <w:sz w:val="18"/>
                <w:szCs w:val="18"/>
                <w:lang w:val="fr-CH"/>
              </w:rPr>
            </w:pPr>
            <w:r w:rsidRPr="00A518F9">
              <w:rPr>
                <w:sz w:val="18"/>
                <w:szCs w:val="18"/>
                <w:lang w:val="fr-CH"/>
              </w:rPr>
              <w:t>97</w:t>
            </w:r>
          </w:p>
        </w:tc>
        <w:tc>
          <w:tcPr>
            <w:tcW w:w="529" w:type="dxa"/>
          </w:tcPr>
          <w:p w:rsidR="002C27CA" w:rsidRPr="00A518F9" w:rsidRDefault="002C27CA" w:rsidP="00F45A74">
            <w:pPr>
              <w:pStyle w:val="Tabletext"/>
              <w:jc w:val="center"/>
              <w:rPr>
                <w:sz w:val="18"/>
                <w:szCs w:val="18"/>
                <w:lang w:val="fr-CH"/>
              </w:rPr>
            </w:pPr>
            <w:r w:rsidRPr="00A518F9">
              <w:rPr>
                <w:sz w:val="18"/>
                <w:szCs w:val="18"/>
                <w:lang w:val="fr-CH"/>
              </w:rPr>
              <w:t>107</w:t>
            </w:r>
          </w:p>
        </w:tc>
        <w:tc>
          <w:tcPr>
            <w:tcW w:w="529" w:type="dxa"/>
          </w:tcPr>
          <w:p w:rsidR="002C27CA" w:rsidRPr="00A518F9" w:rsidRDefault="002C27CA" w:rsidP="00F45A74">
            <w:pPr>
              <w:pStyle w:val="Tabletext"/>
              <w:jc w:val="center"/>
              <w:rPr>
                <w:sz w:val="18"/>
                <w:szCs w:val="18"/>
                <w:lang w:val="fr-CH"/>
              </w:rPr>
            </w:pPr>
            <w:r w:rsidRPr="00A518F9">
              <w:rPr>
                <w:sz w:val="18"/>
                <w:szCs w:val="18"/>
                <w:lang w:val="fr-CH"/>
              </w:rPr>
              <w:t>119</w:t>
            </w:r>
          </w:p>
        </w:tc>
      </w:tr>
      <w:tr w:rsidR="002C27CA" w:rsidRPr="00A518F9" w:rsidTr="00F45A74">
        <w:trPr>
          <w:cantSplit/>
          <w:trHeight w:val="970"/>
          <w:jc w:val="center"/>
        </w:trPr>
        <w:tc>
          <w:tcPr>
            <w:tcW w:w="1280" w:type="dxa"/>
          </w:tcPr>
          <w:p w:rsidR="002C27CA" w:rsidRPr="00A518F9" w:rsidRDefault="002C27CA" w:rsidP="00F45A74">
            <w:pPr>
              <w:pStyle w:val="Tabletext"/>
              <w:jc w:val="left"/>
              <w:rPr>
                <w:sz w:val="18"/>
                <w:szCs w:val="18"/>
                <w:lang w:val="fr-CH"/>
              </w:rPr>
            </w:pPr>
            <w:r w:rsidRPr="00A518F9">
              <w:rPr>
                <w:sz w:val="18"/>
                <w:szCs w:val="18"/>
                <w:lang w:val="fr-CH"/>
              </w:rPr>
              <w:t>Distance de coordination (mesurée depuis le nadir)</w:t>
            </w:r>
          </w:p>
        </w:tc>
        <w:tc>
          <w:tcPr>
            <w:tcW w:w="428" w:type="dxa"/>
          </w:tcPr>
          <w:p w:rsidR="002C27CA" w:rsidRPr="00A518F9" w:rsidRDefault="002C27CA" w:rsidP="00F45A74">
            <w:pPr>
              <w:pStyle w:val="Tabletext"/>
              <w:jc w:val="center"/>
              <w:rPr>
                <w:sz w:val="18"/>
                <w:szCs w:val="18"/>
                <w:lang w:val="fr-CH"/>
              </w:rPr>
            </w:pPr>
            <w:r w:rsidRPr="00A518F9">
              <w:rPr>
                <w:sz w:val="18"/>
                <w:szCs w:val="18"/>
                <w:lang w:val="fr-CH"/>
              </w:rPr>
              <w:t>34</w:t>
            </w:r>
          </w:p>
        </w:tc>
        <w:tc>
          <w:tcPr>
            <w:tcW w:w="428" w:type="dxa"/>
          </w:tcPr>
          <w:p w:rsidR="002C27CA" w:rsidRPr="00A518F9" w:rsidRDefault="002C27CA" w:rsidP="00F45A74">
            <w:pPr>
              <w:pStyle w:val="Tabletext"/>
              <w:jc w:val="center"/>
              <w:rPr>
                <w:sz w:val="18"/>
                <w:szCs w:val="18"/>
                <w:lang w:val="fr-CH"/>
              </w:rPr>
            </w:pPr>
            <w:r w:rsidRPr="00A518F9">
              <w:rPr>
                <w:sz w:val="18"/>
                <w:szCs w:val="18"/>
                <w:lang w:val="fr-CH"/>
              </w:rPr>
              <w:t>38</w:t>
            </w:r>
          </w:p>
        </w:tc>
        <w:tc>
          <w:tcPr>
            <w:tcW w:w="428" w:type="dxa"/>
          </w:tcPr>
          <w:p w:rsidR="002C27CA" w:rsidRPr="00A518F9" w:rsidRDefault="002C27CA" w:rsidP="00F45A74">
            <w:pPr>
              <w:pStyle w:val="Tabletext"/>
              <w:jc w:val="center"/>
              <w:rPr>
                <w:sz w:val="18"/>
                <w:szCs w:val="18"/>
                <w:lang w:val="fr-CH"/>
              </w:rPr>
            </w:pPr>
            <w:r w:rsidRPr="00A518F9">
              <w:rPr>
                <w:sz w:val="18"/>
                <w:szCs w:val="18"/>
                <w:lang w:val="fr-CH"/>
              </w:rPr>
              <w:t>41</w:t>
            </w:r>
          </w:p>
        </w:tc>
        <w:tc>
          <w:tcPr>
            <w:tcW w:w="428" w:type="dxa"/>
          </w:tcPr>
          <w:p w:rsidR="002C27CA" w:rsidRPr="00A518F9" w:rsidRDefault="002C27CA" w:rsidP="00F45A74">
            <w:pPr>
              <w:pStyle w:val="Tabletext"/>
              <w:jc w:val="center"/>
              <w:rPr>
                <w:sz w:val="18"/>
                <w:szCs w:val="18"/>
                <w:lang w:val="fr-CH"/>
              </w:rPr>
            </w:pPr>
            <w:r w:rsidRPr="00A518F9">
              <w:rPr>
                <w:sz w:val="18"/>
                <w:szCs w:val="18"/>
                <w:lang w:val="fr-CH"/>
              </w:rPr>
              <w:t>45</w:t>
            </w:r>
          </w:p>
        </w:tc>
        <w:tc>
          <w:tcPr>
            <w:tcW w:w="428" w:type="dxa"/>
          </w:tcPr>
          <w:p w:rsidR="002C27CA" w:rsidRPr="00A518F9" w:rsidRDefault="002C27CA" w:rsidP="00F45A74">
            <w:pPr>
              <w:pStyle w:val="Tabletext"/>
              <w:jc w:val="center"/>
              <w:rPr>
                <w:sz w:val="18"/>
                <w:szCs w:val="18"/>
                <w:lang w:val="fr-CH"/>
              </w:rPr>
            </w:pPr>
            <w:r w:rsidRPr="00A518F9">
              <w:rPr>
                <w:sz w:val="18"/>
                <w:szCs w:val="18"/>
                <w:lang w:val="fr-CH"/>
              </w:rPr>
              <w:t>50</w:t>
            </w:r>
          </w:p>
        </w:tc>
        <w:tc>
          <w:tcPr>
            <w:tcW w:w="428" w:type="dxa"/>
          </w:tcPr>
          <w:p w:rsidR="002C27CA" w:rsidRPr="00A518F9" w:rsidRDefault="002C27CA" w:rsidP="00F45A74">
            <w:pPr>
              <w:pStyle w:val="Tabletext"/>
              <w:jc w:val="center"/>
              <w:rPr>
                <w:sz w:val="18"/>
                <w:szCs w:val="18"/>
                <w:lang w:val="fr-CH"/>
              </w:rPr>
            </w:pPr>
            <w:r w:rsidRPr="00A518F9">
              <w:rPr>
                <w:sz w:val="18"/>
                <w:szCs w:val="18"/>
                <w:lang w:val="fr-CH"/>
              </w:rPr>
              <w:t>55</w:t>
            </w:r>
          </w:p>
        </w:tc>
        <w:tc>
          <w:tcPr>
            <w:tcW w:w="429" w:type="dxa"/>
          </w:tcPr>
          <w:p w:rsidR="002C27CA" w:rsidRPr="00A518F9" w:rsidRDefault="002C27CA" w:rsidP="00F45A74">
            <w:pPr>
              <w:pStyle w:val="Tabletext"/>
              <w:jc w:val="center"/>
              <w:rPr>
                <w:sz w:val="18"/>
                <w:szCs w:val="18"/>
                <w:lang w:val="fr-CH"/>
              </w:rPr>
            </w:pPr>
            <w:r w:rsidRPr="00A518F9">
              <w:rPr>
                <w:sz w:val="18"/>
                <w:szCs w:val="18"/>
                <w:lang w:val="fr-CH"/>
              </w:rPr>
              <w:t>61</w:t>
            </w:r>
          </w:p>
        </w:tc>
        <w:tc>
          <w:tcPr>
            <w:tcW w:w="429" w:type="dxa"/>
          </w:tcPr>
          <w:p w:rsidR="002C27CA" w:rsidRPr="00A518F9" w:rsidRDefault="002C27CA" w:rsidP="00F45A74">
            <w:pPr>
              <w:pStyle w:val="Tabletext"/>
              <w:jc w:val="center"/>
              <w:rPr>
                <w:sz w:val="18"/>
                <w:szCs w:val="18"/>
                <w:lang w:val="fr-CH"/>
              </w:rPr>
            </w:pPr>
            <w:r w:rsidRPr="00A518F9">
              <w:rPr>
                <w:sz w:val="18"/>
                <w:szCs w:val="18"/>
                <w:lang w:val="fr-CH"/>
              </w:rPr>
              <w:t>68</w:t>
            </w:r>
          </w:p>
        </w:tc>
        <w:tc>
          <w:tcPr>
            <w:tcW w:w="429" w:type="dxa"/>
          </w:tcPr>
          <w:p w:rsidR="002C27CA" w:rsidRPr="00A518F9" w:rsidRDefault="002C27CA" w:rsidP="00F45A74">
            <w:pPr>
              <w:pStyle w:val="Tabletext"/>
              <w:jc w:val="center"/>
              <w:rPr>
                <w:sz w:val="18"/>
                <w:szCs w:val="18"/>
                <w:lang w:val="fr-CH"/>
              </w:rPr>
            </w:pPr>
            <w:r w:rsidRPr="00A518F9">
              <w:rPr>
                <w:sz w:val="18"/>
                <w:szCs w:val="18"/>
                <w:lang w:val="fr-CH"/>
              </w:rPr>
              <w:t>76</w:t>
            </w:r>
          </w:p>
        </w:tc>
        <w:tc>
          <w:tcPr>
            <w:tcW w:w="429" w:type="dxa"/>
          </w:tcPr>
          <w:p w:rsidR="002C27CA" w:rsidRPr="00A518F9" w:rsidRDefault="002C27CA" w:rsidP="00F45A74">
            <w:pPr>
              <w:pStyle w:val="Tabletext"/>
              <w:jc w:val="center"/>
              <w:rPr>
                <w:sz w:val="18"/>
                <w:szCs w:val="18"/>
                <w:lang w:val="fr-CH"/>
              </w:rPr>
            </w:pPr>
            <w:r w:rsidRPr="00A518F9">
              <w:rPr>
                <w:sz w:val="18"/>
                <w:szCs w:val="18"/>
                <w:lang w:val="fr-CH"/>
              </w:rPr>
              <w:t>86</w:t>
            </w:r>
          </w:p>
        </w:tc>
        <w:tc>
          <w:tcPr>
            <w:tcW w:w="429" w:type="dxa"/>
          </w:tcPr>
          <w:p w:rsidR="002C27CA" w:rsidRPr="00A518F9" w:rsidRDefault="002C27CA" w:rsidP="00F45A74">
            <w:pPr>
              <w:pStyle w:val="Tabletext"/>
              <w:jc w:val="center"/>
              <w:rPr>
                <w:sz w:val="18"/>
                <w:szCs w:val="18"/>
                <w:lang w:val="fr-CH"/>
              </w:rPr>
            </w:pPr>
            <w:r w:rsidRPr="00A518F9">
              <w:rPr>
                <w:sz w:val="18"/>
                <w:szCs w:val="18"/>
                <w:lang w:val="fr-CH"/>
              </w:rPr>
              <w:t>98</w:t>
            </w:r>
          </w:p>
        </w:tc>
        <w:tc>
          <w:tcPr>
            <w:tcW w:w="529" w:type="dxa"/>
          </w:tcPr>
          <w:p w:rsidR="002C27CA" w:rsidRPr="00A518F9" w:rsidRDefault="002C27CA" w:rsidP="00F45A74">
            <w:pPr>
              <w:pStyle w:val="Tabletext"/>
              <w:jc w:val="center"/>
              <w:rPr>
                <w:sz w:val="18"/>
                <w:szCs w:val="18"/>
                <w:lang w:val="fr-CH"/>
              </w:rPr>
            </w:pPr>
            <w:r w:rsidRPr="00A518F9">
              <w:rPr>
                <w:sz w:val="18"/>
                <w:szCs w:val="18"/>
                <w:lang w:val="fr-CH"/>
              </w:rPr>
              <w:t>114</w:t>
            </w:r>
          </w:p>
        </w:tc>
        <w:tc>
          <w:tcPr>
            <w:tcW w:w="529" w:type="dxa"/>
          </w:tcPr>
          <w:p w:rsidR="002C27CA" w:rsidRPr="00A518F9" w:rsidRDefault="002C27CA" w:rsidP="00F45A74">
            <w:pPr>
              <w:pStyle w:val="Tabletext"/>
              <w:jc w:val="center"/>
              <w:rPr>
                <w:sz w:val="18"/>
                <w:szCs w:val="18"/>
                <w:lang w:val="fr-CH"/>
              </w:rPr>
            </w:pPr>
            <w:r w:rsidRPr="00A518F9">
              <w:rPr>
                <w:sz w:val="18"/>
                <w:szCs w:val="18"/>
                <w:lang w:val="fr-CH"/>
              </w:rPr>
              <w:t>136</w:t>
            </w:r>
          </w:p>
        </w:tc>
        <w:tc>
          <w:tcPr>
            <w:tcW w:w="529" w:type="dxa"/>
          </w:tcPr>
          <w:p w:rsidR="002C27CA" w:rsidRPr="00A518F9" w:rsidRDefault="002C27CA" w:rsidP="00F45A74">
            <w:pPr>
              <w:pStyle w:val="Tabletext"/>
              <w:jc w:val="center"/>
              <w:rPr>
                <w:sz w:val="18"/>
                <w:szCs w:val="18"/>
                <w:lang w:val="fr-CH"/>
              </w:rPr>
            </w:pPr>
            <w:r w:rsidRPr="00A518F9">
              <w:rPr>
                <w:sz w:val="18"/>
                <w:szCs w:val="18"/>
                <w:lang w:val="fr-CH"/>
              </w:rPr>
              <w:t>164</w:t>
            </w:r>
          </w:p>
        </w:tc>
        <w:tc>
          <w:tcPr>
            <w:tcW w:w="529" w:type="dxa"/>
          </w:tcPr>
          <w:p w:rsidR="002C27CA" w:rsidRPr="00A518F9" w:rsidRDefault="002C27CA" w:rsidP="00F45A74">
            <w:pPr>
              <w:pStyle w:val="Tabletext"/>
              <w:jc w:val="center"/>
              <w:rPr>
                <w:sz w:val="18"/>
                <w:szCs w:val="18"/>
                <w:lang w:val="fr-CH"/>
              </w:rPr>
            </w:pPr>
            <w:r w:rsidRPr="00A518F9">
              <w:rPr>
                <w:sz w:val="18"/>
                <w:szCs w:val="18"/>
                <w:lang w:val="fr-CH"/>
              </w:rPr>
              <w:t>205</w:t>
            </w:r>
          </w:p>
        </w:tc>
        <w:tc>
          <w:tcPr>
            <w:tcW w:w="529" w:type="dxa"/>
          </w:tcPr>
          <w:p w:rsidR="002C27CA" w:rsidRPr="00A518F9" w:rsidRDefault="002C27CA" w:rsidP="00F45A74">
            <w:pPr>
              <w:pStyle w:val="Tabletext"/>
              <w:jc w:val="center"/>
              <w:rPr>
                <w:sz w:val="18"/>
                <w:szCs w:val="18"/>
                <w:lang w:val="fr-CH"/>
              </w:rPr>
            </w:pPr>
            <w:r w:rsidRPr="00A518F9">
              <w:rPr>
                <w:sz w:val="18"/>
                <w:szCs w:val="18"/>
                <w:lang w:val="fr-CH"/>
              </w:rPr>
              <w:t>264</w:t>
            </w:r>
          </w:p>
        </w:tc>
        <w:tc>
          <w:tcPr>
            <w:tcW w:w="529" w:type="dxa"/>
          </w:tcPr>
          <w:p w:rsidR="002C27CA" w:rsidRPr="00A518F9" w:rsidRDefault="002C27CA" w:rsidP="00F45A74">
            <w:pPr>
              <w:pStyle w:val="Tabletext"/>
              <w:jc w:val="center"/>
              <w:rPr>
                <w:sz w:val="18"/>
                <w:szCs w:val="18"/>
                <w:lang w:val="fr-CH"/>
              </w:rPr>
            </w:pPr>
            <w:r w:rsidRPr="00A518F9">
              <w:rPr>
                <w:sz w:val="18"/>
                <w:szCs w:val="18"/>
                <w:lang w:val="fr-CH"/>
              </w:rPr>
              <w:t>353</w:t>
            </w:r>
          </w:p>
        </w:tc>
        <w:tc>
          <w:tcPr>
            <w:tcW w:w="529" w:type="dxa"/>
          </w:tcPr>
          <w:p w:rsidR="002C27CA" w:rsidRPr="00A518F9" w:rsidRDefault="002C27CA" w:rsidP="00F45A74">
            <w:pPr>
              <w:pStyle w:val="Tabletext"/>
              <w:jc w:val="center"/>
              <w:rPr>
                <w:sz w:val="18"/>
                <w:szCs w:val="18"/>
                <w:lang w:val="fr-CH"/>
              </w:rPr>
            </w:pPr>
            <w:r w:rsidRPr="00A518F9">
              <w:rPr>
                <w:sz w:val="18"/>
                <w:szCs w:val="18"/>
                <w:lang w:val="fr-CH"/>
              </w:rPr>
              <w:t>490</w:t>
            </w:r>
          </w:p>
        </w:tc>
      </w:tr>
      <w:tr w:rsidR="002C27CA" w:rsidRPr="00A518F9" w:rsidTr="00F45A74">
        <w:trPr>
          <w:cantSplit/>
          <w:trHeight w:val="970"/>
          <w:jc w:val="center"/>
        </w:trPr>
        <w:tc>
          <w:tcPr>
            <w:tcW w:w="1280" w:type="dxa"/>
          </w:tcPr>
          <w:p w:rsidR="002C27CA" w:rsidRPr="00A518F9" w:rsidRDefault="002C27CA" w:rsidP="00F45A74">
            <w:pPr>
              <w:pStyle w:val="Tabletext"/>
              <w:jc w:val="left"/>
              <w:rPr>
                <w:sz w:val="18"/>
                <w:szCs w:val="18"/>
                <w:lang w:val="fr-CH"/>
              </w:rPr>
            </w:pPr>
            <w:r w:rsidRPr="00A518F9">
              <w:rPr>
                <w:sz w:val="18"/>
                <w:szCs w:val="18"/>
                <w:lang w:val="fr-CH"/>
              </w:rPr>
              <w:t>Distance de coordination (mesurée depuis le centre du faisceau le plus proche)</w:t>
            </w:r>
          </w:p>
        </w:tc>
        <w:tc>
          <w:tcPr>
            <w:tcW w:w="428" w:type="dxa"/>
          </w:tcPr>
          <w:p w:rsidR="002C27CA" w:rsidRPr="00A518F9" w:rsidRDefault="002C27CA" w:rsidP="00F45A74">
            <w:pPr>
              <w:pStyle w:val="Tabletext"/>
              <w:jc w:val="center"/>
              <w:rPr>
                <w:sz w:val="18"/>
                <w:szCs w:val="18"/>
                <w:lang w:val="fr-CH"/>
              </w:rPr>
            </w:pPr>
            <w:r w:rsidRPr="00A518F9">
              <w:rPr>
                <w:sz w:val="18"/>
                <w:szCs w:val="18"/>
                <w:lang w:val="fr-CH"/>
              </w:rPr>
              <w:t>26</w:t>
            </w:r>
          </w:p>
        </w:tc>
        <w:tc>
          <w:tcPr>
            <w:tcW w:w="428" w:type="dxa"/>
          </w:tcPr>
          <w:p w:rsidR="002C27CA" w:rsidRPr="00A518F9" w:rsidRDefault="002C27CA" w:rsidP="00F45A74">
            <w:pPr>
              <w:pStyle w:val="Tabletext"/>
              <w:jc w:val="center"/>
              <w:rPr>
                <w:sz w:val="18"/>
                <w:szCs w:val="18"/>
                <w:lang w:val="fr-CH"/>
              </w:rPr>
            </w:pPr>
            <w:r w:rsidRPr="00A518F9">
              <w:rPr>
                <w:sz w:val="18"/>
                <w:szCs w:val="18"/>
                <w:lang w:val="fr-CH"/>
              </w:rPr>
              <w:t>26</w:t>
            </w:r>
          </w:p>
        </w:tc>
        <w:tc>
          <w:tcPr>
            <w:tcW w:w="428" w:type="dxa"/>
          </w:tcPr>
          <w:p w:rsidR="002C27CA" w:rsidRPr="00A518F9" w:rsidRDefault="002C27CA" w:rsidP="00F45A74">
            <w:pPr>
              <w:pStyle w:val="Tabletext"/>
              <w:jc w:val="center"/>
              <w:rPr>
                <w:sz w:val="18"/>
                <w:szCs w:val="18"/>
                <w:lang w:val="fr-CH"/>
              </w:rPr>
            </w:pPr>
            <w:r w:rsidRPr="00A518F9">
              <w:rPr>
                <w:sz w:val="18"/>
                <w:szCs w:val="18"/>
                <w:lang w:val="fr-CH"/>
              </w:rPr>
              <w:t>26</w:t>
            </w:r>
          </w:p>
        </w:tc>
        <w:tc>
          <w:tcPr>
            <w:tcW w:w="428" w:type="dxa"/>
          </w:tcPr>
          <w:p w:rsidR="002C27CA" w:rsidRPr="00A518F9" w:rsidRDefault="002C27CA" w:rsidP="00F45A74">
            <w:pPr>
              <w:pStyle w:val="Tabletext"/>
              <w:jc w:val="center"/>
              <w:rPr>
                <w:sz w:val="18"/>
                <w:szCs w:val="18"/>
                <w:lang w:val="fr-CH"/>
              </w:rPr>
            </w:pPr>
            <w:r w:rsidRPr="00A518F9">
              <w:rPr>
                <w:sz w:val="18"/>
                <w:szCs w:val="18"/>
                <w:lang w:val="fr-CH"/>
              </w:rPr>
              <w:t>27</w:t>
            </w:r>
          </w:p>
        </w:tc>
        <w:tc>
          <w:tcPr>
            <w:tcW w:w="428" w:type="dxa"/>
          </w:tcPr>
          <w:p w:rsidR="002C27CA" w:rsidRPr="00A518F9" w:rsidRDefault="002C27CA" w:rsidP="00F45A74">
            <w:pPr>
              <w:pStyle w:val="Tabletext"/>
              <w:jc w:val="center"/>
              <w:rPr>
                <w:sz w:val="18"/>
                <w:szCs w:val="18"/>
                <w:lang w:val="fr-CH"/>
              </w:rPr>
            </w:pPr>
            <w:r w:rsidRPr="00A518F9">
              <w:rPr>
                <w:sz w:val="18"/>
                <w:szCs w:val="18"/>
                <w:lang w:val="fr-CH"/>
              </w:rPr>
              <w:t>27</w:t>
            </w:r>
          </w:p>
        </w:tc>
        <w:tc>
          <w:tcPr>
            <w:tcW w:w="428" w:type="dxa"/>
          </w:tcPr>
          <w:p w:rsidR="002C27CA" w:rsidRPr="00A518F9" w:rsidRDefault="002C27CA" w:rsidP="00F45A74">
            <w:pPr>
              <w:pStyle w:val="Tabletext"/>
              <w:jc w:val="center"/>
              <w:rPr>
                <w:sz w:val="18"/>
                <w:szCs w:val="18"/>
                <w:lang w:val="fr-CH"/>
              </w:rPr>
            </w:pPr>
            <w:r w:rsidRPr="00A518F9">
              <w:rPr>
                <w:sz w:val="18"/>
                <w:szCs w:val="18"/>
                <w:lang w:val="fr-CH"/>
              </w:rPr>
              <w:t>28</w:t>
            </w:r>
          </w:p>
        </w:tc>
        <w:tc>
          <w:tcPr>
            <w:tcW w:w="429" w:type="dxa"/>
          </w:tcPr>
          <w:p w:rsidR="002C27CA" w:rsidRPr="00A518F9" w:rsidRDefault="002C27CA" w:rsidP="00F45A74">
            <w:pPr>
              <w:pStyle w:val="Tabletext"/>
              <w:jc w:val="center"/>
              <w:rPr>
                <w:sz w:val="18"/>
                <w:szCs w:val="18"/>
                <w:lang w:val="fr-CH"/>
              </w:rPr>
            </w:pPr>
            <w:r w:rsidRPr="00A518F9">
              <w:rPr>
                <w:sz w:val="18"/>
                <w:szCs w:val="18"/>
                <w:lang w:val="fr-CH"/>
              </w:rPr>
              <w:t>29</w:t>
            </w:r>
          </w:p>
        </w:tc>
        <w:tc>
          <w:tcPr>
            <w:tcW w:w="429" w:type="dxa"/>
          </w:tcPr>
          <w:p w:rsidR="002C27CA" w:rsidRPr="00A518F9" w:rsidRDefault="002C27CA" w:rsidP="00F45A74">
            <w:pPr>
              <w:pStyle w:val="Tabletext"/>
              <w:jc w:val="center"/>
              <w:rPr>
                <w:sz w:val="18"/>
                <w:szCs w:val="18"/>
                <w:lang w:val="fr-CH"/>
              </w:rPr>
            </w:pPr>
            <w:r w:rsidRPr="00A518F9">
              <w:rPr>
                <w:sz w:val="18"/>
                <w:szCs w:val="18"/>
                <w:lang w:val="fr-CH"/>
              </w:rPr>
              <w:t>30</w:t>
            </w:r>
          </w:p>
        </w:tc>
        <w:tc>
          <w:tcPr>
            <w:tcW w:w="429" w:type="dxa"/>
          </w:tcPr>
          <w:p w:rsidR="002C27CA" w:rsidRPr="00A518F9" w:rsidRDefault="002C27CA" w:rsidP="00F45A74">
            <w:pPr>
              <w:pStyle w:val="Tabletext"/>
              <w:jc w:val="center"/>
              <w:rPr>
                <w:sz w:val="18"/>
                <w:szCs w:val="18"/>
                <w:lang w:val="fr-CH"/>
              </w:rPr>
            </w:pPr>
            <w:r w:rsidRPr="00A518F9">
              <w:rPr>
                <w:sz w:val="18"/>
                <w:szCs w:val="18"/>
                <w:lang w:val="fr-CH"/>
              </w:rPr>
              <w:t>33</w:t>
            </w:r>
          </w:p>
        </w:tc>
        <w:tc>
          <w:tcPr>
            <w:tcW w:w="429" w:type="dxa"/>
          </w:tcPr>
          <w:p w:rsidR="002C27CA" w:rsidRPr="00A518F9" w:rsidRDefault="002C27CA" w:rsidP="00F45A74">
            <w:pPr>
              <w:pStyle w:val="Tabletext"/>
              <w:jc w:val="center"/>
              <w:rPr>
                <w:sz w:val="18"/>
                <w:szCs w:val="18"/>
                <w:lang w:val="fr-CH"/>
              </w:rPr>
            </w:pPr>
            <w:r w:rsidRPr="00A518F9">
              <w:rPr>
                <w:sz w:val="18"/>
                <w:szCs w:val="18"/>
                <w:lang w:val="fr-CH"/>
              </w:rPr>
              <w:t>37</w:t>
            </w:r>
          </w:p>
        </w:tc>
        <w:tc>
          <w:tcPr>
            <w:tcW w:w="429" w:type="dxa"/>
          </w:tcPr>
          <w:p w:rsidR="002C27CA" w:rsidRPr="00A518F9" w:rsidRDefault="002C27CA" w:rsidP="00F45A74">
            <w:pPr>
              <w:pStyle w:val="Tabletext"/>
              <w:jc w:val="center"/>
              <w:rPr>
                <w:sz w:val="18"/>
                <w:szCs w:val="18"/>
                <w:lang w:val="fr-CH"/>
              </w:rPr>
            </w:pPr>
            <w:r w:rsidRPr="00A518F9">
              <w:rPr>
                <w:sz w:val="18"/>
                <w:szCs w:val="18"/>
                <w:lang w:val="fr-CH"/>
              </w:rPr>
              <w:t>43</w:t>
            </w:r>
          </w:p>
        </w:tc>
        <w:tc>
          <w:tcPr>
            <w:tcW w:w="529" w:type="dxa"/>
          </w:tcPr>
          <w:p w:rsidR="002C27CA" w:rsidRPr="00A518F9" w:rsidRDefault="002C27CA" w:rsidP="00F45A74">
            <w:pPr>
              <w:pStyle w:val="Tabletext"/>
              <w:jc w:val="center"/>
              <w:rPr>
                <w:sz w:val="18"/>
                <w:szCs w:val="18"/>
                <w:lang w:val="fr-CH"/>
              </w:rPr>
            </w:pPr>
            <w:r w:rsidRPr="00A518F9">
              <w:rPr>
                <w:sz w:val="18"/>
                <w:szCs w:val="18"/>
                <w:lang w:val="fr-CH"/>
              </w:rPr>
              <w:t>52</w:t>
            </w:r>
          </w:p>
        </w:tc>
        <w:tc>
          <w:tcPr>
            <w:tcW w:w="529" w:type="dxa"/>
          </w:tcPr>
          <w:p w:rsidR="002C27CA" w:rsidRPr="00A518F9" w:rsidRDefault="002C27CA" w:rsidP="00F45A74">
            <w:pPr>
              <w:pStyle w:val="Tabletext"/>
              <w:jc w:val="center"/>
              <w:rPr>
                <w:sz w:val="18"/>
                <w:szCs w:val="18"/>
                <w:lang w:val="fr-CH"/>
              </w:rPr>
            </w:pPr>
            <w:r w:rsidRPr="00A518F9">
              <w:rPr>
                <w:sz w:val="18"/>
                <w:szCs w:val="18"/>
                <w:lang w:val="fr-CH"/>
              </w:rPr>
              <w:t>65</w:t>
            </w:r>
          </w:p>
        </w:tc>
        <w:tc>
          <w:tcPr>
            <w:tcW w:w="529" w:type="dxa"/>
          </w:tcPr>
          <w:p w:rsidR="002C27CA" w:rsidRPr="00A518F9" w:rsidRDefault="002C27CA" w:rsidP="00F45A74">
            <w:pPr>
              <w:pStyle w:val="Tabletext"/>
              <w:jc w:val="center"/>
              <w:rPr>
                <w:sz w:val="18"/>
                <w:szCs w:val="18"/>
                <w:lang w:val="fr-CH"/>
              </w:rPr>
            </w:pPr>
            <w:r w:rsidRPr="00A518F9">
              <w:rPr>
                <w:sz w:val="18"/>
                <w:szCs w:val="18"/>
                <w:lang w:val="fr-CH"/>
              </w:rPr>
              <w:t>86</w:t>
            </w:r>
          </w:p>
        </w:tc>
        <w:tc>
          <w:tcPr>
            <w:tcW w:w="529" w:type="dxa"/>
          </w:tcPr>
          <w:p w:rsidR="002C27CA" w:rsidRPr="00A518F9" w:rsidRDefault="002C27CA" w:rsidP="00F45A74">
            <w:pPr>
              <w:pStyle w:val="Tabletext"/>
              <w:jc w:val="center"/>
              <w:rPr>
                <w:sz w:val="18"/>
                <w:szCs w:val="18"/>
                <w:lang w:val="fr-CH"/>
              </w:rPr>
            </w:pPr>
            <w:r w:rsidRPr="00A518F9">
              <w:rPr>
                <w:sz w:val="18"/>
                <w:szCs w:val="18"/>
                <w:lang w:val="fr-CH"/>
              </w:rPr>
              <w:t>118</w:t>
            </w:r>
          </w:p>
        </w:tc>
        <w:tc>
          <w:tcPr>
            <w:tcW w:w="529" w:type="dxa"/>
          </w:tcPr>
          <w:p w:rsidR="002C27CA" w:rsidRPr="00A518F9" w:rsidRDefault="002C27CA" w:rsidP="00F45A74">
            <w:pPr>
              <w:pStyle w:val="Tabletext"/>
              <w:jc w:val="center"/>
              <w:rPr>
                <w:sz w:val="18"/>
                <w:szCs w:val="18"/>
                <w:lang w:val="fr-CH"/>
              </w:rPr>
            </w:pPr>
            <w:r w:rsidRPr="00A518F9">
              <w:rPr>
                <w:sz w:val="18"/>
                <w:szCs w:val="18"/>
                <w:lang w:val="fr-CH"/>
              </w:rPr>
              <w:t>167</w:t>
            </w:r>
          </w:p>
        </w:tc>
        <w:tc>
          <w:tcPr>
            <w:tcW w:w="529" w:type="dxa"/>
          </w:tcPr>
          <w:p w:rsidR="002C27CA" w:rsidRPr="00A518F9" w:rsidRDefault="002C27CA" w:rsidP="00F45A74">
            <w:pPr>
              <w:pStyle w:val="Tabletext"/>
              <w:jc w:val="center"/>
              <w:rPr>
                <w:sz w:val="18"/>
                <w:szCs w:val="18"/>
                <w:lang w:val="fr-CH"/>
              </w:rPr>
            </w:pPr>
            <w:r w:rsidRPr="00A518F9">
              <w:rPr>
                <w:sz w:val="18"/>
                <w:szCs w:val="18"/>
                <w:lang w:val="fr-CH"/>
              </w:rPr>
              <w:t>246</w:t>
            </w:r>
          </w:p>
        </w:tc>
        <w:tc>
          <w:tcPr>
            <w:tcW w:w="529" w:type="dxa"/>
          </w:tcPr>
          <w:p w:rsidR="002C27CA" w:rsidRPr="00A518F9" w:rsidRDefault="002C27CA" w:rsidP="00F45A74">
            <w:pPr>
              <w:pStyle w:val="Tabletext"/>
              <w:jc w:val="center"/>
              <w:rPr>
                <w:sz w:val="18"/>
                <w:szCs w:val="18"/>
                <w:lang w:val="fr-CH"/>
              </w:rPr>
            </w:pPr>
            <w:r w:rsidRPr="00A518F9">
              <w:rPr>
                <w:sz w:val="18"/>
                <w:szCs w:val="18"/>
                <w:lang w:val="fr-CH"/>
              </w:rPr>
              <w:t>371</w:t>
            </w:r>
          </w:p>
        </w:tc>
      </w:tr>
    </w:tbl>
    <w:p w:rsidR="002C27CA" w:rsidRPr="00A518F9" w:rsidRDefault="002C27CA" w:rsidP="002C27CA">
      <w:pPr>
        <w:pStyle w:val="Tablefin"/>
        <w:rPr>
          <w:lang w:val="fr-CH"/>
        </w:rPr>
      </w:pPr>
    </w:p>
    <w:p w:rsidR="002C27CA" w:rsidRPr="00A518F9" w:rsidRDefault="002C27CA" w:rsidP="002C27CA">
      <w:pPr>
        <w:rPr>
          <w:lang w:val="fr-CH"/>
        </w:rPr>
      </w:pPr>
      <w:r w:rsidRPr="00A518F9">
        <w:rPr>
          <w:lang w:val="fr-CH"/>
        </w:rPr>
        <w:t xml:space="preserve">Si le nombre de faisceaux du système HAPS brouilleur est différent de 700, ou si le critère de brouillage admissible n'est pas le critère </w:t>
      </w:r>
      <w:r w:rsidRPr="00A518F9">
        <w:rPr>
          <w:i/>
          <w:iCs/>
          <w:lang w:val="fr-CH"/>
        </w:rPr>
        <w:t>I</w:t>
      </w:r>
      <w:r w:rsidRPr="00A518F9">
        <w:rPr>
          <w:lang w:val="fr-CH"/>
        </w:rPr>
        <w:t>/</w:t>
      </w:r>
      <w:r w:rsidRPr="00A518F9">
        <w:rPr>
          <w:i/>
          <w:iCs/>
          <w:lang w:val="fr-CH"/>
        </w:rPr>
        <w:t>N</w:t>
      </w:r>
      <w:r w:rsidRPr="00A518F9">
        <w:rPr>
          <w:lang w:val="fr-CH"/>
        </w:rPr>
        <w:t xml:space="preserve"> = –</w:t>
      </w:r>
      <w:r w:rsidRPr="00A518F9">
        <w:rPr>
          <w:sz w:val="4"/>
          <w:lang w:val="fr-CH"/>
        </w:rPr>
        <w:t> </w:t>
      </w:r>
      <w:r w:rsidRPr="00A518F9">
        <w:rPr>
          <w:lang w:val="fr-CH"/>
        </w:rPr>
        <w:t>10 dB utilisé ci-dessus, l'équation (22) doit être utilisée pour la détermination de la distance minimale de coordination.</w:t>
      </w:r>
    </w:p>
    <w:p w:rsidR="002C27CA" w:rsidRPr="00A518F9" w:rsidRDefault="002C27CA" w:rsidP="002C27CA">
      <w:pPr>
        <w:pStyle w:val="Heading2"/>
        <w:rPr>
          <w:lang w:val="fr-CH"/>
        </w:rPr>
      </w:pPr>
      <w:r w:rsidRPr="00A518F9">
        <w:rPr>
          <w:lang w:val="fr-CH"/>
        </w:rPr>
        <w:lastRenderedPageBreak/>
        <w:t>2.4</w:t>
      </w:r>
      <w:r w:rsidRPr="00A518F9">
        <w:rPr>
          <w:lang w:val="fr-CH"/>
        </w:rPr>
        <w:tab/>
        <w:t>Brouillage des stations de base AMRC DT par un système HAPS</w:t>
      </w:r>
    </w:p>
    <w:p w:rsidR="002C27CA" w:rsidRPr="00A518F9" w:rsidRDefault="002C27CA" w:rsidP="002C27CA">
      <w:pPr>
        <w:rPr>
          <w:lang w:val="fr-CH"/>
        </w:rPr>
      </w:pPr>
      <w:r w:rsidRPr="00A518F9">
        <w:rPr>
          <w:lang w:val="fr-CH"/>
        </w:rPr>
        <w:t>Il existe deux types d'antennes de station de base à savoir le type équidirectif et le type sectoriel. Les antennes types équidirectives de station de base ont un gain crête horizontal d'environ 15 dBi, et une ouverture verticale de faisceau à 3 dB d'environ 5,1</w:t>
      </w:r>
      <w:r w:rsidRPr="00A518F9">
        <w:rPr>
          <w:vertAlign w:val="superscript"/>
          <w:lang w:val="fr-CH"/>
        </w:rPr>
        <w:t>o</w:t>
      </w:r>
      <w:r w:rsidRPr="00A518F9">
        <w:rPr>
          <w:lang w:val="fr-CH"/>
        </w:rPr>
        <w:t>. En ce qui concerne les antennes sectorielles, un exemple type est une antenne sectorielle de 90</w:t>
      </w:r>
      <w:r w:rsidRPr="00A518F9">
        <w:rPr>
          <w:vertAlign w:val="superscript"/>
          <w:lang w:val="fr-CH"/>
        </w:rPr>
        <w:t>o</w:t>
      </w:r>
      <w:r w:rsidRPr="00A518F9">
        <w:rPr>
          <w:lang w:val="fr-CH"/>
        </w:rPr>
        <w:t xml:space="preserve"> avec une ouverture de faisceau à 3 dB de 90° dans le plan horizontal (azimutal) et une ouverture de faisceau de 2,5</w:t>
      </w:r>
      <w:r w:rsidRPr="00A518F9">
        <w:rPr>
          <w:vertAlign w:val="superscript"/>
          <w:lang w:val="fr-CH"/>
        </w:rPr>
        <w:t>o</w:t>
      </w:r>
      <w:r w:rsidRPr="00A518F9">
        <w:rPr>
          <w:lang w:val="fr-CH"/>
        </w:rPr>
        <w:t xml:space="preserve"> dans le plan d'élévation pour un gain crête de 21,5 dBi. Compte tenu de la très faible ouverture de faisceau des antennes sectorielles, même si la station de base brouillée se trouve à un angle d'élévation de 5° par rapport au système HAPS, avec son antenne sectorielle pointant en direction du système HAPS, le gain crête apparent d'antenne pour l'antenne sectorielle sera toujours négatif. Pour des angles d'élévation plus grands, le gain effectif d'antenne devient fortement négatif. On peut donc s'attendre à ce que la distance de coordination soit beaucoup plus faible en général entre les systèmes HAPS et les stations de base équipées d'antennes sectorielles. Pour cette raison, seules les antennes équidirectives seront prises en considération dans la suite de la présente Recommandation.</w:t>
      </w:r>
    </w:p>
    <w:p w:rsidR="002C27CA" w:rsidRPr="00A518F9" w:rsidRDefault="002C27CA" w:rsidP="00F45A74">
      <w:pPr>
        <w:tabs>
          <w:tab w:val="left" w:pos="360"/>
        </w:tabs>
        <w:rPr>
          <w:lang w:val="fr-CH"/>
        </w:rPr>
      </w:pPr>
      <w:r w:rsidRPr="00A518F9">
        <w:rPr>
          <w:lang w:val="fr-CH"/>
        </w:rPr>
        <w:t>Les diagrammes de rayonnement d'antenne utilisés pour la présente étude sont conformes aux diagrammes de référence des antennes équidirectives ou sectorielles pour les systèmes point à multipoint utilisés dans les études de partage dans la plage 1-50 GHz</w:t>
      </w:r>
      <w:r w:rsidR="00F45A74" w:rsidRPr="00A518F9">
        <w:rPr>
          <w:lang w:val="fr-CH"/>
        </w:rPr>
        <w:t xml:space="preserve"> </w:t>
      </w:r>
      <w:r w:rsidRPr="00A518F9">
        <w:rPr>
          <w:lang w:val="fr-CH"/>
        </w:rPr>
        <w:t>(voir la Recommandation UIT-R F.1336).</w:t>
      </w:r>
    </w:p>
    <w:p w:rsidR="002C27CA" w:rsidRPr="00A518F9" w:rsidRDefault="002C27CA" w:rsidP="002C27CA">
      <w:pPr>
        <w:rPr>
          <w:lang w:val="fr-CH"/>
        </w:rPr>
      </w:pPr>
      <w:r w:rsidRPr="00A518F9">
        <w:rPr>
          <w:lang w:val="fr-CH"/>
        </w:rPr>
        <w:t>Dans le mode DRF, une station de base IMT-2000 HAPS ne causera pas de brouillage cocanal dans une station de base sur tour exploitée dans les bandes utilisées par les IMT-2000 terrestres. De même, les stations mobiles HAPS fonctionnant dans les bandes utilisées par les IMT-2000 terrestres ne peuvent pas provoquer de brouillage cocanal à une station mobile d'un système à tour fonctionnant sur le même spectre. La puissance brouilleuse reçue par l'antenne de la station de base brouillée depuis le système HAPS peut s'écrire comme suit:</w:t>
      </w:r>
    </w:p>
    <w:p w:rsidR="002C27CA" w:rsidRPr="00A518F9" w:rsidRDefault="002C27CA" w:rsidP="002C27CA">
      <w:pPr>
        <w:pStyle w:val="Blanc"/>
        <w:rPr>
          <w:lang w:val="fr-CH"/>
        </w:rPr>
      </w:pPr>
    </w:p>
    <w:p w:rsidR="002C27CA" w:rsidRPr="00CE4453" w:rsidRDefault="002C27CA" w:rsidP="002C27CA">
      <w:pPr>
        <w:pStyle w:val="Equation"/>
        <w:rPr>
          <w:lang w:val="en-US"/>
        </w:rPr>
      </w:pPr>
      <w:r w:rsidRPr="00A518F9">
        <w:rPr>
          <w:lang w:val="fr-CH"/>
        </w:rPr>
        <w:tab/>
      </w:r>
      <w:r w:rsidRPr="00A518F9">
        <w:rPr>
          <w:lang w:val="fr-CH"/>
        </w:rPr>
        <w:tab/>
      </w:r>
      <w:r w:rsidRPr="00CE4453">
        <w:rPr>
          <w:i/>
          <w:lang w:val="en-US"/>
        </w:rPr>
        <w:t>I</w:t>
      </w:r>
      <w:r w:rsidRPr="00CE4453">
        <w:rPr>
          <w:i/>
          <w:iCs/>
          <w:vertAlign w:val="subscript"/>
          <w:lang w:val="en-US"/>
        </w:rPr>
        <w:t>victime</w:t>
      </w:r>
      <w:r w:rsidRPr="00CE4453">
        <w:rPr>
          <w:lang w:val="en-US"/>
        </w:rPr>
        <w:t xml:space="preserve">  =  </w:t>
      </w:r>
      <w:r w:rsidRPr="00CE4453">
        <w:rPr>
          <w:i/>
          <w:iCs/>
          <w:lang w:val="en-US"/>
        </w:rPr>
        <w:t>dfp</w:t>
      </w:r>
      <w:r w:rsidRPr="00CE4453">
        <w:rPr>
          <w:i/>
          <w:iCs/>
          <w:vertAlign w:val="subscript"/>
          <w:lang w:val="en-US"/>
        </w:rPr>
        <w:t>HAPS</w:t>
      </w:r>
      <w:r w:rsidRPr="00CE4453">
        <w:rPr>
          <w:lang w:val="en-US"/>
        </w:rPr>
        <w:t>(</w:t>
      </w:r>
      <w:r w:rsidRPr="00A518F9">
        <w:rPr>
          <w:lang w:val="fr-CH"/>
        </w:rPr>
        <w:t>θ</w:t>
      </w:r>
      <w:r w:rsidRPr="00CE4453">
        <w:rPr>
          <w:lang w:val="en-US"/>
        </w:rPr>
        <w:t xml:space="preserve">)  +  </w:t>
      </w:r>
      <w:r w:rsidRPr="00CE4453">
        <w:rPr>
          <w:i/>
          <w:lang w:val="en-US"/>
        </w:rPr>
        <w:t>G</w:t>
      </w:r>
      <w:r w:rsidRPr="00CE4453">
        <w:rPr>
          <w:i/>
          <w:iCs/>
          <w:vertAlign w:val="subscript"/>
          <w:lang w:val="en-US"/>
        </w:rPr>
        <w:t>victime</w:t>
      </w:r>
      <w:r w:rsidRPr="00CE4453">
        <w:rPr>
          <w:lang w:val="en-US"/>
        </w:rPr>
        <w:t>(</w:t>
      </w:r>
      <w:r w:rsidRPr="00A518F9">
        <w:rPr>
          <w:lang w:val="fr-CH"/>
        </w:rPr>
        <w:sym w:font="Symbol" w:char="F06A"/>
      </w:r>
      <w:r w:rsidRPr="00CE4453">
        <w:rPr>
          <w:lang w:val="en-US"/>
        </w:rPr>
        <w:t xml:space="preserve">)  +  </w:t>
      </w:r>
      <w:r w:rsidRPr="00CE4453">
        <w:rPr>
          <w:i/>
          <w:iCs/>
          <w:lang w:val="en-US"/>
        </w:rPr>
        <w:t>Area</w:t>
      </w:r>
      <w:r w:rsidRPr="00CE4453">
        <w:rPr>
          <w:vertAlign w:val="subscript"/>
          <w:lang w:val="en-US"/>
        </w:rPr>
        <w:t>0</w:t>
      </w:r>
      <w:r w:rsidRPr="00CE4453">
        <w:rPr>
          <w:lang w:val="en-US"/>
        </w:rPr>
        <w:t xml:space="preserve">  –  </w:t>
      </w:r>
      <w:r w:rsidRPr="00A518F9">
        <w:rPr>
          <w:lang w:val="fr-CH"/>
        </w:rPr>
        <w:sym w:font="Symbol" w:char="F064"/>
      </w:r>
      <w:r w:rsidRPr="00CE4453">
        <w:rPr>
          <w:lang w:val="en-US"/>
        </w:rPr>
        <w:t xml:space="preserve"> </w:t>
      </w:r>
      <w:r w:rsidRPr="00CE4453">
        <w:rPr>
          <w:i/>
          <w:iCs/>
          <w:lang w:val="en-US"/>
        </w:rPr>
        <w:t>FSL</w:t>
      </w:r>
      <w:r w:rsidRPr="00CE4453">
        <w:rPr>
          <w:lang w:val="en-US"/>
        </w:rPr>
        <w:t>(</w:t>
      </w:r>
      <w:r w:rsidRPr="00A518F9">
        <w:rPr>
          <w:lang w:val="fr-CH"/>
        </w:rPr>
        <w:t>θ</w:t>
      </w:r>
      <w:r w:rsidRPr="00CE4453">
        <w:rPr>
          <w:vertAlign w:val="subscript"/>
          <w:lang w:val="en-US"/>
        </w:rPr>
        <w:t>0</w:t>
      </w:r>
      <w:r w:rsidRPr="00CE4453">
        <w:rPr>
          <w:lang w:val="en-US"/>
        </w:rPr>
        <w:t xml:space="preserve">, </w:t>
      </w:r>
      <w:r w:rsidRPr="00A518F9">
        <w:rPr>
          <w:lang w:val="fr-CH"/>
        </w:rPr>
        <w:t>θ</w:t>
      </w:r>
      <w:r w:rsidRPr="00CE4453">
        <w:rPr>
          <w:lang w:val="en-US"/>
        </w:rPr>
        <w:t>)</w:t>
      </w:r>
      <w:r w:rsidRPr="00CE4453">
        <w:rPr>
          <w:lang w:val="en-US"/>
        </w:rPr>
        <w:tab/>
        <w:t>(23)</w:t>
      </w:r>
    </w:p>
    <w:p w:rsidR="002C27CA" w:rsidRPr="00CE4453" w:rsidRDefault="002C27CA" w:rsidP="002C27CA">
      <w:pPr>
        <w:pStyle w:val="Blanc"/>
        <w:rPr>
          <w:lang w:val="en-US"/>
        </w:rPr>
      </w:pPr>
    </w:p>
    <w:p w:rsidR="002C27CA" w:rsidRPr="00A518F9" w:rsidRDefault="002C27CA" w:rsidP="002C27CA">
      <w:pPr>
        <w:rPr>
          <w:lang w:val="fr-CH"/>
        </w:rPr>
      </w:pPr>
      <w:r w:rsidRPr="00A518F9">
        <w:rPr>
          <w:lang w:val="fr-CH"/>
        </w:rPr>
        <w:t xml:space="preserve">où </w:t>
      </w:r>
      <w:r w:rsidRPr="00A518F9">
        <w:rPr>
          <w:i/>
          <w:iCs/>
          <w:lang w:val="fr-CH"/>
        </w:rPr>
        <w:t>Area</w:t>
      </w:r>
      <w:r w:rsidRPr="00A518F9">
        <w:rPr>
          <w:vertAlign w:val="subscript"/>
          <w:lang w:val="fr-CH"/>
        </w:rPr>
        <w:t>0</w:t>
      </w:r>
      <w:r w:rsidRPr="00A518F9">
        <w:rPr>
          <w:lang w:val="fr-CH"/>
        </w:rPr>
        <w:t xml:space="preserve"> est l'ouverture apparente d'antenne de –</w:t>
      </w:r>
      <w:r w:rsidRPr="00A518F9">
        <w:rPr>
          <w:sz w:val="4"/>
          <w:lang w:val="fr-CH"/>
        </w:rPr>
        <w:t> </w:t>
      </w:r>
      <w:r w:rsidRPr="00A518F9">
        <w:rPr>
          <w:lang w:val="fr-CH"/>
        </w:rPr>
        <w:t>27,5 dB(m</w:t>
      </w:r>
      <w:r w:rsidRPr="00A518F9">
        <w:rPr>
          <w:vertAlign w:val="superscript"/>
          <w:lang w:val="fr-CH"/>
        </w:rPr>
        <w:t>2</w:t>
      </w:r>
      <w:r w:rsidRPr="00A518F9">
        <w:rPr>
          <w:lang w:val="fr-CH"/>
        </w:rPr>
        <w:t>) pour l'antenne de portable ayant un gain de 0 dBi.</w:t>
      </w:r>
    </w:p>
    <w:p w:rsidR="002C27CA" w:rsidRPr="00A518F9" w:rsidRDefault="002C27CA" w:rsidP="002C27CA">
      <w:pPr>
        <w:rPr>
          <w:lang w:val="fr-CH"/>
        </w:rPr>
      </w:pPr>
      <w:r w:rsidRPr="00A518F9">
        <w:rPr>
          <w:lang w:val="fr-CH"/>
        </w:rPr>
        <w:t>Ce qui donne</w:t>
      </w:r>
    </w:p>
    <w:p w:rsidR="002C27CA" w:rsidRPr="00A518F9" w:rsidRDefault="002C27CA" w:rsidP="002C27CA">
      <w:pPr>
        <w:pStyle w:val="Blanc"/>
        <w:rPr>
          <w:lang w:val="fr-CH"/>
        </w:rPr>
      </w:pPr>
    </w:p>
    <w:p w:rsidR="002C27CA" w:rsidRPr="00A518F9" w:rsidRDefault="002C27CA" w:rsidP="002C27CA">
      <w:pPr>
        <w:pStyle w:val="Equation"/>
        <w:rPr>
          <w:lang w:val="fr-CH"/>
        </w:rPr>
      </w:pPr>
      <w:r w:rsidRPr="00A518F9">
        <w:rPr>
          <w:lang w:val="fr-CH"/>
        </w:rPr>
        <w:tab/>
      </w:r>
      <w:r w:rsidRPr="00A518F9">
        <w:rPr>
          <w:lang w:val="fr-CH"/>
        </w:rPr>
        <w:tab/>
        <w:t>(</w:t>
      </w:r>
      <w:r w:rsidRPr="00A518F9">
        <w:rPr>
          <w:i/>
          <w:iCs/>
          <w:lang w:val="fr-CH"/>
        </w:rPr>
        <w:t>I</w:t>
      </w:r>
      <w:r w:rsidRPr="00A518F9">
        <w:rPr>
          <w:i/>
          <w:iCs/>
          <w:vertAlign w:val="subscript"/>
          <w:lang w:val="fr-CH"/>
        </w:rPr>
        <w:t>reçue</w:t>
      </w:r>
      <w:r w:rsidRPr="00A518F9">
        <w:rPr>
          <w:lang w:val="fr-CH"/>
        </w:rPr>
        <w:t>/</w:t>
      </w:r>
      <w:r w:rsidRPr="00A518F9">
        <w:rPr>
          <w:i/>
          <w:iCs/>
          <w:lang w:val="fr-CH"/>
        </w:rPr>
        <w:t>N</w:t>
      </w:r>
      <w:r w:rsidRPr="00A518F9">
        <w:rPr>
          <w:lang w:val="fr-CH"/>
        </w:rPr>
        <w:t>)  =  (</w:t>
      </w:r>
      <w:r w:rsidRPr="00A518F9">
        <w:rPr>
          <w:i/>
          <w:iCs/>
          <w:lang w:val="fr-CH"/>
        </w:rPr>
        <w:t>I</w:t>
      </w:r>
      <w:r w:rsidRPr="00A518F9">
        <w:rPr>
          <w:i/>
          <w:iCs/>
          <w:vertAlign w:val="subscript"/>
          <w:lang w:val="fr-CH"/>
        </w:rPr>
        <w:t>reçue</w:t>
      </w:r>
      <w:r w:rsidRPr="00A518F9">
        <w:rPr>
          <w:lang w:val="fr-CH"/>
        </w:rPr>
        <w:t>/</w:t>
      </w:r>
      <w:r w:rsidRPr="00A518F9">
        <w:rPr>
          <w:i/>
          <w:iCs/>
          <w:lang w:val="fr-CH"/>
        </w:rPr>
        <w:t>N</w:t>
      </w:r>
      <w:r w:rsidRPr="00A518F9">
        <w:rPr>
          <w:lang w:val="fr-CH"/>
        </w:rPr>
        <w:t>)</w:t>
      </w:r>
      <w:r w:rsidRPr="00A518F9">
        <w:rPr>
          <w:i/>
          <w:iCs/>
          <w:vertAlign w:val="subscript"/>
          <w:lang w:val="fr-CH"/>
        </w:rPr>
        <w:t>centre</w:t>
      </w:r>
      <w:r w:rsidRPr="00A518F9">
        <w:rPr>
          <w:lang w:val="fr-CH"/>
        </w:rPr>
        <w:t xml:space="preserve">  +  </w:t>
      </w:r>
      <w:r w:rsidRPr="00A518F9">
        <w:rPr>
          <w:lang w:val="fr-CH"/>
        </w:rPr>
        <w:sym w:font="Symbol" w:char="F064"/>
      </w:r>
      <w:r w:rsidRPr="00A518F9">
        <w:rPr>
          <w:lang w:val="fr-CH"/>
        </w:rPr>
        <w:t xml:space="preserve"> </w:t>
      </w:r>
      <w:r w:rsidRPr="00A518F9">
        <w:rPr>
          <w:i/>
          <w:iCs/>
          <w:lang w:val="fr-CH"/>
        </w:rPr>
        <w:t>G</w:t>
      </w:r>
      <w:r w:rsidRPr="00A518F9">
        <w:rPr>
          <w:lang w:val="fr-CH"/>
        </w:rPr>
        <w:t>(θ  –  θ</w:t>
      </w:r>
      <w:r w:rsidRPr="00A518F9">
        <w:rPr>
          <w:vertAlign w:val="subscript"/>
          <w:lang w:val="fr-CH"/>
        </w:rPr>
        <w:t>0</w:t>
      </w:r>
      <w:r w:rsidRPr="00A518F9">
        <w:rPr>
          <w:lang w:val="fr-CH"/>
        </w:rPr>
        <w:t xml:space="preserve">)  –  </w:t>
      </w:r>
      <w:r w:rsidRPr="00A518F9">
        <w:rPr>
          <w:lang w:val="fr-CH"/>
        </w:rPr>
        <w:sym w:font="Symbol" w:char="F064"/>
      </w:r>
      <w:r w:rsidRPr="00A518F9">
        <w:rPr>
          <w:lang w:val="fr-CH"/>
        </w:rPr>
        <w:t xml:space="preserve"> </w:t>
      </w:r>
      <w:r w:rsidRPr="00A518F9">
        <w:rPr>
          <w:i/>
          <w:iCs/>
          <w:lang w:val="fr-CH"/>
        </w:rPr>
        <w:t>FSL</w:t>
      </w:r>
      <w:r w:rsidRPr="00A518F9">
        <w:rPr>
          <w:lang w:val="fr-CH"/>
        </w:rPr>
        <w:t xml:space="preserve">(θ)  +  </w:t>
      </w:r>
      <w:r w:rsidRPr="00A518F9">
        <w:rPr>
          <w:i/>
          <w:iCs/>
          <w:lang w:val="fr-CH"/>
        </w:rPr>
        <w:t>G</w:t>
      </w:r>
      <w:r w:rsidRPr="00A518F9">
        <w:rPr>
          <w:i/>
          <w:iCs/>
          <w:vertAlign w:val="subscript"/>
          <w:lang w:val="fr-CH"/>
        </w:rPr>
        <w:t>victime</w:t>
      </w:r>
      <w:r w:rsidRPr="00A518F9">
        <w:rPr>
          <w:lang w:val="fr-CH"/>
        </w:rPr>
        <w:t>(</w:t>
      </w:r>
      <w:r w:rsidRPr="00A518F9">
        <w:rPr>
          <w:lang w:val="fr-CH"/>
        </w:rPr>
        <w:sym w:font="Symbol" w:char="F06A"/>
      </w:r>
      <w:r w:rsidRPr="00A518F9">
        <w:rPr>
          <w:lang w:val="fr-CH"/>
        </w:rPr>
        <w:t>)</w:t>
      </w:r>
      <w:r w:rsidRPr="00A518F9">
        <w:rPr>
          <w:lang w:val="fr-CH"/>
        </w:rPr>
        <w:tab/>
        <w:t>(24)</w:t>
      </w:r>
    </w:p>
    <w:p w:rsidR="002C27CA" w:rsidRPr="00A518F9" w:rsidRDefault="002C27CA" w:rsidP="002C27CA">
      <w:pPr>
        <w:pStyle w:val="Blanc"/>
        <w:rPr>
          <w:lang w:val="fr-CH"/>
        </w:rPr>
      </w:pPr>
    </w:p>
    <w:p w:rsidR="002C27CA" w:rsidRPr="00A518F9" w:rsidRDefault="002C27CA" w:rsidP="002C27CA">
      <w:pPr>
        <w:rPr>
          <w:lang w:val="fr-CH"/>
        </w:rPr>
      </w:pPr>
      <w:r w:rsidRPr="00A518F9">
        <w:rPr>
          <w:lang w:val="fr-CH"/>
        </w:rPr>
        <w:t xml:space="preserve">où </w:t>
      </w:r>
      <w:r w:rsidRPr="00A518F9">
        <w:rPr>
          <w:lang w:val="fr-CH"/>
        </w:rPr>
        <w:sym w:font="Symbol" w:char="F06A"/>
      </w:r>
      <w:r w:rsidRPr="00A518F9">
        <w:rPr>
          <w:lang w:val="fr-CH"/>
        </w:rPr>
        <w:t xml:space="preserve"> est l'angle d'élévation de la station de base relativement au système HAPS. Pour une antenne de station de base avec une inclinaison vers le bas finie, le plan d'élévation de l'antenne ne se trouve plus dans le plan horizontal. Pour des antennes sectorielles de station de base, on suppose que l'antenne pointe dans la direction du nadir du système HAPS. Etant donné que l'inclinaison vers le bas diminue la probabilité de réception des brouillages en provenance du système HAPS, on ne prendra pas en considération les angles d'inclinaison vers le bas. Cela conduit à </w:t>
      </w:r>
      <w:r w:rsidRPr="00A518F9">
        <w:rPr>
          <w:lang w:val="fr-CH"/>
        </w:rPr>
        <w:sym w:font="Symbol" w:char="F06A"/>
      </w:r>
      <w:r w:rsidRPr="00A518F9">
        <w:rPr>
          <w:lang w:val="fr-CH"/>
        </w:rPr>
        <w:t xml:space="preserve"> = </w:t>
      </w:r>
      <w:r w:rsidRPr="00A518F9">
        <w:rPr>
          <w:lang w:val="fr-CH"/>
        </w:rPr>
        <w:sym w:font="Symbol" w:char="F070"/>
      </w:r>
      <w:r w:rsidRPr="00A518F9">
        <w:rPr>
          <w:lang w:val="fr-CH"/>
        </w:rPr>
        <w:t>/2 – θ.</w:t>
      </w:r>
    </w:p>
    <w:p w:rsidR="002C27CA" w:rsidRPr="00A518F9" w:rsidRDefault="002C27CA" w:rsidP="002C27CA">
      <w:pPr>
        <w:rPr>
          <w:lang w:val="fr-CH"/>
        </w:rPr>
      </w:pPr>
      <w:r w:rsidRPr="00A518F9">
        <w:rPr>
          <w:lang w:val="fr-CH"/>
        </w:rPr>
        <w:t>Etant donné que les antennes de station de base types ont une directivité relativement faible en comparaison avec la directivité des antennes des stations HAPS, on obtient la formule suivante:</w:t>
      </w:r>
    </w:p>
    <w:p w:rsidR="002C27CA" w:rsidRPr="00A518F9" w:rsidRDefault="002C27CA" w:rsidP="002C27CA">
      <w:pPr>
        <w:pStyle w:val="Blanc"/>
        <w:rPr>
          <w:lang w:val="fr-CH"/>
        </w:rPr>
      </w:pPr>
    </w:p>
    <w:p w:rsidR="002C27CA" w:rsidRPr="00CE4453" w:rsidRDefault="002C27CA" w:rsidP="002C27CA">
      <w:pPr>
        <w:pStyle w:val="Equation"/>
        <w:rPr>
          <w:lang w:val="es-ES_tradnl"/>
        </w:rPr>
      </w:pPr>
      <w:r w:rsidRPr="00A518F9">
        <w:rPr>
          <w:lang w:val="fr-CH"/>
        </w:rPr>
        <w:tab/>
      </w:r>
      <w:r w:rsidRPr="00A518F9">
        <w:rPr>
          <w:lang w:val="fr-CH"/>
        </w:rPr>
        <w:tab/>
      </w:r>
      <w:r w:rsidRPr="00CE4453">
        <w:rPr>
          <w:i/>
          <w:iCs/>
          <w:lang w:val="es-ES_tradnl"/>
        </w:rPr>
        <w:t>y</w:t>
      </w:r>
      <w:r w:rsidRPr="00CE4453">
        <w:rPr>
          <w:lang w:val="es-ES_tradnl"/>
        </w:rPr>
        <w:t xml:space="preserve">  =  [</w:t>
      </w:r>
      <w:r w:rsidRPr="00CE4453">
        <w:rPr>
          <w:i/>
          <w:iCs/>
          <w:lang w:val="es-ES_tradnl"/>
        </w:rPr>
        <w:t>D</w:t>
      </w:r>
      <w:r w:rsidRPr="00CE4453">
        <w:rPr>
          <w:lang w:val="es-ES_tradnl"/>
        </w:rPr>
        <w:t>(</w:t>
      </w:r>
      <w:r w:rsidRPr="00A518F9">
        <w:rPr>
          <w:lang w:val="fr-CH"/>
        </w:rPr>
        <w:t>θ</w:t>
      </w:r>
      <w:r w:rsidRPr="00CE4453">
        <w:rPr>
          <w:position w:val="-4"/>
          <w:sz w:val="18"/>
          <w:lang w:val="es-ES_tradnl"/>
        </w:rPr>
        <w:t>0</w:t>
      </w:r>
      <w:r w:rsidRPr="00CE4453">
        <w:rPr>
          <w:lang w:val="es-ES_tradnl"/>
        </w:rPr>
        <w:t>)  –  20 log(cos(</w:t>
      </w:r>
      <w:r w:rsidRPr="00A518F9">
        <w:rPr>
          <w:lang w:val="fr-CH"/>
        </w:rPr>
        <w:t>θ</w:t>
      </w:r>
      <w:r w:rsidRPr="00CE4453">
        <w:rPr>
          <w:vertAlign w:val="subscript"/>
          <w:lang w:val="es-ES_tradnl"/>
        </w:rPr>
        <w:t>0</w:t>
      </w:r>
      <w:r w:rsidRPr="00CE4453">
        <w:rPr>
          <w:lang w:val="es-ES_tradnl"/>
        </w:rPr>
        <w:t>))  +  20 log(cos (</w:t>
      </w:r>
      <w:r w:rsidRPr="00A518F9">
        <w:rPr>
          <w:lang w:val="fr-CH"/>
        </w:rPr>
        <w:t>θ</w:t>
      </w:r>
      <w:r w:rsidRPr="00CE4453">
        <w:rPr>
          <w:vertAlign w:val="subscript"/>
          <w:lang w:val="es-ES_tradnl"/>
        </w:rPr>
        <w:t>0</w:t>
      </w:r>
      <w:r w:rsidRPr="00CE4453">
        <w:rPr>
          <w:lang w:val="es-ES_tradnl"/>
        </w:rPr>
        <w:t xml:space="preserve">  +  </w:t>
      </w:r>
      <w:r w:rsidRPr="00A518F9">
        <w:rPr>
          <w:lang w:val="fr-CH"/>
        </w:rPr>
        <w:sym w:font="Symbol" w:char="F079"/>
      </w:r>
      <w:r w:rsidRPr="00CE4453">
        <w:rPr>
          <w:vertAlign w:val="subscript"/>
          <w:lang w:val="es-ES_tradnl"/>
        </w:rPr>
        <w:t>2</w:t>
      </w:r>
      <w:r w:rsidRPr="00CE4453">
        <w:rPr>
          <w:lang w:val="es-ES_tradnl"/>
        </w:rPr>
        <w:t xml:space="preserve">))]/[60  +  20 </w:t>
      </w:r>
      <w:r w:rsidRPr="00A518F9">
        <w:rPr>
          <w:lang w:val="fr-CH"/>
        </w:rPr>
        <w:sym w:font="Symbol" w:char="F079"/>
      </w:r>
      <w:r w:rsidRPr="00CE4453">
        <w:rPr>
          <w:vertAlign w:val="subscript"/>
          <w:lang w:val="es-ES_tradnl"/>
        </w:rPr>
        <w:t>2</w:t>
      </w:r>
      <w:r w:rsidRPr="00CE4453">
        <w:rPr>
          <w:lang w:val="es-ES_tradnl"/>
        </w:rPr>
        <w:t xml:space="preserve"> tg(</w:t>
      </w:r>
      <w:r w:rsidRPr="00A518F9">
        <w:rPr>
          <w:lang w:val="fr-CH"/>
        </w:rPr>
        <w:t>θ</w:t>
      </w:r>
      <w:r w:rsidRPr="00CE4453">
        <w:rPr>
          <w:vertAlign w:val="subscript"/>
          <w:lang w:val="es-ES_tradnl"/>
        </w:rPr>
        <w:t>0</w:t>
      </w:r>
      <w:r w:rsidRPr="00CE4453">
        <w:rPr>
          <w:lang w:val="es-ES_tradnl"/>
        </w:rPr>
        <w:t xml:space="preserve">  +  </w:t>
      </w:r>
      <w:r w:rsidRPr="00A518F9">
        <w:rPr>
          <w:lang w:val="fr-CH"/>
        </w:rPr>
        <w:sym w:font="Symbol" w:char="F079"/>
      </w:r>
      <w:r w:rsidRPr="00CE4453">
        <w:rPr>
          <w:vertAlign w:val="subscript"/>
          <w:lang w:val="es-ES_tradnl"/>
        </w:rPr>
        <w:t>2</w:t>
      </w:r>
      <w:r w:rsidRPr="00CE4453">
        <w:rPr>
          <w:lang w:val="es-ES_tradnl"/>
        </w:rPr>
        <w:t>)]</w:t>
      </w:r>
      <w:r w:rsidRPr="00CE4453">
        <w:rPr>
          <w:lang w:val="es-ES_tradnl"/>
        </w:rPr>
        <w:tab/>
        <w:t>(25)</w:t>
      </w:r>
    </w:p>
    <w:p w:rsidR="002C27CA" w:rsidRPr="00CE4453" w:rsidRDefault="002C27CA" w:rsidP="002C27CA">
      <w:pPr>
        <w:pStyle w:val="Blanc"/>
        <w:rPr>
          <w:lang w:val="es-ES_tradnl"/>
        </w:rPr>
      </w:pPr>
    </w:p>
    <w:p w:rsidR="002C27CA" w:rsidRPr="00CE4453" w:rsidRDefault="002C27CA" w:rsidP="002C27CA">
      <w:pPr>
        <w:pStyle w:val="Equation"/>
        <w:rPr>
          <w:lang w:val="en-US"/>
        </w:rPr>
      </w:pPr>
      <w:r w:rsidRPr="00CE4453">
        <w:rPr>
          <w:i/>
          <w:iCs/>
          <w:lang w:val="en-US"/>
        </w:rPr>
        <w:t>R</w:t>
      </w:r>
      <w:r w:rsidRPr="00CE4453">
        <w:rPr>
          <w:i/>
          <w:iCs/>
          <w:vertAlign w:val="subscript"/>
          <w:lang w:val="en-US"/>
        </w:rPr>
        <w:t>coordination</w:t>
      </w:r>
      <w:r w:rsidRPr="00CE4453">
        <w:rPr>
          <w:lang w:val="en-US"/>
        </w:rPr>
        <w:t xml:space="preserve"> = tg (</w:t>
      </w:r>
      <w:r w:rsidRPr="00A518F9">
        <w:rPr>
          <w:lang w:val="fr-CH"/>
        </w:rPr>
        <w:t>θ</w:t>
      </w:r>
      <w:r w:rsidRPr="00CE4453">
        <w:rPr>
          <w:vertAlign w:val="subscript"/>
          <w:lang w:val="en-US"/>
        </w:rPr>
        <w:t>0</w:t>
      </w:r>
      <w:r w:rsidRPr="00CE4453">
        <w:rPr>
          <w:lang w:val="en-US"/>
        </w:rPr>
        <w:t xml:space="preserve"> + 10</w:t>
      </w:r>
      <w:r w:rsidRPr="00CE4453">
        <w:rPr>
          <w:i/>
          <w:iCs/>
          <w:vertAlign w:val="superscript"/>
          <w:lang w:val="en-US"/>
        </w:rPr>
        <w:t>y</w:t>
      </w:r>
      <w:r w:rsidRPr="00A518F9">
        <w:rPr>
          <w:lang w:val="fr-CH"/>
        </w:rPr>
        <w:sym w:font="Symbol" w:char="F079"/>
      </w:r>
      <w:r w:rsidRPr="00CE4453">
        <w:rPr>
          <w:vertAlign w:val="subscript"/>
          <w:lang w:val="en-US"/>
        </w:rPr>
        <w:t>2</w:t>
      </w:r>
      <w:r w:rsidRPr="00CE4453">
        <w:rPr>
          <w:lang w:val="en-US"/>
        </w:rPr>
        <w:t xml:space="preserve">) </w:t>
      </w:r>
      <w:r w:rsidRPr="00CE4453">
        <w:rPr>
          <w:i/>
          <w:iCs/>
          <w:lang w:val="en-US"/>
        </w:rPr>
        <w:t>h</w:t>
      </w:r>
      <w:r w:rsidRPr="00CE4453">
        <w:rPr>
          <w:lang w:val="en-US"/>
        </w:rPr>
        <w:t xml:space="preserve"> + (1 – </w:t>
      </w:r>
      <w:r w:rsidRPr="00CE4453">
        <w:rPr>
          <w:i/>
          <w:iCs/>
          <w:lang w:val="en-US"/>
        </w:rPr>
        <w:t>h</w:t>
      </w:r>
      <w:r w:rsidRPr="00CE4453">
        <w:rPr>
          <w:lang w:val="en-US"/>
        </w:rPr>
        <w:t>/(158 cos (</w:t>
      </w:r>
      <w:r w:rsidRPr="00A518F9">
        <w:rPr>
          <w:lang w:val="fr-CH"/>
        </w:rPr>
        <w:t>θ</w:t>
      </w:r>
      <w:r w:rsidRPr="00CE4453">
        <w:rPr>
          <w:vertAlign w:val="subscript"/>
          <w:lang w:val="en-US"/>
        </w:rPr>
        <w:t>0</w:t>
      </w:r>
      <w:r w:rsidRPr="00CE4453">
        <w:rPr>
          <w:lang w:val="en-US"/>
        </w:rPr>
        <w:t>))(</w:t>
      </w:r>
      <w:r w:rsidRPr="00CE4453">
        <w:rPr>
          <w:i/>
          <w:iCs/>
          <w:lang w:val="en-US"/>
        </w:rPr>
        <w:t>Num</w:t>
      </w:r>
      <w:r w:rsidRPr="00CE4453">
        <w:rPr>
          <w:lang w:val="en-US"/>
        </w:rPr>
        <w:t xml:space="preserve"> × </w:t>
      </w:r>
      <w:r w:rsidR="002B1FA9" w:rsidRPr="00A518F9">
        <w:rPr>
          <w:position w:val="-6"/>
          <w:sz w:val="14"/>
          <w:lang w:val="fr-CH"/>
        </w:rPr>
        <w:object w:dxaOrig="1400" w:dyaOrig="360">
          <v:shape id="_x0000_i1036" type="#_x0000_t75" style="width:70pt;height:18pt" o:ole="">
            <v:imagedata r:id="rId45" o:title=""/>
          </v:shape>
          <o:OLEObject Type="Embed" ProgID="Equation.3" ShapeID="_x0000_i1036" DrawAspect="Content" ObjectID="_1370084542" r:id="rId46"/>
        </w:object>
      </w:r>
      <w:r w:rsidRPr="00CE4453">
        <w:rPr>
          <w:lang w:val="en-US"/>
        </w:rPr>
        <w:t xml:space="preserve"> – 1)</w:t>
      </w:r>
      <w:r w:rsidRPr="00CE4453">
        <w:rPr>
          <w:vertAlign w:val="superscript"/>
          <w:lang w:val="en-US"/>
        </w:rPr>
        <w:t>1/2</w:t>
      </w:r>
      <w:r w:rsidRPr="00CE4453">
        <w:rPr>
          <w:lang w:val="en-US"/>
        </w:rPr>
        <w:t xml:space="preserve"> </w:t>
      </w:r>
      <w:r w:rsidRPr="00CE4453">
        <w:rPr>
          <w:i/>
          <w:iCs/>
          <w:lang w:val="en-US"/>
        </w:rPr>
        <w:t>h</w:t>
      </w:r>
      <w:r w:rsidRPr="00CE4453">
        <w:rPr>
          <w:lang w:val="en-US"/>
        </w:rPr>
        <w:t>       km</w:t>
      </w:r>
      <w:r w:rsidRPr="00CE4453">
        <w:rPr>
          <w:lang w:val="en-US"/>
        </w:rPr>
        <w:tab/>
        <w:t>(26)</w:t>
      </w:r>
    </w:p>
    <w:p w:rsidR="002C27CA" w:rsidRPr="00CE4453" w:rsidRDefault="002C27CA" w:rsidP="002C27CA">
      <w:pPr>
        <w:pStyle w:val="Blanc"/>
        <w:rPr>
          <w:lang w:val="en-US"/>
        </w:rPr>
      </w:pPr>
    </w:p>
    <w:p w:rsidR="002C27CA" w:rsidRPr="00A518F9" w:rsidRDefault="002C27CA" w:rsidP="00F03494">
      <w:pPr>
        <w:keepNext/>
        <w:keepLines/>
        <w:rPr>
          <w:lang w:val="fr-CH"/>
        </w:rPr>
      </w:pPr>
      <w:r w:rsidRPr="00A518F9">
        <w:rPr>
          <w:lang w:val="fr-CH"/>
        </w:rPr>
        <w:t>où:</w:t>
      </w:r>
    </w:p>
    <w:p w:rsidR="002C27CA" w:rsidRPr="00A518F9" w:rsidRDefault="002C27CA" w:rsidP="002C27CA">
      <w:pPr>
        <w:pStyle w:val="Equationlegend"/>
        <w:rPr>
          <w:lang w:val="fr-CH"/>
        </w:rPr>
      </w:pPr>
      <w:r w:rsidRPr="00A518F9">
        <w:rPr>
          <w:lang w:val="fr-CH"/>
        </w:rPr>
        <w:tab/>
      </w:r>
      <w:r w:rsidRPr="00A518F9">
        <w:rPr>
          <w:lang w:val="fr-CH"/>
        </w:rPr>
        <w:tab/>
      </w:r>
      <w:r w:rsidRPr="00A518F9">
        <w:rPr>
          <w:i/>
          <w:iCs/>
          <w:lang w:val="fr-CH"/>
        </w:rPr>
        <w:t>D</w:t>
      </w:r>
      <w:r w:rsidRPr="00A518F9">
        <w:rPr>
          <w:lang w:val="fr-CH"/>
        </w:rPr>
        <w:t>(θ</w:t>
      </w:r>
      <w:r w:rsidRPr="00A518F9">
        <w:rPr>
          <w:vertAlign w:val="subscript"/>
          <w:lang w:val="fr-CH"/>
        </w:rPr>
        <w:t>0</w:t>
      </w:r>
      <w:r w:rsidRPr="00A518F9">
        <w:rPr>
          <w:lang w:val="fr-CH"/>
        </w:rPr>
        <w:t>)  =  (</w:t>
      </w:r>
      <w:r w:rsidRPr="00A518F9">
        <w:rPr>
          <w:i/>
          <w:iCs/>
          <w:lang w:val="fr-CH"/>
        </w:rPr>
        <w:t>I</w:t>
      </w:r>
      <w:r w:rsidRPr="00A518F9">
        <w:rPr>
          <w:i/>
          <w:iCs/>
          <w:vertAlign w:val="subscript"/>
          <w:lang w:val="fr-CH"/>
        </w:rPr>
        <w:t>reçue</w:t>
      </w:r>
      <w:r w:rsidRPr="00A518F9">
        <w:rPr>
          <w:lang w:val="fr-CH"/>
        </w:rPr>
        <w:t>/</w:t>
      </w:r>
      <w:r w:rsidRPr="00A518F9">
        <w:rPr>
          <w:i/>
          <w:iCs/>
          <w:lang w:val="fr-CH"/>
        </w:rPr>
        <w:t>N</w:t>
      </w:r>
      <w:r w:rsidRPr="00A518F9">
        <w:rPr>
          <w:lang w:val="fr-CH"/>
        </w:rPr>
        <w:t>)</w:t>
      </w:r>
      <w:r w:rsidRPr="00A518F9">
        <w:rPr>
          <w:i/>
          <w:iCs/>
          <w:vertAlign w:val="subscript"/>
          <w:lang w:val="fr-CH"/>
        </w:rPr>
        <w:t>centre</w:t>
      </w:r>
      <w:r w:rsidRPr="00A518F9">
        <w:rPr>
          <w:lang w:val="fr-CH"/>
        </w:rPr>
        <w:t xml:space="preserve"> + </w:t>
      </w:r>
      <w:r w:rsidRPr="00A518F9">
        <w:rPr>
          <w:i/>
          <w:lang w:val="fr-CH"/>
        </w:rPr>
        <w:t>G</w:t>
      </w:r>
      <w:r w:rsidRPr="00A518F9">
        <w:rPr>
          <w:i/>
          <w:iCs/>
          <w:vertAlign w:val="subscript"/>
          <w:lang w:val="fr-CH"/>
        </w:rPr>
        <w:t>victime</w:t>
      </w:r>
      <w:r w:rsidRPr="00A518F9">
        <w:rPr>
          <w:lang w:val="fr-CH"/>
        </w:rPr>
        <w:t>(</w:t>
      </w:r>
      <w:r w:rsidRPr="00A518F9">
        <w:rPr>
          <w:lang w:val="fr-CH"/>
        </w:rPr>
        <w:sym w:font="Symbol" w:char="F070"/>
      </w:r>
      <w:r w:rsidRPr="00A518F9">
        <w:rPr>
          <w:lang w:val="fr-CH"/>
        </w:rPr>
        <w:t>/2 – θ</w:t>
      </w:r>
      <w:r w:rsidRPr="00A518F9">
        <w:rPr>
          <w:vertAlign w:val="subscript"/>
          <w:lang w:val="fr-CH"/>
        </w:rPr>
        <w:t>0</w:t>
      </w:r>
      <w:r w:rsidRPr="00A518F9">
        <w:rPr>
          <w:lang w:val="fr-CH"/>
        </w:rPr>
        <w:t xml:space="preserve">) – </w:t>
      </w:r>
      <w:r w:rsidRPr="00A518F9">
        <w:rPr>
          <w:i/>
          <w:iCs/>
          <w:lang w:val="fr-CH"/>
        </w:rPr>
        <w:t>Seuil</w:t>
      </w:r>
      <w:r w:rsidRPr="00A518F9">
        <w:rPr>
          <w:lang w:val="fr-CH"/>
        </w:rPr>
        <w:t xml:space="preserve"> – </w:t>
      </w:r>
      <w:r w:rsidRPr="00A518F9">
        <w:rPr>
          <w:i/>
          <w:iCs/>
          <w:lang w:val="fr-CH"/>
        </w:rPr>
        <w:t>L</w:t>
      </w:r>
      <w:r w:rsidRPr="00A518F9">
        <w:rPr>
          <w:i/>
          <w:iCs/>
          <w:vertAlign w:val="subscript"/>
          <w:lang w:val="fr-CH"/>
        </w:rPr>
        <w:t>N</w:t>
      </w:r>
    </w:p>
    <w:p w:rsidR="002C27CA" w:rsidRPr="00A518F9" w:rsidRDefault="002C27CA" w:rsidP="002C27CA">
      <w:pPr>
        <w:pStyle w:val="Equationlegend"/>
        <w:rPr>
          <w:lang w:val="fr-CH"/>
        </w:rPr>
      </w:pPr>
      <w:r w:rsidRPr="00A518F9">
        <w:rPr>
          <w:lang w:val="fr-CH"/>
        </w:rPr>
        <w:tab/>
      </w:r>
      <w:r w:rsidRPr="00A518F9">
        <w:rPr>
          <w:lang w:val="fr-CH"/>
        </w:rPr>
        <w:tab/>
      </w:r>
      <w:r w:rsidRPr="00A518F9">
        <w:rPr>
          <w:i/>
          <w:iCs/>
          <w:lang w:val="fr-CH"/>
        </w:rPr>
        <w:t>B</w:t>
      </w:r>
      <w:r w:rsidRPr="00A518F9">
        <w:rPr>
          <w:lang w:val="fr-CH"/>
        </w:rPr>
        <w:t>(θ</w:t>
      </w:r>
      <w:r w:rsidRPr="00A518F9">
        <w:rPr>
          <w:vertAlign w:val="subscript"/>
          <w:lang w:val="fr-CH"/>
        </w:rPr>
        <w:t>0</w:t>
      </w:r>
      <w:r w:rsidRPr="00A518F9">
        <w:rPr>
          <w:lang w:val="fr-CH"/>
        </w:rPr>
        <w:t>)  =  0,1[(</w:t>
      </w:r>
      <w:r w:rsidRPr="00A518F9">
        <w:rPr>
          <w:i/>
          <w:iCs/>
          <w:lang w:val="fr-CH"/>
        </w:rPr>
        <w:t>I</w:t>
      </w:r>
      <w:r w:rsidRPr="00A518F9">
        <w:rPr>
          <w:i/>
          <w:iCs/>
          <w:vertAlign w:val="subscript"/>
          <w:lang w:val="fr-CH"/>
        </w:rPr>
        <w:t>reçue</w:t>
      </w:r>
      <w:r w:rsidRPr="00A518F9">
        <w:rPr>
          <w:lang w:val="fr-CH"/>
        </w:rPr>
        <w:t>/</w:t>
      </w:r>
      <w:r w:rsidRPr="00A518F9">
        <w:rPr>
          <w:i/>
          <w:iCs/>
          <w:lang w:val="fr-CH"/>
        </w:rPr>
        <w:t>N</w:t>
      </w:r>
      <w:r w:rsidRPr="00A518F9">
        <w:rPr>
          <w:lang w:val="fr-CH"/>
        </w:rPr>
        <w:t>)</w:t>
      </w:r>
      <w:r w:rsidRPr="00A518F9">
        <w:rPr>
          <w:i/>
          <w:iCs/>
          <w:vertAlign w:val="subscript"/>
          <w:lang w:val="fr-CH"/>
        </w:rPr>
        <w:t>centre</w:t>
      </w:r>
      <w:r w:rsidRPr="00A518F9">
        <w:rPr>
          <w:lang w:val="fr-CH"/>
        </w:rPr>
        <w:t xml:space="preserve"> + </w:t>
      </w:r>
      <w:r w:rsidRPr="00A518F9">
        <w:rPr>
          <w:i/>
          <w:lang w:val="fr-CH"/>
        </w:rPr>
        <w:t>G</w:t>
      </w:r>
      <w:r w:rsidRPr="00A518F9">
        <w:rPr>
          <w:i/>
          <w:iCs/>
          <w:vertAlign w:val="subscript"/>
          <w:lang w:val="fr-CH"/>
        </w:rPr>
        <w:t>victime</w:t>
      </w:r>
      <w:r w:rsidRPr="00A518F9">
        <w:rPr>
          <w:lang w:val="fr-CH"/>
        </w:rPr>
        <w:t>(</w:t>
      </w:r>
      <w:r w:rsidRPr="00A518F9">
        <w:rPr>
          <w:lang w:val="fr-CH"/>
        </w:rPr>
        <w:sym w:font="Symbol" w:char="F070"/>
      </w:r>
      <w:r w:rsidRPr="00A518F9">
        <w:rPr>
          <w:lang w:val="fr-CH"/>
        </w:rPr>
        <w:t>/2 – θ</w:t>
      </w:r>
      <w:r w:rsidRPr="00A518F9">
        <w:rPr>
          <w:vertAlign w:val="subscript"/>
          <w:lang w:val="fr-CH"/>
        </w:rPr>
        <w:t>0</w:t>
      </w:r>
      <w:r w:rsidRPr="00A518F9">
        <w:rPr>
          <w:lang w:val="fr-CH"/>
        </w:rPr>
        <w:t xml:space="preserve">) – </w:t>
      </w:r>
      <w:r w:rsidRPr="00A518F9">
        <w:rPr>
          <w:i/>
          <w:iCs/>
          <w:lang w:val="fr-CH"/>
        </w:rPr>
        <w:t>Seuil</w:t>
      </w:r>
      <w:r w:rsidRPr="00A518F9">
        <w:rPr>
          <w:lang w:val="fr-CH"/>
        </w:rPr>
        <w:t>].</w:t>
      </w:r>
    </w:p>
    <w:p w:rsidR="002C27CA" w:rsidRPr="00A518F9" w:rsidRDefault="002C27CA" w:rsidP="002C27CA">
      <w:pPr>
        <w:rPr>
          <w:lang w:val="fr-CH"/>
        </w:rPr>
      </w:pPr>
      <w:r w:rsidRPr="00A518F9">
        <w:rPr>
          <w:lang w:val="fr-CH"/>
        </w:rPr>
        <w:t xml:space="preserve">Etant donné que même au rayon correspondant à la couverture la plus grande (158 km) considérée ici, l'angle d'élévation, et par conséquent </w:t>
      </w:r>
      <w:r w:rsidRPr="00A518F9">
        <w:rPr>
          <w:lang w:val="fr-CH"/>
        </w:rPr>
        <w:sym w:font="Symbol" w:char="F06A"/>
      </w:r>
      <w:r w:rsidRPr="00A518F9">
        <w:rPr>
          <w:lang w:val="fr-CH"/>
        </w:rPr>
        <w:t xml:space="preserve"> si la station de base est supposée être immédiatement à la limite de la couverture HAPS, est d'environ 8</w:t>
      </w:r>
      <w:r w:rsidRPr="00A518F9">
        <w:rPr>
          <w:vertAlign w:val="superscript"/>
          <w:lang w:val="fr-CH"/>
        </w:rPr>
        <w:t>o</w:t>
      </w:r>
      <w:r w:rsidRPr="00A518F9">
        <w:rPr>
          <w:lang w:val="fr-CH"/>
        </w:rPr>
        <w:t xml:space="preserve"> (bien en dehors du lobe principal du plan d'élévation de la station de base), on constate que pour des rayons de couverture HAPS plus faibles (&lt; 100 km), le gain d'antenne de la station de base est essentiellement 0 dBi. Pour des systèmes HAPS ayant un rayon de couverture compris entre 100 km et 160 km, le gain apparent de l'antenne de la station de base peut être compris entre 3 dBi à 4 dBi. Cela augmente très fortement le rayon de coordination.</w:t>
      </w:r>
    </w:p>
    <w:p w:rsidR="002C27CA" w:rsidRPr="00A518F9" w:rsidRDefault="002C27CA" w:rsidP="002C27CA">
      <w:pPr>
        <w:rPr>
          <w:lang w:val="fr-CH"/>
        </w:rPr>
      </w:pPr>
      <w:r w:rsidRPr="00A518F9">
        <w:rPr>
          <w:lang w:val="fr-CH"/>
        </w:rPr>
        <w:t>La Fig. 10 donne la distance de coordination requise entre une station de base sur tour et le système HAPS brouilleur dans le cas où l'antenne de station de base présente un gain de 13 dBi. Est également tracée la distance de coordination requise entre le système HAPS et une station mobile d'un système à tour. Les paramètres HAPS sont supposés être les mêmes, le système HAPS est supposé utiliser le format d'accès AMRC IMT-2000 à étalement direct. On constate que compte tenu de la forte directivité de l'antenne de la station de base, la distance de coordination requise est réellement inférieure à celle correspondant à la station mobile.</w:t>
      </w:r>
    </w:p>
    <w:p w:rsidR="002C27CA" w:rsidRPr="00A518F9" w:rsidRDefault="002C27CA" w:rsidP="002C27CA">
      <w:pPr>
        <w:pStyle w:val="FigureNo"/>
        <w:keepNext w:val="0"/>
        <w:keepLines w:val="0"/>
        <w:rPr>
          <w:lang w:val="fr-CH"/>
        </w:rPr>
      </w:pPr>
      <w:r w:rsidRPr="00A518F9">
        <w:rPr>
          <w:noProof/>
          <w:lang w:val="en-US" w:eastAsia="zh-CN"/>
        </w:rPr>
        <w:drawing>
          <wp:inline distT="0" distB="0" distL="0" distR="0" wp14:anchorId="312D5019" wp14:editId="3266A780">
            <wp:extent cx="5923915" cy="3880485"/>
            <wp:effectExtent l="0" t="0" r="63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23915" cy="3880485"/>
                    </a:xfrm>
                    <a:prstGeom prst="rect">
                      <a:avLst/>
                    </a:prstGeom>
                    <a:noFill/>
                    <a:ln>
                      <a:noFill/>
                    </a:ln>
                  </pic:spPr>
                </pic:pic>
              </a:graphicData>
            </a:graphic>
          </wp:inline>
        </w:drawing>
      </w:r>
    </w:p>
    <w:p w:rsidR="00F45A74" w:rsidRPr="00A518F9" w:rsidRDefault="00F45A74" w:rsidP="00F45A74">
      <w:pPr>
        <w:rPr>
          <w:lang w:val="fr-CH"/>
        </w:rPr>
      </w:pPr>
    </w:p>
    <w:p w:rsidR="00F45A74" w:rsidRPr="00A518F9" w:rsidRDefault="00F45A74" w:rsidP="00F45A74">
      <w:pPr>
        <w:rPr>
          <w:lang w:val="fr-CH"/>
        </w:rPr>
      </w:pPr>
    </w:p>
    <w:p w:rsidR="00F03494" w:rsidRPr="00A518F9" w:rsidRDefault="00F03494" w:rsidP="002C27CA">
      <w:pPr>
        <w:pStyle w:val="AppendixNoTitle"/>
        <w:keepNext w:val="0"/>
        <w:keepLines w:val="0"/>
        <w:rPr>
          <w:lang w:val="fr-CH"/>
        </w:rPr>
      </w:pPr>
    </w:p>
    <w:p w:rsidR="002C27CA" w:rsidRPr="00A518F9" w:rsidRDefault="002C27CA" w:rsidP="002C27CA">
      <w:pPr>
        <w:pStyle w:val="AppendixNoTitle"/>
        <w:keepNext w:val="0"/>
        <w:keepLines w:val="0"/>
        <w:rPr>
          <w:lang w:val="fr-CH"/>
        </w:rPr>
      </w:pPr>
      <w:r w:rsidRPr="00A518F9">
        <w:rPr>
          <w:lang w:val="fr-CH"/>
        </w:rPr>
        <w:lastRenderedPageBreak/>
        <w:t>Appendice 1</w:t>
      </w:r>
      <w:r w:rsidRPr="00A518F9">
        <w:rPr>
          <w:lang w:val="fr-CH"/>
        </w:rPr>
        <w:br/>
        <w:t>à l'Annexe 1</w:t>
      </w:r>
      <w:r w:rsidRPr="00A518F9">
        <w:rPr>
          <w:lang w:val="fr-CH"/>
        </w:rPr>
        <w:br/>
      </w:r>
      <w:r w:rsidRPr="00A518F9">
        <w:rPr>
          <w:lang w:val="fr-CH"/>
        </w:rPr>
        <w:br/>
        <w:t>Diagramme de référence d'antenne pour systèmes HAPS</w:t>
      </w:r>
    </w:p>
    <w:p w:rsidR="002C27CA" w:rsidRPr="00A518F9" w:rsidRDefault="002C27CA" w:rsidP="002C27CA">
      <w:pPr>
        <w:pStyle w:val="Heading1"/>
        <w:keepNext w:val="0"/>
        <w:keepLines w:val="0"/>
        <w:rPr>
          <w:lang w:val="fr-CH"/>
        </w:rPr>
      </w:pPr>
      <w:r w:rsidRPr="00A518F9">
        <w:rPr>
          <w:lang w:val="fr-CH"/>
        </w:rPr>
        <w:t>1</w:t>
      </w:r>
      <w:r w:rsidRPr="00A518F9">
        <w:rPr>
          <w:lang w:val="fr-CH"/>
        </w:rPr>
        <w:tab/>
        <w:t>Diagramme de référence d'antenne pour systèmes HAPS utilisant les formats AMRC et AMRT</w:t>
      </w:r>
    </w:p>
    <w:p w:rsidR="002C27CA" w:rsidRPr="00A518F9" w:rsidRDefault="002C27CA" w:rsidP="002C27CA">
      <w:pPr>
        <w:rPr>
          <w:lang w:val="fr-CH"/>
        </w:rPr>
      </w:pPr>
      <w:r w:rsidRPr="00A518F9">
        <w:rPr>
          <w:lang w:val="fr-CH"/>
        </w:rPr>
        <w:t>Les diagrammes de rayonnement des antennes placées sur des plates-formes correspondent à ceux des antennes à réseau déphaseur multifaisceaux à hautes performances utilisant la technologie numérique de formation de faisceau et un profil d'illumination en cosinus</w:t>
      </w:r>
      <w:r w:rsidRPr="00A518F9">
        <w:rPr>
          <w:vertAlign w:val="superscript"/>
          <w:lang w:val="fr-CH"/>
        </w:rPr>
        <w:t>2</w:t>
      </w:r>
      <w:r w:rsidRPr="00A518F9">
        <w:rPr>
          <w:lang w:val="fr-CH"/>
        </w:rPr>
        <w:t xml:space="preserve">. La décroissance supposée être de 60 dB/décade, est bien supérieure aux 25 dB/décade d'une antenne parabolique ce qui permet une amélioration importante de la capacité des systèmes AMRC ou AMRT visés par des contraintes de brouillage. Ainsi, le diagramme de rayonnement de référence est donné dans le § 2 du </w:t>
      </w:r>
      <w:r w:rsidRPr="00A518F9">
        <w:rPr>
          <w:i/>
          <w:iCs/>
          <w:lang w:val="fr-CH"/>
        </w:rPr>
        <w:t>recommande</w:t>
      </w:r>
      <w:r w:rsidRPr="00A518F9">
        <w:rPr>
          <w:lang w:val="fr-CH"/>
        </w:rPr>
        <w:t>.</w:t>
      </w:r>
    </w:p>
    <w:p w:rsidR="002C27CA" w:rsidRPr="00A518F9" w:rsidRDefault="002C27CA" w:rsidP="002C27CA">
      <w:pPr>
        <w:rPr>
          <w:lang w:val="fr-CH"/>
        </w:rPr>
      </w:pPr>
      <w:r w:rsidRPr="00A518F9">
        <w:rPr>
          <w:lang w:val="fr-CH"/>
        </w:rPr>
        <w:t xml:space="preserve">Le niveau de lobe latéral éloigné de </w:t>
      </w:r>
      <w:r w:rsidRPr="00A518F9">
        <w:rPr>
          <w:i/>
          <w:lang w:val="fr-CH"/>
        </w:rPr>
        <w:t>G</w:t>
      </w:r>
      <w:r w:rsidRPr="00A518F9">
        <w:rPr>
          <w:i/>
          <w:iCs/>
          <w:vertAlign w:val="subscript"/>
          <w:lang w:val="fr-CH"/>
        </w:rPr>
        <w:t>m</w:t>
      </w:r>
      <w:r w:rsidRPr="00A518F9">
        <w:rPr>
          <w:lang w:val="fr-CH"/>
        </w:rPr>
        <w:t xml:space="preserve"> – 73 dBi correspond à la tolérance de fabrication de 0,002 pouces. Si la tolérance à la fabrication est inférieure à 0,002 pouces, l'effet de l'erreur de phase est insignifiant.</w:t>
      </w:r>
    </w:p>
    <w:p w:rsidR="002C27CA" w:rsidRPr="00A518F9" w:rsidRDefault="002C27CA" w:rsidP="002C27CA">
      <w:pPr>
        <w:rPr>
          <w:lang w:val="fr-CH"/>
        </w:rPr>
      </w:pPr>
      <w:r w:rsidRPr="00A518F9">
        <w:rPr>
          <w:lang w:val="fr-CH"/>
        </w:rPr>
        <w:t>La Fig. 11 représente le diagramme de rayonnement d'une antenne à réseau déphaseur avec une illumination de sous</w:t>
      </w:r>
      <w:r w:rsidRPr="00A518F9">
        <w:rPr>
          <w:lang w:val="fr-CH"/>
        </w:rPr>
        <w:noBreakHyphen/>
        <w:t>ouverture de 10 × 10 m et un gabarit défini par les équations (1) à (9).</w:t>
      </w:r>
    </w:p>
    <w:p w:rsidR="002C27CA" w:rsidRPr="00A518F9" w:rsidRDefault="002C27CA" w:rsidP="002C27CA">
      <w:pPr>
        <w:pStyle w:val="FigureNo"/>
        <w:keepNext w:val="0"/>
        <w:keepLines w:val="0"/>
        <w:rPr>
          <w:lang w:val="fr-CH"/>
        </w:rPr>
      </w:pPr>
      <w:r w:rsidRPr="00A518F9">
        <w:rPr>
          <w:noProof/>
          <w:lang w:val="en-US" w:eastAsia="zh-CN"/>
        </w:rPr>
        <w:drawing>
          <wp:inline distT="0" distB="0" distL="0" distR="0" wp14:anchorId="273499DE" wp14:editId="27FF8E40">
            <wp:extent cx="4881880" cy="43649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81880" cy="4364990"/>
                    </a:xfrm>
                    <a:prstGeom prst="rect">
                      <a:avLst/>
                    </a:prstGeom>
                    <a:noFill/>
                    <a:ln>
                      <a:noFill/>
                    </a:ln>
                  </pic:spPr>
                </pic:pic>
              </a:graphicData>
            </a:graphic>
          </wp:inline>
        </w:drawing>
      </w:r>
    </w:p>
    <w:p w:rsidR="00F45A74" w:rsidRPr="00A518F9" w:rsidRDefault="00F45A74" w:rsidP="00F45A74">
      <w:pPr>
        <w:rPr>
          <w:lang w:val="fr-CH"/>
        </w:rPr>
      </w:pPr>
    </w:p>
    <w:p w:rsidR="00F45A74" w:rsidRPr="00A518F9" w:rsidRDefault="00F45A74" w:rsidP="00F45A74">
      <w:pPr>
        <w:rPr>
          <w:lang w:val="fr-CH"/>
        </w:rPr>
      </w:pPr>
    </w:p>
    <w:p w:rsidR="002C27CA" w:rsidRPr="00A518F9" w:rsidRDefault="002C27CA" w:rsidP="002C27CA">
      <w:pPr>
        <w:pStyle w:val="AnnexNoTitle"/>
        <w:keepNext w:val="0"/>
        <w:keepLines w:val="0"/>
        <w:rPr>
          <w:lang w:val="fr-CH"/>
        </w:rPr>
      </w:pPr>
      <w:r w:rsidRPr="00A518F9">
        <w:rPr>
          <w:lang w:val="fr-CH"/>
        </w:rPr>
        <w:lastRenderedPageBreak/>
        <w:t>Annexe 2</w:t>
      </w:r>
      <w:r w:rsidRPr="00A518F9">
        <w:rPr>
          <w:lang w:val="fr-CH"/>
        </w:rPr>
        <w:br/>
      </w:r>
      <w:r w:rsidRPr="00A518F9">
        <w:rPr>
          <w:lang w:val="fr-CH"/>
        </w:rPr>
        <w:br/>
        <w:t xml:space="preserve">Justification des niveaux de puissance surfacique </w:t>
      </w:r>
      <w:r w:rsidRPr="00A518F9">
        <w:rPr>
          <w:lang w:val="fr-CH"/>
        </w:rPr>
        <w:br/>
        <w:t xml:space="preserve">spécifiés aux § 4 et 5 du </w:t>
      </w:r>
      <w:r w:rsidRPr="00A518F9">
        <w:rPr>
          <w:i/>
          <w:iCs/>
          <w:lang w:val="fr-CH"/>
        </w:rPr>
        <w:t>recommande</w:t>
      </w:r>
    </w:p>
    <w:p w:rsidR="002C27CA" w:rsidRPr="00A518F9" w:rsidRDefault="002C27CA" w:rsidP="00F45A74">
      <w:pPr>
        <w:pStyle w:val="Heading1"/>
        <w:rPr>
          <w:lang w:val="fr-CH"/>
        </w:rPr>
      </w:pPr>
      <w:r w:rsidRPr="00A518F9">
        <w:rPr>
          <w:lang w:val="fr-CH"/>
        </w:rPr>
        <w:t>1</w:t>
      </w:r>
      <w:r w:rsidRPr="00A518F9">
        <w:rPr>
          <w:lang w:val="fr-CH"/>
        </w:rPr>
        <w:tab/>
        <w:t>Détermination des niveaux de densité de puissance surfacique hors bande pour les systèmes HAPS dans les bandes 2 160-2 200 MHz en Région 2 et 2 170-2 200 MHz en Régions 1 et 3</w:t>
      </w:r>
    </w:p>
    <w:p w:rsidR="002C27CA" w:rsidRPr="00A518F9" w:rsidRDefault="002C27CA" w:rsidP="002C27CA">
      <w:pPr>
        <w:rPr>
          <w:lang w:val="fr-CH"/>
        </w:rPr>
      </w:pPr>
      <w:r w:rsidRPr="00A518F9">
        <w:rPr>
          <w:lang w:val="fr-CH"/>
        </w:rPr>
        <w:t>La valeur de la puissance surfacique de –</w:t>
      </w:r>
      <w:r w:rsidRPr="00A518F9">
        <w:rPr>
          <w:sz w:val="4"/>
          <w:lang w:val="fr-CH"/>
        </w:rPr>
        <w:t> </w:t>
      </w:r>
      <w:r w:rsidRPr="00A518F9">
        <w:rPr>
          <w:lang w:val="fr-CH"/>
        </w:rPr>
        <w:t>165 dB(W/(m</w:t>
      </w:r>
      <w:r w:rsidRPr="00A518F9">
        <w:rPr>
          <w:position w:val="6"/>
          <w:sz w:val="16"/>
          <w:lang w:val="fr-CH"/>
        </w:rPr>
        <w:t>2</w:t>
      </w:r>
      <w:r w:rsidRPr="00A518F9">
        <w:rPr>
          <w:lang w:val="fr-CH"/>
        </w:rPr>
        <w:t xml:space="preserve"> </w:t>
      </w:r>
      <w:r w:rsidRPr="00A518F9">
        <w:rPr>
          <w:lang w:val="fr-CH"/>
        </w:rPr>
        <w:sym w:font="Symbol" w:char="F0D7"/>
      </w:r>
      <w:r w:rsidRPr="00A518F9">
        <w:rPr>
          <w:lang w:val="fr-CH"/>
        </w:rPr>
        <w:t xml:space="preserve"> 4 kHz)) indiquée dans le § 4 du </w:t>
      </w:r>
      <w:r w:rsidRPr="00A518F9">
        <w:rPr>
          <w:i/>
          <w:iCs/>
          <w:lang w:val="fr-CH"/>
        </w:rPr>
        <w:t>recommande</w:t>
      </w:r>
      <w:r w:rsidRPr="00A518F9">
        <w:rPr>
          <w:lang w:val="fr-CH"/>
        </w:rPr>
        <w:t xml:space="preserve"> est fondée sur ce qui suit.</w:t>
      </w:r>
    </w:p>
    <w:p w:rsidR="002C27CA" w:rsidRPr="00A518F9" w:rsidRDefault="002C27CA" w:rsidP="002C27CA">
      <w:pPr>
        <w:rPr>
          <w:lang w:val="fr-CH"/>
        </w:rPr>
      </w:pPr>
      <w:r w:rsidRPr="00A518F9">
        <w:rPr>
          <w:lang w:val="fr-CH"/>
        </w:rPr>
        <w:t>Le niveau de brouillage admissible des rayonnements hors bande est déterminé à partir de l'impératif suivant: le brouillage causé par un système HAPS à une station terrienne mobile équipée d'une antenne présentant un gain de 15 dBi ne doit pas être à plus de 10 dB en dessous du niveau de bruit thermique de –</w:t>
      </w:r>
      <w:r w:rsidRPr="00A518F9">
        <w:rPr>
          <w:sz w:val="4"/>
          <w:lang w:val="fr-CH"/>
        </w:rPr>
        <w:t> </w:t>
      </w:r>
      <w:r w:rsidRPr="00A518F9">
        <w:rPr>
          <w:lang w:val="fr-CH"/>
        </w:rPr>
        <w:t>167,8 dB(W/4 kHz). Etant donné que cela correspond à une puissance surfacique de –</w:t>
      </w:r>
      <w:r w:rsidRPr="00A518F9">
        <w:rPr>
          <w:sz w:val="4"/>
          <w:lang w:val="fr-CH"/>
        </w:rPr>
        <w:t> </w:t>
      </w:r>
      <w:r w:rsidRPr="00A518F9">
        <w:rPr>
          <w:lang w:val="fr-CH"/>
        </w:rPr>
        <w:t>155 dB(W/(m</w:t>
      </w:r>
      <w:r w:rsidRPr="00A518F9">
        <w:rPr>
          <w:position w:val="6"/>
          <w:sz w:val="16"/>
          <w:lang w:val="fr-CH"/>
        </w:rPr>
        <w:t>2</w:t>
      </w:r>
      <w:r w:rsidRPr="00A518F9">
        <w:rPr>
          <w:lang w:val="fr-CH"/>
        </w:rPr>
        <w:t xml:space="preserve"> </w:t>
      </w:r>
      <w:r w:rsidRPr="00A518F9">
        <w:rPr>
          <w:lang w:val="fr-CH"/>
        </w:rPr>
        <w:sym w:font="Symbol" w:char="F0D7"/>
      </w:r>
      <w:r w:rsidRPr="00A518F9">
        <w:rPr>
          <w:lang w:val="fr-CH"/>
        </w:rPr>
        <w:t xml:space="preserve"> 4 kHz)), en supposant un affaiblissement sur la ligne d'alimentation de 0,5 dB, on obtient un niveau de brouillage admissible de –</w:t>
      </w:r>
      <w:r w:rsidRPr="00A518F9">
        <w:rPr>
          <w:sz w:val="4"/>
          <w:lang w:val="fr-CH"/>
        </w:rPr>
        <w:t> </w:t>
      </w:r>
      <w:r w:rsidRPr="00A518F9">
        <w:rPr>
          <w:lang w:val="fr-CH"/>
        </w:rPr>
        <w:t>165 dB(W/(m</w:t>
      </w:r>
      <w:r w:rsidRPr="00A518F9">
        <w:rPr>
          <w:position w:val="6"/>
          <w:sz w:val="16"/>
          <w:lang w:val="fr-CH"/>
        </w:rPr>
        <w:t>2</w:t>
      </w:r>
      <w:r w:rsidRPr="00A518F9">
        <w:rPr>
          <w:lang w:val="fr-CH"/>
        </w:rPr>
        <w:t xml:space="preserve"> </w:t>
      </w:r>
      <w:r w:rsidRPr="00A518F9">
        <w:rPr>
          <w:lang w:val="fr-CH"/>
        </w:rPr>
        <w:sym w:font="Symbol" w:char="F0D7"/>
      </w:r>
      <w:r w:rsidRPr="00A518F9">
        <w:rPr>
          <w:lang w:val="fr-CH"/>
        </w:rPr>
        <w:t xml:space="preserve"> 4 kHz)). Il convient de noter qu'on obtient ainsi un niveau de brouillage admissible qui est, au maximum, à 24,5 dB en dessous du niveau de bruit thermique pour des antennes de stations terriennes mobiles équidirectives et à 4,5 dB en dessous du bruit thermique pour une antenne de station terrienne mobile avec un gain d'antenne de 20 dBi.</w:t>
      </w:r>
    </w:p>
    <w:p w:rsidR="002C27CA" w:rsidRPr="00A518F9" w:rsidRDefault="002C27CA" w:rsidP="002C27CA">
      <w:pPr>
        <w:rPr>
          <w:lang w:val="fr-CH"/>
        </w:rPr>
      </w:pPr>
      <w:r w:rsidRPr="00A518F9">
        <w:rPr>
          <w:lang w:val="fr-CH"/>
        </w:rPr>
        <w:t>Une plus grande tolérance en matière de niveau de brouillage pour des stations mobiles terriennes équipées d'une antenne à gain plus élevé tient à la forte directivité de ces antennes et seules les stations terriennes mobiles qui pointent près d'une station HAPS reçoivent ces niveaux de brouillage plus élevés. Les stations terriennes mobiles équipées d'antennes à gain élevé qui pointent dans d'autres directions recevront une puissance brouilleuse inférieure.</w:t>
      </w:r>
    </w:p>
    <w:p w:rsidR="002C27CA" w:rsidRPr="00A518F9" w:rsidRDefault="002C27CA" w:rsidP="002C27CA">
      <w:pPr>
        <w:rPr>
          <w:lang w:val="fr-CH"/>
        </w:rPr>
      </w:pPr>
      <w:r w:rsidRPr="00A518F9">
        <w:rPr>
          <w:lang w:val="fr-CH"/>
        </w:rPr>
        <w:t xml:space="preserve">Pour les stations HAPS fonctionnant en mode IMT-2000 AMRC avec étalement du spectre, l'affaiblissement minimal hors bande (OoB, </w:t>
      </w:r>
      <w:r w:rsidRPr="00A518F9">
        <w:rPr>
          <w:i/>
          <w:iCs/>
          <w:lang w:val="fr-CH"/>
        </w:rPr>
        <w:t>out-of-band</w:t>
      </w:r>
      <w:r w:rsidRPr="00A518F9">
        <w:rPr>
          <w:lang w:val="fr-CH"/>
        </w:rPr>
        <w:t>) nécessaire pour respecter le critère de brouillage est déterminé par l'inégalité suivante:</w:t>
      </w:r>
    </w:p>
    <w:p w:rsidR="00F45A74" w:rsidRPr="00A518F9" w:rsidRDefault="00F45A74" w:rsidP="00F45A74">
      <w:pPr>
        <w:pStyle w:val="Blanc"/>
        <w:rPr>
          <w:lang w:val="fr-CH"/>
        </w:rPr>
      </w:pPr>
    </w:p>
    <w:p w:rsidR="002C27CA" w:rsidRPr="00A518F9" w:rsidRDefault="002C27CA" w:rsidP="002C27CA">
      <w:pPr>
        <w:pStyle w:val="Equation"/>
        <w:rPr>
          <w:lang w:val="fr-CH"/>
        </w:rPr>
      </w:pPr>
      <w:r w:rsidRPr="00A518F9">
        <w:rPr>
          <w:lang w:val="fr-CH"/>
        </w:rPr>
        <w:tab/>
      </w:r>
      <w:r w:rsidRPr="00A518F9">
        <w:rPr>
          <w:lang w:val="fr-CH"/>
        </w:rPr>
        <w:tab/>
        <w:t>–</w:t>
      </w:r>
      <w:r w:rsidRPr="00A518F9">
        <w:rPr>
          <w:sz w:val="4"/>
          <w:lang w:val="fr-CH"/>
        </w:rPr>
        <w:t> </w:t>
      </w:r>
      <w:r w:rsidRPr="00A518F9">
        <w:rPr>
          <w:lang w:val="fr-CH"/>
        </w:rPr>
        <w:t>98,2 dB(W/(m</w:t>
      </w:r>
      <w:r w:rsidRPr="00A518F9">
        <w:rPr>
          <w:vertAlign w:val="superscript"/>
          <w:lang w:val="fr-CH"/>
        </w:rPr>
        <w:t>2</w:t>
      </w:r>
      <w:r w:rsidRPr="00A518F9">
        <w:rPr>
          <w:lang w:val="fr-CH"/>
        </w:rPr>
        <w:t xml:space="preserve"> </w:t>
      </w:r>
      <w:r w:rsidRPr="00A518F9">
        <w:rPr>
          <w:lang w:val="fr-CH"/>
        </w:rPr>
        <w:sym w:font="Symbol" w:char="F0D7"/>
      </w:r>
      <w:r w:rsidRPr="00A518F9">
        <w:rPr>
          <w:lang w:val="fr-CH"/>
        </w:rPr>
        <w:t xml:space="preserve"> 4 kHz)) – </w:t>
      </w:r>
      <w:r w:rsidRPr="00A518F9">
        <w:rPr>
          <w:i/>
          <w:iCs/>
          <w:lang w:val="fr-CH"/>
        </w:rPr>
        <w:t>AFFAIBLISSEMENT</w:t>
      </w:r>
      <w:r w:rsidRPr="00A518F9">
        <w:rPr>
          <w:i/>
          <w:iCs/>
          <w:vertAlign w:val="subscript"/>
          <w:lang w:val="fr-CH"/>
        </w:rPr>
        <w:t>OoB</w:t>
      </w:r>
      <w:r w:rsidRPr="00A518F9">
        <w:rPr>
          <w:lang w:val="fr-CH"/>
        </w:rPr>
        <w:t xml:space="preserve"> </w:t>
      </w:r>
      <w:r w:rsidRPr="00A518F9">
        <w:rPr>
          <w:lang w:val="fr-CH"/>
        </w:rPr>
        <w:sym w:font="Symbol" w:char="F0A3"/>
      </w:r>
      <w:r w:rsidRPr="00A518F9">
        <w:rPr>
          <w:lang w:val="fr-CH"/>
        </w:rPr>
        <w:t xml:space="preserve"> –</w:t>
      </w:r>
      <w:r w:rsidRPr="00A518F9">
        <w:rPr>
          <w:sz w:val="4"/>
          <w:lang w:val="fr-CH"/>
        </w:rPr>
        <w:t> </w:t>
      </w:r>
      <w:r w:rsidRPr="00A518F9">
        <w:rPr>
          <w:lang w:val="fr-CH"/>
        </w:rPr>
        <w:t>165 dB(W/(m</w:t>
      </w:r>
      <w:r w:rsidRPr="00A518F9">
        <w:rPr>
          <w:vertAlign w:val="superscript"/>
          <w:lang w:val="fr-CH"/>
        </w:rPr>
        <w:t>2</w:t>
      </w:r>
      <w:r w:rsidRPr="00A518F9">
        <w:rPr>
          <w:lang w:val="fr-CH"/>
        </w:rPr>
        <w:t xml:space="preserve"> </w:t>
      </w:r>
      <w:r w:rsidRPr="00A518F9">
        <w:rPr>
          <w:lang w:val="fr-CH"/>
        </w:rPr>
        <w:sym w:font="Symbol" w:char="F0D7"/>
      </w:r>
      <w:r w:rsidRPr="00A518F9">
        <w:rPr>
          <w:lang w:val="fr-CH"/>
        </w:rPr>
        <w:t xml:space="preserve"> 4 kHz))</w:t>
      </w:r>
      <w:r w:rsidRPr="00A518F9">
        <w:rPr>
          <w:lang w:val="fr-CH"/>
        </w:rPr>
        <w:tab/>
        <w:t>(27)</w:t>
      </w:r>
    </w:p>
    <w:p w:rsidR="00F45A74" w:rsidRPr="00A518F9" w:rsidRDefault="00F45A74" w:rsidP="00F45A74">
      <w:pPr>
        <w:pStyle w:val="Blanc"/>
        <w:rPr>
          <w:lang w:val="fr-CH"/>
        </w:rPr>
      </w:pPr>
    </w:p>
    <w:p w:rsidR="002C27CA" w:rsidRPr="00A518F9" w:rsidRDefault="002C27CA" w:rsidP="002C27CA">
      <w:pPr>
        <w:rPr>
          <w:lang w:val="fr-CH"/>
        </w:rPr>
      </w:pPr>
      <w:r w:rsidRPr="00A518F9">
        <w:rPr>
          <w:lang w:val="fr-CH"/>
        </w:rPr>
        <w:t xml:space="preserve">ou </w:t>
      </w:r>
      <w:r w:rsidRPr="00A518F9">
        <w:rPr>
          <w:i/>
          <w:iCs/>
          <w:lang w:val="fr-CH"/>
        </w:rPr>
        <w:t>AFFAIBLISSEMENT</w:t>
      </w:r>
      <w:r w:rsidRPr="00A518F9">
        <w:rPr>
          <w:i/>
          <w:iCs/>
          <w:vertAlign w:val="subscript"/>
          <w:lang w:val="fr-CH"/>
        </w:rPr>
        <w:t>OoB</w:t>
      </w:r>
      <w:r w:rsidRPr="00A518F9">
        <w:rPr>
          <w:lang w:val="fr-CH"/>
        </w:rPr>
        <w:t> = 66,8 dB. De même, pour les systèmes AMRT HAPS, l'affaiblissement hors bande doit respecter l'inégalité suivante:</w:t>
      </w:r>
    </w:p>
    <w:p w:rsidR="002B1FA9" w:rsidRPr="00A518F9" w:rsidRDefault="002B1FA9" w:rsidP="002B1FA9">
      <w:pPr>
        <w:pStyle w:val="Blanc"/>
        <w:rPr>
          <w:lang w:val="fr-CH"/>
        </w:rPr>
      </w:pPr>
    </w:p>
    <w:p w:rsidR="002C27CA" w:rsidRPr="00A518F9" w:rsidRDefault="002C27CA" w:rsidP="002C27CA">
      <w:pPr>
        <w:pStyle w:val="Equation"/>
        <w:rPr>
          <w:lang w:val="fr-CH"/>
        </w:rPr>
      </w:pPr>
      <w:r w:rsidRPr="00A518F9">
        <w:rPr>
          <w:lang w:val="fr-CH"/>
        </w:rPr>
        <w:tab/>
      </w:r>
      <w:r w:rsidRPr="00A518F9">
        <w:rPr>
          <w:lang w:val="fr-CH"/>
        </w:rPr>
        <w:tab/>
        <w:t>–</w:t>
      </w:r>
      <w:r w:rsidRPr="00A518F9">
        <w:rPr>
          <w:sz w:val="4"/>
          <w:lang w:val="fr-CH"/>
        </w:rPr>
        <w:t> </w:t>
      </w:r>
      <w:r w:rsidRPr="00A518F9">
        <w:rPr>
          <w:lang w:val="fr-CH"/>
        </w:rPr>
        <w:t>96,8 dB(W/(m</w:t>
      </w:r>
      <w:r w:rsidRPr="00A518F9">
        <w:rPr>
          <w:vertAlign w:val="superscript"/>
          <w:lang w:val="fr-CH"/>
        </w:rPr>
        <w:t>2</w:t>
      </w:r>
      <w:r w:rsidRPr="00A518F9">
        <w:rPr>
          <w:lang w:val="fr-CH"/>
        </w:rPr>
        <w:t xml:space="preserve"> </w:t>
      </w:r>
      <w:r w:rsidRPr="00A518F9">
        <w:rPr>
          <w:lang w:val="fr-CH"/>
        </w:rPr>
        <w:sym w:font="Symbol" w:char="F0D7"/>
      </w:r>
      <w:r w:rsidRPr="00A518F9">
        <w:rPr>
          <w:lang w:val="fr-CH"/>
        </w:rPr>
        <w:t xml:space="preserve"> 4 kHz)) – </w:t>
      </w:r>
      <w:r w:rsidRPr="00A518F9">
        <w:rPr>
          <w:i/>
          <w:iCs/>
          <w:lang w:val="fr-CH"/>
        </w:rPr>
        <w:t>AFFAIBLISSEMENT</w:t>
      </w:r>
      <w:r w:rsidRPr="00A518F9">
        <w:rPr>
          <w:i/>
          <w:iCs/>
          <w:vertAlign w:val="subscript"/>
          <w:lang w:val="fr-CH"/>
        </w:rPr>
        <w:t>OoB</w:t>
      </w:r>
      <w:r w:rsidRPr="00A518F9">
        <w:rPr>
          <w:lang w:val="fr-CH"/>
        </w:rPr>
        <w:t xml:space="preserve"> </w:t>
      </w:r>
      <w:r w:rsidRPr="00A518F9">
        <w:rPr>
          <w:lang w:val="fr-CH"/>
        </w:rPr>
        <w:sym w:font="Symbol" w:char="F0A3"/>
      </w:r>
      <w:r w:rsidRPr="00A518F9">
        <w:rPr>
          <w:lang w:val="fr-CH"/>
        </w:rPr>
        <w:t xml:space="preserve"> –</w:t>
      </w:r>
      <w:r w:rsidRPr="00A518F9">
        <w:rPr>
          <w:sz w:val="4"/>
          <w:lang w:val="fr-CH"/>
        </w:rPr>
        <w:t> </w:t>
      </w:r>
      <w:r w:rsidRPr="00A518F9">
        <w:rPr>
          <w:lang w:val="fr-CH"/>
        </w:rPr>
        <w:t>165 dB(W/(m</w:t>
      </w:r>
      <w:r w:rsidRPr="00A518F9">
        <w:rPr>
          <w:vertAlign w:val="superscript"/>
          <w:lang w:val="fr-CH"/>
        </w:rPr>
        <w:t>2</w:t>
      </w:r>
      <w:r w:rsidRPr="00A518F9">
        <w:rPr>
          <w:lang w:val="fr-CH"/>
        </w:rPr>
        <w:t xml:space="preserve"> </w:t>
      </w:r>
      <w:r w:rsidRPr="00A518F9">
        <w:rPr>
          <w:lang w:val="fr-CH"/>
        </w:rPr>
        <w:sym w:font="Symbol" w:char="F0D7"/>
      </w:r>
      <w:r w:rsidRPr="00A518F9">
        <w:rPr>
          <w:lang w:val="fr-CH"/>
        </w:rPr>
        <w:t xml:space="preserve"> 4 kHz))</w:t>
      </w:r>
      <w:r w:rsidRPr="00A518F9">
        <w:rPr>
          <w:lang w:val="fr-CH"/>
        </w:rPr>
        <w:tab/>
        <w:t>(28)</w:t>
      </w:r>
    </w:p>
    <w:p w:rsidR="002B1FA9" w:rsidRPr="00A518F9" w:rsidRDefault="002B1FA9" w:rsidP="002B1FA9">
      <w:pPr>
        <w:pStyle w:val="Blanc"/>
        <w:rPr>
          <w:lang w:val="fr-CH"/>
        </w:rPr>
      </w:pPr>
    </w:p>
    <w:p w:rsidR="002C27CA" w:rsidRPr="00A518F9" w:rsidRDefault="002C27CA" w:rsidP="002C27CA">
      <w:pPr>
        <w:rPr>
          <w:lang w:val="fr-CH"/>
        </w:rPr>
      </w:pPr>
      <w:r w:rsidRPr="00A518F9">
        <w:rPr>
          <w:lang w:val="fr-CH"/>
        </w:rPr>
        <w:t xml:space="preserve">ou </w:t>
      </w:r>
      <w:r w:rsidRPr="00A518F9">
        <w:rPr>
          <w:i/>
          <w:iCs/>
          <w:lang w:val="fr-CH"/>
        </w:rPr>
        <w:t>AFFAIBLISSEMENT</w:t>
      </w:r>
      <w:r w:rsidRPr="00A518F9">
        <w:rPr>
          <w:i/>
          <w:iCs/>
          <w:vertAlign w:val="subscript"/>
          <w:lang w:val="fr-CH"/>
        </w:rPr>
        <w:t>OoB</w:t>
      </w:r>
      <w:r w:rsidRPr="00A518F9">
        <w:rPr>
          <w:lang w:val="fr-CH"/>
        </w:rPr>
        <w:t xml:space="preserve"> = 68,2 dB.</w:t>
      </w:r>
    </w:p>
    <w:p w:rsidR="002C27CA" w:rsidRPr="00A518F9" w:rsidRDefault="002C27CA" w:rsidP="002B1FA9">
      <w:pPr>
        <w:pStyle w:val="Heading1"/>
        <w:rPr>
          <w:lang w:val="fr-CH"/>
        </w:rPr>
      </w:pPr>
      <w:r w:rsidRPr="00A518F9">
        <w:rPr>
          <w:lang w:val="fr-CH"/>
        </w:rPr>
        <w:t>2</w:t>
      </w:r>
      <w:r w:rsidRPr="00A518F9">
        <w:rPr>
          <w:lang w:val="fr-CH"/>
        </w:rPr>
        <w:tab/>
        <w:t>Détermination des niveaux de puissance surfacique hors bande pour les systèmes HAPS dans la bande 2 025-2 110 MHz</w:t>
      </w:r>
    </w:p>
    <w:p w:rsidR="002C27CA" w:rsidRPr="00A518F9" w:rsidRDefault="002C27CA" w:rsidP="002C27CA">
      <w:pPr>
        <w:rPr>
          <w:lang w:val="fr-CH"/>
        </w:rPr>
      </w:pPr>
      <w:r w:rsidRPr="00A518F9">
        <w:rPr>
          <w:lang w:val="fr-CH"/>
        </w:rPr>
        <w:t>Le niveau de la puissance surfacique de –</w:t>
      </w:r>
      <w:r w:rsidRPr="00A518F9">
        <w:rPr>
          <w:sz w:val="4"/>
          <w:lang w:val="fr-CH"/>
        </w:rPr>
        <w:t> </w:t>
      </w:r>
      <w:r w:rsidRPr="00A518F9">
        <w:rPr>
          <w:lang w:val="fr-CH"/>
        </w:rPr>
        <w:t>165 dB(W/(m</w:t>
      </w:r>
      <w:r w:rsidRPr="00A518F9">
        <w:rPr>
          <w:vertAlign w:val="superscript"/>
          <w:lang w:val="fr-CH"/>
        </w:rPr>
        <w:t>2</w:t>
      </w:r>
      <w:r w:rsidRPr="00A518F9">
        <w:rPr>
          <w:lang w:val="fr-CH"/>
        </w:rPr>
        <w:t> </w:t>
      </w:r>
      <w:r w:rsidRPr="00A518F9">
        <w:rPr>
          <w:lang w:val="fr-CH"/>
        </w:rPr>
        <w:sym w:font="Symbol" w:char="F0D7"/>
      </w:r>
      <w:r w:rsidRPr="00A518F9">
        <w:rPr>
          <w:lang w:val="fr-CH"/>
        </w:rPr>
        <w:t xml:space="preserve"> 1 MHz)) indiqué au § 5.1 du </w:t>
      </w:r>
      <w:r w:rsidRPr="00A518F9">
        <w:rPr>
          <w:i/>
          <w:iCs/>
          <w:lang w:val="fr-CH"/>
        </w:rPr>
        <w:t>recommande</w:t>
      </w:r>
      <w:r w:rsidRPr="00A518F9">
        <w:rPr>
          <w:lang w:val="fr-CH"/>
        </w:rPr>
        <w:t xml:space="preserve"> pour des angles d'élévation compris entre 0° et 5° a été déterminé comme suit. Le niveau de brouillage admissible des rayonnements hors bande est déterminé à partir de l'impératif suivant: le brouillage causé par un système HAPS à une station du service fixe équipée d'une antenne ayant un gain de 33 dBi et ayant un facteur de bruit de 5 dB ne doit pas être à plus de 20 dB en dessous du niveau de bruit thermique de –</w:t>
      </w:r>
      <w:r w:rsidRPr="00A518F9">
        <w:rPr>
          <w:sz w:val="4"/>
          <w:lang w:val="fr-CH"/>
        </w:rPr>
        <w:t> </w:t>
      </w:r>
      <w:r w:rsidRPr="00A518F9">
        <w:rPr>
          <w:lang w:val="fr-CH"/>
        </w:rPr>
        <w:t>139 dB(W/MHz).</w:t>
      </w:r>
    </w:p>
    <w:p w:rsidR="002C27CA" w:rsidRPr="00A518F9" w:rsidRDefault="002C27CA" w:rsidP="002C27CA">
      <w:pPr>
        <w:rPr>
          <w:lang w:val="fr-CH"/>
        </w:rPr>
      </w:pPr>
      <w:r w:rsidRPr="00A518F9">
        <w:rPr>
          <w:lang w:val="fr-CH"/>
        </w:rPr>
        <w:lastRenderedPageBreak/>
        <w:t>Le niveau de puissance surfacique de –</w:t>
      </w:r>
      <w:r w:rsidRPr="00A518F9">
        <w:rPr>
          <w:sz w:val="4"/>
          <w:lang w:val="fr-CH"/>
        </w:rPr>
        <w:t> </w:t>
      </w:r>
      <w:r w:rsidRPr="00A518F9">
        <w:rPr>
          <w:lang w:val="fr-CH"/>
        </w:rPr>
        <w:t>130 dB(W/(m</w:t>
      </w:r>
      <w:r w:rsidRPr="00A518F9">
        <w:rPr>
          <w:vertAlign w:val="superscript"/>
          <w:lang w:val="fr-CH"/>
        </w:rPr>
        <w:t>2</w:t>
      </w:r>
      <w:r w:rsidRPr="00A518F9">
        <w:rPr>
          <w:lang w:val="fr-CH"/>
        </w:rPr>
        <w:t xml:space="preserve"> </w:t>
      </w:r>
      <w:r w:rsidRPr="00A518F9">
        <w:rPr>
          <w:lang w:val="fr-CH"/>
        </w:rPr>
        <w:sym w:font="Symbol" w:char="F0D7"/>
      </w:r>
      <w:r w:rsidRPr="00A518F9">
        <w:rPr>
          <w:lang w:val="fr-CH"/>
        </w:rPr>
        <w:t xml:space="preserve"> 1 MHz)) indiqué au § 5.3 du </w:t>
      </w:r>
      <w:r w:rsidRPr="00A518F9">
        <w:rPr>
          <w:i/>
          <w:iCs/>
          <w:lang w:val="fr-CH"/>
        </w:rPr>
        <w:t>recommande</w:t>
      </w:r>
      <w:r w:rsidRPr="00A518F9">
        <w:rPr>
          <w:lang w:val="fr-CH"/>
        </w:rPr>
        <w:t xml:space="preserve"> pour des angles d'élévation compris entre 25° et 90° est fondé sur les mêmes caractéristiques de protection du récepteur mais avec un gain d'antenne du service fixe de 3,5 dBi dans la direction de la station HAPS.</w:t>
      </w:r>
    </w:p>
    <w:p w:rsidR="002C27CA" w:rsidRPr="00A518F9" w:rsidRDefault="002C27CA" w:rsidP="002C27CA">
      <w:pPr>
        <w:rPr>
          <w:lang w:val="fr-CH"/>
        </w:rPr>
      </w:pPr>
    </w:p>
    <w:p w:rsidR="002C27CA" w:rsidRPr="00A518F9" w:rsidRDefault="002C27CA" w:rsidP="002C27CA">
      <w:pPr>
        <w:rPr>
          <w:lang w:val="fr-CH"/>
        </w:rPr>
      </w:pPr>
    </w:p>
    <w:p w:rsidR="002C27CA" w:rsidRPr="00A518F9" w:rsidRDefault="002C27CA" w:rsidP="002C27CA">
      <w:pPr>
        <w:pStyle w:val="AnnexNoTitle"/>
        <w:rPr>
          <w:lang w:val="fr-CH"/>
        </w:rPr>
      </w:pPr>
      <w:r w:rsidRPr="00A518F9">
        <w:rPr>
          <w:lang w:val="fr-CH"/>
        </w:rPr>
        <w:t>Annexe  3</w:t>
      </w:r>
      <w:r w:rsidRPr="00A518F9">
        <w:rPr>
          <w:lang w:val="fr-CH"/>
        </w:rPr>
        <w:br/>
      </w:r>
      <w:r w:rsidRPr="00A518F9">
        <w:rPr>
          <w:lang w:val="fr-CH"/>
        </w:rPr>
        <w:br/>
        <w:t xml:space="preserve">Compatibilité entre les systèmes IMT-2000 HAPS et les services de recherche spatiale, d'exploitation spatiale et d'exploration de la Terre par satellite (SETS) </w:t>
      </w:r>
      <w:r w:rsidRPr="00A518F9">
        <w:rPr>
          <w:lang w:val="fr-CH"/>
        </w:rPr>
        <w:br/>
        <w:t>fonctionnant dans la bande adjacente 2 025-2 110 MHz</w:t>
      </w:r>
    </w:p>
    <w:p w:rsidR="002C27CA" w:rsidRPr="00A518F9" w:rsidRDefault="002C27CA" w:rsidP="002B1FA9">
      <w:pPr>
        <w:pStyle w:val="Normalaftertitle"/>
        <w:rPr>
          <w:lang w:val="fr-CH"/>
        </w:rPr>
      </w:pPr>
      <w:r w:rsidRPr="00A518F9">
        <w:rPr>
          <w:lang w:val="fr-CH"/>
        </w:rPr>
        <w:t>Le réseau spatial se compose de liaisons espace vers espace entre un satellite relais de données en orbite géostationnaire et un satellite en orbite terrestre basse (LEO). Le satellite relais de données émet en direction du satellite LEO dans la bande 2</w:t>
      </w:r>
      <w:r w:rsidRPr="00A518F9">
        <w:rPr>
          <w:rFonts w:ascii="Tms Rmn" w:hAnsi="Tms Rmn"/>
          <w:sz w:val="12"/>
          <w:lang w:val="fr-CH"/>
        </w:rPr>
        <w:t> </w:t>
      </w:r>
      <w:r w:rsidRPr="00A518F9">
        <w:rPr>
          <w:lang w:val="fr-CH"/>
        </w:rPr>
        <w:t>025-2</w:t>
      </w:r>
      <w:r w:rsidRPr="00A518F9">
        <w:rPr>
          <w:rFonts w:ascii="Tms Rmn" w:hAnsi="Tms Rmn"/>
          <w:sz w:val="12"/>
          <w:lang w:val="fr-CH"/>
        </w:rPr>
        <w:t> </w:t>
      </w:r>
      <w:r w:rsidRPr="00A518F9">
        <w:rPr>
          <w:lang w:val="fr-CH"/>
        </w:rPr>
        <w:t>110 MHz et reçoit les émissions en provenance du satellite LEO dans la bande 2</w:t>
      </w:r>
      <w:r w:rsidRPr="00A518F9">
        <w:rPr>
          <w:rFonts w:ascii="Tms Rmn" w:hAnsi="Tms Rmn"/>
          <w:sz w:val="12"/>
          <w:lang w:val="fr-CH"/>
        </w:rPr>
        <w:t> </w:t>
      </w:r>
      <w:r w:rsidRPr="00A518F9">
        <w:rPr>
          <w:lang w:val="fr-CH"/>
        </w:rPr>
        <w:t>200-2</w:t>
      </w:r>
      <w:r w:rsidRPr="00A518F9">
        <w:rPr>
          <w:rFonts w:ascii="Tms Rmn" w:hAnsi="Tms Rmn"/>
          <w:sz w:val="12"/>
          <w:lang w:val="fr-CH"/>
        </w:rPr>
        <w:t> </w:t>
      </w:r>
      <w:r w:rsidRPr="00A518F9">
        <w:rPr>
          <w:lang w:val="fr-CH"/>
        </w:rPr>
        <w:t>290 MHz. Ainsi, un satellite LEO peut subir un brouillage dans la bande 2</w:t>
      </w:r>
      <w:r w:rsidRPr="00A518F9">
        <w:rPr>
          <w:rFonts w:ascii="Tms Rmn" w:hAnsi="Tms Rmn"/>
          <w:sz w:val="12"/>
          <w:lang w:val="fr-CH"/>
        </w:rPr>
        <w:t> </w:t>
      </w:r>
      <w:r w:rsidRPr="00A518F9">
        <w:rPr>
          <w:lang w:val="fr-CH"/>
        </w:rPr>
        <w:t>025-2</w:t>
      </w:r>
      <w:r w:rsidRPr="00A518F9">
        <w:rPr>
          <w:rFonts w:ascii="Tms Rmn" w:hAnsi="Tms Rmn"/>
          <w:sz w:val="12"/>
          <w:lang w:val="fr-CH"/>
        </w:rPr>
        <w:t> </w:t>
      </w:r>
      <w:r w:rsidRPr="00A518F9">
        <w:rPr>
          <w:lang w:val="fr-CH"/>
        </w:rPr>
        <w:t>110 MHz. Un satellite LEO peut également communiquer avec des stations terriennes d'un réseau au sol utilisant des liaisons Terre vers espace. Les liaisons Terre vers espace en direction du satellite LEO s'effectuent dans la bande 2</w:t>
      </w:r>
      <w:r w:rsidRPr="00A518F9">
        <w:rPr>
          <w:rFonts w:ascii="Tms Rmn" w:hAnsi="Tms Rmn"/>
          <w:sz w:val="12"/>
          <w:lang w:val="fr-CH"/>
        </w:rPr>
        <w:t> </w:t>
      </w:r>
      <w:r w:rsidRPr="00A518F9">
        <w:rPr>
          <w:lang w:val="fr-CH"/>
        </w:rPr>
        <w:t>025-2</w:t>
      </w:r>
      <w:r w:rsidRPr="00A518F9">
        <w:rPr>
          <w:rFonts w:ascii="Tms Rmn" w:hAnsi="Tms Rmn"/>
          <w:sz w:val="12"/>
          <w:lang w:val="fr-CH"/>
        </w:rPr>
        <w:t> </w:t>
      </w:r>
      <w:r w:rsidRPr="00A518F9">
        <w:rPr>
          <w:lang w:val="fr-CH"/>
        </w:rPr>
        <w:t>110 MHz et la réception des signaux en provenance d'un satellite LEO dans la bande 2</w:t>
      </w:r>
      <w:r w:rsidRPr="00A518F9">
        <w:rPr>
          <w:rFonts w:ascii="Tms Rmn" w:hAnsi="Tms Rmn"/>
          <w:sz w:val="12"/>
          <w:lang w:val="fr-CH"/>
        </w:rPr>
        <w:t> </w:t>
      </w:r>
      <w:r w:rsidRPr="00A518F9">
        <w:rPr>
          <w:lang w:val="fr-CH"/>
        </w:rPr>
        <w:t>200-2</w:t>
      </w:r>
      <w:r w:rsidRPr="00A518F9">
        <w:rPr>
          <w:rFonts w:ascii="Tms Rmn" w:hAnsi="Tms Rmn"/>
          <w:sz w:val="12"/>
          <w:lang w:val="fr-CH"/>
        </w:rPr>
        <w:t> </w:t>
      </w:r>
      <w:r w:rsidRPr="00A518F9">
        <w:rPr>
          <w:lang w:val="fr-CH"/>
        </w:rPr>
        <w:t>290 MHz.</w:t>
      </w:r>
    </w:p>
    <w:p w:rsidR="002C27CA" w:rsidRPr="00A518F9" w:rsidRDefault="002C27CA" w:rsidP="002C27CA">
      <w:pPr>
        <w:rPr>
          <w:lang w:val="fr-CH"/>
        </w:rPr>
      </w:pPr>
      <w:r w:rsidRPr="00A518F9">
        <w:rPr>
          <w:lang w:val="fr-CH"/>
        </w:rPr>
        <w:t>Le numéro S5.391 du RR renvoie à la Recommandation UIT-R SA.1154 qui recommande:</w:t>
      </w:r>
    </w:p>
    <w:p w:rsidR="002C27CA" w:rsidRPr="00A518F9" w:rsidRDefault="002C27CA" w:rsidP="002C27CA">
      <w:pPr>
        <w:rPr>
          <w:lang w:val="fr-CH"/>
        </w:rPr>
      </w:pPr>
      <w:r w:rsidRPr="00A518F9">
        <w:rPr>
          <w:bCs/>
          <w:lang w:val="fr-CH"/>
        </w:rPr>
        <w:t>«</w:t>
      </w:r>
      <w:r w:rsidRPr="00A518F9">
        <w:rPr>
          <w:b/>
          <w:lang w:val="fr-CH"/>
        </w:rPr>
        <w:t>1</w:t>
      </w:r>
      <w:r w:rsidRPr="00A518F9">
        <w:rPr>
          <w:b/>
          <w:lang w:val="fr-CH"/>
        </w:rPr>
        <w:tab/>
      </w:r>
      <w:r w:rsidRPr="00A518F9">
        <w:rPr>
          <w:lang w:val="fr-CH"/>
        </w:rPr>
        <w:t>que les dispositions suivantes soient appliquées pour protéger les services SRS, SES et SETS contre l'ensemble des brouillages causés par les émissions des systèmes mobiles dans la bande 2</w:t>
      </w:r>
      <w:r w:rsidRPr="00A518F9">
        <w:rPr>
          <w:rFonts w:ascii="Tms Rmn" w:hAnsi="Tms Rmn"/>
          <w:sz w:val="12"/>
          <w:lang w:val="fr-CH"/>
        </w:rPr>
        <w:t> </w:t>
      </w:r>
      <w:r w:rsidRPr="00A518F9">
        <w:rPr>
          <w:lang w:val="fr-CH"/>
        </w:rPr>
        <w:t>025-2</w:t>
      </w:r>
      <w:r w:rsidRPr="00A518F9">
        <w:rPr>
          <w:rFonts w:ascii="Tms Rmn" w:hAnsi="Tms Rmn"/>
          <w:sz w:val="12"/>
          <w:lang w:val="fr-CH"/>
        </w:rPr>
        <w:t> </w:t>
      </w:r>
      <w:r w:rsidRPr="00A518F9">
        <w:rPr>
          <w:lang w:val="fr-CH"/>
        </w:rPr>
        <w:t>110 MHz;</w:t>
      </w:r>
    </w:p>
    <w:p w:rsidR="002C27CA" w:rsidRPr="00A518F9" w:rsidRDefault="002C27CA" w:rsidP="002C27CA">
      <w:pPr>
        <w:rPr>
          <w:lang w:val="fr-CH"/>
        </w:rPr>
      </w:pPr>
      <w:r w:rsidRPr="00A518F9">
        <w:rPr>
          <w:b/>
          <w:lang w:val="fr-CH"/>
        </w:rPr>
        <w:t>1.1</w:t>
      </w:r>
      <w:r w:rsidRPr="00A518F9">
        <w:rPr>
          <w:lang w:val="fr-CH"/>
        </w:rPr>
        <w:tab/>
        <w:t>que le brouillage cumulatif à l'entrée du récepteur de l'engin spatial, sauf dans le cas d'une liaison espace-espace, ne dépasse pas –</w:t>
      </w:r>
      <w:r w:rsidRPr="00A518F9">
        <w:rPr>
          <w:sz w:val="4"/>
          <w:lang w:val="fr-CH"/>
        </w:rPr>
        <w:t> </w:t>
      </w:r>
      <w:r w:rsidRPr="00A518F9">
        <w:rPr>
          <w:lang w:val="fr-CH"/>
        </w:rPr>
        <w:t>180 dB(W/kHz) pendant plus de 0,1% du temps;</w:t>
      </w:r>
    </w:p>
    <w:p w:rsidR="002C27CA" w:rsidRPr="00A518F9" w:rsidRDefault="002C27CA" w:rsidP="002C27CA">
      <w:pPr>
        <w:rPr>
          <w:lang w:val="fr-CH"/>
        </w:rPr>
      </w:pPr>
      <w:r w:rsidRPr="00A518F9">
        <w:rPr>
          <w:b/>
          <w:lang w:val="fr-CH"/>
        </w:rPr>
        <w:t>1.2</w:t>
      </w:r>
      <w:r w:rsidRPr="00A518F9">
        <w:rPr>
          <w:lang w:val="fr-CH"/>
        </w:rPr>
        <w:tab/>
        <w:t>que, dans le cas de liaisons espace-espace, le brouillage cumulatif aux bornes d'entrée du récepteur de l'engin spatial ne dépasse pas –</w:t>
      </w:r>
      <w:r w:rsidRPr="00A518F9">
        <w:rPr>
          <w:sz w:val="4"/>
          <w:lang w:val="fr-CH"/>
        </w:rPr>
        <w:t> </w:t>
      </w:r>
      <w:r w:rsidRPr="00A518F9">
        <w:rPr>
          <w:lang w:val="fr-CH"/>
        </w:rPr>
        <w:t>184 dB(W/kHz) pendant plus de 0,1% du temps;».</w:t>
      </w:r>
    </w:p>
    <w:p w:rsidR="002C27CA" w:rsidRPr="00A518F9" w:rsidRDefault="002C27CA" w:rsidP="002C27CA">
      <w:pPr>
        <w:rPr>
          <w:lang w:val="fr-CH"/>
        </w:rPr>
      </w:pPr>
      <w:r w:rsidRPr="00A518F9">
        <w:rPr>
          <w:lang w:val="fr-CH"/>
        </w:rPr>
        <w:t>Certes, la Recommandation 622 (CMR-97) recommande le recours aux progrès techniques pour réduire au minimum la largeur de bande totale requise pour les services spatiaux, mais le numéro S5.391 du RR et la Recommandation UIT</w:t>
      </w:r>
      <w:r w:rsidRPr="00A518F9">
        <w:rPr>
          <w:lang w:val="fr-CH"/>
        </w:rPr>
        <w:noBreakHyphen/>
        <w:t>R SA.1154 recommandent que seuls les systèmes mobiles à faible densité soient autorisés de fonctionner dans ces bandes.</w:t>
      </w:r>
    </w:p>
    <w:p w:rsidR="002C27CA" w:rsidRPr="00A518F9" w:rsidRDefault="002C27CA" w:rsidP="002C27CA">
      <w:pPr>
        <w:rPr>
          <w:lang w:val="fr-CH"/>
        </w:rPr>
      </w:pPr>
      <w:r w:rsidRPr="00A518F9">
        <w:rPr>
          <w:lang w:val="fr-CH"/>
        </w:rPr>
        <w:t xml:space="preserve">Etant donné que le numéro S5.391 du RR porte uniquement sur les brouillages dans la bande, il a semblé nécessaire de décroître de 5 dB le niveau de densité spectrale dans la bande recommandée, ce qui donne un niveau de </w:t>
      </w:r>
      <w:r w:rsidRPr="00A518F9">
        <w:rPr>
          <w:position w:val="7"/>
          <w:lang w:val="fr-CH"/>
        </w:rPr>
        <w:t>_</w:t>
      </w:r>
      <w:r w:rsidRPr="00A518F9">
        <w:rPr>
          <w:sz w:val="4"/>
          <w:lang w:val="fr-CH"/>
        </w:rPr>
        <w:t> </w:t>
      </w:r>
      <w:r w:rsidRPr="00A518F9">
        <w:rPr>
          <w:lang w:val="fr-CH"/>
        </w:rPr>
        <w:t>159 dB(W/MHz) pour le brouillage cumulatif admissible à l'entrée du récepteur d'une station terrienne pendant 99,9% du temps.</w:t>
      </w:r>
    </w:p>
    <w:p w:rsidR="002C27CA" w:rsidRPr="00A518F9" w:rsidRDefault="002C27CA" w:rsidP="002B1FA9">
      <w:pPr>
        <w:rPr>
          <w:lang w:val="fr-CH"/>
        </w:rPr>
      </w:pPr>
      <w:r w:rsidRPr="00A518F9">
        <w:rPr>
          <w:lang w:val="fr-CH"/>
        </w:rPr>
        <w:t>Considérons maintenant les brouillages que peuvent causer des stations HAPS aux satellites LEO fonctionnant dans le réseau spatial et dont la réception se fait dans la bande 2</w:t>
      </w:r>
      <w:r w:rsidRPr="00A518F9">
        <w:rPr>
          <w:rFonts w:ascii="Tms Rmn" w:hAnsi="Tms Rmn"/>
          <w:sz w:val="12"/>
          <w:lang w:val="fr-CH"/>
        </w:rPr>
        <w:t> </w:t>
      </w:r>
      <w:r w:rsidRPr="00A518F9">
        <w:rPr>
          <w:lang w:val="fr-CH"/>
        </w:rPr>
        <w:t>025-2</w:t>
      </w:r>
      <w:r w:rsidRPr="00A518F9">
        <w:rPr>
          <w:rFonts w:ascii="Tms Rmn" w:hAnsi="Tms Rmn"/>
          <w:sz w:val="12"/>
          <w:lang w:val="fr-CH"/>
        </w:rPr>
        <w:t> </w:t>
      </w:r>
      <w:r w:rsidRPr="00A518F9">
        <w:rPr>
          <w:lang w:val="fr-CH"/>
        </w:rPr>
        <w:t>110 MHz. Les configurations intéressantes sont représentées aux Fig. 12a et 12b. Le brouillage cumulatif à l'entrée</w:t>
      </w:r>
      <w:r w:rsidR="002B1FA9" w:rsidRPr="00A518F9">
        <w:rPr>
          <w:lang w:val="fr-CH"/>
        </w:rPr>
        <w:t xml:space="preserve"> </w:t>
      </w:r>
      <w:r w:rsidRPr="00A518F9">
        <w:rPr>
          <w:lang w:val="fr-CH"/>
        </w:rPr>
        <w:t xml:space="preserve">du récepteur du satellite LEO ne doit pas dépasser </w:t>
      </w:r>
      <w:r w:rsidR="002B1FA9" w:rsidRPr="00A518F9">
        <w:rPr>
          <w:lang w:val="fr-CH"/>
        </w:rPr>
        <w:t>–</w:t>
      </w:r>
      <w:r w:rsidRPr="00A518F9">
        <w:rPr>
          <w:lang w:val="fr-CH"/>
        </w:rPr>
        <w:t>219 dB(W/Hz) pendant plus de 0,1% du temps.</w:t>
      </w:r>
    </w:p>
    <w:p w:rsidR="002C27CA" w:rsidRPr="00A518F9" w:rsidRDefault="002C27CA" w:rsidP="002C27CA">
      <w:pPr>
        <w:pStyle w:val="FigureNo"/>
        <w:rPr>
          <w:lang w:val="fr-CH"/>
        </w:rPr>
      </w:pPr>
      <w:r w:rsidRPr="00A518F9">
        <w:rPr>
          <w:noProof/>
          <w:lang w:val="en-US" w:eastAsia="zh-CN"/>
        </w:rPr>
        <w:lastRenderedPageBreak/>
        <w:drawing>
          <wp:inline distT="0" distB="0" distL="0" distR="0" wp14:anchorId="1200F45C" wp14:editId="49AB2F5C">
            <wp:extent cx="6075045" cy="299783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5045" cy="2997835"/>
                    </a:xfrm>
                    <a:prstGeom prst="rect">
                      <a:avLst/>
                    </a:prstGeom>
                    <a:noFill/>
                    <a:ln>
                      <a:noFill/>
                    </a:ln>
                  </pic:spPr>
                </pic:pic>
              </a:graphicData>
            </a:graphic>
          </wp:inline>
        </w:drawing>
      </w:r>
    </w:p>
    <w:p w:rsidR="002C27CA" w:rsidRPr="00A518F9" w:rsidRDefault="002C27CA" w:rsidP="002C27CA">
      <w:pPr>
        <w:pStyle w:val="Normalaftertitle"/>
        <w:rPr>
          <w:lang w:val="fr-CH"/>
        </w:rPr>
      </w:pPr>
      <w:r w:rsidRPr="00A518F9">
        <w:rPr>
          <w:lang w:val="fr-CH"/>
        </w:rPr>
        <w:t xml:space="preserve">Les antennes HAPS ne pointent pas vers le satellite LEO, par conséquent, il n'y a pas de brouillage causé par le lobe principal au lobe latéral. Pour le brouillage du lobe principal par le lobe latéral proche, uniquement un seul faisceau HAPS peut être impliqué car les différents faisceaux de transmission HAPS pointent vers des directions différentes. Cette situation n'est pas très différente de celle des brouillages entre systèmes HAPS et satellites de relais de données, à ceci près que l'affaiblissement en espace libre est légèrement moindre en raison de la faible altitude du satellite (~250 km). Dans ce scénario de brouillage, le satellite LEO est juste visible depuis le système HAPS et par conséquent la distance entre le système HAPS et le satellite LEO est donnée approximativement par la relation </w:t>
      </w:r>
      <w:r w:rsidR="002B1FA9" w:rsidRPr="00A518F9">
        <w:rPr>
          <w:position w:val="-14"/>
          <w:lang w:val="fr-CH"/>
        </w:rPr>
        <w:object w:dxaOrig="2240" w:dyaOrig="420">
          <v:shape id="_x0000_i1037" type="#_x0000_t75" style="width:112pt;height:20.5pt" o:ole="">
            <v:imagedata r:id="rId50" o:title=""/>
          </v:shape>
          <o:OLEObject Type="Embed" ProgID="Equation.3" ShapeID="_x0000_i1037" DrawAspect="Content" ObjectID="_1370084543" r:id="rId51"/>
        </w:object>
      </w:r>
      <w:r w:rsidRPr="00A518F9">
        <w:rPr>
          <w:lang w:val="fr-CH"/>
        </w:rPr>
        <w:t>, ou 2 295 km, ce qui correspond à un affaiblissement en espace libre de 166 dB. Le brouillage causé à un satellite en orbite basse est capté dans le système de réception par les lobes latéraux de l'antenne dont le gain est de 0 dBi.</w:t>
      </w:r>
    </w:p>
    <w:p w:rsidR="002C27CA" w:rsidRPr="00A518F9" w:rsidRDefault="002C27CA" w:rsidP="002C27CA">
      <w:pPr>
        <w:pStyle w:val="Blanc"/>
        <w:rPr>
          <w:lang w:val="fr-CH"/>
        </w:rPr>
      </w:pPr>
    </w:p>
    <w:p w:rsidR="002C27CA" w:rsidRPr="00A518F9" w:rsidRDefault="002C27CA" w:rsidP="002C27CA">
      <w:pPr>
        <w:pStyle w:val="Equation"/>
        <w:rPr>
          <w:i/>
          <w:lang w:val="fr-CH"/>
        </w:rPr>
      </w:pPr>
      <w:r w:rsidRPr="00A518F9">
        <w:rPr>
          <w:i/>
          <w:lang w:val="fr-CH"/>
        </w:rPr>
        <w:tab/>
        <w:t>Seuil p.i.r.e.</w:t>
      </w:r>
      <w:r w:rsidRPr="00A518F9">
        <w:rPr>
          <w:lang w:val="fr-CH"/>
        </w:rPr>
        <w:t xml:space="preserve">  =  –</w:t>
      </w:r>
      <w:r w:rsidRPr="00A518F9">
        <w:rPr>
          <w:sz w:val="4"/>
          <w:lang w:val="fr-CH"/>
        </w:rPr>
        <w:t> </w:t>
      </w:r>
      <w:r w:rsidRPr="00A518F9">
        <w:rPr>
          <w:lang w:val="fr-CH"/>
        </w:rPr>
        <w:t>159 dB(W/MHz)</w:t>
      </w:r>
      <w:r w:rsidRPr="00A518F9">
        <w:rPr>
          <w:iCs/>
          <w:lang w:val="fr-CH"/>
        </w:rPr>
        <w:t xml:space="preserve">  +  166 dB  –  0 dBi  +  2 dB</w:t>
      </w:r>
      <w:r w:rsidRPr="00A518F9">
        <w:rPr>
          <w:lang w:val="fr-CH"/>
        </w:rPr>
        <w:t xml:space="preserve">  =  </w:t>
      </w:r>
      <w:r w:rsidRPr="00A518F9">
        <w:rPr>
          <w:iCs/>
          <w:lang w:val="fr-CH"/>
        </w:rPr>
        <w:t>9</w:t>
      </w:r>
      <w:r w:rsidRPr="00A518F9">
        <w:rPr>
          <w:lang w:val="fr-CH"/>
        </w:rPr>
        <w:t> dB(W/MHz)</w:t>
      </w:r>
      <w:r w:rsidRPr="00A518F9">
        <w:rPr>
          <w:iCs/>
          <w:lang w:val="fr-CH"/>
        </w:rPr>
        <w:tab/>
        <w:t>(29)</w:t>
      </w:r>
    </w:p>
    <w:p w:rsidR="002C27CA" w:rsidRPr="00A518F9" w:rsidRDefault="002C27CA" w:rsidP="002C27CA">
      <w:pPr>
        <w:pStyle w:val="Blanc"/>
        <w:rPr>
          <w:lang w:val="fr-CH"/>
        </w:rPr>
      </w:pPr>
    </w:p>
    <w:p w:rsidR="002C27CA" w:rsidRPr="00A518F9" w:rsidRDefault="002C27CA" w:rsidP="002C27CA">
      <w:pPr>
        <w:rPr>
          <w:lang w:val="fr-CH"/>
        </w:rPr>
      </w:pPr>
      <w:r w:rsidRPr="00A518F9">
        <w:rPr>
          <w:lang w:val="fr-CH"/>
        </w:rPr>
        <w:t>Par conséquent, même en l'absence d'affaiblissement hors bande, la probabilité de brouillage est nulle.</w:t>
      </w:r>
    </w:p>
    <w:p w:rsidR="002C27CA" w:rsidRPr="00A518F9" w:rsidRDefault="002C27CA" w:rsidP="002C27CA">
      <w:pPr>
        <w:rPr>
          <w:lang w:val="fr-CH"/>
        </w:rPr>
      </w:pPr>
      <w:r w:rsidRPr="00A518F9">
        <w:rPr>
          <w:lang w:val="fr-CH"/>
        </w:rPr>
        <w:t>A l'intérieur de la zone visible depuis le satellite LEO, il y a en général plusieurs réseaux HAPS assurant une couverture avec recouvrement. Pour un satellite situé à une altitude d'environ 250 km, dont la zone visible correspond approximativement à 12 fois la zone de couverture HAPS, on peut considérer que l'on voit depuis un seul satellite LEO de science spatiale 12 systèmes HAPS au maximum. Pour simplifier, on peut supposer que les réseaux HAPS sont approximativement uniformément répartis dans la zone visible depuis le satellite. Etant donné que chaque station HAPS dispose d'un nombre important d'antennes, la possibilité d'un brouillage cumulatif existe.</w:t>
      </w:r>
    </w:p>
    <w:p w:rsidR="002C27CA" w:rsidRPr="00A518F9" w:rsidRDefault="002C27CA" w:rsidP="002C27CA">
      <w:pPr>
        <w:rPr>
          <w:lang w:val="fr-CH"/>
        </w:rPr>
      </w:pPr>
      <w:r w:rsidRPr="00A518F9">
        <w:rPr>
          <w:lang w:val="fr-CH"/>
        </w:rPr>
        <w:t>Comme le gain de l'antenne dans les lobes latéraux est une fonction de la fréquence centrale du réseau d'antenne, on suppose ici prudemment que les lobes latéraux éloignés des antennes HAPS présentent essentiellement un gain de 0 dBi. Dans le cas de 700 faisceaux HAPS, on a une densité spectrale de p.i.r.e. cumulative maximale de 11,5 dB(W/MHz). Environ 12 plates-formes HAPS peuvent se trouver dans la zone de couverture d'un satellite LEO. La densité spectrale brouilleuse cumulative parvenant au satellite LEO depuis 12 systèmes HAPS est donnée par:</w:t>
      </w:r>
    </w:p>
    <w:p w:rsidR="002B1FA9" w:rsidRPr="00A518F9" w:rsidRDefault="002B1FA9" w:rsidP="002B1FA9">
      <w:pPr>
        <w:pStyle w:val="Blanc"/>
        <w:rPr>
          <w:lang w:val="fr-CH"/>
        </w:rPr>
      </w:pPr>
    </w:p>
    <w:p w:rsidR="002C27CA" w:rsidRPr="00A518F9" w:rsidRDefault="002C27CA" w:rsidP="002C27CA">
      <w:pPr>
        <w:pStyle w:val="Equation"/>
        <w:tabs>
          <w:tab w:val="left" w:pos="3402"/>
        </w:tabs>
        <w:spacing w:before="240"/>
        <w:rPr>
          <w:lang w:val="fr-CH"/>
        </w:rPr>
      </w:pPr>
      <w:r w:rsidRPr="00A518F9">
        <w:rPr>
          <w:lang w:val="fr-CH"/>
        </w:rPr>
        <w:tab/>
      </w:r>
      <w:r w:rsidRPr="00A518F9">
        <w:rPr>
          <w:lang w:val="fr-CH"/>
        </w:rPr>
        <w:tab/>
      </w:r>
      <w:r w:rsidR="002B1FA9" w:rsidRPr="00A518F9">
        <w:rPr>
          <w:position w:val="-16"/>
          <w:lang w:val="fr-CH"/>
        </w:rPr>
        <w:object w:dxaOrig="400" w:dyaOrig="400">
          <v:shape id="_x0000_i1038" type="#_x0000_t75" style="width:20.5pt;height:20pt" o:ole="">
            <v:imagedata r:id="rId52" o:title=""/>
          </v:shape>
          <o:OLEObject Type="Embed" ProgID="Equation.3" ShapeID="_x0000_i1038" DrawAspect="Content" ObjectID="_1370084544" r:id="rId53"/>
        </w:object>
      </w:r>
      <w:r w:rsidRPr="00A518F9">
        <w:rPr>
          <w:lang w:val="fr-CH"/>
        </w:rPr>
        <w:t xml:space="preserve">=  </w:t>
      </w:r>
      <w:r w:rsidR="002B1FA9" w:rsidRPr="00A518F9">
        <w:rPr>
          <w:position w:val="-32"/>
          <w:lang w:val="fr-CH"/>
        </w:rPr>
        <w:object w:dxaOrig="3379" w:dyaOrig="760">
          <v:shape id="_x0000_i1039" type="#_x0000_t75" style="width:169.5pt;height:38pt" o:ole="">
            <v:imagedata r:id="rId54" o:title=""/>
          </v:shape>
          <o:OLEObject Type="Embed" ProgID="Equation.3" ShapeID="_x0000_i1039" DrawAspect="Content" ObjectID="_1370084545" r:id="rId55"/>
        </w:object>
      </w:r>
    </w:p>
    <w:p w:rsidR="002C27CA" w:rsidRPr="00A518F9" w:rsidRDefault="002C27CA" w:rsidP="002C27CA">
      <w:pPr>
        <w:pStyle w:val="Equation"/>
        <w:spacing w:before="0"/>
        <w:rPr>
          <w:lang w:val="fr-CH"/>
        </w:rPr>
      </w:pPr>
      <w:r w:rsidRPr="00A518F9">
        <w:rPr>
          <w:lang w:val="fr-CH"/>
        </w:rPr>
        <w:tab/>
      </w:r>
      <w:r w:rsidRPr="00A518F9">
        <w:rPr>
          <w:lang w:val="fr-CH"/>
        </w:rPr>
        <w:tab/>
      </w:r>
      <w:r w:rsidRPr="00A518F9">
        <w:rPr>
          <w:lang w:val="fr-CH"/>
        </w:rPr>
        <w:tab/>
        <w:t>(30)</w:t>
      </w:r>
    </w:p>
    <w:p w:rsidR="002C27CA" w:rsidRPr="00A518F9" w:rsidRDefault="002C27CA" w:rsidP="002C27CA">
      <w:pPr>
        <w:pStyle w:val="Equation"/>
        <w:tabs>
          <w:tab w:val="left" w:pos="3402"/>
        </w:tabs>
        <w:spacing w:before="0"/>
        <w:rPr>
          <w:position w:val="-12"/>
          <w:lang w:val="fr-CH"/>
        </w:rPr>
      </w:pPr>
      <w:r w:rsidRPr="00A518F9">
        <w:rPr>
          <w:lang w:val="fr-CH"/>
        </w:rPr>
        <w:tab/>
      </w:r>
      <w:r w:rsidRPr="00A518F9">
        <w:rPr>
          <w:lang w:val="fr-CH"/>
        </w:rPr>
        <w:tab/>
      </w:r>
      <w:r w:rsidR="002B1FA9" w:rsidRPr="00A518F9">
        <w:rPr>
          <w:position w:val="-12"/>
          <w:lang w:val="fr-CH"/>
        </w:rPr>
        <w:object w:dxaOrig="2280" w:dyaOrig="460">
          <v:shape id="_x0000_i1040" type="#_x0000_t75" style="width:114pt;height:23.5pt" o:ole="">
            <v:imagedata r:id="rId56" o:title=""/>
          </v:shape>
          <o:OLEObject Type="Embed" ProgID="Equation.3" ShapeID="_x0000_i1040" DrawAspect="Content" ObjectID="_1370084546" r:id="rId57"/>
        </w:object>
      </w:r>
    </w:p>
    <w:p w:rsidR="002B1FA9" w:rsidRPr="00A518F9" w:rsidRDefault="002B1FA9" w:rsidP="002B1FA9">
      <w:pPr>
        <w:pStyle w:val="Blanc"/>
        <w:rPr>
          <w:lang w:val="fr-CH"/>
        </w:rPr>
      </w:pPr>
    </w:p>
    <w:p w:rsidR="002C27CA" w:rsidRPr="00A518F9" w:rsidRDefault="002C27CA" w:rsidP="002C27CA">
      <w:pPr>
        <w:rPr>
          <w:lang w:val="fr-CH"/>
        </w:rPr>
      </w:pPr>
      <w:r w:rsidRPr="00A518F9">
        <w:rPr>
          <w:lang w:val="fr-CH"/>
        </w:rPr>
        <w:t>où:</w:t>
      </w:r>
    </w:p>
    <w:p w:rsidR="002C27CA" w:rsidRPr="00A518F9" w:rsidRDefault="002C27CA" w:rsidP="002C27CA">
      <w:pPr>
        <w:pStyle w:val="Equationlegend"/>
        <w:rPr>
          <w:lang w:val="fr-CH"/>
        </w:rPr>
      </w:pPr>
      <w:r w:rsidRPr="00A518F9">
        <w:rPr>
          <w:lang w:val="fr-CH"/>
        </w:rPr>
        <w:tab/>
      </w:r>
      <w:r w:rsidRPr="00A518F9">
        <w:rPr>
          <w:i/>
          <w:iCs/>
          <w:lang w:val="fr-CH"/>
        </w:rPr>
        <w:t>P</w:t>
      </w:r>
      <w:r w:rsidRPr="00A518F9">
        <w:rPr>
          <w:i/>
          <w:iCs/>
          <w:vertAlign w:val="subscript"/>
          <w:lang w:val="fr-CH"/>
        </w:rPr>
        <w:t>s</w:t>
      </w:r>
      <w:r w:rsidRPr="00A518F9">
        <w:rPr>
          <w:lang w:val="fr-CH"/>
        </w:rPr>
        <w:t>:</w:t>
      </w:r>
      <w:r w:rsidRPr="00A518F9">
        <w:rPr>
          <w:lang w:val="fr-CH"/>
        </w:rPr>
        <w:tab/>
        <w:t>contribution de densité spectrale de p.i.r.e. d'un seul système HAPS (11,5 dB(W/MHz))</w:t>
      </w:r>
    </w:p>
    <w:p w:rsidR="002C27CA" w:rsidRPr="00A518F9" w:rsidRDefault="002C27CA" w:rsidP="002C27CA">
      <w:pPr>
        <w:pStyle w:val="Equationlegend"/>
        <w:rPr>
          <w:lang w:val="fr-CH"/>
        </w:rPr>
      </w:pPr>
      <w:r w:rsidRPr="00A518F9">
        <w:rPr>
          <w:lang w:val="fr-CH"/>
        </w:rPr>
        <w:tab/>
      </w:r>
      <w:r w:rsidRPr="00A518F9">
        <w:rPr>
          <w:i/>
          <w:iCs/>
          <w:lang w:val="fr-CH"/>
        </w:rPr>
        <w:t>f</w:t>
      </w:r>
      <w:r w:rsidRPr="00A518F9">
        <w:rPr>
          <w:rFonts w:ascii="Tms Rmn" w:hAnsi="Tms Rmn"/>
          <w:sz w:val="12"/>
          <w:lang w:val="fr-CH"/>
        </w:rPr>
        <w:t> </w:t>
      </w:r>
      <w:r w:rsidRPr="00A518F9">
        <w:rPr>
          <w:lang w:val="fr-CH"/>
        </w:rPr>
        <w:t>:</w:t>
      </w:r>
      <w:r w:rsidRPr="00A518F9">
        <w:rPr>
          <w:lang w:val="fr-CH"/>
        </w:rPr>
        <w:tab/>
        <w:t>fréquence d'émission</w:t>
      </w:r>
    </w:p>
    <w:p w:rsidR="002C27CA" w:rsidRPr="00A518F9" w:rsidRDefault="002C27CA" w:rsidP="002C27CA">
      <w:pPr>
        <w:pStyle w:val="Equationlegend"/>
        <w:rPr>
          <w:lang w:val="fr-CH"/>
        </w:rPr>
      </w:pPr>
      <w:r w:rsidRPr="00A518F9">
        <w:rPr>
          <w:lang w:val="fr-CH"/>
        </w:rPr>
        <w:tab/>
      </w:r>
      <w:r w:rsidRPr="00A518F9">
        <w:rPr>
          <w:i/>
          <w:iCs/>
          <w:lang w:val="fr-CH"/>
        </w:rPr>
        <w:t>n</w:t>
      </w:r>
      <w:r w:rsidRPr="00A518F9">
        <w:rPr>
          <w:i/>
          <w:iCs/>
          <w:vertAlign w:val="subscript"/>
          <w:lang w:val="fr-CH"/>
        </w:rPr>
        <w:t>a</w:t>
      </w:r>
      <w:r w:rsidRPr="00A518F9">
        <w:rPr>
          <w:lang w:val="fr-CH"/>
        </w:rPr>
        <w:t>(</w:t>
      </w:r>
      <w:r w:rsidRPr="00A518F9">
        <w:rPr>
          <w:i/>
          <w:iCs/>
          <w:lang w:val="fr-CH"/>
        </w:rPr>
        <w:t>h</w:t>
      </w:r>
      <w:r w:rsidRPr="00A518F9">
        <w:rPr>
          <w:lang w:val="fr-CH"/>
        </w:rPr>
        <w:t>)</w:t>
      </w:r>
      <w:r w:rsidRPr="00A518F9">
        <w:rPr>
          <w:rFonts w:ascii="Tms Rmn" w:hAnsi="Tms Rmn"/>
          <w:sz w:val="12"/>
          <w:lang w:val="fr-CH"/>
        </w:rPr>
        <w:t> </w:t>
      </w:r>
      <w:r w:rsidRPr="00A518F9">
        <w:rPr>
          <w:lang w:val="fr-CH"/>
        </w:rPr>
        <w:t>:</w:t>
      </w:r>
      <w:r w:rsidRPr="00A518F9">
        <w:rPr>
          <w:lang w:val="fr-CH"/>
        </w:rPr>
        <w:tab/>
        <w:t>nombre total de systèmes HAPS dans la zone de brouillage (~12)</w:t>
      </w:r>
    </w:p>
    <w:p w:rsidR="002C27CA" w:rsidRPr="00A518F9" w:rsidRDefault="002C27CA" w:rsidP="002C27CA">
      <w:pPr>
        <w:pStyle w:val="Equationlegend"/>
        <w:rPr>
          <w:lang w:val="fr-CH"/>
        </w:rPr>
      </w:pPr>
      <w:r w:rsidRPr="00A518F9">
        <w:rPr>
          <w:lang w:val="fr-CH"/>
        </w:rPr>
        <w:tab/>
      </w:r>
      <w:r w:rsidRPr="00A518F9">
        <w:rPr>
          <w:i/>
          <w:iCs/>
          <w:lang w:val="fr-CH"/>
        </w:rPr>
        <w:t>c</w:t>
      </w:r>
      <w:r w:rsidRPr="00A518F9">
        <w:rPr>
          <w:rFonts w:ascii="Tms Rmn" w:hAnsi="Tms Rmn"/>
          <w:sz w:val="12"/>
          <w:lang w:val="fr-CH"/>
        </w:rPr>
        <w:t> </w:t>
      </w:r>
      <w:r w:rsidRPr="00A518F9">
        <w:rPr>
          <w:lang w:val="fr-CH"/>
        </w:rPr>
        <w:t>:</w:t>
      </w:r>
      <w:r w:rsidRPr="00A518F9">
        <w:rPr>
          <w:lang w:val="fr-CH"/>
        </w:rPr>
        <w:tab/>
        <w:t>vitesse de la lumière</w:t>
      </w:r>
    </w:p>
    <w:p w:rsidR="002C27CA" w:rsidRPr="00A518F9" w:rsidRDefault="002C27CA" w:rsidP="002C27CA">
      <w:pPr>
        <w:pStyle w:val="Equationlegend"/>
        <w:rPr>
          <w:lang w:val="fr-CH"/>
        </w:rPr>
      </w:pPr>
      <w:r w:rsidRPr="00A518F9">
        <w:rPr>
          <w:lang w:val="fr-CH"/>
        </w:rPr>
        <w:tab/>
      </w:r>
      <w:r w:rsidRPr="00A518F9">
        <w:rPr>
          <w:i/>
          <w:iCs/>
          <w:lang w:val="fr-CH"/>
        </w:rPr>
        <w:t>d</w:t>
      </w:r>
      <w:r w:rsidRPr="00A518F9">
        <w:rPr>
          <w:i/>
          <w:iCs/>
          <w:vertAlign w:val="subscript"/>
          <w:lang w:val="fr-CH"/>
        </w:rPr>
        <w:t>m</w:t>
      </w:r>
      <w:r w:rsidRPr="00A518F9">
        <w:rPr>
          <w:rFonts w:ascii="Tms Rmn" w:hAnsi="Tms Rmn"/>
          <w:sz w:val="12"/>
          <w:lang w:val="fr-CH"/>
        </w:rPr>
        <w:t> </w:t>
      </w:r>
      <w:r w:rsidRPr="00A518F9">
        <w:rPr>
          <w:lang w:val="fr-CH"/>
        </w:rPr>
        <w:t>:</w:t>
      </w:r>
      <w:r w:rsidRPr="00A518F9">
        <w:rPr>
          <w:lang w:val="fr-CH"/>
        </w:rPr>
        <w:tab/>
        <w:t>distance maximale avec le brouilleur</w:t>
      </w:r>
    </w:p>
    <w:p w:rsidR="002C27CA" w:rsidRPr="00A518F9" w:rsidRDefault="002C27CA" w:rsidP="002C27CA">
      <w:pPr>
        <w:pStyle w:val="Equationlegend"/>
        <w:rPr>
          <w:lang w:val="fr-CH"/>
        </w:rPr>
      </w:pPr>
      <w:r w:rsidRPr="00A518F9">
        <w:rPr>
          <w:lang w:val="fr-CH"/>
        </w:rPr>
        <w:tab/>
      </w:r>
      <w:r w:rsidRPr="00A518F9">
        <w:rPr>
          <w:i/>
          <w:iCs/>
          <w:lang w:val="fr-CH"/>
        </w:rPr>
        <w:t>R</w:t>
      </w:r>
      <w:r w:rsidRPr="00A518F9">
        <w:rPr>
          <w:rFonts w:ascii="Tms Rmn" w:hAnsi="Tms Rmn"/>
          <w:sz w:val="12"/>
          <w:lang w:val="fr-CH"/>
        </w:rPr>
        <w:t> </w:t>
      </w:r>
      <w:r w:rsidRPr="00A518F9">
        <w:rPr>
          <w:lang w:val="fr-CH"/>
        </w:rPr>
        <w:t>:</w:t>
      </w:r>
      <w:r w:rsidRPr="00A518F9">
        <w:rPr>
          <w:lang w:val="fr-CH"/>
        </w:rPr>
        <w:tab/>
        <w:t>rayon de la Terre</w:t>
      </w:r>
    </w:p>
    <w:p w:rsidR="002C27CA" w:rsidRPr="00A518F9" w:rsidRDefault="002C27CA" w:rsidP="002C27CA">
      <w:pPr>
        <w:pStyle w:val="Equationlegend"/>
        <w:rPr>
          <w:lang w:val="fr-CH"/>
        </w:rPr>
      </w:pPr>
      <w:r w:rsidRPr="00A518F9">
        <w:rPr>
          <w:lang w:val="fr-CH"/>
        </w:rPr>
        <w:tab/>
      </w:r>
      <w:r w:rsidRPr="00A518F9">
        <w:rPr>
          <w:i/>
          <w:iCs/>
          <w:lang w:val="fr-CH"/>
        </w:rPr>
        <w:t>h</w:t>
      </w:r>
      <w:r w:rsidRPr="00A518F9">
        <w:rPr>
          <w:rFonts w:ascii="Tms Rmn" w:hAnsi="Tms Rmn"/>
          <w:sz w:val="12"/>
          <w:lang w:val="fr-CH"/>
        </w:rPr>
        <w:t> </w:t>
      </w:r>
      <w:r w:rsidRPr="00A518F9">
        <w:rPr>
          <w:lang w:val="fr-CH"/>
        </w:rPr>
        <w:t>:</w:t>
      </w:r>
      <w:r w:rsidRPr="00A518F9">
        <w:rPr>
          <w:lang w:val="fr-CH"/>
        </w:rPr>
        <w:tab/>
        <w:t>altitude de l'orbite LEO moins l'altitude du système HAPS.</w:t>
      </w:r>
    </w:p>
    <w:p w:rsidR="002C27CA" w:rsidRPr="00A518F9" w:rsidRDefault="002C27CA" w:rsidP="002C27CA">
      <w:pPr>
        <w:rPr>
          <w:lang w:val="fr-CH"/>
        </w:rPr>
      </w:pPr>
      <w:r w:rsidRPr="00A518F9">
        <w:rPr>
          <w:lang w:val="fr-CH"/>
        </w:rPr>
        <w:t xml:space="preserve">L'affaiblissement moyen sur le trajet peut être calculé à partir de l'équation (30). Pour un satellite situé à 250 km d'altitude, cet affaiblissement est de 158 dB, ce qui donne un brouillage cumulatif à l'entrée du récepteur LEO de </w:t>
      </w:r>
      <w:r w:rsidRPr="00A518F9">
        <w:rPr>
          <w:position w:val="7"/>
          <w:lang w:val="fr-CH"/>
        </w:rPr>
        <w:t>_</w:t>
      </w:r>
      <w:r w:rsidRPr="00A518F9">
        <w:rPr>
          <w:sz w:val="4"/>
          <w:lang w:val="fr-CH"/>
        </w:rPr>
        <w:t> </w:t>
      </w:r>
      <w:r w:rsidRPr="00A518F9">
        <w:rPr>
          <w:lang w:val="fr-CH"/>
        </w:rPr>
        <w:t>138 dB(W/MHz) (autorisant une discrimination de polarisation de 2 dB), comme suit:</w:t>
      </w:r>
    </w:p>
    <w:p w:rsidR="002C27CA" w:rsidRPr="00A518F9" w:rsidRDefault="002C27CA" w:rsidP="002C27CA">
      <w:pPr>
        <w:pStyle w:val="Equation"/>
        <w:rPr>
          <w:i/>
          <w:lang w:val="fr-CH"/>
        </w:rPr>
      </w:pPr>
      <w:r w:rsidRPr="00A518F9">
        <w:rPr>
          <w:i/>
          <w:lang w:val="fr-CH"/>
        </w:rPr>
        <w:t>Seuil p.i.r.e.</w:t>
      </w:r>
      <w:r w:rsidRPr="00A518F9">
        <w:rPr>
          <w:lang w:val="fr-CH"/>
        </w:rPr>
        <w:t xml:space="preserve"> = –</w:t>
      </w:r>
      <w:r w:rsidRPr="00A518F9">
        <w:rPr>
          <w:sz w:val="4"/>
          <w:lang w:val="fr-CH"/>
        </w:rPr>
        <w:t> </w:t>
      </w:r>
      <w:r w:rsidRPr="00A518F9">
        <w:rPr>
          <w:lang w:val="fr-CH"/>
        </w:rPr>
        <w:t>159 dB(W/MHz)</w:t>
      </w:r>
      <w:r w:rsidRPr="00A518F9">
        <w:rPr>
          <w:iCs/>
          <w:lang w:val="fr-CH"/>
        </w:rPr>
        <w:t xml:space="preserve"> +158 dB – 0 dBi + 2 dB – 10 log(12 )</w:t>
      </w:r>
      <w:r w:rsidRPr="00A518F9">
        <w:rPr>
          <w:lang w:val="fr-CH"/>
        </w:rPr>
        <w:t xml:space="preserve"> = –</w:t>
      </w:r>
      <w:r w:rsidRPr="00A518F9">
        <w:rPr>
          <w:sz w:val="4"/>
          <w:lang w:val="fr-CH"/>
        </w:rPr>
        <w:t> </w:t>
      </w:r>
      <w:r w:rsidRPr="00A518F9">
        <w:rPr>
          <w:iCs/>
          <w:lang w:val="fr-CH"/>
        </w:rPr>
        <w:t>9,8</w:t>
      </w:r>
      <w:r w:rsidRPr="00A518F9">
        <w:rPr>
          <w:lang w:val="fr-CH"/>
        </w:rPr>
        <w:t> dB(W/MHz)</w:t>
      </w:r>
      <w:r w:rsidRPr="00A518F9">
        <w:rPr>
          <w:iCs/>
          <w:lang w:val="fr-CH"/>
        </w:rPr>
        <w:tab/>
        <w:t>(</w:t>
      </w:r>
      <w:r w:rsidRPr="00A518F9">
        <w:rPr>
          <w:lang w:val="fr-CH"/>
        </w:rPr>
        <w:t>31</w:t>
      </w:r>
      <w:r w:rsidRPr="00A518F9">
        <w:rPr>
          <w:iCs/>
          <w:lang w:val="fr-CH"/>
        </w:rPr>
        <w:t>)</w:t>
      </w:r>
    </w:p>
    <w:p w:rsidR="002C27CA" w:rsidRPr="00A518F9" w:rsidRDefault="002C27CA" w:rsidP="002C27CA">
      <w:pPr>
        <w:rPr>
          <w:lang w:val="fr-CH"/>
        </w:rPr>
      </w:pPr>
      <w:r w:rsidRPr="00A518F9">
        <w:rPr>
          <w:lang w:val="fr-CH"/>
        </w:rPr>
        <w:t xml:space="preserve">qui nécessite un affaiblissement hors bande d'au moins 21 dB afin d'atteindre le niveau seuil de </w:t>
      </w:r>
      <w:r w:rsidRPr="00A518F9">
        <w:rPr>
          <w:lang w:val="fr-CH"/>
        </w:rPr>
        <w:fldChar w:fldCharType="begin"/>
      </w:r>
      <w:r w:rsidRPr="00A518F9">
        <w:rPr>
          <w:lang w:val="fr-CH"/>
        </w:rPr>
        <w:instrText xml:space="preserve"> EQ  –</w:instrText>
      </w:r>
      <w:r w:rsidRPr="00A518F9">
        <w:rPr>
          <w:sz w:val="4"/>
          <w:lang w:val="fr-CH"/>
        </w:rPr>
        <w:instrText> </w:instrText>
      </w:r>
      <w:r w:rsidRPr="00A518F9">
        <w:rPr>
          <w:lang w:val="fr-CH"/>
        </w:rPr>
        <w:instrText>159 dB(W/MHz).</w:instrText>
      </w:r>
      <w:r w:rsidRPr="00A518F9">
        <w:rPr>
          <w:lang w:val="fr-CH"/>
        </w:rPr>
        <w:fldChar w:fldCharType="end"/>
      </w:r>
    </w:p>
    <w:p w:rsidR="002C27CA" w:rsidRPr="00A518F9" w:rsidRDefault="002C27CA" w:rsidP="002B1FA9">
      <w:pPr>
        <w:rPr>
          <w:lang w:val="fr-CH"/>
        </w:rPr>
      </w:pPr>
      <w:r w:rsidRPr="00A518F9">
        <w:rPr>
          <w:lang w:val="fr-CH"/>
        </w:rPr>
        <w:t>Ces considérations sont également valables pour un satellite LEO exploité dans un réseau terrestre dont les antennes pointent vers la station terrienne. Dans ce cas, le brouillage admissible cumulatif hors bande à l'entrée du récepteur qui est de –</w:t>
      </w:r>
      <w:r w:rsidRPr="00A518F9">
        <w:rPr>
          <w:sz w:val="4"/>
          <w:lang w:val="fr-CH"/>
        </w:rPr>
        <w:t> </w:t>
      </w:r>
      <w:r w:rsidRPr="00A518F9">
        <w:rPr>
          <w:lang w:val="fr-CH"/>
        </w:rPr>
        <w:t>215 dB(W/Hz) (99,9% du temps) est de</w:t>
      </w:r>
      <w:r w:rsidR="002B1FA9" w:rsidRPr="00A518F9">
        <w:rPr>
          <w:lang w:val="fr-CH"/>
        </w:rPr>
        <w:t xml:space="preserve"> </w:t>
      </w:r>
      <w:r w:rsidRPr="00A518F9">
        <w:rPr>
          <w:lang w:val="fr-CH"/>
        </w:rPr>
        <w:t>4 dB supérieur à celui d'une liaison espace-espace. Par conséquent, l'affaiblissement minimal hors bande requis est de 17 dB.</w:t>
      </w:r>
    </w:p>
    <w:p w:rsidR="002C27CA" w:rsidRPr="00A518F9" w:rsidRDefault="002C27CA" w:rsidP="002C27CA">
      <w:pPr>
        <w:rPr>
          <w:lang w:val="fr-CH"/>
        </w:rPr>
      </w:pPr>
      <w:r w:rsidRPr="00A518F9">
        <w:rPr>
          <w:lang w:val="fr-CH"/>
        </w:rPr>
        <w:t>Etant donné que les spécifications des stations mobiles IMT-2000 HAPS sont les mêmes que celles des stations mobiles conventionnelles, l'analyse de partage ne différerait que si le nombre d'utilisateurs par unité de surface serait très différent pour les systèmes IMT-2000 à tour et les systèmes IMT-2000 HAPS terrestres. Comme on estime que la densité des systèmes HAPS est à peu près la même que celle de systèmes à tour, sauf dans le cas des centres villes où les systèmes à tour sont censés être en mesure de prendre en charge une densité d'utilisateurs plus élevée, le critère de partage entre des portables mobiles HAPS et des services scientifiques spatiaux ne devraient pas être différents.</w:t>
      </w:r>
    </w:p>
    <w:p w:rsidR="002B1FA9" w:rsidRPr="00A518F9" w:rsidRDefault="002B1FA9" w:rsidP="002C27CA">
      <w:pPr>
        <w:rPr>
          <w:lang w:val="fr-CH"/>
        </w:rPr>
      </w:pPr>
    </w:p>
    <w:p w:rsidR="002C27CA" w:rsidRPr="00A518F9" w:rsidRDefault="002C27CA" w:rsidP="002B1FA9">
      <w:pPr>
        <w:pStyle w:val="Line"/>
        <w:rPr>
          <w:lang w:val="fr-CH"/>
        </w:rPr>
      </w:pPr>
    </w:p>
    <w:sectPr w:rsidR="002C27CA" w:rsidRPr="00A518F9" w:rsidSect="00F03494">
      <w:headerReference w:type="even" r:id="rId58"/>
      <w:headerReference w:type="default" r:id="rId5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FA9" w:rsidRDefault="002B1FA9">
      <w:r>
        <w:separator/>
      </w:r>
    </w:p>
  </w:endnote>
  <w:endnote w:type="continuationSeparator" w:id="0">
    <w:p w:rsidR="002B1FA9" w:rsidRDefault="002B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FA9" w:rsidRDefault="002B1FA9">
      <w:r>
        <w:separator/>
      </w:r>
    </w:p>
  </w:footnote>
  <w:footnote w:type="continuationSeparator" w:id="0">
    <w:p w:rsidR="002B1FA9" w:rsidRDefault="002B1FA9">
      <w:r>
        <w:continuationSeparator/>
      </w:r>
    </w:p>
  </w:footnote>
  <w:footnote w:id="1">
    <w:p w:rsidR="002B1FA9" w:rsidRDefault="002B1FA9" w:rsidP="00F45A74">
      <w:pPr>
        <w:pStyle w:val="FootnoteText"/>
        <w:ind w:left="794" w:hanging="794"/>
        <w:rPr>
          <w:lang w:val="fr-CH"/>
        </w:rPr>
      </w:pPr>
      <w:r>
        <w:rPr>
          <w:rStyle w:val="FootnoteReference"/>
          <w:lang w:val="fr-CH"/>
        </w:rPr>
        <w:t>*</w:t>
      </w:r>
      <w:r>
        <w:rPr>
          <w:lang w:val="fr-CH"/>
        </w:rPr>
        <w:tab/>
      </w:r>
      <w:r>
        <w:rPr>
          <w:lang w:val="fr-CH"/>
        </w:rPr>
        <w:tab/>
        <w:t>La présente Recommandation doit être portée à l'attention des Commissions d'études 4 et 9 des radiocommunications.</w:t>
      </w:r>
    </w:p>
  </w:footnote>
  <w:footnote w:id="2">
    <w:p w:rsidR="002B1FA9" w:rsidRPr="00326236" w:rsidRDefault="002B1FA9" w:rsidP="00F45A74">
      <w:pPr>
        <w:pStyle w:val="FootnoteText"/>
        <w:ind w:left="794" w:hanging="794"/>
        <w:rPr>
          <w:lang w:val="fr-CH"/>
        </w:rPr>
      </w:pPr>
      <w:r w:rsidRPr="00326236">
        <w:rPr>
          <w:rStyle w:val="FootnoteReference"/>
        </w:rPr>
        <w:t>**</w:t>
      </w:r>
      <w:r>
        <w:rPr>
          <w:lang w:val="fr-CH"/>
        </w:rPr>
        <w:tab/>
      </w:r>
      <w:r>
        <w:rPr>
          <w:lang w:val="fr-CH"/>
        </w:rPr>
        <w:tab/>
      </w:r>
      <w:r w:rsidRPr="00326236">
        <w:t xml:space="preserve">La Commission d'études 5 des radiocommunications a apporté des modifications rédactionnelles à la présente </w:t>
      </w:r>
      <w:r>
        <w:rPr>
          <w:lang w:val="fr-CH"/>
        </w:rPr>
        <w:t>Recommandation en novembre 2010.</w:t>
      </w:r>
    </w:p>
  </w:footnote>
  <w:footnote w:id="3">
    <w:p w:rsidR="002B1FA9" w:rsidRPr="00326236" w:rsidRDefault="002B1FA9" w:rsidP="00F45A74">
      <w:pPr>
        <w:pStyle w:val="FootnoteText"/>
        <w:ind w:left="794" w:hanging="794"/>
        <w:rPr>
          <w:lang w:val="fr-CH"/>
        </w:rPr>
      </w:pPr>
      <w:r w:rsidRPr="00326236">
        <w:rPr>
          <w:rStyle w:val="FootnoteReference"/>
        </w:rPr>
        <w:t>***</w:t>
      </w:r>
      <w:r>
        <w:tab/>
      </w:r>
      <w:r>
        <w:rPr>
          <w:lang w:val="fr-CH"/>
        </w:rPr>
        <w:t>L'utilisation des systèmes HAPS dans ces bandes est facultative pour les administrations. Chaque administration a toute autorité pour ce qui est des questions techniques et réglementaires relatives au partage, à la coordination et à la mise en œuvre des systèmes HAPS dans ces bandes.</w:t>
      </w:r>
    </w:p>
  </w:footnote>
  <w:footnote w:id="4">
    <w:p w:rsidR="002B1FA9" w:rsidRDefault="002B1FA9" w:rsidP="002C27CA">
      <w:pPr>
        <w:pStyle w:val="FootnoteText"/>
      </w:pPr>
      <w:r>
        <w:rPr>
          <w:rStyle w:val="FootnoteReference"/>
        </w:rPr>
        <w:footnoteRef/>
      </w:r>
      <w:r>
        <w:t xml:space="preserve"> </w:t>
      </w:r>
      <w:r>
        <w:rPr>
          <w:lang w:val="fr-CH"/>
        </w:rPr>
        <w:tab/>
      </w:r>
      <w:r>
        <w:t>Les stations HAPS sont définies au numéro S1.66A du RR comme étant une «station installée sur un objet placé à une altitude comprise entre 20 et 50 km et en un point spécifié, nominal, fixe par rapport à la Terre». Un système HAPS se compose d'une station HAPS, de plusieurs stations au sol et de nombreuses stations d'abonné mobiles ou fixes. Chaque station HAPS comporte une antenne multifaisceaux capable de rayonner de nombreux faisceaux ponctuels dans sa zone de couverture. Les stations d'abonné mobiles ou fixes HAPS sont identiques à celles utilisées avec les systèmes à tour IMT-2000. Les liaisons entre deux stations HAPS et les liaisons entre une station HAPS et des stations au sol HAPS n'utilisent pas les bandes attribuées aux IMT</w:t>
      </w:r>
      <w:r>
        <w:noBreakHyphen/>
        <w:t>2000 et utiliseront des fréquences non attribuées aux systèmes IMT-2000. L'utilisation de toute fréquence proposée par les HAPS pour ces liaisons devra faire l'objet d'une étude et d'une coordination.</w:t>
      </w:r>
    </w:p>
    <w:p w:rsidR="002B1FA9" w:rsidRPr="00BE19EC" w:rsidRDefault="002B1FA9" w:rsidP="002C27CA">
      <w:pPr>
        <w:pStyle w:val="FootnoteText"/>
        <w:rPr>
          <w:lang w:val="fr-CH"/>
        </w:rPr>
      </w:pPr>
      <w:r>
        <w:tab/>
        <w:t>Les systèmes HAPS seront de nature mondiale mais la fourniture de services relèvera de chaque pays. Chaque station HAPS sera située au-dessus de l'espace aérien commercial à une altitude suffisamment haute pour desservir une grande zone mais suffisamment basse pour assurer une couverture dense. Les stations HAPS offrent un nouveau moyen d'assurer des services IMT</w:t>
      </w:r>
      <w:r>
        <w:noBreakHyphen/>
        <w:t>2000 avec une infrastructure de réseau au sol minime.</w:t>
      </w:r>
    </w:p>
  </w:footnote>
  <w:footnote w:id="5">
    <w:p w:rsidR="002B1FA9" w:rsidRDefault="002B1FA9" w:rsidP="00536C0F">
      <w:pPr>
        <w:pStyle w:val="FootnoteText"/>
      </w:pPr>
      <w:r>
        <w:rPr>
          <w:rStyle w:val="FootnoteReference"/>
        </w:rPr>
        <w:t>*</w:t>
      </w:r>
      <w:r>
        <w:tab/>
        <w:t>Cette valeur pourrait ne pas être adéquate pour la protection de certaines stations fonctionnant dans ces bandes dans les services fixe et mobile.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FA9" w:rsidRDefault="002B1FA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FA9" w:rsidRDefault="002B1FA9" w:rsidP="00F45A74">
    <w:pPr>
      <w:pStyle w:val="Header"/>
      <w:ind w:right="360" w:firstLine="360"/>
    </w:pPr>
    <w:r>
      <w:rPr>
        <w:noProof/>
        <w:lang w:val="en-US" w:eastAsia="zh-CN"/>
      </w:rPr>
      <w:drawing>
        <wp:anchor distT="0" distB="0" distL="114300" distR="114300" simplePos="0" relativeHeight="251659264" behindDoc="1" locked="0" layoutInCell="1" allowOverlap="1" wp14:anchorId="54176763" wp14:editId="20E61C9B">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FA9" w:rsidRPr="00837CB5" w:rsidRDefault="002B1FA9">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07760">
      <w:rPr>
        <w:rStyle w:val="PageNumber"/>
        <w:b/>
        <w:bCs/>
        <w:noProof/>
      </w:rPr>
      <w:t>ii</w:t>
    </w:r>
    <w:r>
      <w:rPr>
        <w:rStyle w:val="PageNumber"/>
        <w:b/>
        <w:bCs/>
      </w:rPr>
      <w:fldChar w:fldCharType="end"/>
    </w:r>
    <w:r w:rsidRPr="00837CB5">
      <w:tab/>
    </w:r>
    <w:r w:rsidR="00107760">
      <w:fldChar w:fldCharType="begin"/>
    </w:r>
    <w:r w:rsidR="00107760">
      <w:instrText xml:space="preserve"> DOCPROPERTY "Header" \* MERGEFORMAT </w:instrText>
    </w:r>
    <w:r w:rsidR="00107760">
      <w:fldChar w:fldCharType="separate"/>
    </w:r>
    <w:r w:rsidR="00107760" w:rsidRPr="00107760">
      <w:rPr>
        <w:b/>
        <w:bCs/>
      </w:rPr>
      <w:t xml:space="preserve">Rec. </w:t>
    </w:r>
    <w:r w:rsidR="00107760">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107760">
      <w:rPr>
        <w:b/>
        <w:bCs/>
        <w:noProof/>
      </w:rPr>
      <w:t>UIT-R  M.1456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FA9" w:rsidRDefault="002B1FA9">
    <w:pPr>
      <w:pStyle w:val="Header"/>
    </w:pPr>
    <w:r>
      <w:tab/>
    </w:r>
    <w:r w:rsidR="00107760">
      <w:fldChar w:fldCharType="begin"/>
    </w:r>
    <w:r w:rsidR="00107760">
      <w:instrText xml:space="preserve"> DOCPROPERTY "Header" \* MERGEFORMAT </w:instrText>
    </w:r>
    <w:r w:rsidR="00107760">
      <w:fldChar w:fldCharType="separate"/>
    </w:r>
    <w:r w:rsidR="00107760" w:rsidRPr="00107760">
      <w:rPr>
        <w:b/>
        <w:bCs/>
      </w:rPr>
      <w:t xml:space="preserve">Rec. </w:t>
    </w:r>
    <w:r w:rsidR="00107760">
      <w:rPr>
        <w:b/>
        <w:bCs/>
      </w:rPr>
      <w:fldChar w:fldCharType="end"/>
    </w:r>
    <w:r>
      <w:rPr>
        <w:b/>
        <w:bCs/>
      </w:rPr>
      <w:t xml:space="preserve"> </w:t>
    </w:r>
    <w:r>
      <w:rPr>
        <w:b/>
        <w:bCs/>
      </w:rPr>
      <w:fldChar w:fldCharType="begin"/>
    </w:r>
    <w:r>
      <w:rPr>
        <w:b/>
        <w:bCs/>
      </w:rPr>
      <w:instrText>styleref href</w:instrText>
    </w:r>
    <w:r>
      <w:rPr>
        <w:b/>
        <w:bCs/>
      </w:rPr>
      <w:fldChar w:fldCharType="separate"/>
    </w:r>
    <w:r w:rsidR="00107760">
      <w:rPr>
        <w:b/>
        <w:bCs/>
        <w:noProof/>
      </w:rPr>
      <w:t>UIT-R  M.1456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FA9" w:rsidRDefault="002B1FA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07760">
      <w:rPr>
        <w:rStyle w:val="PageNumber"/>
        <w:b/>
        <w:bCs/>
        <w:noProof/>
        <w:lang w:val="en-US"/>
      </w:rPr>
      <w:t>12</w:t>
    </w:r>
    <w:r>
      <w:rPr>
        <w:rStyle w:val="PageNumber"/>
        <w:b/>
        <w:bCs/>
      </w:rPr>
      <w:fldChar w:fldCharType="end"/>
    </w:r>
    <w:r>
      <w:rPr>
        <w:lang w:val="en-US"/>
      </w:rPr>
      <w:tab/>
    </w:r>
    <w:r w:rsidR="00107760">
      <w:fldChar w:fldCharType="begin"/>
    </w:r>
    <w:r w:rsidR="00107760">
      <w:instrText xml:space="preserve"> DOCPROPERTY "Header" \* MERGEFORMAT </w:instrText>
    </w:r>
    <w:r w:rsidR="00107760">
      <w:fldChar w:fldCharType="separate"/>
    </w:r>
    <w:r w:rsidR="00107760" w:rsidRPr="00107760">
      <w:rPr>
        <w:b/>
        <w:bCs/>
        <w:lang w:val="en-US"/>
      </w:rPr>
      <w:t xml:space="preserve">Rec. </w:t>
    </w:r>
    <w:r w:rsidR="00107760">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107760">
      <w:rPr>
        <w:b/>
        <w:bCs/>
        <w:noProof/>
      </w:rPr>
      <w:t>UIT-R  M.1456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FA9" w:rsidRDefault="002B1FA9">
    <w:pPr>
      <w:pStyle w:val="Header"/>
    </w:pPr>
    <w:r>
      <w:tab/>
    </w:r>
    <w:r w:rsidR="00107760">
      <w:fldChar w:fldCharType="begin"/>
    </w:r>
    <w:r w:rsidR="00107760">
      <w:instrText xml:space="preserve"> DOCPROPERTY "Header" \* MERGEFORMAT </w:instrText>
    </w:r>
    <w:r w:rsidR="00107760">
      <w:fldChar w:fldCharType="separate"/>
    </w:r>
    <w:r w:rsidR="00107760" w:rsidRPr="00107760">
      <w:rPr>
        <w:b/>
        <w:bCs/>
      </w:rPr>
      <w:t xml:space="preserve">Rec. </w:t>
    </w:r>
    <w:r w:rsidR="00107760">
      <w:rPr>
        <w:b/>
        <w:bCs/>
      </w:rPr>
      <w:fldChar w:fldCharType="end"/>
    </w:r>
    <w:r>
      <w:rPr>
        <w:b/>
        <w:bCs/>
      </w:rPr>
      <w:t xml:space="preserve"> </w:t>
    </w:r>
    <w:r>
      <w:rPr>
        <w:b/>
        <w:bCs/>
      </w:rPr>
      <w:fldChar w:fldCharType="begin"/>
    </w:r>
    <w:r>
      <w:rPr>
        <w:b/>
        <w:bCs/>
      </w:rPr>
      <w:instrText>styleref href</w:instrText>
    </w:r>
    <w:r>
      <w:rPr>
        <w:b/>
        <w:bCs/>
      </w:rPr>
      <w:fldChar w:fldCharType="separate"/>
    </w:r>
    <w:r w:rsidR="00107760">
      <w:rPr>
        <w:b/>
        <w:bCs/>
        <w:noProof/>
      </w:rPr>
      <w:t>UIT-R  M.1456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07760">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abstractNum w:abstractNumId="2">
    <w:nsid w:val="52317836"/>
    <w:multiLevelType w:val="singleLevel"/>
    <w:tmpl w:val="04383FD2"/>
    <w:lvl w:ilvl="0">
      <w:start w:val="1"/>
      <w:numFmt w:val="lowerLetter"/>
      <w:lvlText w:val="%1) "/>
      <w:legacy w:legacy="1" w:legacySpace="0" w:legacyIndent="360"/>
      <w:lvlJc w:val="left"/>
      <w:pPr>
        <w:ind w:left="1154" w:hanging="360"/>
      </w:pPr>
      <w:rPr>
        <w:rFonts w:ascii="Times New Roman" w:hAnsi="Times New Roman" w:hint="default"/>
        <w:b w:val="0"/>
        <w:i w:val="0"/>
        <w:sz w:val="22"/>
        <w:u w:val="none"/>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F36"/>
    <w:rsid w:val="00003641"/>
    <w:rsid w:val="00107760"/>
    <w:rsid w:val="001E5E0D"/>
    <w:rsid w:val="00217EBF"/>
    <w:rsid w:val="002B1FA9"/>
    <w:rsid w:val="002C27CA"/>
    <w:rsid w:val="002D76C4"/>
    <w:rsid w:val="004B491F"/>
    <w:rsid w:val="00536C0F"/>
    <w:rsid w:val="00593F36"/>
    <w:rsid w:val="00607D68"/>
    <w:rsid w:val="007468DA"/>
    <w:rsid w:val="00870625"/>
    <w:rsid w:val="00A518F9"/>
    <w:rsid w:val="00A6617B"/>
    <w:rsid w:val="00AB0DC8"/>
    <w:rsid w:val="00B44E24"/>
    <w:rsid w:val="00CE4453"/>
    <w:rsid w:val="00DF4176"/>
    <w:rsid w:val="00F03494"/>
    <w:rsid w:val="00F45A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93F36"/>
    <w:rPr>
      <w:color w:val="0000FF"/>
      <w:u w:val="single"/>
    </w:rPr>
  </w:style>
  <w:style w:type="paragraph" w:customStyle="1" w:styleId="TableLegend0">
    <w:name w:val="Table_Legend"/>
    <w:basedOn w:val="Normal"/>
    <w:next w:val="Normal"/>
    <w:rsid w:val="002C27CA"/>
    <w:pPr>
      <w:keepNext/>
      <w:spacing w:before="86" w:line="199" w:lineRule="exact"/>
      <w:ind w:left="-85" w:right="-85"/>
    </w:pPr>
    <w:rPr>
      <w:sz w:val="18"/>
    </w:rPr>
  </w:style>
  <w:style w:type="paragraph" w:customStyle="1" w:styleId="TableTitle0">
    <w:name w:val="Table_Title"/>
    <w:basedOn w:val="Table"/>
    <w:next w:val="Blanc"/>
    <w:rsid w:val="002C27CA"/>
    <w:pPr>
      <w:spacing w:before="0"/>
    </w:pPr>
    <w:rPr>
      <w:b/>
    </w:rPr>
  </w:style>
  <w:style w:type="paragraph" w:customStyle="1" w:styleId="Table">
    <w:name w:val="Table_#"/>
    <w:basedOn w:val="Normal"/>
    <w:next w:val="TableTitle0"/>
    <w:rsid w:val="002C27CA"/>
    <w:pPr>
      <w:keepNext/>
      <w:tabs>
        <w:tab w:val="clear" w:pos="794"/>
        <w:tab w:val="clear" w:pos="1191"/>
        <w:tab w:val="clear" w:pos="1588"/>
        <w:tab w:val="clear" w:pos="1985"/>
      </w:tabs>
      <w:spacing w:before="567" w:after="113"/>
      <w:jc w:val="center"/>
    </w:pPr>
    <w:rPr>
      <w:sz w:val="18"/>
    </w:rPr>
  </w:style>
  <w:style w:type="paragraph" w:customStyle="1" w:styleId="TableText0">
    <w:name w:val="Table_Text"/>
    <w:basedOn w:val="TableLegend0"/>
    <w:rsid w:val="002C27CA"/>
    <w:pPr>
      <w:spacing w:before="100" w:after="100" w:line="190" w:lineRule="exact"/>
      <w:ind w:left="0" w:right="0"/>
    </w:pPr>
  </w:style>
  <w:style w:type="paragraph" w:customStyle="1" w:styleId="Annex">
    <w:name w:val="Annex_#"/>
    <w:basedOn w:val="Normal"/>
    <w:next w:val="AnnexRef0"/>
    <w:rsid w:val="002C27CA"/>
    <w:pPr>
      <w:tabs>
        <w:tab w:val="clear" w:pos="794"/>
        <w:tab w:val="clear" w:pos="1191"/>
        <w:tab w:val="clear" w:pos="1588"/>
        <w:tab w:val="clear" w:pos="1985"/>
        <w:tab w:val="center" w:pos="4849"/>
        <w:tab w:val="right" w:pos="9696"/>
      </w:tabs>
      <w:spacing w:before="720" w:after="68"/>
      <w:jc w:val="center"/>
    </w:pPr>
  </w:style>
  <w:style w:type="paragraph" w:customStyle="1" w:styleId="AnnexRef0">
    <w:name w:val="Annex_Ref"/>
    <w:basedOn w:val="Normal"/>
    <w:next w:val="AnnexTitle"/>
    <w:rsid w:val="002C27CA"/>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0"/>
    <w:rsid w:val="002C27CA"/>
    <w:pPr>
      <w:tabs>
        <w:tab w:val="clear" w:pos="794"/>
        <w:tab w:val="clear" w:pos="1191"/>
        <w:tab w:val="clear" w:pos="1588"/>
        <w:tab w:val="clear" w:pos="1985"/>
        <w:tab w:val="left" w:pos="4849"/>
        <w:tab w:val="right" w:pos="9696"/>
      </w:tabs>
      <w:spacing w:after="200"/>
      <w:jc w:val="center"/>
    </w:pPr>
    <w:rPr>
      <w:b/>
    </w:rPr>
  </w:style>
  <w:style w:type="paragraph" w:customStyle="1" w:styleId="Normalaftertitle0">
    <w:name w:val="Normal after title"/>
    <w:basedOn w:val="Normal"/>
    <w:next w:val="Normal"/>
    <w:rsid w:val="002C27CA"/>
    <w:pPr>
      <w:spacing w:before="480"/>
    </w:pPr>
  </w:style>
  <w:style w:type="paragraph" w:customStyle="1" w:styleId="Appendix">
    <w:name w:val="Appendix_#"/>
    <w:basedOn w:val="Annex"/>
    <w:next w:val="AppendixRef0"/>
    <w:rsid w:val="002C27CA"/>
  </w:style>
  <w:style w:type="paragraph" w:customStyle="1" w:styleId="AppendixRef0">
    <w:name w:val="Appendix_Ref"/>
    <w:basedOn w:val="AnnexRef0"/>
    <w:next w:val="AppendixTitle"/>
    <w:rsid w:val="002C27CA"/>
  </w:style>
  <w:style w:type="paragraph" w:customStyle="1" w:styleId="AppendixTitle">
    <w:name w:val="Appendix_Title"/>
    <w:basedOn w:val="AnnexTitle"/>
    <w:next w:val="Normal"/>
    <w:rsid w:val="002C27CA"/>
  </w:style>
  <w:style w:type="paragraph" w:customStyle="1" w:styleId="Rec">
    <w:name w:val="Rec_#"/>
    <w:basedOn w:val="Normal"/>
    <w:next w:val="RecTitle0"/>
    <w:rsid w:val="002C27CA"/>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0">
    <w:name w:val="Rec_Title"/>
    <w:basedOn w:val="Rec"/>
    <w:next w:val="RecTitleRef"/>
    <w:rsid w:val="002C27CA"/>
    <w:pPr>
      <w:spacing w:before="180"/>
    </w:pPr>
    <w:rPr>
      <w:b/>
    </w:rPr>
  </w:style>
  <w:style w:type="paragraph" w:customStyle="1" w:styleId="RecTitleRef">
    <w:name w:val="Rec_Title/Ref"/>
    <w:basedOn w:val="RecTitle0"/>
    <w:next w:val="RecTitleDate"/>
    <w:rsid w:val="002C27CA"/>
    <w:pPr>
      <w:spacing w:before="136"/>
    </w:pPr>
    <w:rPr>
      <w:b w:val="0"/>
    </w:rPr>
  </w:style>
  <w:style w:type="paragraph" w:customStyle="1" w:styleId="RecTitleDate">
    <w:name w:val="Rec_Title/Date"/>
    <w:basedOn w:val="RecTitleRef"/>
    <w:next w:val="headfoot"/>
    <w:rsid w:val="002C27CA"/>
    <w:pPr>
      <w:tabs>
        <w:tab w:val="clear" w:pos="4849"/>
      </w:tabs>
      <w:jc w:val="right"/>
    </w:pPr>
  </w:style>
  <w:style w:type="paragraph" w:customStyle="1" w:styleId="headfoot">
    <w:name w:val="head_foot"/>
    <w:basedOn w:val="Normal"/>
    <w:next w:val="Normalaftertitle0"/>
    <w:rsid w:val="002C27CA"/>
    <w:pPr>
      <w:tabs>
        <w:tab w:val="clear" w:pos="794"/>
        <w:tab w:val="clear" w:pos="1191"/>
        <w:tab w:val="clear" w:pos="1588"/>
        <w:tab w:val="clear" w:pos="1985"/>
      </w:tabs>
      <w:spacing w:before="0"/>
    </w:pPr>
    <w:rPr>
      <w:b/>
      <w:color w:val="FFFFFF"/>
      <w:sz w:val="8"/>
    </w:rPr>
  </w:style>
  <w:style w:type="paragraph" w:customStyle="1" w:styleId="call0">
    <w:name w:val="call"/>
    <w:basedOn w:val="Normal"/>
    <w:next w:val="Normal"/>
    <w:rsid w:val="002C27CA"/>
    <w:pPr>
      <w:keepNext/>
      <w:keepLines/>
      <w:tabs>
        <w:tab w:val="clear" w:pos="1191"/>
        <w:tab w:val="clear" w:pos="1588"/>
        <w:tab w:val="clear" w:pos="1985"/>
      </w:tabs>
      <w:spacing w:before="227"/>
      <w:ind w:left="794"/>
      <w:jc w:val="left"/>
    </w:pPr>
    <w:rPr>
      <w:i/>
    </w:rPr>
  </w:style>
  <w:style w:type="paragraph" w:customStyle="1" w:styleId="Fig">
    <w:name w:val="Fig"/>
    <w:basedOn w:val="Figure"/>
    <w:next w:val="Fig0"/>
    <w:rsid w:val="002C27CA"/>
    <w:pPr>
      <w:keepLines w:val="0"/>
      <w:spacing w:before="136" w:after="0"/>
    </w:pPr>
    <w:rPr>
      <w:caps w:val="0"/>
      <w:sz w:val="20"/>
      <w:lang w:val="en-US"/>
    </w:rPr>
  </w:style>
  <w:style w:type="paragraph" w:customStyle="1" w:styleId="Fig0">
    <w:name w:val="Fig_#"/>
    <w:basedOn w:val="Fig"/>
    <w:next w:val="Normal"/>
    <w:rsid w:val="002C27CA"/>
    <w:pPr>
      <w:jc w:val="left"/>
    </w:pPr>
    <w:rPr>
      <w:color w:val="FF0000"/>
    </w:rPr>
  </w:style>
  <w:style w:type="paragraph" w:customStyle="1" w:styleId="Annextitle0">
    <w:name w:val="Annex_title"/>
    <w:basedOn w:val="Normal"/>
    <w:next w:val="Annexref"/>
    <w:rsid w:val="002C27CA"/>
    <w:pPr>
      <w:keepNext/>
      <w:keepLines/>
      <w:spacing w:before="240" w:after="280"/>
      <w:jc w:val="center"/>
    </w:pPr>
    <w:rPr>
      <w:rFonts w:ascii="Times New Roman Bold" w:hAnsi="Times New Roman Bold"/>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93F36"/>
    <w:rPr>
      <w:color w:val="0000FF"/>
      <w:u w:val="single"/>
    </w:rPr>
  </w:style>
  <w:style w:type="paragraph" w:customStyle="1" w:styleId="TableLegend0">
    <w:name w:val="Table_Legend"/>
    <w:basedOn w:val="Normal"/>
    <w:next w:val="Normal"/>
    <w:rsid w:val="002C27CA"/>
    <w:pPr>
      <w:keepNext/>
      <w:spacing w:before="86" w:line="199" w:lineRule="exact"/>
      <w:ind w:left="-85" w:right="-85"/>
    </w:pPr>
    <w:rPr>
      <w:sz w:val="18"/>
    </w:rPr>
  </w:style>
  <w:style w:type="paragraph" w:customStyle="1" w:styleId="TableTitle0">
    <w:name w:val="Table_Title"/>
    <w:basedOn w:val="Table"/>
    <w:next w:val="Blanc"/>
    <w:rsid w:val="002C27CA"/>
    <w:pPr>
      <w:spacing w:before="0"/>
    </w:pPr>
    <w:rPr>
      <w:b/>
    </w:rPr>
  </w:style>
  <w:style w:type="paragraph" w:customStyle="1" w:styleId="Table">
    <w:name w:val="Table_#"/>
    <w:basedOn w:val="Normal"/>
    <w:next w:val="TableTitle0"/>
    <w:rsid w:val="002C27CA"/>
    <w:pPr>
      <w:keepNext/>
      <w:tabs>
        <w:tab w:val="clear" w:pos="794"/>
        <w:tab w:val="clear" w:pos="1191"/>
        <w:tab w:val="clear" w:pos="1588"/>
        <w:tab w:val="clear" w:pos="1985"/>
      </w:tabs>
      <w:spacing w:before="567" w:after="113"/>
      <w:jc w:val="center"/>
    </w:pPr>
    <w:rPr>
      <w:sz w:val="18"/>
    </w:rPr>
  </w:style>
  <w:style w:type="paragraph" w:customStyle="1" w:styleId="TableText0">
    <w:name w:val="Table_Text"/>
    <w:basedOn w:val="TableLegend0"/>
    <w:rsid w:val="002C27CA"/>
    <w:pPr>
      <w:spacing w:before="100" w:after="100" w:line="190" w:lineRule="exact"/>
      <w:ind w:left="0" w:right="0"/>
    </w:pPr>
  </w:style>
  <w:style w:type="paragraph" w:customStyle="1" w:styleId="Annex">
    <w:name w:val="Annex_#"/>
    <w:basedOn w:val="Normal"/>
    <w:next w:val="AnnexRef0"/>
    <w:rsid w:val="002C27CA"/>
    <w:pPr>
      <w:tabs>
        <w:tab w:val="clear" w:pos="794"/>
        <w:tab w:val="clear" w:pos="1191"/>
        <w:tab w:val="clear" w:pos="1588"/>
        <w:tab w:val="clear" w:pos="1985"/>
        <w:tab w:val="center" w:pos="4849"/>
        <w:tab w:val="right" w:pos="9696"/>
      </w:tabs>
      <w:spacing w:before="720" w:after="68"/>
      <w:jc w:val="center"/>
    </w:pPr>
  </w:style>
  <w:style w:type="paragraph" w:customStyle="1" w:styleId="AnnexRef0">
    <w:name w:val="Annex_Ref"/>
    <w:basedOn w:val="Normal"/>
    <w:next w:val="AnnexTitle"/>
    <w:rsid w:val="002C27CA"/>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0"/>
    <w:rsid w:val="002C27CA"/>
    <w:pPr>
      <w:tabs>
        <w:tab w:val="clear" w:pos="794"/>
        <w:tab w:val="clear" w:pos="1191"/>
        <w:tab w:val="clear" w:pos="1588"/>
        <w:tab w:val="clear" w:pos="1985"/>
        <w:tab w:val="left" w:pos="4849"/>
        <w:tab w:val="right" w:pos="9696"/>
      </w:tabs>
      <w:spacing w:after="200"/>
      <w:jc w:val="center"/>
    </w:pPr>
    <w:rPr>
      <w:b/>
    </w:rPr>
  </w:style>
  <w:style w:type="paragraph" w:customStyle="1" w:styleId="Normalaftertitle0">
    <w:name w:val="Normal after title"/>
    <w:basedOn w:val="Normal"/>
    <w:next w:val="Normal"/>
    <w:rsid w:val="002C27CA"/>
    <w:pPr>
      <w:spacing w:before="480"/>
    </w:pPr>
  </w:style>
  <w:style w:type="paragraph" w:customStyle="1" w:styleId="Appendix">
    <w:name w:val="Appendix_#"/>
    <w:basedOn w:val="Annex"/>
    <w:next w:val="AppendixRef0"/>
    <w:rsid w:val="002C27CA"/>
  </w:style>
  <w:style w:type="paragraph" w:customStyle="1" w:styleId="AppendixRef0">
    <w:name w:val="Appendix_Ref"/>
    <w:basedOn w:val="AnnexRef0"/>
    <w:next w:val="AppendixTitle"/>
    <w:rsid w:val="002C27CA"/>
  </w:style>
  <w:style w:type="paragraph" w:customStyle="1" w:styleId="AppendixTitle">
    <w:name w:val="Appendix_Title"/>
    <w:basedOn w:val="AnnexTitle"/>
    <w:next w:val="Normal"/>
    <w:rsid w:val="002C27CA"/>
  </w:style>
  <w:style w:type="paragraph" w:customStyle="1" w:styleId="Rec">
    <w:name w:val="Rec_#"/>
    <w:basedOn w:val="Normal"/>
    <w:next w:val="RecTitle0"/>
    <w:rsid w:val="002C27CA"/>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0">
    <w:name w:val="Rec_Title"/>
    <w:basedOn w:val="Rec"/>
    <w:next w:val="RecTitleRef"/>
    <w:rsid w:val="002C27CA"/>
    <w:pPr>
      <w:spacing w:before="180"/>
    </w:pPr>
    <w:rPr>
      <w:b/>
    </w:rPr>
  </w:style>
  <w:style w:type="paragraph" w:customStyle="1" w:styleId="RecTitleRef">
    <w:name w:val="Rec_Title/Ref"/>
    <w:basedOn w:val="RecTitle0"/>
    <w:next w:val="RecTitleDate"/>
    <w:rsid w:val="002C27CA"/>
    <w:pPr>
      <w:spacing w:before="136"/>
    </w:pPr>
    <w:rPr>
      <w:b w:val="0"/>
    </w:rPr>
  </w:style>
  <w:style w:type="paragraph" w:customStyle="1" w:styleId="RecTitleDate">
    <w:name w:val="Rec_Title/Date"/>
    <w:basedOn w:val="RecTitleRef"/>
    <w:next w:val="headfoot"/>
    <w:rsid w:val="002C27CA"/>
    <w:pPr>
      <w:tabs>
        <w:tab w:val="clear" w:pos="4849"/>
      </w:tabs>
      <w:jc w:val="right"/>
    </w:pPr>
  </w:style>
  <w:style w:type="paragraph" w:customStyle="1" w:styleId="headfoot">
    <w:name w:val="head_foot"/>
    <w:basedOn w:val="Normal"/>
    <w:next w:val="Normalaftertitle0"/>
    <w:rsid w:val="002C27CA"/>
    <w:pPr>
      <w:tabs>
        <w:tab w:val="clear" w:pos="794"/>
        <w:tab w:val="clear" w:pos="1191"/>
        <w:tab w:val="clear" w:pos="1588"/>
        <w:tab w:val="clear" w:pos="1985"/>
      </w:tabs>
      <w:spacing w:before="0"/>
    </w:pPr>
    <w:rPr>
      <w:b/>
      <w:color w:val="FFFFFF"/>
      <w:sz w:val="8"/>
    </w:rPr>
  </w:style>
  <w:style w:type="paragraph" w:customStyle="1" w:styleId="call0">
    <w:name w:val="call"/>
    <w:basedOn w:val="Normal"/>
    <w:next w:val="Normal"/>
    <w:rsid w:val="002C27CA"/>
    <w:pPr>
      <w:keepNext/>
      <w:keepLines/>
      <w:tabs>
        <w:tab w:val="clear" w:pos="1191"/>
        <w:tab w:val="clear" w:pos="1588"/>
        <w:tab w:val="clear" w:pos="1985"/>
      </w:tabs>
      <w:spacing w:before="227"/>
      <w:ind w:left="794"/>
      <w:jc w:val="left"/>
    </w:pPr>
    <w:rPr>
      <w:i/>
    </w:rPr>
  </w:style>
  <w:style w:type="paragraph" w:customStyle="1" w:styleId="Fig">
    <w:name w:val="Fig"/>
    <w:basedOn w:val="Figure"/>
    <w:next w:val="Fig0"/>
    <w:rsid w:val="002C27CA"/>
    <w:pPr>
      <w:keepLines w:val="0"/>
      <w:spacing w:before="136" w:after="0"/>
    </w:pPr>
    <w:rPr>
      <w:caps w:val="0"/>
      <w:sz w:val="20"/>
      <w:lang w:val="en-US"/>
    </w:rPr>
  </w:style>
  <w:style w:type="paragraph" w:customStyle="1" w:styleId="Fig0">
    <w:name w:val="Fig_#"/>
    <w:basedOn w:val="Fig"/>
    <w:next w:val="Normal"/>
    <w:rsid w:val="002C27CA"/>
    <w:pPr>
      <w:jc w:val="left"/>
    </w:pPr>
    <w:rPr>
      <w:color w:val="FF0000"/>
    </w:rPr>
  </w:style>
  <w:style w:type="paragraph" w:customStyle="1" w:styleId="Annextitle0">
    <w:name w:val="Annex_title"/>
    <w:basedOn w:val="Normal"/>
    <w:next w:val="Annexref"/>
    <w:rsid w:val="002C27CA"/>
    <w:pPr>
      <w:keepNext/>
      <w:keepLines/>
      <w:spacing w:before="240" w:after="280"/>
      <w:jc w:val="center"/>
    </w:pPr>
    <w:rPr>
      <w:rFonts w:ascii="Times New Roman Bold" w:hAnsi="Times New Roman Bold"/>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8.wmf"/><Relationship Id="rId39" Type="http://schemas.openxmlformats.org/officeDocument/2006/relationships/oleObject" Target="embeddings/oleObject11.bin"/><Relationship Id="rId21" Type="http://schemas.openxmlformats.org/officeDocument/2006/relationships/image" Target="media/image5.wmf"/><Relationship Id="rId34" Type="http://schemas.openxmlformats.org/officeDocument/2006/relationships/image" Target="media/image13.wmf"/><Relationship Id="rId42" Type="http://schemas.openxmlformats.org/officeDocument/2006/relationships/image" Target="media/image18.wmf"/><Relationship Id="rId47" Type="http://schemas.openxmlformats.org/officeDocument/2006/relationships/image" Target="media/image22.wmf"/><Relationship Id="rId50" Type="http://schemas.openxmlformats.org/officeDocument/2006/relationships/image" Target="media/image25.wmf"/><Relationship Id="rId55" Type="http://schemas.openxmlformats.org/officeDocument/2006/relationships/oleObject" Target="embeddings/oleObject15.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wmf"/><Relationship Id="rId41" Type="http://schemas.openxmlformats.org/officeDocument/2006/relationships/image" Target="media/image17.wmf"/><Relationship Id="rId54" Type="http://schemas.openxmlformats.org/officeDocument/2006/relationships/image" Target="media/image2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fr" TargetMode="External"/><Relationship Id="rId24" Type="http://schemas.openxmlformats.org/officeDocument/2006/relationships/oleObject" Target="embeddings/oleObject5.bin"/><Relationship Id="rId32" Type="http://schemas.openxmlformats.org/officeDocument/2006/relationships/image" Target="media/image12.wmf"/><Relationship Id="rId37" Type="http://schemas.openxmlformats.org/officeDocument/2006/relationships/oleObject" Target="embeddings/oleObject10.bin"/><Relationship Id="rId40" Type="http://schemas.openxmlformats.org/officeDocument/2006/relationships/image" Target="media/image16.wmf"/><Relationship Id="rId45" Type="http://schemas.openxmlformats.org/officeDocument/2006/relationships/image" Target="media/image21.wmf"/><Relationship Id="rId53" Type="http://schemas.openxmlformats.org/officeDocument/2006/relationships/oleObject" Target="embeddings/oleObject14.bin"/><Relationship Id="rId58"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6.bin"/><Relationship Id="rId36" Type="http://schemas.openxmlformats.org/officeDocument/2006/relationships/image" Target="media/image14.wmf"/><Relationship Id="rId49" Type="http://schemas.openxmlformats.org/officeDocument/2006/relationships/image" Target="media/image24.wmf"/><Relationship Id="rId57" Type="http://schemas.openxmlformats.org/officeDocument/2006/relationships/oleObject" Target="embeddings/oleObject16.bin"/><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1.wmf"/><Relationship Id="rId44" Type="http://schemas.openxmlformats.org/officeDocument/2006/relationships/image" Target="media/image20.wmf"/><Relationship Id="rId52" Type="http://schemas.openxmlformats.org/officeDocument/2006/relationships/image" Target="media/image26.wmf"/><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7.bin"/><Relationship Id="rId35" Type="http://schemas.openxmlformats.org/officeDocument/2006/relationships/oleObject" Target="embeddings/oleObject9.bin"/><Relationship Id="rId43" Type="http://schemas.openxmlformats.org/officeDocument/2006/relationships/image" Target="media/image19.wmf"/><Relationship Id="rId48" Type="http://schemas.openxmlformats.org/officeDocument/2006/relationships/image" Target="media/image23.wmf"/><Relationship Id="rId56" Type="http://schemas.openxmlformats.org/officeDocument/2006/relationships/image" Target="media/image28.wmf"/><Relationship Id="rId8" Type="http://schemas.openxmlformats.org/officeDocument/2006/relationships/endnotes" Target="endnotes.xml"/><Relationship Id="rId51" Type="http://schemas.openxmlformats.org/officeDocument/2006/relationships/oleObject" Target="embeddings/oleObject13.bin"/><Relationship Id="rId3" Type="http://schemas.openxmlformats.org/officeDocument/2006/relationships/styles" Target="styles.xml"/><Relationship Id="rId12" Type="http://schemas.openxmlformats.org/officeDocument/2006/relationships/hyperlink" Target="http://www.itu.int/publ/R-REC/fr"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oleObject" Target="embeddings/oleObject8.bin"/><Relationship Id="rId38" Type="http://schemas.openxmlformats.org/officeDocument/2006/relationships/image" Target="media/image15.wmf"/><Relationship Id="rId46" Type="http://schemas.openxmlformats.org/officeDocument/2006/relationships/oleObject" Target="embeddings/oleObject12.bin"/><Relationship Id="rId59"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FE866-50CC-43B0-9B91-40AD793AD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205</TotalTime>
  <Pages>26</Pages>
  <Words>7947</Words>
  <Characters>41107</Characters>
  <Application>Microsoft Office Word</Application>
  <DocSecurity>0</DocSecurity>
  <Lines>1174</Lines>
  <Paragraphs>196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48858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10</cp:revision>
  <cp:lastPrinted>2005-02-10T15:54:00Z</cp:lastPrinted>
  <dcterms:created xsi:type="dcterms:W3CDTF">2011-05-23T09:39:00Z</dcterms:created>
  <dcterms:modified xsi:type="dcterms:W3CDTF">2011-06-20T12:14:00Z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