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A37" w:rsidRPr="00575CB8" w:rsidRDefault="001C1A37" w:rsidP="00564A49">
      <w:pPr>
        <w:rPr>
          <w:lang w:val="en-US"/>
        </w:rPr>
      </w:pPr>
    </w:p>
    <w:p w:rsidR="001C1A37" w:rsidRDefault="001C1A37" w:rsidP="00564A49"/>
    <w:p w:rsidR="001C1A37" w:rsidRDefault="001C1A37" w:rsidP="00564A49"/>
    <w:p w:rsidR="001C1A37" w:rsidRDefault="001C1A37" w:rsidP="00564A49"/>
    <w:p w:rsidR="001C1A37" w:rsidRDefault="001C1A37" w:rsidP="00564A49"/>
    <w:p w:rsidR="001C1A37" w:rsidRDefault="001C1A37" w:rsidP="00564A49"/>
    <w:p w:rsidR="001C1A37" w:rsidRDefault="001C1A37" w:rsidP="00564A49"/>
    <w:p w:rsidR="001C1A37" w:rsidRDefault="001C1A37" w:rsidP="00564A49"/>
    <w:p w:rsidR="001C1A37" w:rsidRDefault="001C1A37" w:rsidP="00564A49"/>
    <w:p w:rsidR="001C1A37" w:rsidRDefault="001C1A37" w:rsidP="00564A49"/>
    <w:p w:rsidR="001C1A37" w:rsidRDefault="001C1A37" w:rsidP="00564A4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1C1A37" w:rsidRPr="009C375A" w:rsidTr="00564A49">
        <w:tc>
          <w:tcPr>
            <w:tcW w:w="10089" w:type="dxa"/>
          </w:tcPr>
          <w:p w:rsidR="001C1A37" w:rsidRPr="00B033C8" w:rsidRDefault="001C1A37" w:rsidP="00564A49">
            <w:pPr>
              <w:spacing w:before="380" w:line="280" w:lineRule="exact"/>
              <w:jc w:val="right"/>
              <w:rPr>
                <w:rFonts w:ascii="Tahoma" w:hAnsi="Tahoma" w:cs="Tahoma"/>
                <w:b/>
                <w:bCs/>
                <w:iCs/>
                <w:color w:val="243285"/>
                <w:sz w:val="32"/>
                <w:szCs w:val="32"/>
                <w:lang w:val="en-US"/>
              </w:rPr>
            </w:pPr>
          </w:p>
          <w:p w:rsidR="001C1A37" w:rsidRPr="009C375A" w:rsidRDefault="001C1A37" w:rsidP="001C1A37">
            <w:pPr>
              <w:spacing w:before="380" w:line="280" w:lineRule="exact"/>
              <w:jc w:val="right"/>
              <w:rPr>
                <w:rFonts w:ascii="Tahoma" w:hAnsi="Tahoma" w:cs="Tahoma"/>
                <w:b/>
                <w:bCs/>
                <w:iCs/>
                <w:color w:val="243285"/>
                <w:sz w:val="36"/>
                <w:szCs w:val="36"/>
                <w:lang w:val="es-ES_tradnl"/>
              </w:rPr>
            </w:pPr>
            <w:r w:rsidRPr="009C375A">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1452-1</w:t>
            </w:r>
          </w:p>
          <w:p w:rsidR="001C1A37" w:rsidRPr="009C375A" w:rsidRDefault="001C1A37" w:rsidP="001C1A37">
            <w:pPr>
              <w:spacing w:before="80" w:line="280" w:lineRule="exact"/>
              <w:jc w:val="right"/>
              <w:rPr>
                <w:rFonts w:ascii="Tahoma" w:hAnsi="Tahoma" w:cs="Tahoma"/>
                <w:b/>
                <w:bCs/>
                <w:iCs/>
                <w:color w:val="243285"/>
                <w:szCs w:val="24"/>
                <w:lang w:val="es-ES_tradnl"/>
              </w:rPr>
            </w:pPr>
            <w:r w:rsidRPr="009C375A">
              <w:rPr>
                <w:rFonts w:ascii="Tahoma" w:hAnsi="Tahoma" w:cs="Tahoma"/>
                <w:b/>
                <w:bCs/>
                <w:iCs/>
                <w:color w:val="243285"/>
                <w:szCs w:val="24"/>
                <w:lang w:val="es-ES_tradnl"/>
              </w:rPr>
              <w:t>(</w:t>
            </w:r>
            <w:r>
              <w:rPr>
                <w:rFonts w:ascii="Tahoma" w:hAnsi="Tahoma" w:cs="Tahoma"/>
                <w:b/>
                <w:bCs/>
                <w:iCs/>
                <w:color w:val="243285"/>
                <w:szCs w:val="24"/>
                <w:lang w:val="es-ES_tradnl"/>
              </w:rPr>
              <w:t>10</w:t>
            </w:r>
            <w:r w:rsidRPr="009C375A">
              <w:rPr>
                <w:rFonts w:ascii="Tahoma" w:hAnsi="Tahoma" w:cs="Tahoma"/>
                <w:b/>
                <w:bCs/>
                <w:iCs/>
                <w:color w:val="243285"/>
                <w:szCs w:val="24"/>
                <w:lang w:val="es-ES_tradnl"/>
              </w:rPr>
              <w:t>/</w:t>
            </w:r>
            <w:r>
              <w:rPr>
                <w:rFonts w:ascii="Tahoma" w:hAnsi="Tahoma" w:cs="Tahoma"/>
                <w:b/>
                <w:bCs/>
                <w:iCs/>
                <w:color w:val="243285"/>
                <w:szCs w:val="24"/>
                <w:lang w:val="es-ES_tradnl"/>
              </w:rPr>
              <w:t>2009</w:t>
            </w:r>
            <w:r w:rsidRPr="009C375A">
              <w:rPr>
                <w:rFonts w:ascii="Tahoma" w:hAnsi="Tahoma" w:cs="Tahoma"/>
                <w:b/>
                <w:bCs/>
                <w:iCs/>
                <w:color w:val="243285"/>
                <w:szCs w:val="24"/>
                <w:lang w:val="es-ES_tradnl"/>
              </w:rPr>
              <w:t>)</w:t>
            </w:r>
          </w:p>
        </w:tc>
      </w:tr>
      <w:tr w:rsidR="001C1A37" w:rsidRPr="009A7032" w:rsidTr="00564A49">
        <w:tc>
          <w:tcPr>
            <w:tcW w:w="10089" w:type="dxa"/>
          </w:tcPr>
          <w:p w:rsidR="001C1A37" w:rsidRPr="0026666F" w:rsidRDefault="001C1A37" w:rsidP="00564A49">
            <w:pPr>
              <w:spacing w:before="80" w:line="500" w:lineRule="exact"/>
              <w:jc w:val="right"/>
              <w:rPr>
                <w:rFonts w:ascii="Tahoma" w:hAnsi="Tahoma" w:cs="Tahoma"/>
                <w:b/>
                <w:bCs/>
                <w:iCs/>
                <w:color w:val="243285"/>
                <w:sz w:val="44"/>
                <w:szCs w:val="44"/>
                <w:lang w:val="es-ES_tradnl"/>
              </w:rPr>
            </w:pPr>
          </w:p>
          <w:p w:rsidR="001C1A37" w:rsidRPr="001C1A37" w:rsidRDefault="001C1A37" w:rsidP="001C1A37">
            <w:pPr>
              <w:spacing w:before="80" w:line="500" w:lineRule="exact"/>
              <w:jc w:val="right"/>
              <w:rPr>
                <w:rFonts w:ascii="Tahoma" w:hAnsi="Tahoma" w:cs="Tahoma"/>
                <w:b/>
                <w:bCs/>
                <w:iCs/>
                <w:color w:val="243285"/>
                <w:sz w:val="44"/>
                <w:szCs w:val="44"/>
                <w:lang w:val="es-ES_tradnl"/>
              </w:rPr>
            </w:pPr>
            <w:r w:rsidRPr="001C1A37">
              <w:rPr>
                <w:rFonts w:ascii="Tahoma" w:hAnsi="Tahoma" w:cs="Tahoma"/>
                <w:b/>
                <w:bCs/>
                <w:color w:val="243285"/>
                <w:sz w:val="44"/>
                <w:szCs w:val="44"/>
                <w:lang w:val="es-ES_tradnl"/>
              </w:rPr>
              <w:t>Sistemas de radiocomunicaciones por ondas milimétricas</w:t>
            </w:r>
            <w:r>
              <w:rPr>
                <w:rFonts w:ascii="Tahoma" w:hAnsi="Tahoma" w:cs="Tahoma"/>
                <w:b/>
                <w:bCs/>
                <w:color w:val="243285"/>
                <w:sz w:val="44"/>
                <w:szCs w:val="44"/>
                <w:lang w:val="es-ES_tradnl"/>
              </w:rPr>
              <w:t xml:space="preserve"> </w:t>
            </w:r>
            <w:r w:rsidRPr="001C1A37">
              <w:rPr>
                <w:rFonts w:ascii="Tahoma" w:hAnsi="Tahoma" w:cs="Tahoma"/>
                <w:b/>
                <w:bCs/>
                <w:color w:val="243285"/>
                <w:sz w:val="44"/>
                <w:szCs w:val="44"/>
                <w:lang w:val="es-ES_tradnl"/>
              </w:rPr>
              <w:t>para aplicaciones de</w:t>
            </w:r>
            <w:r>
              <w:rPr>
                <w:rFonts w:ascii="Tahoma" w:hAnsi="Tahoma" w:cs="Tahoma"/>
                <w:b/>
                <w:bCs/>
                <w:color w:val="243285"/>
                <w:sz w:val="44"/>
                <w:szCs w:val="44"/>
                <w:lang w:val="es-ES_tradnl"/>
              </w:rPr>
              <w:t xml:space="preserve"> </w:t>
            </w:r>
            <w:r w:rsidRPr="001C1A37">
              <w:rPr>
                <w:rFonts w:ascii="Tahoma" w:hAnsi="Tahoma" w:cs="Tahoma"/>
                <w:b/>
                <w:bCs/>
                <w:color w:val="243285"/>
                <w:sz w:val="44"/>
                <w:szCs w:val="44"/>
                <w:lang w:val="es-ES_tradnl"/>
              </w:rPr>
              <w:t>sistemas</w:t>
            </w:r>
            <w:r>
              <w:rPr>
                <w:rFonts w:ascii="Tahoma" w:hAnsi="Tahoma" w:cs="Tahoma"/>
                <w:b/>
                <w:bCs/>
                <w:color w:val="243285"/>
                <w:sz w:val="44"/>
                <w:szCs w:val="44"/>
                <w:lang w:val="es-ES_tradnl"/>
              </w:rPr>
              <w:t xml:space="preserve"> </w:t>
            </w:r>
            <w:r w:rsidRPr="001C1A37">
              <w:rPr>
                <w:rFonts w:ascii="Tahoma" w:hAnsi="Tahoma" w:cs="Tahoma"/>
                <w:b/>
                <w:bCs/>
                <w:color w:val="243285"/>
                <w:sz w:val="44"/>
                <w:szCs w:val="44"/>
                <w:lang w:val="es-ES_tradnl"/>
              </w:rPr>
              <w:t>de transporte inteligentes</w:t>
            </w:r>
          </w:p>
          <w:p w:rsidR="001C1A37" w:rsidRPr="0026666F" w:rsidRDefault="001C1A37" w:rsidP="00564A49">
            <w:pPr>
              <w:spacing w:before="80" w:line="500" w:lineRule="exact"/>
              <w:jc w:val="right"/>
              <w:rPr>
                <w:rFonts w:ascii="Tahoma" w:hAnsi="Tahoma" w:cs="Tahoma"/>
                <w:b/>
                <w:bCs/>
                <w:iCs/>
                <w:color w:val="243285"/>
                <w:sz w:val="44"/>
                <w:szCs w:val="44"/>
                <w:lang w:val="es-ES_tradnl"/>
              </w:rPr>
            </w:pPr>
          </w:p>
        </w:tc>
      </w:tr>
      <w:tr w:rsidR="001C1A37" w:rsidRPr="009A7032" w:rsidTr="00564A49">
        <w:tc>
          <w:tcPr>
            <w:tcW w:w="10089" w:type="dxa"/>
          </w:tcPr>
          <w:p w:rsidR="001C1A37" w:rsidRPr="0026666F" w:rsidRDefault="001C1A37" w:rsidP="00564A49">
            <w:pPr>
              <w:spacing w:before="80" w:line="280" w:lineRule="exact"/>
              <w:ind w:right="640"/>
              <w:rPr>
                <w:rFonts w:ascii="Tahoma" w:hAnsi="Tahoma" w:cs="Tahoma"/>
                <w:b/>
                <w:bCs/>
                <w:iCs/>
                <w:color w:val="243285"/>
                <w:sz w:val="32"/>
                <w:szCs w:val="32"/>
                <w:lang w:val="es-ES_tradnl"/>
              </w:rPr>
            </w:pPr>
          </w:p>
          <w:p w:rsidR="001C1A37" w:rsidRPr="0026666F" w:rsidRDefault="001C1A37" w:rsidP="00564A49">
            <w:pPr>
              <w:spacing w:before="80" w:line="280" w:lineRule="exact"/>
              <w:ind w:right="640"/>
              <w:rPr>
                <w:rFonts w:ascii="Tahoma" w:hAnsi="Tahoma" w:cs="Tahoma"/>
                <w:b/>
                <w:bCs/>
                <w:iCs/>
                <w:color w:val="243285"/>
                <w:sz w:val="32"/>
                <w:szCs w:val="32"/>
                <w:lang w:val="es-ES_tradnl"/>
              </w:rPr>
            </w:pPr>
          </w:p>
          <w:p w:rsidR="001C1A37" w:rsidRPr="0026666F" w:rsidRDefault="001C1A37" w:rsidP="00564A49">
            <w:pPr>
              <w:spacing w:before="80" w:after="180" w:line="360" w:lineRule="exact"/>
              <w:ind w:right="720"/>
              <w:rPr>
                <w:rFonts w:ascii="Tahoma" w:hAnsi="Tahoma" w:cs="Tahoma"/>
                <w:b/>
                <w:bCs/>
                <w:iCs/>
                <w:color w:val="243285"/>
                <w:sz w:val="36"/>
                <w:szCs w:val="36"/>
                <w:lang w:val="es-ES_tradnl"/>
              </w:rPr>
            </w:pPr>
          </w:p>
          <w:p w:rsidR="001C1A37" w:rsidRPr="0026666F" w:rsidRDefault="001C1A37" w:rsidP="00564A49">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 M</w:t>
            </w:r>
          </w:p>
          <w:p w:rsidR="001C1A37" w:rsidRPr="0026666F" w:rsidRDefault="001C1A37" w:rsidP="009A703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Servicios móviles, de radiodeterminación,</w:t>
            </w:r>
            <w:r w:rsidR="009A7032">
              <w:rPr>
                <w:rFonts w:ascii="Tahoma" w:hAnsi="Tahoma" w:cs="Tahoma"/>
                <w:b/>
                <w:bCs/>
                <w:iCs/>
                <w:color w:val="243285"/>
                <w:sz w:val="36"/>
                <w:szCs w:val="36"/>
                <w:lang w:val="es-ES_tradnl"/>
              </w:rPr>
              <w:br/>
            </w:r>
            <w:r>
              <w:rPr>
                <w:rFonts w:ascii="Tahoma" w:hAnsi="Tahoma" w:cs="Tahoma"/>
                <w:b/>
                <w:bCs/>
                <w:iCs/>
                <w:color w:val="243285"/>
                <w:sz w:val="36"/>
                <w:szCs w:val="36"/>
                <w:lang w:val="es-ES_tradnl"/>
              </w:rPr>
              <w:t>de aficionados y otros servicios</w:t>
            </w:r>
            <w:r>
              <w:rPr>
                <w:rFonts w:ascii="Tahoma" w:hAnsi="Tahoma" w:cs="Tahoma"/>
                <w:b/>
                <w:bCs/>
                <w:iCs/>
                <w:color w:val="243285"/>
                <w:sz w:val="36"/>
                <w:szCs w:val="36"/>
                <w:lang w:val="es-ES_tradnl"/>
              </w:rPr>
              <w:br/>
              <w:t>por satélite conexos</w:t>
            </w:r>
          </w:p>
        </w:tc>
      </w:tr>
    </w:tbl>
    <w:p w:rsidR="001C1A37" w:rsidRPr="0026666F" w:rsidRDefault="001C1A37" w:rsidP="00564A49">
      <w:pPr>
        <w:spacing w:before="80"/>
        <w:rPr>
          <w:i/>
          <w:sz w:val="22"/>
          <w:lang w:val="es-ES_tradnl"/>
        </w:rPr>
      </w:pPr>
    </w:p>
    <w:p w:rsidR="001C1A37" w:rsidRPr="0026666F" w:rsidRDefault="001C1A37" w:rsidP="00564A49">
      <w:pPr>
        <w:spacing w:before="80"/>
        <w:rPr>
          <w:i/>
          <w:sz w:val="22"/>
          <w:lang w:val="es-ES_tradnl"/>
        </w:rPr>
      </w:pPr>
    </w:p>
    <w:p w:rsidR="001C1A37" w:rsidRPr="0026666F" w:rsidRDefault="001C1A37" w:rsidP="00564A49">
      <w:pPr>
        <w:spacing w:before="80"/>
        <w:rPr>
          <w:i/>
          <w:sz w:val="22"/>
          <w:lang w:val="es-ES_tradnl"/>
        </w:rPr>
      </w:pPr>
    </w:p>
    <w:p w:rsidR="001C1A37" w:rsidRPr="0026666F" w:rsidRDefault="001C1A37" w:rsidP="00564A49">
      <w:pPr>
        <w:spacing w:before="80"/>
        <w:rPr>
          <w:i/>
          <w:sz w:val="22"/>
          <w:lang w:val="es-ES_tradnl"/>
        </w:rPr>
      </w:pPr>
    </w:p>
    <w:p w:rsidR="001C1A37" w:rsidRPr="0026666F" w:rsidRDefault="001C1A37" w:rsidP="00564A49">
      <w:pPr>
        <w:spacing w:before="80"/>
        <w:rPr>
          <w:i/>
          <w:sz w:val="22"/>
          <w:lang w:val="es-ES_tradnl"/>
        </w:rPr>
      </w:pPr>
    </w:p>
    <w:p w:rsidR="001C1A37" w:rsidRPr="0026666F" w:rsidRDefault="001C1A37" w:rsidP="00564A49">
      <w:pPr>
        <w:pStyle w:val="Equation"/>
        <w:tabs>
          <w:tab w:val="clear" w:pos="4820"/>
          <w:tab w:val="clear" w:pos="9639"/>
          <w:tab w:val="left" w:pos="1191"/>
          <w:tab w:val="left" w:pos="1588"/>
          <w:tab w:val="left" w:pos="1985"/>
        </w:tabs>
        <w:rPr>
          <w:rFonts w:ascii="Palatino Linotype" w:hAnsi="Palatino Linotype"/>
          <w:lang w:val="es-ES_tradnl"/>
        </w:rPr>
        <w:sectPr w:rsidR="001C1A37" w:rsidRPr="0026666F" w:rsidSect="00564A49">
          <w:headerReference w:type="even" r:id="rId7"/>
          <w:headerReference w:type="default" r:id="rId8"/>
          <w:pgSz w:w="11907" w:h="16834" w:code="9"/>
          <w:pgMar w:top="1418" w:right="1134" w:bottom="1134" w:left="1134" w:header="720" w:footer="482" w:gutter="0"/>
          <w:paperSrc w:first="15" w:other="15"/>
          <w:cols w:space="720"/>
        </w:sectPr>
      </w:pPr>
    </w:p>
    <w:p w:rsidR="001C1A37" w:rsidRPr="006C718C"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r w:rsidRPr="006C718C">
        <w:rPr>
          <w:bCs/>
          <w:sz w:val="24"/>
          <w:szCs w:val="24"/>
          <w:lang w:val="es-ES_tradnl"/>
        </w:rPr>
        <w:lastRenderedPageBreak/>
        <w:t>Prólogo</w:t>
      </w:r>
    </w:p>
    <w:p w:rsidR="001C1A37" w:rsidRPr="006C718C" w:rsidRDefault="001C1A37" w:rsidP="00564A4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C1A37" w:rsidRPr="006C718C" w:rsidRDefault="001C1A37" w:rsidP="00564A4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C1A37" w:rsidRPr="00021E8A" w:rsidRDefault="001C1A37" w:rsidP="00564A4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1C1A37" w:rsidRPr="00021E8A" w:rsidRDefault="001C1A37" w:rsidP="00E327C8">
      <w:pPr>
        <w:spacing w:before="180"/>
        <w:rPr>
          <w:sz w:val="20"/>
          <w:lang w:val="es-ES_tradnl"/>
        </w:rPr>
      </w:pPr>
      <w:r w:rsidRPr="00021E8A">
        <w:rPr>
          <w:sz w:val="20"/>
          <w:lang w:val="es-ES_tradnl"/>
        </w:rPr>
        <w:t>La política del UIT</w:t>
      </w:r>
      <w:r w:rsidR="00E327C8">
        <w:rPr>
          <w:sz w:val="20"/>
          <w:lang w:val="es-ES_tradnl"/>
        </w:rPr>
        <w:t>-</w:t>
      </w:r>
      <w:r w:rsidRPr="00021E8A">
        <w:rPr>
          <w:sz w:val="20"/>
          <w:lang w:val="es-ES_tradnl"/>
        </w:rPr>
        <w:t xml:space="preserve">R sobre Derechos de Propiedad Intelectual se describe en la Política Común de Patentes </w:t>
      </w:r>
      <w:proofErr w:type="spellStart"/>
      <w:r w:rsidRPr="00021E8A">
        <w:rPr>
          <w:sz w:val="20"/>
          <w:lang w:val="es-ES_tradnl"/>
        </w:rPr>
        <w:t>UIT</w:t>
      </w:r>
      <w:r w:rsidR="00E327C8">
        <w:rPr>
          <w:sz w:val="20"/>
          <w:lang w:val="es-ES_tradnl"/>
        </w:rPr>
        <w:noBreakHyphen/>
      </w:r>
      <w:r w:rsidRPr="00021E8A">
        <w:rPr>
          <w:sz w:val="20"/>
          <w:lang w:val="es-ES_tradnl"/>
        </w:rPr>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1C1A37" w:rsidRPr="007C36CA" w:rsidRDefault="001C1A37" w:rsidP="00564A49">
      <w:pPr>
        <w:spacing w:before="0"/>
        <w:jc w:val="center"/>
        <w:rPr>
          <w:sz w:val="22"/>
          <w:lang w:val="es-ES_tradnl"/>
        </w:rPr>
      </w:pPr>
    </w:p>
    <w:p w:rsidR="001C1A37" w:rsidRPr="007C36CA" w:rsidRDefault="001C1A37" w:rsidP="00564A4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C1A37" w:rsidRPr="009A7032" w:rsidTr="00564A49">
        <w:tc>
          <w:tcPr>
            <w:tcW w:w="9360" w:type="dxa"/>
            <w:gridSpan w:val="2"/>
          </w:tcPr>
          <w:p w:rsidR="001C1A37" w:rsidRPr="00021E8A" w:rsidRDefault="001C1A37" w:rsidP="00564A4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C1A37" w:rsidRPr="00763D08"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1C1A37" w:rsidRPr="00036EE3" w:rsidTr="00564A49">
        <w:tc>
          <w:tcPr>
            <w:tcW w:w="1140" w:type="dxa"/>
          </w:tcPr>
          <w:p w:rsidR="001C1A37" w:rsidRPr="00036EE3" w:rsidRDefault="001C1A37" w:rsidP="00564A49">
            <w:pPr>
              <w:spacing w:before="180" w:after="100"/>
              <w:ind w:left="57"/>
              <w:rPr>
                <w:b/>
                <w:bCs/>
                <w:sz w:val="20"/>
                <w:lang w:val="en-US"/>
              </w:rPr>
            </w:pPr>
            <w:r w:rsidRPr="00036EE3">
              <w:rPr>
                <w:b/>
                <w:bCs/>
                <w:sz w:val="20"/>
                <w:lang w:val="en-US"/>
              </w:rPr>
              <w:t>Series</w:t>
            </w:r>
          </w:p>
        </w:tc>
        <w:tc>
          <w:tcPr>
            <w:tcW w:w="8220" w:type="dxa"/>
          </w:tcPr>
          <w:p w:rsidR="001C1A37" w:rsidRPr="00036EE3"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1C1A37" w:rsidRPr="00036EE3"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BO</w:t>
            </w:r>
          </w:p>
        </w:tc>
        <w:tc>
          <w:tcPr>
            <w:tcW w:w="8220" w:type="dxa"/>
          </w:tcPr>
          <w:p w:rsidR="001C1A37" w:rsidRPr="00021E8A"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1C1A37" w:rsidRPr="009A7032"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BR</w:t>
            </w:r>
          </w:p>
        </w:tc>
        <w:tc>
          <w:tcPr>
            <w:tcW w:w="8220" w:type="dxa"/>
          </w:tcPr>
          <w:p w:rsidR="001C1A37" w:rsidRPr="00021E8A"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1C1A37" w:rsidRPr="00036EE3"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BS</w:t>
            </w:r>
          </w:p>
        </w:tc>
        <w:tc>
          <w:tcPr>
            <w:tcW w:w="8220" w:type="dxa"/>
          </w:tcPr>
          <w:p w:rsidR="001C1A37" w:rsidRPr="00021E8A"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sonora</w:t>
            </w:r>
            <w:proofErr w:type="spellEnd"/>
          </w:p>
        </w:tc>
      </w:tr>
      <w:tr w:rsidR="001C1A37" w:rsidRPr="00ED2695" w:rsidTr="00564A49">
        <w:tc>
          <w:tcPr>
            <w:tcW w:w="1140" w:type="dxa"/>
            <w:shd w:val="clear" w:color="auto" w:fill="auto"/>
          </w:tcPr>
          <w:p w:rsidR="001C1A37" w:rsidRPr="00ED2695" w:rsidRDefault="001C1A37" w:rsidP="00564A49">
            <w:pPr>
              <w:spacing w:before="30" w:after="30"/>
              <w:ind w:left="57"/>
              <w:jc w:val="left"/>
              <w:rPr>
                <w:b/>
                <w:bCs/>
                <w:sz w:val="20"/>
                <w:lang w:val="en-US"/>
              </w:rPr>
            </w:pPr>
            <w:r w:rsidRPr="00ED2695">
              <w:rPr>
                <w:b/>
                <w:bCs/>
                <w:sz w:val="20"/>
                <w:lang w:val="en-US"/>
              </w:rPr>
              <w:t>BT</w:t>
            </w:r>
          </w:p>
        </w:tc>
        <w:tc>
          <w:tcPr>
            <w:tcW w:w="8220" w:type="dxa"/>
            <w:shd w:val="clear" w:color="auto" w:fill="auto"/>
          </w:tcPr>
          <w:p w:rsidR="001C1A37" w:rsidRPr="00021E8A"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1C1A37" w:rsidRPr="00036EE3" w:rsidTr="00564A49">
        <w:tc>
          <w:tcPr>
            <w:tcW w:w="1140" w:type="dxa"/>
            <w:shd w:val="clear" w:color="auto" w:fill="auto"/>
          </w:tcPr>
          <w:p w:rsidR="001C1A37" w:rsidRPr="00036EE3" w:rsidRDefault="001C1A37" w:rsidP="00564A49">
            <w:pPr>
              <w:spacing w:before="30" w:after="30"/>
              <w:ind w:left="57"/>
              <w:jc w:val="left"/>
              <w:rPr>
                <w:b/>
                <w:bCs/>
                <w:sz w:val="20"/>
                <w:lang w:val="fr-CH"/>
              </w:rPr>
            </w:pPr>
            <w:r w:rsidRPr="00036EE3">
              <w:rPr>
                <w:b/>
                <w:bCs/>
                <w:sz w:val="20"/>
                <w:lang w:val="fr-CH"/>
              </w:rPr>
              <w:t>F</w:t>
            </w:r>
          </w:p>
        </w:tc>
        <w:tc>
          <w:tcPr>
            <w:tcW w:w="8220" w:type="dxa"/>
            <w:shd w:val="clear" w:color="auto" w:fill="auto"/>
          </w:tcPr>
          <w:p w:rsidR="001C1A37" w:rsidRPr="00021E8A" w:rsidRDefault="001C1A37" w:rsidP="00564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1C1A37" w:rsidRPr="009A7032" w:rsidTr="00564A49">
        <w:tc>
          <w:tcPr>
            <w:tcW w:w="1140" w:type="dxa"/>
            <w:shd w:val="clear" w:color="auto" w:fill="F3F3F3"/>
          </w:tcPr>
          <w:p w:rsidR="001C1A37" w:rsidRPr="001240BC" w:rsidRDefault="001C1A37" w:rsidP="00564A49">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1C1A37" w:rsidRPr="001240BC" w:rsidRDefault="001C1A37" w:rsidP="00564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1C1A37" w:rsidRPr="009A7032" w:rsidTr="00564A49">
        <w:tc>
          <w:tcPr>
            <w:tcW w:w="1140" w:type="dxa"/>
          </w:tcPr>
          <w:p w:rsidR="001C1A37" w:rsidRPr="00036EE3" w:rsidRDefault="001C1A37" w:rsidP="00564A49">
            <w:pPr>
              <w:spacing w:before="30" w:after="30"/>
              <w:ind w:left="57"/>
              <w:jc w:val="left"/>
              <w:rPr>
                <w:b/>
                <w:bCs/>
                <w:sz w:val="20"/>
                <w:lang w:val="fr-CH"/>
              </w:rPr>
            </w:pPr>
            <w:r w:rsidRPr="00036EE3">
              <w:rPr>
                <w:b/>
                <w:bCs/>
                <w:sz w:val="20"/>
                <w:lang w:val="fr-CH"/>
              </w:rPr>
              <w:t>P</w:t>
            </w:r>
          </w:p>
        </w:tc>
        <w:tc>
          <w:tcPr>
            <w:tcW w:w="8220" w:type="dxa"/>
          </w:tcPr>
          <w:p w:rsidR="001C1A37" w:rsidRPr="00021E8A" w:rsidRDefault="001C1A37" w:rsidP="00564A49">
            <w:pPr>
              <w:spacing w:before="30" w:after="30"/>
              <w:jc w:val="left"/>
              <w:rPr>
                <w:bCs/>
                <w:sz w:val="20"/>
                <w:lang w:val="es-ES_tradnl"/>
              </w:rPr>
            </w:pPr>
            <w:r w:rsidRPr="00021E8A">
              <w:rPr>
                <w:bCs/>
                <w:sz w:val="20"/>
                <w:lang w:val="es-ES_tradnl"/>
              </w:rPr>
              <w:t>Propagación de las ondas radioeléctricas</w:t>
            </w:r>
          </w:p>
        </w:tc>
      </w:tr>
      <w:tr w:rsidR="001C1A37" w:rsidRPr="00036EE3"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RA</w:t>
            </w:r>
          </w:p>
        </w:tc>
        <w:tc>
          <w:tcPr>
            <w:tcW w:w="8220" w:type="dxa"/>
          </w:tcPr>
          <w:p w:rsidR="001C1A37" w:rsidRPr="00021E8A" w:rsidRDefault="001C1A37" w:rsidP="00564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1C1A37" w:rsidRPr="009A7032"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RS</w:t>
            </w:r>
          </w:p>
        </w:tc>
        <w:tc>
          <w:tcPr>
            <w:tcW w:w="8220" w:type="dxa"/>
          </w:tcPr>
          <w:p w:rsidR="001C1A37" w:rsidRPr="00021E8A" w:rsidRDefault="001C1A37" w:rsidP="00564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C1A37" w:rsidRPr="00036EE3"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S</w:t>
            </w:r>
          </w:p>
        </w:tc>
        <w:tc>
          <w:tcPr>
            <w:tcW w:w="8220" w:type="dxa"/>
          </w:tcPr>
          <w:p w:rsidR="001C1A37" w:rsidRPr="00021E8A" w:rsidRDefault="001C1A37" w:rsidP="00564A49">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1C1A37" w:rsidRPr="00036EE3"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SA</w:t>
            </w:r>
          </w:p>
        </w:tc>
        <w:tc>
          <w:tcPr>
            <w:tcW w:w="8220" w:type="dxa"/>
          </w:tcPr>
          <w:p w:rsidR="001C1A37" w:rsidRPr="00021E8A" w:rsidRDefault="001C1A37" w:rsidP="00564A49">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1C1A37" w:rsidRPr="009A7032"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SF</w:t>
            </w:r>
          </w:p>
        </w:tc>
        <w:tc>
          <w:tcPr>
            <w:tcW w:w="8220" w:type="dxa"/>
          </w:tcPr>
          <w:p w:rsidR="001C1A37" w:rsidRPr="00021E8A" w:rsidRDefault="001C1A37" w:rsidP="00564A4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C1A37" w:rsidRPr="00036EE3" w:rsidTr="00564A49">
        <w:tc>
          <w:tcPr>
            <w:tcW w:w="1140" w:type="dxa"/>
            <w:shd w:val="clear" w:color="auto" w:fill="auto"/>
          </w:tcPr>
          <w:p w:rsidR="001C1A37" w:rsidRPr="001240BC" w:rsidRDefault="001C1A37" w:rsidP="00564A49">
            <w:pPr>
              <w:spacing w:before="30" w:after="30"/>
              <w:ind w:left="57"/>
              <w:jc w:val="left"/>
              <w:rPr>
                <w:b/>
                <w:bCs/>
                <w:sz w:val="20"/>
                <w:lang w:val="en-US"/>
              </w:rPr>
            </w:pPr>
            <w:r w:rsidRPr="001240BC">
              <w:rPr>
                <w:b/>
                <w:bCs/>
                <w:sz w:val="20"/>
                <w:lang w:val="en-US"/>
              </w:rPr>
              <w:t>SM</w:t>
            </w:r>
          </w:p>
        </w:tc>
        <w:tc>
          <w:tcPr>
            <w:tcW w:w="8220" w:type="dxa"/>
            <w:shd w:val="clear" w:color="auto" w:fill="auto"/>
          </w:tcPr>
          <w:p w:rsidR="001C1A37" w:rsidRPr="001240BC" w:rsidRDefault="001C1A37" w:rsidP="00564A49">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1C1A37" w:rsidRPr="00036EE3" w:rsidTr="00564A49">
        <w:tc>
          <w:tcPr>
            <w:tcW w:w="1140" w:type="dxa"/>
          </w:tcPr>
          <w:p w:rsidR="001C1A37" w:rsidRPr="00036EE3" w:rsidRDefault="001C1A37" w:rsidP="00564A49">
            <w:pPr>
              <w:spacing w:before="30" w:after="30"/>
              <w:ind w:left="57"/>
              <w:jc w:val="left"/>
              <w:rPr>
                <w:b/>
                <w:bCs/>
                <w:sz w:val="20"/>
                <w:lang w:val="en-US"/>
              </w:rPr>
            </w:pPr>
            <w:proofErr w:type="spellStart"/>
            <w:r w:rsidRPr="00036EE3">
              <w:rPr>
                <w:b/>
                <w:bCs/>
                <w:sz w:val="20"/>
                <w:lang w:val="en-US"/>
              </w:rPr>
              <w:t>SNG</w:t>
            </w:r>
            <w:proofErr w:type="spellEnd"/>
          </w:p>
        </w:tc>
        <w:tc>
          <w:tcPr>
            <w:tcW w:w="8220" w:type="dxa"/>
          </w:tcPr>
          <w:p w:rsidR="001C1A37" w:rsidRPr="00021E8A" w:rsidRDefault="001C1A37" w:rsidP="00564A49">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1C1A37" w:rsidRPr="009A7032" w:rsidTr="00564A49">
        <w:tc>
          <w:tcPr>
            <w:tcW w:w="1140" w:type="dxa"/>
          </w:tcPr>
          <w:p w:rsidR="001C1A37" w:rsidRPr="00036EE3" w:rsidRDefault="001C1A37" w:rsidP="00564A49">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1C1A37" w:rsidRPr="00021E8A" w:rsidRDefault="001C1A37" w:rsidP="00564A49">
            <w:pPr>
              <w:spacing w:before="30" w:after="30"/>
              <w:jc w:val="left"/>
              <w:rPr>
                <w:bCs/>
                <w:sz w:val="20"/>
                <w:lang w:val="es-ES_tradnl"/>
              </w:rPr>
            </w:pPr>
            <w:r w:rsidRPr="00021E8A">
              <w:rPr>
                <w:bCs/>
                <w:sz w:val="20"/>
                <w:lang w:val="es-ES_tradnl"/>
              </w:rPr>
              <w:t>Emisiones de frecuencias patrón y señales horarias</w:t>
            </w:r>
          </w:p>
        </w:tc>
      </w:tr>
      <w:tr w:rsidR="001C1A37" w:rsidRPr="00036EE3" w:rsidTr="00564A49">
        <w:tc>
          <w:tcPr>
            <w:tcW w:w="1140" w:type="dxa"/>
          </w:tcPr>
          <w:p w:rsidR="001C1A37" w:rsidRPr="00036EE3" w:rsidRDefault="001C1A37" w:rsidP="00564A49">
            <w:pPr>
              <w:spacing w:before="30" w:after="30"/>
              <w:ind w:left="57"/>
              <w:jc w:val="left"/>
              <w:rPr>
                <w:b/>
                <w:bCs/>
                <w:sz w:val="20"/>
                <w:lang w:val="en-US"/>
              </w:rPr>
            </w:pPr>
            <w:r w:rsidRPr="00036EE3">
              <w:rPr>
                <w:b/>
                <w:bCs/>
                <w:sz w:val="20"/>
                <w:lang w:val="en-US"/>
              </w:rPr>
              <w:t>V</w:t>
            </w:r>
          </w:p>
        </w:tc>
        <w:tc>
          <w:tcPr>
            <w:tcW w:w="8220" w:type="dxa"/>
          </w:tcPr>
          <w:p w:rsidR="001C1A37" w:rsidRPr="00021E8A" w:rsidRDefault="001C1A37" w:rsidP="00564A49">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1C1A37" w:rsidRPr="00036EE3" w:rsidRDefault="001C1A37" w:rsidP="00564A49">
      <w:pPr>
        <w:spacing w:before="0" w:after="140"/>
        <w:jc w:val="center"/>
        <w:rPr>
          <w:sz w:val="20"/>
          <w:lang w:val="en-US"/>
        </w:rPr>
      </w:pPr>
    </w:p>
    <w:tbl>
      <w:tblPr>
        <w:tblpPr w:leftFromText="180" w:rightFromText="180" w:vertAnchor="text" w:tblpX="-5771" w:tblpY="-4031"/>
        <w:tblW w:w="0" w:type="auto"/>
        <w:tblLook w:val="0000"/>
      </w:tblPr>
      <w:tblGrid>
        <w:gridCol w:w="720"/>
      </w:tblGrid>
      <w:tr w:rsidR="001C1A37" w:rsidTr="00564A49">
        <w:tc>
          <w:tcPr>
            <w:tcW w:w="720" w:type="dxa"/>
          </w:tcPr>
          <w:p w:rsidR="001C1A37" w:rsidRDefault="001C1A37" w:rsidP="00564A4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1C1A37" w:rsidRPr="009A7032" w:rsidTr="00564A49">
        <w:tc>
          <w:tcPr>
            <w:tcW w:w="9360" w:type="dxa"/>
          </w:tcPr>
          <w:p w:rsidR="001C1A37" w:rsidRPr="00763D08" w:rsidRDefault="001C1A37" w:rsidP="00564A49">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1C1A37" w:rsidRPr="00763D08" w:rsidRDefault="001C1A37" w:rsidP="00564A49">
      <w:pPr>
        <w:spacing w:before="0"/>
        <w:jc w:val="center"/>
        <w:rPr>
          <w:sz w:val="22"/>
          <w:lang w:val="es-ES_tradnl"/>
        </w:rPr>
      </w:pPr>
    </w:p>
    <w:p w:rsidR="001C1A37" w:rsidRPr="00763D08" w:rsidRDefault="001C1A37" w:rsidP="00564A49">
      <w:pPr>
        <w:spacing w:before="60"/>
        <w:jc w:val="right"/>
        <w:rPr>
          <w:i/>
          <w:iCs/>
          <w:sz w:val="20"/>
          <w:lang w:val="es-ES_tradnl"/>
        </w:rPr>
      </w:pPr>
      <w:r w:rsidRPr="00763D08">
        <w:rPr>
          <w:i/>
          <w:iCs/>
          <w:sz w:val="20"/>
          <w:lang w:val="es-ES_tradnl"/>
        </w:rPr>
        <w:t>Publicación electrónica</w:t>
      </w:r>
    </w:p>
    <w:p w:rsidR="001C1A37" w:rsidRPr="00763D08" w:rsidRDefault="001C1A37" w:rsidP="00564A49">
      <w:pPr>
        <w:spacing w:before="0" w:after="40"/>
        <w:jc w:val="right"/>
        <w:rPr>
          <w:sz w:val="20"/>
          <w:lang w:val="es-ES_tradnl"/>
        </w:rPr>
      </w:pPr>
      <w:r w:rsidRPr="00763D08">
        <w:rPr>
          <w:sz w:val="20"/>
          <w:lang w:val="es-ES_tradnl"/>
        </w:rPr>
        <w:t>Ginebra, 20</w:t>
      </w:r>
      <w:r>
        <w:rPr>
          <w:sz w:val="20"/>
          <w:lang w:val="es-ES_tradnl"/>
        </w:rPr>
        <w:t>10</w:t>
      </w:r>
    </w:p>
    <w:p w:rsidR="001C1A37" w:rsidRPr="00763D08" w:rsidRDefault="001C1A37" w:rsidP="00564A49">
      <w:pPr>
        <w:spacing w:before="0"/>
        <w:jc w:val="center"/>
        <w:rPr>
          <w:sz w:val="22"/>
          <w:lang w:val="es-ES_tradnl"/>
        </w:rPr>
      </w:pPr>
    </w:p>
    <w:p w:rsidR="001C1A37" w:rsidRPr="00763D08" w:rsidRDefault="001C1A37" w:rsidP="00564A49">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10</w:t>
      </w:r>
    </w:p>
    <w:p w:rsidR="001C1A37" w:rsidRPr="006C718C" w:rsidRDefault="001C1A37" w:rsidP="00564A4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C1A37" w:rsidRPr="006C718C" w:rsidRDefault="001C1A37" w:rsidP="00564A49">
      <w:pPr>
        <w:spacing w:before="160"/>
        <w:rPr>
          <w:i/>
          <w:sz w:val="20"/>
          <w:highlight w:val="yellow"/>
          <w:lang w:val="es-ES_tradnl"/>
        </w:rPr>
        <w:sectPr w:rsidR="001C1A37" w:rsidRPr="006C718C" w:rsidSect="00564A49">
          <w:headerReference w:type="even" r:id="rId11"/>
          <w:headerReference w:type="default" r:id="rId12"/>
          <w:pgSz w:w="11907" w:h="16834" w:code="9"/>
          <w:pgMar w:top="1418" w:right="1134" w:bottom="1134" w:left="1134" w:header="720" w:footer="482" w:gutter="0"/>
          <w:pgNumType w:fmt="lowerRoman" w:start="2"/>
          <w:cols w:space="720"/>
        </w:sectPr>
      </w:pPr>
    </w:p>
    <w:p w:rsidR="001C1A37" w:rsidRPr="00763D08" w:rsidRDefault="001C1A37" w:rsidP="001C1A37">
      <w:pPr>
        <w:pStyle w:val="RecNo"/>
        <w:spacing w:before="0"/>
        <w:rPr>
          <w:lang w:val="es-ES_tradnl"/>
        </w:rPr>
      </w:pPr>
      <w:bookmarkStart w:id="0" w:name="irecnoe"/>
      <w:bookmarkEnd w:id="0"/>
      <w:r w:rsidRPr="00763D08">
        <w:rPr>
          <w:lang w:val="es-ES_tradnl"/>
        </w:rPr>
        <w:lastRenderedPageBreak/>
        <w:t xml:space="preserve">RECOMENDACIÓN  </w:t>
      </w:r>
      <w:r w:rsidRPr="00763D08">
        <w:rPr>
          <w:rStyle w:val="href"/>
          <w:lang w:val="es-ES_tradnl"/>
        </w:rPr>
        <w:t>UIT-R  M.</w:t>
      </w:r>
      <w:r>
        <w:rPr>
          <w:rStyle w:val="href"/>
          <w:lang w:val="es-ES_tradnl"/>
        </w:rPr>
        <w:t>1452-1</w:t>
      </w:r>
    </w:p>
    <w:p w:rsidR="009C6E82" w:rsidRDefault="009C6E82" w:rsidP="00564A49">
      <w:pPr>
        <w:pStyle w:val="Rectitle"/>
        <w:rPr>
          <w:lang w:val="es-ES_tradnl"/>
        </w:rPr>
      </w:pPr>
      <w:bookmarkStart w:id="1" w:name="c2tope"/>
      <w:bookmarkEnd w:id="1"/>
      <w:r>
        <w:rPr>
          <w:lang w:val="es-ES_tradnl"/>
        </w:rPr>
        <w:t xml:space="preserve">Sistemas de radiocomunicaciones por ondas milimétricas </w:t>
      </w:r>
      <w:r>
        <w:rPr>
          <w:lang w:val="es-ES_tradnl"/>
        </w:rPr>
        <w:br/>
        <w:t>para aplicaciones de sistemas de transporte inteligentes</w:t>
      </w:r>
    </w:p>
    <w:p w:rsidR="009C6E82" w:rsidRPr="00276E41" w:rsidRDefault="009C6E82" w:rsidP="001C1A37">
      <w:pPr>
        <w:pStyle w:val="Recref"/>
        <w:rPr>
          <w:lang w:val="es-ES_tradnl"/>
        </w:rPr>
      </w:pPr>
      <w:r>
        <w:rPr>
          <w:lang w:val="es-ES_tradnl"/>
        </w:rPr>
        <w:t>(Cuestión UIT</w:t>
      </w:r>
      <w:r w:rsidR="001C1A37">
        <w:rPr>
          <w:lang w:val="es-ES_tradnl"/>
        </w:rPr>
        <w:t>-</w:t>
      </w:r>
      <w:r>
        <w:rPr>
          <w:lang w:val="es-ES_tradnl"/>
        </w:rPr>
        <w:t>R 205/5)</w:t>
      </w:r>
    </w:p>
    <w:p w:rsidR="009C6E82" w:rsidRDefault="009C6E82">
      <w:pPr>
        <w:pStyle w:val="Recdate"/>
        <w:rPr>
          <w:lang w:val="es-ES"/>
        </w:rPr>
      </w:pPr>
    </w:p>
    <w:p w:rsidR="009C6E82" w:rsidRDefault="009C6E82" w:rsidP="001C1A37">
      <w:pPr>
        <w:pStyle w:val="Recdate"/>
        <w:rPr>
          <w:lang w:val="es-ES"/>
        </w:rPr>
      </w:pPr>
      <w:r>
        <w:rPr>
          <w:lang w:val="es-ES"/>
        </w:rPr>
        <w:t>(2000</w:t>
      </w:r>
      <w:r w:rsidR="001C1A37">
        <w:rPr>
          <w:lang w:val="es-ES"/>
        </w:rPr>
        <w:t>-</w:t>
      </w:r>
      <w:r>
        <w:rPr>
          <w:lang w:val="es-ES"/>
        </w:rPr>
        <w:t>2009)</w:t>
      </w:r>
    </w:p>
    <w:p w:rsidR="009C6E82" w:rsidRDefault="009C6E82">
      <w:pPr>
        <w:rPr>
          <w:lang w:val="es-ES_tradnl"/>
        </w:rPr>
      </w:pPr>
    </w:p>
    <w:p w:rsidR="009C6E82" w:rsidRDefault="001C1A37">
      <w:pPr>
        <w:pStyle w:val="HeadingSum"/>
      </w:pPr>
      <w:r>
        <w:t>Cometido</w:t>
      </w:r>
    </w:p>
    <w:p w:rsidR="009C6E82" w:rsidRPr="00E82CBF" w:rsidRDefault="009C6E82" w:rsidP="00564A49">
      <w:pPr>
        <w:pStyle w:val="Summary"/>
      </w:pPr>
      <w:r w:rsidRPr="00E82CBF">
        <w:t>En la presente Recomendación se presentan los requisitos de sistema y las caracter</w:t>
      </w:r>
      <w:r>
        <w:t>ísticas técnicas y operativas de los sistemas de radiocomunicaciones por ondas milimétricas para aplicaciones de sistemas de transporte inteligentes que se deberán utilizar al diseñar los sistemas. Esta Recomendación abarca los radares de vehículo de baja potencia que funcionan en las bandas 60</w:t>
      </w:r>
      <w:r>
        <w:noBreakHyphen/>
        <w:t xml:space="preserve">61 GHz, 76-77 GHz y 77-81 GHz, así como los sistemas de radiocomunicaciones por ondas milimétricas integrados para aplicaciones de </w:t>
      </w:r>
      <w:proofErr w:type="spellStart"/>
      <w:r>
        <w:t>STI</w:t>
      </w:r>
      <w:proofErr w:type="spellEnd"/>
      <w:r>
        <w:t xml:space="preserve"> en la gama 57</w:t>
      </w:r>
      <w:r w:rsidR="00564A49">
        <w:noBreakHyphen/>
      </w:r>
      <w:r>
        <w:t>66 GHz destinados a las radiocomunicaciones vehículo a vehículo y las radiocomunicaciones entre los vehículos y la infraestructura vial.</w:t>
      </w:r>
    </w:p>
    <w:p w:rsidR="009C6E82" w:rsidRPr="00E82CBF" w:rsidRDefault="009C6E82" w:rsidP="00564A49">
      <w:pPr>
        <w:pStyle w:val="Normalaftertitle0"/>
        <w:rPr>
          <w:lang w:val="es-ES_tradnl"/>
        </w:rPr>
      </w:pPr>
      <w:r w:rsidRPr="00E82CBF">
        <w:rPr>
          <w:lang w:val="es-ES_tradnl"/>
        </w:rPr>
        <w:t>La Asamblea de Radiocomunicaciones de la UIT,</w:t>
      </w:r>
    </w:p>
    <w:p w:rsidR="009C6E82" w:rsidRPr="00A5098A" w:rsidRDefault="009C6E82" w:rsidP="00564A49">
      <w:pPr>
        <w:pStyle w:val="Call"/>
        <w:rPr>
          <w:lang w:val="es-ES_tradnl"/>
        </w:rPr>
      </w:pPr>
      <w:proofErr w:type="gramStart"/>
      <w:r w:rsidRPr="00A5098A">
        <w:rPr>
          <w:lang w:val="es-ES_tradnl"/>
        </w:rPr>
        <w:t>considerando</w:t>
      </w:r>
      <w:proofErr w:type="gramEnd"/>
    </w:p>
    <w:p w:rsidR="009C6E82" w:rsidRPr="001718A7" w:rsidRDefault="009C6E82" w:rsidP="00564A49">
      <w:pPr>
        <w:rPr>
          <w:lang w:val="es-ES_tradnl"/>
        </w:rPr>
      </w:pPr>
      <w:r w:rsidRPr="001718A7">
        <w:rPr>
          <w:lang w:val="es-ES_tradnl"/>
        </w:rPr>
        <w:t>a)</w:t>
      </w:r>
      <w:r w:rsidRPr="001718A7">
        <w:rPr>
          <w:lang w:val="es-ES_tradnl"/>
        </w:rPr>
        <w:tab/>
        <w:t>que los sistemas de transporte inteligentes (</w:t>
      </w:r>
      <w:proofErr w:type="spellStart"/>
      <w:r w:rsidRPr="001718A7">
        <w:rPr>
          <w:lang w:val="es-ES_tradnl"/>
        </w:rPr>
        <w:t>STI</w:t>
      </w:r>
      <w:proofErr w:type="spellEnd"/>
      <w:r w:rsidRPr="001718A7">
        <w:rPr>
          <w:lang w:val="es-ES_tradnl"/>
        </w:rPr>
        <w:t>) pueden contribuir significativamente a mejorar la seguridad pública;</w:t>
      </w:r>
    </w:p>
    <w:p w:rsidR="009C6E82" w:rsidRPr="001718A7" w:rsidRDefault="009C6E82" w:rsidP="00564A49">
      <w:pPr>
        <w:rPr>
          <w:lang w:val="es-ES_tradnl"/>
        </w:rPr>
      </w:pPr>
      <w:r w:rsidRPr="001718A7">
        <w:rPr>
          <w:lang w:val="es-ES_tradnl"/>
        </w:rPr>
        <w:t>b)</w:t>
      </w:r>
      <w:r w:rsidRPr="001718A7">
        <w:rPr>
          <w:lang w:val="es-ES_tradnl"/>
        </w:rPr>
        <w:tab/>
        <w:t xml:space="preserve">que las especificaciones internacionales facilitarían la aplicación a nivel mundial de los </w:t>
      </w:r>
      <w:proofErr w:type="spellStart"/>
      <w:r w:rsidRPr="001718A7">
        <w:rPr>
          <w:lang w:val="es-ES_tradnl"/>
        </w:rPr>
        <w:t>STI</w:t>
      </w:r>
      <w:proofErr w:type="spellEnd"/>
      <w:r w:rsidRPr="001718A7">
        <w:rPr>
          <w:lang w:val="es-ES_tradnl"/>
        </w:rPr>
        <w:t xml:space="preserve"> y aportarían economías de escala acercando los equipos y servicios </w:t>
      </w:r>
      <w:proofErr w:type="spellStart"/>
      <w:r w:rsidRPr="001718A7">
        <w:rPr>
          <w:lang w:val="es-ES_tradnl"/>
        </w:rPr>
        <w:t>STI</w:t>
      </w:r>
      <w:proofErr w:type="spellEnd"/>
      <w:r w:rsidRPr="001718A7">
        <w:rPr>
          <w:lang w:val="es-ES_tradnl"/>
        </w:rPr>
        <w:t xml:space="preserve"> al público;</w:t>
      </w:r>
    </w:p>
    <w:p w:rsidR="009C6E82" w:rsidRPr="001718A7" w:rsidRDefault="009C6E82" w:rsidP="00564A49">
      <w:pPr>
        <w:rPr>
          <w:lang w:val="es-ES_tradnl"/>
        </w:rPr>
      </w:pPr>
      <w:r w:rsidRPr="001718A7">
        <w:rPr>
          <w:lang w:val="es-ES_tradnl"/>
        </w:rPr>
        <w:t>c)</w:t>
      </w:r>
      <w:r w:rsidRPr="001718A7">
        <w:rPr>
          <w:lang w:val="es-ES_tradnl"/>
        </w:rPr>
        <w:tab/>
        <w:t xml:space="preserve">que la armonización de las aplicaciones </w:t>
      </w:r>
      <w:proofErr w:type="spellStart"/>
      <w:r w:rsidRPr="001718A7">
        <w:rPr>
          <w:lang w:val="es-ES_tradnl"/>
        </w:rPr>
        <w:t>STI</w:t>
      </w:r>
      <w:proofErr w:type="spellEnd"/>
      <w:r w:rsidRPr="001718A7">
        <w:rPr>
          <w:lang w:val="es-ES_tradnl"/>
        </w:rPr>
        <w:t xml:space="preserve"> depende de atribuciones comunes de espectro radioel</w:t>
      </w:r>
      <w:r>
        <w:rPr>
          <w:lang w:val="es-ES_tradnl"/>
        </w:rPr>
        <w:t>éctrico</w:t>
      </w:r>
      <w:r w:rsidRPr="001718A7">
        <w:rPr>
          <w:lang w:val="es-ES_tradnl"/>
        </w:rPr>
        <w:t>;</w:t>
      </w:r>
    </w:p>
    <w:p w:rsidR="009C6E82" w:rsidRPr="001718A7" w:rsidRDefault="009C6E82" w:rsidP="00564A49">
      <w:pPr>
        <w:rPr>
          <w:lang w:val="es-ES_tradnl"/>
        </w:rPr>
      </w:pPr>
      <w:r w:rsidRPr="001718A7">
        <w:rPr>
          <w:lang w:val="es-ES_tradnl"/>
        </w:rPr>
        <w:t>d)</w:t>
      </w:r>
      <w:r w:rsidRPr="001718A7">
        <w:rPr>
          <w:lang w:val="es-ES_tradnl"/>
        </w:rPr>
        <w:tab/>
        <w:t>que se necesitar</w:t>
      </w:r>
      <w:r>
        <w:rPr>
          <w:lang w:val="es-ES_tradnl"/>
        </w:rPr>
        <w:t xml:space="preserve">án sistemas de transmisión de alta capacidad para los sistemas de radiocomunicaciones </w:t>
      </w:r>
      <w:proofErr w:type="spellStart"/>
      <w:r>
        <w:rPr>
          <w:lang w:val="es-ES_tradnl"/>
        </w:rPr>
        <w:t>STI</w:t>
      </w:r>
      <w:proofErr w:type="spellEnd"/>
      <w:r>
        <w:rPr>
          <w:lang w:val="es-ES_tradnl"/>
        </w:rPr>
        <w:t xml:space="preserve"> a fin de poder soportar aplicaciones multimedios y de alta resolución</w:t>
      </w:r>
      <w:r w:rsidRPr="001718A7">
        <w:rPr>
          <w:lang w:val="es-ES_tradnl"/>
        </w:rPr>
        <w:t>;</w:t>
      </w:r>
    </w:p>
    <w:p w:rsidR="009C6E82" w:rsidRDefault="009C6E82" w:rsidP="00564A49">
      <w:pPr>
        <w:rPr>
          <w:lang w:val="es-ES_tradnl"/>
        </w:rPr>
      </w:pPr>
      <w:r w:rsidRPr="001718A7">
        <w:rPr>
          <w:lang w:val="es-ES_tradnl"/>
        </w:rPr>
        <w:t>e)</w:t>
      </w:r>
      <w:r w:rsidRPr="001718A7">
        <w:rPr>
          <w:lang w:val="es-ES_tradnl"/>
        </w:rPr>
        <w:tab/>
        <w:t>que tambi</w:t>
      </w:r>
      <w:r>
        <w:rPr>
          <w:lang w:val="es-ES_tradnl"/>
        </w:rPr>
        <w:t xml:space="preserve">én se necesitarán sistemas de transmisión de baja capacidad para los sistemas de radiocomunicaciones </w:t>
      </w:r>
      <w:proofErr w:type="spellStart"/>
      <w:r>
        <w:rPr>
          <w:lang w:val="es-ES_tradnl"/>
        </w:rPr>
        <w:t>STI</w:t>
      </w:r>
      <w:proofErr w:type="spellEnd"/>
      <w:r>
        <w:rPr>
          <w:lang w:val="es-ES_tradnl"/>
        </w:rPr>
        <w:t xml:space="preserve"> destinados al funcionamiento seguro del vehículo, como los radares </w:t>
      </w:r>
      <w:proofErr w:type="spellStart"/>
      <w:r>
        <w:rPr>
          <w:lang w:val="es-ES_tradnl"/>
        </w:rPr>
        <w:t>antichoques</w:t>
      </w:r>
      <w:proofErr w:type="spellEnd"/>
      <w:r>
        <w:rPr>
          <w:lang w:val="es-ES_tradnl"/>
        </w:rPr>
        <w:t>;</w:t>
      </w:r>
    </w:p>
    <w:p w:rsidR="009C6E82" w:rsidRDefault="009C6E82" w:rsidP="00564A49">
      <w:pPr>
        <w:rPr>
          <w:lang w:val="es-ES_tradnl"/>
        </w:rPr>
      </w:pPr>
      <w:r>
        <w:rPr>
          <w:lang w:val="es-ES_tradnl"/>
        </w:rPr>
        <w:t>f)</w:t>
      </w:r>
      <w:r>
        <w:rPr>
          <w:lang w:val="es-ES_tradnl"/>
        </w:rPr>
        <w:tab/>
        <w:t>que un sistema integrado de radar y radiocomunicaciones es beneficioso para la seguridad y la comodidad del conductor;</w:t>
      </w:r>
    </w:p>
    <w:p w:rsidR="009C6E82" w:rsidRDefault="009C6E82" w:rsidP="00564A49">
      <w:pPr>
        <w:rPr>
          <w:lang w:val="es-ES_tradnl"/>
        </w:rPr>
      </w:pPr>
      <w:r>
        <w:rPr>
          <w:lang w:val="es-ES_tradnl"/>
        </w:rPr>
        <w:t>g)</w:t>
      </w:r>
      <w:r>
        <w:rPr>
          <w:lang w:val="es-ES_tradnl"/>
        </w:rPr>
        <w:tab/>
        <w:t xml:space="preserve">que diversos foros industriales y de investigación han estudiado intensivamente los sistemas de comunicaciones </w:t>
      </w:r>
      <w:proofErr w:type="spellStart"/>
      <w:r>
        <w:rPr>
          <w:lang w:val="es-ES_tradnl"/>
        </w:rPr>
        <w:t>STI</w:t>
      </w:r>
      <w:proofErr w:type="spellEnd"/>
      <w:r>
        <w:rPr>
          <w:lang w:val="es-ES_tradnl"/>
        </w:rPr>
        <w:t xml:space="preserve"> de alta velocidad por ondas milimétricas que utilizan la tecnología radio por fibra;</w:t>
      </w:r>
    </w:p>
    <w:p w:rsidR="009C6E82" w:rsidRDefault="009C6E82" w:rsidP="00564A49">
      <w:pPr>
        <w:rPr>
          <w:lang w:val="es-ES_tradnl"/>
        </w:rPr>
      </w:pPr>
      <w:r>
        <w:rPr>
          <w:lang w:val="es-ES_tradnl"/>
        </w:rPr>
        <w:t>h)</w:t>
      </w:r>
      <w:r>
        <w:rPr>
          <w:lang w:val="es-ES_tradnl"/>
        </w:rPr>
        <w:tab/>
        <w:t xml:space="preserve">que las frecuencias de ondas milimétricas presentan importantes ventajas y ofrecen una gran anchura de banda para los sistemas </w:t>
      </w:r>
      <w:proofErr w:type="spellStart"/>
      <w:r>
        <w:rPr>
          <w:lang w:val="es-ES_tradnl"/>
        </w:rPr>
        <w:t>STI</w:t>
      </w:r>
      <w:proofErr w:type="spellEnd"/>
      <w:r>
        <w:rPr>
          <w:lang w:val="es-ES_tradnl"/>
        </w:rPr>
        <w:t xml:space="preserve"> de radar y comunicaciones integrados mencionados;</w:t>
      </w:r>
    </w:p>
    <w:p w:rsidR="009C6E82" w:rsidRDefault="009C6E82" w:rsidP="00564A49">
      <w:pPr>
        <w:rPr>
          <w:lang w:val="es-ES_tradnl"/>
        </w:rPr>
      </w:pPr>
      <w:r>
        <w:rPr>
          <w:lang w:val="es-ES_tradnl"/>
        </w:rPr>
        <w:t>j)</w:t>
      </w:r>
      <w:r>
        <w:rPr>
          <w:lang w:val="es-ES_tradnl"/>
        </w:rPr>
        <w:tab/>
        <w:t xml:space="preserve">que, de conformidad con el Reglamento de Radiocomunicaciones, hay otros sistemas y servicios de radiocomunicaciones en funcionamiento que también utilizan las frecuencias de ondas milimétricas; </w:t>
      </w:r>
    </w:p>
    <w:p w:rsidR="009C6E82" w:rsidRDefault="009C6E82" w:rsidP="00564A49">
      <w:pPr>
        <w:rPr>
          <w:lang w:val="es-ES_tradnl"/>
        </w:rPr>
      </w:pPr>
      <w:r>
        <w:rPr>
          <w:lang w:val="es-ES_tradnl"/>
        </w:rPr>
        <w:t>k)</w:t>
      </w:r>
      <w:r>
        <w:rPr>
          <w:lang w:val="es-ES_tradnl"/>
        </w:rPr>
        <w:tab/>
        <w:t>que los países miembros de la Conferencia Europea de Administraciones Postales y de Telecomunicaciones (</w:t>
      </w:r>
      <w:proofErr w:type="spellStart"/>
      <w:r>
        <w:rPr>
          <w:lang w:val="es-ES_tradnl"/>
        </w:rPr>
        <w:t>CEPT</w:t>
      </w:r>
      <w:proofErr w:type="spellEnd"/>
      <w:r>
        <w:rPr>
          <w:lang w:val="es-ES_tradnl"/>
        </w:rPr>
        <w:t>) utilizan temporalmente, hasta el 1 de julio de 2013, la banda 21,65</w:t>
      </w:r>
      <w:r>
        <w:rPr>
          <w:lang w:val="es-ES_tradnl"/>
        </w:rPr>
        <w:noBreakHyphen/>
        <w:t>26,65 GHz para los radares de vehículo de corto alcance;</w:t>
      </w:r>
    </w:p>
    <w:p w:rsidR="009C6E82" w:rsidRDefault="009C6E82" w:rsidP="00564A49">
      <w:pPr>
        <w:rPr>
          <w:lang w:val="es-ES_tradnl"/>
        </w:rPr>
      </w:pPr>
      <w:r>
        <w:rPr>
          <w:lang w:val="es-ES_tradnl"/>
        </w:rPr>
        <w:lastRenderedPageBreak/>
        <w:t>l)</w:t>
      </w:r>
      <w:r>
        <w:rPr>
          <w:lang w:val="es-ES_tradnl"/>
        </w:rPr>
        <w:tab/>
        <w:t>que la fuerte absorción debida al oxígeno atmosférico y al vapor de agua en parte de las gamas de frecuencias de ondas milimétricas puede reducir la interferencia entre los diversos servicios de radiocomunicaciones en funcionamiento en esas gamas;</w:t>
      </w:r>
    </w:p>
    <w:p w:rsidR="009C6E82" w:rsidRPr="001718A7" w:rsidRDefault="009C6E82" w:rsidP="00564A49">
      <w:pPr>
        <w:rPr>
          <w:lang w:val="es-ES_tradnl"/>
        </w:rPr>
      </w:pPr>
      <w:r>
        <w:rPr>
          <w:lang w:val="es-ES_tradnl"/>
        </w:rPr>
        <w:t>m)</w:t>
      </w:r>
      <w:r>
        <w:rPr>
          <w:lang w:val="es-ES_tradnl"/>
        </w:rPr>
        <w:tab/>
        <w:t xml:space="preserve">que se han de identificar las características técnicas y operativas de los sistemas de radiocomunicaciones por ondas milimétricas integrados para las aplicaciones </w:t>
      </w:r>
      <w:proofErr w:type="spellStart"/>
      <w:r>
        <w:rPr>
          <w:lang w:val="es-ES_tradnl"/>
        </w:rPr>
        <w:t>STI</w:t>
      </w:r>
      <w:proofErr w:type="spellEnd"/>
      <w:r>
        <w:rPr>
          <w:lang w:val="es-ES_tradnl"/>
        </w:rPr>
        <w:t xml:space="preserve"> a fin de facilitar la implantación mundial de dichos sistemas,</w:t>
      </w:r>
    </w:p>
    <w:p w:rsidR="009C6E82" w:rsidRPr="00A5098A" w:rsidRDefault="009C6E82" w:rsidP="00564A49">
      <w:pPr>
        <w:pStyle w:val="Call"/>
        <w:rPr>
          <w:lang w:val="es-ES_tradnl"/>
        </w:rPr>
      </w:pPr>
      <w:proofErr w:type="gramStart"/>
      <w:r>
        <w:rPr>
          <w:lang w:val="es-ES_tradnl"/>
        </w:rPr>
        <w:t>observando</w:t>
      </w:r>
      <w:proofErr w:type="gramEnd"/>
    </w:p>
    <w:p w:rsidR="009C6E82" w:rsidRPr="00A5098A" w:rsidRDefault="009C6E82" w:rsidP="00564A49">
      <w:pPr>
        <w:rPr>
          <w:lang w:val="es-ES_tradnl"/>
        </w:rPr>
      </w:pPr>
      <w:r>
        <w:rPr>
          <w:lang w:val="es-ES_tradnl"/>
        </w:rPr>
        <w:t>a)</w:t>
      </w:r>
      <w:r>
        <w:rPr>
          <w:lang w:val="es-ES_tradnl"/>
        </w:rPr>
        <w:tab/>
      </w:r>
      <w:r w:rsidRPr="00A5098A">
        <w:rPr>
          <w:lang w:val="es-ES_tradnl"/>
        </w:rPr>
        <w:t xml:space="preserve">que la Organización Internacional de Normalización (ISO) ha publicado normas relativas a los aspectos no relacionados con las radiocomunicaciones de los </w:t>
      </w:r>
      <w:proofErr w:type="spellStart"/>
      <w:r w:rsidRPr="00A5098A">
        <w:rPr>
          <w:lang w:val="es-ES_tradnl"/>
        </w:rPr>
        <w:t>STI</w:t>
      </w:r>
      <w:proofErr w:type="spellEnd"/>
      <w:r w:rsidRPr="00A5098A">
        <w:rPr>
          <w:lang w:val="es-ES_tradnl"/>
        </w:rPr>
        <w:t xml:space="preserve"> en la norma ISO/TC204, teniendo en cuenta los trabajos realizados por organizaciones externas reconocidas;</w:t>
      </w:r>
    </w:p>
    <w:p w:rsidR="009C6E82" w:rsidRPr="00A5098A" w:rsidRDefault="009C6E82" w:rsidP="00564A49">
      <w:pPr>
        <w:rPr>
          <w:lang w:val="es-ES_tradnl"/>
        </w:rPr>
      </w:pPr>
      <w:r>
        <w:rPr>
          <w:lang w:val="es-ES_tradnl"/>
        </w:rPr>
        <w:t>b)</w:t>
      </w:r>
      <w:r>
        <w:rPr>
          <w:lang w:val="es-ES_tradnl"/>
        </w:rPr>
        <w:tab/>
        <w:t xml:space="preserve">que </w:t>
      </w:r>
      <w:r w:rsidRPr="00A5098A">
        <w:rPr>
          <w:lang w:val="es-ES_tradnl"/>
        </w:rPr>
        <w:t>el Instituto Europeo de Normas de Telecomunicaciones (</w:t>
      </w:r>
      <w:proofErr w:type="spellStart"/>
      <w:r w:rsidRPr="00A5098A">
        <w:rPr>
          <w:lang w:val="es-ES_tradnl"/>
        </w:rPr>
        <w:t>ETSI</w:t>
      </w:r>
      <w:proofErr w:type="spellEnd"/>
      <w:r w:rsidRPr="00A5098A">
        <w:rPr>
          <w:lang w:val="es-ES_tradnl"/>
        </w:rPr>
        <w:t xml:space="preserve">) ha </w:t>
      </w:r>
      <w:r>
        <w:rPr>
          <w:lang w:val="es-ES_tradnl"/>
        </w:rPr>
        <w:t xml:space="preserve">publicado normas relativas a los aspectos de radiocomunicaciones de los </w:t>
      </w:r>
      <w:proofErr w:type="spellStart"/>
      <w:r>
        <w:rPr>
          <w:lang w:val="es-ES_tradnl"/>
        </w:rPr>
        <w:t>STI</w:t>
      </w:r>
      <w:proofErr w:type="spellEnd"/>
      <w:r>
        <w:rPr>
          <w:lang w:val="es-ES_tradnl"/>
        </w:rPr>
        <w:t xml:space="preserve"> en </w:t>
      </w:r>
      <w:proofErr w:type="spellStart"/>
      <w:r>
        <w:rPr>
          <w:lang w:val="es-ES_tradnl"/>
        </w:rPr>
        <w:t>ETSI</w:t>
      </w:r>
      <w:proofErr w:type="spellEnd"/>
      <w:r>
        <w:rPr>
          <w:lang w:val="es-ES_tradnl"/>
        </w:rPr>
        <w:t>/</w:t>
      </w:r>
      <w:proofErr w:type="spellStart"/>
      <w:r>
        <w:rPr>
          <w:lang w:val="es-ES_tradnl"/>
        </w:rPr>
        <w:t>ERM</w:t>
      </w:r>
      <w:proofErr w:type="spellEnd"/>
      <w:r>
        <w:rPr>
          <w:lang w:val="es-ES_tradnl"/>
        </w:rPr>
        <w:t xml:space="preserve"> (Compatibilidad electromagnética y cuestiones relacionadas con el espectro radioeléctrico), que pueden contribuir a los trabajos del UIT-R;</w:t>
      </w:r>
    </w:p>
    <w:p w:rsidR="009C6E82" w:rsidRPr="00C60A93" w:rsidRDefault="009C6E82" w:rsidP="00564A49">
      <w:pPr>
        <w:rPr>
          <w:lang w:val="es-ES_tradnl"/>
        </w:rPr>
      </w:pPr>
      <w:r>
        <w:rPr>
          <w:lang w:val="es-ES_tradnl"/>
        </w:rPr>
        <w:t>c)</w:t>
      </w:r>
      <w:r>
        <w:rPr>
          <w:lang w:val="es-ES_tradnl"/>
        </w:rPr>
        <w:tab/>
      </w:r>
      <w:r w:rsidRPr="00C60A93">
        <w:rPr>
          <w:lang w:val="es-ES_tradnl"/>
        </w:rPr>
        <w:t>que el Instituto de Ingenieros Eléctricos y Electrónicos (IEEE) ha normalizado las comunicaciones por ondas milimétricas para las redes personales inalámbricas en la gama de frecuencias 57-66 GHz en IEEE 802.15.3c;</w:t>
      </w:r>
    </w:p>
    <w:p w:rsidR="009C6E82" w:rsidRDefault="009C6E82" w:rsidP="00564A49">
      <w:pPr>
        <w:rPr>
          <w:lang w:val="es-ES_tradnl"/>
        </w:rPr>
      </w:pPr>
      <w:r>
        <w:rPr>
          <w:lang w:val="es-ES_tradnl"/>
        </w:rPr>
        <w:t>d)</w:t>
      </w:r>
      <w:r>
        <w:rPr>
          <w:lang w:val="es-ES_tradnl"/>
        </w:rPr>
        <w:tab/>
        <w:t xml:space="preserve">que el Manual sobre el servicio móvil terrestre (Volumen 4 sobre </w:t>
      </w:r>
      <w:proofErr w:type="spellStart"/>
      <w:r>
        <w:rPr>
          <w:lang w:val="es-ES_tradnl"/>
        </w:rPr>
        <w:t>STI</w:t>
      </w:r>
      <w:proofErr w:type="spellEnd"/>
      <w:r>
        <w:rPr>
          <w:lang w:val="es-ES_tradnl"/>
        </w:rPr>
        <w:t>) contiene información sobre las comunicaciones por ondas milimétricas, incluidas las características de propagación para las comunicaciones vehículo a vehículo y las comunicaciones entre el vehículo y el radar;</w:t>
      </w:r>
    </w:p>
    <w:p w:rsidR="009C6E82" w:rsidRPr="00C60A93" w:rsidRDefault="009C6E82" w:rsidP="00564A49">
      <w:pPr>
        <w:rPr>
          <w:lang w:val="es-ES_tradnl"/>
        </w:rPr>
      </w:pPr>
      <w:r>
        <w:rPr>
          <w:lang w:val="es-ES_tradnl"/>
        </w:rPr>
        <w:t>e)</w:t>
      </w:r>
      <w:r>
        <w:rPr>
          <w:lang w:val="es-ES_tradnl"/>
        </w:rPr>
        <w:tab/>
        <w:t xml:space="preserve">que la banda 76-77,5 GHz está atribuida en todo el mundo con categoría primaria al servicio de radioastronomía, que es especialmente susceptible  a la interferencia que puedan causar las aplicaciones </w:t>
      </w:r>
      <w:proofErr w:type="spellStart"/>
      <w:r>
        <w:rPr>
          <w:lang w:val="es-ES_tradnl"/>
        </w:rPr>
        <w:t>STI</w:t>
      </w:r>
      <w:proofErr w:type="spellEnd"/>
      <w:r>
        <w:rPr>
          <w:lang w:val="es-ES_tradnl"/>
        </w:rPr>
        <w:t xml:space="preserve"> móviles, pues las señales cósmicas que estudian son extremadamente débiles y cabe la posibilidad de que los vehículos se encuentren en las proximidades de los radiotelescopios,</w:t>
      </w:r>
    </w:p>
    <w:p w:rsidR="009C6E82" w:rsidRPr="00A5098A" w:rsidRDefault="009C6E82" w:rsidP="00564A49">
      <w:pPr>
        <w:pStyle w:val="Call"/>
        <w:rPr>
          <w:lang w:val="es-ES_tradnl"/>
        </w:rPr>
      </w:pPr>
      <w:proofErr w:type="gramStart"/>
      <w:r w:rsidRPr="00A5098A">
        <w:rPr>
          <w:lang w:val="es-ES_tradnl"/>
        </w:rPr>
        <w:t>recomienda</w:t>
      </w:r>
      <w:proofErr w:type="gramEnd"/>
    </w:p>
    <w:p w:rsidR="009C6E82" w:rsidRPr="000E5130" w:rsidRDefault="009C6E82" w:rsidP="00564A49">
      <w:pPr>
        <w:rPr>
          <w:lang w:val="es-ES_tradnl"/>
        </w:rPr>
      </w:pPr>
      <w:r w:rsidRPr="00972CD4">
        <w:rPr>
          <w:b/>
          <w:bCs/>
          <w:lang w:val="es-ES_tradnl"/>
        </w:rPr>
        <w:t>1</w:t>
      </w:r>
      <w:r>
        <w:rPr>
          <w:lang w:val="es-ES_tradnl"/>
        </w:rPr>
        <w:tab/>
      </w:r>
      <w:r w:rsidRPr="000E5130">
        <w:rPr>
          <w:lang w:val="es-ES_tradnl"/>
        </w:rPr>
        <w:t xml:space="preserve">que se utilicen como directrices para el diseño de los sistemas las características técnicas y operativas de los radares de sistemas de radiocomunicaciones por ondas milimétricas para aplicaciones </w:t>
      </w:r>
      <w:proofErr w:type="spellStart"/>
      <w:r w:rsidRPr="000E5130">
        <w:rPr>
          <w:lang w:val="es-ES_tradnl"/>
        </w:rPr>
        <w:t>STI</w:t>
      </w:r>
      <w:proofErr w:type="spellEnd"/>
      <w:r w:rsidRPr="000E5130">
        <w:rPr>
          <w:lang w:val="es-ES_tradnl"/>
        </w:rPr>
        <w:t xml:space="preserve"> que se presentan en el Anexo 1;</w:t>
      </w:r>
    </w:p>
    <w:p w:rsidR="009C6E82" w:rsidRDefault="009C6E82" w:rsidP="00564A49">
      <w:pPr>
        <w:rPr>
          <w:lang w:val="es-ES_tradnl"/>
        </w:rPr>
      </w:pPr>
      <w:r w:rsidRPr="00972CD4">
        <w:rPr>
          <w:b/>
          <w:bCs/>
          <w:lang w:val="es-ES_tradnl"/>
        </w:rPr>
        <w:t>2</w:t>
      </w:r>
      <w:r>
        <w:rPr>
          <w:lang w:val="es-ES_tradnl"/>
        </w:rPr>
        <w:tab/>
        <w:t xml:space="preserve">que se utilicen como directrices para el diseño de los sistemas las características técnicas y operativas de los sistemas de radiocomunicaciones por ondas milimétricas para aplicaciones </w:t>
      </w:r>
      <w:proofErr w:type="spellStart"/>
      <w:r>
        <w:rPr>
          <w:lang w:val="es-ES_tradnl"/>
        </w:rPr>
        <w:t>STI</w:t>
      </w:r>
      <w:proofErr w:type="spellEnd"/>
      <w:r>
        <w:rPr>
          <w:lang w:val="es-ES_tradnl"/>
        </w:rPr>
        <w:t xml:space="preserve"> de comunicación de datos entre vehículos y entre los vehículos y la infraestructura vial que se presentan en el Anexo 2.</w:t>
      </w:r>
    </w:p>
    <w:p w:rsidR="009C6E82" w:rsidRDefault="009C6E82" w:rsidP="00564A49">
      <w:pPr>
        <w:rPr>
          <w:lang w:val="es-ES_tradnl"/>
        </w:rPr>
      </w:pPr>
    </w:p>
    <w:p w:rsidR="009C6E82" w:rsidRDefault="009C6E82" w:rsidP="00972CD4">
      <w:pPr>
        <w:pStyle w:val="AnnexNoTitle"/>
        <w:rPr>
          <w:lang w:val="es-ES_tradnl"/>
        </w:rPr>
      </w:pPr>
      <w:r>
        <w:rPr>
          <w:lang w:val="es-ES_tradnl"/>
        </w:rPr>
        <w:lastRenderedPageBreak/>
        <w:t>Anexo 1</w:t>
      </w:r>
      <w:r>
        <w:rPr>
          <w:lang w:val="es-ES_tradnl"/>
        </w:rPr>
        <w:br/>
      </w:r>
      <w:r>
        <w:rPr>
          <w:lang w:val="es-ES_tradnl"/>
        </w:rPr>
        <w:br/>
        <w:t>Equipos de radar de vehículo de baja potencia</w:t>
      </w:r>
      <w:r w:rsidR="00972CD4">
        <w:rPr>
          <w:lang w:val="es-ES_tradnl"/>
        </w:rPr>
        <w:br/>
      </w:r>
      <w:r>
        <w:rPr>
          <w:lang w:val="es-ES_tradnl"/>
        </w:rPr>
        <w:t>y corto alcance a 60 GHz y a 76 GHz</w:t>
      </w:r>
    </w:p>
    <w:p w:rsidR="009C6E82" w:rsidRPr="00A5098A" w:rsidRDefault="009C6E82" w:rsidP="00564A49">
      <w:pPr>
        <w:pStyle w:val="Heading1"/>
        <w:rPr>
          <w:lang w:val="es-ES_tradnl"/>
        </w:rPr>
      </w:pPr>
      <w:r w:rsidRPr="00A5098A">
        <w:rPr>
          <w:lang w:val="es-ES_tradnl"/>
        </w:rPr>
        <w:t>1</w:t>
      </w:r>
      <w:r w:rsidRPr="00A5098A">
        <w:rPr>
          <w:lang w:val="es-ES_tradnl"/>
        </w:rPr>
        <w:tab/>
        <w:t>Generalidades</w:t>
      </w:r>
    </w:p>
    <w:p w:rsidR="009C6E82" w:rsidRPr="00A5098A" w:rsidRDefault="009C6E82" w:rsidP="00564A49">
      <w:pPr>
        <w:pStyle w:val="Heading2"/>
        <w:rPr>
          <w:lang w:val="es-ES_tradnl"/>
        </w:rPr>
      </w:pPr>
      <w:r w:rsidRPr="00A5098A">
        <w:rPr>
          <w:lang w:val="es-ES_tradnl"/>
        </w:rPr>
        <w:t>1.1</w:t>
      </w:r>
      <w:r w:rsidRPr="00A5098A">
        <w:rPr>
          <w:lang w:val="es-ES_tradnl"/>
        </w:rPr>
        <w:tab/>
        <w:t>Introducción</w:t>
      </w:r>
    </w:p>
    <w:p w:rsidR="009C6E82" w:rsidRDefault="009C6E82" w:rsidP="00564A49">
      <w:pPr>
        <w:rPr>
          <w:lang w:val="es-ES_tradnl"/>
        </w:rPr>
      </w:pPr>
      <w:r>
        <w:rPr>
          <w:lang w:val="es-ES_tradnl"/>
        </w:rPr>
        <w:t>Se considera que varias bandas de ondas milimétricas están destinadas para los radares de vehículo: l</w:t>
      </w:r>
      <w:r w:rsidRPr="00A5098A">
        <w:rPr>
          <w:lang w:val="es-ES_tradnl"/>
        </w:rPr>
        <w:t xml:space="preserve">a Comisión Federal de Comunicaciones (FCC) de Estados Unidos de América y el Ministerio de </w:t>
      </w:r>
      <w:r>
        <w:rPr>
          <w:lang w:val="es-ES_tradnl"/>
        </w:rPr>
        <w:t>Asuntos Internos y Comunicaciones (MIC)</w:t>
      </w:r>
      <w:r w:rsidRPr="00A5098A">
        <w:rPr>
          <w:lang w:val="es-ES_tradnl"/>
        </w:rPr>
        <w:t xml:space="preserve"> de Japón ya han asignado la banda de 76 GHz</w:t>
      </w:r>
      <w:r>
        <w:rPr>
          <w:lang w:val="es-ES_tradnl"/>
        </w:rPr>
        <w:t xml:space="preserve"> para este fin. En Estados Unidos, los radares de vehículo operativos en la  banda de 76 GHz no han de causar interferencias perjudiciales y han de aceptar la interferencia que pueda causar el funcionamiento de un sistema de radiocomunicaciones autorizado, cualquier otro emisor intencionada o no intencionadamente, los equipos industriales, científicos y médicos (</w:t>
      </w:r>
      <w:proofErr w:type="spellStart"/>
      <w:r>
        <w:rPr>
          <w:lang w:val="es-ES_tradnl"/>
        </w:rPr>
        <w:t>ISM</w:t>
      </w:r>
      <w:proofErr w:type="spellEnd"/>
      <w:r>
        <w:rPr>
          <w:lang w:val="es-ES_tradnl"/>
        </w:rPr>
        <w:t xml:space="preserve">) o un emisor accidental. Además, conforme a los requisitos de espectro europeos en cuanto a </w:t>
      </w:r>
      <w:proofErr w:type="spellStart"/>
      <w:r>
        <w:rPr>
          <w:lang w:val="es-ES_tradnl"/>
        </w:rPr>
        <w:t>RTTT</w:t>
      </w:r>
      <w:proofErr w:type="spellEnd"/>
      <w:r>
        <w:rPr>
          <w:lang w:val="es-ES_tradnl"/>
        </w:rPr>
        <w:t xml:space="preserve">, el </w:t>
      </w:r>
      <w:proofErr w:type="spellStart"/>
      <w:r>
        <w:rPr>
          <w:lang w:val="es-ES_tradnl"/>
        </w:rPr>
        <w:t>ETSI</w:t>
      </w:r>
      <w:proofErr w:type="spellEnd"/>
      <w:r>
        <w:rPr>
          <w:lang w:val="es-ES_tradnl"/>
        </w:rPr>
        <w:t xml:space="preserve"> ha adoptado una norma europea de radar de vehículo de baja potencia con funcionamiento en las bandas 76</w:t>
      </w:r>
      <w:r>
        <w:rPr>
          <w:lang w:val="es-ES_tradnl"/>
        </w:rPr>
        <w:noBreakHyphen/>
        <w:t xml:space="preserve">77 GHz y 77-81 </w:t>
      </w:r>
      <w:proofErr w:type="spellStart"/>
      <w:r>
        <w:rPr>
          <w:lang w:val="es-ES_tradnl"/>
        </w:rPr>
        <w:t>GHz.</w:t>
      </w:r>
      <w:proofErr w:type="spellEnd"/>
      <w:r>
        <w:rPr>
          <w:lang w:val="es-ES_tradnl"/>
        </w:rPr>
        <w:t xml:space="preserve"> El MIC de Japón también ha atribuido la banda 60-61 GHz a esta aplicación. Esta labor ha llevado al </w:t>
      </w:r>
      <w:proofErr w:type="spellStart"/>
      <w:r>
        <w:rPr>
          <w:lang w:val="es-ES_tradnl"/>
        </w:rPr>
        <w:t>ASTAP</w:t>
      </w:r>
      <w:proofErr w:type="spellEnd"/>
      <w:r>
        <w:rPr>
          <w:lang w:val="es-ES_tradnl"/>
        </w:rPr>
        <w:t xml:space="preserve"> a considerar una propuesta de proyecto de norma sobre radar de vehículo de baja potencia y </w:t>
      </w:r>
      <w:proofErr w:type="gramStart"/>
      <w:r>
        <w:rPr>
          <w:lang w:val="es-ES_tradnl"/>
        </w:rPr>
        <w:t>corto</w:t>
      </w:r>
      <w:proofErr w:type="gramEnd"/>
      <w:r>
        <w:rPr>
          <w:lang w:val="es-ES_tradnl"/>
        </w:rPr>
        <w:t xml:space="preserve"> alcance con funcionamiento en las bandas</w:t>
      </w:r>
      <w:r w:rsidRPr="00A5098A">
        <w:rPr>
          <w:lang w:val="es-ES_tradnl"/>
        </w:rPr>
        <w:t xml:space="preserve"> 60</w:t>
      </w:r>
      <w:r w:rsidRPr="00A5098A">
        <w:rPr>
          <w:lang w:val="es-ES_tradnl"/>
        </w:rPr>
        <w:noBreakHyphen/>
        <w:t>61 GHz y 76</w:t>
      </w:r>
      <w:r w:rsidRPr="00A5098A">
        <w:rPr>
          <w:lang w:val="es-ES_tradnl"/>
        </w:rPr>
        <w:noBreakHyphen/>
        <w:t>77 </w:t>
      </w:r>
      <w:proofErr w:type="spellStart"/>
      <w:r w:rsidRPr="00A5098A">
        <w:rPr>
          <w:lang w:val="es-ES_tradnl"/>
        </w:rPr>
        <w:t>GHz.</w:t>
      </w:r>
      <w:proofErr w:type="spellEnd"/>
    </w:p>
    <w:p w:rsidR="009C6E82" w:rsidRDefault="009C6E82" w:rsidP="00564A49">
      <w:pPr>
        <w:rPr>
          <w:lang w:val="es-ES_tradnl"/>
        </w:rPr>
      </w:pPr>
      <w:r>
        <w:rPr>
          <w:lang w:val="es-ES_tradnl"/>
        </w:rPr>
        <w:t>Los sistemas de radar de vehículo en ondas milimétricas existentes pueden dividirse en dos categorías, en función de las gamas de medición y la anchura de banda:</w:t>
      </w:r>
    </w:p>
    <w:p w:rsidR="009C6E82" w:rsidRDefault="009C6E82" w:rsidP="00564A49">
      <w:pPr>
        <w:pStyle w:val="enumlev1"/>
        <w:rPr>
          <w:lang w:val="es-ES_tradnl"/>
        </w:rPr>
      </w:pPr>
      <w:r w:rsidRPr="00E83D02">
        <w:rPr>
          <w:lang w:val="es-ES_tradnl"/>
        </w:rPr>
        <w:t>–</w:t>
      </w:r>
      <w:r>
        <w:rPr>
          <w:lang w:val="es-ES_tradnl"/>
        </w:rPr>
        <w:tab/>
      </w:r>
      <w:r w:rsidR="00972CD4">
        <w:rPr>
          <w:lang w:val="es-ES_tradnl"/>
        </w:rPr>
        <w:t xml:space="preserve">Radar </w:t>
      </w:r>
      <w:r>
        <w:rPr>
          <w:lang w:val="es-ES_tradnl"/>
        </w:rPr>
        <w:t>«de largo alcance» de control de trayectoria adaptable (</w:t>
      </w:r>
      <w:proofErr w:type="spellStart"/>
      <w:r>
        <w:rPr>
          <w:lang w:val="es-ES_tradnl"/>
        </w:rPr>
        <w:t>ACC</w:t>
      </w:r>
      <w:proofErr w:type="spellEnd"/>
      <w:r>
        <w:rPr>
          <w:lang w:val="es-ES_tradnl"/>
        </w:rPr>
        <w:t>), operativo en la banda 76-77 GHz para gamas de medición de hasta 150 m.</w:t>
      </w:r>
    </w:p>
    <w:p w:rsidR="009C6E82" w:rsidRDefault="009C6E82" w:rsidP="00564A49">
      <w:pPr>
        <w:pStyle w:val="enumlev1"/>
        <w:rPr>
          <w:lang w:val="es-ES_tradnl"/>
        </w:rPr>
      </w:pPr>
      <w:r w:rsidRPr="00E83D02">
        <w:rPr>
          <w:lang w:val="es-ES_tradnl"/>
        </w:rPr>
        <w:t>–</w:t>
      </w:r>
      <w:r>
        <w:rPr>
          <w:lang w:val="es-ES_tradnl"/>
        </w:rPr>
        <w:tab/>
      </w:r>
      <w:r w:rsidR="00972CD4">
        <w:rPr>
          <w:lang w:val="es-ES_tradnl"/>
        </w:rPr>
        <w:t xml:space="preserve">Radar </w:t>
      </w:r>
      <w:r>
        <w:rPr>
          <w:lang w:val="es-ES_tradnl"/>
        </w:rPr>
        <w:t>«de corto alcance», operativo en la banda 77-81 GHz, también atribuido en Europa, para gamas de medición de hasta 30 m.</w:t>
      </w:r>
    </w:p>
    <w:p w:rsidR="009C6E82" w:rsidRPr="00F61D45" w:rsidRDefault="009C6E82" w:rsidP="00564A49">
      <w:pPr>
        <w:rPr>
          <w:lang w:val="es-ES_tradnl"/>
        </w:rPr>
      </w:pPr>
      <w:r>
        <w:rPr>
          <w:lang w:val="es-ES_tradnl"/>
        </w:rPr>
        <w:t>Dado que los vehículos se venden en todo el mundo, la industria del automóvil</w:t>
      </w:r>
      <w:r>
        <w:rPr>
          <w:rStyle w:val="FootnoteReference"/>
          <w:lang w:val="es-ES_tradnl"/>
        </w:rPr>
        <w:footnoteReference w:id="1"/>
      </w:r>
      <w:r>
        <w:rPr>
          <w:lang w:val="es-ES_tradnl"/>
        </w:rPr>
        <w:t xml:space="preserve"> está muy interesada en que se armonicen en todo el mundo estas bandas de frecuencias y los correspondientes parámetros.</w:t>
      </w:r>
    </w:p>
    <w:p w:rsidR="009C6E82" w:rsidRPr="00A5098A" w:rsidRDefault="009C6E82" w:rsidP="00564A49">
      <w:pPr>
        <w:rPr>
          <w:lang w:val="es-ES_tradnl"/>
        </w:rPr>
      </w:pPr>
      <w:r w:rsidRPr="00A5098A">
        <w:rPr>
          <w:lang w:val="es-ES_tradnl"/>
        </w:rPr>
        <w:t xml:space="preserve">Un sistema radar </w:t>
      </w:r>
      <w:r>
        <w:rPr>
          <w:lang w:val="es-ES_tradnl"/>
        </w:rPr>
        <w:t xml:space="preserve">típico </w:t>
      </w:r>
      <w:r w:rsidRPr="00A5098A">
        <w:rPr>
          <w:lang w:val="es-ES_tradnl"/>
        </w:rPr>
        <w:t>puede detectar ciertas condiciones a unos 100 m de un vehículo utilizando ondas milimétricas. Con este sistema se espera evitar colisiones y otros accidentes.</w:t>
      </w:r>
    </w:p>
    <w:p w:rsidR="009C6E82" w:rsidRPr="00A5098A" w:rsidRDefault="009C6E82" w:rsidP="00564A49">
      <w:pPr>
        <w:rPr>
          <w:lang w:val="es-ES_tradnl"/>
        </w:rPr>
      </w:pPr>
      <w:r w:rsidRPr="00A5098A">
        <w:rPr>
          <w:lang w:val="es-ES_tradnl"/>
        </w:rPr>
        <w:t xml:space="preserve">La Fig. 1 muestra un ejemplo de aplicación de radar </w:t>
      </w:r>
      <w:r>
        <w:rPr>
          <w:lang w:val="es-ES_tradnl"/>
        </w:rPr>
        <w:t xml:space="preserve">de vehículo </w:t>
      </w:r>
      <w:r w:rsidRPr="00A5098A">
        <w:rPr>
          <w:lang w:val="es-ES_tradnl"/>
        </w:rPr>
        <w:t>de baja potencia.</w:t>
      </w:r>
    </w:p>
    <w:p w:rsidR="00752519" w:rsidRPr="00A5098A" w:rsidRDefault="00752519" w:rsidP="002B1DAC">
      <w:pPr>
        <w:rPr>
          <w:lang w:val="es-ES_tradnl"/>
        </w:rPr>
      </w:pPr>
    </w:p>
    <w:p w:rsidR="009C6E82" w:rsidRDefault="00C20343" w:rsidP="00564A49">
      <w:pPr>
        <w:pStyle w:val="Fig"/>
      </w:pPr>
      <w:r>
        <w:pict>
          <v:group id="_x0000_s1062" editas="canvas" style="width:462pt;height:241.55pt;mso-position-horizontal-relative:char;mso-position-vertical-relative:line" coordsize="9240,48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9240;height:4831" o:preferrelative="f">
              <v:fill o:detectmouseclick="t"/>
              <v:path o:extrusionok="t" o:connecttype="none"/>
              <o:lock v:ext="edit" text="t"/>
            </v:shape>
            <v:shape id="_x0000_s1063" type="#_x0000_t75" style="position:absolute;left:168;top:984;width:9067;height:3731">
              <v:imagedata r:id="rId13" o:title=""/>
            </v:shape>
            <v:rect id="_x0000_s1064" style="position:absolute;left:3195;top:898;width:1660;height:326" filled="f" stroked="f"/>
            <v:rect id="_x0000_s1065" style="position:absolute;left:3445;top:917;width:1198;height:442;mso-wrap-style:none;v-text-anchor:top" filled="f" stroked="f">
              <v:textbox style="mso-next-textbox:#_x0000_s1065;mso-fit-shape-to-text:t" inset="0,0,0,0">
                <w:txbxContent>
                  <w:p w:rsidR="002B1DAC" w:rsidRDefault="002B1DAC">
                    <w:proofErr w:type="spellStart"/>
                    <w:r>
                      <w:rPr>
                        <w:rFonts w:ascii="Arial" w:hAnsi="Arial" w:cs="Arial"/>
                        <w:color w:val="000000"/>
                        <w:sz w:val="28"/>
                        <w:szCs w:val="28"/>
                      </w:rPr>
                      <w:t>Millimeter</w:t>
                    </w:r>
                    <w:proofErr w:type="spellEnd"/>
                    <w:r>
                      <w:rPr>
                        <w:rFonts w:ascii="Arial" w:hAnsi="Arial" w:cs="Arial"/>
                        <w:color w:val="000000"/>
                        <w:sz w:val="28"/>
                        <w:szCs w:val="28"/>
                      </w:rPr>
                      <w:t xml:space="preserve"> </w:t>
                    </w:r>
                  </w:p>
                </w:txbxContent>
              </v:textbox>
            </v:rect>
            <v:rect id="_x0000_s1067" style="position:absolute;left:4332;top:1244;width:78;height:396;mso-wrap-style:none;v-text-anchor:top" filled="f" stroked="f">
              <v:textbox style="mso-next-textbox:#_x0000_s1067;mso-fit-shape-to-text:t" inset="0,0,0,0">
                <w:txbxContent>
                  <w:p w:rsidR="002B1DAC" w:rsidRDefault="002B1DAC">
                    <w:r>
                      <w:rPr>
                        <w:rFonts w:ascii="Arial" w:hAnsi="Arial" w:cs="Arial"/>
                        <w:color w:val="000000"/>
                        <w:sz w:val="28"/>
                        <w:szCs w:val="28"/>
                      </w:rPr>
                      <w:t xml:space="preserve"> </w:t>
                    </w:r>
                  </w:p>
                </w:txbxContent>
              </v:textbox>
            </v:rect>
            <v:rect id="_x0000_s1068" style="position:absolute;left:4850;top:1340;width:4102;height:259" filled="f" stroked="f"/>
            <v:rect id="_x0000_s1070" style="position:absolute;left:8631;top:1359;width:78;height:396;mso-wrap-style:none;v-text-anchor:top" filled="f" stroked="f">
              <v:textbox style="mso-next-textbox:#_x0000_s1070;mso-fit-shape-to-text:t" inset="0,0,0,0">
                <w:txbxContent>
                  <w:p w:rsidR="002B1DAC" w:rsidRDefault="002B1DAC">
                    <w:r>
                      <w:rPr>
                        <w:rFonts w:ascii="Arial" w:hAnsi="Arial" w:cs="Arial"/>
                        <w:color w:val="000000"/>
                        <w:sz w:val="28"/>
                        <w:szCs w:val="28"/>
                      </w:rPr>
                      <w:t xml:space="preserve"> </w:t>
                    </w:r>
                  </w:p>
                </w:txbxContent>
              </v:textbox>
            </v:rect>
            <v:rect id="_x0000_s1071" style="position:absolute;top:2122;width:1578;height:312" filled="f" stroked="f"/>
            <v:rect id="_x0000_s1072" style="position:absolute;left:369;top:2142;width:903;height:442;mso-wrap-style:none;v-text-anchor:top" filled="f" stroked="f">
              <v:textbox style="mso-next-textbox:#_x0000_s1072;mso-fit-shape-to-text:t" inset="0,0,0,0">
                <w:txbxContent>
                  <w:p w:rsidR="002B1DAC" w:rsidRDefault="002B1DAC">
                    <w:proofErr w:type="spellStart"/>
                    <w:r>
                      <w:rPr>
                        <w:rFonts w:ascii="Arial" w:hAnsi="Arial" w:cs="Arial"/>
                        <w:color w:val="000000"/>
                        <w:sz w:val="28"/>
                        <w:szCs w:val="28"/>
                      </w:rPr>
                      <w:t>Moving</w:t>
                    </w:r>
                    <w:proofErr w:type="spellEnd"/>
                    <w:r>
                      <w:rPr>
                        <w:rFonts w:ascii="Arial" w:hAnsi="Arial" w:cs="Arial"/>
                        <w:color w:val="000000"/>
                        <w:sz w:val="28"/>
                        <w:szCs w:val="28"/>
                      </w:rPr>
                      <w:t xml:space="preserve"> </w:t>
                    </w:r>
                  </w:p>
                </w:txbxContent>
              </v:textbox>
            </v:rect>
            <v:rect id="_x0000_s1073" style="position:absolute;left:369;top:2468;width:872;height:442;mso-wrap-style:none;v-text-anchor:top" filled="f" stroked="f">
              <v:textbox style="mso-next-textbox:#_x0000_s1073;mso-fit-shape-to-text:t" inset="0,0,0,0">
                <w:txbxContent>
                  <w:p w:rsidR="002B1DAC" w:rsidRDefault="002B1DAC">
                    <w:proofErr w:type="spellStart"/>
                    <w:proofErr w:type="gramStart"/>
                    <w:r w:rsidRPr="00564A49">
                      <w:rPr>
                        <w:rFonts w:ascii="Arial" w:hAnsi="Arial" w:cs="Arial"/>
                        <w:color w:val="FFFFFF" w:themeColor="background1"/>
                        <w:sz w:val="28"/>
                        <w:szCs w:val="28"/>
                      </w:rPr>
                      <w:t>vehicle</w:t>
                    </w:r>
                    <w:proofErr w:type="spellEnd"/>
                    <w:proofErr w:type="gramEnd"/>
                  </w:p>
                </w:txbxContent>
              </v:textbox>
            </v:rect>
            <v:rect id="_x0000_s1075" style="position:absolute;left:652;top:3433;width:1675;height:312" filled="f" stroked="f"/>
            <v:rect id="_x0000_s1076" style="position:absolute;left:868;top:3452;width:732;height:442;mso-wrap-style:none;v-text-anchor:top" filled="f" stroked="f">
              <v:textbox style="mso-next-textbox:#_x0000_s1076;mso-fit-shape-to-text:t" inset="0,0,0,0">
                <w:txbxContent>
                  <w:p w:rsidR="002B1DAC" w:rsidRDefault="002B1DAC">
                    <w:r>
                      <w:rPr>
                        <w:rFonts w:ascii="Arial" w:hAnsi="Arial" w:cs="Arial"/>
                        <w:color w:val="000000"/>
                        <w:sz w:val="28"/>
                        <w:szCs w:val="28"/>
                      </w:rPr>
                      <w:t>About</w:t>
                    </w:r>
                  </w:p>
                </w:txbxContent>
              </v:textbox>
            </v:rect>
            <v:rect id="_x0000_s1079" style="position:absolute;left:1823;top:3779;width:78;height:396;mso-wrap-style:none;v-text-anchor:top" filled="f" stroked="f">
              <v:textbox style="mso-next-textbox:#_x0000_s1079;mso-fit-shape-to-text:t" inset="0,0,0,0">
                <w:txbxContent>
                  <w:p w:rsidR="002B1DAC" w:rsidRDefault="002B1DAC">
                    <w:r>
                      <w:rPr>
                        <w:rFonts w:ascii="Arial" w:hAnsi="Arial" w:cs="Arial"/>
                        <w:color w:val="000000"/>
                        <w:sz w:val="28"/>
                        <w:szCs w:val="28"/>
                      </w:rPr>
                      <w:t xml:space="preserve"> </w:t>
                    </w:r>
                  </w:p>
                </w:txbxContent>
              </v:textbox>
            </v:rect>
            <v:shape id="_x0000_s1080" style="position:absolute;left:350;top:2156;width:878;height:571" coordsize="878,571" path="m878,l,,,571r816,l878,466,878,xe" strokecolor="white" strokeweight="0">
              <v:path arrowok="t"/>
            </v:shape>
            <v:rect id="_x0000_s1081" style="position:absolute;left:849;top:3452;width:1257;height:620" stroked="f"/>
            <v:rect id="_x0000_s1082" style="position:absolute;left:3411;top:927;width:1262;height:581" stroked="f"/>
            <v:rect id="_x0000_s1083" style="position:absolute;left:5186;top:1383;width:3474;height:293" stroked="f"/>
            <v:rect id="_x0000_s1084" style="position:absolute;left:7906;top:4504;width:600;height:206" fillcolor="#e5e5e5" stroked="f"/>
            <v:rect id="_x0000_s1085" style="position:absolute;left:7906;top:4383;width:600;height:327;mso-wrap-style:none;v-text-anchor:top" filled="f" stroked="f">
              <v:textbox style="mso-next-textbox:#_x0000_s1085;mso-fit-shape-to-text:t" inset="0,0,0,0">
                <w:txbxContent>
                  <w:p w:rsidR="002B1DAC" w:rsidRPr="00564A49" w:rsidRDefault="002B1DAC">
                    <w:pPr>
                      <w:rPr>
                        <w:shd w:val="pct15" w:color="auto" w:fill="FFFFFF"/>
                      </w:rPr>
                    </w:pPr>
                    <w:r w:rsidRPr="00564A49">
                      <w:rPr>
                        <w:sz w:val="18"/>
                        <w:szCs w:val="18"/>
                        <w:shd w:val="pct15" w:color="auto" w:fill="FFFFFF"/>
                      </w:rPr>
                      <w:t>1452-01</w:t>
                    </w:r>
                  </w:p>
                </w:txbxContent>
              </v:textbox>
            </v:rect>
            <v:rect id="_x0000_s1086" style="position:absolute;left:4212;width:806;height:327;mso-wrap-style:none;v-text-anchor:top" filled="f" stroked="f">
              <v:textbox style="mso-next-textbox:#_x0000_s1086;mso-fit-shape-to-text:t" inset="0,0,0,0">
                <w:txbxContent>
                  <w:p w:rsidR="002B1DAC" w:rsidRDefault="002B1DAC">
                    <w:r>
                      <w:rPr>
                        <w:color w:val="000000"/>
                        <w:sz w:val="18"/>
                        <w:szCs w:val="18"/>
                      </w:rPr>
                      <w:t>FIGURA 1</w:t>
                    </w:r>
                  </w:p>
                </w:txbxContent>
              </v:textbox>
            </v:rect>
            <v:rect id="_x0000_s1087" style="position:absolute;left:1751;top:283;width:5740;height:327;mso-wrap-style:none;v-text-anchor:top" filled="f" stroked="f">
              <v:textbox style="mso-next-textbox:#_x0000_s1087;mso-fit-shape-to-text:t" inset="0,0,0,0">
                <w:txbxContent>
                  <w:p w:rsidR="002B1DAC" w:rsidRPr="00564A49" w:rsidRDefault="002B1DAC">
                    <w:pPr>
                      <w:rPr>
                        <w:lang w:val="es-ES_tradnl"/>
                      </w:rPr>
                    </w:pPr>
                    <w:r w:rsidRPr="00564A49">
                      <w:rPr>
                        <w:b/>
                        <w:bCs/>
                        <w:color w:val="000000"/>
                        <w:sz w:val="18"/>
                        <w:szCs w:val="18"/>
                        <w:lang w:val="es-ES_tradnl"/>
                      </w:rPr>
                      <w:t>Imagen de vehículos que utilizan un radar de baja potencia y corto alcance</w:t>
                    </w:r>
                  </w:p>
                </w:txbxContent>
              </v:textbox>
            </v:rect>
            <v:rect id="_x0000_s1088" style="position:absolute;left:1444;top:3409;width:881;height:327;mso-wrap-style:none;v-text-anchor:top" filled="f" stroked="f">
              <v:textbox style="mso-next-textbox:#_x0000_s1088;mso-fit-shape-to-text:t" inset="0,0,0,0">
                <w:txbxContent>
                  <w:p w:rsidR="002B1DAC" w:rsidRDefault="002B1DAC">
                    <w:proofErr w:type="spellStart"/>
                    <w:r>
                      <w:rPr>
                        <w:color w:val="000000"/>
                        <w:sz w:val="18"/>
                        <w:szCs w:val="18"/>
                      </w:rPr>
                      <w:t>Unos</w:t>
                    </w:r>
                    <w:proofErr w:type="spellEnd"/>
                    <w:r>
                      <w:rPr>
                        <w:color w:val="000000"/>
                        <w:sz w:val="18"/>
                        <w:szCs w:val="18"/>
                      </w:rPr>
                      <w:t xml:space="preserve"> 100 m</w:t>
                    </w:r>
                  </w:p>
                </w:txbxContent>
              </v:textbox>
            </v:rect>
            <v:rect id="_x0000_s1089" style="position:absolute;left:513;top:2151;width:875;height:327;mso-wrap-style:none;v-text-anchor:top" filled="f" stroked="f">
              <v:textbox style="mso-next-textbox:#_x0000_s1089;mso-fit-shape-to-text:t" inset="0,0,0,0">
                <w:txbxContent>
                  <w:p w:rsidR="002B1DAC" w:rsidRDefault="002B1DAC">
                    <w:proofErr w:type="spellStart"/>
                    <w:r>
                      <w:rPr>
                        <w:color w:val="000000"/>
                        <w:sz w:val="18"/>
                        <w:szCs w:val="18"/>
                      </w:rPr>
                      <w:t>Vehículo</w:t>
                    </w:r>
                    <w:proofErr w:type="spellEnd"/>
                    <w:r>
                      <w:rPr>
                        <w:color w:val="000000"/>
                        <w:sz w:val="18"/>
                        <w:szCs w:val="18"/>
                      </w:rPr>
                      <w:t xml:space="preserve"> en</w:t>
                    </w:r>
                  </w:p>
                </w:txbxContent>
              </v:textbox>
            </v:rect>
            <v:rect id="_x0000_s1090" style="position:absolute;left:513;top:2358;width:870;height:327;mso-wrap-style:none;v-text-anchor:top" filled="f" stroked="f">
              <v:textbox style="mso-next-textbox:#_x0000_s1090;mso-fit-shape-to-text:t" inset="0,0,0,0">
                <w:txbxContent>
                  <w:p w:rsidR="002B1DAC" w:rsidRDefault="002B1DAC">
                    <w:proofErr w:type="spellStart"/>
                    <w:proofErr w:type="gramStart"/>
                    <w:r>
                      <w:rPr>
                        <w:color w:val="000000"/>
                        <w:sz w:val="18"/>
                        <w:szCs w:val="18"/>
                      </w:rPr>
                      <w:t>movimiento</w:t>
                    </w:r>
                    <w:proofErr w:type="spellEnd"/>
                    <w:proofErr w:type="gramEnd"/>
                  </w:p>
                </w:txbxContent>
              </v:textbox>
            </v:rect>
            <v:rect id="_x0000_s1091" style="position:absolute;left:5573;top:1398;width:3594;height:840;v-text-anchor:top" filled="f" stroked="f">
              <v:textbox style="mso-next-textbox:#_x0000_s1091" inset="0,0,0,0">
                <w:txbxContent>
                  <w:p w:rsidR="002B1DAC" w:rsidRPr="00564A49" w:rsidRDefault="002B1DAC">
                    <w:pPr>
                      <w:rPr>
                        <w:lang w:val="es-ES_tradnl"/>
                      </w:rPr>
                    </w:pPr>
                    <w:r w:rsidRPr="00564A49">
                      <w:rPr>
                        <w:color w:val="000000"/>
                        <w:sz w:val="18"/>
                        <w:szCs w:val="18"/>
                        <w:lang w:val="es-ES_tradnl"/>
                      </w:rPr>
                      <w:t>Radar de baja potencia y corto alcance</w:t>
                    </w:r>
                  </w:p>
                </w:txbxContent>
              </v:textbox>
            </v:rect>
            <v:rect id="_x0000_s1092" style="position:absolute;left:4073;top:1071;width:460;height:327;mso-wrap-style:none;v-text-anchor:top" filled="f" stroked="f">
              <v:textbox style="mso-next-textbox:#_x0000_s1092;mso-fit-shape-to-text:t" inset="0,0,0,0">
                <w:txbxContent>
                  <w:p w:rsidR="002B1DAC" w:rsidRDefault="002B1DAC">
                    <w:proofErr w:type="spellStart"/>
                    <w:r>
                      <w:rPr>
                        <w:color w:val="000000"/>
                        <w:sz w:val="18"/>
                        <w:szCs w:val="18"/>
                      </w:rPr>
                      <w:t>Ondas</w:t>
                    </w:r>
                    <w:proofErr w:type="spellEnd"/>
                  </w:p>
                </w:txbxContent>
              </v:textbox>
            </v:rect>
            <v:rect id="_x0000_s1093" style="position:absolute;left:3852;top:1277;width:900;height:327;mso-wrap-style:none;v-text-anchor:top" filled="f" stroked="f">
              <v:textbox style="mso-next-textbox:#_x0000_s1093;mso-fit-shape-to-text:t" inset="0,0,0,0">
                <w:txbxContent>
                  <w:p w:rsidR="002B1DAC" w:rsidRPr="00564A49" w:rsidRDefault="002B1DAC">
                    <w:proofErr w:type="spellStart"/>
                    <w:proofErr w:type="gramStart"/>
                    <w:r w:rsidRPr="00564A49">
                      <w:rPr>
                        <w:sz w:val="18"/>
                        <w:szCs w:val="18"/>
                      </w:rPr>
                      <w:t>milimétricas</w:t>
                    </w:r>
                    <w:proofErr w:type="spellEnd"/>
                    <w:proofErr w:type="gramEnd"/>
                  </w:p>
                </w:txbxContent>
              </v:textbox>
            </v:rect>
            <w10:wrap type="none"/>
            <w10:anchorlock/>
          </v:group>
        </w:pict>
      </w:r>
    </w:p>
    <w:p w:rsidR="009C6E82" w:rsidRPr="00A5098A" w:rsidRDefault="009C6E82" w:rsidP="00564A49">
      <w:pPr>
        <w:pStyle w:val="Fig0"/>
        <w:rPr>
          <w:lang w:val="es-ES_tradnl"/>
        </w:rPr>
      </w:pPr>
      <w:r w:rsidRPr="00A5098A">
        <w:rPr>
          <w:lang w:val="es-ES_tradnl"/>
        </w:rPr>
        <w:t>FIGURE 1/M.1452</w:t>
      </w:r>
      <w:proofErr w:type="gramStart"/>
      <w:r w:rsidRPr="00A5098A">
        <w:rPr>
          <w:lang w:val="es-ES_tradnl"/>
        </w:rPr>
        <w:t>...[</w:t>
      </w:r>
      <w:proofErr w:type="gramEnd"/>
      <w:r w:rsidRPr="00A5098A">
        <w:rPr>
          <w:lang w:val="es-ES_tradnl"/>
        </w:rPr>
        <w:t xml:space="preserve">D01] = 3 CM </w:t>
      </w:r>
    </w:p>
    <w:p w:rsidR="009C6E82" w:rsidRPr="00E327C8" w:rsidRDefault="009C6E82" w:rsidP="0066380B">
      <w:pPr>
        <w:pStyle w:val="Normalaftertitle0"/>
        <w:jc w:val="both"/>
        <w:rPr>
          <w:b/>
          <w:lang w:val="es-ES_tradnl"/>
        </w:rPr>
      </w:pPr>
      <w:r w:rsidRPr="00E327C8">
        <w:rPr>
          <w:lang w:val="es-ES_tradnl"/>
        </w:rPr>
        <w:t>Dependiendo del número de sensores de radar y de su posición, es posible detectar objetos en determinados sectores o, incluso, en todo el entorno circundante del vehículo. Las señales de sensor no sólo son la base de los sistemas de asistencia al conductor, como el control de  trayectoria adaptable, sino también para una amplia gama de aplicaciones de automóviles de seguridad activa y pasiva.</w:t>
      </w:r>
    </w:p>
    <w:p w:rsidR="009C6E82" w:rsidRPr="00E327C8" w:rsidRDefault="009C6E82" w:rsidP="00564A49">
      <w:pPr>
        <w:pStyle w:val="Heading2"/>
        <w:rPr>
          <w:lang w:val="es-ES_tradnl"/>
        </w:rPr>
      </w:pPr>
      <w:r w:rsidRPr="00E327C8">
        <w:rPr>
          <w:lang w:val="es-ES_tradnl"/>
        </w:rPr>
        <w:t>1.2</w:t>
      </w:r>
      <w:r w:rsidRPr="00E327C8">
        <w:rPr>
          <w:lang w:val="es-ES_tradnl"/>
        </w:rPr>
        <w:tab/>
        <w:t>Panorámica</w:t>
      </w:r>
    </w:p>
    <w:p w:rsidR="009C6E82" w:rsidRPr="00E327C8" w:rsidRDefault="009C6E82" w:rsidP="00564A49">
      <w:pPr>
        <w:rPr>
          <w:lang w:val="es-ES_tradnl"/>
        </w:rPr>
      </w:pPr>
      <w:r w:rsidRPr="00E327C8">
        <w:rPr>
          <w:lang w:val="es-ES_tradnl"/>
        </w:rPr>
        <w:t>Los sistemas para la verificación de la proximidad con vehículos desempeñarán un papel importante en la seguridad del automóvil. Debido a su resistencia ante condiciones meteorológicas desfavorables y de suciedad, los radares de vehículo son adecuados para vehículos que funcionan en situaciones desfavorables.</w:t>
      </w:r>
    </w:p>
    <w:p w:rsidR="009C6E82" w:rsidRPr="00E327C8" w:rsidRDefault="009C6E82" w:rsidP="00564A49">
      <w:pPr>
        <w:rPr>
          <w:lang w:val="es-ES_tradnl"/>
        </w:rPr>
      </w:pPr>
      <w:r w:rsidRPr="00E327C8">
        <w:rPr>
          <w:lang w:val="es-ES_tradnl"/>
        </w:rPr>
        <w:t>La Fig. 2 muestra la configuración de los radares para vehículos.</w:t>
      </w:r>
    </w:p>
    <w:p w:rsidR="009C6E82" w:rsidRPr="00E327C8" w:rsidRDefault="009C6E82" w:rsidP="00564A49">
      <w:pPr>
        <w:rPr>
          <w:lang w:val="es-ES_tradnl"/>
        </w:rPr>
      </w:pPr>
    </w:p>
    <w:p w:rsidR="009C6E82" w:rsidRPr="00E327C8" w:rsidRDefault="00C20343" w:rsidP="00564A49">
      <w:pPr>
        <w:pStyle w:val="Fig"/>
        <w:rPr>
          <w:lang w:val="es-ES_tradnl"/>
        </w:rPr>
      </w:pPr>
      <w:r w:rsidRPr="00C20343">
        <w:rPr>
          <w:lang w:val="es-ES_tradnl"/>
        </w:rPr>
      </w:r>
      <w:r>
        <w:rPr>
          <w:lang w:val="es-ES_tradnl"/>
        </w:rPr>
        <w:pict>
          <v:group id="_x0000_s1096" editas="canvas" style="width:467.5pt;height:125.55pt;mso-position-horizontal-relative:char;mso-position-vertical-relative:line" coordsize="9350,2511">
            <o:lock v:ext="edit" aspectratio="t"/>
            <v:shape id="_x0000_s1095" type="#_x0000_t75" style="position:absolute;width:9350;height:2511" o:preferrelative="f">
              <v:fill o:detectmouseclick="t"/>
              <v:path o:extrusionok="t" o:connecttype="none"/>
              <o:lock v:ext="edit" text="t"/>
            </v:shape>
            <v:rect id="_x0000_s1097" style="position:absolute;left:8496;top:2184;width:604;height:211" fillcolor="#e5e5e5" stroked="f"/>
            <v:rect id="_x0000_s1098" style="position:absolute;left:8496;top:2122;width:600;height:327;mso-wrap-style:none;v-text-anchor:top" filled="f" stroked="f">
              <v:textbox style="mso-next-textbox:#_x0000_s1098;mso-fit-shape-to-text:t" inset="0,0,0,0">
                <w:txbxContent>
                  <w:p w:rsidR="002B1DAC" w:rsidRDefault="002B1DAC">
                    <w:r w:rsidRPr="00564A49">
                      <w:rPr>
                        <w:color w:val="000000"/>
                        <w:sz w:val="18"/>
                        <w:szCs w:val="18"/>
                        <w:shd w:val="pct15" w:color="auto" w:fill="FFFFFF"/>
                      </w:rPr>
                      <w:t>1452-02</w:t>
                    </w:r>
                  </w:p>
                </w:txbxContent>
              </v:textbox>
            </v:rect>
            <v:line id="_x0000_s1099" style="position:absolute" from="1771,1474" to="8203,1475" strokeweight="0"/>
            <v:rect id="_x0000_s1100" style="position:absolute;left:350;top:1190;width:1426;height:576" stroked="f"/>
            <v:shape id="_x0000_s1101" style="position:absolute;left:346;top:1186;width:1430;height:580" coordsize="1430,580" path="m,l,580r1430,l1430,,,,4,9r1421,l1420,4r,572l1425,571,4,571r5,5l9,4,4,9,,xe" fillcolor="black" stroked="f">
              <v:path arrowok="t"/>
            </v:shape>
            <v:rect id="_x0000_s1102" style="position:absolute;left:2107;top:1051;width:1142;height:855" stroked="f"/>
            <v:shape id="_x0000_s1103" style="position:absolute;left:2102;top:1046;width:1147;height:860" coordsize="1147,860" path="m,l,860r1147,l1147,,,,5,10r1138,l1138,5r,850l1143,850,5,850r5,5l10,5,5,10,,xe" fillcolor="black" stroked="f">
              <v:path arrowok="t"/>
            </v:shape>
            <v:rect id="_x0000_s1104" style="position:absolute;left:3581;top:1051;width:2275;height:855" stroked="f"/>
            <v:shape id="_x0000_s1105" style="position:absolute;left:3576;top:1046;width:2280;height:860" coordsize="2280,860" path="m,l,860r2280,l2280,,,,5,10r2270,l2270,5r,850l2275,850,5,850r4,5l9,5,5,10,,xe" fillcolor="black" stroked="f">
              <v:path arrowok="t"/>
            </v:shape>
            <v:rect id="_x0000_s1106" style="position:absolute;left:6192;top:1051;width:1704;height:855" stroked="f"/>
            <v:shape id="_x0000_s1107" style="position:absolute;left:6187;top:1046;width:1709;height:860" coordsize="1709,860" path="m,l,860r1709,l1709,,,,5,10r1699,l1699,5r,850l1704,850,5,850r5,5l10,5,5,10,,xe" fillcolor="black" stroked="f">
              <v:path arrowok="t"/>
            </v:shape>
            <v:rect id="_x0000_s1108" style="position:absolute;left:8203;top:1051;width:1137;height:855" stroked="f"/>
            <v:rect id="_x0000_s1109" style="position:absolute;left:8198;top:1051;width:10;height:77" fillcolor="black" stroked="f"/>
            <v:rect id="_x0000_s1110" style="position:absolute;left:8198;top:1166;width:10;height:77" fillcolor="black" stroked="f"/>
            <v:rect id="_x0000_s1111" style="position:absolute;left:8198;top:1282;width:10;height:76" fillcolor="black" stroked="f"/>
            <v:rect id="_x0000_s1112" style="position:absolute;left:8198;top:1397;width:10;height:77" fillcolor="black" stroked="f"/>
            <v:rect id="_x0000_s1113" style="position:absolute;left:8198;top:1512;width:10;height:77" fillcolor="black" stroked="f"/>
            <v:rect id="_x0000_s1114" style="position:absolute;left:8198;top:1627;width:10;height:77" fillcolor="black" stroked="f"/>
            <v:rect id="_x0000_s1115" style="position:absolute;left:8198;top:1742;width:10;height:77" fillcolor="black" stroked="f"/>
            <v:shape id="_x0000_s1116" style="position:absolute;left:8198;top:1858;width:38;height:48" coordsize="38,48" path="m,l,48r38,l38,38,5,38r5,5l10,,,xe" fillcolor="black" stroked="f">
              <v:path arrowok="t"/>
            </v:shape>
            <v:rect id="_x0000_s1117" style="position:absolute;left:8275;top:1896;width:77;height:10" fillcolor="black" stroked="f"/>
            <v:rect id="_x0000_s1118" style="position:absolute;left:8390;top:1896;width:77;height:10" fillcolor="black" stroked="f"/>
            <v:rect id="_x0000_s1119" style="position:absolute;left:8505;top:1896;width:77;height:10" fillcolor="black" stroked="f"/>
            <v:rect id="_x0000_s1120" style="position:absolute;left:8620;top:1896;width:77;height:10" fillcolor="black" stroked="f"/>
            <v:rect id="_x0000_s1121" style="position:absolute;left:8736;top:1896;width:76;height:10" fillcolor="black" stroked="f"/>
            <v:rect id="_x0000_s1122" style="position:absolute;left:8851;top:1896;width:77;height:10" fillcolor="black" stroked="f"/>
            <v:rect id="_x0000_s1123" style="position:absolute;left:8966;top:1896;width:77;height:10" fillcolor="black" stroked="f"/>
            <v:rect id="_x0000_s1124" style="position:absolute;left:9081;top:1896;width:77;height:10" fillcolor="black" stroked="f"/>
            <v:rect id="_x0000_s1125" style="position:absolute;left:9196;top:1896;width:77;height:10" fillcolor="black" stroked="f"/>
            <v:shape id="_x0000_s1126" style="position:absolute;left:9312;top:1848;width:28;height:58" coordsize="28,58" path="m,58r28,l28,,19,r,53l24,48,,48,,58xe" fillcolor="black" stroked="f">
              <v:path arrowok="t"/>
            </v:shape>
            <v:rect id="_x0000_s1127" style="position:absolute;left:9331;top:1733;width:9;height:77" fillcolor="black" stroked="f"/>
            <v:rect id="_x0000_s1128" style="position:absolute;left:9331;top:1618;width:9;height:76" fillcolor="black" stroked="f"/>
            <v:rect id="_x0000_s1129" style="position:absolute;left:9331;top:1502;width:9;height:77" fillcolor="black" stroked="f"/>
            <v:rect id="_x0000_s1130" style="position:absolute;left:9331;top:1387;width:9;height:77" fillcolor="black" stroked="f"/>
            <v:rect id="_x0000_s1131" style="position:absolute;left:9331;top:1272;width:9;height:77" fillcolor="black" stroked="f"/>
            <v:rect id="_x0000_s1132" style="position:absolute;left:9331;top:1157;width:9;height:77" fillcolor="black" stroked="f"/>
            <v:shape id="_x0000_s1133" style="position:absolute;left:9326;top:1046;width:14;height:72" coordsize="14,72" path="m14,72l14,,,,,10r10,l5,5r,67l14,72xe" fillcolor="black" stroked="f">
              <v:path arrowok="t"/>
            </v:shape>
            <v:rect id="_x0000_s1134" style="position:absolute;left:9211;top:1046;width:77;height:10" fillcolor="black" stroked="f"/>
            <v:rect id="_x0000_s1135" style="position:absolute;left:9096;top:1046;width:76;height:10" fillcolor="black" stroked="f"/>
            <v:rect id="_x0000_s1136" style="position:absolute;left:8980;top:1046;width:77;height:10" fillcolor="black" stroked="f"/>
            <v:rect id="_x0000_s1137" style="position:absolute;left:8865;top:1046;width:77;height:10" fillcolor="black" stroked="f"/>
            <v:rect id="_x0000_s1138" style="position:absolute;left:8750;top:1046;width:77;height:10" fillcolor="black" stroked="f"/>
            <v:rect id="_x0000_s1139" style="position:absolute;left:8635;top:1046;width:77;height:10" fillcolor="black" stroked="f"/>
            <v:rect id="_x0000_s1140" style="position:absolute;left:8520;top:1046;width:76;height:10" fillcolor="black" stroked="f"/>
            <v:rect id="_x0000_s1141" style="position:absolute;left:8404;top:1046;width:77;height:10" fillcolor="black" stroked="f"/>
            <v:rect id="_x0000_s1142" style="position:absolute;left:8289;top:1046;width:77;height:10" fillcolor="black" stroked="f"/>
            <v:rect id="_x0000_s1143" style="position:absolute;left:8203;top:1046;width:48;height:10" fillcolor="black" stroked="f"/>
            <v:rect id="_x0000_s1144" style="position:absolute;top:624;width:10;height:77" fillcolor="black" stroked="f"/>
            <v:rect id="_x0000_s1145" style="position:absolute;top:739;width:10;height:77" fillcolor="black" stroked="f"/>
            <v:rect id="_x0000_s1146" style="position:absolute;top:854;width:10;height:77" fillcolor="black" stroked="f"/>
            <v:rect id="_x0000_s1147" style="position:absolute;top:970;width:10;height:76" fillcolor="black" stroked="f"/>
            <v:rect id="_x0000_s1148" style="position:absolute;top:1085;width:10;height:77" fillcolor="black" stroked="f"/>
            <v:rect id="_x0000_s1149" style="position:absolute;top:1200;width:10;height:77" fillcolor="black" stroked="f"/>
            <v:rect id="_x0000_s1150" style="position:absolute;top:1315;width:10;height:77" fillcolor="black" stroked="f"/>
            <v:rect id="_x0000_s1151" style="position:absolute;top:1430;width:10;height:77" fillcolor="black" stroked="f"/>
            <v:rect id="_x0000_s1152" style="position:absolute;top:1546;width:10;height:76" fillcolor="black" stroked="f"/>
            <v:rect id="_x0000_s1153" style="position:absolute;top:1661;width:10;height:77" fillcolor="black" stroked="f"/>
            <v:rect id="_x0000_s1154" style="position:absolute;top:1776;width:10;height:77" fillcolor="black" stroked="f"/>
            <v:rect id="_x0000_s1155" style="position:absolute;top:1891;width:10;height:77" fillcolor="black" stroked="f"/>
            <v:rect id="_x0000_s1156" style="position:absolute;top:2006;width:10;height:77" fillcolor="black" stroked="f"/>
            <v:rect id="_x0000_s1157" style="position:absolute;top:2122;width:10;height:76" fillcolor="black" stroked="f"/>
            <v:rect id="_x0000_s1158" style="position:absolute;top:2237;width:10;height:77" fillcolor="black" stroked="f"/>
            <v:rect id="_x0000_s1159" style="position:absolute;left:4272;width:806;height:327;mso-wrap-style:none;v-text-anchor:top" filled="f" stroked="f">
              <v:textbox style="mso-next-textbox:#_x0000_s1159;mso-fit-shape-to-text:t" inset="0,0,0,0">
                <w:txbxContent>
                  <w:p w:rsidR="002B1DAC" w:rsidRDefault="002B1DAC">
                    <w:r>
                      <w:rPr>
                        <w:color w:val="000000"/>
                        <w:sz w:val="18"/>
                        <w:szCs w:val="18"/>
                      </w:rPr>
                      <w:t>FIGURA 2</w:t>
                    </w:r>
                  </w:p>
                </w:txbxContent>
              </v:textbox>
            </v:rect>
            <v:rect id="_x0000_s1160" style="position:absolute;left:2342;top:283;width:4670;height:327;mso-wrap-style:none;v-text-anchor:top" filled="f" stroked="f">
              <v:textbox style="mso-next-textbox:#_x0000_s1160;mso-fit-shape-to-text:t" inset="0,0,0,0">
                <w:txbxContent>
                  <w:p w:rsidR="002B1DAC" w:rsidRPr="00564A49" w:rsidRDefault="002B1DAC">
                    <w:pPr>
                      <w:rPr>
                        <w:lang w:val="es-ES_tradnl"/>
                      </w:rPr>
                    </w:pPr>
                    <w:r w:rsidRPr="00564A49">
                      <w:rPr>
                        <w:b/>
                        <w:bCs/>
                        <w:color w:val="000000"/>
                        <w:sz w:val="18"/>
                        <w:szCs w:val="18"/>
                        <w:lang w:val="es-ES_tradnl"/>
                      </w:rPr>
                      <w:t>Configuración de los radares de corto alcance para vehículos</w:t>
                    </w:r>
                  </w:p>
                </w:txbxContent>
              </v:textbox>
            </v:rect>
            <v:rect id="_x0000_s1161" style="position:absolute;left:2424;top:1272;width:530;height:327;mso-wrap-style:none;v-text-anchor:top" filled="f" stroked="f">
              <v:textbox style="mso-next-textbox:#_x0000_s1161;mso-fit-shape-to-text:t" inset="0,0,0,0">
                <w:txbxContent>
                  <w:p w:rsidR="002B1DAC" w:rsidRDefault="002B1DAC">
                    <w:proofErr w:type="spellStart"/>
                    <w:r>
                      <w:rPr>
                        <w:color w:val="000000"/>
                        <w:sz w:val="18"/>
                        <w:szCs w:val="18"/>
                      </w:rPr>
                      <w:t>Unidad</w:t>
                    </w:r>
                    <w:proofErr w:type="spellEnd"/>
                  </w:p>
                </w:txbxContent>
              </v:textbox>
            </v:rect>
            <v:rect id="_x0000_s1162" style="position:absolute;left:2472;top:1478;width:436;height:327;mso-wrap-style:none;v-text-anchor:top" filled="f" stroked="f">
              <v:textbox style="mso-next-textbox:#_x0000_s1162;mso-fit-shape-to-text:t" inset="0,0,0,0">
                <w:txbxContent>
                  <w:p w:rsidR="002B1DAC" w:rsidRDefault="002B1DAC">
                    <w:proofErr w:type="gramStart"/>
                    <w:r>
                      <w:rPr>
                        <w:color w:val="000000"/>
                        <w:sz w:val="18"/>
                        <w:szCs w:val="18"/>
                      </w:rPr>
                      <w:t>de</w:t>
                    </w:r>
                    <w:proofErr w:type="gramEnd"/>
                    <w:r>
                      <w:rPr>
                        <w:color w:val="000000"/>
                        <w:sz w:val="18"/>
                        <w:szCs w:val="18"/>
                      </w:rPr>
                      <w:t xml:space="preserve"> </w:t>
                    </w:r>
                    <w:proofErr w:type="spellStart"/>
                    <w:r>
                      <w:rPr>
                        <w:color w:val="000000"/>
                        <w:sz w:val="18"/>
                        <w:szCs w:val="18"/>
                      </w:rPr>
                      <w:t>RF</w:t>
                    </w:r>
                    <w:proofErr w:type="spellEnd"/>
                  </w:p>
                </w:txbxContent>
              </v:textbox>
            </v:rect>
            <v:rect id="_x0000_s1163" style="position:absolute;left:806;top:1373;width:520;height:327;mso-wrap-style:none;v-text-anchor:top" filled="f" stroked="f">
              <v:textbox style="mso-next-textbox:#_x0000_s1163;mso-fit-shape-to-text:t" inset="0,0,0,0">
                <w:txbxContent>
                  <w:p w:rsidR="002B1DAC" w:rsidRDefault="002B1DAC">
                    <w:proofErr w:type="spellStart"/>
                    <w:r>
                      <w:rPr>
                        <w:color w:val="000000"/>
                        <w:sz w:val="18"/>
                        <w:szCs w:val="18"/>
                      </w:rPr>
                      <w:t>Antena</w:t>
                    </w:r>
                    <w:proofErr w:type="spellEnd"/>
                  </w:p>
                </w:txbxContent>
              </v:textbox>
            </v:rect>
            <v:rect id="_x0000_s1164" style="position:absolute;left:3773;top:1272;width:1840;height:327;mso-wrap-style:none;v-text-anchor:top" filled="f" stroked="f">
              <v:textbox style="mso-next-textbox:#_x0000_s1164;mso-fit-shape-to-text:t" inset="0,0,0,0">
                <w:txbxContent>
                  <w:p w:rsidR="002B1DAC" w:rsidRDefault="002B1DAC">
                    <w:proofErr w:type="spellStart"/>
                    <w:r>
                      <w:rPr>
                        <w:color w:val="000000"/>
                        <w:sz w:val="18"/>
                        <w:szCs w:val="18"/>
                      </w:rPr>
                      <w:t>Unidad</w:t>
                    </w:r>
                    <w:proofErr w:type="spellEnd"/>
                    <w:r>
                      <w:rPr>
                        <w:color w:val="000000"/>
                        <w:sz w:val="18"/>
                        <w:szCs w:val="18"/>
                      </w:rPr>
                      <w:t xml:space="preserve"> de </w:t>
                    </w:r>
                    <w:proofErr w:type="spellStart"/>
                    <w:r>
                      <w:rPr>
                        <w:color w:val="000000"/>
                        <w:sz w:val="18"/>
                        <w:szCs w:val="18"/>
                      </w:rPr>
                      <w:t>procesamiento</w:t>
                    </w:r>
                    <w:proofErr w:type="spellEnd"/>
                  </w:p>
                </w:txbxContent>
              </v:textbox>
            </v:rect>
            <v:rect id="_x0000_s1165" style="position:absolute;left:4315;top:1478;width:760;height:327;mso-wrap-style:none;v-text-anchor:top" filled="f" stroked="f">
              <v:textbox style="mso-next-textbox:#_x0000_s1165;mso-fit-shape-to-text:t" inset="0,0,0,0">
                <w:txbxContent>
                  <w:p w:rsidR="002B1DAC" w:rsidRDefault="002B1DAC">
                    <w:proofErr w:type="gramStart"/>
                    <w:r>
                      <w:rPr>
                        <w:color w:val="000000"/>
                        <w:sz w:val="18"/>
                        <w:szCs w:val="18"/>
                      </w:rPr>
                      <w:t>de</w:t>
                    </w:r>
                    <w:proofErr w:type="gramEnd"/>
                    <w:r>
                      <w:rPr>
                        <w:color w:val="000000"/>
                        <w:sz w:val="18"/>
                        <w:szCs w:val="18"/>
                      </w:rPr>
                      <w:t xml:space="preserve"> la </w:t>
                    </w:r>
                    <w:proofErr w:type="spellStart"/>
                    <w:r>
                      <w:rPr>
                        <w:color w:val="000000"/>
                        <w:sz w:val="18"/>
                        <w:szCs w:val="18"/>
                      </w:rPr>
                      <w:t>señal</w:t>
                    </w:r>
                    <w:proofErr w:type="spellEnd"/>
                  </w:p>
                </w:txbxContent>
              </v:textbox>
            </v:rect>
            <v:rect id="_x0000_s1166" style="position:absolute;left:6667;top:1272;width:745;height:327;mso-wrap-style:none;v-text-anchor:top" filled="f" stroked="f">
              <v:textbox style="mso-next-textbox:#_x0000_s1166;mso-fit-shape-to-text:t" inset="0,0,0,0">
                <w:txbxContent>
                  <w:p w:rsidR="002B1DAC" w:rsidRDefault="002B1DAC">
                    <w:proofErr w:type="spellStart"/>
                    <w:r>
                      <w:rPr>
                        <w:color w:val="000000"/>
                        <w:sz w:val="18"/>
                        <w:szCs w:val="18"/>
                      </w:rPr>
                      <w:t>Unidad</w:t>
                    </w:r>
                    <w:proofErr w:type="spellEnd"/>
                    <w:r>
                      <w:rPr>
                        <w:color w:val="000000"/>
                        <w:sz w:val="18"/>
                        <w:szCs w:val="18"/>
                      </w:rPr>
                      <w:t xml:space="preserve"> de</w:t>
                    </w:r>
                  </w:p>
                </w:txbxContent>
              </v:textbox>
            </v:rect>
            <v:rect id="_x0000_s1167" style="position:absolute;left:6480;top:1478;width:1120;height:327;mso-wrap-style:none;v-text-anchor:top" filled="f" stroked="f">
              <v:textbox style="mso-next-textbox:#_x0000_s1167;mso-fit-shape-to-text:t" inset="0,0,0,0">
                <w:txbxContent>
                  <w:p w:rsidR="002B1DAC" w:rsidRDefault="002B1DAC">
                    <w:proofErr w:type="spellStart"/>
                    <w:proofErr w:type="gramStart"/>
                    <w:r>
                      <w:rPr>
                        <w:color w:val="000000"/>
                        <w:sz w:val="18"/>
                        <w:szCs w:val="18"/>
                      </w:rPr>
                      <w:t>reconocimiento</w:t>
                    </w:r>
                    <w:proofErr w:type="spellEnd"/>
                    <w:proofErr w:type="gramEnd"/>
                  </w:p>
                </w:txbxContent>
              </v:textbox>
            </v:rect>
            <v:rect id="_x0000_s1168" style="position:absolute;left:8400;top:1272;width:745;height:327;mso-wrap-style:none;v-text-anchor:top" filled="f" stroked="f">
              <v:textbox style="mso-next-textbox:#_x0000_s1168;mso-fit-shape-to-text:t" inset="0,0,0,0">
                <w:txbxContent>
                  <w:p w:rsidR="002B1DAC" w:rsidRDefault="002B1DAC">
                    <w:proofErr w:type="spellStart"/>
                    <w:r>
                      <w:rPr>
                        <w:color w:val="000000"/>
                        <w:sz w:val="18"/>
                        <w:szCs w:val="18"/>
                      </w:rPr>
                      <w:t>Unidad</w:t>
                    </w:r>
                    <w:proofErr w:type="spellEnd"/>
                    <w:r>
                      <w:rPr>
                        <w:color w:val="000000"/>
                        <w:sz w:val="18"/>
                        <w:szCs w:val="18"/>
                      </w:rPr>
                      <w:t xml:space="preserve"> de</w:t>
                    </w:r>
                  </w:p>
                </w:txbxContent>
              </v:textbox>
            </v:rect>
            <v:rect id="_x0000_s1169" style="position:absolute;left:8515;top:1478;width:510;height:327;mso-wrap-style:none;v-text-anchor:top" filled="f" stroked="f">
              <v:textbox style="mso-next-textbox:#_x0000_s1169;mso-fit-shape-to-text:t" inset="0,0,0,0">
                <w:txbxContent>
                  <w:p w:rsidR="002B1DAC" w:rsidRDefault="002B1DAC">
                    <w:proofErr w:type="gramStart"/>
                    <w:r>
                      <w:rPr>
                        <w:color w:val="000000"/>
                        <w:sz w:val="18"/>
                        <w:szCs w:val="18"/>
                      </w:rPr>
                      <w:t>control</w:t>
                    </w:r>
                    <w:proofErr w:type="gramEnd"/>
                  </w:p>
                </w:txbxContent>
              </v:textbox>
            </v:rect>
            <w10:wrap type="none"/>
            <w10:anchorlock/>
          </v:group>
        </w:pict>
      </w:r>
    </w:p>
    <w:p w:rsidR="009C6E82" w:rsidRPr="00E327C8" w:rsidRDefault="009C6E82" w:rsidP="00564A49">
      <w:pPr>
        <w:pStyle w:val="Fig0"/>
        <w:rPr>
          <w:lang w:val="es-ES_tradnl"/>
        </w:rPr>
      </w:pPr>
      <w:r w:rsidRPr="00E327C8">
        <w:rPr>
          <w:lang w:val="es-ES_tradnl"/>
        </w:rPr>
        <w:t>FIGURE 2/M.1452</w:t>
      </w:r>
      <w:proofErr w:type="gramStart"/>
      <w:r w:rsidRPr="00E327C8">
        <w:rPr>
          <w:lang w:val="es-ES_tradnl"/>
        </w:rPr>
        <w:t>...[</w:t>
      </w:r>
      <w:proofErr w:type="gramEnd"/>
      <w:r w:rsidRPr="00E327C8">
        <w:rPr>
          <w:lang w:val="es-ES_tradnl"/>
        </w:rPr>
        <w:t xml:space="preserve">D01] = 3 CM </w:t>
      </w:r>
    </w:p>
    <w:p w:rsidR="009C6E82" w:rsidRPr="00E327C8" w:rsidRDefault="009C6E82" w:rsidP="00564A49">
      <w:pPr>
        <w:rPr>
          <w:lang w:val="es-ES_tradnl"/>
        </w:rPr>
      </w:pPr>
    </w:p>
    <w:p w:rsidR="009C6E82" w:rsidRPr="00E327C8" w:rsidRDefault="009C6E82" w:rsidP="00564A49">
      <w:pPr>
        <w:keepNext/>
        <w:keepLines/>
        <w:rPr>
          <w:lang w:val="es-ES_tradnl"/>
        </w:rPr>
      </w:pPr>
      <w:r w:rsidRPr="00E327C8">
        <w:rPr>
          <w:lang w:val="es-ES_tradnl"/>
        </w:rPr>
        <w:lastRenderedPageBreak/>
        <w:t>Los subsistemas son los siguientes:</w:t>
      </w:r>
    </w:p>
    <w:p w:rsidR="009C6E82" w:rsidRPr="00E327C8" w:rsidRDefault="009C6E82" w:rsidP="00564A49">
      <w:pPr>
        <w:pStyle w:val="enumlev1"/>
        <w:keepNext/>
        <w:keepLines/>
        <w:rPr>
          <w:i/>
          <w:iCs/>
          <w:lang w:val="es-ES_tradnl"/>
        </w:rPr>
      </w:pPr>
      <w:r w:rsidRPr="00E327C8">
        <w:rPr>
          <w:lang w:val="es-ES_tradnl"/>
        </w:rPr>
        <w:t>–</w:t>
      </w:r>
      <w:r w:rsidRPr="00E327C8">
        <w:rPr>
          <w:lang w:val="es-ES_tradnl"/>
        </w:rPr>
        <w:tab/>
      </w:r>
      <w:r w:rsidRPr="00E327C8">
        <w:rPr>
          <w:i/>
          <w:iCs/>
          <w:lang w:val="es-ES_tradnl"/>
        </w:rPr>
        <w:t>Antena/unidad de RF</w:t>
      </w:r>
    </w:p>
    <w:p w:rsidR="009C6E82" w:rsidRPr="00E327C8" w:rsidRDefault="009C6E82" w:rsidP="00564A49">
      <w:pPr>
        <w:pStyle w:val="enumlev1"/>
        <w:rPr>
          <w:lang w:val="es-ES_tradnl"/>
        </w:rPr>
      </w:pPr>
      <w:r w:rsidRPr="00E327C8">
        <w:rPr>
          <w:lang w:val="es-ES_tradnl"/>
        </w:rPr>
        <w:tab/>
        <w:t>Esta parte consta de una antena transmisora, una antena receptora, un equipo de recepción y un equipo de transmisión. Las modulaciones de señal, conversiones a frecuencias superiores, y transmisión y recepción radioeléctricas se efectúan en este subsistema. Puede ir equipado con varias antenas y puede efectuar un barrido de haz.</w:t>
      </w:r>
    </w:p>
    <w:p w:rsidR="009C6E82" w:rsidRPr="00E327C8" w:rsidRDefault="009C6E82" w:rsidP="00564A49">
      <w:pPr>
        <w:pStyle w:val="enumlev1"/>
        <w:rPr>
          <w:i/>
          <w:iCs/>
          <w:lang w:val="es-ES_tradnl"/>
        </w:rPr>
      </w:pPr>
      <w:r w:rsidRPr="00E327C8">
        <w:rPr>
          <w:lang w:val="es-ES_tradnl"/>
        </w:rPr>
        <w:t>–</w:t>
      </w:r>
      <w:r w:rsidRPr="00E327C8">
        <w:rPr>
          <w:lang w:val="es-ES_tradnl"/>
        </w:rPr>
        <w:tab/>
      </w:r>
      <w:r w:rsidRPr="00E327C8">
        <w:rPr>
          <w:i/>
          <w:iCs/>
          <w:lang w:val="es-ES_tradnl"/>
        </w:rPr>
        <w:t>Unidad de procesamiento de la señal</w:t>
      </w:r>
    </w:p>
    <w:p w:rsidR="009C6E82" w:rsidRPr="00E327C8" w:rsidRDefault="009C6E82" w:rsidP="00564A49">
      <w:pPr>
        <w:pStyle w:val="enumlev1"/>
        <w:rPr>
          <w:lang w:val="es-ES_tradnl"/>
        </w:rPr>
      </w:pPr>
      <w:r w:rsidRPr="00E327C8">
        <w:rPr>
          <w:lang w:val="es-ES_tradnl"/>
        </w:rPr>
        <w:tab/>
        <w:t>Esta unidad da la distancia y la velocidad calculando las señales que le pasa la unidad de RF. En algunas ocasiones da también la distancia y velocidad medias y elimina la interferencia. Cuando la antena realiza una exploración de haz, esta unidad calcula la dirección de los objetos hallados.</w:t>
      </w:r>
    </w:p>
    <w:p w:rsidR="009C6E82" w:rsidRPr="00E327C8" w:rsidRDefault="009C6E82" w:rsidP="00564A49">
      <w:pPr>
        <w:pStyle w:val="enumlev1"/>
        <w:rPr>
          <w:i/>
          <w:iCs/>
          <w:lang w:val="es-ES_tradnl"/>
        </w:rPr>
      </w:pPr>
      <w:r w:rsidRPr="00E327C8">
        <w:rPr>
          <w:lang w:val="es-ES_tradnl"/>
        </w:rPr>
        <w:t>–</w:t>
      </w:r>
      <w:r w:rsidRPr="00E327C8">
        <w:rPr>
          <w:lang w:val="es-ES_tradnl"/>
        </w:rPr>
        <w:tab/>
      </w:r>
      <w:r w:rsidRPr="00E327C8">
        <w:rPr>
          <w:i/>
          <w:iCs/>
          <w:lang w:val="es-ES_tradnl"/>
        </w:rPr>
        <w:t>Unidad de reconocimiento</w:t>
      </w:r>
    </w:p>
    <w:p w:rsidR="009C6E82" w:rsidRPr="00E327C8" w:rsidRDefault="009C6E82" w:rsidP="00564A49">
      <w:pPr>
        <w:pStyle w:val="enumlev1"/>
        <w:rPr>
          <w:lang w:val="es-ES_tradnl"/>
        </w:rPr>
      </w:pPr>
      <w:r w:rsidRPr="00E327C8">
        <w:rPr>
          <w:lang w:val="es-ES_tradnl"/>
        </w:rPr>
        <w:tab/>
        <w:t>Esta unidad puede seleccionar y disponer los datos más necesarios dependiendo de las necesidades de cada sistema. Por ejemplo, la unidad reconoce los obstáculos más notables y puede juzgar si el vehículo delantero está en línea. La unidad promedia ocasionalmente las cifras obtenidas, filtra la interferencia y mejora la precisión de las mediciones y la fiabilidad de los datos efectuando un seguimiento de los objetos y adicionando los datos procedentes de otros sensores.</w:t>
      </w:r>
    </w:p>
    <w:p w:rsidR="009C6E82" w:rsidRPr="00E327C8" w:rsidRDefault="009C6E82" w:rsidP="00564A49">
      <w:pPr>
        <w:pStyle w:val="Heading1"/>
        <w:rPr>
          <w:lang w:val="es-ES_tradnl"/>
        </w:rPr>
      </w:pPr>
      <w:r w:rsidRPr="00E327C8">
        <w:rPr>
          <w:lang w:val="es-ES_tradnl"/>
        </w:rPr>
        <w:t>2</w:t>
      </w:r>
      <w:r w:rsidRPr="00E327C8">
        <w:rPr>
          <w:lang w:val="es-ES_tradnl"/>
        </w:rPr>
        <w:tab/>
        <w:t>Requisitos del sistema</w:t>
      </w:r>
    </w:p>
    <w:p w:rsidR="009C6E82" w:rsidRPr="00E327C8" w:rsidRDefault="009C6E82" w:rsidP="00564A49">
      <w:pPr>
        <w:pStyle w:val="Heading2"/>
        <w:rPr>
          <w:lang w:val="es-ES_tradnl"/>
        </w:rPr>
      </w:pPr>
      <w:r w:rsidRPr="00E327C8">
        <w:rPr>
          <w:lang w:val="es-ES_tradnl"/>
        </w:rPr>
        <w:t>2.1</w:t>
      </w:r>
      <w:r w:rsidRPr="00E327C8">
        <w:rPr>
          <w:lang w:val="es-ES_tradnl"/>
        </w:rPr>
        <w:tab/>
        <w:t>Banda de radiofrecuencias</w:t>
      </w:r>
    </w:p>
    <w:p w:rsidR="009C6E82" w:rsidRPr="00E327C8" w:rsidRDefault="009C6E82" w:rsidP="00564A49">
      <w:pPr>
        <w:rPr>
          <w:lang w:val="es-ES_tradnl"/>
        </w:rPr>
      </w:pPr>
      <w:r w:rsidRPr="00E327C8">
        <w:rPr>
          <w:i/>
          <w:iCs/>
          <w:lang w:val="es-ES_tradnl"/>
        </w:rPr>
        <w:t>Banda de 60 GHz</w:t>
      </w:r>
      <w:r w:rsidRPr="00E327C8">
        <w:rPr>
          <w:lang w:val="es-ES_tradnl"/>
        </w:rPr>
        <w:t>: 60</w:t>
      </w:r>
      <w:r w:rsidRPr="00E327C8">
        <w:rPr>
          <w:lang w:val="es-ES_tradnl"/>
        </w:rPr>
        <w:noBreakHyphen/>
        <w:t>61 </w:t>
      </w:r>
      <w:proofErr w:type="spellStart"/>
      <w:r w:rsidRPr="00E327C8">
        <w:rPr>
          <w:lang w:val="es-ES_tradnl"/>
        </w:rPr>
        <w:t>GHz.</w:t>
      </w:r>
      <w:proofErr w:type="spellEnd"/>
      <w:r w:rsidRPr="00E327C8">
        <w:rPr>
          <w:lang w:val="es-ES_tradnl"/>
        </w:rPr>
        <w:t xml:space="preserve"> Esta gama se encuentra dentro de una banda de muy fuerte absorción debida al oxígeno atmosférico y sólo resulta útil para las comunicaciones de muy corto alcance a causa de la alta atenuación que se da con la distancia.</w:t>
      </w:r>
    </w:p>
    <w:p w:rsidR="009C6E82" w:rsidRPr="00E327C8" w:rsidRDefault="009C6E82" w:rsidP="00564A49">
      <w:pPr>
        <w:rPr>
          <w:lang w:val="es-ES_tradnl"/>
        </w:rPr>
      </w:pPr>
      <w:r w:rsidRPr="00E327C8">
        <w:rPr>
          <w:i/>
          <w:iCs/>
          <w:lang w:val="es-ES_tradnl"/>
        </w:rPr>
        <w:t>Bandas de 76 GHz y de 79 GHz</w:t>
      </w:r>
      <w:r w:rsidRPr="00E327C8">
        <w:rPr>
          <w:lang w:val="es-ES_tradnl"/>
        </w:rPr>
        <w:t>: 76</w:t>
      </w:r>
      <w:r w:rsidRPr="00E327C8">
        <w:rPr>
          <w:lang w:val="es-ES_tradnl"/>
        </w:rPr>
        <w:noBreakHyphen/>
        <w:t xml:space="preserve">77 GHz y 77-81 </w:t>
      </w:r>
      <w:proofErr w:type="spellStart"/>
      <w:r w:rsidRPr="00E327C8">
        <w:rPr>
          <w:lang w:val="es-ES_tradnl"/>
        </w:rPr>
        <w:t>GHz.</w:t>
      </w:r>
      <w:proofErr w:type="spellEnd"/>
      <w:r w:rsidRPr="00E327C8">
        <w:rPr>
          <w:lang w:val="es-ES_tradnl"/>
        </w:rPr>
        <w:t xml:space="preserve"> La absorción atmosférica es muy inferior a la de la banda 60-61 </w:t>
      </w:r>
      <w:proofErr w:type="spellStart"/>
      <w:r w:rsidRPr="00E327C8">
        <w:rPr>
          <w:lang w:val="es-ES_tradnl"/>
        </w:rPr>
        <w:t>GHz.</w:t>
      </w:r>
      <w:proofErr w:type="spellEnd"/>
    </w:p>
    <w:p w:rsidR="009C6E82" w:rsidRPr="00E327C8" w:rsidRDefault="009C6E82" w:rsidP="00564A49">
      <w:pPr>
        <w:pStyle w:val="Heading2"/>
        <w:rPr>
          <w:lang w:val="es-ES_tradnl"/>
        </w:rPr>
      </w:pPr>
      <w:r w:rsidRPr="00E327C8">
        <w:rPr>
          <w:lang w:val="es-ES_tradnl"/>
        </w:rPr>
        <w:t>2.2</w:t>
      </w:r>
      <w:r w:rsidRPr="00E327C8">
        <w:rPr>
          <w:lang w:val="es-ES_tradnl"/>
        </w:rPr>
        <w:tab/>
        <w:t>Método del radar y método de la modulación</w:t>
      </w:r>
    </w:p>
    <w:p w:rsidR="009C6E82" w:rsidRPr="00E327C8" w:rsidRDefault="009C6E82" w:rsidP="00564A49">
      <w:pPr>
        <w:rPr>
          <w:lang w:val="es-ES_tradnl"/>
        </w:rPr>
      </w:pPr>
      <w:r w:rsidRPr="00E327C8">
        <w:rPr>
          <w:lang w:val="es-ES_tradnl"/>
        </w:rPr>
        <w:t>Se recomiendan los cuatro métodos radar (métodos con modulación) siguientes:</w:t>
      </w:r>
    </w:p>
    <w:p w:rsidR="009C6E82" w:rsidRPr="00E327C8" w:rsidRDefault="009C6E82" w:rsidP="00564A49">
      <w:pPr>
        <w:pStyle w:val="enumlev1"/>
        <w:rPr>
          <w:lang w:val="es-ES_tradnl"/>
        </w:rPr>
      </w:pPr>
      <w:r w:rsidRPr="00E327C8">
        <w:rPr>
          <w:lang w:val="es-ES_tradnl"/>
        </w:rPr>
        <w:t>–</w:t>
      </w:r>
      <w:r w:rsidRPr="00E327C8">
        <w:rPr>
          <w:lang w:val="es-ES_tradnl"/>
        </w:rPr>
        <w:tab/>
        <w:t xml:space="preserve">método </w:t>
      </w:r>
      <w:proofErr w:type="spellStart"/>
      <w:r w:rsidRPr="00E327C8">
        <w:rPr>
          <w:lang w:val="es-ES_tradnl"/>
        </w:rPr>
        <w:t>MF</w:t>
      </w:r>
      <w:r w:rsidRPr="00E327C8">
        <w:rPr>
          <w:lang w:val="es-ES_tradnl"/>
        </w:rPr>
        <w:noBreakHyphen/>
        <w:t>onda</w:t>
      </w:r>
      <w:proofErr w:type="spellEnd"/>
      <w:r w:rsidRPr="00E327C8">
        <w:rPr>
          <w:lang w:val="es-ES_tradnl"/>
        </w:rPr>
        <w:t xml:space="preserve"> continua (modulación de frecuencia);</w:t>
      </w:r>
    </w:p>
    <w:p w:rsidR="009C6E82" w:rsidRPr="00E327C8" w:rsidRDefault="009C6E82" w:rsidP="00564A49">
      <w:pPr>
        <w:pStyle w:val="enumlev1"/>
        <w:rPr>
          <w:lang w:val="es-ES_tradnl"/>
        </w:rPr>
      </w:pPr>
      <w:r w:rsidRPr="00E327C8">
        <w:rPr>
          <w:lang w:val="es-ES_tradnl"/>
        </w:rPr>
        <w:t>–</w:t>
      </w:r>
      <w:r w:rsidRPr="00E327C8">
        <w:rPr>
          <w:lang w:val="es-ES_tradnl"/>
        </w:rPr>
        <w:tab/>
        <w:t>método de impulsos (modulación de impulsos);</w:t>
      </w:r>
    </w:p>
    <w:p w:rsidR="009C6E82" w:rsidRPr="00E327C8" w:rsidRDefault="009C6E82" w:rsidP="00564A49">
      <w:pPr>
        <w:rPr>
          <w:lang w:val="es-ES_tradnl"/>
        </w:rPr>
      </w:pPr>
      <w:r w:rsidRPr="00E327C8">
        <w:rPr>
          <w:lang w:val="es-ES_tradnl"/>
        </w:rPr>
        <w:t>–</w:t>
      </w:r>
      <w:r w:rsidRPr="00E327C8">
        <w:rPr>
          <w:lang w:val="es-ES_tradnl"/>
        </w:rPr>
        <w:tab/>
        <w:t>salto de frecuencia por impulsos;</w:t>
      </w:r>
    </w:p>
    <w:p w:rsidR="009C6E82" w:rsidRPr="00E327C8" w:rsidRDefault="009C6E82" w:rsidP="00564A49">
      <w:pPr>
        <w:pStyle w:val="enumlev1"/>
        <w:rPr>
          <w:lang w:val="es-ES_tradnl"/>
        </w:rPr>
      </w:pPr>
      <w:r w:rsidRPr="00E327C8">
        <w:rPr>
          <w:lang w:val="es-ES_tradnl"/>
        </w:rPr>
        <w:t>–</w:t>
      </w:r>
      <w:r w:rsidRPr="00E327C8">
        <w:rPr>
          <w:lang w:val="es-ES_tradnl"/>
        </w:rPr>
        <w:tab/>
        <w:t>método de dos frecuencias en onda continua (sin modulación o con modulación de frecuencias);</w:t>
      </w:r>
    </w:p>
    <w:p w:rsidR="009C6E82" w:rsidRPr="00E327C8" w:rsidRDefault="009C6E82" w:rsidP="00564A49">
      <w:pPr>
        <w:pStyle w:val="enumlev1"/>
        <w:rPr>
          <w:lang w:val="es-ES_tradnl"/>
        </w:rPr>
      </w:pPr>
      <w:r w:rsidRPr="00E327C8">
        <w:rPr>
          <w:lang w:val="es-ES_tradnl"/>
        </w:rPr>
        <w:t>–</w:t>
      </w:r>
      <w:r w:rsidRPr="00E327C8">
        <w:rPr>
          <w:lang w:val="es-ES_tradnl"/>
        </w:rPr>
        <w:tab/>
        <w:t>método de espectro ensanchado (espectro ensanchado con secuencia directa).</w:t>
      </w:r>
    </w:p>
    <w:p w:rsidR="009C6E82" w:rsidRPr="00E327C8" w:rsidRDefault="009C6E82" w:rsidP="00564A49">
      <w:pPr>
        <w:pStyle w:val="Heading2"/>
        <w:rPr>
          <w:lang w:val="es-ES_tradnl"/>
        </w:rPr>
      </w:pPr>
      <w:r w:rsidRPr="00E327C8">
        <w:rPr>
          <w:lang w:val="es-ES_tradnl"/>
        </w:rPr>
        <w:t>2.3</w:t>
      </w:r>
      <w:r w:rsidRPr="00E327C8">
        <w:rPr>
          <w:lang w:val="es-ES_tradnl"/>
        </w:rPr>
        <w:tab/>
        <w:t>Potencia de transmisión y ganancia de antena</w:t>
      </w:r>
    </w:p>
    <w:p w:rsidR="009C6E82" w:rsidRPr="00E327C8" w:rsidRDefault="009C6E82" w:rsidP="00564A49">
      <w:pPr>
        <w:rPr>
          <w:lang w:val="es-ES_tradnl"/>
        </w:rPr>
      </w:pPr>
      <w:r w:rsidRPr="00E327C8">
        <w:rPr>
          <w:lang w:val="es-ES_tradnl"/>
        </w:rPr>
        <w:t>La potencia de transmisión (potencia transferida a la antena) está determinada por la gama de detección, la gama angular y la anchura de banda.</w:t>
      </w:r>
    </w:p>
    <w:p w:rsidR="009C6E82" w:rsidRPr="00E327C8" w:rsidRDefault="009C6E82" w:rsidP="00564A49">
      <w:pPr>
        <w:pStyle w:val="Heading2"/>
        <w:rPr>
          <w:lang w:val="es-ES_tradnl"/>
        </w:rPr>
      </w:pPr>
      <w:r w:rsidRPr="00E327C8">
        <w:rPr>
          <w:lang w:val="es-ES_tradnl"/>
        </w:rPr>
        <w:t>2.4</w:t>
      </w:r>
      <w:r w:rsidRPr="00E327C8">
        <w:rPr>
          <w:lang w:val="es-ES_tradnl"/>
        </w:rPr>
        <w:tab/>
        <w:t>Anchura de banda especificada</w:t>
      </w:r>
    </w:p>
    <w:p w:rsidR="009C6E82" w:rsidRPr="00E327C8" w:rsidRDefault="009C6E82" w:rsidP="00564A49">
      <w:pPr>
        <w:rPr>
          <w:lang w:val="es-ES_tradnl"/>
        </w:rPr>
      </w:pPr>
      <w:r w:rsidRPr="00E327C8">
        <w:rPr>
          <w:lang w:val="es-ES_tradnl"/>
        </w:rPr>
        <w:t>Hasta 4,0 </w:t>
      </w:r>
      <w:proofErr w:type="spellStart"/>
      <w:r w:rsidRPr="00E327C8">
        <w:rPr>
          <w:lang w:val="es-ES_tradnl"/>
        </w:rPr>
        <w:t>GHz.</w:t>
      </w:r>
      <w:proofErr w:type="spellEnd"/>
    </w:p>
    <w:p w:rsidR="009C6E82" w:rsidRPr="00E327C8" w:rsidRDefault="009C6E82" w:rsidP="00564A49">
      <w:pPr>
        <w:rPr>
          <w:lang w:val="es-ES_tradnl"/>
        </w:rPr>
      </w:pPr>
    </w:p>
    <w:p w:rsidR="009C6E82" w:rsidRPr="00E327C8" w:rsidRDefault="009C6E82" w:rsidP="00A40176">
      <w:pPr>
        <w:pStyle w:val="AnnexNoTitle"/>
        <w:rPr>
          <w:lang w:val="es-ES_tradnl"/>
        </w:rPr>
      </w:pPr>
      <w:r w:rsidRPr="00E327C8">
        <w:rPr>
          <w:lang w:val="es-ES_tradnl"/>
        </w:rPr>
        <w:lastRenderedPageBreak/>
        <w:t>Anexo 2</w:t>
      </w:r>
      <w:r w:rsidRPr="00E327C8">
        <w:rPr>
          <w:lang w:val="es-ES_tradnl"/>
        </w:rPr>
        <w:br/>
      </w:r>
      <w:r w:rsidRPr="00E327C8">
        <w:rPr>
          <w:lang w:val="es-ES_tradnl"/>
        </w:rPr>
        <w:br/>
        <w:t xml:space="preserve">Características técnicas de los sistemas de radiocomunicaciones </w:t>
      </w:r>
      <w:r w:rsidRPr="00E327C8">
        <w:rPr>
          <w:lang w:val="es-ES_tradnl"/>
        </w:rPr>
        <w:br/>
        <w:t>por ondas milimétricas para las comunicaciones de datos</w:t>
      </w:r>
      <w:r w:rsidR="00A40176">
        <w:rPr>
          <w:lang w:val="es-ES_tradnl"/>
        </w:rPr>
        <w:br/>
      </w:r>
      <w:r w:rsidRPr="00E327C8">
        <w:rPr>
          <w:lang w:val="es-ES_tradnl"/>
        </w:rPr>
        <w:t>entre vehículos y entre vehículos y la infraestructura vial</w:t>
      </w:r>
    </w:p>
    <w:p w:rsidR="009C6E82" w:rsidRPr="00E327C8" w:rsidRDefault="009C6E82" w:rsidP="00564A49">
      <w:pPr>
        <w:pStyle w:val="Heading1"/>
        <w:rPr>
          <w:lang w:val="es-ES_tradnl"/>
        </w:rPr>
      </w:pPr>
      <w:r w:rsidRPr="00E327C8">
        <w:rPr>
          <w:lang w:val="es-ES_tradnl"/>
        </w:rPr>
        <w:t>1</w:t>
      </w:r>
      <w:r w:rsidRPr="00E327C8">
        <w:rPr>
          <w:lang w:val="es-ES_tradnl"/>
        </w:rPr>
        <w:tab/>
        <w:t>Características técnicas generales</w:t>
      </w:r>
    </w:p>
    <w:p w:rsidR="009C6E82" w:rsidRPr="00E327C8" w:rsidRDefault="009C6E82" w:rsidP="003E0383">
      <w:pPr>
        <w:pStyle w:val="enumlev1"/>
        <w:rPr>
          <w:lang w:val="es-ES_tradnl"/>
        </w:rPr>
      </w:pPr>
      <w:r w:rsidRPr="00E327C8">
        <w:rPr>
          <w:lang w:val="es-ES_tradnl"/>
        </w:rPr>
        <w:t>1</w:t>
      </w:r>
      <w:r w:rsidRPr="00E327C8">
        <w:rPr>
          <w:lang w:val="es-ES_tradnl"/>
        </w:rPr>
        <w:tab/>
        <w:t xml:space="preserve">Método de comunicaciones: </w:t>
      </w:r>
      <w:proofErr w:type="spellStart"/>
      <w:r w:rsidRPr="00E327C8">
        <w:rPr>
          <w:lang w:val="es-ES_tradnl"/>
        </w:rPr>
        <w:t>monodireccional</w:t>
      </w:r>
      <w:proofErr w:type="spellEnd"/>
      <w:r w:rsidRPr="00E327C8">
        <w:rPr>
          <w:lang w:val="es-ES_tradnl"/>
        </w:rPr>
        <w:t>, símplex, semidúplex, dúplex completo, multidifusión.</w:t>
      </w:r>
    </w:p>
    <w:p w:rsidR="009C6E82" w:rsidRPr="00E327C8" w:rsidRDefault="009C6E82" w:rsidP="003E0383">
      <w:pPr>
        <w:pStyle w:val="enumlev1"/>
        <w:rPr>
          <w:lang w:val="es-ES_tradnl"/>
        </w:rPr>
      </w:pPr>
      <w:r w:rsidRPr="00E327C8">
        <w:rPr>
          <w:lang w:val="es-ES_tradnl"/>
        </w:rPr>
        <w:t>2</w:t>
      </w:r>
      <w:r w:rsidRPr="00E327C8">
        <w:rPr>
          <w:lang w:val="es-ES_tradnl"/>
        </w:rPr>
        <w:tab/>
        <w:t>Método de modulación: según requiera la aplicación.</w:t>
      </w:r>
    </w:p>
    <w:p w:rsidR="009C6E82" w:rsidRPr="00E327C8" w:rsidRDefault="009C6E82" w:rsidP="003E0383">
      <w:pPr>
        <w:pStyle w:val="enumlev1"/>
        <w:rPr>
          <w:lang w:val="es-ES_tradnl"/>
        </w:rPr>
      </w:pPr>
      <w:r w:rsidRPr="00E327C8">
        <w:rPr>
          <w:lang w:val="es-ES_tradnl"/>
        </w:rPr>
        <w:t>3</w:t>
      </w:r>
      <w:r w:rsidRPr="00E327C8">
        <w:rPr>
          <w:lang w:val="es-ES_tradnl"/>
        </w:rPr>
        <w:tab/>
        <w:t xml:space="preserve">Banda de frecuencias: 57,0-66,0 GHz (la configuración de canal que se utilizará para las aplicaciones </w:t>
      </w:r>
      <w:proofErr w:type="spellStart"/>
      <w:r w:rsidRPr="00E327C8">
        <w:rPr>
          <w:lang w:val="es-ES_tradnl"/>
        </w:rPr>
        <w:t>STI</w:t>
      </w:r>
      <w:proofErr w:type="spellEnd"/>
      <w:r w:rsidRPr="00E327C8">
        <w:rPr>
          <w:lang w:val="es-ES_tradnl"/>
        </w:rPr>
        <w:t xml:space="preserve"> estará determinada por los países o regiones).</w:t>
      </w:r>
    </w:p>
    <w:p w:rsidR="009C6E82" w:rsidRPr="00E327C8" w:rsidRDefault="009C6E82" w:rsidP="003E0383">
      <w:pPr>
        <w:pStyle w:val="enumlev1"/>
        <w:rPr>
          <w:lang w:val="es-ES_tradnl"/>
        </w:rPr>
      </w:pPr>
      <w:r w:rsidRPr="00E327C8">
        <w:rPr>
          <w:lang w:val="es-ES_tradnl"/>
        </w:rPr>
        <w:t>4</w:t>
      </w:r>
      <w:r w:rsidRPr="00E327C8">
        <w:rPr>
          <w:lang w:val="es-ES_tradnl"/>
        </w:rPr>
        <w:tab/>
        <w:t xml:space="preserve">Potencia de transmisión (potencia transferida a la antena)/p.i.r.e.: 10 </w:t>
      </w:r>
      <w:proofErr w:type="spellStart"/>
      <w:r w:rsidRPr="00E327C8">
        <w:rPr>
          <w:lang w:val="es-ES_tradnl"/>
        </w:rPr>
        <w:t>mW</w:t>
      </w:r>
      <w:proofErr w:type="spellEnd"/>
      <w:r w:rsidRPr="00E327C8">
        <w:rPr>
          <w:lang w:val="es-ES_tradnl"/>
        </w:rPr>
        <w:t xml:space="preserve"> o inferior/40 </w:t>
      </w:r>
      <w:proofErr w:type="spellStart"/>
      <w:r w:rsidRPr="00E327C8">
        <w:rPr>
          <w:lang w:val="es-ES_tradnl"/>
        </w:rPr>
        <w:t>dBm</w:t>
      </w:r>
      <w:proofErr w:type="spellEnd"/>
      <w:r w:rsidRPr="00E327C8">
        <w:rPr>
          <w:lang w:val="es-ES_tradnl"/>
        </w:rPr>
        <w:t xml:space="preserve"> o inferior.</w:t>
      </w:r>
    </w:p>
    <w:p w:rsidR="009C6E82" w:rsidRPr="00E327C8" w:rsidRDefault="009C6E82" w:rsidP="003E0383">
      <w:pPr>
        <w:pStyle w:val="enumlev1"/>
        <w:rPr>
          <w:lang w:val="es-ES_tradnl"/>
        </w:rPr>
      </w:pPr>
      <w:r w:rsidRPr="00E327C8">
        <w:rPr>
          <w:lang w:val="es-ES_tradnl"/>
        </w:rPr>
        <w:t>5</w:t>
      </w:r>
      <w:r w:rsidRPr="00E327C8">
        <w:rPr>
          <w:lang w:val="es-ES_tradnl"/>
        </w:rPr>
        <w:tab/>
        <w:t>Anchura de banda ocupada permitida: 2,5 GHz como máximo.</w:t>
      </w:r>
    </w:p>
    <w:p w:rsidR="009C6E82" w:rsidRPr="00E327C8" w:rsidRDefault="009C6E82" w:rsidP="00564A49">
      <w:pPr>
        <w:pStyle w:val="Heading1"/>
        <w:rPr>
          <w:lang w:val="es-ES_tradnl"/>
        </w:rPr>
      </w:pPr>
      <w:r w:rsidRPr="00E327C8">
        <w:rPr>
          <w:lang w:val="es-ES_tradnl"/>
        </w:rPr>
        <w:t>2</w:t>
      </w:r>
      <w:r w:rsidRPr="00E327C8">
        <w:rPr>
          <w:lang w:val="es-ES_tradnl"/>
        </w:rPr>
        <w:tab/>
        <w:t xml:space="preserve">Ejemplos de características técnicas de los sistemas de radiocomunicaciones por ondas milimétricas para aplicaciones </w:t>
      </w:r>
      <w:proofErr w:type="spellStart"/>
      <w:r w:rsidRPr="00E327C8">
        <w:rPr>
          <w:lang w:val="es-ES_tradnl"/>
        </w:rPr>
        <w:t>STI</w:t>
      </w:r>
      <w:proofErr w:type="spellEnd"/>
    </w:p>
    <w:p w:rsidR="009C6E82" w:rsidRPr="00E327C8" w:rsidRDefault="009C6E82" w:rsidP="00564A49">
      <w:pPr>
        <w:rPr>
          <w:lang w:val="es-ES_tradnl"/>
        </w:rPr>
      </w:pPr>
      <w:r w:rsidRPr="00E327C8">
        <w:rPr>
          <w:lang w:val="es-ES_tradnl"/>
        </w:rPr>
        <w:t xml:space="preserve">En el Cuadro 1 se muestran las características especificadas para los sistemas de radiocomunicaciones de ondas milimétricas para </w:t>
      </w:r>
      <w:proofErr w:type="spellStart"/>
      <w:r w:rsidRPr="00E327C8">
        <w:rPr>
          <w:lang w:val="es-ES_tradnl"/>
        </w:rPr>
        <w:t>STI</w:t>
      </w:r>
      <w:proofErr w:type="spellEnd"/>
      <w:r w:rsidRPr="00E327C8">
        <w:rPr>
          <w:lang w:val="es-ES_tradnl"/>
        </w:rPr>
        <w:t>.</w:t>
      </w:r>
    </w:p>
    <w:p w:rsidR="009C6E82" w:rsidRPr="00E327C8" w:rsidRDefault="009C6E82" w:rsidP="00564A49">
      <w:pPr>
        <w:pStyle w:val="TableNoBR"/>
      </w:pPr>
      <w:r w:rsidRPr="00E327C8">
        <w:t>CUADRO 1</w:t>
      </w:r>
    </w:p>
    <w:p w:rsidR="009C6E82" w:rsidRPr="00E327C8" w:rsidRDefault="009C6E82" w:rsidP="00564A49">
      <w:pPr>
        <w:pStyle w:val="TabletitleBR"/>
        <w:rPr>
          <w:lang w:val="es-ES_tradnl"/>
        </w:rPr>
      </w:pPr>
      <w:r w:rsidRPr="00E327C8">
        <w:rPr>
          <w:lang w:val="es-ES_tradnl"/>
        </w:rPr>
        <w:t xml:space="preserve">Características técnicas de los sistemas de radiocomunicaciones </w:t>
      </w:r>
      <w:r w:rsidRPr="00E327C8">
        <w:rPr>
          <w:lang w:val="es-ES_tradnl"/>
        </w:rPr>
        <w:br/>
        <w:t xml:space="preserve">por ondas milimétricas para aplicaciones </w:t>
      </w:r>
      <w:proofErr w:type="spellStart"/>
      <w:r w:rsidRPr="00E327C8">
        <w:rPr>
          <w:lang w:val="es-ES_tradnl"/>
        </w:rPr>
        <w:t>STI</w:t>
      </w:r>
      <w:proofErr w:type="spellEnd"/>
    </w:p>
    <w:tbl>
      <w:tblPr>
        <w:tblStyle w:val="TableGrid"/>
        <w:tblW w:w="0" w:type="auto"/>
        <w:jc w:val="center"/>
        <w:tblLook w:val="04A0"/>
      </w:tblPr>
      <w:tblGrid>
        <w:gridCol w:w="2466"/>
        <w:gridCol w:w="2417"/>
        <w:gridCol w:w="2381"/>
        <w:gridCol w:w="2381"/>
      </w:tblGrid>
      <w:tr w:rsidR="009C6E82" w:rsidRPr="00E327C8" w:rsidTr="00A40176">
        <w:trPr>
          <w:jc w:val="center"/>
        </w:trPr>
        <w:tc>
          <w:tcPr>
            <w:tcW w:w="2466" w:type="dxa"/>
            <w:vMerge w:val="restart"/>
          </w:tcPr>
          <w:p w:rsidR="009C6E82" w:rsidRPr="00E327C8" w:rsidRDefault="009C6E82" w:rsidP="00A40176">
            <w:pPr>
              <w:pStyle w:val="Tablehead"/>
              <w:rPr>
                <w:lang w:val="es-ES_tradnl"/>
              </w:rPr>
            </w:pPr>
            <w:r w:rsidRPr="00E327C8">
              <w:rPr>
                <w:lang w:val="es-ES_tradnl"/>
              </w:rPr>
              <w:t>Elemento</w:t>
            </w:r>
          </w:p>
        </w:tc>
        <w:tc>
          <w:tcPr>
            <w:tcW w:w="7179" w:type="dxa"/>
            <w:gridSpan w:val="3"/>
          </w:tcPr>
          <w:p w:rsidR="009C6E82" w:rsidRPr="00E327C8" w:rsidRDefault="009C6E82" w:rsidP="00A40176">
            <w:pPr>
              <w:pStyle w:val="Tablehead"/>
              <w:rPr>
                <w:lang w:val="es-ES_tradnl"/>
              </w:rPr>
            </w:pPr>
            <w:r w:rsidRPr="00E327C8">
              <w:rPr>
                <w:lang w:val="es-ES_tradnl"/>
              </w:rPr>
              <w:t>Características técnicas</w:t>
            </w:r>
          </w:p>
        </w:tc>
      </w:tr>
      <w:tr w:rsidR="009C6E82" w:rsidRPr="00E327C8" w:rsidTr="00A40176">
        <w:trPr>
          <w:jc w:val="center"/>
        </w:trPr>
        <w:tc>
          <w:tcPr>
            <w:tcW w:w="2466" w:type="dxa"/>
            <w:vMerge/>
          </w:tcPr>
          <w:p w:rsidR="009C6E82" w:rsidRPr="00E327C8" w:rsidRDefault="009C6E82" w:rsidP="00A40176">
            <w:pPr>
              <w:pStyle w:val="Tablehead"/>
              <w:rPr>
                <w:lang w:val="es-ES_tradnl"/>
              </w:rPr>
            </w:pPr>
          </w:p>
        </w:tc>
        <w:tc>
          <w:tcPr>
            <w:tcW w:w="2417" w:type="dxa"/>
          </w:tcPr>
          <w:p w:rsidR="009C6E82" w:rsidRPr="00E327C8" w:rsidRDefault="009C6E82" w:rsidP="00A40176">
            <w:pPr>
              <w:pStyle w:val="Tablehead"/>
              <w:rPr>
                <w:lang w:val="es-ES_tradnl"/>
              </w:rPr>
            </w:pPr>
            <w:r w:rsidRPr="00E327C8">
              <w:rPr>
                <w:lang w:val="es-ES_tradnl"/>
              </w:rPr>
              <w:t>Sistema A</w:t>
            </w:r>
          </w:p>
        </w:tc>
        <w:tc>
          <w:tcPr>
            <w:tcW w:w="2381" w:type="dxa"/>
          </w:tcPr>
          <w:p w:rsidR="009C6E82" w:rsidRPr="00E327C8" w:rsidRDefault="009C6E82" w:rsidP="00A40176">
            <w:pPr>
              <w:pStyle w:val="Tablehead"/>
              <w:rPr>
                <w:lang w:val="es-ES_tradnl"/>
              </w:rPr>
            </w:pPr>
            <w:r w:rsidRPr="00E327C8">
              <w:rPr>
                <w:lang w:val="es-ES_tradnl"/>
              </w:rPr>
              <w:t>Sistema B</w:t>
            </w:r>
          </w:p>
        </w:tc>
        <w:tc>
          <w:tcPr>
            <w:tcW w:w="2381" w:type="dxa"/>
          </w:tcPr>
          <w:p w:rsidR="009C6E82" w:rsidRPr="00E327C8" w:rsidRDefault="009C6E82" w:rsidP="00A40176">
            <w:pPr>
              <w:pStyle w:val="Tablehead"/>
              <w:rPr>
                <w:lang w:val="es-ES_tradnl"/>
              </w:rPr>
            </w:pPr>
            <w:r w:rsidRPr="00E327C8">
              <w:rPr>
                <w:lang w:val="es-ES_tradnl"/>
              </w:rPr>
              <w:t>Sistema C</w:t>
            </w:r>
          </w:p>
        </w:tc>
      </w:tr>
      <w:tr w:rsidR="009C6E82" w:rsidRPr="009A7032" w:rsidTr="00A40176">
        <w:trPr>
          <w:jc w:val="center"/>
        </w:trPr>
        <w:tc>
          <w:tcPr>
            <w:tcW w:w="2466" w:type="dxa"/>
          </w:tcPr>
          <w:p w:rsidR="009C6E82" w:rsidRPr="00E327C8" w:rsidRDefault="009C6E82" w:rsidP="00A40176">
            <w:pPr>
              <w:pStyle w:val="Tabletext"/>
              <w:jc w:val="left"/>
              <w:rPr>
                <w:lang w:val="es-ES_tradnl"/>
              </w:rPr>
            </w:pPr>
            <w:r w:rsidRPr="00E327C8">
              <w:rPr>
                <w:lang w:val="es-ES_tradnl"/>
              </w:rPr>
              <w:t>Método de comunicació</w:t>
            </w:r>
            <w:r w:rsidR="00A40176">
              <w:rPr>
                <w:lang w:val="es-ES_tradnl"/>
              </w:rPr>
              <w:t>n</w:t>
            </w:r>
          </w:p>
        </w:tc>
        <w:tc>
          <w:tcPr>
            <w:tcW w:w="7179" w:type="dxa"/>
            <w:gridSpan w:val="3"/>
          </w:tcPr>
          <w:p w:rsidR="009C6E82" w:rsidRPr="00E327C8" w:rsidRDefault="009C6E82" w:rsidP="00A40176">
            <w:pPr>
              <w:pStyle w:val="Tabletext"/>
              <w:jc w:val="left"/>
              <w:rPr>
                <w:lang w:val="es-ES_tradnl"/>
              </w:rPr>
            </w:pPr>
            <w:proofErr w:type="spellStart"/>
            <w:r w:rsidRPr="00E327C8">
              <w:rPr>
                <w:lang w:val="es-ES_tradnl"/>
              </w:rPr>
              <w:t>Monodireccional</w:t>
            </w:r>
            <w:proofErr w:type="spellEnd"/>
            <w:r w:rsidRPr="00E327C8">
              <w:rPr>
                <w:lang w:val="es-ES_tradnl"/>
              </w:rPr>
              <w:t>, símplex, semidúplex, dúplex completo, multidifusión</w:t>
            </w:r>
          </w:p>
        </w:tc>
      </w:tr>
      <w:tr w:rsidR="009C6E82" w:rsidRPr="009A7032" w:rsidTr="00A40176">
        <w:trPr>
          <w:jc w:val="center"/>
        </w:trPr>
        <w:tc>
          <w:tcPr>
            <w:tcW w:w="2466" w:type="dxa"/>
          </w:tcPr>
          <w:p w:rsidR="009C6E82" w:rsidRPr="00E327C8" w:rsidRDefault="009C6E82" w:rsidP="00A40176">
            <w:pPr>
              <w:pStyle w:val="Tabletext"/>
              <w:jc w:val="left"/>
              <w:rPr>
                <w:lang w:val="es-ES_tradnl"/>
              </w:rPr>
            </w:pPr>
            <w:r w:rsidRPr="00E327C8">
              <w:rPr>
                <w:lang w:val="es-ES_tradnl"/>
              </w:rPr>
              <w:t>Método de modulación</w:t>
            </w:r>
          </w:p>
        </w:tc>
        <w:tc>
          <w:tcPr>
            <w:tcW w:w="7179" w:type="dxa"/>
            <w:gridSpan w:val="3"/>
          </w:tcPr>
          <w:p w:rsidR="009C6E82" w:rsidRPr="00E327C8" w:rsidRDefault="009C6E82" w:rsidP="00A40176">
            <w:pPr>
              <w:pStyle w:val="Tabletext"/>
              <w:jc w:val="left"/>
              <w:rPr>
                <w:lang w:val="es-ES_tradnl"/>
              </w:rPr>
            </w:pPr>
            <w:r w:rsidRPr="00E327C8">
              <w:rPr>
                <w:lang w:val="es-ES_tradnl"/>
              </w:rPr>
              <w:t>No se determina el método de modulación para permitir actualizaciones futuras</w:t>
            </w:r>
          </w:p>
        </w:tc>
      </w:tr>
      <w:tr w:rsidR="009C6E82" w:rsidRPr="00E327C8" w:rsidTr="00A40176">
        <w:trPr>
          <w:jc w:val="center"/>
        </w:trPr>
        <w:tc>
          <w:tcPr>
            <w:tcW w:w="2466" w:type="dxa"/>
          </w:tcPr>
          <w:p w:rsidR="009C6E82" w:rsidRPr="00E327C8" w:rsidRDefault="009C6E82" w:rsidP="00A40176">
            <w:pPr>
              <w:pStyle w:val="Tabletext"/>
              <w:jc w:val="left"/>
              <w:rPr>
                <w:lang w:val="es-ES_tradnl"/>
              </w:rPr>
            </w:pPr>
            <w:r w:rsidRPr="00E327C8">
              <w:rPr>
                <w:lang w:val="es-ES_tradnl"/>
              </w:rPr>
              <w:t>Banda de frecuencias</w:t>
            </w:r>
          </w:p>
        </w:tc>
        <w:tc>
          <w:tcPr>
            <w:tcW w:w="2417" w:type="dxa"/>
          </w:tcPr>
          <w:p w:rsidR="009C6E82" w:rsidRPr="00E327C8" w:rsidRDefault="009C6E82" w:rsidP="00A40176">
            <w:pPr>
              <w:pStyle w:val="Tabletext"/>
              <w:jc w:val="center"/>
              <w:rPr>
                <w:lang w:val="es-ES_tradnl"/>
              </w:rPr>
            </w:pPr>
            <w:r w:rsidRPr="00E327C8">
              <w:rPr>
                <w:lang w:val="es-ES_tradnl"/>
              </w:rPr>
              <w:t>63,0-64,0 GHz</w:t>
            </w:r>
          </w:p>
        </w:tc>
        <w:tc>
          <w:tcPr>
            <w:tcW w:w="2381" w:type="dxa"/>
          </w:tcPr>
          <w:p w:rsidR="009C6E82" w:rsidRPr="00E327C8" w:rsidRDefault="009C6E82" w:rsidP="00A40176">
            <w:pPr>
              <w:pStyle w:val="Tabletext"/>
              <w:jc w:val="center"/>
              <w:rPr>
                <w:lang w:val="es-ES_tradnl"/>
              </w:rPr>
            </w:pPr>
            <w:r w:rsidRPr="00E327C8">
              <w:rPr>
                <w:lang w:val="es-ES_tradnl"/>
              </w:rPr>
              <w:t>59,0-66,0 GHz</w:t>
            </w:r>
          </w:p>
        </w:tc>
        <w:tc>
          <w:tcPr>
            <w:tcW w:w="2381" w:type="dxa"/>
          </w:tcPr>
          <w:p w:rsidR="009C6E82" w:rsidRPr="00E327C8" w:rsidRDefault="009C6E82" w:rsidP="00A40176">
            <w:pPr>
              <w:pStyle w:val="Tabletext"/>
              <w:jc w:val="center"/>
              <w:rPr>
                <w:lang w:val="es-ES_tradnl"/>
              </w:rPr>
            </w:pPr>
            <w:r w:rsidRPr="00E327C8">
              <w:rPr>
                <w:lang w:val="es-ES_tradnl"/>
              </w:rPr>
              <w:t>57,0-64,0 GHz</w:t>
            </w:r>
          </w:p>
        </w:tc>
      </w:tr>
      <w:tr w:rsidR="009C6E82" w:rsidRPr="00E327C8" w:rsidTr="00A40176">
        <w:trPr>
          <w:trHeight w:val="153"/>
          <w:jc w:val="center"/>
        </w:trPr>
        <w:tc>
          <w:tcPr>
            <w:tcW w:w="2466" w:type="dxa"/>
          </w:tcPr>
          <w:p w:rsidR="009C6E82" w:rsidRPr="00E327C8" w:rsidRDefault="009C6E82" w:rsidP="00A40176">
            <w:pPr>
              <w:pStyle w:val="Tabletext"/>
              <w:jc w:val="left"/>
              <w:rPr>
                <w:lang w:val="es-ES_tradnl"/>
              </w:rPr>
            </w:pPr>
            <w:r w:rsidRPr="00E327C8">
              <w:rPr>
                <w:lang w:val="es-ES_tradnl"/>
              </w:rPr>
              <w:t>Potencia de transmisión (potencia transferida a la</w:t>
            </w:r>
            <w:r w:rsidR="00A40176">
              <w:rPr>
                <w:lang w:val="es-ES_tradnl"/>
              </w:rPr>
              <w:t> </w:t>
            </w:r>
            <w:r w:rsidRPr="00E327C8">
              <w:rPr>
                <w:lang w:val="es-ES_tradnl"/>
              </w:rPr>
              <w:t>antena)</w:t>
            </w:r>
          </w:p>
        </w:tc>
        <w:tc>
          <w:tcPr>
            <w:tcW w:w="2417" w:type="dxa"/>
            <w:vMerge w:val="restart"/>
          </w:tcPr>
          <w:p w:rsidR="009C6E82" w:rsidRPr="00E327C8" w:rsidRDefault="009C6E82" w:rsidP="00A40176">
            <w:pPr>
              <w:pStyle w:val="Tabletext"/>
              <w:jc w:val="center"/>
              <w:rPr>
                <w:lang w:val="es-ES_tradnl"/>
              </w:rPr>
            </w:pPr>
            <w:r w:rsidRPr="00E327C8">
              <w:rPr>
                <w:lang w:val="es-ES_tradnl"/>
              </w:rPr>
              <w:t xml:space="preserve">40 </w:t>
            </w:r>
            <w:proofErr w:type="spellStart"/>
            <w:r w:rsidRPr="00E327C8">
              <w:rPr>
                <w:lang w:val="es-ES_tradnl"/>
              </w:rPr>
              <w:t>dBm</w:t>
            </w:r>
            <w:proofErr w:type="spellEnd"/>
          </w:p>
        </w:tc>
        <w:tc>
          <w:tcPr>
            <w:tcW w:w="2381" w:type="dxa"/>
            <w:vMerge w:val="restart"/>
          </w:tcPr>
          <w:p w:rsidR="009C6E82" w:rsidRPr="00E327C8" w:rsidRDefault="009C6E82" w:rsidP="00A40176">
            <w:pPr>
              <w:pStyle w:val="Tabletext"/>
              <w:jc w:val="center"/>
              <w:rPr>
                <w:lang w:val="es-ES_tradnl"/>
              </w:rPr>
            </w:pPr>
            <w:r w:rsidRPr="00E327C8">
              <w:rPr>
                <w:lang w:val="es-ES_tradnl"/>
              </w:rPr>
              <w:t xml:space="preserve">10 </w:t>
            </w:r>
            <w:proofErr w:type="spellStart"/>
            <w:r w:rsidRPr="00E327C8">
              <w:rPr>
                <w:lang w:val="es-ES_tradnl"/>
              </w:rPr>
              <w:t>mW</w:t>
            </w:r>
            <w:proofErr w:type="spellEnd"/>
            <w:r w:rsidRPr="00E327C8">
              <w:rPr>
                <w:lang w:val="es-ES_tradnl"/>
              </w:rPr>
              <w:t xml:space="preserve"> o inferior</w:t>
            </w:r>
          </w:p>
        </w:tc>
        <w:tc>
          <w:tcPr>
            <w:tcW w:w="2381" w:type="dxa"/>
            <w:vMerge w:val="restart"/>
          </w:tcPr>
          <w:p w:rsidR="009C6E82" w:rsidRPr="00E327C8" w:rsidRDefault="009C6E82" w:rsidP="00A40176">
            <w:pPr>
              <w:pStyle w:val="Tabletext"/>
              <w:jc w:val="center"/>
              <w:rPr>
                <w:lang w:val="es-ES_tradnl"/>
              </w:rPr>
            </w:pPr>
            <w:r w:rsidRPr="00E327C8">
              <w:rPr>
                <w:lang w:val="es-ES_tradnl"/>
              </w:rPr>
              <w:t xml:space="preserve">10 </w:t>
            </w:r>
            <w:proofErr w:type="spellStart"/>
            <w:r w:rsidRPr="00E327C8">
              <w:rPr>
                <w:lang w:val="es-ES_tradnl"/>
              </w:rPr>
              <w:t>mW</w:t>
            </w:r>
            <w:proofErr w:type="spellEnd"/>
            <w:r w:rsidRPr="00E327C8">
              <w:rPr>
                <w:lang w:val="es-ES_tradnl"/>
              </w:rPr>
              <w:t xml:space="preserve"> o inferior</w:t>
            </w:r>
          </w:p>
        </w:tc>
      </w:tr>
      <w:tr w:rsidR="009C6E82" w:rsidRPr="00E327C8" w:rsidTr="00A40176">
        <w:trPr>
          <w:trHeight w:val="153"/>
          <w:jc w:val="center"/>
        </w:trPr>
        <w:tc>
          <w:tcPr>
            <w:tcW w:w="2466" w:type="dxa"/>
          </w:tcPr>
          <w:p w:rsidR="009C6E82" w:rsidRPr="00E327C8" w:rsidRDefault="009C6E82" w:rsidP="00A40176">
            <w:pPr>
              <w:pStyle w:val="Tabletext"/>
              <w:jc w:val="left"/>
              <w:rPr>
                <w:lang w:val="es-ES_tradnl"/>
              </w:rPr>
            </w:pPr>
            <w:r w:rsidRPr="00E327C8">
              <w:rPr>
                <w:lang w:val="es-ES_tradnl"/>
              </w:rPr>
              <w:t>p.i.r.e.</w:t>
            </w:r>
          </w:p>
        </w:tc>
        <w:tc>
          <w:tcPr>
            <w:tcW w:w="2417" w:type="dxa"/>
            <w:vMerge/>
          </w:tcPr>
          <w:p w:rsidR="009C6E82" w:rsidRPr="00E327C8" w:rsidRDefault="009C6E82" w:rsidP="00A40176">
            <w:pPr>
              <w:pStyle w:val="Tabletext"/>
              <w:jc w:val="center"/>
              <w:rPr>
                <w:lang w:val="es-ES_tradnl"/>
              </w:rPr>
            </w:pPr>
          </w:p>
        </w:tc>
        <w:tc>
          <w:tcPr>
            <w:tcW w:w="2381" w:type="dxa"/>
            <w:vMerge/>
          </w:tcPr>
          <w:p w:rsidR="009C6E82" w:rsidRPr="00E327C8" w:rsidRDefault="009C6E82" w:rsidP="00A40176">
            <w:pPr>
              <w:pStyle w:val="Tabletext"/>
              <w:jc w:val="center"/>
              <w:rPr>
                <w:lang w:val="es-ES_tradnl"/>
              </w:rPr>
            </w:pPr>
          </w:p>
        </w:tc>
        <w:tc>
          <w:tcPr>
            <w:tcW w:w="2381" w:type="dxa"/>
            <w:vMerge/>
          </w:tcPr>
          <w:p w:rsidR="009C6E82" w:rsidRPr="00E327C8" w:rsidRDefault="009C6E82" w:rsidP="00A40176">
            <w:pPr>
              <w:pStyle w:val="Tabletext"/>
              <w:jc w:val="center"/>
              <w:rPr>
                <w:lang w:val="es-ES_tradnl"/>
              </w:rPr>
            </w:pPr>
          </w:p>
        </w:tc>
      </w:tr>
      <w:tr w:rsidR="009C6E82" w:rsidRPr="00E327C8" w:rsidTr="00A40176">
        <w:trPr>
          <w:jc w:val="center"/>
        </w:trPr>
        <w:tc>
          <w:tcPr>
            <w:tcW w:w="2466" w:type="dxa"/>
          </w:tcPr>
          <w:p w:rsidR="009C6E82" w:rsidRPr="00E327C8" w:rsidRDefault="009C6E82" w:rsidP="00A40176">
            <w:pPr>
              <w:pStyle w:val="Tabletext"/>
              <w:jc w:val="left"/>
              <w:rPr>
                <w:lang w:val="es-ES_tradnl"/>
              </w:rPr>
            </w:pPr>
            <w:r w:rsidRPr="00E327C8">
              <w:rPr>
                <w:lang w:val="es-ES_tradnl"/>
              </w:rPr>
              <w:t>Anchura de banda ocupada permitida</w:t>
            </w:r>
          </w:p>
        </w:tc>
        <w:tc>
          <w:tcPr>
            <w:tcW w:w="2417" w:type="dxa"/>
          </w:tcPr>
          <w:p w:rsidR="009C6E82" w:rsidRPr="00E327C8" w:rsidRDefault="009C6E82" w:rsidP="00A40176">
            <w:pPr>
              <w:pStyle w:val="Tabletext"/>
              <w:jc w:val="center"/>
              <w:rPr>
                <w:lang w:val="es-ES_tradnl"/>
              </w:rPr>
            </w:pPr>
          </w:p>
        </w:tc>
        <w:tc>
          <w:tcPr>
            <w:tcW w:w="2381" w:type="dxa"/>
          </w:tcPr>
          <w:p w:rsidR="009C6E82" w:rsidRPr="00E327C8" w:rsidRDefault="009C6E82" w:rsidP="00A40176">
            <w:pPr>
              <w:pStyle w:val="Tabletext"/>
              <w:jc w:val="center"/>
              <w:rPr>
                <w:lang w:val="es-ES_tradnl"/>
              </w:rPr>
            </w:pPr>
            <w:r w:rsidRPr="00E327C8">
              <w:rPr>
                <w:lang w:val="es-ES_tradnl"/>
              </w:rPr>
              <w:t>2,5 GHz como máximo</w:t>
            </w:r>
          </w:p>
        </w:tc>
        <w:tc>
          <w:tcPr>
            <w:tcW w:w="2381" w:type="dxa"/>
          </w:tcPr>
          <w:p w:rsidR="009C6E82" w:rsidRPr="00E327C8" w:rsidRDefault="009C6E82" w:rsidP="00A40176">
            <w:pPr>
              <w:pStyle w:val="Tabletext"/>
              <w:jc w:val="center"/>
              <w:rPr>
                <w:lang w:val="es-ES_tradnl"/>
              </w:rPr>
            </w:pPr>
          </w:p>
        </w:tc>
      </w:tr>
      <w:tr w:rsidR="009C6E82" w:rsidRPr="009A7032" w:rsidTr="00A40176">
        <w:trPr>
          <w:jc w:val="center"/>
        </w:trPr>
        <w:tc>
          <w:tcPr>
            <w:tcW w:w="2466" w:type="dxa"/>
          </w:tcPr>
          <w:p w:rsidR="009C6E82" w:rsidRPr="00E327C8" w:rsidRDefault="009C6E82" w:rsidP="00A40176">
            <w:pPr>
              <w:pStyle w:val="Tabletext"/>
              <w:jc w:val="left"/>
              <w:rPr>
                <w:lang w:val="es-ES_tradnl"/>
              </w:rPr>
            </w:pPr>
            <w:r w:rsidRPr="00E327C8">
              <w:rPr>
                <w:lang w:val="es-ES_tradnl"/>
              </w:rPr>
              <w:t>Ganancia de antena</w:t>
            </w:r>
          </w:p>
        </w:tc>
        <w:tc>
          <w:tcPr>
            <w:tcW w:w="2417" w:type="dxa"/>
          </w:tcPr>
          <w:p w:rsidR="009C6E82" w:rsidRPr="00E327C8" w:rsidRDefault="009C6E82" w:rsidP="00A40176">
            <w:pPr>
              <w:pStyle w:val="Tabletext"/>
              <w:jc w:val="center"/>
              <w:rPr>
                <w:lang w:val="es-ES_tradnl"/>
              </w:rPr>
            </w:pPr>
            <w:r w:rsidRPr="00E327C8">
              <w:rPr>
                <w:lang w:val="es-ES_tradnl"/>
              </w:rPr>
              <w:t xml:space="preserve">23 </w:t>
            </w:r>
            <w:proofErr w:type="spellStart"/>
            <w:r w:rsidRPr="00E327C8">
              <w:rPr>
                <w:lang w:val="es-ES_tradnl"/>
              </w:rPr>
              <w:t>dBi</w:t>
            </w:r>
            <w:proofErr w:type="spellEnd"/>
            <w:r w:rsidRPr="00E327C8">
              <w:rPr>
                <w:lang w:val="es-ES_tradnl"/>
              </w:rPr>
              <w:t xml:space="preserve"> o inferior (atenuación del lóbulo lateral: 20 dB)</w:t>
            </w:r>
          </w:p>
        </w:tc>
        <w:tc>
          <w:tcPr>
            <w:tcW w:w="2381" w:type="dxa"/>
          </w:tcPr>
          <w:p w:rsidR="009C6E82" w:rsidRPr="00E327C8" w:rsidRDefault="009C6E82" w:rsidP="00A40176">
            <w:pPr>
              <w:pStyle w:val="Tabletext"/>
              <w:jc w:val="center"/>
              <w:rPr>
                <w:lang w:val="es-ES_tradnl"/>
              </w:rPr>
            </w:pPr>
            <w:r w:rsidRPr="00E327C8">
              <w:rPr>
                <w:lang w:val="es-ES_tradnl"/>
              </w:rPr>
              <w:t xml:space="preserve">47 </w:t>
            </w:r>
            <w:proofErr w:type="spellStart"/>
            <w:r w:rsidRPr="00E327C8">
              <w:rPr>
                <w:lang w:val="es-ES_tradnl"/>
              </w:rPr>
              <w:t>dBi</w:t>
            </w:r>
            <w:proofErr w:type="spellEnd"/>
            <w:r w:rsidRPr="00E327C8">
              <w:rPr>
                <w:lang w:val="es-ES_tradnl"/>
              </w:rPr>
              <w:t xml:space="preserve"> o inferior</w:t>
            </w:r>
          </w:p>
        </w:tc>
        <w:tc>
          <w:tcPr>
            <w:tcW w:w="2381" w:type="dxa"/>
          </w:tcPr>
          <w:p w:rsidR="009C6E82" w:rsidRPr="00E327C8" w:rsidRDefault="009C6E82" w:rsidP="00BF2B2B">
            <w:pPr>
              <w:pStyle w:val="Tabletext"/>
              <w:jc w:val="center"/>
              <w:rPr>
                <w:lang w:val="es-ES_tradnl"/>
              </w:rPr>
            </w:pPr>
            <w:r w:rsidRPr="00E327C8">
              <w:rPr>
                <w:lang w:val="es-ES_tradnl"/>
              </w:rPr>
              <w:t xml:space="preserve">17 </w:t>
            </w:r>
            <w:proofErr w:type="spellStart"/>
            <w:r w:rsidRPr="00E327C8">
              <w:rPr>
                <w:lang w:val="es-ES_tradnl"/>
              </w:rPr>
              <w:t>dBi</w:t>
            </w:r>
            <w:proofErr w:type="spellEnd"/>
            <w:r w:rsidRPr="00E327C8">
              <w:rPr>
                <w:lang w:val="es-ES_tradnl"/>
              </w:rPr>
              <w:t xml:space="preserve"> (47 </w:t>
            </w:r>
            <w:proofErr w:type="spellStart"/>
            <w:r w:rsidRPr="00E327C8">
              <w:rPr>
                <w:lang w:val="es-ES_tradnl"/>
              </w:rPr>
              <w:t>dBi</w:t>
            </w:r>
            <w:proofErr w:type="spellEnd"/>
            <w:r w:rsidRPr="00E327C8">
              <w:rPr>
                <w:lang w:val="es-ES_tradnl"/>
              </w:rPr>
              <w:t xml:space="preserve"> para</w:t>
            </w:r>
            <w:r w:rsidR="00BF2B2B">
              <w:rPr>
                <w:lang w:val="es-ES_tradnl"/>
              </w:rPr>
              <w:br/>
            </w:r>
            <w:r w:rsidRPr="00E327C8">
              <w:rPr>
                <w:lang w:val="es-ES_tradnl"/>
              </w:rPr>
              <w:t>las aplicaciones</w:t>
            </w:r>
            <w:r w:rsidR="00BF2B2B">
              <w:rPr>
                <w:lang w:val="es-ES_tradnl"/>
              </w:rPr>
              <w:br/>
            </w:r>
            <w:r w:rsidRPr="00E327C8">
              <w:rPr>
                <w:lang w:val="es-ES_tradnl"/>
              </w:rPr>
              <w:t>punto a</w:t>
            </w:r>
            <w:r w:rsidR="00A40176">
              <w:rPr>
                <w:lang w:val="es-ES_tradnl"/>
              </w:rPr>
              <w:t> </w:t>
            </w:r>
            <w:r w:rsidRPr="00E327C8">
              <w:rPr>
                <w:lang w:val="es-ES_tradnl"/>
              </w:rPr>
              <w:t>punto)</w:t>
            </w:r>
          </w:p>
        </w:tc>
      </w:tr>
    </w:tbl>
    <w:p w:rsidR="00A6617B" w:rsidRPr="00E327C8" w:rsidRDefault="00A6617B" w:rsidP="00A6617B">
      <w:pPr>
        <w:rPr>
          <w:lang w:val="es-ES_tradnl"/>
        </w:rPr>
      </w:pPr>
    </w:p>
    <w:p w:rsidR="003E0383" w:rsidRPr="00E327C8" w:rsidRDefault="003E0383" w:rsidP="003E0383">
      <w:pPr>
        <w:pStyle w:val="Line"/>
        <w:rPr>
          <w:lang w:val="es-ES_tradnl"/>
        </w:rPr>
      </w:pPr>
    </w:p>
    <w:sectPr w:rsidR="003E0383" w:rsidRPr="00E327C8" w:rsidSect="0066380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DAC" w:rsidRDefault="002B1DAC">
      <w:r>
        <w:separator/>
      </w:r>
    </w:p>
  </w:endnote>
  <w:endnote w:type="continuationSeparator" w:id="0">
    <w:p w:rsidR="002B1DAC" w:rsidRDefault="002B1D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DAC" w:rsidRDefault="002B1DAC">
      <w:r>
        <w:separator/>
      </w:r>
    </w:p>
  </w:footnote>
  <w:footnote w:type="continuationSeparator" w:id="0">
    <w:p w:rsidR="002B1DAC" w:rsidRDefault="002B1DAC">
      <w:r>
        <w:continuationSeparator/>
      </w:r>
    </w:p>
  </w:footnote>
  <w:footnote w:id="1">
    <w:p w:rsidR="002B1DAC" w:rsidRPr="00D75984" w:rsidRDefault="002B1DAC">
      <w:pPr>
        <w:pStyle w:val="FootnoteText"/>
        <w:rPr>
          <w:lang w:val="es-ES_tradnl"/>
        </w:rPr>
      </w:pPr>
      <w:r>
        <w:rPr>
          <w:rStyle w:val="FootnoteReference"/>
        </w:rPr>
        <w:footnoteRef/>
      </w:r>
      <w:r w:rsidRPr="00D75984">
        <w:rPr>
          <w:lang w:val="es-ES_tradnl"/>
        </w:rPr>
        <w:t xml:space="preserve"> </w:t>
      </w:r>
      <w:r>
        <w:rPr>
          <w:lang w:val="es-ES_tradnl"/>
        </w:rPr>
        <w:tab/>
        <w:t xml:space="preserve">Muchos fabricantes y vendedores de automóviles pertenecen al grupo industrial SARA (Atribución estratégica de frecuencias a los radares de automóvil, </w:t>
      </w:r>
      <w:hyperlink r:id="rId1" w:history="1">
        <w:r w:rsidRPr="00EF3B57">
          <w:rPr>
            <w:rStyle w:val="Hyperlink"/>
            <w:lang w:val="es-ES_tradnl"/>
          </w:rPr>
          <w:t>www.SARA-group.org</w:t>
        </w:r>
      </w:hyperlink>
      <w:r>
        <w:rPr>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AC" w:rsidRDefault="002B1DAC">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AC" w:rsidRDefault="00C20343" w:rsidP="00564A49">
    <w:pPr>
      <w:ind w:right="360" w:firstLine="360"/>
    </w:pPr>
    <w:r w:rsidRPr="00C2034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AC" w:rsidRDefault="00C20343" w:rsidP="00564A49">
    <w:pPr>
      <w:pStyle w:val="Header"/>
      <w:jc w:val="left"/>
    </w:pPr>
    <w:r>
      <w:rPr>
        <w:rStyle w:val="PageNumber"/>
        <w:b/>
        <w:bCs/>
      </w:rPr>
      <w:fldChar w:fldCharType="begin"/>
    </w:r>
    <w:r w:rsidR="002B1DAC">
      <w:rPr>
        <w:rStyle w:val="PageNumber"/>
        <w:b/>
        <w:bCs/>
      </w:rPr>
      <w:instrText xml:space="preserve"> PAGE </w:instrText>
    </w:r>
    <w:r>
      <w:rPr>
        <w:rStyle w:val="PageNumber"/>
        <w:b/>
        <w:bCs/>
      </w:rPr>
      <w:fldChar w:fldCharType="separate"/>
    </w:r>
    <w:r w:rsidR="00972CD4">
      <w:rPr>
        <w:rStyle w:val="PageNumber"/>
        <w:b/>
        <w:bCs/>
        <w:noProof/>
      </w:rPr>
      <w:t>ii</w:t>
    </w:r>
    <w:r>
      <w:rPr>
        <w:rStyle w:val="PageNumber"/>
        <w:b/>
        <w:bCs/>
      </w:rPr>
      <w:fldChar w:fldCharType="end"/>
    </w:r>
    <w:r w:rsidR="002B1DAC">
      <w:tab/>
    </w:r>
    <w:fldSimple w:instr=" DOCPROPERTY &quot;Header&quot; \* MERGEFORMAT ">
      <w:r w:rsidR="00972CD4" w:rsidRPr="00972CD4">
        <w:rPr>
          <w:b/>
          <w:bCs/>
        </w:rPr>
        <w:t xml:space="preserve">Rec. </w:t>
      </w:r>
    </w:fldSimple>
    <w:r w:rsidR="002B1DAC" w:rsidRPr="001B395D">
      <w:rPr>
        <w:b/>
        <w:bCs/>
      </w:rPr>
      <w:t xml:space="preserve"> </w:t>
    </w:r>
    <w:r w:rsidRPr="001B395D">
      <w:rPr>
        <w:b/>
        <w:bCs/>
      </w:rPr>
      <w:fldChar w:fldCharType="begin"/>
    </w:r>
    <w:r w:rsidR="002B1DAC" w:rsidRPr="001B395D">
      <w:rPr>
        <w:b/>
        <w:bCs/>
      </w:rPr>
      <w:instrText>styleref href</w:instrText>
    </w:r>
    <w:r w:rsidRPr="001B395D">
      <w:rPr>
        <w:b/>
        <w:bCs/>
      </w:rPr>
      <w:fldChar w:fldCharType="separate"/>
    </w:r>
    <w:r w:rsidR="00972CD4">
      <w:rPr>
        <w:b/>
        <w:bCs/>
        <w:noProof/>
      </w:rPr>
      <w:t>UIT-R  M.1452-1</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AC" w:rsidRDefault="002B1DAC">
    <w:r>
      <w:tab/>
    </w:r>
    <w:fldSimple w:instr=" DOCPROPERTY &quot;Header&quot; \* MERGEFORMAT ">
      <w:r w:rsidR="00972CD4" w:rsidRPr="00972CD4">
        <w:rPr>
          <w:b/>
          <w:bCs/>
        </w:rPr>
        <w:t xml:space="preserve">Rec. </w:t>
      </w:r>
    </w:fldSimple>
    <w:r>
      <w:rPr>
        <w:b/>
        <w:bCs/>
      </w:rPr>
      <w:t xml:space="preserve"> </w:t>
    </w:r>
    <w:r w:rsidR="00C20343">
      <w:rPr>
        <w:b/>
        <w:bCs/>
      </w:rPr>
      <w:fldChar w:fldCharType="begin"/>
    </w:r>
    <w:r>
      <w:rPr>
        <w:b/>
        <w:bCs/>
      </w:rPr>
      <w:instrText>styleref href</w:instrText>
    </w:r>
    <w:r w:rsidR="00C20343">
      <w:rPr>
        <w:b/>
        <w:bCs/>
      </w:rPr>
      <w:fldChar w:fldCharType="separate"/>
    </w:r>
    <w:r w:rsidR="00972CD4">
      <w:rPr>
        <w:b/>
        <w:bCs/>
        <w:noProof/>
      </w:rPr>
      <w:t>UIT-R  M.1452-1</w:t>
    </w:r>
    <w:r w:rsidR="00C20343">
      <w:rPr>
        <w:b/>
        <w:bCs/>
      </w:rPr>
      <w:fldChar w:fldCharType="end"/>
    </w:r>
    <w:r>
      <w:tab/>
    </w:r>
    <w:r w:rsidR="00C20343">
      <w:rPr>
        <w:rStyle w:val="PageNumber"/>
        <w:b/>
        <w:bCs/>
      </w:rPr>
      <w:fldChar w:fldCharType="begin"/>
    </w:r>
    <w:r>
      <w:rPr>
        <w:rStyle w:val="PageNumber"/>
        <w:b/>
        <w:bCs/>
      </w:rPr>
      <w:instrText xml:space="preserve"> PAGE </w:instrText>
    </w:r>
    <w:r w:rsidR="00C20343">
      <w:rPr>
        <w:rStyle w:val="PageNumber"/>
        <w:b/>
        <w:bCs/>
      </w:rPr>
      <w:fldChar w:fldCharType="separate"/>
    </w:r>
    <w:r>
      <w:rPr>
        <w:rStyle w:val="PageNumber"/>
        <w:b/>
        <w:bCs/>
        <w:noProof/>
      </w:rPr>
      <w:t>5</w:t>
    </w:r>
    <w:r w:rsidR="00C2034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AC" w:rsidRDefault="00C20343">
    <w:pPr>
      <w:pStyle w:val="Header"/>
      <w:jc w:val="left"/>
      <w:rPr>
        <w:lang w:val="en-US"/>
      </w:rPr>
    </w:pPr>
    <w:r>
      <w:rPr>
        <w:rStyle w:val="PageNumber"/>
        <w:b/>
        <w:bCs/>
      </w:rPr>
      <w:fldChar w:fldCharType="begin"/>
    </w:r>
    <w:r w:rsidR="002B1DAC">
      <w:rPr>
        <w:rStyle w:val="PageNumber"/>
        <w:b/>
        <w:bCs/>
        <w:lang w:val="en-US"/>
      </w:rPr>
      <w:instrText xml:space="preserve"> PAGE </w:instrText>
    </w:r>
    <w:r>
      <w:rPr>
        <w:rStyle w:val="PageNumber"/>
        <w:b/>
        <w:bCs/>
      </w:rPr>
      <w:fldChar w:fldCharType="separate"/>
    </w:r>
    <w:r w:rsidR="00BF2B2B">
      <w:rPr>
        <w:rStyle w:val="PageNumber"/>
        <w:b/>
        <w:bCs/>
        <w:noProof/>
        <w:lang w:val="en-US"/>
      </w:rPr>
      <w:t>6</w:t>
    </w:r>
    <w:r>
      <w:rPr>
        <w:rStyle w:val="PageNumber"/>
        <w:b/>
        <w:bCs/>
      </w:rPr>
      <w:fldChar w:fldCharType="end"/>
    </w:r>
    <w:r w:rsidR="002B1DAC">
      <w:rPr>
        <w:lang w:val="en-US"/>
      </w:rPr>
      <w:tab/>
    </w:r>
    <w:fldSimple w:instr=" DOCPROPERTY &quot;Header&quot; \* MERGEFORMAT ">
      <w:r w:rsidR="00972CD4" w:rsidRPr="00972CD4">
        <w:rPr>
          <w:b/>
          <w:bCs/>
          <w:lang w:val="en-US"/>
        </w:rPr>
        <w:t xml:space="preserve">Rec. </w:t>
      </w:r>
    </w:fldSimple>
    <w:r w:rsidR="002B1DAC">
      <w:rPr>
        <w:b/>
        <w:bCs/>
      </w:rPr>
      <w:t xml:space="preserve"> </w:t>
    </w:r>
    <w:r>
      <w:rPr>
        <w:b/>
        <w:bCs/>
      </w:rPr>
      <w:fldChar w:fldCharType="begin"/>
    </w:r>
    <w:r w:rsidR="002B1DAC">
      <w:rPr>
        <w:b/>
        <w:bCs/>
        <w:lang w:val="en-US"/>
      </w:rPr>
      <w:instrText>styleref href</w:instrText>
    </w:r>
    <w:r>
      <w:rPr>
        <w:b/>
        <w:bCs/>
      </w:rPr>
      <w:fldChar w:fldCharType="separate"/>
    </w:r>
    <w:r w:rsidR="00BF2B2B">
      <w:rPr>
        <w:b/>
        <w:bCs/>
        <w:noProof/>
      </w:rPr>
      <w:t>UIT-R  M.1452-1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AC" w:rsidRDefault="002B1DAC">
    <w:pPr>
      <w:pStyle w:val="Header"/>
    </w:pPr>
    <w:r>
      <w:tab/>
    </w:r>
    <w:fldSimple w:instr=" DOCPROPERTY &quot;Header&quot; \* MERGEFORMAT ">
      <w:r w:rsidR="00972CD4" w:rsidRPr="00972CD4">
        <w:rPr>
          <w:b/>
          <w:bCs/>
        </w:rPr>
        <w:t xml:space="preserve">Rec. </w:t>
      </w:r>
    </w:fldSimple>
    <w:r>
      <w:rPr>
        <w:b/>
        <w:bCs/>
      </w:rPr>
      <w:t xml:space="preserve"> </w:t>
    </w:r>
    <w:r w:rsidR="00C20343">
      <w:rPr>
        <w:b/>
        <w:bCs/>
      </w:rPr>
      <w:fldChar w:fldCharType="begin"/>
    </w:r>
    <w:r>
      <w:rPr>
        <w:b/>
        <w:bCs/>
      </w:rPr>
      <w:instrText>styleref href</w:instrText>
    </w:r>
    <w:r w:rsidR="00C20343">
      <w:rPr>
        <w:b/>
        <w:bCs/>
      </w:rPr>
      <w:fldChar w:fldCharType="separate"/>
    </w:r>
    <w:r w:rsidR="00A40176">
      <w:rPr>
        <w:b/>
        <w:bCs/>
        <w:noProof/>
      </w:rPr>
      <w:t>UIT-R  M.1452-1</w:t>
    </w:r>
    <w:r w:rsidR="00C20343">
      <w:rPr>
        <w:b/>
        <w:bCs/>
      </w:rPr>
      <w:fldChar w:fldCharType="end"/>
    </w:r>
    <w:r>
      <w:tab/>
    </w:r>
    <w:r w:rsidR="00C20343">
      <w:rPr>
        <w:rStyle w:val="PageNumber"/>
        <w:b/>
        <w:bCs/>
      </w:rPr>
      <w:fldChar w:fldCharType="begin"/>
    </w:r>
    <w:r>
      <w:rPr>
        <w:rStyle w:val="PageNumber"/>
        <w:b/>
        <w:bCs/>
      </w:rPr>
      <w:instrText xml:space="preserve"> PAGE </w:instrText>
    </w:r>
    <w:r w:rsidR="00C20343">
      <w:rPr>
        <w:rStyle w:val="PageNumber"/>
        <w:b/>
        <w:bCs/>
      </w:rPr>
      <w:fldChar w:fldCharType="separate"/>
    </w:r>
    <w:r w:rsidR="00A40176">
      <w:rPr>
        <w:rStyle w:val="PageNumber"/>
        <w:b/>
        <w:bCs/>
        <w:noProof/>
      </w:rPr>
      <w:t>5</w:t>
    </w:r>
    <w:r w:rsidR="00C20343">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proofState w:spelling="clean" w:grammar="clean"/>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7F5F1F"/>
    <w:rsid w:val="001C1A37"/>
    <w:rsid w:val="00217EBF"/>
    <w:rsid w:val="002566D5"/>
    <w:rsid w:val="002B1DAC"/>
    <w:rsid w:val="002D76C4"/>
    <w:rsid w:val="003A5AE8"/>
    <w:rsid w:val="003E0383"/>
    <w:rsid w:val="00495205"/>
    <w:rsid w:val="005158D8"/>
    <w:rsid w:val="00563FF2"/>
    <w:rsid w:val="00564A49"/>
    <w:rsid w:val="00607D68"/>
    <w:rsid w:val="0066380B"/>
    <w:rsid w:val="007468DA"/>
    <w:rsid w:val="00752519"/>
    <w:rsid w:val="007F5F1F"/>
    <w:rsid w:val="00937678"/>
    <w:rsid w:val="00972CD4"/>
    <w:rsid w:val="009A7032"/>
    <w:rsid w:val="009C6E82"/>
    <w:rsid w:val="00A40176"/>
    <w:rsid w:val="00A6617B"/>
    <w:rsid w:val="00AB0DC8"/>
    <w:rsid w:val="00B44E24"/>
    <w:rsid w:val="00BF2B2B"/>
    <w:rsid w:val="00C20343"/>
    <w:rsid w:val="00DF4176"/>
    <w:rsid w:val="00E327C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5A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A5AE8"/>
    <w:pPr>
      <w:keepNext/>
      <w:keepLines/>
      <w:spacing w:before="480"/>
      <w:ind w:left="794" w:hanging="794"/>
      <w:outlineLvl w:val="0"/>
    </w:pPr>
    <w:rPr>
      <w:b/>
    </w:rPr>
  </w:style>
  <w:style w:type="paragraph" w:styleId="Heading2">
    <w:name w:val="heading 2"/>
    <w:basedOn w:val="Heading1"/>
    <w:next w:val="Normal"/>
    <w:link w:val="Heading2Char"/>
    <w:qFormat/>
    <w:rsid w:val="003A5AE8"/>
    <w:pPr>
      <w:spacing w:before="320"/>
      <w:outlineLvl w:val="1"/>
    </w:pPr>
  </w:style>
  <w:style w:type="paragraph" w:styleId="Heading3">
    <w:name w:val="heading 3"/>
    <w:basedOn w:val="Heading1"/>
    <w:next w:val="Normal"/>
    <w:qFormat/>
    <w:rsid w:val="003A5AE8"/>
    <w:pPr>
      <w:spacing w:before="200"/>
      <w:outlineLvl w:val="2"/>
    </w:pPr>
  </w:style>
  <w:style w:type="paragraph" w:styleId="Heading4">
    <w:name w:val="heading 4"/>
    <w:basedOn w:val="Heading3"/>
    <w:next w:val="Normal"/>
    <w:qFormat/>
    <w:rsid w:val="003A5AE8"/>
    <w:pPr>
      <w:tabs>
        <w:tab w:val="clear" w:pos="794"/>
        <w:tab w:val="left" w:pos="992"/>
      </w:tabs>
      <w:ind w:left="992" w:hanging="992"/>
      <w:outlineLvl w:val="3"/>
    </w:pPr>
  </w:style>
  <w:style w:type="paragraph" w:styleId="Heading5">
    <w:name w:val="heading 5"/>
    <w:basedOn w:val="Heading4"/>
    <w:next w:val="Normal"/>
    <w:qFormat/>
    <w:rsid w:val="003A5AE8"/>
    <w:pPr>
      <w:outlineLvl w:val="4"/>
    </w:pPr>
  </w:style>
  <w:style w:type="paragraph" w:styleId="Heading6">
    <w:name w:val="heading 6"/>
    <w:basedOn w:val="Heading4"/>
    <w:next w:val="Normal"/>
    <w:qFormat/>
    <w:rsid w:val="003A5AE8"/>
    <w:pPr>
      <w:tabs>
        <w:tab w:val="clear" w:pos="992"/>
        <w:tab w:val="clear" w:pos="1191"/>
      </w:tabs>
      <w:ind w:left="1588" w:hanging="1588"/>
      <w:outlineLvl w:val="5"/>
    </w:pPr>
  </w:style>
  <w:style w:type="paragraph" w:styleId="Heading7">
    <w:name w:val="heading 7"/>
    <w:basedOn w:val="Heading6"/>
    <w:next w:val="Normal"/>
    <w:qFormat/>
    <w:rsid w:val="003A5AE8"/>
    <w:pPr>
      <w:outlineLvl w:val="6"/>
    </w:pPr>
  </w:style>
  <w:style w:type="paragraph" w:styleId="Heading8">
    <w:name w:val="heading 8"/>
    <w:basedOn w:val="Heading6"/>
    <w:next w:val="Normal"/>
    <w:qFormat/>
    <w:rsid w:val="003A5AE8"/>
    <w:pPr>
      <w:outlineLvl w:val="7"/>
    </w:pPr>
  </w:style>
  <w:style w:type="paragraph" w:styleId="Heading9">
    <w:name w:val="heading 9"/>
    <w:basedOn w:val="Heading6"/>
    <w:next w:val="Normal"/>
    <w:qFormat/>
    <w:rsid w:val="003A5A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w:basedOn w:val="Normal"/>
    <w:link w:val="HeaderChar"/>
    <w:rsid w:val="003A5AE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3A5AE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A5AE8"/>
  </w:style>
  <w:style w:type="paragraph" w:customStyle="1" w:styleId="Headingb">
    <w:name w:val="Heading_b"/>
    <w:basedOn w:val="Heading3"/>
    <w:next w:val="Normal"/>
    <w:rsid w:val="003A5AE8"/>
    <w:pPr>
      <w:spacing w:before="160"/>
      <w:ind w:left="0" w:firstLine="0"/>
      <w:outlineLvl w:val="9"/>
    </w:pPr>
  </w:style>
  <w:style w:type="paragraph" w:customStyle="1" w:styleId="Headingi">
    <w:name w:val="Heading_i"/>
    <w:basedOn w:val="Heading3"/>
    <w:next w:val="Normal"/>
    <w:rsid w:val="003A5AE8"/>
    <w:pPr>
      <w:spacing w:before="160"/>
      <w:ind w:left="0" w:firstLine="0"/>
    </w:pPr>
    <w:rPr>
      <w:b w:val="0"/>
      <w:i/>
    </w:rPr>
  </w:style>
  <w:style w:type="character" w:customStyle="1" w:styleId="href">
    <w:name w:val="href"/>
    <w:basedOn w:val="DefaultParagraphFont"/>
    <w:rsid w:val="003A5AE8"/>
  </w:style>
  <w:style w:type="paragraph" w:customStyle="1" w:styleId="enumlev1">
    <w:name w:val="enumlev1"/>
    <w:basedOn w:val="Normal"/>
    <w:rsid w:val="003A5AE8"/>
    <w:pPr>
      <w:spacing w:before="80"/>
      <w:ind w:left="794" w:hanging="794"/>
    </w:pPr>
  </w:style>
  <w:style w:type="paragraph" w:customStyle="1" w:styleId="enumlev2">
    <w:name w:val="enumlev2"/>
    <w:basedOn w:val="enumlev1"/>
    <w:rsid w:val="003A5AE8"/>
    <w:pPr>
      <w:ind w:left="1191" w:hanging="397"/>
    </w:pPr>
  </w:style>
  <w:style w:type="paragraph" w:customStyle="1" w:styleId="enumlev3">
    <w:name w:val="enumlev3"/>
    <w:basedOn w:val="enumlev2"/>
    <w:rsid w:val="003A5AE8"/>
    <w:pPr>
      <w:ind w:left="1588"/>
    </w:pPr>
  </w:style>
  <w:style w:type="paragraph" w:customStyle="1" w:styleId="Normalaftertitle">
    <w:name w:val="Normal_after_title"/>
    <w:basedOn w:val="Normal"/>
    <w:next w:val="Normal"/>
    <w:rsid w:val="003A5AE8"/>
    <w:pPr>
      <w:spacing w:before="320"/>
    </w:pPr>
  </w:style>
  <w:style w:type="paragraph" w:customStyle="1" w:styleId="Note">
    <w:name w:val="Note"/>
    <w:basedOn w:val="Normal"/>
    <w:rsid w:val="003A5AE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A5AE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A5AE8"/>
    <w:pPr>
      <w:spacing w:before="240"/>
    </w:pPr>
    <w:rPr>
      <w:sz w:val="22"/>
      <w:lang w:val="es-ES_tradnl"/>
    </w:rPr>
  </w:style>
  <w:style w:type="paragraph" w:customStyle="1" w:styleId="Recref">
    <w:name w:val="Rec_ref"/>
    <w:basedOn w:val="Normal"/>
    <w:next w:val="Recdate"/>
    <w:rsid w:val="003A5AE8"/>
    <w:pPr>
      <w:jc w:val="center"/>
    </w:pPr>
  </w:style>
  <w:style w:type="paragraph" w:customStyle="1" w:styleId="Recdate">
    <w:name w:val="Rec_date"/>
    <w:basedOn w:val="Recref"/>
    <w:next w:val="Normalaftertitle"/>
    <w:rsid w:val="003A5AE8"/>
    <w:pPr>
      <w:jc w:val="right"/>
    </w:pPr>
  </w:style>
  <w:style w:type="paragraph" w:customStyle="1" w:styleId="AnnexNoTitle">
    <w:name w:val="Annex_NoTitle"/>
    <w:basedOn w:val="Normal"/>
    <w:next w:val="Normalaftertitle"/>
    <w:rsid w:val="003A5AE8"/>
    <w:pPr>
      <w:keepNext/>
      <w:keepLines/>
      <w:spacing w:before="480" w:after="80"/>
      <w:jc w:val="center"/>
    </w:pPr>
    <w:rPr>
      <w:b/>
      <w:sz w:val="28"/>
    </w:rPr>
  </w:style>
  <w:style w:type="paragraph" w:customStyle="1" w:styleId="AppendixNoTitle">
    <w:name w:val="Appendix_NoTitle"/>
    <w:basedOn w:val="AnnexNoTitle"/>
    <w:next w:val="Normal"/>
    <w:rsid w:val="003A5AE8"/>
  </w:style>
  <w:style w:type="paragraph" w:customStyle="1" w:styleId="Tablefin">
    <w:name w:val="Table_fin"/>
    <w:basedOn w:val="Normal"/>
    <w:next w:val="Normal"/>
    <w:rsid w:val="003A5AE8"/>
    <w:pPr>
      <w:spacing w:before="0"/>
    </w:pPr>
    <w:rPr>
      <w:sz w:val="20"/>
      <w:lang w:val="en-GB"/>
    </w:rPr>
  </w:style>
  <w:style w:type="paragraph" w:customStyle="1" w:styleId="Tablehead">
    <w:name w:val="Table_head"/>
    <w:basedOn w:val="Normal"/>
    <w:next w:val="Normal"/>
    <w:rsid w:val="003A5A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A5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A5AE8"/>
    <w:pPr>
      <w:keepNext/>
      <w:spacing w:before="360" w:after="120"/>
      <w:jc w:val="center"/>
    </w:pPr>
  </w:style>
  <w:style w:type="paragraph" w:customStyle="1" w:styleId="Tabletext">
    <w:name w:val="Table_text"/>
    <w:basedOn w:val="Normal"/>
    <w:rsid w:val="003A5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A5AE8"/>
    <w:pPr>
      <w:tabs>
        <w:tab w:val="clear" w:pos="1191"/>
        <w:tab w:val="clear" w:pos="1588"/>
        <w:tab w:val="clear" w:pos="1985"/>
        <w:tab w:val="center" w:pos="4820"/>
        <w:tab w:val="right" w:pos="9639"/>
      </w:tabs>
    </w:pPr>
  </w:style>
  <w:style w:type="paragraph" w:customStyle="1" w:styleId="Equationlegend">
    <w:name w:val="Equation_legend"/>
    <w:basedOn w:val="NormalIndent"/>
    <w:rsid w:val="003A5A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A5AE8"/>
    <w:pPr>
      <w:ind w:left="794"/>
    </w:pPr>
  </w:style>
  <w:style w:type="paragraph" w:customStyle="1" w:styleId="Figurelegend">
    <w:name w:val="Figure_legend"/>
    <w:basedOn w:val="Normal"/>
    <w:rsid w:val="003A5AE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A5A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A5AE8"/>
    <w:pPr>
      <w:keepNext/>
      <w:keepLines/>
      <w:spacing w:before="480"/>
      <w:jc w:val="center"/>
    </w:pPr>
    <w:rPr>
      <w:sz w:val="28"/>
    </w:rPr>
  </w:style>
  <w:style w:type="paragraph" w:customStyle="1" w:styleId="Arttitle">
    <w:name w:val="Art_title"/>
    <w:basedOn w:val="Normal"/>
    <w:next w:val="Normalaftertitle"/>
    <w:rsid w:val="003A5AE8"/>
    <w:pPr>
      <w:keepNext/>
      <w:keepLines/>
      <w:spacing w:before="240"/>
      <w:jc w:val="center"/>
    </w:pPr>
    <w:rPr>
      <w:b/>
      <w:sz w:val="28"/>
    </w:rPr>
  </w:style>
  <w:style w:type="paragraph" w:customStyle="1" w:styleId="Blanc">
    <w:name w:val="Blanc"/>
    <w:basedOn w:val="Normal"/>
    <w:next w:val="Tabletext"/>
    <w:rsid w:val="003A5AE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A5A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A5AE8"/>
    <w:pPr>
      <w:keepNext/>
      <w:keepLines/>
      <w:spacing w:before="160"/>
      <w:ind w:left="794"/>
    </w:pPr>
    <w:rPr>
      <w:i/>
    </w:rPr>
  </w:style>
  <w:style w:type="paragraph" w:customStyle="1" w:styleId="ChapNo">
    <w:name w:val="Chap_No"/>
    <w:basedOn w:val="ArtNo"/>
    <w:next w:val="Chaptitle"/>
    <w:rsid w:val="003A5AE8"/>
    <w:rPr>
      <w:b/>
    </w:rPr>
  </w:style>
  <w:style w:type="paragraph" w:customStyle="1" w:styleId="Chaptitle">
    <w:name w:val="Chap_title"/>
    <w:basedOn w:val="Arttitle"/>
    <w:next w:val="Normalaftertitle"/>
    <w:rsid w:val="003A5AE8"/>
  </w:style>
  <w:style w:type="character" w:styleId="FootnoteReference">
    <w:name w:val="footnote reference"/>
    <w:basedOn w:val="DefaultParagraphFont"/>
    <w:semiHidden/>
    <w:rsid w:val="003A5AE8"/>
    <w:rPr>
      <w:position w:val="6"/>
      <w:sz w:val="18"/>
    </w:rPr>
  </w:style>
  <w:style w:type="paragraph" w:styleId="FootnoteText">
    <w:name w:val="footnote text"/>
    <w:basedOn w:val="Normal"/>
    <w:link w:val="FootnoteTextChar"/>
    <w:semiHidden/>
    <w:rsid w:val="003A5AE8"/>
    <w:pPr>
      <w:keepLines/>
      <w:tabs>
        <w:tab w:val="left" w:pos="255"/>
      </w:tabs>
      <w:ind w:left="255" w:hanging="255"/>
    </w:pPr>
    <w:rPr>
      <w:sz w:val="22"/>
    </w:rPr>
  </w:style>
  <w:style w:type="paragraph" w:styleId="Index1">
    <w:name w:val="index 1"/>
    <w:basedOn w:val="Normal"/>
    <w:next w:val="Normal"/>
    <w:semiHidden/>
    <w:rsid w:val="003A5AE8"/>
  </w:style>
  <w:style w:type="paragraph" w:styleId="Index2">
    <w:name w:val="index 2"/>
    <w:basedOn w:val="Normal"/>
    <w:next w:val="Normal"/>
    <w:semiHidden/>
    <w:rsid w:val="003A5AE8"/>
    <w:pPr>
      <w:ind w:left="283"/>
    </w:pPr>
  </w:style>
  <w:style w:type="paragraph" w:styleId="Index3">
    <w:name w:val="index 3"/>
    <w:basedOn w:val="Normal"/>
    <w:next w:val="Normal"/>
    <w:semiHidden/>
    <w:rsid w:val="003A5AE8"/>
    <w:pPr>
      <w:ind w:left="566"/>
    </w:pPr>
  </w:style>
  <w:style w:type="paragraph" w:styleId="IndexHeading">
    <w:name w:val="index heading"/>
    <w:basedOn w:val="Normal"/>
    <w:next w:val="Index1"/>
    <w:semiHidden/>
    <w:rsid w:val="003A5AE8"/>
  </w:style>
  <w:style w:type="paragraph" w:customStyle="1" w:styleId="Line">
    <w:name w:val="Line"/>
    <w:basedOn w:val="Normal"/>
    <w:next w:val="Normal"/>
    <w:rsid w:val="003A5A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A5A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A5AE8"/>
  </w:style>
  <w:style w:type="paragraph" w:customStyle="1" w:styleId="Partref">
    <w:name w:val="Part_ref"/>
    <w:basedOn w:val="Normal"/>
    <w:next w:val="Normal"/>
    <w:rsid w:val="003A5AE8"/>
    <w:pPr>
      <w:keepNext/>
      <w:keepLines/>
      <w:spacing w:after="280"/>
      <w:jc w:val="center"/>
    </w:pPr>
  </w:style>
  <w:style w:type="paragraph" w:customStyle="1" w:styleId="Parttitle">
    <w:name w:val="Part_title"/>
    <w:basedOn w:val="Normal"/>
    <w:next w:val="Normalaftertitle"/>
    <w:rsid w:val="003A5AE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A5AE8"/>
  </w:style>
  <w:style w:type="paragraph" w:customStyle="1" w:styleId="QuestionNo">
    <w:name w:val="Question_No"/>
    <w:basedOn w:val="RecNo"/>
    <w:next w:val="Normal"/>
    <w:rsid w:val="003A5AE8"/>
  </w:style>
  <w:style w:type="paragraph" w:customStyle="1" w:styleId="Questionref">
    <w:name w:val="Question_ref"/>
    <w:basedOn w:val="Recref"/>
    <w:next w:val="Questiondate"/>
    <w:rsid w:val="003A5AE8"/>
  </w:style>
  <w:style w:type="paragraph" w:customStyle="1" w:styleId="Questiontitle">
    <w:name w:val="Question_title"/>
    <w:basedOn w:val="Normal"/>
    <w:next w:val="Questionref"/>
    <w:rsid w:val="003A5AE8"/>
  </w:style>
  <w:style w:type="paragraph" w:customStyle="1" w:styleId="Reftext">
    <w:name w:val="Ref_text"/>
    <w:basedOn w:val="Normal"/>
    <w:rsid w:val="003A5AE8"/>
    <w:pPr>
      <w:ind w:left="794" w:hanging="794"/>
    </w:pPr>
    <w:rPr>
      <w:sz w:val="22"/>
    </w:rPr>
  </w:style>
  <w:style w:type="paragraph" w:customStyle="1" w:styleId="Reftitle">
    <w:name w:val="Ref_title"/>
    <w:basedOn w:val="Normal"/>
    <w:next w:val="Reftext"/>
    <w:rsid w:val="003A5A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A5AE8"/>
  </w:style>
  <w:style w:type="paragraph" w:customStyle="1" w:styleId="RepNo">
    <w:name w:val="Rep_No"/>
    <w:basedOn w:val="RecNo"/>
    <w:next w:val="Reptitle"/>
    <w:rsid w:val="003A5AE8"/>
  </w:style>
  <w:style w:type="paragraph" w:customStyle="1" w:styleId="Repref">
    <w:name w:val="Rep_ref"/>
    <w:basedOn w:val="Recref"/>
    <w:next w:val="Repdate"/>
    <w:rsid w:val="003A5AE8"/>
  </w:style>
  <w:style w:type="paragraph" w:customStyle="1" w:styleId="Reptitle">
    <w:name w:val="Rep_title"/>
    <w:basedOn w:val="Rectitle"/>
    <w:next w:val="Repref"/>
    <w:rsid w:val="003A5AE8"/>
  </w:style>
  <w:style w:type="paragraph" w:customStyle="1" w:styleId="Resdate">
    <w:name w:val="Res_date"/>
    <w:basedOn w:val="Recdate"/>
    <w:next w:val="Normalaftertitle"/>
    <w:rsid w:val="003A5AE8"/>
  </w:style>
  <w:style w:type="paragraph" w:customStyle="1" w:styleId="ResNo">
    <w:name w:val="Res_No"/>
    <w:basedOn w:val="RecNo"/>
    <w:next w:val="Restitle"/>
    <w:rsid w:val="003A5AE8"/>
  </w:style>
  <w:style w:type="paragraph" w:customStyle="1" w:styleId="Resref">
    <w:name w:val="Res_ref"/>
    <w:basedOn w:val="Recref"/>
    <w:next w:val="Resdate"/>
    <w:rsid w:val="003A5AE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A5AE8"/>
  </w:style>
  <w:style w:type="paragraph" w:customStyle="1" w:styleId="Sectiontitle">
    <w:name w:val="Section_title"/>
    <w:basedOn w:val="Normal"/>
    <w:next w:val="Normalaftertitle"/>
    <w:rsid w:val="003A5AE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A5AE8"/>
    <w:pPr>
      <w:tabs>
        <w:tab w:val="clear" w:pos="794"/>
        <w:tab w:val="clear" w:pos="1191"/>
        <w:tab w:val="clear" w:pos="1588"/>
        <w:tab w:val="clear" w:pos="1985"/>
        <w:tab w:val="right" w:pos="9611"/>
      </w:tabs>
    </w:pPr>
    <w:rPr>
      <w:i/>
    </w:rPr>
  </w:style>
  <w:style w:type="paragraph" w:styleId="TOC1">
    <w:name w:val="toc 1"/>
    <w:basedOn w:val="Normal"/>
    <w:semiHidden/>
    <w:rsid w:val="003A5A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A5AE8"/>
    <w:pPr>
      <w:tabs>
        <w:tab w:val="clear" w:pos="567"/>
        <w:tab w:val="left" w:pos="1276"/>
      </w:tabs>
      <w:spacing w:before="160"/>
      <w:ind w:left="1276" w:hanging="709"/>
    </w:pPr>
  </w:style>
  <w:style w:type="paragraph" w:styleId="TOC3">
    <w:name w:val="toc 3"/>
    <w:basedOn w:val="TOC2"/>
    <w:semiHidden/>
    <w:rsid w:val="003A5AE8"/>
    <w:pPr>
      <w:tabs>
        <w:tab w:val="clear" w:pos="1276"/>
        <w:tab w:val="left" w:pos="2155"/>
      </w:tabs>
      <w:ind w:left="2155" w:hanging="879"/>
    </w:pPr>
  </w:style>
  <w:style w:type="paragraph" w:styleId="TOC4">
    <w:name w:val="toc 4"/>
    <w:basedOn w:val="TOC3"/>
    <w:semiHidden/>
    <w:rsid w:val="003A5AE8"/>
    <w:pPr>
      <w:tabs>
        <w:tab w:val="left" w:pos="3261"/>
      </w:tabs>
      <w:spacing w:before="80"/>
      <w:ind w:left="3261" w:hanging="993"/>
    </w:pPr>
  </w:style>
  <w:style w:type="paragraph" w:styleId="TOC5">
    <w:name w:val="toc 5"/>
    <w:basedOn w:val="TOC4"/>
    <w:semiHidden/>
    <w:rsid w:val="003A5AE8"/>
  </w:style>
  <w:style w:type="paragraph" w:styleId="TOC6">
    <w:name w:val="toc 6"/>
    <w:basedOn w:val="TOC4"/>
    <w:semiHidden/>
    <w:rsid w:val="003A5AE8"/>
  </w:style>
  <w:style w:type="paragraph" w:styleId="TOC7">
    <w:name w:val="toc 7"/>
    <w:basedOn w:val="TOC4"/>
    <w:semiHidden/>
    <w:rsid w:val="003A5AE8"/>
  </w:style>
  <w:style w:type="paragraph" w:styleId="TOC8">
    <w:name w:val="toc 8"/>
    <w:basedOn w:val="TOC4"/>
    <w:semiHidden/>
    <w:rsid w:val="003A5AE8"/>
  </w:style>
  <w:style w:type="paragraph" w:customStyle="1" w:styleId="Rectitle">
    <w:name w:val="Rec_title"/>
    <w:basedOn w:val="Normal"/>
    <w:next w:val="Recref"/>
    <w:rsid w:val="003A5AE8"/>
    <w:pPr>
      <w:keepNext/>
      <w:keepLines/>
      <w:spacing w:before="240"/>
      <w:jc w:val="center"/>
    </w:pPr>
    <w:rPr>
      <w:b/>
      <w:sz w:val="28"/>
    </w:rPr>
  </w:style>
  <w:style w:type="paragraph" w:customStyle="1" w:styleId="Annexref">
    <w:name w:val="Annex_ref"/>
    <w:basedOn w:val="Normal"/>
    <w:next w:val="Normalaftertitle"/>
    <w:rsid w:val="003A5AE8"/>
    <w:pPr>
      <w:keepNext/>
      <w:keepLines/>
      <w:spacing w:after="280"/>
      <w:jc w:val="center"/>
    </w:pPr>
  </w:style>
  <w:style w:type="paragraph" w:customStyle="1" w:styleId="Appendixref">
    <w:name w:val="Appendix_ref"/>
    <w:basedOn w:val="Annexref"/>
    <w:next w:val="Normalaftertitle"/>
    <w:rsid w:val="003A5AE8"/>
  </w:style>
  <w:style w:type="paragraph" w:customStyle="1" w:styleId="Figuretitle">
    <w:name w:val="Figure_title"/>
    <w:basedOn w:val="Normal"/>
    <w:next w:val="Figure"/>
    <w:rsid w:val="003A5AE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A5AE8"/>
    <w:pPr>
      <w:keepNext/>
      <w:spacing w:before="0" w:after="120"/>
      <w:jc w:val="center"/>
    </w:pPr>
    <w:rPr>
      <w:b/>
    </w:rPr>
  </w:style>
  <w:style w:type="paragraph" w:customStyle="1" w:styleId="Summary">
    <w:name w:val="Summary"/>
    <w:basedOn w:val="Normal"/>
    <w:next w:val="Normalaftertitle"/>
    <w:rsid w:val="003A5AE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C6E82"/>
    <w:rPr>
      <w:color w:val="0000FF"/>
      <w:u w:val="single"/>
    </w:rPr>
  </w:style>
  <w:style w:type="paragraph" w:customStyle="1" w:styleId="TabletitleBR">
    <w:name w:val="Table_title_BR"/>
    <w:basedOn w:val="Normal"/>
    <w:next w:val="Normal"/>
    <w:rsid w:val="009C6E82"/>
    <w:pPr>
      <w:keepNext/>
      <w:keepLines/>
      <w:spacing w:before="0" w:after="120"/>
      <w:jc w:val="center"/>
    </w:pPr>
    <w:rPr>
      <w:b/>
      <w:lang w:val="en-GB"/>
    </w:rPr>
  </w:style>
  <w:style w:type="paragraph" w:customStyle="1" w:styleId="Normalaftertitle0">
    <w:name w:val="Normal after title"/>
    <w:basedOn w:val="Normal"/>
    <w:next w:val="Normal"/>
    <w:rsid w:val="009C6E82"/>
    <w:pPr>
      <w:spacing w:before="320"/>
      <w:jc w:val="left"/>
    </w:pPr>
    <w:rPr>
      <w:lang w:val="en-GB"/>
    </w:rPr>
  </w:style>
  <w:style w:type="table" w:styleId="TableGrid">
    <w:name w:val="Table Grid"/>
    <w:basedOn w:val="TableNormal"/>
    <w:rsid w:val="009C6E8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C6E82"/>
    <w:rPr>
      <w:b/>
      <w:sz w:val="24"/>
      <w:lang w:val="fr-FR" w:eastAsia="en-US"/>
    </w:rPr>
  </w:style>
  <w:style w:type="character" w:customStyle="1" w:styleId="Heading2Char">
    <w:name w:val="Heading 2 Char"/>
    <w:basedOn w:val="DefaultParagraphFont"/>
    <w:link w:val="Heading2"/>
    <w:rsid w:val="009C6E82"/>
    <w:rPr>
      <w:b/>
      <w:sz w:val="24"/>
      <w:lang w:val="fr-FR" w:eastAsia="en-US"/>
    </w:rPr>
  </w:style>
  <w:style w:type="character" w:customStyle="1" w:styleId="HeaderChar">
    <w:name w:val="Header Char"/>
    <w:aliases w:val="encabezado Char,he Char,header odd Char,header odd1 Char,header odd2 Char,header Char"/>
    <w:basedOn w:val="DefaultParagraphFont"/>
    <w:link w:val="Header"/>
    <w:rsid w:val="009C6E82"/>
    <w:rPr>
      <w:sz w:val="24"/>
      <w:lang w:val="fr-FR" w:eastAsia="en-US"/>
    </w:rPr>
  </w:style>
  <w:style w:type="character" w:customStyle="1" w:styleId="FooterChar">
    <w:name w:val="Footer Char"/>
    <w:aliases w:val="pie de página Char,fo Char"/>
    <w:basedOn w:val="DefaultParagraphFont"/>
    <w:link w:val="Footer"/>
    <w:rsid w:val="009C6E82"/>
    <w:rPr>
      <w:noProof/>
      <w:sz w:val="18"/>
      <w:lang w:val="fr-FR" w:eastAsia="en-US"/>
    </w:rPr>
  </w:style>
  <w:style w:type="character" w:customStyle="1" w:styleId="FootnoteTextChar">
    <w:name w:val="Footnote Text Char"/>
    <w:basedOn w:val="DefaultParagraphFont"/>
    <w:link w:val="FootnoteText"/>
    <w:semiHidden/>
    <w:rsid w:val="009C6E82"/>
    <w:rPr>
      <w:sz w:val="22"/>
      <w:lang w:val="fr-FR" w:eastAsia="en-US"/>
    </w:rPr>
  </w:style>
  <w:style w:type="paragraph" w:customStyle="1" w:styleId="TableNoBR">
    <w:name w:val="Table_No_BR"/>
    <w:basedOn w:val="Normal"/>
    <w:next w:val="TabletitleBR"/>
    <w:rsid w:val="009C6E82"/>
    <w:pPr>
      <w:keepNext/>
      <w:spacing w:before="560" w:after="120"/>
      <w:jc w:val="center"/>
    </w:pPr>
    <w:rPr>
      <w:caps/>
      <w:lang w:val="es-ES_tradnl"/>
    </w:rPr>
  </w:style>
  <w:style w:type="paragraph" w:customStyle="1" w:styleId="Fig">
    <w:name w:val="Fig"/>
    <w:basedOn w:val="Figure"/>
    <w:next w:val="Fig0"/>
    <w:rsid w:val="009C6E82"/>
    <w:pPr>
      <w:keepLines w:val="0"/>
      <w:spacing w:before="136" w:after="0"/>
    </w:pPr>
    <w:rPr>
      <w:caps w:val="0"/>
      <w:sz w:val="20"/>
      <w:lang w:val="en-US"/>
    </w:rPr>
  </w:style>
  <w:style w:type="paragraph" w:customStyle="1" w:styleId="Fig0">
    <w:name w:val="Fig_#"/>
    <w:basedOn w:val="Fig"/>
    <w:next w:val="Normal"/>
    <w:rsid w:val="009C6E82"/>
    <w:pPr>
      <w:jc w:val="left"/>
    </w:pPr>
    <w:rPr>
      <w:color w:va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www.SARA-group.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3FDDF-D370-411D-8A3B-DBB9CA22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8</Pages>
  <Words>2220</Words>
  <Characters>12637</Characters>
  <Application>Microsoft Office Word</Application>
  <DocSecurity>0</DocSecurity>
  <Lines>321</Lines>
  <Paragraphs>153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M.1452-1 - Sistemas de radiocomunicaciones por ondas milimétricas  para aplicaciones de sistemas de transporte inteligentes</dc:title>
  <dc:subject>Serie M = Servicios móviles, de radiodeterminación y de aficionados, incluidos los correspondientes servicios por satélite</dc:subject>
  <dc:creator>Oficina de Radiocomunicaciones del UIT (BR)</dc:creator>
  <cp:keywords>M,1452-1</cp:keywords>
  <dc:description>Martiner, 23.04.2010, AMR106400</dc:description>
  <cp:lastModifiedBy>martiner</cp:lastModifiedBy>
  <cp:revision>16</cp:revision>
  <cp:lastPrinted>2005-02-10T15:54:00Z</cp:lastPrinted>
  <dcterms:created xsi:type="dcterms:W3CDTF">2010-04-21T07:15:00Z</dcterms:created>
  <dcterms:modified xsi:type="dcterms:W3CDTF">2010-04-23T13:06:00Z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vendredi, 23. avril 2010</vt:lpwstr>
  </property>
</Properties>
</file>