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49E" w:rsidRDefault="0074449E" w:rsidP="008622D5"/>
    <w:p w:rsidR="0074449E" w:rsidRDefault="0074449E" w:rsidP="008622D5"/>
    <w:p w:rsidR="0074449E" w:rsidRDefault="0074449E" w:rsidP="00F63CD9">
      <w:pPr>
        <w:spacing w:before="240"/>
      </w:pPr>
    </w:p>
    <w:p w:rsidR="0074449E" w:rsidRDefault="0074449E" w:rsidP="008622D5"/>
    <w:p w:rsidR="0074449E" w:rsidRDefault="0074449E" w:rsidP="008622D5"/>
    <w:p w:rsidR="0074449E" w:rsidRDefault="0074449E" w:rsidP="008622D5"/>
    <w:p w:rsidR="0074449E" w:rsidRDefault="0074449E" w:rsidP="008622D5"/>
    <w:tbl>
      <w:tblPr>
        <w:tblW w:w="10089" w:type="dxa"/>
        <w:tblLook w:val="01E0"/>
      </w:tblPr>
      <w:tblGrid>
        <w:gridCol w:w="10089"/>
      </w:tblGrid>
      <w:tr w:rsidR="0074449E" w:rsidRPr="008C7AE8" w:rsidTr="008622D5">
        <w:tc>
          <w:tcPr>
            <w:tcW w:w="10089" w:type="dxa"/>
          </w:tcPr>
          <w:p w:rsidR="0074449E" w:rsidRPr="00A07AEB" w:rsidRDefault="0074449E" w:rsidP="008622D5">
            <w:pPr>
              <w:spacing w:before="380" w:line="280" w:lineRule="exact"/>
              <w:jc w:val="right"/>
              <w:rPr>
                <w:rFonts w:ascii="Tahoma" w:hAnsi="Tahoma" w:cs="Tahoma"/>
                <w:b/>
                <w:bCs/>
                <w:iCs/>
                <w:color w:val="243285"/>
                <w:sz w:val="32"/>
                <w:szCs w:val="32"/>
                <w:lang w:val="en-US"/>
              </w:rPr>
            </w:pPr>
          </w:p>
          <w:p w:rsidR="0074449E" w:rsidRPr="00A07AEB" w:rsidRDefault="0074449E" w:rsidP="0035194B">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35194B">
              <w:rPr>
                <w:rFonts w:ascii="Tahoma" w:hAnsi="Tahoma" w:cs="Tahoma"/>
                <w:b/>
                <w:bCs/>
                <w:iCs/>
                <w:color w:val="243285"/>
                <w:sz w:val="36"/>
                <w:szCs w:val="36"/>
                <w:lang w:val="es-ES_tradnl"/>
              </w:rPr>
              <w:t>1319-3</w:t>
            </w:r>
          </w:p>
          <w:p w:rsidR="0074449E" w:rsidRPr="00A07AEB" w:rsidRDefault="00204359" w:rsidP="00204359">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(01/2010</w:t>
            </w:r>
            <w:r w:rsidR="0074449E" w:rsidRPr="00A07AEB">
              <w:rPr>
                <w:rFonts w:ascii="Tahoma" w:hAnsi="Tahoma" w:cs="Tahoma"/>
                <w:b/>
                <w:bCs/>
                <w:iCs/>
                <w:color w:val="243285"/>
                <w:szCs w:val="24"/>
                <w:lang w:val="es-ES_tradnl"/>
              </w:rPr>
              <w:t>)</w:t>
            </w:r>
          </w:p>
        </w:tc>
      </w:tr>
      <w:tr w:rsidR="0074449E" w:rsidRPr="00653B61" w:rsidTr="008622D5">
        <w:tc>
          <w:tcPr>
            <w:tcW w:w="10089" w:type="dxa"/>
          </w:tcPr>
          <w:p w:rsidR="0074449E" w:rsidRPr="00A07AEB" w:rsidRDefault="0074449E" w:rsidP="008622D5">
            <w:pPr>
              <w:spacing w:before="80" w:line="500" w:lineRule="exact"/>
              <w:jc w:val="right"/>
              <w:rPr>
                <w:rFonts w:ascii="Tahoma" w:hAnsi="Tahoma" w:cs="Tahoma"/>
                <w:b/>
                <w:bCs/>
                <w:iCs/>
                <w:color w:val="243285"/>
                <w:sz w:val="44"/>
                <w:szCs w:val="44"/>
                <w:lang w:val="es-ES_tradnl"/>
              </w:rPr>
            </w:pPr>
          </w:p>
          <w:p w:rsidR="0074449E" w:rsidRPr="00A07AEB" w:rsidRDefault="0074449E" w:rsidP="00526974">
            <w:pPr>
              <w:spacing w:before="80" w:line="500" w:lineRule="exact"/>
              <w:jc w:val="right"/>
              <w:rPr>
                <w:rFonts w:ascii="Tahoma" w:hAnsi="Tahoma" w:cs="Tahoma"/>
                <w:b/>
                <w:bCs/>
                <w:iCs/>
                <w:color w:val="243285"/>
                <w:sz w:val="44"/>
                <w:szCs w:val="44"/>
                <w:lang w:val="es-ES_tradnl"/>
              </w:rPr>
            </w:pPr>
            <w:r>
              <w:rPr>
                <w:rFonts w:ascii="Tahoma" w:hAnsi="Tahoma" w:cs="Tahoma"/>
                <w:b/>
                <w:bCs/>
                <w:iCs/>
                <w:color w:val="243285"/>
                <w:sz w:val="44"/>
                <w:szCs w:val="44"/>
                <w:lang w:val="es-ES_tradnl"/>
              </w:rPr>
              <w:t>Bases de una metodología para evaluar</w:t>
            </w:r>
            <w:r w:rsidR="0021357B">
              <w:rPr>
                <w:rFonts w:ascii="Tahoma" w:hAnsi="Tahoma" w:cs="Tahoma"/>
                <w:b/>
                <w:bCs/>
                <w:iCs/>
                <w:color w:val="243285"/>
                <w:sz w:val="44"/>
                <w:szCs w:val="44"/>
                <w:lang w:val="es-ES_tradnl"/>
              </w:rPr>
              <w:t xml:space="preserve"> la</w:t>
            </w:r>
            <w:r>
              <w:rPr>
                <w:rFonts w:ascii="Tahoma" w:hAnsi="Tahoma" w:cs="Tahoma"/>
                <w:b/>
                <w:bCs/>
                <w:iCs/>
                <w:color w:val="243285"/>
                <w:sz w:val="44"/>
                <w:szCs w:val="44"/>
                <w:lang w:val="es-ES_tradnl"/>
              </w:rPr>
              <w:br/>
              <w:t>repercusión de la interferencia causada</w:t>
            </w:r>
            <w:r w:rsidR="0021357B">
              <w:rPr>
                <w:rFonts w:ascii="Tahoma" w:hAnsi="Tahoma" w:cs="Tahoma"/>
                <w:b/>
                <w:bCs/>
                <w:iCs/>
                <w:color w:val="243285"/>
                <w:sz w:val="44"/>
                <w:szCs w:val="44"/>
                <w:lang w:val="es-ES_tradnl"/>
              </w:rPr>
              <w:br/>
            </w:r>
            <w:r>
              <w:rPr>
                <w:rFonts w:ascii="Tahoma" w:hAnsi="Tahoma" w:cs="Tahoma"/>
                <w:b/>
                <w:bCs/>
                <w:iCs/>
                <w:color w:val="243285"/>
                <w:sz w:val="44"/>
                <w:szCs w:val="44"/>
                <w:lang w:val="es-ES_tradnl"/>
              </w:rPr>
              <w:t>por las transmisiones espacio-</w:t>
            </w:r>
            <w:r w:rsidR="004F40A4">
              <w:rPr>
                <w:rFonts w:ascii="Tahoma" w:hAnsi="Tahoma" w:cs="Tahoma"/>
                <w:b/>
                <w:bCs/>
                <w:iCs/>
                <w:color w:val="243285"/>
                <w:sz w:val="44"/>
                <w:szCs w:val="44"/>
                <w:lang w:val="es-ES_tradnl"/>
              </w:rPr>
              <w:t>Tierra</w:t>
            </w:r>
            <w:r>
              <w:rPr>
                <w:rFonts w:ascii="Tahoma" w:hAnsi="Tahoma" w:cs="Tahoma"/>
                <w:b/>
                <w:bCs/>
                <w:iCs/>
                <w:color w:val="243285"/>
                <w:sz w:val="44"/>
                <w:szCs w:val="44"/>
                <w:lang w:val="es-ES_tradnl"/>
              </w:rPr>
              <w:br/>
              <w:t>del servicio móvil por satélite (</w:t>
            </w:r>
            <w:proofErr w:type="spellStart"/>
            <w:r>
              <w:rPr>
                <w:rFonts w:ascii="Tahoma" w:hAnsi="Tahoma" w:cs="Tahoma"/>
                <w:b/>
                <w:bCs/>
                <w:iCs/>
                <w:color w:val="243285"/>
                <w:sz w:val="44"/>
                <w:szCs w:val="44"/>
                <w:lang w:val="es-ES_tradnl"/>
              </w:rPr>
              <w:t>SMS</w:t>
            </w:r>
            <w:proofErr w:type="spellEnd"/>
            <w:r>
              <w:rPr>
                <w:rFonts w:ascii="Tahoma" w:hAnsi="Tahoma" w:cs="Tahoma"/>
                <w:b/>
                <w:bCs/>
                <w:iCs/>
                <w:color w:val="243285"/>
                <w:sz w:val="44"/>
                <w:szCs w:val="44"/>
                <w:lang w:val="es-ES_tradnl"/>
              </w:rPr>
              <w:t>)</w:t>
            </w:r>
            <w:r w:rsidR="0021357B">
              <w:rPr>
                <w:rFonts w:ascii="Tahoma" w:hAnsi="Tahoma" w:cs="Tahoma"/>
                <w:b/>
                <w:bCs/>
                <w:iCs/>
                <w:color w:val="243285"/>
                <w:sz w:val="44"/>
                <w:szCs w:val="44"/>
                <w:lang w:val="es-ES_tradnl"/>
              </w:rPr>
              <w:br/>
            </w:r>
            <w:r>
              <w:rPr>
                <w:rFonts w:ascii="Tahoma" w:hAnsi="Tahoma" w:cs="Tahoma"/>
                <w:b/>
                <w:bCs/>
                <w:iCs/>
                <w:color w:val="243285"/>
                <w:sz w:val="44"/>
                <w:szCs w:val="44"/>
                <w:lang w:val="es-ES_tradnl"/>
              </w:rPr>
              <w:t xml:space="preserve">con acceso múltiple por división en </w:t>
            </w:r>
            <w:r w:rsidR="00526974">
              <w:rPr>
                <w:rFonts w:ascii="Tahoma" w:hAnsi="Tahoma" w:cs="Tahoma"/>
                <w:b/>
                <w:bCs/>
                <w:iCs/>
                <w:color w:val="243285"/>
                <w:sz w:val="44"/>
                <w:szCs w:val="44"/>
                <w:lang w:val="es-ES_tradnl"/>
              </w:rPr>
              <w:br/>
              <w:t xml:space="preserve">el </w:t>
            </w:r>
            <w:r w:rsidR="00157972">
              <w:rPr>
                <w:rFonts w:ascii="Tahoma" w:hAnsi="Tahoma" w:cs="Tahoma"/>
                <w:b/>
                <w:bCs/>
                <w:iCs/>
                <w:color w:val="243285"/>
                <w:sz w:val="44"/>
                <w:szCs w:val="44"/>
                <w:lang w:val="es-ES_tradnl"/>
              </w:rPr>
              <w:t>tiempo/acceso múltiple</w:t>
            </w:r>
            <w:r>
              <w:rPr>
                <w:rFonts w:ascii="Tahoma" w:hAnsi="Tahoma" w:cs="Tahoma"/>
                <w:b/>
                <w:bCs/>
                <w:iCs/>
                <w:color w:val="243285"/>
                <w:sz w:val="44"/>
                <w:szCs w:val="44"/>
                <w:lang w:val="es-ES_tradnl"/>
              </w:rPr>
              <w:t xml:space="preserve"> por división en frecuencia (</w:t>
            </w:r>
            <w:proofErr w:type="spellStart"/>
            <w:r>
              <w:rPr>
                <w:rFonts w:ascii="Tahoma" w:hAnsi="Tahoma" w:cs="Tahoma"/>
                <w:b/>
                <w:bCs/>
                <w:iCs/>
                <w:color w:val="243285"/>
                <w:sz w:val="44"/>
                <w:szCs w:val="44"/>
                <w:lang w:val="es-ES_tradnl"/>
              </w:rPr>
              <w:t>AMDT</w:t>
            </w:r>
            <w:proofErr w:type="spellEnd"/>
            <w:r>
              <w:rPr>
                <w:rFonts w:ascii="Tahoma" w:hAnsi="Tahoma" w:cs="Tahoma"/>
                <w:b/>
                <w:bCs/>
                <w:iCs/>
                <w:color w:val="243285"/>
                <w:sz w:val="44"/>
                <w:szCs w:val="44"/>
                <w:lang w:val="es-ES_tradnl"/>
              </w:rPr>
              <w:t>/</w:t>
            </w:r>
            <w:proofErr w:type="spellStart"/>
            <w:r>
              <w:rPr>
                <w:rFonts w:ascii="Tahoma" w:hAnsi="Tahoma" w:cs="Tahoma"/>
                <w:b/>
                <w:bCs/>
                <w:iCs/>
                <w:color w:val="243285"/>
                <w:sz w:val="44"/>
                <w:szCs w:val="44"/>
                <w:lang w:val="es-ES_tradnl"/>
              </w:rPr>
              <w:t>AMDF</w:t>
            </w:r>
            <w:proofErr w:type="spellEnd"/>
            <w:r>
              <w:rPr>
                <w:rFonts w:ascii="Tahoma" w:hAnsi="Tahoma" w:cs="Tahoma"/>
                <w:b/>
                <w:bCs/>
                <w:iCs/>
                <w:color w:val="243285"/>
                <w:sz w:val="44"/>
                <w:szCs w:val="44"/>
                <w:lang w:val="es-ES_tradnl"/>
              </w:rPr>
              <w:t>) sobre la calidad</w:t>
            </w:r>
            <w:r w:rsidR="0021357B">
              <w:rPr>
                <w:rFonts w:ascii="Tahoma" w:hAnsi="Tahoma" w:cs="Tahoma"/>
                <w:b/>
                <w:bCs/>
                <w:iCs/>
                <w:color w:val="243285"/>
                <w:sz w:val="44"/>
                <w:szCs w:val="44"/>
                <w:lang w:val="es-ES_tradnl"/>
              </w:rPr>
              <w:br/>
            </w:r>
            <w:r>
              <w:rPr>
                <w:rFonts w:ascii="Tahoma" w:hAnsi="Tahoma" w:cs="Tahoma"/>
                <w:b/>
                <w:bCs/>
                <w:iCs/>
                <w:color w:val="243285"/>
                <w:sz w:val="44"/>
                <w:szCs w:val="44"/>
                <w:lang w:val="es-ES_tradnl"/>
              </w:rPr>
              <w:t>de funcionamiento de los receptores</w:t>
            </w:r>
            <w:r w:rsidR="00526974">
              <w:rPr>
                <w:rFonts w:ascii="Tahoma" w:hAnsi="Tahoma" w:cs="Tahoma"/>
                <w:b/>
                <w:bCs/>
                <w:iCs/>
                <w:color w:val="243285"/>
                <w:sz w:val="44"/>
                <w:szCs w:val="44"/>
                <w:lang w:val="es-ES_tradnl"/>
              </w:rPr>
              <w:br/>
            </w:r>
            <w:r>
              <w:rPr>
                <w:rFonts w:ascii="Tahoma" w:hAnsi="Tahoma" w:cs="Tahoma"/>
                <w:b/>
                <w:bCs/>
                <w:iCs/>
                <w:color w:val="243285"/>
                <w:sz w:val="44"/>
                <w:szCs w:val="44"/>
                <w:lang w:val="es-ES_tradnl"/>
              </w:rPr>
              <w:t>del servicio fijo con visibilidad directa</w:t>
            </w:r>
            <w:r w:rsidR="00526974">
              <w:rPr>
                <w:rFonts w:ascii="Tahoma" w:hAnsi="Tahoma" w:cs="Tahoma"/>
                <w:b/>
                <w:bCs/>
                <w:iCs/>
                <w:color w:val="243285"/>
                <w:sz w:val="44"/>
                <w:szCs w:val="44"/>
                <w:lang w:val="es-ES_tradnl"/>
              </w:rPr>
              <w:t xml:space="preserve"> </w:t>
            </w:r>
            <w:r w:rsidR="0021357B">
              <w:rPr>
                <w:rFonts w:ascii="Tahoma" w:hAnsi="Tahoma" w:cs="Tahoma"/>
                <w:b/>
                <w:bCs/>
                <w:iCs/>
                <w:color w:val="243285"/>
                <w:sz w:val="44"/>
                <w:szCs w:val="44"/>
                <w:lang w:val="es-ES_tradnl"/>
              </w:rPr>
              <w:br/>
            </w:r>
            <w:r w:rsidR="00526974">
              <w:rPr>
                <w:rFonts w:ascii="Tahoma" w:hAnsi="Tahoma" w:cs="Tahoma"/>
                <w:b/>
                <w:bCs/>
                <w:iCs/>
                <w:color w:val="243285"/>
                <w:sz w:val="44"/>
                <w:szCs w:val="44"/>
                <w:lang w:val="es-ES_tradnl"/>
              </w:rPr>
              <w:t xml:space="preserve">en </w:t>
            </w:r>
            <w:r>
              <w:rPr>
                <w:rFonts w:ascii="Tahoma" w:hAnsi="Tahoma" w:cs="Tahoma"/>
                <w:b/>
                <w:bCs/>
                <w:iCs/>
                <w:color w:val="243285"/>
                <w:sz w:val="44"/>
                <w:szCs w:val="44"/>
                <w:lang w:val="es-ES_tradnl"/>
              </w:rPr>
              <w:t>la gama de frecuencias 1</w:t>
            </w:r>
            <w:r>
              <w:rPr>
                <w:rFonts w:ascii="Tahoma" w:hAnsi="Tahoma" w:cs="Tahoma"/>
                <w:b/>
                <w:bCs/>
                <w:iCs/>
                <w:color w:val="243285"/>
                <w:sz w:val="44"/>
                <w:szCs w:val="44"/>
                <w:lang w:val="es-ES_tradnl"/>
              </w:rPr>
              <w:noBreakHyphen/>
              <w:t>3 GHz</w:t>
            </w:r>
          </w:p>
          <w:p w:rsidR="0074449E" w:rsidRPr="00A07AEB" w:rsidRDefault="0074449E" w:rsidP="008622D5">
            <w:pPr>
              <w:spacing w:before="80" w:line="500" w:lineRule="exact"/>
              <w:jc w:val="right"/>
              <w:rPr>
                <w:rFonts w:ascii="Tahoma" w:hAnsi="Tahoma" w:cs="Tahoma"/>
                <w:b/>
                <w:bCs/>
                <w:iCs/>
                <w:color w:val="243285"/>
                <w:sz w:val="44"/>
                <w:szCs w:val="44"/>
                <w:lang w:val="es-ES_tradnl"/>
              </w:rPr>
            </w:pPr>
          </w:p>
        </w:tc>
      </w:tr>
      <w:tr w:rsidR="0074449E" w:rsidRPr="00653B61" w:rsidTr="008622D5">
        <w:tc>
          <w:tcPr>
            <w:tcW w:w="10089" w:type="dxa"/>
          </w:tcPr>
          <w:p w:rsidR="0074449E" w:rsidRDefault="0074449E" w:rsidP="008622D5">
            <w:pPr>
              <w:spacing w:before="80" w:line="280" w:lineRule="exact"/>
              <w:ind w:right="640"/>
              <w:rPr>
                <w:rFonts w:ascii="Tahoma" w:hAnsi="Tahoma" w:cs="Tahoma"/>
                <w:b/>
                <w:bCs/>
                <w:iCs/>
                <w:color w:val="243285"/>
                <w:sz w:val="32"/>
                <w:szCs w:val="32"/>
                <w:lang w:val="es-ES_tradnl"/>
              </w:rPr>
            </w:pPr>
          </w:p>
          <w:p w:rsidR="00F63CD9" w:rsidRPr="00A07AEB" w:rsidRDefault="00F63CD9" w:rsidP="008622D5">
            <w:pPr>
              <w:spacing w:before="80" w:line="280" w:lineRule="exact"/>
              <w:ind w:right="640"/>
              <w:rPr>
                <w:rFonts w:ascii="Tahoma" w:hAnsi="Tahoma" w:cs="Tahoma"/>
                <w:b/>
                <w:bCs/>
                <w:iCs/>
                <w:color w:val="243285"/>
                <w:sz w:val="32"/>
                <w:szCs w:val="32"/>
                <w:lang w:val="es-ES_tradnl"/>
              </w:rPr>
            </w:pPr>
          </w:p>
          <w:p w:rsidR="0074449E" w:rsidRPr="00A07AEB" w:rsidRDefault="0074449E" w:rsidP="008622D5">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74449E" w:rsidRPr="00A07AEB" w:rsidRDefault="0074449E" w:rsidP="008622D5">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F63CD9" w:rsidRDefault="00F63CD9" w:rsidP="008622D5">
      <w:pPr>
        <w:spacing w:before="80"/>
        <w:rPr>
          <w:i/>
          <w:sz w:val="22"/>
          <w:lang w:val="es-ES_tradnl"/>
        </w:rPr>
      </w:pPr>
    </w:p>
    <w:p w:rsidR="00F63CD9" w:rsidRPr="0026666F" w:rsidRDefault="00F63CD9" w:rsidP="00F63CD9">
      <w:pPr>
        <w:spacing w:before="0"/>
        <w:rPr>
          <w:i/>
          <w:sz w:val="22"/>
          <w:lang w:val="es-ES_tradnl"/>
        </w:rPr>
      </w:pPr>
    </w:p>
    <w:p w:rsidR="0074449E" w:rsidRPr="0026666F" w:rsidRDefault="0074449E" w:rsidP="008622D5">
      <w:pPr>
        <w:pStyle w:val="Equation"/>
        <w:tabs>
          <w:tab w:val="clear" w:pos="4820"/>
          <w:tab w:val="clear" w:pos="9639"/>
          <w:tab w:val="left" w:pos="1191"/>
          <w:tab w:val="left" w:pos="1588"/>
          <w:tab w:val="left" w:pos="1985"/>
        </w:tabs>
        <w:rPr>
          <w:rFonts w:ascii="Palatino Linotype" w:hAnsi="Palatino Linotype"/>
          <w:lang w:val="es-ES_tradnl"/>
        </w:rPr>
        <w:sectPr w:rsidR="0074449E" w:rsidRPr="0026666F" w:rsidSect="008622D5">
          <w:headerReference w:type="even" r:id="rId7"/>
          <w:headerReference w:type="default" r:id="rId8"/>
          <w:pgSz w:w="11907" w:h="16834" w:code="9"/>
          <w:pgMar w:top="1418" w:right="1134" w:bottom="1134" w:left="1134" w:header="720" w:footer="482" w:gutter="0"/>
          <w:paperSrc w:first="15" w:other="15"/>
          <w:cols w:space="720"/>
        </w:sectPr>
      </w:pPr>
    </w:p>
    <w:p w:rsidR="0074449E" w:rsidRPr="006C718C"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74449E" w:rsidRPr="006C718C" w:rsidRDefault="0074449E" w:rsidP="008622D5">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74449E" w:rsidRPr="006C718C" w:rsidRDefault="0074449E" w:rsidP="008622D5">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74449E" w:rsidRPr="00021E8A" w:rsidRDefault="0074449E" w:rsidP="008622D5">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w:t>
      </w:r>
      <w:proofErr w:type="spellStart"/>
      <w:r w:rsidRPr="00021E8A">
        <w:rPr>
          <w:szCs w:val="24"/>
          <w:lang w:val="es-ES_tradnl"/>
        </w:rPr>
        <w:t>IPR</w:t>
      </w:r>
      <w:proofErr w:type="spellEnd"/>
      <w:r w:rsidRPr="00021E8A">
        <w:rPr>
          <w:szCs w:val="24"/>
          <w:lang w:val="es-ES_tradnl"/>
        </w:rPr>
        <w:t>)</w:t>
      </w:r>
    </w:p>
    <w:p w:rsidR="0074449E" w:rsidRPr="00021E8A" w:rsidRDefault="0074449E" w:rsidP="008622D5">
      <w:pPr>
        <w:spacing w:before="180"/>
        <w:rPr>
          <w:sz w:val="20"/>
          <w:lang w:val="es-ES_tradnl"/>
        </w:rPr>
      </w:pPr>
      <w:r w:rsidRPr="00021E8A">
        <w:rPr>
          <w:sz w:val="20"/>
          <w:lang w:val="es-ES_tradnl"/>
        </w:rPr>
        <w:t xml:space="preserve">La política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Derechos de Propiedad Intelectual se describe en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a la que se hace referencia en el Anexo 1 a la Resolución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xml:space="preserve">, donde también aparecen las Directrices para la implementación de la Política Común de Patentes </w:t>
      </w:r>
      <w:proofErr w:type="spellStart"/>
      <w:r w:rsidRPr="00021E8A">
        <w:rPr>
          <w:sz w:val="20"/>
          <w:lang w:val="es-ES_tradnl"/>
        </w:rPr>
        <w:t>UIT</w:t>
      </w:r>
      <w:r w:rsidRPr="00021E8A">
        <w:rPr>
          <w:sz w:val="20"/>
          <w:lang w:val="es-ES_tradnl"/>
        </w:rPr>
        <w:noBreakHyphen/>
        <w:t>T</w:t>
      </w:r>
      <w:proofErr w:type="spellEnd"/>
      <w:r w:rsidRPr="00021E8A">
        <w:rPr>
          <w:sz w:val="20"/>
          <w:lang w:val="es-ES_tradnl"/>
        </w:rPr>
        <w:t>/</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/ISO/</w:t>
      </w:r>
      <w:proofErr w:type="spellStart"/>
      <w:r w:rsidRPr="00021E8A">
        <w:rPr>
          <w:sz w:val="20"/>
          <w:lang w:val="es-ES_tradnl"/>
        </w:rPr>
        <w:t>CEI</w:t>
      </w:r>
      <w:proofErr w:type="spellEnd"/>
      <w:r w:rsidRPr="00021E8A">
        <w:rPr>
          <w:sz w:val="20"/>
          <w:lang w:val="es-ES_tradnl"/>
        </w:rPr>
        <w:t xml:space="preserve"> y la base de datos sobre información de patentes del </w:t>
      </w:r>
      <w:proofErr w:type="spellStart"/>
      <w:r w:rsidRPr="00021E8A">
        <w:rPr>
          <w:sz w:val="20"/>
          <w:lang w:val="es-ES_tradnl"/>
        </w:rPr>
        <w:t>UIT</w:t>
      </w:r>
      <w:r w:rsidRPr="00021E8A">
        <w:rPr>
          <w:sz w:val="20"/>
          <w:lang w:val="es-ES_tradnl"/>
        </w:rPr>
        <w:noBreakHyphen/>
        <w:t>R</w:t>
      </w:r>
      <w:proofErr w:type="spellEnd"/>
      <w:r w:rsidRPr="00021E8A">
        <w:rPr>
          <w:sz w:val="20"/>
          <w:lang w:val="es-ES_tradnl"/>
        </w:rPr>
        <w:t xml:space="preserve"> sobre este asunto.</w:t>
      </w:r>
    </w:p>
    <w:p w:rsidR="0074449E" w:rsidRPr="007C36CA" w:rsidRDefault="0074449E" w:rsidP="008622D5">
      <w:pPr>
        <w:spacing w:before="0"/>
        <w:jc w:val="center"/>
        <w:rPr>
          <w:sz w:val="22"/>
          <w:lang w:val="es-ES_tradnl"/>
        </w:rPr>
      </w:pPr>
    </w:p>
    <w:p w:rsidR="0074449E" w:rsidRPr="007C36CA" w:rsidRDefault="0074449E" w:rsidP="008622D5">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74449E" w:rsidRPr="00653B61" w:rsidTr="008622D5">
        <w:tc>
          <w:tcPr>
            <w:tcW w:w="9360" w:type="dxa"/>
            <w:gridSpan w:val="2"/>
          </w:tcPr>
          <w:p w:rsidR="0074449E" w:rsidRPr="00021E8A" w:rsidRDefault="0074449E" w:rsidP="008622D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74449E" w:rsidRPr="00763D08"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74449E" w:rsidRPr="00036EE3" w:rsidTr="008622D5">
        <w:tc>
          <w:tcPr>
            <w:tcW w:w="1140" w:type="dxa"/>
          </w:tcPr>
          <w:p w:rsidR="0074449E" w:rsidRPr="00036EE3" w:rsidRDefault="0074449E" w:rsidP="008622D5">
            <w:pPr>
              <w:spacing w:before="180" w:after="100"/>
              <w:ind w:left="57"/>
              <w:rPr>
                <w:b/>
                <w:bCs/>
                <w:sz w:val="20"/>
                <w:lang w:val="en-US"/>
              </w:rPr>
            </w:pPr>
            <w:r w:rsidRPr="00036EE3">
              <w:rPr>
                <w:b/>
                <w:bCs/>
                <w:sz w:val="20"/>
                <w:lang w:val="en-US"/>
              </w:rPr>
              <w:t>Series</w:t>
            </w:r>
          </w:p>
        </w:tc>
        <w:tc>
          <w:tcPr>
            <w:tcW w:w="8220" w:type="dxa"/>
          </w:tcPr>
          <w:p w:rsidR="0074449E" w:rsidRPr="00036EE3"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74449E" w:rsidRPr="00036EE3"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BO</w:t>
            </w:r>
          </w:p>
        </w:tc>
        <w:tc>
          <w:tcPr>
            <w:tcW w:w="8220" w:type="dxa"/>
          </w:tcPr>
          <w:p w:rsidR="0074449E" w:rsidRPr="00021E8A"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74449E" w:rsidRPr="00653B61"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BR</w:t>
            </w:r>
          </w:p>
        </w:tc>
        <w:tc>
          <w:tcPr>
            <w:tcW w:w="8220" w:type="dxa"/>
          </w:tcPr>
          <w:p w:rsidR="0074449E" w:rsidRPr="00021E8A"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74449E" w:rsidRPr="00036EE3"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BS</w:t>
            </w:r>
          </w:p>
        </w:tc>
        <w:tc>
          <w:tcPr>
            <w:tcW w:w="8220" w:type="dxa"/>
          </w:tcPr>
          <w:p w:rsidR="0074449E" w:rsidRPr="00021E8A"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sonora</w:t>
            </w:r>
            <w:proofErr w:type="spellEnd"/>
          </w:p>
        </w:tc>
      </w:tr>
      <w:tr w:rsidR="0074449E" w:rsidRPr="00ED2695" w:rsidTr="008622D5">
        <w:tc>
          <w:tcPr>
            <w:tcW w:w="1140" w:type="dxa"/>
            <w:shd w:val="clear" w:color="auto" w:fill="auto"/>
          </w:tcPr>
          <w:p w:rsidR="0074449E" w:rsidRPr="00ED2695" w:rsidRDefault="0074449E" w:rsidP="008622D5">
            <w:pPr>
              <w:spacing w:before="30" w:after="30"/>
              <w:ind w:left="57"/>
              <w:jc w:val="left"/>
              <w:rPr>
                <w:b/>
                <w:bCs/>
                <w:sz w:val="20"/>
                <w:lang w:val="en-US"/>
              </w:rPr>
            </w:pPr>
            <w:r w:rsidRPr="00ED2695">
              <w:rPr>
                <w:b/>
                <w:bCs/>
                <w:sz w:val="20"/>
                <w:lang w:val="en-US"/>
              </w:rPr>
              <w:t>BT</w:t>
            </w:r>
          </w:p>
        </w:tc>
        <w:tc>
          <w:tcPr>
            <w:tcW w:w="8220" w:type="dxa"/>
            <w:shd w:val="clear" w:color="auto" w:fill="auto"/>
          </w:tcPr>
          <w:p w:rsidR="0074449E" w:rsidRPr="00021E8A"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74449E" w:rsidRPr="00036EE3" w:rsidTr="008622D5">
        <w:tc>
          <w:tcPr>
            <w:tcW w:w="1140" w:type="dxa"/>
            <w:shd w:val="clear" w:color="auto" w:fill="auto"/>
          </w:tcPr>
          <w:p w:rsidR="0074449E" w:rsidRPr="00036EE3" w:rsidRDefault="0074449E" w:rsidP="008622D5">
            <w:pPr>
              <w:spacing w:before="30" w:after="30"/>
              <w:ind w:left="57"/>
              <w:jc w:val="left"/>
              <w:rPr>
                <w:b/>
                <w:bCs/>
                <w:sz w:val="20"/>
                <w:lang w:val="fr-CH"/>
              </w:rPr>
            </w:pPr>
            <w:r w:rsidRPr="00036EE3">
              <w:rPr>
                <w:b/>
                <w:bCs/>
                <w:sz w:val="20"/>
                <w:lang w:val="fr-CH"/>
              </w:rPr>
              <w:t>F</w:t>
            </w:r>
          </w:p>
        </w:tc>
        <w:tc>
          <w:tcPr>
            <w:tcW w:w="8220" w:type="dxa"/>
            <w:shd w:val="clear" w:color="auto" w:fill="auto"/>
          </w:tcPr>
          <w:p w:rsidR="0074449E" w:rsidRPr="00021E8A" w:rsidRDefault="0074449E" w:rsidP="0086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74449E" w:rsidRPr="00653B61" w:rsidTr="008622D5">
        <w:tc>
          <w:tcPr>
            <w:tcW w:w="1140" w:type="dxa"/>
            <w:shd w:val="clear" w:color="auto" w:fill="F3F3F3"/>
          </w:tcPr>
          <w:p w:rsidR="0074449E" w:rsidRPr="001240BC" w:rsidRDefault="0074449E" w:rsidP="008622D5">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74449E" w:rsidRPr="001240BC" w:rsidRDefault="0074449E" w:rsidP="008622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74449E" w:rsidRPr="00653B61" w:rsidTr="008622D5">
        <w:tc>
          <w:tcPr>
            <w:tcW w:w="1140" w:type="dxa"/>
          </w:tcPr>
          <w:p w:rsidR="0074449E" w:rsidRPr="00036EE3" w:rsidRDefault="0074449E" w:rsidP="008622D5">
            <w:pPr>
              <w:spacing w:before="30" w:after="30"/>
              <w:ind w:left="57"/>
              <w:jc w:val="left"/>
              <w:rPr>
                <w:b/>
                <w:bCs/>
                <w:sz w:val="20"/>
                <w:lang w:val="fr-CH"/>
              </w:rPr>
            </w:pPr>
            <w:r w:rsidRPr="00036EE3">
              <w:rPr>
                <w:b/>
                <w:bCs/>
                <w:sz w:val="20"/>
                <w:lang w:val="fr-CH"/>
              </w:rPr>
              <w:t>P</w:t>
            </w:r>
          </w:p>
        </w:tc>
        <w:tc>
          <w:tcPr>
            <w:tcW w:w="8220" w:type="dxa"/>
          </w:tcPr>
          <w:p w:rsidR="0074449E" w:rsidRPr="00021E8A" w:rsidRDefault="0074449E" w:rsidP="008622D5">
            <w:pPr>
              <w:spacing w:before="30" w:after="30"/>
              <w:jc w:val="left"/>
              <w:rPr>
                <w:bCs/>
                <w:sz w:val="20"/>
                <w:lang w:val="es-ES_tradnl"/>
              </w:rPr>
            </w:pPr>
            <w:r w:rsidRPr="00021E8A">
              <w:rPr>
                <w:bCs/>
                <w:sz w:val="20"/>
                <w:lang w:val="es-ES_tradnl"/>
              </w:rPr>
              <w:t>Propagación de las ondas radioeléctricas</w:t>
            </w:r>
          </w:p>
        </w:tc>
      </w:tr>
      <w:tr w:rsidR="0074449E" w:rsidRPr="00036EE3"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RA</w:t>
            </w:r>
          </w:p>
        </w:tc>
        <w:tc>
          <w:tcPr>
            <w:tcW w:w="8220" w:type="dxa"/>
          </w:tcPr>
          <w:p w:rsidR="0074449E" w:rsidRPr="00021E8A" w:rsidRDefault="0074449E" w:rsidP="0086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 xml:space="preserve">Radio </w:t>
            </w:r>
            <w:proofErr w:type="spellStart"/>
            <w:r w:rsidRPr="00021E8A">
              <w:rPr>
                <w:bCs/>
                <w:sz w:val="20"/>
              </w:rPr>
              <w:t>astronomía</w:t>
            </w:r>
            <w:proofErr w:type="spellEnd"/>
          </w:p>
        </w:tc>
      </w:tr>
      <w:tr w:rsidR="0074449E" w:rsidRPr="00653B61"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RS</w:t>
            </w:r>
          </w:p>
        </w:tc>
        <w:tc>
          <w:tcPr>
            <w:tcW w:w="8220" w:type="dxa"/>
          </w:tcPr>
          <w:p w:rsidR="0074449E" w:rsidRPr="00021E8A" w:rsidRDefault="0074449E" w:rsidP="008622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74449E" w:rsidRPr="00036EE3"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S</w:t>
            </w:r>
          </w:p>
        </w:tc>
        <w:tc>
          <w:tcPr>
            <w:tcW w:w="8220" w:type="dxa"/>
          </w:tcPr>
          <w:p w:rsidR="0074449E" w:rsidRPr="00021E8A" w:rsidRDefault="0074449E" w:rsidP="008622D5">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4449E" w:rsidRPr="00036EE3"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SA</w:t>
            </w:r>
          </w:p>
        </w:tc>
        <w:tc>
          <w:tcPr>
            <w:tcW w:w="8220" w:type="dxa"/>
          </w:tcPr>
          <w:p w:rsidR="0074449E" w:rsidRPr="00021E8A" w:rsidRDefault="0074449E" w:rsidP="008622D5">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74449E" w:rsidRPr="00653B61"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SF</w:t>
            </w:r>
          </w:p>
        </w:tc>
        <w:tc>
          <w:tcPr>
            <w:tcW w:w="8220" w:type="dxa"/>
          </w:tcPr>
          <w:p w:rsidR="0074449E" w:rsidRPr="00021E8A" w:rsidRDefault="0074449E" w:rsidP="008622D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74449E" w:rsidRPr="00036EE3" w:rsidTr="008622D5">
        <w:tc>
          <w:tcPr>
            <w:tcW w:w="1140" w:type="dxa"/>
            <w:shd w:val="clear" w:color="auto" w:fill="auto"/>
          </w:tcPr>
          <w:p w:rsidR="0074449E" w:rsidRPr="001240BC" w:rsidRDefault="0074449E" w:rsidP="008622D5">
            <w:pPr>
              <w:spacing w:before="30" w:after="30"/>
              <w:ind w:left="57"/>
              <w:jc w:val="left"/>
              <w:rPr>
                <w:b/>
                <w:bCs/>
                <w:sz w:val="20"/>
                <w:lang w:val="en-US"/>
              </w:rPr>
            </w:pPr>
            <w:r w:rsidRPr="001240BC">
              <w:rPr>
                <w:b/>
                <w:bCs/>
                <w:sz w:val="20"/>
                <w:lang w:val="en-US"/>
              </w:rPr>
              <w:t>SM</w:t>
            </w:r>
          </w:p>
        </w:tc>
        <w:tc>
          <w:tcPr>
            <w:tcW w:w="8220" w:type="dxa"/>
            <w:shd w:val="clear" w:color="auto" w:fill="auto"/>
          </w:tcPr>
          <w:p w:rsidR="0074449E" w:rsidRPr="001240BC" w:rsidRDefault="0074449E" w:rsidP="008622D5">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74449E" w:rsidRPr="00036EE3" w:rsidTr="008622D5">
        <w:tc>
          <w:tcPr>
            <w:tcW w:w="1140" w:type="dxa"/>
          </w:tcPr>
          <w:p w:rsidR="0074449E" w:rsidRPr="00036EE3" w:rsidRDefault="0074449E" w:rsidP="008622D5">
            <w:pPr>
              <w:spacing w:before="30" w:after="30"/>
              <w:ind w:left="57"/>
              <w:jc w:val="left"/>
              <w:rPr>
                <w:b/>
                <w:bCs/>
                <w:sz w:val="20"/>
                <w:lang w:val="en-US"/>
              </w:rPr>
            </w:pPr>
            <w:proofErr w:type="spellStart"/>
            <w:r w:rsidRPr="00036EE3">
              <w:rPr>
                <w:b/>
                <w:bCs/>
                <w:sz w:val="20"/>
                <w:lang w:val="en-US"/>
              </w:rPr>
              <w:t>SNG</w:t>
            </w:r>
            <w:proofErr w:type="spellEnd"/>
          </w:p>
        </w:tc>
        <w:tc>
          <w:tcPr>
            <w:tcW w:w="8220" w:type="dxa"/>
          </w:tcPr>
          <w:p w:rsidR="0074449E" w:rsidRPr="00021E8A" w:rsidRDefault="0074449E" w:rsidP="008622D5">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74449E" w:rsidRPr="00653B61" w:rsidTr="008622D5">
        <w:tc>
          <w:tcPr>
            <w:tcW w:w="1140" w:type="dxa"/>
          </w:tcPr>
          <w:p w:rsidR="0074449E" w:rsidRPr="00036EE3" w:rsidRDefault="0074449E" w:rsidP="008622D5">
            <w:pPr>
              <w:spacing w:before="30" w:after="30"/>
              <w:ind w:left="57"/>
              <w:jc w:val="left"/>
              <w:rPr>
                <w:b/>
                <w:bCs/>
                <w:sz w:val="20"/>
                <w:lang w:val="en-US"/>
              </w:rPr>
            </w:pPr>
            <w:proofErr w:type="spellStart"/>
            <w:r w:rsidRPr="00036EE3">
              <w:rPr>
                <w:b/>
                <w:bCs/>
                <w:sz w:val="20"/>
                <w:lang w:val="en-US"/>
              </w:rPr>
              <w:t>TF</w:t>
            </w:r>
            <w:proofErr w:type="spellEnd"/>
          </w:p>
        </w:tc>
        <w:tc>
          <w:tcPr>
            <w:tcW w:w="8220" w:type="dxa"/>
          </w:tcPr>
          <w:p w:rsidR="0074449E" w:rsidRPr="00021E8A" w:rsidRDefault="0074449E" w:rsidP="008622D5">
            <w:pPr>
              <w:spacing w:before="30" w:after="30"/>
              <w:jc w:val="left"/>
              <w:rPr>
                <w:bCs/>
                <w:sz w:val="20"/>
                <w:lang w:val="es-ES_tradnl"/>
              </w:rPr>
            </w:pPr>
            <w:r w:rsidRPr="00021E8A">
              <w:rPr>
                <w:bCs/>
                <w:sz w:val="20"/>
                <w:lang w:val="es-ES_tradnl"/>
              </w:rPr>
              <w:t>Emisiones de frecuencias patrón y señales horarias</w:t>
            </w:r>
          </w:p>
        </w:tc>
      </w:tr>
      <w:tr w:rsidR="0074449E" w:rsidRPr="00036EE3" w:rsidTr="008622D5">
        <w:tc>
          <w:tcPr>
            <w:tcW w:w="1140" w:type="dxa"/>
          </w:tcPr>
          <w:p w:rsidR="0074449E" w:rsidRPr="00036EE3" w:rsidRDefault="0074449E" w:rsidP="008622D5">
            <w:pPr>
              <w:spacing w:before="30" w:after="30"/>
              <w:ind w:left="57"/>
              <w:jc w:val="left"/>
              <w:rPr>
                <w:b/>
                <w:bCs/>
                <w:sz w:val="20"/>
                <w:lang w:val="en-US"/>
              </w:rPr>
            </w:pPr>
            <w:r w:rsidRPr="00036EE3">
              <w:rPr>
                <w:b/>
                <w:bCs/>
                <w:sz w:val="20"/>
                <w:lang w:val="en-US"/>
              </w:rPr>
              <w:t>V</w:t>
            </w:r>
          </w:p>
        </w:tc>
        <w:tc>
          <w:tcPr>
            <w:tcW w:w="8220" w:type="dxa"/>
          </w:tcPr>
          <w:p w:rsidR="0074449E" w:rsidRPr="00021E8A" w:rsidRDefault="0074449E" w:rsidP="008622D5">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74449E" w:rsidRPr="00036EE3" w:rsidRDefault="0074449E" w:rsidP="008622D5">
      <w:pPr>
        <w:spacing w:before="0" w:after="140"/>
        <w:jc w:val="center"/>
        <w:rPr>
          <w:sz w:val="20"/>
          <w:lang w:val="en-US"/>
        </w:rPr>
      </w:pPr>
    </w:p>
    <w:tbl>
      <w:tblPr>
        <w:tblpPr w:leftFromText="180" w:rightFromText="180" w:vertAnchor="text" w:tblpX="-5771" w:tblpY="-4031"/>
        <w:tblW w:w="0" w:type="auto"/>
        <w:tblLook w:val="0000"/>
      </w:tblPr>
      <w:tblGrid>
        <w:gridCol w:w="720"/>
      </w:tblGrid>
      <w:tr w:rsidR="0074449E" w:rsidTr="008622D5">
        <w:tc>
          <w:tcPr>
            <w:tcW w:w="720" w:type="dxa"/>
          </w:tcPr>
          <w:p w:rsidR="0074449E" w:rsidRDefault="0074449E" w:rsidP="008622D5">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74449E" w:rsidRPr="00653B61" w:rsidTr="008622D5">
        <w:tc>
          <w:tcPr>
            <w:tcW w:w="9360" w:type="dxa"/>
          </w:tcPr>
          <w:p w:rsidR="0074449E" w:rsidRPr="00A07AEB" w:rsidRDefault="0074449E" w:rsidP="008622D5">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74449E" w:rsidRPr="00763D08" w:rsidRDefault="0074449E" w:rsidP="008622D5">
      <w:pPr>
        <w:spacing w:before="0"/>
        <w:jc w:val="center"/>
        <w:rPr>
          <w:sz w:val="22"/>
          <w:lang w:val="es-ES_tradnl"/>
        </w:rPr>
      </w:pPr>
    </w:p>
    <w:p w:rsidR="0074449E" w:rsidRPr="00763D08" w:rsidRDefault="0074449E" w:rsidP="008622D5">
      <w:pPr>
        <w:spacing w:before="60"/>
        <w:jc w:val="right"/>
        <w:rPr>
          <w:i/>
          <w:iCs/>
          <w:sz w:val="20"/>
          <w:lang w:val="es-ES_tradnl"/>
        </w:rPr>
      </w:pPr>
      <w:r w:rsidRPr="00763D08">
        <w:rPr>
          <w:i/>
          <w:iCs/>
          <w:sz w:val="20"/>
          <w:lang w:val="es-ES_tradnl"/>
        </w:rPr>
        <w:t>Publicación electrónica</w:t>
      </w:r>
    </w:p>
    <w:p w:rsidR="0074449E" w:rsidRPr="00763D08" w:rsidRDefault="0074449E" w:rsidP="008622D5">
      <w:pPr>
        <w:spacing w:before="0" w:after="40"/>
        <w:jc w:val="right"/>
        <w:rPr>
          <w:sz w:val="20"/>
          <w:lang w:val="es-ES_tradnl"/>
        </w:rPr>
      </w:pPr>
      <w:r w:rsidRPr="00763D08">
        <w:rPr>
          <w:sz w:val="20"/>
          <w:lang w:val="es-ES_tradnl"/>
        </w:rPr>
        <w:t>Ginebra, 20</w:t>
      </w:r>
      <w:r>
        <w:rPr>
          <w:sz w:val="20"/>
          <w:lang w:val="es-ES_tradnl"/>
        </w:rPr>
        <w:t>10</w:t>
      </w:r>
    </w:p>
    <w:p w:rsidR="0074449E" w:rsidRPr="00763D08" w:rsidRDefault="0074449E" w:rsidP="008622D5">
      <w:pPr>
        <w:spacing w:before="0"/>
        <w:jc w:val="center"/>
        <w:rPr>
          <w:sz w:val="22"/>
          <w:lang w:val="es-ES_tradnl"/>
        </w:rPr>
      </w:pPr>
    </w:p>
    <w:p w:rsidR="0074449E" w:rsidRPr="00763D08" w:rsidRDefault="0074449E" w:rsidP="008622D5">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10</w:t>
      </w:r>
    </w:p>
    <w:p w:rsidR="0074449E" w:rsidRPr="006C718C" w:rsidRDefault="0074449E" w:rsidP="008622D5">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74449E" w:rsidRPr="006C718C" w:rsidRDefault="0074449E" w:rsidP="008622D5">
      <w:pPr>
        <w:spacing w:before="160"/>
        <w:rPr>
          <w:i/>
          <w:sz w:val="20"/>
          <w:highlight w:val="yellow"/>
          <w:lang w:val="es-ES_tradnl"/>
        </w:rPr>
        <w:sectPr w:rsidR="0074449E" w:rsidRPr="006C718C" w:rsidSect="008622D5">
          <w:headerReference w:type="even" r:id="rId11"/>
          <w:headerReference w:type="default" r:id="rId12"/>
          <w:pgSz w:w="11907" w:h="16834" w:code="9"/>
          <w:pgMar w:top="1418" w:right="1134" w:bottom="1134" w:left="1134" w:header="720" w:footer="482" w:gutter="0"/>
          <w:pgNumType w:fmt="lowerRoman" w:start="2"/>
          <w:cols w:space="720"/>
        </w:sectPr>
      </w:pPr>
    </w:p>
    <w:p w:rsidR="0074449E" w:rsidRPr="008C7AE8" w:rsidRDefault="0074449E" w:rsidP="0074449E">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319-3</w:t>
      </w:r>
      <w:r w:rsidR="00EF1902" w:rsidRPr="002F552A">
        <w:rPr>
          <w:rStyle w:val="FootnoteReference"/>
          <w:lang w:val="es-ES_tradnl"/>
        </w:rPr>
        <w:footnoteReference w:customMarkFollows="1" w:id="1"/>
        <w:sym w:font="Symbol" w:char="F02A"/>
      </w:r>
      <w:r w:rsidR="00EF1902" w:rsidRPr="002F552A">
        <w:rPr>
          <w:rStyle w:val="FootnoteReference"/>
          <w:lang w:val="es-ES_tradnl"/>
        </w:rPr>
        <w:sym w:font="Symbol" w:char="F02C"/>
      </w:r>
      <w:r w:rsidR="00EF1902" w:rsidRPr="00B716BA">
        <w:rPr>
          <w:rStyle w:val="FootnoteReference"/>
          <w:sz w:val="14"/>
          <w:szCs w:val="14"/>
          <w:lang w:val="es-ES_tradnl"/>
        </w:rPr>
        <w:t> </w:t>
      </w:r>
      <w:r w:rsidR="00EF1902" w:rsidRPr="002F552A">
        <w:rPr>
          <w:rStyle w:val="FootnoteReference"/>
          <w:lang w:val="es-ES_tradnl"/>
        </w:rPr>
        <w:footnoteReference w:customMarkFollows="1" w:id="2"/>
        <w:sym w:font="Symbol" w:char="F02A"/>
      </w:r>
      <w:r w:rsidR="00EF1902" w:rsidRPr="002F552A">
        <w:rPr>
          <w:rStyle w:val="FootnoteReference"/>
          <w:lang w:val="es-ES_tradnl"/>
        </w:rPr>
        <w:sym w:font="Symbol" w:char="F02A"/>
      </w:r>
    </w:p>
    <w:p w:rsidR="0074449E" w:rsidRDefault="0074449E" w:rsidP="00653B61">
      <w:pPr>
        <w:pStyle w:val="Rectitle"/>
        <w:rPr>
          <w:lang w:val="es-ES_tradnl"/>
        </w:rPr>
      </w:pPr>
      <w:r w:rsidRPr="009D29A7">
        <w:rPr>
          <w:lang w:val="es-ES_tradnl"/>
        </w:rPr>
        <w:t>Base</w:t>
      </w:r>
      <w:r w:rsidR="0035194B">
        <w:rPr>
          <w:lang w:val="es-ES_tradnl"/>
        </w:rPr>
        <w:t>s</w:t>
      </w:r>
      <w:r w:rsidRPr="009D29A7">
        <w:rPr>
          <w:lang w:val="es-ES_tradnl"/>
        </w:rPr>
        <w:t xml:space="preserve"> de una metodología para evaluar la repercusión de</w:t>
      </w:r>
      <w:r w:rsidR="0035194B">
        <w:rPr>
          <w:lang w:val="es-ES_tradnl"/>
        </w:rPr>
        <w:t xml:space="preserve"> </w:t>
      </w:r>
      <w:r w:rsidRPr="009D29A7">
        <w:rPr>
          <w:lang w:val="es-ES_tradnl"/>
        </w:rPr>
        <w:t>la interferencia</w:t>
      </w:r>
      <w:r w:rsidR="0035194B">
        <w:rPr>
          <w:lang w:val="es-ES_tradnl"/>
        </w:rPr>
        <w:br/>
      </w:r>
      <w:r w:rsidR="0035194B" w:rsidRPr="009D29A7">
        <w:rPr>
          <w:lang w:val="es-ES_tradnl"/>
        </w:rPr>
        <w:t>causada</w:t>
      </w:r>
      <w:r w:rsidR="0035194B">
        <w:rPr>
          <w:lang w:val="es-ES_tradnl"/>
        </w:rPr>
        <w:t xml:space="preserve"> </w:t>
      </w:r>
      <w:r w:rsidRPr="009D29A7">
        <w:rPr>
          <w:lang w:val="es-ES_tradnl"/>
        </w:rPr>
        <w:t>por las transmisiones espacio</w:t>
      </w:r>
      <w:r w:rsidR="00653B61">
        <w:rPr>
          <w:lang w:val="es-ES_tradnl"/>
        </w:rPr>
        <w:t>-</w:t>
      </w:r>
      <w:r>
        <w:rPr>
          <w:lang w:val="es-ES_tradnl"/>
        </w:rPr>
        <w:t>T</w:t>
      </w:r>
      <w:r w:rsidRPr="009D29A7">
        <w:rPr>
          <w:lang w:val="es-ES_tradnl"/>
        </w:rPr>
        <w:t>ierra del servicio móvil</w:t>
      </w:r>
      <w:r w:rsidR="0035194B">
        <w:rPr>
          <w:lang w:val="es-ES_tradnl"/>
        </w:rPr>
        <w:t xml:space="preserve"> por</w:t>
      </w:r>
      <w:r w:rsidR="0035194B">
        <w:rPr>
          <w:lang w:val="es-ES_tradnl"/>
        </w:rPr>
        <w:br/>
      </w:r>
      <w:r w:rsidRPr="009D29A7">
        <w:rPr>
          <w:lang w:val="es-ES_tradnl"/>
        </w:rPr>
        <w:t>satélite (</w:t>
      </w:r>
      <w:proofErr w:type="spellStart"/>
      <w:r w:rsidRPr="009D29A7">
        <w:rPr>
          <w:lang w:val="es-ES_tradnl"/>
        </w:rPr>
        <w:t>SMS</w:t>
      </w:r>
      <w:proofErr w:type="spellEnd"/>
      <w:r w:rsidRPr="009D29A7">
        <w:rPr>
          <w:lang w:val="es-ES_tradnl"/>
        </w:rPr>
        <w:t>)</w:t>
      </w:r>
      <w:r w:rsidR="0035194B">
        <w:rPr>
          <w:lang w:val="es-ES_tradnl"/>
        </w:rPr>
        <w:t xml:space="preserve"> </w:t>
      </w:r>
      <w:r w:rsidRPr="009D29A7">
        <w:rPr>
          <w:lang w:val="es-ES_tradnl"/>
        </w:rPr>
        <w:t>con acceso múltiple por divisi</w:t>
      </w:r>
      <w:r w:rsidR="0035194B">
        <w:rPr>
          <w:lang w:val="es-ES_tradnl"/>
        </w:rPr>
        <w:t xml:space="preserve">ón en el tiempo/acceso </w:t>
      </w:r>
      <w:r w:rsidR="0035194B">
        <w:rPr>
          <w:lang w:val="es-ES_tradnl"/>
        </w:rPr>
        <w:br/>
        <w:t>múltiple</w:t>
      </w:r>
      <w:r w:rsidR="0035194B" w:rsidRPr="009D29A7">
        <w:rPr>
          <w:lang w:val="es-ES_tradnl"/>
        </w:rPr>
        <w:t xml:space="preserve"> </w:t>
      </w:r>
      <w:r w:rsidRPr="009D29A7">
        <w:rPr>
          <w:lang w:val="es-ES_tradnl"/>
        </w:rPr>
        <w:t>por división</w:t>
      </w:r>
      <w:r w:rsidR="0035194B">
        <w:rPr>
          <w:lang w:val="es-ES_tradnl"/>
        </w:rPr>
        <w:t xml:space="preserve"> en frecuencia</w:t>
      </w:r>
      <w:r w:rsidRPr="009D29A7">
        <w:rPr>
          <w:lang w:val="es-ES_tradnl"/>
        </w:rPr>
        <w:t xml:space="preserve"> (</w:t>
      </w:r>
      <w:proofErr w:type="spellStart"/>
      <w:r w:rsidRPr="009D29A7">
        <w:rPr>
          <w:lang w:val="es-ES_tradnl"/>
        </w:rPr>
        <w:t>AMDT</w:t>
      </w:r>
      <w:proofErr w:type="spellEnd"/>
      <w:r w:rsidRPr="009D29A7">
        <w:rPr>
          <w:lang w:val="es-ES_tradnl"/>
        </w:rPr>
        <w:t>/</w:t>
      </w:r>
      <w:proofErr w:type="spellStart"/>
      <w:r w:rsidRPr="009D29A7">
        <w:rPr>
          <w:lang w:val="es-ES_tradnl"/>
        </w:rPr>
        <w:t>AMDF</w:t>
      </w:r>
      <w:proofErr w:type="spellEnd"/>
      <w:r w:rsidRPr="009D29A7">
        <w:rPr>
          <w:lang w:val="es-ES_tradnl"/>
        </w:rPr>
        <w:t>) sobre</w:t>
      </w:r>
      <w:r w:rsidR="0035194B">
        <w:rPr>
          <w:lang w:val="es-ES_tradnl"/>
        </w:rPr>
        <w:t xml:space="preserve"> </w:t>
      </w:r>
      <w:r w:rsidRPr="009D29A7">
        <w:rPr>
          <w:lang w:val="es-ES_tradnl"/>
        </w:rPr>
        <w:t>la calidad</w:t>
      </w:r>
      <w:r w:rsidR="0035194B">
        <w:rPr>
          <w:lang w:val="es-ES_tradnl"/>
        </w:rPr>
        <w:t xml:space="preserve"> </w:t>
      </w:r>
      <w:r w:rsidR="0035194B">
        <w:rPr>
          <w:lang w:val="es-ES_tradnl"/>
        </w:rPr>
        <w:br/>
        <w:t>de</w:t>
      </w:r>
      <w:r w:rsidR="0035194B" w:rsidRPr="009D29A7">
        <w:rPr>
          <w:lang w:val="es-ES_tradnl"/>
        </w:rPr>
        <w:t xml:space="preserve"> </w:t>
      </w:r>
      <w:r w:rsidRPr="009D29A7">
        <w:rPr>
          <w:lang w:val="es-ES_tradnl"/>
        </w:rPr>
        <w:t>funcionamiento</w:t>
      </w:r>
      <w:r w:rsidR="0035194B">
        <w:rPr>
          <w:lang w:val="es-ES_tradnl"/>
        </w:rPr>
        <w:t xml:space="preserve"> </w:t>
      </w:r>
      <w:r w:rsidRPr="009D29A7">
        <w:rPr>
          <w:lang w:val="es-ES_tradnl"/>
        </w:rPr>
        <w:t>de los receptores</w:t>
      </w:r>
      <w:r w:rsidR="0035194B">
        <w:rPr>
          <w:lang w:val="es-ES_tradnl"/>
        </w:rPr>
        <w:t xml:space="preserve"> del </w:t>
      </w:r>
      <w:r w:rsidRPr="009D29A7">
        <w:rPr>
          <w:lang w:val="es-ES_tradnl"/>
        </w:rPr>
        <w:t>servicio fijo con visibilidad</w:t>
      </w:r>
      <w:r w:rsidR="0035194B">
        <w:rPr>
          <w:lang w:val="es-ES_tradnl"/>
        </w:rPr>
        <w:br/>
      </w:r>
      <w:r w:rsidRPr="009D29A7">
        <w:rPr>
          <w:lang w:val="es-ES_tradnl"/>
        </w:rPr>
        <w:t xml:space="preserve">directa </w:t>
      </w:r>
      <w:r w:rsidR="00EF1902" w:rsidRPr="009D29A7">
        <w:rPr>
          <w:lang w:val="es-ES_tradnl"/>
        </w:rPr>
        <w:t xml:space="preserve">en </w:t>
      </w:r>
      <w:r w:rsidR="0035194B" w:rsidRPr="009D29A7">
        <w:rPr>
          <w:lang w:val="es-ES_tradnl"/>
        </w:rPr>
        <w:t xml:space="preserve">la gama </w:t>
      </w:r>
      <w:r w:rsidRPr="009D29A7">
        <w:rPr>
          <w:lang w:val="es-ES_tradnl"/>
        </w:rPr>
        <w:t>de frecuencias 1</w:t>
      </w:r>
      <w:r w:rsidRPr="009D29A7">
        <w:rPr>
          <w:lang w:val="es-ES_tradnl"/>
        </w:rPr>
        <w:noBreakHyphen/>
        <w:t>3 GHz</w:t>
      </w:r>
      <w:r>
        <w:rPr>
          <w:lang w:val="es-ES_tradnl"/>
        </w:rPr>
        <w:t>**</w:t>
      </w:r>
    </w:p>
    <w:p w:rsidR="0074449E" w:rsidRDefault="0074449E" w:rsidP="00F655C7">
      <w:pPr>
        <w:pStyle w:val="Recref"/>
        <w:rPr>
          <w:lang w:val="es-ES_tradnl"/>
        </w:rPr>
      </w:pPr>
      <w:r w:rsidRPr="00AE20AB">
        <w:rPr>
          <w:lang w:val="es-ES_tradnl"/>
        </w:rPr>
        <w:t>(</w:t>
      </w:r>
      <w:r w:rsidRPr="00624A1A">
        <w:rPr>
          <w:lang w:val="es-ES_tradnl"/>
        </w:rPr>
        <w:t>Cuesti</w:t>
      </w:r>
      <w:r>
        <w:rPr>
          <w:lang w:val="es-ES_tradnl"/>
        </w:rPr>
        <w:t>ones</w:t>
      </w:r>
      <w:r w:rsidRPr="00624A1A">
        <w:rPr>
          <w:lang w:val="es-ES_tradnl"/>
        </w:rPr>
        <w:t xml:space="preserve"> </w:t>
      </w:r>
      <w:proofErr w:type="spellStart"/>
      <w:r w:rsidRPr="00F655C7">
        <w:rPr>
          <w:lang w:val="es-ES_tradnl"/>
        </w:rPr>
        <w:t>UIT</w:t>
      </w:r>
      <w:r w:rsidRPr="00624A1A">
        <w:rPr>
          <w:lang w:val="es-ES_tradnl"/>
        </w:rPr>
        <w:noBreakHyphen/>
        <w:t>R</w:t>
      </w:r>
      <w:proofErr w:type="spellEnd"/>
      <w:r w:rsidRPr="00624A1A">
        <w:rPr>
          <w:lang w:val="es-ES_tradnl"/>
        </w:rPr>
        <w:t> 20</w:t>
      </w:r>
      <w:r>
        <w:rPr>
          <w:lang w:val="es-ES_tradnl"/>
        </w:rPr>
        <w:t>1</w:t>
      </w:r>
      <w:r w:rsidRPr="00624A1A">
        <w:rPr>
          <w:lang w:val="es-ES_tradnl"/>
        </w:rPr>
        <w:t>/</w:t>
      </w:r>
      <w:r>
        <w:rPr>
          <w:lang w:val="es-ES_tradnl"/>
        </w:rPr>
        <w:t xml:space="preserve">4 y </w:t>
      </w:r>
      <w:proofErr w:type="spellStart"/>
      <w:r>
        <w:rPr>
          <w:lang w:val="es-ES_tradnl"/>
        </w:rPr>
        <w:t>UIT</w:t>
      </w:r>
      <w:r>
        <w:rPr>
          <w:lang w:val="es-ES_tradnl"/>
        </w:rPr>
        <w:noBreakHyphen/>
        <w:t>R</w:t>
      </w:r>
      <w:proofErr w:type="spellEnd"/>
      <w:r>
        <w:rPr>
          <w:lang w:val="es-ES_tradnl"/>
        </w:rPr>
        <w:t> 118/5</w:t>
      </w:r>
      <w:r w:rsidRPr="00624A1A">
        <w:rPr>
          <w:lang w:val="es-ES_tradnl"/>
        </w:rPr>
        <w:t>)</w:t>
      </w:r>
    </w:p>
    <w:p w:rsidR="0074449E" w:rsidRDefault="0074449E" w:rsidP="00F655C7">
      <w:pPr>
        <w:pStyle w:val="Recdate"/>
        <w:rPr>
          <w:lang w:val="es-ES_tradnl"/>
        </w:rPr>
      </w:pPr>
      <w:r w:rsidRPr="00AE20AB">
        <w:rPr>
          <w:lang w:val="es-ES_tradnl"/>
        </w:rPr>
        <w:t>(</w:t>
      </w:r>
      <w:r>
        <w:rPr>
          <w:lang w:val="es-ES_tradnl"/>
        </w:rPr>
        <w:t>1997-</w:t>
      </w:r>
      <w:r w:rsidRPr="00F655C7">
        <w:rPr>
          <w:lang w:val="es-ES_tradnl"/>
        </w:rPr>
        <w:t>2000</w:t>
      </w:r>
      <w:r>
        <w:rPr>
          <w:lang w:val="es-ES_tradnl"/>
        </w:rPr>
        <w:t>-2003-2010</w:t>
      </w:r>
      <w:r w:rsidRPr="00AE20AB">
        <w:rPr>
          <w:lang w:val="es-ES_tradnl"/>
        </w:rPr>
        <w:t>)</w:t>
      </w:r>
    </w:p>
    <w:p w:rsidR="0074449E" w:rsidRPr="009D3EA9" w:rsidRDefault="0074449E" w:rsidP="0074449E">
      <w:pPr>
        <w:pStyle w:val="Blanc"/>
        <w:rPr>
          <w:lang w:val="es-ES_tradnl"/>
        </w:rPr>
      </w:pPr>
    </w:p>
    <w:p w:rsidR="0074449E" w:rsidRPr="009D3EA9" w:rsidRDefault="0074449E" w:rsidP="0074449E">
      <w:pPr>
        <w:pStyle w:val="HeadingSum"/>
      </w:pPr>
      <w:r w:rsidRPr="009D3EA9">
        <w:t>Cometido</w:t>
      </w:r>
    </w:p>
    <w:p w:rsidR="0074449E" w:rsidRPr="009D3EA9" w:rsidRDefault="0074449E" w:rsidP="006525BE">
      <w:pPr>
        <w:pStyle w:val="Summary"/>
      </w:pPr>
      <w:r>
        <w:t>Esta Recomendación proporciona una metodología para evaluar la repercusión de la interferencia causada por las transmisiones (</w:t>
      </w:r>
      <w:proofErr w:type="spellStart"/>
      <w:r>
        <w:t>espacio</w:t>
      </w:r>
      <w:r>
        <w:noBreakHyphen/>
        <w:t>Tierra</w:t>
      </w:r>
      <w:proofErr w:type="spellEnd"/>
      <w:r>
        <w:t xml:space="preserve">) del servicio </w:t>
      </w:r>
      <w:r w:rsidR="00622491">
        <w:t xml:space="preserve">móvil </w:t>
      </w:r>
      <w:r>
        <w:t>por satélite (</w:t>
      </w:r>
      <w:proofErr w:type="spellStart"/>
      <w:r>
        <w:t>SMS</w:t>
      </w:r>
      <w:proofErr w:type="spellEnd"/>
      <w:r>
        <w:t xml:space="preserve">) </w:t>
      </w:r>
      <w:proofErr w:type="spellStart"/>
      <w:r>
        <w:t>AMDT</w:t>
      </w:r>
      <w:proofErr w:type="spellEnd"/>
      <w:r>
        <w:t>/</w:t>
      </w:r>
      <w:proofErr w:type="spellStart"/>
      <w:r>
        <w:t>AMDF</w:t>
      </w:r>
      <w:proofErr w:type="spellEnd"/>
      <w:r>
        <w:t xml:space="preserve"> sobre la calidad de funcionamiento de los receptores de servicio fijo (</w:t>
      </w:r>
      <w:proofErr w:type="spellStart"/>
      <w:r>
        <w:t>SF</w:t>
      </w:r>
      <w:proofErr w:type="spellEnd"/>
      <w:r>
        <w:t>) con visibilidad directa en la gama de frecuencias</w:t>
      </w:r>
      <w:r w:rsidR="006525BE">
        <w:t xml:space="preserve"> </w:t>
      </w:r>
      <w:r>
        <w:t>1</w:t>
      </w:r>
      <w:r>
        <w:noBreakHyphen/>
        <w:t>3 </w:t>
      </w:r>
      <w:proofErr w:type="spellStart"/>
      <w:r>
        <w:t>GHz.</w:t>
      </w:r>
      <w:proofErr w:type="spellEnd"/>
      <w:r>
        <w:t xml:space="preserve"> Esta metodología puede utilizarse para elaborar herramientas de simulación informáticas utilizadas en la coordinación </w:t>
      </w:r>
      <w:proofErr w:type="spellStart"/>
      <w:r>
        <w:t>SMS</w:t>
      </w:r>
      <w:proofErr w:type="spellEnd"/>
      <w:r>
        <w:t>/</w:t>
      </w:r>
      <w:proofErr w:type="spellStart"/>
      <w:r>
        <w:t>SF</w:t>
      </w:r>
      <w:proofErr w:type="spellEnd"/>
      <w:r>
        <w:t xml:space="preserve"> detallada.</w:t>
      </w:r>
    </w:p>
    <w:p w:rsidR="007F56BC" w:rsidRPr="009D3EA9" w:rsidRDefault="007F56BC" w:rsidP="007F56BC">
      <w:pPr>
        <w:pStyle w:val="Blanc"/>
        <w:rPr>
          <w:lang w:val="es-ES_tradnl"/>
        </w:rPr>
      </w:pPr>
    </w:p>
    <w:p w:rsidR="0074449E" w:rsidRPr="0052592E" w:rsidRDefault="0074449E" w:rsidP="0074449E">
      <w:pPr>
        <w:pStyle w:val="Normalaftertitle0"/>
        <w:rPr>
          <w:lang w:val="es-ES_tradnl"/>
        </w:rPr>
      </w:pPr>
      <w:r w:rsidRPr="0052592E">
        <w:rPr>
          <w:lang w:val="es-ES_tradnl"/>
        </w:rPr>
        <w:t>La Asamblea de Radiocomunicaciones de la UIT,</w:t>
      </w:r>
    </w:p>
    <w:p w:rsidR="0074449E" w:rsidRDefault="0074449E" w:rsidP="0074449E">
      <w:pPr>
        <w:pStyle w:val="Call"/>
        <w:rPr>
          <w:lang w:val="es-ES_tradnl"/>
        </w:rPr>
      </w:pPr>
      <w:r>
        <w:rPr>
          <w:lang w:val="es-ES_tradnl"/>
        </w:rPr>
        <w:t>considerando</w:t>
      </w:r>
    </w:p>
    <w:p w:rsidR="0074449E" w:rsidRDefault="0074449E" w:rsidP="0074449E">
      <w:pPr>
        <w:rPr>
          <w:lang w:val="es-ES_tradnl"/>
        </w:rPr>
      </w:pPr>
      <w:r>
        <w:rPr>
          <w:lang w:val="es-ES_tradnl"/>
        </w:rPr>
        <w:t>a)</w:t>
      </w:r>
      <w:r>
        <w:rPr>
          <w:lang w:val="es-ES_tradnl"/>
        </w:rPr>
        <w:tab/>
        <w:t>que la banda de frecuencias 1 518</w:t>
      </w:r>
      <w:r>
        <w:rPr>
          <w:lang w:val="es-ES_tradnl"/>
        </w:rPr>
        <w:noBreakHyphen/>
        <w:t>1 525 </w:t>
      </w:r>
      <w:r w:rsidRPr="0052592E">
        <w:rPr>
          <w:lang w:val="es-ES_tradnl"/>
        </w:rPr>
        <w:t>MHz</w:t>
      </w:r>
      <w:r>
        <w:rPr>
          <w:lang w:val="es-ES_tradnl"/>
        </w:rPr>
        <w:t xml:space="preserve"> está atribuida al servicio móvil por satélite (</w:t>
      </w:r>
      <w:proofErr w:type="spellStart"/>
      <w:r>
        <w:rPr>
          <w:lang w:val="es-ES_tradnl"/>
        </w:rPr>
        <w:t>SMS</w:t>
      </w:r>
      <w:proofErr w:type="spellEnd"/>
      <w:r>
        <w:rPr>
          <w:lang w:val="es-ES_tradnl"/>
        </w:rPr>
        <w:t>) (</w:t>
      </w:r>
      <w:proofErr w:type="spellStart"/>
      <w:r>
        <w:rPr>
          <w:lang w:val="es-ES_tradnl"/>
        </w:rPr>
        <w:t>espacio</w:t>
      </w:r>
      <w:r>
        <w:rPr>
          <w:lang w:val="es-ES_tradnl"/>
        </w:rPr>
        <w:noBreakHyphen/>
        <w:t>Tierra</w:t>
      </w:r>
      <w:proofErr w:type="spellEnd"/>
      <w:r>
        <w:rPr>
          <w:lang w:val="es-ES_tradnl"/>
        </w:rPr>
        <w:t>) y al servicio fijo (</w:t>
      </w:r>
      <w:proofErr w:type="spellStart"/>
      <w:r>
        <w:rPr>
          <w:lang w:val="es-ES_tradnl"/>
        </w:rPr>
        <w:t>SF</w:t>
      </w:r>
      <w:proofErr w:type="spellEnd"/>
      <w:r>
        <w:rPr>
          <w:lang w:val="es-ES_tradnl"/>
        </w:rPr>
        <w:t>) a título primario con igualdad de derechos en todas las Regiones;</w:t>
      </w:r>
    </w:p>
    <w:p w:rsidR="0074449E" w:rsidRDefault="0074449E" w:rsidP="0074449E">
      <w:pPr>
        <w:rPr>
          <w:lang w:val="es-ES_tradnl"/>
        </w:rPr>
      </w:pPr>
      <w:r>
        <w:rPr>
          <w:lang w:val="es-ES_tradnl"/>
        </w:rPr>
        <w:t>b)</w:t>
      </w:r>
      <w:r>
        <w:rPr>
          <w:lang w:val="es-ES_tradnl"/>
        </w:rPr>
        <w:tab/>
        <w:t>que la banda de frecuencias 1 525</w:t>
      </w:r>
      <w:r>
        <w:rPr>
          <w:lang w:val="es-ES_tradnl"/>
        </w:rPr>
        <w:noBreakHyphen/>
        <w:t>1 559 </w:t>
      </w:r>
      <w:r w:rsidRPr="0052592E">
        <w:rPr>
          <w:lang w:val="es-ES_tradnl"/>
        </w:rPr>
        <w:t>MHz</w:t>
      </w:r>
      <w:r>
        <w:rPr>
          <w:lang w:val="es-ES_tradnl"/>
        </w:rPr>
        <w:t xml:space="preserve"> también está atribuida al </w:t>
      </w:r>
      <w:proofErr w:type="spellStart"/>
      <w:r>
        <w:rPr>
          <w:lang w:val="es-ES_tradnl"/>
        </w:rPr>
        <w:t>SMS</w:t>
      </w:r>
      <w:proofErr w:type="spellEnd"/>
      <w:r>
        <w:rPr>
          <w:lang w:val="es-ES_tradnl"/>
        </w:rPr>
        <w:t xml:space="preserve"> (</w:t>
      </w:r>
      <w:proofErr w:type="spellStart"/>
      <w:r>
        <w:rPr>
          <w:lang w:val="es-ES_tradnl"/>
        </w:rPr>
        <w:t>espacio</w:t>
      </w:r>
      <w:r>
        <w:rPr>
          <w:lang w:val="es-ES_tradnl"/>
        </w:rPr>
        <w:noBreakHyphen/>
        <w:t>Tierra</w:t>
      </w:r>
      <w:proofErr w:type="spellEnd"/>
      <w:r>
        <w:rPr>
          <w:lang w:val="es-ES_tradnl"/>
        </w:rPr>
        <w:t xml:space="preserve">) a título primario en todas las </w:t>
      </w:r>
      <w:r w:rsidR="00622491">
        <w:rPr>
          <w:lang w:val="es-ES_tradnl"/>
        </w:rPr>
        <w:t>Regiones</w:t>
      </w:r>
      <w:r>
        <w:rPr>
          <w:lang w:val="es-ES_tradnl"/>
        </w:rPr>
        <w:t>;</w:t>
      </w:r>
    </w:p>
    <w:p w:rsidR="0074449E" w:rsidRDefault="0074449E" w:rsidP="00584496">
      <w:pPr>
        <w:rPr>
          <w:lang w:val="es-ES_tradnl"/>
        </w:rPr>
      </w:pPr>
      <w:r>
        <w:rPr>
          <w:lang w:val="es-ES_tradnl"/>
        </w:rPr>
        <w:t>c)</w:t>
      </w:r>
      <w:r>
        <w:rPr>
          <w:lang w:val="es-ES_tradnl"/>
        </w:rPr>
        <w:tab/>
        <w:t>que la banda de frecuencias 1 525</w:t>
      </w:r>
      <w:r>
        <w:rPr>
          <w:lang w:val="es-ES_tradnl"/>
        </w:rPr>
        <w:noBreakHyphen/>
        <w:t>1 530 </w:t>
      </w:r>
      <w:r w:rsidRPr="0052592E">
        <w:rPr>
          <w:lang w:val="es-ES_tradnl"/>
        </w:rPr>
        <w:t>MHz</w:t>
      </w:r>
      <w:r>
        <w:rPr>
          <w:lang w:val="es-ES_tradnl"/>
        </w:rPr>
        <w:t xml:space="preserve"> también está atribuida al servicio fijo a título primario en las Regiones 1</w:t>
      </w:r>
      <w:r w:rsidR="00584496">
        <w:rPr>
          <w:lang w:val="es-ES_tradnl"/>
        </w:rPr>
        <w:t xml:space="preserve"> </w:t>
      </w:r>
      <w:r>
        <w:rPr>
          <w:lang w:val="es-ES_tradnl"/>
        </w:rPr>
        <w:t>y</w:t>
      </w:r>
      <w:r w:rsidR="00584496">
        <w:rPr>
          <w:lang w:val="es-ES_tradnl"/>
        </w:rPr>
        <w:t xml:space="preserve"> </w:t>
      </w:r>
      <w:r>
        <w:rPr>
          <w:lang w:val="es-ES_tradnl"/>
        </w:rPr>
        <w:t>3 y la banda de frecuencias 1 550</w:t>
      </w:r>
      <w:r>
        <w:rPr>
          <w:lang w:val="es-ES_tradnl"/>
        </w:rPr>
        <w:noBreakHyphen/>
        <w:t>1 559 </w:t>
      </w:r>
      <w:r w:rsidRPr="0052592E">
        <w:rPr>
          <w:lang w:val="es-ES_tradnl"/>
        </w:rPr>
        <w:t>MHz</w:t>
      </w:r>
      <w:r>
        <w:rPr>
          <w:lang w:val="es-ES_tradnl"/>
        </w:rPr>
        <w:t xml:space="preserve"> también está atribuida al servicio fijo a título primario en algunos países;</w:t>
      </w:r>
    </w:p>
    <w:p w:rsidR="0074449E" w:rsidRDefault="0074449E" w:rsidP="00FA3529">
      <w:pPr>
        <w:rPr>
          <w:lang w:val="es-ES_tradnl"/>
        </w:rPr>
      </w:pPr>
      <w:r w:rsidRPr="0081607B">
        <w:rPr>
          <w:lang w:val="es-ES_tradnl"/>
        </w:rPr>
        <w:t>d)</w:t>
      </w:r>
      <w:r w:rsidRPr="0081607B">
        <w:rPr>
          <w:lang w:val="es-ES_tradnl"/>
        </w:rPr>
        <w:tab/>
        <w:t>que las bandas de frecuencias 2</w:t>
      </w:r>
      <w:r w:rsidR="00FA3529" w:rsidRPr="00FA3529">
        <w:rPr>
          <w:sz w:val="20"/>
          <w:lang w:val="es-ES_tradnl"/>
        </w:rPr>
        <w:t> </w:t>
      </w:r>
      <w:r w:rsidRPr="0081607B">
        <w:rPr>
          <w:lang w:val="es-ES_tradnl"/>
        </w:rPr>
        <w:t>170</w:t>
      </w:r>
      <w:r>
        <w:rPr>
          <w:lang w:val="es-ES_tradnl"/>
        </w:rPr>
        <w:noBreakHyphen/>
      </w:r>
      <w:r w:rsidRPr="0081607B">
        <w:rPr>
          <w:lang w:val="es-ES_tradnl"/>
        </w:rPr>
        <w:t>2</w:t>
      </w:r>
      <w:r w:rsidR="00FA3529" w:rsidRPr="00FA3529">
        <w:rPr>
          <w:sz w:val="20"/>
          <w:lang w:val="es-ES_tradnl"/>
        </w:rPr>
        <w:t> </w:t>
      </w:r>
      <w:r w:rsidRPr="0081607B">
        <w:rPr>
          <w:lang w:val="es-ES_tradnl"/>
        </w:rPr>
        <w:t>200</w:t>
      </w:r>
      <w:r w:rsidR="00FA3529">
        <w:rPr>
          <w:lang w:val="es-ES_tradnl"/>
        </w:rPr>
        <w:t xml:space="preserve"> </w:t>
      </w:r>
      <w:r w:rsidRPr="0081607B">
        <w:rPr>
          <w:lang w:val="es-ES_tradnl"/>
        </w:rPr>
        <w:t>MHz</w:t>
      </w:r>
      <w:r w:rsidR="00622491">
        <w:rPr>
          <w:lang w:val="es-ES_tradnl"/>
        </w:rPr>
        <w:t>,</w:t>
      </w:r>
      <w:r w:rsidRPr="0081607B">
        <w:rPr>
          <w:lang w:val="es-ES_tradnl"/>
        </w:rPr>
        <w:t xml:space="preserve"> </w:t>
      </w:r>
      <w:r>
        <w:rPr>
          <w:lang w:val="es-ES_tradnl"/>
        </w:rPr>
        <w:t>en todas las Regiones</w:t>
      </w:r>
      <w:r w:rsidR="00622491">
        <w:rPr>
          <w:lang w:val="es-ES_tradnl"/>
        </w:rPr>
        <w:t>,</w:t>
      </w:r>
      <w:r>
        <w:rPr>
          <w:lang w:val="es-ES_tradnl"/>
        </w:rPr>
        <w:t xml:space="preserve"> y </w:t>
      </w:r>
      <w:r w:rsidRPr="0081607B">
        <w:rPr>
          <w:lang w:val="es-ES_tradnl"/>
        </w:rPr>
        <w:t>2</w:t>
      </w:r>
      <w:r w:rsidR="00FA3529" w:rsidRPr="00FA3529">
        <w:rPr>
          <w:sz w:val="20"/>
          <w:lang w:val="es-ES_tradnl"/>
        </w:rPr>
        <w:t> </w:t>
      </w:r>
      <w:r w:rsidRPr="0081607B">
        <w:rPr>
          <w:lang w:val="es-ES_tradnl"/>
        </w:rPr>
        <w:t>160</w:t>
      </w:r>
      <w:r>
        <w:rPr>
          <w:lang w:val="es-ES_tradnl"/>
        </w:rPr>
        <w:noBreakHyphen/>
      </w:r>
      <w:r w:rsidRPr="0081607B">
        <w:rPr>
          <w:lang w:val="es-ES_tradnl"/>
        </w:rPr>
        <w:t>2</w:t>
      </w:r>
      <w:r w:rsidR="00FA3529" w:rsidRPr="00FA3529">
        <w:rPr>
          <w:sz w:val="20"/>
          <w:lang w:val="es-ES_tradnl"/>
        </w:rPr>
        <w:t> </w:t>
      </w:r>
      <w:r w:rsidRPr="0081607B">
        <w:rPr>
          <w:lang w:val="es-ES_tradnl"/>
        </w:rPr>
        <w:t>170</w:t>
      </w:r>
      <w:r>
        <w:rPr>
          <w:lang w:val="es-ES_tradnl"/>
        </w:rPr>
        <w:t> </w:t>
      </w:r>
      <w:r w:rsidRPr="0081607B">
        <w:rPr>
          <w:lang w:val="es-ES_tradnl"/>
        </w:rPr>
        <w:t>MHz</w:t>
      </w:r>
      <w:r w:rsidR="00622491">
        <w:rPr>
          <w:lang w:val="es-ES_tradnl"/>
        </w:rPr>
        <w:t>,</w:t>
      </w:r>
      <w:r w:rsidRPr="0081607B">
        <w:rPr>
          <w:lang w:val="es-ES_tradnl"/>
        </w:rPr>
        <w:t xml:space="preserve"> </w:t>
      </w:r>
      <w:r>
        <w:rPr>
          <w:lang w:val="es-ES_tradnl"/>
        </w:rPr>
        <w:t>en la Región </w:t>
      </w:r>
      <w:r w:rsidRPr="0081607B">
        <w:rPr>
          <w:lang w:val="es-ES_tradnl"/>
        </w:rPr>
        <w:t>2</w:t>
      </w:r>
      <w:r w:rsidR="00622491">
        <w:rPr>
          <w:lang w:val="es-ES_tradnl"/>
        </w:rPr>
        <w:t>,</w:t>
      </w:r>
      <w:r>
        <w:rPr>
          <w:lang w:val="es-ES_tradnl"/>
        </w:rPr>
        <w:t xml:space="preserve"> están atribuidas al </w:t>
      </w:r>
      <w:proofErr w:type="spellStart"/>
      <w:r>
        <w:rPr>
          <w:lang w:val="es-ES_tradnl"/>
        </w:rPr>
        <w:t>SMS</w:t>
      </w:r>
      <w:proofErr w:type="spellEnd"/>
      <w:r>
        <w:rPr>
          <w:lang w:val="es-ES_tradnl"/>
        </w:rPr>
        <w:t xml:space="preserve"> (</w:t>
      </w:r>
      <w:proofErr w:type="spellStart"/>
      <w:r>
        <w:rPr>
          <w:lang w:val="es-ES_tradnl"/>
        </w:rPr>
        <w:t>espacio</w:t>
      </w:r>
      <w:r>
        <w:rPr>
          <w:lang w:val="es-ES_tradnl"/>
        </w:rPr>
        <w:noBreakHyphen/>
        <w:t>Tierra</w:t>
      </w:r>
      <w:proofErr w:type="spellEnd"/>
      <w:r>
        <w:rPr>
          <w:lang w:val="es-ES_tradnl"/>
        </w:rPr>
        <w:t xml:space="preserve">) </w:t>
      </w:r>
      <w:r w:rsidR="00622491">
        <w:rPr>
          <w:lang w:val="es-ES_tradnl"/>
        </w:rPr>
        <w:t>y al</w:t>
      </w:r>
      <w:r>
        <w:rPr>
          <w:lang w:val="es-ES_tradnl"/>
        </w:rPr>
        <w:t xml:space="preserve"> servicio fijo a título primario;</w:t>
      </w:r>
    </w:p>
    <w:p w:rsidR="0074449E" w:rsidRDefault="0074449E" w:rsidP="0074449E">
      <w:pPr>
        <w:rPr>
          <w:lang w:val="es-ES_tradnl"/>
        </w:rPr>
      </w:pPr>
      <w:r>
        <w:rPr>
          <w:lang w:val="es-ES_tradnl"/>
        </w:rPr>
        <w:t>e)</w:t>
      </w:r>
      <w:r>
        <w:rPr>
          <w:lang w:val="es-ES_tradnl"/>
        </w:rPr>
        <w:tab/>
        <w:t xml:space="preserve">que las transmisiones procedentes de satélites del </w:t>
      </w:r>
      <w:proofErr w:type="spellStart"/>
      <w:r>
        <w:rPr>
          <w:lang w:val="es-ES_tradnl"/>
        </w:rPr>
        <w:t>SMS</w:t>
      </w:r>
      <w:proofErr w:type="spellEnd"/>
      <w:r>
        <w:rPr>
          <w:lang w:val="es-ES_tradnl"/>
        </w:rPr>
        <w:t xml:space="preserve"> podrían causar interferencia inaceptable a los receptores del servicio fijo con visibilidad directa que funcionan en estas bandas;</w:t>
      </w:r>
    </w:p>
    <w:p w:rsidR="0074449E" w:rsidRDefault="0074449E" w:rsidP="00622491">
      <w:pPr>
        <w:rPr>
          <w:lang w:val="es-ES_tradnl"/>
        </w:rPr>
      </w:pPr>
      <w:r>
        <w:rPr>
          <w:lang w:val="es-ES_tradnl"/>
        </w:rPr>
        <w:t>f)</w:t>
      </w:r>
      <w:r>
        <w:rPr>
          <w:lang w:val="es-ES_tradnl"/>
        </w:rPr>
        <w:tab/>
        <w:t xml:space="preserve">que </w:t>
      </w:r>
      <w:r w:rsidR="00622491">
        <w:rPr>
          <w:lang w:val="es-ES_tradnl"/>
        </w:rPr>
        <w:t xml:space="preserve">en </w:t>
      </w:r>
      <w:r>
        <w:rPr>
          <w:lang w:val="es-ES_tradnl"/>
        </w:rPr>
        <w:t xml:space="preserve">la interferencia </w:t>
      </w:r>
      <w:r w:rsidR="00622491">
        <w:rPr>
          <w:lang w:val="es-ES_tradnl"/>
        </w:rPr>
        <w:t>intervienen</w:t>
      </w:r>
      <w:r>
        <w:rPr>
          <w:lang w:val="es-ES_tradnl"/>
        </w:rPr>
        <w:t xml:space="preserve"> fenómenos </w:t>
      </w:r>
      <w:r w:rsidR="00622491">
        <w:rPr>
          <w:lang w:val="es-ES_tradnl"/>
        </w:rPr>
        <w:t xml:space="preserve">que </w:t>
      </w:r>
      <w:r>
        <w:rPr>
          <w:lang w:val="es-ES_tradnl"/>
        </w:rPr>
        <w:t>var</w:t>
      </w:r>
      <w:r w:rsidR="00622491">
        <w:rPr>
          <w:lang w:val="es-ES_tradnl"/>
        </w:rPr>
        <w:t>í</w:t>
      </w:r>
      <w:r>
        <w:rPr>
          <w:lang w:val="es-ES_tradnl"/>
        </w:rPr>
        <w:t>a</w:t>
      </w:r>
      <w:r w:rsidR="00622491">
        <w:rPr>
          <w:lang w:val="es-ES_tradnl"/>
        </w:rPr>
        <w:t>n</w:t>
      </w:r>
      <w:r>
        <w:rPr>
          <w:lang w:val="es-ES_tradnl"/>
        </w:rPr>
        <w:t xml:space="preserve"> en el tiempo</w:t>
      </w:r>
      <w:r w:rsidR="00622491">
        <w:rPr>
          <w:lang w:val="es-ES_tradnl"/>
        </w:rPr>
        <w:t>,</w:t>
      </w:r>
      <w:r>
        <w:rPr>
          <w:lang w:val="es-ES_tradnl"/>
        </w:rPr>
        <w:t xml:space="preserve"> tales como </w:t>
      </w:r>
      <w:r w:rsidR="00622491">
        <w:rPr>
          <w:lang w:val="es-ES_tradnl"/>
        </w:rPr>
        <w:t xml:space="preserve">la </w:t>
      </w:r>
      <w:r>
        <w:rPr>
          <w:lang w:val="es-ES_tradnl"/>
        </w:rPr>
        <w:t xml:space="preserve">geometría de la interferencia, </w:t>
      </w:r>
      <w:r w:rsidR="00622491">
        <w:rPr>
          <w:lang w:val="es-ES_tradnl"/>
        </w:rPr>
        <w:t xml:space="preserve">las </w:t>
      </w:r>
      <w:r>
        <w:rPr>
          <w:lang w:val="es-ES_tradnl"/>
        </w:rPr>
        <w:t xml:space="preserve">condiciones de propagación y </w:t>
      </w:r>
      <w:r w:rsidR="00622491">
        <w:rPr>
          <w:lang w:val="es-ES_tradnl"/>
        </w:rPr>
        <w:t xml:space="preserve">el </w:t>
      </w:r>
      <w:r>
        <w:rPr>
          <w:lang w:val="es-ES_tradnl"/>
        </w:rPr>
        <w:t xml:space="preserve">tráfico del </w:t>
      </w:r>
      <w:proofErr w:type="spellStart"/>
      <w:r>
        <w:rPr>
          <w:lang w:val="es-ES_tradnl"/>
        </w:rPr>
        <w:t>SMS</w:t>
      </w:r>
      <w:proofErr w:type="spellEnd"/>
      <w:r>
        <w:rPr>
          <w:lang w:val="es-ES_tradnl"/>
        </w:rPr>
        <w:t>;</w:t>
      </w:r>
    </w:p>
    <w:p w:rsidR="0074449E" w:rsidRDefault="0074449E" w:rsidP="00622491">
      <w:pPr>
        <w:rPr>
          <w:lang w:val="es-ES_tradnl"/>
        </w:rPr>
      </w:pPr>
      <w:r>
        <w:rPr>
          <w:lang w:val="es-ES_tradnl"/>
        </w:rPr>
        <w:t>g)</w:t>
      </w:r>
      <w:r>
        <w:rPr>
          <w:lang w:val="es-ES_tradnl"/>
        </w:rPr>
        <w:tab/>
        <w:t xml:space="preserve">que la simulación es </w:t>
      </w:r>
      <w:r w:rsidR="00622491">
        <w:rPr>
          <w:lang w:val="es-ES_tradnl"/>
        </w:rPr>
        <w:t>la forma</w:t>
      </w:r>
      <w:r>
        <w:rPr>
          <w:lang w:val="es-ES_tradnl"/>
        </w:rPr>
        <w:t xml:space="preserve"> más común de evaluar dicha interferencia;</w:t>
      </w:r>
    </w:p>
    <w:p w:rsidR="0074449E" w:rsidRDefault="0074449E" w:rsidP="007F56BC">
      <w:pPr>
        <w:rPr>
          <w:lang w:val="es-ES_tradnl"/>
        </w:rPr>
      </w:pPr>
      <w:r>
        <w:rPr>
          <w:lang w:val="es-ES_tradnl"/>
        </w:rPr>
        <w:lastRenderedPageBreak/>
        <w:t>h)</w:t>
      </w:r>
      <w:r>
        <w:rPr>
          <w:lang w:val="es-ES_tradnl"/>
        </w:rPr>
        <w:tab/>
        <w:t xml:space="preserve">que la repercusión y la aceptabilidad de dicha interferencia pueden evaluarse en la mayoría de los casos </w:t>
      </w:r>
      <w:r w:rsidR="00622491">
        <w:rPr>
          <w:lang w:val="es-ES_tradnl"/>
        </w:rPr>
        <w:t xml:space="preserve">mediante </w:t>
      </w:r>
      <w:r>
        <w:rPr>
          <w:lang w:val="es-ES_tradnl"/>
        </w:rPr>
        <w:t xml:space="preserve">coordinación bilateral detallada estudiando mediante simulación informática las estadísticas de </w:t>
      </w:r>
      <w:r w:rsidRPr="00744F85">
        <w:rPr>
          <w:i/>
          <w:lang w:val="es-ES_tradnl"/>
        </w:rPr>
        <w:t>C</w:t>
      </w:r>
      <w:r w:rsidRPr="00744F85">
        <w:rPr>
          <w:lang w:val="es-ES_tradnl"/>
        </w:rPr>
        <w:t>/</w:t>
      </w:r>
      <w:r w:rsidRPr="00744F85">
        <w:rPr>
          <w:i/>
          <w:lang w:val="es-ES_tradnl"/>
        </w:rPr>
        <w:t>N</w:t>
      </w:r>
      <w:r w:rsidRPr="00744F85">
        <w:rPr>
          <w:lang w:val="es-ES_tradnl"/>
        </w:rPr>
        <w:t xml:space="preserve">, </w:t>
      </w:r>
      <w:r w:rsidRPr="00744F85">
        <w:rPr>
          <w:i/>
          <w:lang w:val="es-ES_tradnl"/>
        </w:rPr>
        <w:t>C</w:t>
      </w:r>
      <w:r w:rsidRPr="00744F85">
        <w:rPr>
          <w:lang w:val="es-ES_tradnl"/>
        </w:rPr>
        <w:t>/</w:t>
      </w:r>
      <w:r w:rsidRPr="00744F85">
        <w:rPr>
          <w:i/>
          <w:lang w:val="es-ES_tradnl"/>
        </w:rPr>
        <w:t>I</w:t>
      </w:r>
      <w:r w:rsidRPr="00744F85">
        <w:rPr>
          <w:lang w:val="es-ES_tradnl"/>
        </w:rPr>
        <w:t xml:space="preserve"> </w:t>
      </w:r>
      <w:r>
        <w:rPr>
          <w:lang w:val="es-ES_tradnl"/>
        </w:rPr>
        <w:t>y</w:t>
      </w:r>
      <w:r w:rsidRPr="00744F85">
        <w:rPr>
          <w:lang w:val="es-ES_tradnl"/>
        </w:rPr>
        <w:t xml:space="preserve"> </w:t>
      </w:r>
      <w:r w:rsidRPr="00744F85">
        <w:rPr>
          <w:i/>
          <w:lang w:val="es-ES_tradnl"/>
        </w:rPr>
        <w:t>C</w:t>
      </w:r>
      <w:r w:rsidRPr="00744F85">
        <w:rPr>
          <w:lang w:val="es-ES_tradnl"/>
        </w:rPr>
        <w:t>/(</w:t>
      </w:r>
      <w:r w:rsidRPr="00744F85">
        <w:rPr>
          <w:i/>
          <w:lang w:val="es-ES_tradnl"/>
        </w:rPr>
        <w:t>N</w:t>
      </w:r>
      <w:r w:rsidRPr="00744F85">
        <w:rPr>
          <w:lang w:val="es-ES_tradnl"/>
        </w:rPr>
        <w:t> </w:t>
      </w:r>
      <w:r w:rsidRPr="00A0184D">
        <w:rPr>
          <w:rFonts w:ascii="Symbol" w:hAnsi="Symbol"/>
        </w:rPr>
        <w:t></w:t>
      </w:r>
      <w:r w:rsidRPr="00744F85">
        <w:rPr>
          <w:lang w:val="es-ES_tradnl"/>
        </w:rPr>
        <w:t> </w:t>
      </w:r>
      <w:r w:rsidRPr="00744F85">
        <w:rPr>
          <w:i/>
          <w:lang w:val="es-ES_tradnl"/>
        </w:rPr>
        <w:t>I</w:t>
      </w:r>
      <w:r w:rsidRPr="00744F85">
        <w:rPr>
          <w:rFonts w:ascii="Tms Rmn" w:hAnsi="Tms Rmn"/>
          <w:sz w:val="8"/>
          <w:lang w:val="es-ES_tradnl"/>
        </w:rPr>
        <w:t> </w:t>
      </w:r>
      <w:r w:rsidRPr="00744F85">
        <w:rPr>
          <w:lang w:val="es-ES_tradnl"/>
        </w:rPr>
        <w:t>)</w:t>
      </w:r>
      <w:r>
        <w:rPr>
          <w:lang w:val="es-ES_tradnl"/>
        </w:rPr>
        <w:t xml:space="preserve"> descritas en la Recomendación </w:t>
      </w:r>
      <w:proofErr w:type="spellStart"/>
      <w:r>
        <w:rPr>
          <w:lang w:val="es-ES_tradnl"/>
        </w:rPr>
        <w:t>UIT</w:t>
      </w:r>
      <w:r>
        <w:rPr>
          <w:lang w:val="es-ES_tradnl"/>
        </w:rPr>
        <w:noBreakHyphen/>
        <w:t>R</w:t>
      </w:r>
      <w:proofErr w:type="spellEnd"/>
      <w:r>
        <w:rPr>
          <w:lang w:val="es-ES_tradnl"/>
        </w:rPr>
        <w:t> M.1143;</w:t>
      </w:r>
    </w:p>
    <w:p w:rsidR="0074449E" w:rsidRDefault="0074449E" w:rsidP="0074449E">
      <w:pPr>
        <w:rPr>
          <w:lang w:val="es-ES_tradnl"/>
        </w:rPr>
      </w:pPr>
      <w:r>
        <w:rPr>
          <w:lang w:val="es-ES_tradnl"/>
        </w:rPr>
        <w:t>j)</w:t>
      </w:r>
      <w:r>
        <w:rPr>
          <w:lang w:val="es-ES_tradnl"/>
        </w:rPr>
        <w:tab/>
        <w:t>que se necesita asistencia para utilizar dichos instrumentos en los países en desarrollo,</w:t>
      </w:r>
    </w:p>
    <w:p w:rsidR="0074449E" w:rsidRDefault="0074449E" w:rsidP="0074449E">
      <w:pPr>
        <w:pStyle w:val="Call"/>
        <w:rPr>
          <w:lang w:val="es-ES_tradnl"/>
        </w:rPr>
      </w:pPr>
      <w:r>
        <w:rPr>
          <w:lang w:val="es-ES_tradnl"/>
        </w:rPr>
        <w:t>recomienda</w:t>
      </w:r>
    </w:p>
    <w:p w:rsidR="0074449E" w:rsidRDefault="0074449E" w:rsidP="0036059C">
      <w:pPr>
        <w:rPr>
          <w:lang w:val="es-ES_tradnl"/>
        </w:rPr>
      </w:pPr>
      <w:r>
        <w:rPr>
          <w:b/>
          <w:bCs/>
          <w:lang w:val="es-ES_tradnl"/>
        </w:rPr>
        <w:t>1</w:t>
      </w:r>
      <w:r>
        <w:rPr>
          <w:lang w:val="es-ES_tradnl"/>
        </w:rPr>
        <w:tab/>
        <w:t xml:space="preserve">que la metodología del Anexo 1 se utilice como base para elaborar instrumentos de simulación por computador destinados a la coordinación bilateral detallada, entre las partes interesadas a fin de permitir una evaluación detallada de la repercusión de la interferencia causada por un sistema de satélites del </w:t>
      </w:r>
      <w:proofErr w:type="spellStart"/>
      <w:r>
        <w:rPr>
          <w:lang w:val="es-ES_tradnl"/>
        </w:rPr>
        <w:t>SMS</w:t>
      </w:r>
      <w:proofErr w:type="spellEnd"/>
      <w:r>
        <w:rPr>
          <w:lang w:val="es-ES_tradnl"/>
        </w:rPr>
        <w:t xml:space="preserve"> con </w:t>
      </w:r>
      <w:proofErr w:type="spellStart"/>
      <w:r>
        <w:rPr>
          <w:lang w:val="es-ES_tradnl"/>
        </w:rPr>
        <w:t>AMDT</w:t>
      </w:r>
      <w:proofErr w:type="spellEnd"/>
      <w:r>
        <w:rPr>
          <w:lang w:val="es-ES_tradnl"/>
        </w:rPr>
        <w:t>/</w:t>
      </w:r>
      <w:proofErr w:type="spellStart"/>
      <w:r>
        <w:rPr>
          <w:lang w:val="es-ES_tradnl"/>
        </w:rPr>
        <w:t>AMDF</w:t>
      </w:r>
      <w:proofErr w:type="spellEnd"/>
      <w:r>
        <w:rPr>
          <w:lang w:val="es-ES_tradnl"/>
        </w:rPr>
        <w:t xml:space="preserve"> en las atribuciones del </w:t>
      </w:r>
      <w:proofErr w:type="spellStart"/>
      <w:r>
        <w:rPr>
          <w:lang w:val="es-ES_tradnl"/>
        </w:rPr>
        <w:t>SMS</w:t>
      </w:r>
      <w:proofErr w:type="spellEnd"/>
      <w:r>
        <w:rPr>
          <w:lang w:val="es-ES_tradnl"/>
        </w:rPr>
        <w:t xml:space="preserve"> </w:t>
      </w:r>
      <w:r w:rsidR="0036059C">
        <w:rPr>
          <w:lang w:val="es-ES_tradnl"/>
        </w:rPr>
        <w:t>en la gama 1</w:t>
      </w:r>
      <w:r w:rsidR="0036059C">
        <w:rPr>
          <w:lang w:val="es-ES_tradnl"/>
        </w:rPr>
        <w:noBreakHyphen/>
        <w:t>3 </w:t>
      </w:r>
      <w:r>
        <w:rPr>
          <w:lang w:val="es-ES_tradnl"/>
        </w:rPr>
        <w:t xml:space="preserve">GHz a sistemas del servicio fijo con visibilidad directa analógicos o digitales, teniendo en cuenta las características específicas de los correspondientes sistemas del </w:t>
      </w:r>
      <w:proofErr w:type="spellStart"/>
      <w:r>
        <w:rPr>
          <w:lang w:val="es-ES_tradnl"/>
        </w:rPr>
        <w:t>SMS</w:t>
      </w:r>
      <w:proofErr w:type="spellEnd"/>
      <w:r>
        <w:rPr>
          <w:lang w:val="es-ES_tradnl"/>
        </w:rPr>
        <w:t xml:space="preserve"> y </w:t>
      </w:r>
      <w:r w:rsidR="0036059C">
        <w:rPr>
          <w:lang w:val="es-ES_tradnl"/>
        </w:rPr>
        <w:t xml:space="preserve">con visibilidad directa </w:t>
      </w:r>
      <w:r>
        <w:rPr>
          <w:lang w:val="es-ES_tradnl"/>
        </w:rPr>
        <w:t>del servicio fijo (véanse las Notas 1, 2 y 3).</w:t>
      </w:r>
    </w:p>
    <w:p w:rsidR="0074449E" w:rsidRDefault="0074449E" w:rsidP="0074449E">
      <w:pPr>
        <w:rPr>
          <w:lang w:val="es-ES_tradnl"/>
        </w:rPr>
      </w:pPr>
      <w:r>
        <w:rPr>
          <w:lang w:val="es-ES_tradnl"/>
        </w:rPr>
        <w:t>NOTA 1 – La aplicación de la metodología de esta Recomendación exigirá la elab</w:t>
      </w:r>
      <w:r w:rsidR="00FA3529">
        <w:rPr>
          <w:lang w:val="es-ES_tradnl"/>
        </w:rPr>
        <w:t>oración de algoritmos o procedi</w:t>
      </w:r>
      <w:r>
        <w:rPr>
          <w:lang w:val="es-ES_tradnl"/>
        </w:rPr>
        <w:t>mientos de cálculo para tratar la introducción de las consideraciones descritas. El uso o la adaptación de estos algoritmos o procedimientos en cualquier coordinación bilateral estaría sujeto al acuerdo de las partes interesadas.</w:t>
      </w:r>
    </w:p>
    <w:p w:rsidR="0074449E" w:rsidRDefault="0074449E" w:rsidP="00A715CE">
      <w:pPr>
        <w:rPr>
          <w:lang w:val="es-ES_tradnl"/>
        </w:rPr>
      </w:pPr>
      <w:r>
        <w:rPr>
          <w:lang w:val="es-ES_tradnl"/>
        </w:rPr>
        <w:t xml:space="preserve">NOTA 2 – En los países en los que hay en funcionamiento un gran número de sistemas del servicio fijo, puede ser suficiente aplicar el análisis a un conjunto representativo de los sistemas del servicio fijo existentes, utilizando parámetros reales del servicio fijo, teniendo en cuenta especialmente aquellos sistemas del servicio fijo que probablemente sean más sensibles a la interferencia. Los sistemas del servicio fijo más sensibles suelen ser los orientados en direcciones próximas al acimut del caso más desfavorable; esta dirección puede establecerse sobre la base de las características orbitales del sistema del </w:t>
      </w:r>
      <w:proofErr w:type="spellStart"/>
      <w:r>
        <w:rPr>
          <w:lang w:val="es-ES_tradnl"/>
        </w:rPr>
        <w:t>SMS</w:t>
      </w:r>
      <w:proofErr w:type="spellEnd"/>
      <w:r>
        <w:rPr>
          <w:lang w:val="es-ES_tradnl"/>
        </w:rPr>
        <w:t>. Sin embargo, este asunto exigirá acuerdo entre las partes interesadas.</w:t>
      </w:r>
    </w:p>
    <w:p w:rsidR="0074449E" w:rsidRDefault="0074449E" w:rsidP="0074449E">
      <w:pPr>
        <w:rPr>
          <w:lang w:val="es-ES_tradnl"/>
        </w:rPr>
      </w:pPr>
      <w:r>
        <w:rPr>
          <w:lang w:val="es-ES_tradnl"/>
        </w:rPr>
        <w:t xml:space="preserve">NOTA 3 – En el caso de los sistemas del </w:t>
      </w:r>
      <w:proofErr w:type="spellStart"/>
      <w:r>
        <w:rPr>
          <w:lang w:val="es-ES_tradnl"/>
        </w:rPr>
        <w:t>SMS</w:t>
      </w:r>
      <w:proofErr w:type="spellEnd"/>
      <w:r>
        <w:rPr>
          <w:lang w:val="es-ES_tradnl"/>
        </w:rPr>
        <w:t xml:space="preserve"> </w:t>
      </w:r>
      <w:r w:rsidR="0036059C">
        <w:rPr>
          <w:lang w:val="es-ES_tradnl"/>
        </w:rPr>
        <w:t>en la órbita de los satélites geoestacionarios (</w:t>
      </w:r>
      <w:proofErr w:type="spellStart"/>
      <w:r>
        <w:rPr>
          <w:lang w:val="es-ES_tradnl"/>
        </w:rPr>
        <w:t>OSG</w:t>
      </w:r>
      <w:proofErr w:type="spellEnd"/>
      <w:r w:rsidR="0036059C">
        <w:rPr>
          <w:lang w:val="es-ES_tradnl"/>
        </w:rPr>
        <w:t>)</w:t>
      </w:r>
      <w:r>
        <w:rPr>
          <w:lang w:val="es-ES_tradnl"/>
        </w:rPr>
        <w:t xml:space="preserve"> los cálculos se simplifican significativamente, pues no es necesario simular los mecanismos orbitales de la constelación del </w:t>
      </w:r>
      <w:proofErr w:type="spellStart"/>
      <w:r>
        <w:rPr>
          <w:lang w:val="es-ES_tradnl"/>
        </w:rPr>
        <w:t>SMS</w:t>
      </w:r>
      <w:proofErr w:type="spellEnd"/>
      <w:r>
        <w:rPr>
          <w:lang w:val="es-ES_tradnl"/>
        </w:rPr>
        <w:t xml:space="preserve">, si bien es posible que haya que considerar el potencial de interferencia de múltiples satélites del </w:t>
      </w:r>
      <w:proofErr w:type="spellStart"/>
      <w:r>
        <w:rPr>
          <w:lang w:val="es-ES_tradnl"/>
        </w:rPr>
        <w:t>SMS</w:t>
      </w:r>
      <w:proofErr w:type="spellEnd"/>
      <w:r>
        <w:rPr>
          <w:lang w:val="es-ES_tradnl"/>
        </w:rPr>
        <w:t xml:space="preserve"> </w:t>
      </w:r>
      <w:proofErr w:type="spellStart"/>
      <w:r>
        <w:rPr>
          <w:lang w:val="es-ES_tradnl"/>
        </w:rPr>
        <w:t>OSG</w:t>
      </w:r>
      <w:proofErr w:type="spellEnd"/>
      <w:r>
        <w:rPr>
          <w:lang w:val="es-ES_tradnl"/>
        </w:rPr>
        <w:t xml:space="preserve"> al evaluar la repercusión de la interferencia.</w:t>
      </w:r>
    </w:p>
    <w:p w:rsidR="0074449E" w:rsidRDefault="0074449E" w:rsidP="0074449E">
      <w:pPr>
        <w:rPr>
          <w:lang w:val="es-ES_tradnl"/>
        </w:rPr>
      </w:pPr>
    </w:p>
    <w:p w:rsidR="007F56BC" w:rsidRDefault="007F56BC" w:rsidP="0074449E">
      <w:pPr>
        <w:rPr>
          <w:lang w:val="es-ES_tradnl"/>
        </w:rPr>
      </w:pPr>
    </w:p>
    <w:p w:rsidR="0074449E" w:rsidRDefault="0074449E" w:rsidP="0074449E">
      <w:pPr>
        <w:rPr>
          <w:lang w:val="es-ES_tradnl"/>
        </w:rPr>
      </w:pPr>
    </w:p>
    <w:p w:rsidR="0074449E" w:rsidRPr="009460E5" w:rsidRDefault="0074449E" w:rsidP="0074449E">
      <w:pPr>
        <w:pStyle w:val="AnnexNoTitle"/>
        <w:rPr>
          <w:lang w:val="es-ES_tradnl"/>
        </w:rPr>
      </w:pPr>
      <w:bookmarkStart w:id="3" w:name="_Toc114383390"/>
      <w:r w:rsidRPr="009460E5">
        <w:rPr>
          <w:lang w:val="es-ES_tradnl"/>
        </w:rPr>
        <w:t>Anexo  1</w:t>
      </w:r>
      <w:bookmarkEnd w:id="3"/>
    </w:p>
    <w:p w:rsidR="0074449E" w:rsidRDefault="0074449E" w:rsidP="0074449E">
      <w:pPr>
        <w:pStyle w:val="Heading1"/>
        <w:rPr>
          <w:lang w:val="es-ES_tradnl"/>
        </w:rPr>
      </w:pPr>
      <w:bookmarkStart w:id="4" w:name="_Toc114383391"/>
      <w:r>
        <w:rPr>
          <w:lang w:val="es-ES_tradnl"/>
        </w:rPr>
        <w:t>1</w:t>
      </w:r>
      <w:r>
        <w:rPr>
          <w:lang w:val="es-ES_tradnl"/>
        </w:rPr>
        <w:tab/>
        <w:t>Introducción</w:t>
      </w:r>
      <w:bookmarkEnd w:id="4"/>
    </w:p>
    <w:p w:rsidR="0074449E" w:rsidRDefault="0074449E" w:rsidP="0074449E">
      <w:pPr>
        <w:rPr>
          <w:lang w:val="es-ES_tradnl"/>
        </w:rPr>
      </w:pPr>
      <w:r>
        <w:rPr>
          <w:lang w:val="es-ES_tradnl"/>
        </w:rPr>
        <w:t xml:space="preserve">En la compartición entre el </w:t>
      </w:r>
      <w:proofErr w:type="spellStart"/>
      <w:r>
        <w:rPr>
          <w:lang w:val="es-ES_tradnl"/>
        </w:rPr>
        <w:t>SMS</w:t>
      </w:r>
      <w:proofErr w:type="spellEnd"/>
      <w:r>
        <w:rPr>
          <w:lang w:val="es-ES_tradnl"/>
        </w:rPr>
        <w:t xml:space="preserve"> y el servicio fijo intervienen fenómenos que varían en el tiempo, tales como la geometría de interferencia, las condiciones de propagación, etc. La simulación es la forma más común de evaluar la interferencia entre los sistemas del </w:t>
      </w:r>
      <w:proofErr w:type="spellStart"/>
      <w:r>
        <w:rPr>
          <w:lang w:val="es-ES_tradnl"/>
        </w:rPr>
        <w:t>SMS</w:t>
      </w:r>
      <w:proofErr w:type="spellEnd"/>
      <w:r>
        <w:rPr>
          <w:lang w:val="es-ES_tradnl"/>
        </w:rPr>
        <w:t xml:space="preserve"> y del servicio fijo. El resultado de dichas simulaciones suele darse en forma de estadísticas de </w:t>
      </w:r>
      <w:r>
        <w:rPr>
          <w:i/>
          <w:lang w:val="es-ES_tradnl"/>
        </w:rPr>
        <w:t>C</w:t>
      </w:r>
      <w:r>
        <w:rPr>
          <w:lang w:val="es-ES_tradnl"/>
        </w:rPr>
        <w:t>/</w:t>
      </w:r>
      <w:r>
        <w:rPr>
          <w:i/>
          <w:lang w:val="es-ES_tradnl"/>
        </w:rPr>
        <w:t>I</w:t>
      </w:r>
      <w:r>
        <w:rPr>
          <w:lang w:val="es-ES_tradnl"/>
        </w:rPr>
        <w:t xml:space="preserve">, </w:t>
      </w:r>
      <w:r>
        <w:rPr>
          <w:i/>
          <w:lang w:val="es-ES_tradnl"/>
        </w:rPr>
        <w:t>C</w:t>
      </w:r>
      <w:r>
        <w:rPr>
          <w:lang w:val="es-ES_tradnl"/>
        </w:rPr>
        <w:t>/</w:t>
      </w:r>
      <w:r>
        <w:rPr>
          <w:i/>
          <w:lang w:val="es-ES_tradnl"/>
        </w:rPr>
        <w:t>N</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presentadas normalmente como una función de distribución acumulativa, por ejemplo, como la descrita en el Anexo 3 de la Recomendación UIT-R M.1143.</w:t>
      </w:r>
    </w:p>
    <w:p w:rsidR="00F655C7" w:rsidRDefault="00F655C7" w:rsidP="00671F06">
      <w:pPr>
        <w:rPr>
          <w:lang w:val="es-ES_tradnl"/>
        </w:rPr>
      </w:pPr>
      <w:r>
        <w:rPr>
          <w:lang w:val="es-ES_tradnl"/>
        </w:rPr>
        <w:t xml:space="preserve">Los objetivos correspondientes de calidad de funcionamiento en banda base para un sistema del servicio fijo digital o analógico pueden en general convertirse en una relación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requerida (véase la Nota 1 a continuación). Por ejemplo, para un sistema del servicio fijo digital, la especificación de banda base suele ser un requisito de la </w:t>
      </w:r>
      <w:proofErr w:type="spellStart"/>
      <w:r>
        <w:rPr>
          <w:lang w:val="es-ES_tradnl"/>
        </w:rPr>
        <w:t>BER</w:t>
      </w:r>
      <w:proofErr w:type="spellEnd"/>
      <w:r>
        <w:rPr>
          <w:lang w:val="es-ES_tradnl"/>
        </w:rPr>
        <w:t xml:space="preserve"> que no ha de excederse durante un </w:t>
      </w:r>
      <w:r>
        <w:rPr>
          <w:lang w:val="es-ES_tradnl"/>
        </w:rPr>
        <w:lastRenderedPageBreak/>
        <w:t xml:space="preserve">cierto porcentaje de tiempo. El requisito de </w:t>
      </w:r>
      <w:proofErr w:type="spellStart"/>
      <w:r>
        <w:rPr>
          <w:lang w:val="es-ES_tradnl"/>
        </w:rPr>
        <w:t>BER</w:t>
      </w:r>
      <w:proofErr w:type="spellEnd"/>
      <w:r>
        <w:rPr>
          <w:lang w:val="es-ES_tradnl"/>
        </w:rPr>
        <w:t xml:space="preserve"> de banda base puede convertirse, a partir de curvas de referencia tales como las contenidas en la Recomendación UIT-R SF.766 o de especificaciones de módems reales en un valor de </w:t>
      </w:r>
      <w:proofErr w:type="spellStart"/>
      <w:r>
        <w:rPr>
          <w:i/>
          <w:lang w:val="es-ES_tradnl"/>
        </w:rPr>
        <w:t>E</w:t>
      </w:r>
      <w:r w:rsidRPr="009460E5">
        <w:rPr>
          <w:i/>
          <w:iCs/>
          <w:vertAlign w:val="subscript"/>
          <w:lang w:val="es-ES_tradnl"/>
        </w:rPr>
        <w:t>b</w:t>
      </w:r>
      <w:proofErr w:type="spellEnd"/>
      <w:r>
        <w:rPr>
          <w:rFonts w:ascii="Tms Rmn" w:hAnsi="Tms Rmn"/>
          <w:position w:val="-4"/>
          <w:sz w:val="8"/>
          <w:lang w:val="es-ES_tradnl"/>
        </w:rPr>
        <w:t> </w:t>
      </w:r>
      <w:r>
        <w:rPr>
          <w:lang w:val="es-ES_tradnl"/>
        </w:rPr>
        <w:t>/</w:t>
      </w:r>
      <w:r>
        <w:rPr>
          <w:i/>
          <w:lang w:val="es-ES_tradnl"/>
        </w:rPr>
        <w:t>N</w:t>
      </w:r>
      <w:r w:rsidRPr="009460E5">
        <w:rPr>
          <w:vertAlign w:val="subscript"/>
          <w:lang w:val="es-ES_tradnl"/>
        </w:rPr>
        <w:t>0</w:t>
      </w:r>
      <w:r>
        <w:rPr>
          <w:lang w:val="es-ES_tradnl"/>
        </w:rPr>
        <w:t xml:space="preserve"> requerido, que a su vez puede convertirse en un requisito de</w:t>
      </w:r>
      <w:r w:rsidR="00671F06">
        <w:rPr>
          <w:lang w:val="es-ES_tradnl"/>
        </w:rPr>
        <w:t>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a la entrada del receptor. De forma similar, los requisitos de banda base para sistemas del servicio fijo de multiplaje por distribución de frecuencia/modulación de frecuencia (</w:t>
      </w:r>
      <w:proofErr w:type="spellStart"/>
      <w:r>
        <w:rPr>
          <w:lang w:val="es-ES_tradnl"/>
        </w:rPr>
        <w:t>MDF</w:t>
      </w:r>
      <w:proofErr w:type="spellEnd"/>
      <w:r>
        <w:rPr>
          <w:lang w:val="es-ES_tradnl"/>
        </w:rPr>
        <w:t>/</w:t>
      </w:r>
      <w:proofErr w:type="spellStart"/>
      <w:r>
        <w:rPr>
          <w:lang w:val="es-ES_tradnl"/>
        </w:rPr>
        <w:t>MF</w:t>
      </w:r>
      <w:proofErr w:type="spellEnd"/>
      <w:r>
        <w:rPr>
          <w:lang w:val="es-ES_tradnl"/>
        </w:rPr>
        <w:t>) y TV/</w:t>
      </w:r>
      <w:proofErr w:type="spellStart"/>
      <w:r>
        <w:rPr>
          <w:lang w:val="es-ES_tradnl"/>
        </w:rPr>
        <w:t>MF</w:t>
      </w:r>
      <w:proofErr w:type="spellEnd"/>
      <w:r>
        <w:rPr>
          <w:lang w:val="es-ES_tradnl"/>
        </w:rPr>
        <w:t xml:space="preserve"> expresados en forma de ruido de banda base total o </w:t>
      </w:r>
      <w:r>
        <w:rPr>
          <w:i/>
          <w:lang w:val="es-ES_tradnl"/>
        </w:rPr>
        <w:t>S</w:t>
      </w:r>
      <w:r>
        <w:rPr>
          <w:lang w:val="es-ES_tradnl"/>
        </w:rPr>
        <w:t>/</w:t>
      </w:r>
      <w:r>
        <w:rPr>
          <w:i/>
          <w:lang w:val="es-ES_tradnl"/>
        </w:rPr>
        <w:t>N</w:t>
      </w:r>
      <w:r>
        <w:rPr>
          <w:lang w:val="es-ES_tradnl"/>
        </w:rPr>
        <w:t xml:space="preserve"> de banda base pueden convertirse en un requisito </w:t>
      </w:r>
      <w:r>
        <w:rPr>
          <w:i/>
          <w:lang w:val="es-ES_tradnl"/>
        </w:rPr>
        <w:t>C</w:t>
      </w:r>
      <w:r>
        <w:rPr>
          <w:lang w:val="es-ES_tradnl"/>
        </w:rPr>
        <w:t>/(</w:t>
      </w:r>
      <w:r>
        <w:rPr>
          <w:i/>
          <w:lang w:val="es-ES_tradnl"/>
        </w:rPr>
        <w:t>N</w:t>
      </w:r>
      <w:r>
        <w:rPr>
          <w:lang w:val="es-ES_tradnl"/>
        </w:rPr>
        <w:t xml:space="preserve"> </w:t>
      </w:r>
      <w:r>
        <w:rPr>
          <w:rFonts w:ascii="Symbol" w:hAnsi="Symbol"/>
        </w:rPr>
        <w:t></w:t>
      </w:r>
      <w:r>
        <w:rPr>
          <w:lang w:val="es-ES_tradnl"/>
        </w:rPr>
        <w:t xml:space="preserve"> </w:t>
      </w:r>
      <w:r>
        <w:rPr>
          <w:i/>
          <w:lang w:val="es-ES_tradnl"/>
        </w:rPr>
        <w:t>I</w:t>
      </w:r>
      <w:r>
        <w:rPr>
          <w:rFonts w:ascii="Tms Rmn" w:hAnsi="Tms Rmn"/>
          <w:sz w:val="8"/>
          <w:lang w:val="es-ES_tradnl"/>
        </w:rPr>
        <w:t> </w:t>
      </w:r>
      <w:r>
        <w:rPr>
          <w:lang w:val="es-ES_tradnl"/>
        </w:rPr>
        <w:t>) a la entrada del receptor.</w:t>
      </w:r>
    </w:p>
    <w:p w:rsidR="0074449E" w:rsidRDefault="0074449E" w:rsidP="0074449E">
      <w:pPr>
        <w:pStyle w:val="Note"/>
        <w:rPr>
          <w:lang w:val="es-ES_tradnl"/>
        </w:rPr>
      </w:pPr>
      <w:r>
        <w:rPr>
          <w:lang w:val="es-ES_tradnl"/>
        </w:rPr>
        <w:t xml:space="preserve">NOTA 1 – Aunque la calidad de funcionamiento de los sistemas de relevadores radioeléctricos debe, en principio, estar relacionada con una magnitud que puede describirse como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la validez de dichas relaciones depende de que se tenga el valor apropiado para el ruido del sistema equivalente total, </w:t>
      </w:r>
      <w:r>
        <w:rPr>
          <w:i/>
          <w:lang w:val="es-ES_tradnl"/>
        </w:rPr>
        <w:t>N</w:t>
      </w:r>
      <w:r>
        <w:rPr>
          <w:lang w:val="es-ES_tradnl"/>
        </w:rPr>
        <w:t>.</w:t>
      </w:r>
    </w:p>
    <w:p w:rsidR="0074449E" w:rsidRDefault="0074449E" w:rsidP="008622D5">
      <w:pPr>
        <w:rPr>
          <w:lang w:val="es-ES_tradnl"/>
        </w:rPr>
      </w:pPr>
      <w:r>
        <w:rPr>
          <w:lang w:val="es-ES_tradnl"/>
        </w:rPr>
        <w:t xml:space="preserve">Estos objetivos de calidad de funcionamiento en radiofrecuencia equivalentes pueden llevarse a las representaciones de distribución acumulativa de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y compararse con las curvas de simulación de </w:t>
      </w:r>
      <w:r>
        <w:rPr>
          <w:i/>
          <w:lang w:val="es-ES_tradnl"/>
        </w:rPr>
        <w:t>C</w:t>
      </w:r>
      <w:r>
        <w:rPr>
          <w:lang w:val="es-ES_tradnl"/>
        </w:rPr>
        <w:t>/</w:t>
      </w:r>
      <w:r>
        <w:rPr>
          <w:i/>
          <w:lang w:val="es-ES_tradnl"/>
        </w:rPr>
        <w:t>N</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para determinar si la interferencia procedente de satélites del </w:t>
      </w:r>
      <w:proofErr w:type="spellStart"/>
      <w:r>
        <w:rPr>
          <w:lang w:val="es-ES_tradnl"/>
        </w:rPr>
        <w:t>SMS</w:t>
      </w:r>
      <w:proofErr w:type="spellEnd"/>
      <w:r>
        <w:rPr>
          <w:lang w:val="es-ES_tradnl"/>
        </w:rPr>
        <w:t xml:space="preserve"> es o no aceptable.</w:t>
      </w:r>
    </w:p>
    <w:p w:rsidR="0074449E" w:rsidRDefault="0074449E" w:rsidP="0036059C">
      <w:pPr>
        <w:rPr>
          <w:lang w:val="es-ES_tradnl"/>
        </w:rPr>
      </w:pPr>
      <w:r>
        <w:rPr>
          <w:lang w:val="es-ES_tradnl"/>
        </w:rPr>
        <w:t>El método descrito a continuación, aunque exige considerable simulación por computador, es relativamente sencillo de realizar en soporte lógico, ya que todos los cálculos y comparaciones se efectúan en el dominio de la radiofrecuencia. La metodología aquí descrita debe utilizarse por lo general en la fase de coordinación detallada entre las administraciones, cuando se requiere coordinación y se desencadena ésta, a fin de determinar si la interferencia puede o no ser aceptada en el contexto de información de un sistema del servicio fijo real y de los objetivos de calidad de funcionamiento y disponibilidad pertinentes del UIT-R.</w:t>
      </w:r>
    </w:p>
    <w:p w:rsidR="0074449E" w:rsidRDefault="0074449E" w:rsidP="0074449E">
      <w:pPr>
        <w:rPr>
          <w:lang w:val="es-ES_tradnl"/>
        </w:rPr>
      </w:pPr>
      <w:r>
        <w:rPr>
          <w:lang w:val="es-ES_tradnl"/>
        </w:rPr>
        <w:t xml:space="preserve">Cuando se evalúa una red del </w:t>
      </w:r>
      <w:proofErr w:type="spellStart"/>
      <w:r>
        <w:rPr>
          <w:lang w:val="es-ES_tradnl"/>
        </w:rPr>
        <w:t>SMS</w:t>
      </w:r>
      <w:proofErr w:type="spellEnd"/>
      <w:r>
        <w:rPr>
          <w:lang w:val="es-ES_tradnl"/>
        </w:rPr>
        <w:t xml:space="preserve"> que utiliza </w:t>
      </w:r>
      <w:proofErr w:type="spellStart"/>
      <w:r>
        <w:rPr>
          <w:lang w:val="es-ES_tradnl"/>
        </w:rPr>
        <w:t>AMDT</w:t>
      </w:r>
      <w:proofErr w:type="spellEnd"/>
      <w:r>
        <w:rPr>
          <w:lang w:val="es-ES_tradnl"/>
        </w:rPr>
        <w:t>/</w:t>
      </w:r>
      <w:proofErr w:type="spellStart"/>
      <w:r>
        <w:rPr>
          <w:lang w:val="es-ES_tradnl"/>
        </w:rPr>
        <w:t>AMDF</w:t>
      </w:r>
      <w:proofErr w:type="spellEnd"/>
      <w:r>
        <w:rPr>
          <w:lang w:val="es-ES_tradnl"/>
        </w:rPr>
        <w:t xml:space="preserve">, la potencia de señal interferente combinada en una anchura de banda de referencia de 1 MHz (o menor) para estaciones fijas debe suponerse generada sólo por la red concreta considerada, en la hipótesis de que las emisiones de estos sistemas del </w:t>
      </w:r>
      <w:proofErr w:type="spellStart"/>
      <w:r>
        <w:rPr>
          <w:lang w:val="es-ES_tradnl"/>
        </w:rPr>
        <w:t>SMS</w:t>
      </w:r>
      <w:proofErr w:type="spellEnd"/>
      <w:r>
        <w:rPr>
          <w:lang w:val="es-ES_tradnl"/>
        </w:rPr>
        <w:t xml:space="preserve"> no se intercalarían dentro de ningún segmento de 1 MHz del espectro.</w:t>
      </w:r>
    </w:p>
    <w:p w:rsidR="0074449E" w:rsidRDefault="0074449E" w:rsidP="0074449E">
      <w:pPr>
        <w:pStyle w:val="Heading1"/>
        <w:rPr>
          <w:lang w:val="es-ES_tradnl"/>
        </w:rPr>
      </w:pPr>
      <w:bookmarkStart w:id="5" w:name="_Toc114383392"/>
      <w:r>
        <w:rPr>
          <w:lang w:val="es-ES_tradnl"/>
        </w:rPr>
        <w:t>2</w:t>
      </w:r>
      <w:r>
        <w:rPr>
          <w:lang w:val="es-ES_tradnl"/>
        </w:rPr>
        <w:tab/>
        <w:t>Metodología</w:t>
      </w:r>
      <w:bookmarkEnd w:id="5"/>
    </w:p>
    <w:p w:rsidR="0074449E" w:rsidRDefault="0074449E" w:rsidP="0074449E">
      <w:pPr>
        <w:pStyle w:val="Heading2"/>
        <w:rPr>
          <w:lang w:val="es-ES_tradnl"/>
        </w:rPr>
      </w:pPr>
      <w:bookmarkStart w:id="6" w:name="_Toc114383393"/>
      <w:r>
        <w:rPr>
          <w:lang w:val="es-ES_tradnl"/>
        </w:rPr>
        <w:t>2.1</w:t>
      </w:r>
      <w:r>
        <w:rPr>
          <w:lang w:val="es-ES_tradnl"/>
        </w:rPr>
        <w:tab/>
        <w:t xml:space="preserve">Generación de los requisitos de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10"/>
          <w:lang w:val="es-ES_tradnl"/>
        </w:rPr>
        <w:t> </w:t>
      </w:r>
      <w:r>
        <w:rPr>
          <w:lang w:val="es-ES_tradnl"/>
        </w:rPr>
        <w:t>) deseados para un sistema del servicio fijo</w:t>
      </w:r>
      <w:bookmarkEnd w:id="6"/>
    </w:p>
    <w:p w:rsidR="0074449E" w:rsidRDefault="0074449E" w:rsidP="0074449E">
      <w:pPr>
        <w:rPr>
          <w:lang w:val="es-ES_tradnl"/>
        </w:rPr>
      </w:pPr>
      <w:r>
        <w:rPr>
          <w:lang w:val="es-ES_tradnl"/>
        </w:rPr>
        <w:t xml:space="preserve">Los objetivos de calidad de funcionamiento en banda base pertinentes de un determinado sistema del servicio fijo digital o analógico pueden en general convertirse en una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requerida, como se indica a continuación.</w:t>
      </w:r>
    </w:p>
    <w:p w:rsidR="0074449E" w:rsidRDefault="0074449E" w:rsidP="0074449E">
      <w:pPr>
        <w:rPr>
          <w:lang w:val="es-ES_tradnl"/>
        </w:rPr>
      </w:pPr>
      <w:r>
        <w:rPr>
          <w:lang w:val="es-ES_tradnl"/>
        </w:rPr>
        <w:t>La Recomendación UIT-R F.393</w:t>
      </w:r>
      <w:r>
        <w:rPr>
          <w:rStyle w:val="FootnoteReference"/>
          <w:lang w:val="es-ES_tradnl"/>
        </w:rPr>
        <w:footnoteReference w:id="3"/>
      </w:r>
      <w:r>
        <w:rPr>
          <w:lang w:val="es-ES_tradnl"/>
        </w:rPr>
        <w:t xml:space="preserve"> especifica requisitos de calidad de funcionamiento para sistemas del servicio fijo de </w:t>
      </w:r>
      <w:proofErr w:type="spellStart"/>
      <w:r>
        <w:rPr>
          <w:lang w:val="es-ES_tradnl"/>
        </w:rPr>
        <w:t>MDF</w:t>
      </w:r>
      <w:proofErr w:type="spellEnd"/>
      <w:r>
        <w:rPr>
          <w:lang w:val="es-ES_tradnl"/>
        </w:rPr>
        <w:t>/</w:t>
      </w:r>
      <w:proofErr w:type="spellStart"/>
      <w:r>
        <w:rPr>
          <w:lang w:val="es-ES_tradnl"/>
        </w:rPr>
        <w:t>MF</w:t>
      </w:r>
      <w:proofErr w:type="spellEnd"/>
      <w:r>
        <w:rPr>
          <w:lang w:val="es-ES_tradnl"/>
        </w:rPr>
        <w:t xml:space="preserve"> analógicos expresados en forma de ruido de banda base total en un determinado canal telefónico para diversos porcentajes de tiempo. Estos requisitos de banda base para el circuito de referencia pueden convertirse, mediante la ecuación normalizada que da </w:t>
      </w:r>
      <w:r>
        <w:rPr>
          <w:i/>
          <w:lang w:val="es-ES_tradnl"/>
        </w:rPr>
        <w:t>C</w:t>
      </w:r>
      <w:r>
        <w:rPr>
          <w:lang w:val="es-ES_tradnl"/>
        </w:rPr>
        <w:t>/</w:t>
      </w:r>
      <w:r>
        <w:rPr>
          <w:i/>
          <w:lang w:val="es-ES_tradnl"/>
        </w:rPr>
        <w:t>N</w:t>
      </w:r>
      <w:r>
        <w:rPr>
          <w:lang w:val="es-ES_tradnl"/>
        </w:rPr>
        <w:t xml:space="preserve"> en función de </w:t>
      </w:r>
      <w:r>
        <w:rPr>
          <w:i/>
          <w:lang w:val="es-ES_tradnl"/>
        </w:rPr>
        <w:t>S</w:t>
      </w:r>
      <w:r>
        <w:rPr>
          <w:lang w:val="es-ES_tradnl"/>
        </w:rPr>
        <w:t>/</w:t>
      </w:r>
      <w:r>
        <w:rPr>
          <w:i/>
          <w:lang w:val="es-ES_tradnl"/>
        </w:rPr>
        <w:t>N</w:t>
      </w:r>
      <w:r>
        <w:rPr>
          <w:lang w:val="es-ES_tradnl"/>
        </w:rPr>
        <w:t xml:space="preserve"> en </w:t>
      </w:r>
      <w:proofErr w:type="spellStart"/>
      <w:r>
        <w:rPr>
          <w:lang w:val="es-ES_tradnl"/>
        </w:rPr>
        <w:t>MF</w:t>
      </w:r>
      <w:proofErr w:type="spellEnd"/>
      <w:r>
        <w:rPr>
          <w:lang w:val="es-ES_tradnl"/>
        </w:rPr>
        <w:t xml:space="preserve">, en requisitos de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equivalentes.</w:t>
      </w:r>
    </w:p>
    <w:p w:rsidR="0074449E" w:rsidRDefault="0074449E" w:rsidP="007F56BC">
      <w:pPr>
        <w:keepNext/>
        <w:keepLines/>
        <w:rPr>
          <w:lang w:val="es-ES_tradnl"/>
        </w:rPr>
      </w:pPr>
      <w:r>
        <w:rPr>
          <w:lang w:val="es-ES_tradnl"/>
        </w:rPr>
        <w:lastRenderedPageBreak/>
        <w:t>La Recomendación UIT-R F.555</w:t>
      </w:r>
      <w:r>
        <w:rPr>
          <w:rStyle w:val="FootnoteReference"/>
          <w:lang w:val="es-ES_tradnl"/>
        </w:rPr>
        <w:footnoteReference w:id="4"/>
      </w:r>
      <w:r>
        <w:rPr>
          <w:lang w:val="es-ES_tradnl"/>
        </w:rPr>
        <w:t xml:space="preserve"> especifica requisitos de calidad de funcionamiento para sistemas del servicio fijo de TV/</w:t>
      </w:r>
      <w:proofErr w:type="spellStart"/>
      <w:r>
        <w:rPr>
          <w:lang w:val="es-ES_tradnl"/>
        </w:rPr>
        <w:t>MF</w:t>
      </w:r>
      <w:proofErr w:type="spellEnd"/>
      <w:r>
        <w:rPr>
          <w:lang w:val="es-ES_tradnl"/>
        </w:rPr>
        <w:t xml:space="preserve"> expresados en forma de </w:t>
      </w:r>
      <w:r>
        <w:rPr>
          <w:i/>
          <w:lang w:val="es-ES_tradnl"/>
        </w:rPr>
        <w:t>S</w:t>
      </w:r>
      <w:r>
        <w:rPr>
          <w:lang w:val="es-ES_tradnl"/>
        </w:rPr>
        <w:t>/</w:t>
      </w:r>
      <w:r>
        <w:rPr>
          <w:i/>
          <w:lang w:val="es-ES_tradnl"/>
        </w:rPr>
        <w:t>N</w:t>
      </w:r>
      <w:r>
        <w:rPr>
          <w:lang w:val="es-ES_tradnl"/>
        </w:rPr>
        <w:t xml:space="preserve"> requerida en un determinado canal de vídeo para diversos porcentajes de tiempo. Estos requisitos de banda base para el circuito de referencia pueden convertirse, mediante la ecuación normalizada que da </w:t>
      </w:r>
      <w:r>
        <w:rPr>
          <w:i/>
          <w:lang w:val="es-ES_tradnl"/>
        </w:rPr>
        <w:t>C</w:t>
      </w:r>
      <w:r>
        <w:rPr>
          <w:lang w:val="es-ES_tradnl"/>
        </w:rPr>
        <w:t>/</w:t>
      </w:r>
      <w:r>
        <w:rPr>
          <w:i/>
          <w:lang w:val="es-ES_tradnl"/>
        </w:rPr>
        <w:t>N</w:t>
      </w:r>
      <w:r>
        <w:rPr>
          <w:lang w:val="es-ES_tradnl"/>
        </w:rPr>
        <w:t xml:space="preserve"> en función de </w:t>
      </w:r>
      <w:r>
        <w:rPr>
          <w:i/>
          <w:lang w:val="es-ES_tradnl"/>
        </w:rPr>
        <w:t>S</w:t>
      </w:r>
      <w:r>
        <w:rPr>
          <w:lang w:val="es-ES_tradnl"/>
        </w:rPr>
        <w:t>/</w:t>
      </w:r>
      <w:r>
        <w:rPr>
          <w:i/>
          <w:lang w:val="es-ES_tradnl"/>
        </w:rPr>
        <w:t>N</w:t>
      </w:r>
      <w:r>
        <w:rPr>
          <w:lang w:val="es-ES_tradnl"/>
        </w:rPr>
        <w:t xml:space="preserve"> en </w:t>
      </w:r>
      <w:proofErr w:type="spellStart"/>
      <w:r>
        <w:rPr>
          <w:lang w:val="es-ES_tradnl"/>
        </w:rPr>
        <w:t>MF</w:t>
      </w:r>
      <w:proofErr w:type="spellEnd"/>
      <w:r>
        <w:rPr>
          <w:lang w:val="es-ES_tradnl"/>
        </w:rPr>
        <w:t xml:space="preserve">, en requisitos de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equivalentes.</w:t>
      </w:r>
    </w:p>
    <w:p w:rsidR="0074449E" w:rsidRDefault="0074449E" w:rsidP="0074449E">
      <w:pPr>
        <w:rPr>
          <w:lang w:val="es-ES_tradnl"/>
        </w:rPr>
      </w:pPr>
      <w:r>
        <w:rPr>
          <w:lang w:val="es-ES_tradnl"/>
        </w:rPr>
        <w:t xml:space="preserve">Las Recomendaciones UIT-R F.634, UIT-R F.695, UIT-R F.696, UIT-R F.697 y UIT-R F.557 especifican los objetivos de calidad de funcionamiento de la red (objetivos de característica de error y la disponibilidad) para los sistemas digitales existentes de grado alto, medio y local de la red digital de servicios integrados expresados en forma de </w:t>
      </w:r>
      <w:proofErr w:type="spellStart"/>
      <w:r>
        <w:rPr>
          <w:lang w:val="es-ES_tradnl"/>
        </w:rPr>
        <w:t>BER</w:t>
      </w:r>
      <w:proofErr w:type="spellEnd"/>
      <w:r>
        <w:rPr>
          <w:lang w:val="es-ES_tradnl"/>
        </w:rPr>
        <w:t xml:space="preserve"> requerida para diversos porcentajes de tiempo. Estos requisitos de banda base para el circuito de referencia pueden convertirse, mediante las curvas de referencia normalizadas de la Recomendación UIT-R SF.766, en requisitos de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equivalentes.</w:t>
      </w:r>
    </w:p>
    <w:p w:rsidR="0074449E" w:rsidRDefault="0074449E" w:rsidP="00EB16BE">
      <w:pPr>
        <w:rPr>
          <w:lang w:val="es-ES_tradnl"/>
        </w:rPr>
      </w:pPr>
      <w:r>
        <w:rPr>
          <w:lang w:val="es-ES_tradnl"/>
        </w:rPr>
        <w:t xml:space="preserve">La generación de los requisitos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para los nuevos sistemas del servicio fijo digitales debe basarse en la </w:t>
      </w:r>
      <w:proofErr w:type="spellStart"/>
      <w:r>
        <w:rPr>
          <w:lang w:val="es-ES_tradnl"/>
        </w:rPr>
        <w:t>Recomendaci</w:t>
      </w:r>
      <w:r w:rsidR="00EB16BE">
        <w:rPr>
          <w:lang w:val="es-ES_tradnl"/>
        </w:rPr>
        <w:t>ó</w:t>
      </w:r>
      <w:r>
        <w:rPr>
          <w:lang w:val="es-ES_tradnl"/>
        </w:rPr>
        <w:t>nes</w:t>
      </w:r>
      <w:proofErr w:type="spellEnd"/>
      <w:r>
        <w:rPr>
          <w:lang w:val="es-ES_tradnl"/>
        </w:rPr>
        <w:t xml:space="preserve"> UIT-R F.1</w:t>
      </w:r>
      <w:r w:rsidR="00EB16BE">
        <w:rPr>
          <w:lang w:val="es-ES_tradnl"/>
        </w:rPr>
        <w:t>668</w:t>
      </w:r>
      <w:r>
        <w:rPr>
          <w:lang w:val="es-ES_tradnl"/>
        </w:rPr>
        <w:t>.</w:t>
      </w:r>
    </w:p>
    <w:p w:rsidR="0074449E" w:rsidRDefault="0074449E" w:rsidP="0074449E">
      <w:pPr>
        <w:rPr>
          <w:lang w:val="es-ES_tradnl"/>
        </w:rPr>
      </w:pPr>
      <w:r>
        <w:rPr>
          <w:lang w:val="es-ES_tradnl"/>
        </w:rPr>
        <w:t xml:space="preserve">Deben utilizarse las características de un módem de receptor de servicio fijo real, cuando se disponga de ellas, en la conversión de un objetivo de calidad de funcionamiento en banda base en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Cuando no esté disponible esta información, pueden utilizarse las características técnicas de la Recomendación UIT-R SF.766, y debe acordarse un margen de realización entre las partes.</w:t>
      </w:r>
    </w:p>
    <w:p w:rsidR="0074449E" w:rsidRDefault="0074449E" w:rsidP="0074449E">
      <w:pPr>
        <w:pStyle w:val="Heading2"/>
        <w:rPr>
          <w:lang w:val="es-ES_tradnl"/>
        </w:rPr>
      </w:pPr>
      <w:bookmarkStart w:id="7" w:name="_Toc114383394"/>
      <w:r>
        <w:rPr>
          <w:lang w:val="es-ES_tradnl"/>
        </w:rPr>
        <w:t>2.2</w:t>
      </w:r>
      <w:r>
        <w:rPr>
          <w:lang w:val="es-ES_tradnl"/>
        </w:rPr>
        <w:tab/>
        <w:t xml:space="preserve">Generación de estadísticas de </w:t>
      </w:r>
      <w:r>
        <w:rPr>
          <w:i/>
          <w:lang w:val="es-ES_tradnl"/>
        </w:rPr>
        <w:t>C</w:t>
      </w:r>
      <w:r>
        <w:rPr>
          <w:lang w:val="es-ES_tradnl"/>
        </w:rPr>
        <w:t>/</w:t>
      </w:r>
      <w:r>
        <w:rPr>
          <w:i/>
          <w:lang w:val="es-ES_tradnl"/>
        </w:rPr>
        <w:t>I</w:t>
      </w:r>
      <w:r>
        <w:rPr>
          <w:lang w:val="es-ES_tradnl"/>
        </w:rPr>
        <w:t xml:space="preserve">, </w:t>
      </w:r>
      <w:r>
        <w:rPr>
          <w:i/>
          <w:lang w:val="es-ES_tradnl"/>
        </w:rPr>
        <w:t>C</w:t>
      </w:r>
      <w:r>
        <w:rPr>
          <w:lang w:val="es-ES_tradnl"/>
        </w:rPr>
        <w:t>/</w:t>
      </w:r>
      <w:r>
        <w:rPr>
          <w:i/>
          <w:lang w:val="es-ES_tradnl"/>
        </w:rPr>
        <w:t>N</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i/>
          <w:sz w:val="10"/>
          <w:lang w:val="es-ES_tradnl"/>
        </w:rPr>
        <w:t> </w:t>
      </w:r>
      <w:r>
        <w:rPr>
          <w:lang w:val="es-ES_tradnl"/>
        </w:rPr>
        <w:t>) para un sistema del servicio fijo</w:t>
      </w:r>
      <w:bookmarkEnd w:id="7"/>
      <w:r>
        <w:rPr>
          <w:lang w:val="es-ES_tradnl"/>
        </w:rPr>
        <w:t xml:space="preserve"> </w:t>
      </w:r>
    </w:p>
    <w:p w:rsidR="0074449E" w:rsidRDefault="0074449E" w:rsidP="00924F71">
      <w:pPr>
        <w:rPr>
          <w:lang w:val="es-ES_tradnl"/>
        </w:rPr>
      </w:pPr>
      <w:r>
        <w:rPr>
          <w:i/>
          <w:lang w:val="es-ES_tradnl"/>
        </w:rPr>
        <w:t>Paso 1</w:t>
      </w:r>
      <w:r w:rsidR="00924F71" w:rsidRPr="00924F71">
        <w:rPr>
          <w:lang w:val="es-ES_tradnl"/>
        </w:rPr>
        <w:t>:  </w:t>
      </w:r>
      <w:r>
        <w:rPr>
          <w:lang w:val="es-ES_tradnl"/>
        </w:rPr>
        <w:t xml:space="preserve">Cálculo en cada intervalo de tiempo del nivel de portadora recibido, </w:t>
      </w:r>
      <w:r>
        <w:rPr>
          <w:i/>
          <w:lang w:val="es-ES_tradnl"/>
        </w:rPr>
        <w:t>C</w:t>
      </w:r>
      <w:r>
        <w:rPr>
          <w:lang w:val="es-ES_tradnl"/>
        </w:rPr>
        <w:t>, en cada estación receptora del servicio fijo en una ruta del servicio fijo de múltiples saltos con el desvanecimiento multitrayecto tenido en cuenta en ese salto concreto.</w:t>
      </w:r>
    </w:p>
    <w:p w:rsidR="0074449E" w:rsidRDefault="0074449E" w:rsidP="0074449E">
      <w:pPr>
        <w:rPr>
          <w:lang w:val="es-ES_tradnl"/>
        </w:rPr>
      </w:pPr>
      <w:r>
        <w:rPr>
          <w:lang w:val="es-ES_tradnl"/>
        </w:rPr>
        <w:t>a)</w:t>
      </w:r>
      <w:r>
        <w:rPr>
          <w:lang w:val="es-ES_tradnl"/>
        </w:rPr>
        <w:tab/>
        <w:t xml:space="preserve">El nivel de portadora recibido, </w:t>
      </w:r>
      <w:r>
        <w:rPr>
          <w:i/>
          <w:lang w:val="es-ES_tradnl"/>
        </w:rPr>
        <w:t>C</w:t>
      </w:r>
      <w:r>
        <w:rPr>
          <w:lang w:val="es-ES_tradnl"/>
        </w:rPr>
        <w:t>, en cada estación se calcula a partir de la correspondiente p.i.r.e. de la estación transmisora del servicio fijo, de la pérdida en espacio libre correspondiente a la longitud de trayecto considerada y a la pérdida de propagación por desvanecimiento multitrayecto aplicable a ese salto concreto, de la ganancia de antena receptora del servicio fijo y de las pérdidas de alimentación del servicio fijo en recepción.</w:t>
      </w:r>
    </w:p>
    <w:p w:rsidR="0074449E" w:rsidRDefault="0074449E" w:rsidP="0074449E">
      <w:pPr>
        <w:rPr>
          <w:lang w:val="es-ES_tradnl"/>
        </w:rPr>
      </w:pPr>
      <w:r>
        <w:rPr>
          <w:lang w:val="es-ES_tradnl"/>
        </w:rPr>
        <w:t>b)</w:t>
      </w:r>
      <w:r>
        <w:rPr>
          <w:lang w:val="es-ES_tradnl"/>
        </w:rPr>
        <w:tab/>
        <w:t xml:space="preserve">El desvanecimiento multitrayecto se tiene en cuenta utilizando un predictor de profundidad de desvanecimiento aleatorio, cuya salida es consecuente con la distribución estadística obtenida a partir del modelo de desvanecimiento multitrayecto de la Recomendación UIT-R P.530. El predictor de desvanecimiento aleatorio genera profundidades de desvanecimiento en cada intervalo de tiempo pertinente en la simulación, de manera que la distribución estadística de los desvanecimientos generados es consecuente con la distribución predicha para ese trayecto. El predictor de profundidad de desvanecimiento requiere información sobre la longitud del trayecto, la inclinación del mismo, la frecuencia y el número de factores </w:t>
      </w:r>
      <w:proofErr w:type="spellStart"/>
      <w:r>
        <w:rPr>
          <w:lang w:val="es-ES_tradnl"/>
        </w:rPr>
        <w:t>geoclimáticos</w:t>
      </w:r>
      <w:proofErr w:type="spellEnd"/>
      <w:r>
        <w:rPr>
          <w:lang w:val="es-ES_tradnl"/>
        </w:rPr>
        <w:t xml:space="preserve"> especificados en la citada Recomendación apropiados a la situación geográfica concreta del salto de servicio fijo. El intervalo de tiempo especificado para el predictor de profundidad de desvaneci</w:t>
      </w:r>
      <w:r>
        <w:rPr>
          <w:lang w:val="es-ES_tradnl"/>
        </w:rPr>
        <w:softHyphen/>
        <w:t>miento puede en general ser diferente del requerido para la evaluación de la interferencia, ya que este último proceso suele tener una variación más lenta. Para sistemas del servicio fijo digitales típicos de 2 GHz, no es normalmente necesario incluir un margen para otros tipos de desvanecimiento.</w:t>
      </w:r>
    </w:p>
    <w:p w:rsidR="0074449E" w:rsidRDefault="0074449E" w:rsidP="007F56BC">
      <w:pPr>
        <w:keepNext/>
        <w:keepLines/>
        <w:rPr>
          <w:lang w:val="es-ES_tradnl"/>
        </w:rPr>
      </w:pPr>
      <w:r>
        <w:rPr>
          <w:lang w:val="es-ES_tradnl"/>
        </w:rPr>
        <w:lastRenderedPageBreak/>
        <w:t>c)</w:t>
      </w:r>
      <w:r>
        <w:rPr>
          <w:lang w:val="es-ES_tradnl"/>
        </w:rPr>
        <w:tab/>
        <w:t xml:space="preserve">En algunos casos, los saltos del servicio fijo pueden no tener primer despejamiento de zona de </w:t>
      </w:r>
      <w:proofErr w:type="spellStart"/>
      <w:r>
        <w:rPr>
          <w:lang w:val="es-ES_tradnl"/>
        </w:rPr>
        <w:t>Fresnel</w:t>
      </w:r>
      <w:proofErr w:type="spellEnd"/>
      <w:r>
        <w:rPr>
          <w:lang w:val="es-ES_tradnl"/>
        </w:rPr>
        <w:t>. En dichos casos, es apropiado añadir un factor de pérdida adicional a la pérdida en espacio libre y a la pérdida por desvanecimiento multitrayecto. Este factor debe basarse en datos medidos, cuando se disponga de ellos.</w:t>
      </w:r>
    </w:p>
    <w:p w:rsidR="0074449E" w:rsidRDefault="0074449E" w:rsidP="00A1537A">
      <w:pPr>
        <w:rPr>
          <w:lang w:val="es-ES_tradnl"/>
        </w:rPr>
      </w:pPr>
      <w:r>
        <w:rPr>
          <w:lang w:val="es-ES_tradnl"/>
        </w:rPr>
        <w:t>d)</w:t>
      </w:r>
      <w:r>
        <w:rPr>
          <w:lang w:val="es-ES_tradnl"/>
        </w:rPr>
        <w:tab/>
        <w:t>En los casos en que se disponga de datos de propagación medidos estadísticamente válidos para los distintos saltos de servicio fijo, estos datos podrían utilizarse en lugar de los modelos de propagaci</w:t>
      </w:r>
      <w:r w:rsidR="00E477C4">
        <w:rPr>
          <w:lang w:val="es-ES_tradnl"/>
        </w:rPr>
        <w:t xml:space="preserve">ón antes indicados en a), b), y </w:t>
      </w:r>
      <w:r>
        <w:rPr>
          <w:lang w:val="es-ES_tradnl"/>
        </w:rPr>
        <w:t>c), por acuerdo entre las partes interesadas. Puede re</w:t>
      </w:r>
      <w:r w:rsidR="00A1537A">
        <w:rPr>
          <w:lang w:val="es-ES_tradnl"/>
        </w:rPr>
        <w:t>sultar posible en algunos casos</w:t>
      </w:r>
      <w:r>
        <w:rPr>
          <w:lang w:val="es-ES_tradnl"/>
        </w:rPr>
        <w:t xml:space="preserve"> </w:t>
      </w:r>
      <w:r w:rsidR="00A1537A">
        <w:rPr>
          <w:lang w:val="es-ES_tradnl"/>
        </w:rPr>
        <w:t>(</w:t>
      </w:r>
      <w:r>
        <w:rPr>
          <w:lang w:val="es-ES_tradnl"/>
        </w:rPr>
        <w:t>por ejemplo, sobre la base de datos medidos</w:t>
      </w:r>
      <w:r w:rsidR="00A1537A">
        <w:rPr>
          <w:lang w:val="es-ES_tradnl"/>
        </w:rPr>
        <w:t>),</w:t>
      </w:r>
      <w:r>
        <w:rPr>
          <w:lang w:val="es-ES_tradnl"/>
        </w:rPr>
        <w:t xml:space="preserve"> </w:t>
      </w:r>
      <w:r w:rsidR="00A1537A">
        <w:rPr>
          <w:lang w:val="es-ES_tradnl"/>
        </w:rPr>
        <w:t xml:space="preserve">que se </w:t>
      </w:r>
      <w:r>
        <w:rPr>
          <w:lang w:val="es-ES_tradnl"/>
        </w:rPr>
        <w:t>ten</w:t>
      </w:r>
      <w:r w:rsidR="00A1537A">
        <w:rPr>
          <w:lang w:val="es-ES_tradnl"/>
        </w:rPr>
        <w:t>gan</w:t>
      </w:r>
      <w:r>
        <w:rPr>
          <w:lang w:val="es-ES_tradnl"/>
        </w:rPr>
        <w:t xml:space="preserve"> en cuenta las variaciones diarias y/o estacionales en el comportamiento de propagación con desvanecimiento multitrayecto.</w:t>
      </w:r>
    </w:p>
    <w:p w:rsidR="0074449E" w:rsidRDefault="0074449E" w:rsidP="0074449E">
      <w:pPr>
        <w:rPr>
          <w:lang w:val="es-ES_tradnl"/>
        </w:rPr>
      </w:pPr>
      <w:r>
        <w:rPr>
          <w:lang w:val="es-ES_tradnl"/>
        </w:rPr>
        <w:t>e)</w:t>
      </w:r>
      <w:r>
        <w:rPr>
          <w:lang w:val="es-ES_tradnl"/>
        </w:rPr>
        <w:tab/>
        <w:t xml:space="preserve">Debe prestarse consideración a la incursión en el ruido total, </w:t>
      </w:r>
      <w:r>
        <w:rPr>
          <w:i/>
          <w:lang w:val="es-ES_tradnl"/>
        </w:rPr>
        <w:t>N</w:t>
      </w:r>
      <w:r>
        <w:rPr>
          <w:lang w:val="es-ES_tradnl"/>
        </w:rPr>
        <w:t xml:space="preserve">, de un margen para la interferencia intrasistema e </w:t>
      </w:r>
      <w:proofErr w:type="spellStart"/>
      <w:r>
        <w:rPr>
          <w:lang w:val="es-ES_tradnl"/>
        </w:rPr>
        <w:t>intraservicio</w:t>
      </w:r>
      <w:proofErr w:type="spellEnd"/>
      <w:r>
        <w:rPr>
          <w:lang w:val="es-ES_tradnl"/>
        </w:rPr>
        <w:t xml:space="preserve"> dentro del servicio fijo, así como a las contribuciones de otros servicios a título primario compartido (distintos del </w:t>
      </w:r>
      <w:proofErr w:type="spellStart"/>
      <w:r>
        <w:rPr>
          <w:lang w:val="es-ES_tradnl"/>
        </w:rPr>
        <w:t>SMS</w:t>
      </w:r>
      <w:proofErr w:type="spellEnd"/>
      <w:r>
        <w:rPr>
          <w:lang w:val="es-ES_tradnl"/>
        </w:rPr>
        <w:t>) (véase la Nota 1 siguiente). El valor de este margen debe ser determinado por las partes interesadas. Debe señalarse que la Recomendación UIT-R F.1094 especifica que el valor admisible máximo de la característica de error y de la degradación de disponibilidad causadas a los sistemas del servicio fijo digitales por emisiones procedentes de servicios que comparten frecuencias a título primario no debe exceder del 10% de los objetivos de calidad de funcionamiento de la red.</w:t>
      </w:r>
    </w:p>
    <w:p w:rsidR="0074449E" w:rsidRDefault="0074449E" w:rsidP="0074449E">
      <w:pPr>
        <w:pStyle w:val="Note"/>
        <w:rPr>
          <w:lang w:val="es-ES_tradnl"/>
        </w:rPr>
      </w:pPr>
      <w:r>
        <w:rPr>
          <w:lang w:val="es-ES_tradnl"/>
        </w:rPr>
        <w:t xml:space="preserve">NOTA 1 – En el ruido equivalente total están incluidos, además de las contribuciones que tienen en cuenta el ruido térmico y el ruido del receptor en los receptores, factores que tienen en cuenta la interferencia </w:t>
      </w:r>
      <w:proofErr w:type="spellStart"/>
      <w:r>
        <w:rPr>
          <w:lang w:val="es-ES_tradnl"/>
        </w:rPr>
        <w:t>intraservicio</w:t>
      </w:r>
      <w:proofErr w:type="spellEnd"/>
      <w:r>
        <w:rPr>
          <w:lang w:val="es-ES_tradnl"/>
        </w:rPr>
        <w:t xml:space="preserve"> y factores adicionales dependientes del tipo de sistema del servicio fijo. En los sistemas digitales, pueden necesitarse factores que tengan en cuenta las imperfecciones de realización del receptor, cuando se utilizan características ideales del módem. En los sistemas de radioenlaces de </w:t>
      </w:r>
      <w:proofErr w:type="spellStart"/>
      <w:r>
        <w:rPr>
          <w:lang w:val="es-ES_tradnl"/>
        </w:rPr>
        <w:t>MF</w:t>
      </w:r>
      <w:proofErr w:type="spellEnd"/>
      <w:r>
        <w:rPr>
          <w:lang w:val="es-ES_tradnl"/>
        </w:rPr>
        <w:t xml:space="preserve"> analógicos utilizados en telefonía, se necesitan factores que tengan en cuenta el ruido de distorsión de intermodulación y las contribuciones de component</w:t>
      </w:r>
      <w:r w:rsidR="00E477C4">
        <w:rPr>
          <w:lang w:val="es-ES_tradnl"/>
        </w:rPr>
        <w:t>es de sistemas tales como multi</w:t>
      </w:r>
      <w:r>
        <w:rPr>
          <w:lang w:val="es-ES_tradnl"/>
        </w:rPr>
        <w:t>plexores/</w:t>
      </w:r>
      <w:proofErr w:type="spellStart"/>
      <w:r>
        <w:rPr>
          <w:lang w:val="es-ES_tradnl"/>
        </w:rPr>
        <w:t>demultiplexores</w:t>
      </w:r>
      <w:proofErr w:type="spellEnd"/>
      <w:r>
        <w:rPr>
          <w:lang w:val="es-ES_tradnl"/>
        </w:rPr>
        <w:t>, y de los enlaces de entrada. En los sistemas de radioenlaces analógicos utilizados en televisión, puede ser necesario considerar factores adicionales.</w:t>
      </w:r>
    </w:p>
    <w:p w:rsidR="0074449E" w:rsidRDefault="0074449E" w:rsidP="00924F71">
      <w:pPr>
        <w:rPr>
          <w:lang w:val="es-ES_tradnl"/>
        </w:rPr>
      </w:pPr>
      <w:r>
        <w:rPr>
          <w:i/>
          <w:lang w:val="es-ES_tradnl"/>
        </w:rPr>
        <w:t>Paso 2</w:t>
      </w:r>
      <w:r w:rsidR="00924F71" w:rsidRPr="00924F71">
        <w:rPr>
          <w:lang w:val="es-ES_tradnl"/>
        </w:rPr>
        <w:t>:  </w:t>
      </w:r>
      <w:r>
        <w:rPr>
          <w:lang w:val="es-ES_tradnl"/>
        </w:rPr>
        <w:t xml:space="preserve">Cálculo en cada intervalo de tiempo de la potencia de señal interferente, </w:t>
      </w:r>
      <w:r>
        <w:rPr>
          <w:i/>
          <w:lang w:val="es-ES_tradnl"/>
        </w:rPr>
        <w:t>I</w:t>
      </w:r>
      <w:r>
        <w:rPr>
          <w:lang w:val="es-ES_tradnl"/>
        </w:rPr>
        <w:t xml:space="preserve">, en cada estación receptora del servicio fijo en una ruta del servicio fijo de múltiples saltos debida a cada portadora interferente del </w:t>
      </w:r>
      <w:proofErr w:type="spellStart"/>
      <w:r>
        <w:rPr>
          <w:lang w:val="es-ES_tradnl"/>
        </w:rPr>
        <w:t>SMS</w:t>
      </w:r>
      <w:proofErr w:type="spellEnd"/>
      <w:r>
        <w:rPr>
          <w:lang w:val="es-ES_tradnl"/>
        </w:rPr>
        <w:t xml:space="preserve"> con </w:t>
      </w:r>
      <w:proofErr w:type="spellStart"/>
      <w:r>
        <w:rPr>
          <w:lang w:val="es-ES_tradnl"/>
        </w:rPr>
        <w:t>AMDT</w:t>
      </w:r>
      <w:proofErr w:type="spellEnd"/>
      <w:r>
        <w:rPr>
          <w:lang w:val="es-ES_tradnl"/>
        </w:rPr>
        <w:t>/</w:t>
      </w:r>
      <w:proofErr w:type="spellStart"/>
      <w:r>
        <w:rPr>
          <w:lang w:val="es-ES_tradnl"/>
        </w:rPr>
        <w:t>AMDF</w:t>
      </w:r>
      <w:proofErr w:type="spellEnd"/>
      <w:r>
        <w:rPr>
          <w:lang w:val="es-ES_tradnl"/>
        </w:rPr>
        <w:t xml:space="preserve"> dentro de la anchura de banda ocupada de la portadora del servicio fijo producida por cada haz puntual de cada satélite del </w:t>
      </w:r>
      <w:proofErr w:type="spellStart"/>
      <w:r>
        <w:rPr>
          <w:lang w:val="es-ES_tradnl"/>
        </w:rPr>
        <w:t>SMS</w:t>
      </w:r>
      <w:proofErr w:type="spellEnd"/>
      <w:r>
        <w:rPr>
          <w:lang w:val="es-ES_tradnl"/>
        </w:rPr>
        <w:t xml:space="preserve"> visible, teniendo en cuenta el haz puntual del satélite del </w:t>
      </w:r>
      <w:proofErr w:type="spellStart"/>
      <w:r>
        <w:rPr>
          <w:lang w:val="es-ES_tradnl"/>
        </w:rPr>
        <w:t>SMS</w:t>
      </w:r>
      <w:proofErr w:type="spellEnd"/>
      <w:r>
        <w:rPr>
          <w:lang w:val="es-ES_tradnl"/>
        </w:rPr>
        <w:t xml:space="preserve"> y la discriminación de la antena receptora del servicio fijo y la potencia del haz puntual del satélite del </w:t>
      </w:r>
      <w:proofErr w:type="spellStart"/>
      <w:r>
        <w:rPr>
          <w:lang w:val="es-ES_tradnl"/>
        </w:rPr>
        <w:t>SMS</w:t>
      </w:r>
      <w:proofErr w:type="spellEnd"/>
      <w:r>
        <w:rPr>
          <w:lang w:val="es-ES_tradnl"/>
        </w:rPr>
        <w:t>/carga de tráfico y los planes de frecuencia.</w:t>
      </w:r>
    </w:p>
    <w:p w:rsidR="0074449E" w:rsidRDefault="0074449E" w:rsidP="0074449E">
      <w:pPr>
        <w:rPr>
          <w:lang w:val="es-ES_tradnl"/>
        </w:rPr>
      </w:pPr>
      <w:r>
        <w:rPr>
          <w:lang w:val="es-ES_tradnl"/>
        </w:rPr>
        <w:t>a)</w:t>
      </w:r>
      <w:r>
        <w:rPr>
          <w:lang w:val="es-ES_tradnl"/>
        </w:rPr>
        <w:tab/>
        <w:t xml:space="preserve">Las posiciones orbitales de cada uno de los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xml:space="preserve"> pueden ser predichas por un predictor de órbita teniendo en cuenta la precesión real o forzada de las órbitas. La posición orbital de un satélite </w:t>
      </w:r>
      <w:proofErr w:type="spellStart"/>
      <w:r>
        <w:rPr>
          <w:lang w:val="es-ES_tradnl"/>
        </w:rPr>
        <w:t>OSG</w:t>
      </w:r>
      <w:proofErr w:type="spellEnd"/>
      <w:r>
        <w:rPr>
          <w:lang w:val="es-ES_tradnl"/>
        </w:rPr>
        <w:t xml:space="preserve"> se fija a una longitud dada en la órbita geoestacionaria.</w:t>
      </w:r>
    </w:p>
    <w:p w:rsidR="0074449E" w:rsidRDefault="0074449E" w:rsidP="0074449E">
      <w:pPr>
        <w:rPr>
          <w:lang w:val="es-ES_tradnl"/>
        </w:rPr>
      </w:pPr>
      <w:r>
        <w:rPr>
          <w:lang w:val="es-ES_tradnl"/>
        </w:rPr>
        <w:t>b)</w:t>
      </w:r>
      <w:r>
        <w:rPr>
          <w:lang w:val="es-ES_tradnl"/>
        </w:rPr>
        <w:tab/>
        <w:t xml:space="preserve">La pérdida en espacio libre en el trayecto interferente producida por cada satélite del </w:t>
      </w:r>
      <w:proofErr w:type="spellStart"/>
      <w:r>
        <w:rPr>
          <w:lang w:val="es-ES_tradnl"/>
        </w:rPr>
        <w:t>SMS</w:t>
      </w:r>
      <w:proofErr w:type="spellEnd"/>
      <w:r>
        <w:rPr>
          <w:lang w:val="es-ES_tradnl"/>
        </w:rPr>
        <w:t xml:space="preserve"> visible a cada estación visible del servicio fijo puede calcularse conociendo la magnitud del vector alcance.</w:t>
      </w:r>
    </w:p>
    <w:p w:rsidR="0074449E" w:rsidRDefault="0074449E" w:rsidP="0074449E">
      <w:pPr>
        <w:rPr>
          <w:lang w:val="es-ES_tradnl"/>
        </w:rPr>
      </w:pPr>
      <w:r>
        <w:rPr>
          <w:lang w:val="es-ES_tradnl"/>
        </w:rPr>
        <w:t>c)</w:t>
      </w:r>
      <w:r>
        <w:rPr>
          <w:lang w:val="es-ES_tradnl"/>
        </w:rPr>
        <w:tab/>
        <w:t xml:space="preserve">Cada haz puntual de satélite del </w:t>
      </w:r>
      <w:proofErr w:type="spellStart"/>
      <w:r>
        <w:rPr>
          <w:lang w:val="es-ES_tradnl"/>
        </w:rPr>
        <w:t>SMS</w:t>
      </w:r>
      <w:proofErr w:type="spellEnd"/>
      <w:r>
        <w:rPr>
          <w:lang w:val="es-ES_tradnl"/>
        </w:rPr>
        <w:t xml:space="preserve"> en cada satélite del </w:t>
      </w:r>
      <w:proofErr w:type="spellStart"/>
      <w:r>
        <w:rPr>
          <w:lang w:val="es-ES_tradnl"/>
        </w:rPr>
        <w:t>SMS</w:t>
      </w:r>
      <w:proofErr w:type="spellEnd"/>
      <w:r>
        <w:rPr>
          <w:lang w:val="es-ES_tradnl"/>
        </w:rPr>
        <w:t xml:space="preserve"> puede venir caracterizado por diagramas de referencia o por diagramas de antena realmente medidos o previstos.</w:t>
      </w:r>
    </w:p>
    <w:p w:rsidR="0074449E" w:rsidRDefault="0074449E" w:rsidP="0074449E">
      <w:pPr>
        <w:rPr>
          <w:lang w:val="es-ES_tradnl"/>
        </w:rPr>
      </w:pPr>
      <w:r>
        <w:rPr>
          <w:lang w:val="es-ES_tradnl"/>
        </w:rPr>
        <w:t>d)</w:t>
      </w:r>
      <w:r>
        <w:rPr>
          <w:lang w:val="es-ES_tradnl"/>
        </w:rPr>
        <w:tab/>
        <w:t xml:space="preserve">Para cada haz puntual de satélite del </w:t>
      </w:r>
      <w:proofErr w:type="spellStart"/>
      <w:r>
        <w:rPr>
          <w:lang w:val="es-ES_tradnl"/>
        </w:rPr>
        <w:t>SMS</w:t>
      </w:r>
      <w:proofErr w:type="spellEnd"/>
      <w:r>
        <w:rPr>
          <w:lang w:val="es-ES_tradnl"/>
        </w:rPr>
        <w:t xml:space="preserve"> por satélite, la ganancia de antena de un haz puntual de satélite hacia cada estación del servicio fijo puede calcularse conociendo la posición relativa instantánea del satélite del </w:t>
      </w:r>
      <w:proofErr w:type="spellStart"/>
      <w:r>
        <w:rPr>
          <w:lang w:val="es-ES_tradnl"/>
        </w:rPr>
        <w:t>SMS</w:t>
      </w:r>
      <w:proofErr w:type="spellEnd"/>
      <w:r>
        <w:rPr>
          <w:lang w:val="es-ES_tradnl"/>
        </w:rPr>
        <w:t xml:space="preserve"> con respecto a la estación del servicio fijo y la dirección de puntería del haz puntual de satélite considerado.</w:t>
      </w:r>
    </w:p>
    <w:p w:rsidR="0074449E" w:rsidRDefault="0074449E" w:rsidP="00671F06">
      <w:pPr>
        <w:rPr>
          <w:lang w:val="es-ES_tradnl"/>
        </w:rPr>
      </w:pPr>
      <w:r>
        <w:rPr>
          <w:lang w:val="es-ES_tradnl"/>
        </w:rPr>
        <w:t>e)</w:t>
      </w:r>
      <w:r>
        <w:rPr>
          <w:lang w:val="es-ES_tradnl"/>
        </w:rPr>
        <w:tab/>
        <w:t xml:space="preserve">Cada estación receptora del servicio fijo puede normalmente venir descrita por el diagrama de la Recomendación UIT-R F.1245 o por el diagrama de antena real o una fórmula. En el caso de los sistemas del </w:t>
      </w:r>
      <w:proofErr w:type="spellStart"/>
      <w:r>
        <w:rPr>
          <w:lang w:val="es-ES_tradnl"/>
        </w:rPr>
        <w:t>SMS</w:t>
      </w:r>
      <w:proofErr w:type="spellEnd"/>
      <w:r>
        <w:rPr>
          <w:lang w:val="es-ES_tradnl"/>
        </w:rPr>
        <w:t xml:space="preserve"> </w:t>
      </w:r>
      <w:proofErr w:type="spellStart"/>
      <w:r>
        <w:rPr>
          <w:lang w:val="es-ES_tradnl"/>
        </w:rPr>
        <w:t>OSG</w:t>
      </w:r>
      <w:proofErr w:type="spellEnd"/>
      <w:r>
        <w:rPr>
          <w:lang w:val="es-ES_tradnl"/>
        </w:rPr>
        <w:t>, la Recomendación UIT-R F.699 puede ser más adecuada.</w:t>
      </w:r>
    </w:p>
    <w:p w:rsidR="0074449E" w:rsidRDefault="0074449E" w:rsidP="0074449E">
      <w:pPr>
        <w:rPr>
          <w:lang w:val="es-ES_tradnl"/>
        </w:rPr>
      </w:pPr>
      <w:r>
        <w:rPr>
          <w:lang w:val="es-ES_tradnl"/>
        </w:rPr>
        <w:lastRenderedPageBreak/>
        <w:t>f)</w:t>
      </w:r>
      <w:r>
        <w:rPr>
          <w:lang w:val="es-ES_tradnl"/>
        </w:rPr>
        <w:tab/>
        <w:t xml:space="preserve">Para cada estación receptora del servicio fijo la ganancia de antena de recepción hacia cada satélite visible puede calcularse conociendo la posición relativa instantánea del satélite del </w:t>
      </w:r>
      <w:proofErr w:type="spellStart"/>
      <w:r>
        <w:rPr>
          <w:lang w:val="es-ES_tradnl"/>
        </w:rPr>
        <w:t>SMS</w:t>
      </w:r>
      <w:proofErr w:type="spellEnd"/>
      <w:r>
        <w:rPr>
          <w:lang w:val="es-ES_tradnl"/>
        </w:rPr>
        <w:t xml:space="preserve"> con respecto a la estación del servicio fijo y la dirección de puntería de la antena del servicio fijo considerada.</w:t>
      </w:r>
    </w:p>
    <w:p w:rsidR="0074449E" w:rsidRDefault="0074449E" w:rsidP="0074449E">
      <w:pPr>
        <w:rPr>
          <w:lang w:val="es-ES_tradnl"/>
        </w:rPr>
      </w:pPr>
      <w:r>
        <w:rPr>
          <w:lang w:val="es-ES_tradnl"/>
        </w:rPr>
        <w:t>g)</w:t>
      </w:r>
      <w:r>
        <w:rPr>
          <w:lang w:val="es-ES_tradnl"/>
        </w:rPr>
        <w:tab/>
        <w:t xml:space="preserve">Sobre la base de predicciones realistas de la distribuciones de tráfico de abonado diarias y geográficas, y la asignación de tráfico de haz puntual de satélite dependiente del sistema, el tráfico total transportado en cada haz puntual de cada satélite del </w:t>
      </w:r>
      <w:proofErr w:type="spellStart"/>
      <w:r>
        <w:rPr>
          <w:lang w:val="es-ES_tradnl"/>
        </w:rPr>
        <w:t>SMS</w:t>
      </w:r>
      <w:proofErr w:type="spellEnd"/>
      <w:r>
        <w:rPr>
          <w:lang w:val="es-ES_tradnl"/>
        </w:rPr>
        <w:t xml:space="preserve"> puede ser identificado por la parte del </w:t>
      </w:r>
      <w:proofErr w:type="spellStart"/>
      <w:r>
        <w:rPr>
          <w:lang w:val="es-ES_tradnl"/>
        </w:rPr>
        <w:t>SMS</w:t>
      </w:r>
      <w:proofErr w:type="spellEnd"/>
      <w:r>
        <w:rPr>
          <w:lang w:val="es-ES_tradnl"/>
        </w:rPr>
        <w:t xml:space="preserve"> utilizando algoritmos propietarios o representativos. Sobre la base de las limitaciones de reutilización de frecuencias internas dependientes del sistema para el sistema de satélites del </w:t>
      </w:r>
      <w:proofErr w:type="spellStart"/>
      <w:r>
        <w:rPr>
          <w:lang w:val="es-ES_tradnl"/>
        </w:rPr>
        <w:t>SMS</w:t>
      </w:r>
      <w:proofErr w:type="spellEnd"/>
      <w:r>
        <w:rPr>
          <w:lang w:val="es-ES_tradnl"/>
        </w:rPr>
        <w:t xml:space="preserve">, puede análogamente identificarse si es necesario el plan nominal de frecuencias aplicable a cada haz puntual de cada satélite del </w:t>
      </w:r>
      <w:proofErr w:type="spellStart"/>
      <w:r>
        <w:rPr>
          <w:lang w:val="es-ES_tradnl"/>
        </w:rPr>
        <w:t>SMS</w:t>
      </w:r>
      <w:proofErr w:type="spellEnd"/>
      <w:r>
        <w:rPr>
          <w:lang w:val="es-ES_tradnl"/>
        </w:rPr>
        <w:t>.</w:t>
      </w:r>
    </w:p>
    <w:p w:rsidR="0074449E" w:rsidRDefault="0074449E" w:rsidP="0074449E">
      <w:pPr>
        <w:rPr>
          <w:lang w:val="es-ES_tradnl"/>
        </w:rPr>
      </w:pPr>
      <w:r>
        <w:rPr>
          <w:lang w:val="es-ES_tradnl"/>
        </w:rPr>
        <w:t>h)</w:t>
      </w:r>
      <w:r>
        <w:rPr>
          <w:lang w:val="es-ES_tradnl"/>
        </w:rPr>
        <w:tab/>
        <w:t xml:space="preserve">Para cada estación receptora del servicio fijo, la potencia interferente causada por todas las portadoras del </w:t>
      </w:r>
      <w:proofErr w:type="spellStart"/>
      <w:r>
        <w:rPr>
          <w:lang w:val="es-ES_tradnl"/>
        </w:rPr>
        <w:t>SMS</w:t>
      </w:r>
      <w:proofErr w:type="spellEnd"/>
      <w:r>
        <w:rPr>
          <w:lang w:val="es-ES_tradnl"/>
        </w:rPr>
        <w:t xml:space="preserve"> con </w:t>
      </w:r>
      <w:proofErr w:type="spellStart"/>
      <w:r>
        <w:rPr>
          <w:lang w:val="es-ES_tradnl"/>
        </w:rPr>
        <w:t>AMDT</w:t>
      </w:r>
      <w:proofErr w:type="spellEnd"/>
      <w:r>
        <w:rPr>
          <w:lang w:val="es-ES_tradnl"/>
        </w:rPr>
        <w:t>/</w:t>
      </w:r>
      <w:proofErr w:type="spellStart"/>
      <w:r>
        <w:rPr>
          <w:lang w:val="es-ES_tradnl"/>
        </w:rPr>
        <w:t>AMDF</w:t>
      </w:r>
      <w:proofErr w:type="spellEnd"/>
      <w:r>
        <w:rPr>
          <w:lang w:val="es-ES_tradnl"/>
        </w:rPr>
        <w:t xml:space="preserve"> en cualquier haz puntual de cualquier satélite del </w:t>
      </w:r>
      <w:proofErr w:type="spellStart"/>
      <w:r>
        <w:rPr>
          <w:lang w:val="es-ES_tradnl"/>
        </w:rPr>
        <w:t>SMS</w:t>
      </w:r>
      <w:proofErr w:type="spellEnd"/>
      <w:r>
        <w:rPr>
          <w:lang w:val="es-ES_tradnl"/>
        </w:rPr>
        <w:t xml:space="preserve"> visible que se superponga a la anchura de banda de portadora ocupada del servicio fijo puede acumularse teniendo en cuenta la discriminación de antena del haz puntual de satélite del </w:t>
      </w:r>
      <w:proofErr w:type="spellStart"/>
      <w:r>
        <w:rPr>
          <w:lang w:val="es-ES_tradnl"/>
        </w:rPr>
        <w:t>SMS</w:t>
      </w:r>
      <w:proofErr w:type="spellEnd"/>
      <w:r>
        <w:rPr>
          <w:lang w:val="es-ES_tradnl"/>
        </w:rPr>
        <w:t xml:space="preserve">, la discriminación de la antena del servicio fijo y la pérdida de alcance. Puede bastar tener en cuenta haces puntuales de satélite del </w:t>
      </w:r>
      <w:proofErr w:type="spellStart"/>
      <w:r>
        <w:rPr>
          <w:lang w:val="es-ES_tradnl"/>
        </w:rPr>
        <w:t>SMS</w:t>
      </w:r>
      <w:proofErr w:type="spellEnd"/>
      <w:r>
        <w:rPr>
          <w:lang w:val="es-ES_tradnl"/>
        </w:rPr>
        <w:t xml:space="preserve"> cuya dirección de puntería esté dentro de un cierto ángulo con respecto al eje desde el vector a la estación del servicio fijo víctima.</w:t>
      </w:r>
    </w:p>
    <w:p w:rsidR="00DC4481" w:rsidRDefault="0074449E" w:rsidP="00DC4481">
      <w:pPr>
        <w:rPr>
          <w:lang w:val="es-ES_tradnl"/>
        </w:rPr>
      </w:pPr>
      <w:r>
        <w:rPr>
          <w:lang w:val="es-ES_tradnl"/>
        </w:rPr>
        <w:t>i)</w:t>
      </w:r>
      <w:r>
        <w:rPr>
          <w:lang w:val="es-ES_tradnl"/>
        </w:rPr>
        <w:tab/>
        <w:t xml:space="preserve">Como los sistemas de satélites del </w:t>
      </w:r>
      <w:proofErr w:type="spellStart"/>
      <w:r>
        <w:rPr>
          <w:lang w:val="es-ES_tradnl"/>
        </w:rPr>
        <w:t>SMS</w:t>
      </w:r>
      <w:proofErr w:type="spellEnd"/>
      <w:r>
        <w:rPr>
          <w:lang w:val="es-ES_tradnl"/>
        </w:rPr>
        <w:t xml:space="preserve"> y los sistemas del servicio fijo emplearán normalmente polarizaciones circulares y lineales respectivamente, es pertinente considerar la discriminación de polarización disponible. Concretamente, si el vector de puntería del haz puntual del </w:t>
      </w:r>
      <w:proofErr w:type="spellStart"/>
      <w:r>
        <w:rPr>
          <w:lang w:val="es-ES_tradnl"/>
        </w:rPr>
        <w:t>SMS</w:t>
      </w:r>
      <w:proofErr w:type="spellEnd"/>
      <w:r>
        <w:rPr>
          <w:lang w:val="es-ES_tradnl"/>
        </w:rPr>
        <w:t xml:space="preserve"> y el vector de dirección de puntería de la antena del servicio fijo de recepción están dentro de un margen angular especificado (normalmente dentro de las aberturas de haz a 3</w:t>
      </w:r>
      <w:r w:rsidR="001704FA">
        <w:rPr>
          <w:lang w:val="es-ES_tradnl"/>
        </w:rPr>
        <w:t> </w:t>
      </w:r>
      <w:r>
        <w:rPr>
          <w:lang w:val="es-ES_tradnl"/>
        </w:rPr>
        <w:t>dB de ambas antenas), puede calcularse una ventaja de polarizac</w:t>
      </w:r>
      <w:r w:rsidR="00932860">
        <w:rPr>
          <w:lang w:val="es-ES_tradnl"/>
        </w:rPr>
        <w:t>ión teniendo en cuenta la infor</w:t>
      </w:r>
      <w:r>
        <w:rPr>
          <w:lang w:val="es-ES_tradnl"/>
        </w:rPr>
        <w:t xml:space="preserve">mación sobre los diagramas </w:t>
      </w:r>
      <w:proofErr w:type="spellStart"/>
      <w:r>
        <w:rPr>
          <w:lang w:val="es-ES_tradnl"/>
        </w:rPr>
        <w:t>contrapolares</w:t>
      </w:r>
      <w:proofErr w:type="spellEnd"/>
      <w:r>
        <w:rPr>
          <w:lang w:val="es-ES_tradnl"/>
        </w:rPr>
        <w:t xml:space="preserve"> reales del haz puntual de satélite del </w:t>
      </w:r>
      <w:proofErr w:type="spellStart"/>
      <w:r>
        <w:rPr>
          <w:lang w:val="es-ES_tradnl"/>
        </w:rPr>
        <w:t>SMS</w:t>
      </w:r>
      <w:proofErr w:type="spellEnd"/>
      <w:r>
        <w:rPr>
          <w:lang w:val="es-ES_tradnl"/>
        </w:rPr>
        <w:t xml:space="preserve"> y de las antenas del servicio fijo</w:t>
      </w:r>
      <w:r w:rsidR="00DC4481">
        <w:rPr>
          <w:lang w:val="es-ES_tradnl"/>
        </w:rPr>
        <w:t xml:space="preserve"> </w:t>
      </w:r>
      <w:r>
        <w:rPr>
          <w:lang w:val="es-ES_tradnl"/>
        </w:rPr>
        <w:t>o alternativamente</w:t>
      </w:r>
      <w:r w:rsidR="00DC4481">
        <w:rPr>
          <w:lang w:val="es-ES_tradnl"/>
        </w:rPr>
        <w:t>.</w:t>
      </w:r>
    </w:p>
    <w:p w:rsidR="0074449E" w:rsidRDefault="00DC4481" w:rsidP="00DC4481">
      <w:pPr>
        <w:rPr>
          <w:lang w:val="es-ES_tradnl"/>
        </w:rPr>
      </w:pPr>
      <w:r>
        <w:rPr>
          <w:lang w:val="es-ES_tradnl"/>
        </w:rPr>
        <w:t xml:space="preserve">Puede </w:t>
      </w:r>
      <w:r w:rsidR="0074449E">
        <w:rPr>
          <w:lang w:val="es-ES_tradnl"/>
        </w:rPr>
        <w:t xml:space="preserve">utilizarse a tal fin la Recomendación UIT-R F.1245. En el caso de los sistemas del </w:t>
      </w:r>
      <w:proofErr w:type="spellStart"/>
      <w:r w:rsidR="0074449E">
        <w:rPr>
          <w:lang w:val="es-ES_tradnl"/>
        </w:rPr>
        <w:t>SMS</w:t>
      </w:r>
      <w:proofErr w:type="spellEnd"/>
      <w:r w:rsidR="0074449E">
        <w:rPr>
          <w:lang w:val="es-ES_tradnl"/>
        </w:rPr>
        <w:t xml:space="preserve"> </w:t>
      </w:r>
      <w:proofErr w:type="spellStart"/>
      <w:r w:rsidR="0074449E">
        <w:rPr>
          <w:lang w:val="es-ES_tradnl"/>
        </w:rPr>
        <w:t>OSG</w:t>
      </w:r>
      <w:proofErr w:type="spellEnd"/>
      <w:r w:rsidR="0074449E">
        <w:rPr>
          <w:lang w:val="es-ES_tradnl"/>
        </w:rPr>
        <w:t>, la Recomendación </w:t>
      </w:r>
      <w:proofErr w:type="spellStart"/>
      <w:r w:rsidR="0074449E">
        <w:rPr>
          <w:lang w:val="es-ES_tradnl"/>
        </w:rPr>
        <w:t>UIT</w:t>
      </w:r>
      <w:r w:rsidR="0074449E">
        <w:rPr>
          <w:lang w:val="es-ES_tradnl"/>
        </w:rPr>
        <w:noBreakHyphen/>
        <w:t>R</w:t>
      </w:r>
      <w:proofErr w:type="spellEnd"/>
      <w:r w:rsidR="0074449E">
        <w:rPr>
          <w:lang w:val="es-ES_tradnl"/>
        </w:rPr>
        <w:t> F.699 puede ser más adecuada.</w:t>
      </w:r>
    </w:p>
    <w:p w:rsidR="0074449E" w:rsidRDefault="0074449E" w:rsidP="00924F71">
      <w:pPr>
        <w:rPr>
          <w:lang w:val="es-ES_tradnl"/>
        </w:rPr>
      </w:pPr>
      <w:r>
        <w:rPr>
          <w:i/>
          <w:lang w:val="es-ES_tradnl"/>
        </w:rPr>
        <w:t>Paso 3</w:t>
      </w:r>
      <w:r w:rsidR="00924F71" w:rsidRPr="00924F71">
        <w:rPr>
          <w:lang w:val="es-ES_tradnl"/>
        </w:rPr>
        <w:t>:  </w:t>
      </w:r>
      <w:r>
        <w:rPr>
          <w:lang w:val="es-ES_tradnl"/>
        </w:rPr>
        <w:t xml:space="preserve">Cálculo de la potencia de ruido equivalente total, </w:t>
      </w:r>
      <w:r>
        <w:rPr>
          <w:i/>
          <w:lang w:val="es-ES_tradnl"/>
        </w:rPr>
        <w:t>N</w:t>
      </w:r>
      <w:r>
        <w:rPr>
          <w:lang w:val="es-ES_tradnl"/>
        </w:rPr>
        <w:t>. El ruido térmico en cada estación receptora del servicio fijo puede calcularse si se conoce la temperatura de ruido de un sistema del servicio fijo, teniendo en cuenta el factor de ruido del receptor, las pérdidas de alimentación y la temperatura de ruido de la antena.</w:t>
      </w:r>
    </w:p>
    <w:p w:rsidR="0074449E" w:rsidRDefault="0074449E" w:rsidP="00924F71">
      <w:pPr>
        <w:rPr>
          <w:lang w:val="es-ES_tradnl"/>
        </w:rPr>
      </w:pPr>
      <w:r>
        <w:rPr>
          <w:i/>
          <w:lang w:val="es-ES_tradnl"/>
        </w:rPr>
        <w:t>Paso 4</w:t>
      </w:r>
      <w:r w:rsidR="00924F71" w:rsidRPr="00924F71">
        <w:rPr>
          <w:lang w:val="es-ES_tradnl"/>
        </w:rPr>
        <w:t>:  </w:t>
      </w:r>
      <w:r>
        <w:rPr>
          <w:lang w:val="es-ES_tradnl"/>
        </w:rPr>
        <w:t xml:space="preserve">Cálculo en cada intervalo de tiempo de </w:t>
      </w:r>
      <w:r>
        <w:rPr>
          <w:i/>
          <w:lang w:val="es-ES_tradnl"/>
        </w:rPr>
        <w:t>C</w:t>
      </w:r>
      <w:r>
        <w:rPr>
          <w:lang w:val="es-ES_tradnl"/>
        </w:rPr>
        <w:t>/</w:t>
      </w:r>
      <w:r>
        <w:rPr>
          <w:i/>
          <w:lang w:val="es-ES_tradnl"/>
        </w:rPr>
        <w:t>I</w:t>
      </w:r>
      <w:r>
        <w:rPr>
          <w:lang w:val="es-ES_tradnl"/>
        </w:rPr>
        <w:t xml:space="preserve"> (debida a todas las portadoras activas del </w:t>
      </w:r>
      <w:proofErr w:type="spellStart"/>
      <w:r>
        <w:rPr>
          <w:lang w:val="es-ES_tradnl"/>
        </w:rPr>
        <w:t>SMS</w:t>
      </w:r>
      <w:proofErr w:type="spellEnd"/>
      <w:r>
        <w:rPr>
          <w:lang w:val="es-ES_tradnl"/>
        </w:rPr>
        <w:t xml:space="preserve"> interferentes pertinentes producidas por cada haz puntual pertinente de cada satélite del </w:t>
      </w:r>
      <w:proofErr w:type="spellStart"/>
      <w:r>
        <w:rPr>
          <w:lang w:val="es-ES_tradnl"/>
        </w:rPr>
        <w:t>SMS</w:t>
      </w:r>
      <w:proofErr w:type="spellEnd"/>
      <w:r>
        <w:rPr>
          <w:lang w:val="es-ES_tradnl"/>
        </w:rPr>
        <w:t xml:space="preserve"> visible), </w:t>
      </w:r>
      <w:r>
        <w:rPr>
          <w:i/>
          <w:lang w:val="es-ES_tradnl"/>
        </w:rPr>
        <w:t>C</w:t>
      </w:r>
      <w:r>
        <w:rPr>
          <w:lang w:val="es-ES_tradnl"/>
        </w:rPr>
        <w:t>/</w:t>
      </w:r>
      <w:r>
        <w:rPr>
          <w:i/>
          <w:lang w:val="es-ES_tradnl"/>
        </w:rPr>
        <w:t>N</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en cada estación receptora del servicio fijo.</w:t>
      </w:r>
    </w:p>
    <w:p w:rsidR="0074449E" w:rsidRDefault="0074449E" w:rsidP="00671F06">
      <w:pPr>
        <w:rPr>
          <w:lang w:val="es-ES_tradnl"/>
        </w:rPr>
      </w:pPr>
      <w:r>
        <w:rPr>
          <w:i/>
          <w:lang w:val="es-ES_tradnl"/>
        </w:rPr>
        <w:t>Paso 5</w:t>
      </w:r>
      <w:r w:rsidR="00924F71" w:rsidRPr="00924F71">
        <w:rPr>
          <w:lang w:val="es-ES_tradnl"/>
        </w:rPr>
        <w:t>:  </w:t>
      </w:r>
      <w:r>
        <w:rPr>
          <w:lang w:val="es-ES_tradnl"/>
        </w:rPr>
        <w:t xml:space="preserve">Cálculo en cada intervalo de tiempo de </w:t>
      </w:r>
      <w:r>
        <w:rPr>
          <w:i/>
          <w:lang w:val="es-ES_tradnl"/>
        </w:rPr>
        <w:t>C</w:t>
      </w:r>
      <w:r>
        <w:rPr>
          <w:lang w:val="es-ES_tradnl"/>
        </w:rPr>
        <w:t>/</w:t>
      </w:r>
      <w:r>
        <w:rPr>
          <w:i/>
          <w:lang w:val="es-ES_tradnl"/>
        </w:rPr>
        <w:t>I</w:t>
      </w:r>
      <w:r>
        <w:rPr>
          <w:lang w:val="es-ES_tradnl"/>
        </w:rPr>
        <w:t xml:space="preserve">, </w:t>
      </w:r>
      <w:r>
        <w:rPr>
          <w:i/>
          <w:lang w:val="es-ES_tradnl"/>
        </w:rPr>
        <w:t>C</w:t>
      </w:r>
      <w:r>
        <w:rPr>
          <w:lang w:val="es-ES_tradnl"/>
        </w:rPr>
        <w:t>/</w:t>
      </w:r>
      <w:r>
        <w:rPr>
          <w:i/>
          <w:lang w:val="es-ES_tradnl"/>
        </w:rPr>
        <w:t>N</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por adición inversa de los valores de </w:t>
      </w:r>
      <w:r>
        <w:rPr>
          <w:i/>
          <w:lang w:val="es-ES_tradnl"/>
        </w:rPr>
        <w:t>C</w:t>
      </w:r>
      <w:r>
        <w:rPr>
          <w:lang w:val="es-ES_tradnl"/>
        </w:rPr>
        <w:t>/</w:t>
      </w:r>
      <w:r>
        <w:rPr>
          <w:i/>
          <w:lang w:val="es-ES_tradnl"/>
        </w:rPr>
        <w:t>N</w:t>
      </w:r>
      <w:r>
        <w:rPr>
          <w:lang w:val="es-ES_tradnl"/>
        </w:rPr>
        <w:t xml:space="preserve">, </w:t>
      </w:r>
      <w:r>
        <w:rPr>
          <w:i/>
          <w:lang w:val="es-ES_tradnl"/>
        </w:rPr>
        <w:t>C</w:t>
      </w:r>
      <w:r>
        <w:rPr>
          <w:lang w:val="es-ES_tradnl"/>
        </w:rPr>
        <w:t>/</w:t>
      </w:r>
      <w:r>
        <w:rPr>
          <w:i/>
          <w:lang w:val="es-ES_tradnl"/>
        </w:rPr>
        <w:t>I</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calculados en el Paso 4 de cada estación receptora del servicio fijo y las </w:t>
      </w:r>
      <w:r>
        <w:rPr>
          <w:i/>
          <w:lang w:val="es-ES_tradnl"/>
        </w:rPr>
        <w:t>C</w:t>
      </w:r>
      <w:r>
        <w:rPr>
          <w:lang w:val="es-ES_tradnl"/>
        </w:rPr>
        <w:t>/</w:t>
      </w:r>
      <w:r>
        <w:rPr>
          <w:i/>
          <w:lang w:val="es-ES_tradnl"/>
        </w:rPr>
        <w:t>N</w:t>
      </w:r>
      <w:r>
        <w:rPr>
          <w:lang w:val="es-ES_tradnl"/>
        </w:rPr>
        <w:t xml:space="preserve">, </w:t>
      </w:r>
      <w:r>
        <w:rPr>
          <w:i/>
          <w:lang w:val="es-ES_tradnl"/>
        </w:rPr>
        <w:t>C</w:t>
      </w:r>
      <w:r>
        <w:rPr>
          <w:lang w:val="es-ES_tradnl"/>
        </w:rPr>
        <w:t>/</w:t>
      </w:r>
      <w:r>
        <w:rPr>
          <w:i/>
          <w:lang w:val="es-ES_tradnl"/>
        </w:rPr>
        <w:t>I</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globales en la estación receptora terminal del servicio fijo en el sistema del servicio fijo considerado.</w:t>
      </w:r>
    </w:p>
    <w:p w:rsidR="0074449E" w:rsidRDefault="0074449E" w:rsidP="00671F06">
      <w:pPr>
        <w:rPr>
          <w:lang w:val="es-ES_tradnl"/>
        </w:rPr>
      </w:pPr>
      <w:r>
        <w:rPr>
          <w:i/>
          <w:lang w:val="es-ES_tradnl"/>
        </w:rPr>
        <w:t>Paso 6:</w:t>
      </w:r>
      <w:r w:rsidR="00924F71">
        <w:rPr>
          <w:lang w:val="es-ES_tradnl"/>
        </w:rPr>
        <w:t>  </w:t>
      </w:r>
      <w:r>
        <w:rPr>
          <w:lang w:val="es-ES_tradnl"/>
        </w:rPr>
        <w:t xml:space="preserve">Los pasos anteriores se repiten para cada intervalo de tiempo durante un periodo estadísticamente válido consecuente con un periodo de ciclo orbital completo o equivalente de la constelación de satélites del </w:t>
      </w:r>
      <w:proofErr w:type="spellStart"/>
      <w:r>
        <w:rPr>
          <w:lang w:val="es-ES_tradnl"/>
        </w:rPr>
        <w:t>SMS</w:t>
      </w:r>
      <w:proofErr w:type="spellEnd"/>
      <w:r>
        <w:rPr>
          <w:lang w:val="es-ES_tradnl"/>
        </w:rPr>
        <w:t xml:space="preserve"> y un periodo representativo para el comportamiento del desvanecimiento multitrayecto del servicio fijo. (En el caso de los satélites </w:t>
      </w:r>
      <w:proofErr w:type="spellStart"/>
      <w:r>
        <w:rPr>
          <w:lang w:val="es-ES_tradnl"/>
        </w:rPr>
        <w:t>OSG</w:t>
      </w:r>
      <w:proofErr w:type="spellEnd"/>
      <w:r>
        <w:rPr>
          <w:lang w:val="es-ES_tradnl"/>
        </w:rPr>
        <w:t>, este será igual al periodo representativo para el desvanecimiento multitrayecto.) Un método para comprobar la validez estadística es asegurar que las estadísticas al nivel requerido no son influenciadas significativamente por intervalos de tiempo adicionales. La aplicación de los métodos adicionales de la Recomendación UIT-R F.1108 puede también ser de utilidad para esta evaluación.</w:t>
      </w:r>
    </w:p>
    <w:p w:rsidR="0074449E" w:rsidRDefault="0074449E" w:rsidP="006F4DEA">
      <w:pPr>
        <w:rPr>
          <w:lang w:val="es-ES_tradnl"/>
        </w:rPr>
      </w:pPr>
      <w:r>
        <w:rPr>
          <w:i/>
          <w:lang w:val="es-ES_tradnl"/>
        </w:rPr>
        <w:lastRenderedPageBreak/>
        <w:t>Paso 7</w:t>
      </w:r>
      <w:r w:rsidRPr="006F4DEA">
        <w:rPr>
          <w:lang w:val="es-ES_tradnl"/>
        </w:rPr>
        <w:t>:</w:t>
      </w:r>
      <w:r w:rsidR="00924F71" w:rsidRPr="006F4DEA">
        <w:rPr>
          <w:lang w:val="es-ES_tradnl"/>
        </w:rPr>
        <w:t>  </w:t>
      </w:r>
      <w:r>
        <w:rPr>
          <w:lang w:val="es-ES_tradnl"/>
        </w:rPr>
        <w:t xml:space="preserve">Si hay múltiples sistemas del servicio fijo en el país interesado, que pueden ser afectados por el sistema de satélites del </w:t>
      </w:r>
      <w:proofErr w:type="spellStart"/>
      <w:r>
        <w:rPr>
          <w:lang w:val="es-ES_tradnl"/>
        </w:rPr>
        <w:t>SMS</w:t>
      </w:r>
      <w:proofErr w:type="spellEnd"/>
      <w:r>
        <w:rPr>
          <w:lang w:val="es-ES_tradnl"/>
        </w:rPr>
        <w:t>, resultaría posible llevar a cabo los Pasos 1 a</w:t>
      </w:r>
      <w:r w:rsidR="006F4DEA">
        <w:rPr>
          <w:lang w:val="es-ES_tradnl"/>
        </w:rPr>
        <w:t xml:space="preserve"> </w:t>
      </w:r>
      <w:r>
        <w:rPr>
          <w:lang w:val="es-ES_tradnl"/>
        </w:rPr>
        <w:t>6 anteriores en paralelo para cada uno de estos sistemas del servicio fijo durante la simulación.</w:t>
      </w:r>
    </w:p>
    <w:p w:rsidR="0074449E" w:rsidRDefault="0074449E" w:rsidP="00924F71">
      <w:pPr>
        <w:rPr>
          <w:lang w:val="es-ES_tradnl"/>
        </w:rPr>
      </w:pPr>
      <w:r>
        <w:rPr>
          <w:i/>
          <w:lang w:val="es-ES_tradnl"/>
        </w:rPr>
        <w:t>Paso 8</w:t>
      </w:r>
      <w:r w:rsidR="00924F71" w:rsidRPr="00924F71">
        <w:rPr>
          <w:lang w:val="es-ES_tradnl"/>
        </w:rPr>
        <w:t>:  </w:t>
      </w:r>
      <w:r>
        <w:rPr>
          <w:lang w:val="es-ES_tradnl"/>
        </w:rPr>
        <w:t xml:space="preserve">Finalmente, para cada sistema del servicio fijo considerado puede representarse la distribución acumulativa de </w:t>
      </w:r>
      <w:r>
        <w:rPr>
          <w:i/>
          <w:lang w:val="es-ES_tradnl"/>
        </w:rPr>
        <w:t>C</w:t>
      </w:r>
      <w:r>
        <w:rPr>
          <w:lang w:val="es-ES_tradnl"/>
        </w:rPr>
        <w:t>/</w:t>
      </w:r>
      <w:r>
        <w:rPr>
          <w:i/>
          <w:lang w:val="es-ES_tradnl"/>
        </w:rPr>
        <w:t>I</w:t>
      </w:r>
      <w:r>
        <w:rPr>
          <w:lang w:val="es-ES_tradnl"/>
        </w:rPr>
        <w:t xml:space="preserve">, </w:t>
      </w:r>
      <w:r>
        <w:rPr>
          <w:i/>
          <w:lang w:val="es-ES_tradnl"/>
        </w:rPr>
        <w:t>C</w:t>
      </w:r>
      <w:r>
        <w:rPr>
          <w:lang w:val="es-ES_tradnl"/>
        </w:rPr>
        <w:t>/</w:t>
      </w:r>
      <w:r>
        <w:rPr>
          <w:i/>
          <w:lang w:val="es-ES_tradnl"/>
        </w:rPr>
        <w:t>N</w:t>
      </w:r>
      <w:r>
        <w:rPr>
          <w:lang w:val="es-ES_tradnl"/>
        </w:rPr>
        <w:t xml:space="preserve"> y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Las curvas de </w:t>
      </w:r>
      <w:r>
        <w:rPr>
          <w:i/>
          <w:lang w:val="es-ES_tradnl"/>
        </w:rPr>
        <w:t>C</w:t>
      </w:r>
      <w:r>
        <w:rPr>
          <w:lang w:val="es-ES_tradnl"/>
        </w:rPr>
        <w:t>/</w:t>
      </w:r>
      <w:r>
        <w:rPr>
          <w:i/>
          <w:lang w:val="es-ES_tradnl"/>
        </w:rPr>
        <w:t>N</w:t>
      </w:r>
      <w:r>
        <w:rPr>
          <w:lang w:val="es-ES_tradnl"/>
        </w:rPr>
        <w:t xml:space="preserve"> (en ausencia de interferencia) y de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pueden entonces compararse con los objetivos de calidad de funcionamiento deseados del UIT-R.</w:t>
      </w:r>
    </w:p>
    <w:p w:rsidR="0074449E" w:rsidRDefault="0074449E" w:rsidP="007F56BC">
      <w:pPr>
        <w:pStyle w:val="Note"/>
        <w:keepNext/>
        <w:keepLines/>
        <w:rPr>
          <w:lang w:val="es-ES_tradnl"/>
        </w:rPr>
      </w:pPr>
      <w:r>
        <w:rPr>
          <w:lang w:val="es-ES_tradnl"/>
        </w:rPr>
        <w:t xml:space="preserve">NOTA 1 – En el caso de los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xml:space="preserve">, el intervalo de tiempo elegido para la evaluación de la interferencia debe ser suficientemente pequeño para permitir considerar múltiples muestras de visibilidad de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xml:space="preserve"> dentro del haz principal de las distintas estaciones del servicio fijo a considerar. La selección del intervalo de tiempo apropiado es función de los parámetros orbitales de la constelación de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de la ubicación de las estaciones del servicio fijo y de las aberturas de los haces de antena del servicio fijo.</w:t>
      </w:r>
    </w:p>
    <w:p w:rsidR="0074449E" w:rsidRDefault="0074449E" w:rsidP="001704FA">
      <w:pPr>
        <w:pStyle w:val="Note"/>
        <w:rPr>
          <w:lang w:val="es-ES_tradnl"/>
        </w:rPr>
      </w:pPr>
      <w:r>
        <w:rPr>
          <w:lang w:val="es-ES_tradnl"/>
        </w:rPr>
        <w:t xml:space="preserve">NOTA 2 – En el caso de los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xml:space="preserve">, el periodo de simulación debe ser suficientemente largo para permitir considerar un periodo de ciclo completo del satélite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xml:space="preserve">. Para la consideración de los efectos de la uniformidad de la interferencia causada por una constelación de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xml:space="preserve"> durante un mes, puede ser de utilidad la orientación del Anexo 5 a la Recomendación</w:t>
      </w:r>
      <w:r w:rsidR="001704FA">
        <w:rPr>
          <w:lang w:val="es-ES_tradnl"/>
        </w:rPr>
        <w:t xml:space="preserve"> </w:t>
      </w:r>
      <w:proofErr w:type="spellStart"/>
      <w:r>
        <w:rPr>
          <w:lang w:val="es-ES_tradnl"/>
        </w:rPr>
        <w:t>UIT</w:t>
      </w:r>
      <w:r>
        <w:rPr>
          <w:lang w:val="es-ES_tradnl"/>
        </w:rPr>
        <w:noBreakHyphen/>
        <w:t>R</w:t>
      </w:r>
      <w:proofErr w:type="spellEnd"/>
      <w:r>
        <w:rPr>
          <w:lang w:val="es-ES_tradnl"/>
        </w:rPr>
        <w:t xml:space="preserve"> F.1108. Teniendo en cuenta estos factores, para una constelación de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xml:space="preserve"> que presenten una precesión orbital relativamente lenta, puede ser preferible establecer una velocidad de precesión forzada para permitir la simulación del periodo del ciclo completo en un tiempo de simulación transcurrido razonable.</w:t>
      </w:r>
    </w:p>
    <w:p w:rsidR="0074449E" w:rsidRDefault="0074449E" w:rsidP="006F4DEA">
      <w:pPr>
        <w:pStyle w:val="Note"/>
        <w:rPr>
          <w:lang w:val="es-ES_tradnl"/>
        </w:rPr>
      </w:pPr>
      <w:r>
        <w:rPr>
          <w:lang w:val="es-ES_tradnl"/>
        </w:rPr>
        <w:t>NOTA 3 – Los objetivos de calidad de funcionamiento del servicio fijo especificados en todas las Recomenda</w:t>
      </w:r>
      <w:r>
        <w:rPr>
          <w:lang w:val="es-ES_tradnl"/>
        </w:rPr>
        <w:softHyphen/>
        <w:t>ciones </w:t>
      </w:r>
      <w:proofErr w:type="spellStart"/>
      <w:r>
        <w:rPr>
          <w:lang w:val="es-ES_tradnl"/>
        </w:rPr>
        <w:t>UIT</w:t>
      </w:r>
      <w:r>
        <w:rPr>
          <w:lang w:val="es-ES_tradnl"/>
        </w:rPr>
        <w:noBreakHyphen/>
        <w:t>R</w:t>
      </w:r>
      <w:proofErr w:type="spellEnd"/>
      <w:r>
        <w:rPr>
          <w:lang w:val="es-ES_tradnl"/>
        </w:rPr>
        <w:t xml:space="preserve"> pertinentes sólo son aplicables durante el tiempo disponible, definiéndose la disponibilidad en las correspondientes Recomendaciones UIT-R. Durante los periodos de indisponibilidad inducida de la propagación, no es pertinente considerar la repercusión de la interferencia. Sin embargo, este factor puede ser ignorado en la presente metodología si la interferencia causada por el sistema del </w:t>
      </w:r>
      <w:proofErr w:type="spellStart"/>
      <w:r>
        <w:rPr>
          <w:lang w:val="es-ES_tradnl"/>
        </w:rPr>
        <w:t>SMS</w:t>
      </w:r>
      <w:proofErr w:type="spellEnd"/>
      <w:r>
        <w:rPr>
          <w:lang w:val="es-ES_tradnl"/>
        </w:rPr>
        <w:t xml:space="preserve"> permite al sistema del servicio fijo cumplir todos sus requisitos de los objetivos de característica de error del</w:t>
      </w:r>
      <w:r w:rsidR="006F4DEA">
        <w:rPr>
          <w:lang w:val="es-ES_tradnl"/>
        </w:rPr>
        <w:t> </w:t>
      </w:r>
      <w:r>
        <w:rPr>
          <w:lang w:val="es-ES_tradnl"/>
        </w:rPr>
        <w:t>UIT-R.</w:t>
      </w:r>
    </w:p>
    <w:p w:rsidR="0074449E" w:rsidRDefault="0074449E" w:rsidP="0074449E">
      <w:pPr>
        <w:pStyle w:val="Note"/>
        <w:rPr>
          <w:lang w:val="es-ES_tradnl"/>
        </w:rPr>
      </w:pPr>
      <w:r>
        <w:rPr>
          <w:lang w:val="es-ES_tradnl"/>
        </w:rPr>
        <w:t xml:space="preserve">NOTA 4 – La convolución de las distribuciones de </w:t>
      </w:r>
      <w:r>
        <w:rPr>
          <w:i/>
          <w:lang w:val="es-ES_tradnl"/>
        </w:rPr>
        <w:t>C</w:t>
      </w:r>
      <w:r>
        <w:rPr>
          <w:lang w:val="es-ES_tradnl"/>
        </w:rPr>
        <w:t xml:space="preserve"> e </w:t>
      </w:r>
      <w:r>
        <w:rPr>
          <w:i/>
          <w:lang w:val="es-ES_tradnl"/>
        </w:rPr>
        <w:t>I</w:t>
      </w:r>
      <w:r>
        <w:rPr>
          <w:lang w:val="es-ES_tradnl"/>
        </w:rPr>
        <w:t xml:space="preserve"> con </w:t>
      </w:r>
      <w:r>
        <w:rPr>
          <w:i/>
          <w:lang w:val="es-ES_tradnl"/>
        </w:rPr>
        <w:t>N</w:t>
      </w:r>
      <w:r>
        <w:rPr>
          <w:lang w:val="es-ES_tradnl"/>
        </w:rPr>
        <w:t xml:space="preserve"> puede también utilizarse para generar una distribución de </w:t>
      </w:r>
      <w:r>
        <w:rPr>
          <w:i/>
          <w:lang w:val="es-ES_tradnl"/>
        </w:rPr>
        <w:t>C</w:t>
      </w:r>
      <w:r>
        <w:rPr>
          <w:lang w:val="es-ES_tradnl"/>
        </w:rPr>
        <w:t>/(</w:t>
      </w:r>
      <w:r>
        <w:rPr>
          <w:i/>
          <w:lang w:val="es-ES_tradnl"/>
        </w:rPr>
        <w:t>N</w:t>
      </w:r>
      <w:r>
        <w:rPr>
          <w:lang w:val="es-ES_tradnl"/>
        </w:rPr>
        <w:t> </w:t>
      </w:r>
      <w:r>
        <w:rPr>
          <w:rFonts w:ascii="Symbol" w:hAnsi="Symbol"/>
        </w:rPr>
        <w:t></w:t>
      </w:r>
      <w:r>
        <w:rPr>
          <w:lang w:val="es-ES_tradnl"/>
        </w:rPr>
        <w:t> </w:t>
      </w:r>
      <w:r>
        <w:rPr>
          <w:i/>
          <w:lang w:val="es-ES_tradnl"/>
        </w:rPr>
        <w:t>I</w:t>
      </w:r>
      <w:r>
        <w:rPr>
          <w:rFonts w:ascii="Tms Rmn" w:hAnsi="Tms Rmn"/>
          <w:sz w:val="8"/>
          <w:lang w:val="es-ES_tradnl"/>
        </w:rPr>
        <w:t> </w:t>
      </w:r>
      <w:r>
        <w:rPr>
          <w:lang w:val="es-ES_tradnl"/>
        </w:rPr>
        <w:t xml:space="preserve">) para un sistema del servicio fijo de un solo salto. En el caso de los satélites del </w:t>
      </w:r>
      <w:proofErr w:type="spellStart"/>
      <w:r>
        <w:rPr>
          <w:lang w:val="es-ES_tradnl"/>
        </w:rPr>
        <w:t>SMS</w:t>
      </w:r>
      <w:proofErr w:type="spellEnd"/>
      <w:r>
        <w:rPr>
          <w:lang w:val="es-ES_tradnl"/>
        </w:rPr>
        <w:t xml:space="preserve"> no </w:t>
      </w:r>
      <w:proofErr w:type="spellStart"/>
      <w:r>
        <w:rPr>
          <w:lang w:val="es-ES_tradnl"/>
        </w:rPr>
        <w:t>OSG</w:t>
      </w:r>
      <w:proofErr w:type="spellEnd"/>
      <w:r>
        <w:rPr>
          <w:lang w:val="es-ES_tradnl"/>
        </w:rPr>
        <w:t>, véase asimismo el Anexo 6 a la Recomendación UIT-R F.1108.</w:t>
      </w:r>
    </w:p>
    <w:p w:rsidR="0074449E" w:rsidRDefault="0074449E" w:rsidP="0074449E">
      <w:pPr>
        <w:pStyle w:val="Heading2"/>
        <w:rPr>
          <w:lang w:val="es-ES_tradnl"/>
        </w:rPr>
      </w:pPr>
      <w:bookmarkStart w:id="8" w:name="_Toc114383395"/>
      <w:r>
        <w:rPr>
          <w:lang w:val="es-ES_tradnl"/>
        </w:rPr>
        <w:t>2.3</w:t>
      </w:r>
      <w:r>
        <w:rPr>
          <w:lang w:val="es-ES_tradnl"/>
        </w:rPr>
        <w:tab/>
        <w:t>Consideración del análisis</w:t>
      </w:r>
      <w:bookmarkEnd w:id="8"/>
    </w:p>
    <w:p w:rsidR="0074449E" w:rsidRDefault="0074449E" w:rsidP="00924F71">
      <w:pPr>
        <w:rPr>
          <w:lang w:val="es-ES_tradnl"/>
        </w:rPr>
      </w:pPr>
      <w:r>
        <w:rPr>
          <w:i/>
          <w:lang w:val="es-ES_tradnl"/>
        </w:rPr>
        <w:t>Paso 1</w:t>
      </w:r>
      <w:r w:rsidR="00924F71" w:rsidRPr="00924F71">
        <w:rPr>
          <w:lang w:val="es-ES_tradnl"/>
        </w:rPr>
        <w:t>:  </w:t>
      </w:r>
      <w:r>
        <w:rPr>
          <w:lang w:val="es-ES_tradnl"/>
        </w:rPr>
        <w:t xml:space="preserve">Si se cumplen los objetivos de calidad de funcionamiento de las Recomendaciones UIT-R aplicables para cada sistema del servicio fijo considerado en presencia de la degradación de calidad de funcionamiento incremental inducida por interferencia por el sistema de satélites del </w:t>
      </w:r>
      <w:proofErr w:type="spellStart"/>
      <w:r>
        <w:rPr>
          <w:lang w:val="es-ES_tradnl"/>
        </w:rPr>
        <w:t>SMS</w:t>
      </w:r>
      <w:proofErr w:type="spellEnd"/>
      <w:r>
        <w:rPr>
          <w:lang w:val="es-ES_tradnl"/>
        </w:rPr>
        <w:t>, ello debe facilitar la compleción satisfactoria de los aspectos técnicos de la coordinación de frecuencias.</w:t>
      </w:r>
    </w:p>
    <w:p w:rsidR="0074449E" w:rsidRDefault="0074449E" w:rsidP="00924F71">
      <w:pPr>
        <w:rPr>
          <w:lang w:val="es-ES_tradnl"/>
        </w:rPr>
      </w:pPr>
      <w:r>
        <w:rPr>
          <w:i/>
          <w:lang w:val="es-ES_tradnl"/>
        </w:rPr>
        <w:t>Paso 2</w:t>
      </w:r>
      <w:r w:rsidR="00924F71" w:rsidRPr="00924F71">
        <w:rPr>
          <w:lang w:val="es-ES_tradnl"/>
        </w:rPr>
        <w:t>:  </w:t>
      </w:r>
      <w:r>
        <w:rPr>
          <w:lang w:val="es-ES_tradnl"/>
        </w:rPr>
        <w:t xml:space="preserve">En algunos casos, puede ser necesario realizar más estudios para determinar si es aceptable o no la interferencia procedente del sistema de satélites del </w:t>
      </w:r>
      <w:proofErr w:type="spellStart"/>
      <w:r>
        <w:rPr>
          <w:lang w:val="es-ES_tradnl"/>
        </w:rPr>
        <w:t>SMS</w:t>
      </w:r>
      <w:proofErr w:type="spellEnd"/>
      <w:r>
        <w:rPr>
          <w:lang w:val="es-ES_tradnl"/>
        </w:rPr>
        <w:t>, antes de la consideración de otras medidas de compartición de las cargas.</w:t>
      </w:r>
    </w:p>
    <w:p w:rsidR="0074449E" w:rsidRDefault="0074449E" w:rsidP="0074449E">
      <w:pPr>
        <w:rPr>
          <w:lang w:val="es-ES_tradnl"/>
        </w:rPr>
      </w:pPr>
    </w:p>
    <w:p w:rsidR="0074449E" w:rsidRDefault="0074449E" w:rsidP="0074449E">
      <w:pPr>
        <w:pStyle w:val="Line"/>
        <w:rPr>
          <w:lang w:val="es-ES_tradnl"/>
        </w:rPr>
      </w:pPr>
    </w:p>
    <w:p w:rsidR="00A6617B" w:rsidRPr="0074449E" w:rsidRDefault="00A6617B" w:rsidP="00A6617B">
      <w:pPr>
        <w:rPr>
          <w:lang w:val="es-ES_tradnl"/>
        </w:rPr>
      </w:pPr>
    </w:p>
    <w:sectPr w:rsidR="00A6617B" w:rsidRPr="0074449E" w:rsidSect="00EF1902">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860" w:rsidRDefault="00932860">
      <w:r>
        <w:separator/>
      </w:r>
    </w:p>
  </w:endnote>
  <w:endnote w:type="continuationSeparator" w:id="0">
    <w:p w:rsidR="00932860" w:rsidRDefault="009328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Times New Roman Bold">
    <w:panose1 w:val="02020803070505020304"/>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860" w:rsidRDefault="00932860">
      <w:r>
        <w:separator/>
      </w:r>
    </w:p>
  </w:footnote>
  <w:footnote w:type="continuationSeparator" w:id="0">
    <w:p w:rsidR="00932860" w:rsidRDefault="00932860">
      <w:r>
        <w:continuationSeparator/>
      </w:r>
    </w:p>
  </w:footnote>
  <w:footnote w:id="1">
    <w:p w:rsidR="00932860" w:rsidRPr="002F552A" w:rsidRDefault="00932860" w:rsidP="00622491">
      <w:pPr>
        <w:pStyle w:val="FootnoteText"/>
        <w:rPr>
          <w:lang w:val="es-ES_tradnl"/>
        </w:rPr>
      </w:pPr>
      <w:r w:rsidRPr="002F552A">
        <w:rPr>
          <w:rStyle w:val="FootnoteReference"/>
        </w:rPr>
        <w:sym w:font="Symbol" w:char="F02A"/>
      </w:r>
      <w:r w:rsidRPr="002F552A">
        <w:rPr>
          <w:lang w:val="es-ES_tradnl"/>
        </w:rPr>
        <w:t xml:space="preserve"> </w:t>
      </w:r>
      <w:r>
        <w:rPr>
          <w:lang w:val="es-ES_tradnl"/>
        </w:rPr>
        <w:tab/>
        <w:t>Esta Recomendación fue realizada conjuntamente por las Comisiones de Estudio 4 y 5 de Radiocomunicaciones, que también se ocuparán conjuntamente de cualquier futura revisión.</w:t>
      </w:r>
    </w:p>
  </w:footnote>
  <w:footnote w:id="2">
    <w:p w:rsidR="00932860" w:rsidRPr="002F552A" w:rsidRDefault="00932860" w:rsidP="00622491">
      <w:pPr>
        <w:pStyle w:val="FootnoteText"/>
        <w:rPr>
          <w:lang w:val="es-ES_tradnl"/>
        </w:rPr>
      </w:pPr>
      <w:r w:rsidRPr="002F552A">
        <w:rPr>
          <w:rStyle w:val="FootnoteReference"/>
        </w:rPr>
        <w:sym w:font="Symbol" w:char="F02A"/>
      </w:r>
      <w:r w:rsidRPr="002F552A">
        <w:rPr>
          <w:rStyle w:val="FootnoteReference"/>
        </w:rPr>
        <w:sym w:font="Symbol" w:char="F02A"/>
      </w:r>
      <w:r w:rsidRPr="002F552A">
        <w:rPr>
          <w:lang w:val="es-ES_tradnl"/>
        </w:rPr>
        <w:t xml:space="preserve"> </w:t>
      </w:r>
      <w:r>
        <w:rPr>
          <w:lang w:val="es-ES_tradnl"/>
        </w:rPr>
        <w:tab/>
        <w:t xml:space="preserve">Se necesitan más estudios sobre redes del </w:t>
      </w:r>
      <w:proofErr w:type="spellStart"/>
      <w:r>
        <w:rPr>
          <w:lang w:val="es-ES_tradnl"/>
        </w:rPr>
        <w:t>SMS</w:t>
      </w:r>
      <w:proofErr w:type="spellEnd"/>
      <w:r>
        <w:rPr>
          <w:lang w:val="es-ES_tradnl"/>
        </w:rPr>
        <w:t xml:space="preserve"> que utilizan acceso múltiple por división de código (</w:t>
      </w:r>
      <w:proofErr w:type="spellStart"/>
      <w:r>
        <w:rPr>
          <w:lang w:val="es-ES_tradnl"/>
        </w:rPr>
        <w:t>AMDC</w:t>
      </w:r>
      <w:proofErr w:type="spellEnd"/>
      <w:r>
        <w:rPr>
          <w:lang w:val="es-ES_tradnl"/>
        </w:rPr>
        <w:t>).</w:t>
      </w:r>
    </w:p>
  </w:footnote>
  <w:footnote w:id="3">
    <w:p w:rsidR="00932860" w:rsidRPr="00ED066B" w:rsidRDefault="00932860" w:rsidP="00A715CE">
      <w:pPr>
        <w:pStyle w:val="FootnoteText"/>
        <w:rPr>
          <w:lang w:val="es-ES_tradnl"/>
        </w:rPr>
      </w:pPr>
      <w:r>
        <w:rPr>
          <w:rStyle w:val="FootnoteReference"/>
        </w:rPr>
        <w:footnoteRef/>
      </w:r>
      <w:r w:rsidRPr="00ED066B">
        <w:rPr>
          <w:lang w:val="es-ES_tradnl"/>
        </w:rPr>
        <w:t xml:space="preserve"> </w:t>
      </w:r>
      <w:r>
        <w:rPr>
          <w:lang w:val="es-ES_tradnl"/>
        </w:rPr>
        <w:tab/>
        <w:t xml:space="preserve">La Recomendación </w:t>
      </w:r>
      <w:proofErr w:type="spellStart"/>
      <w:r>
        <w:rPr>
          <w:lang w:val="es-ES_tradnl"/>
        </w:rPr>
        <w:t>UIT</w:t>
      </w:r>
      <w:r>
        <w:rPr>
          <w:lang w:val="es-ES_tradnl"/>
        </w:rPr>
        <w:noBreakHyphen/>
        <w:t>R</w:t>
      </w:r>
      <w:proofErr w:type="spellEnd"/>
      <w:r>
        <w:rPr>
          <w:lang w:val="es-ES_tradnl"/>
        </w:rPr>
        <w:t> F.393 fue suprimida en 2007. Sin embargo, puede que continúen existiendo algunos sistemas del servicio fijo para los que dicha Recomendación sea aplicable.</w:t>
      </w:r>
    </w:p>
  </w:footnote>
  <w:footnote w:id="4">
    <w:p w:rsidR="00932860" w:rsidRPr="00ED066B" w:rsidRDefault="00932860" w:rsidP="00A715CE">
      <w:pPr>
        <w:pStyle w:val="FootnoteText"/>
        <w:rPr>
          <w:lang w:val="es-ES_tradnl"/>
        </w:rPr>
      </w:pPr>
      <w:r>
        <w:rPr>
          <w:rStyle w:val="FootnoteReference"/>
        </w:rPr>
        <w:footnoteRef/>
      </w:r>
      <w:r w:rsidRPr="00ED066B">
        <w:rPr>
          <w:lang w:val="es-ES_tradnl"/>
        </w:rPr>
        <w:t xml:space="preserve"> </w:t>
      </w:r>
      <w:r>
        <w:rPr>
          <w:lang w:val="es-ES_tradnl"/>
        </w:rPr>
        <w:tab/>
        <w:t xml:space="preserve">La Recomendación </w:t>
      </w:r>
      <w:proofErr w:type="spellStart"/>
      <w:r>
        <w:rPr>
          <w:lang w:val="es-ES_tradnl"/>
        </w:rPr>
        <w:t>UIT</w:t>
      </w:r>
      <w:r>
        <w:rPr>
          <w:lang w:val="es-ES_tradnl"/>
        </w:rPr>
        <w:noBreakHyphen/>
        <w:t>R</w:t>
      </w:r>
      <w:proofErr w:type="spellEnd"/>
      <w:r>
        <w:rPr>
          <w:lang w:val="es-ES_tradnl"/>
        </w:rPr>
        <w:t> F.555 fue suprimida en 2007. Sin embargo puede que continúen existiendo algunos sistemas del servicio fijo para los que dicha Recomendación sea aplicable.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60" w:rsidRDefault="00932860">
    <w:pP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60" w:rsidRDefault="00033BA5" w:rsidP="008622D5">
    <w:pPr>
      <w:ind w:right="360" w:firstLine="360"/>
    </w:pPr>
    <w:r w:rsidRPr="00033BA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0;margin-top:0;width:597.8pt;height:847.25pt;z-index:-251658752;mso-position-horizontal-relative:page;mso-position-vertical-relative:page">
          <v:imagedata r:id="rId1" o:title="rec_S_2009"/>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60" w:rsidRDefault="00033BA5" w:rsidP="008622D5">
    <w:pPr>
      <w:pStyle w:val="Header"/>
      <w:jc w:val="left"/>
    </w:pPr>
    <w:r>
      <w:rPr>
        <w:rStyle w:val="PageNumber"/>
        <w:b/>
        <w:bCs/>
      </w:rPr>
      <w:fldChar w:fldCharType="begin"/>
    </w:r>
    <w:r w:rsidR="00932860">
      <w:rPr>
        <w:rStyle w:val="PageNumber"/>
        <w:b/>
        <w:bCs/>
      </w:rPr>
      <w:instrText xml:space="preserve"> PAGE </w:instrText>
    </w:r>
    <w:r>
      <w:rPr>
        <w:rStyle w:val="PageNumber"/>
        <w:b/>
        <w:bCs/>
      </w:rPr>
      <w:fldChar w:fldCharType="separate"/>
    </w:r>
    <w:r w:rsidR="00DC4481">
      <w:rPr>
        <w:rStyle w:val="PageNumber"/>
        <w:b/>
        <w:bCs/>
        <w:noProof/>
      </w:rPr>
      <w:t>ii</w:t>
    </w:r>
    <w:r>
      <w:rPr>
        <w:rStyle w:val="PageNumber"/>
        <w:b/>
        <w:bCs/>
      </w:rPr>
      <w:fldChar w:fldCharType="end"/>
    </w:r>
    <w:r w:rsidR="00932860">
      <w:tab/>
    </w:r>
    <w:fldSimple w:instr=" DOCPROPERTY &quot;Header&quot; \* MERGEFORMAT ">
      <w:r w:rsidR="00DC4481" w:rsidRPr="00DC4481">
        <w:rPr>
          <w:b/>
          <w:bCs/>
        </w:rPr>
        <w:t xml:space="preserve">Rec. </w:t>
      </w:r>
    </w:fldSimple>
    <w:r w:rsidR="00932860" w:rsidRPr="001B395D">
      <w:rPr>
        <w:b/>
        <w:bCs/>
      </w:rPr>
      <w:t xml:space="preserve"> </w:t>
    </w:r>
    <w:r w:rsidRPr="001B395D">
      <w:rPr>
        <w:b/>
        <w:bCs/>
      </w:rPr>
      <w:fldChar w:fldCharType="begin"/>
    </w:r>
    <w:r w:rsidR="00932860" w:rsidRPr="001B395D">
      <w:rPr>
        <w:b/>
        <w:bCs/>
      </w:rPr>
      <w:instrText>styleref href</w:instrText>
    </w:r>
    <w:r w:rsidRPr="001B395D">
      <w:rPr>
        <w:b/>
        <w:bCs/>
      </w:rPr>
      <w:fldChar w:fldCharType="separate"/>
    </w:r>
    <w:r w:rsidR="00DC4481">
      <w:rPr>
        <w:b/>
        <w:bCs/>
        <w:noProof/>
      </w:rPr>
      <w:t>UIT-R  M.1319-3</w:t>
    </w:r>
    <w:r w:rsidRPr="001B395D">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60" w:rsidRDefault="00932860">
    <w:r>
      <w:tab/>
    </w:r>
    <w:fldSimple w:instr=" DOCPROPERTY &quot;Header&quot; \* MERGEFORMAT ">
      <w:r w:rsidR="00DC4481" w:rsidRPr="00DC4481">
        <w:rPr>
          <w:b/>
          <w:bCs/>
        </w:rPr>
        <w:t xml:space="preserve">Rec. </w:t>
      </w:r>
    </w:fldSimple>
    <w:r>
      <w:rPr>
        <w:b/>
        <w:bCs/>
      </w:rPr>
      <w:t xml:space="preserve"> </w:t>
    </w:r>
    <w:r w:rsidR="00033BA5">
      <w:rPr>
        <w:b/>
        <w:bCs/>
      </w:rPr>
      <w:fldChar w:fldCharType="begin"/>
    </w:r>
    <w:r>
      <w:rPr>
        <w:b/>
        <w:bCs/>
      </w:rPr>
      <w:instrText>styleref href</w:instrText>
    </w:r>
    <w:r w:rsidR="00033BA5">
      <w:rPr>
        <w:b/>
        <w:bCs/>
      </w:rPr>
      <w:fldChar w:fldCharType="separate"/>
    </w:r>
    <w:r w:rsidR="00DC4481">
      <w:rPr>
        <w:b/>
        <w:bCs/>
        <w:noProof/>
      </w:rPr>
      <w:t>UIT-R  M.1319-3</w:t>
    </w:r>
    <w:r w:rsidR="00033BA5">
      <w:rPr>
        <w:b/>
        <w:bCs/>
      </w:rPr>
      <w:fldChar w:fldCharType="end"/>
    </w:r>
    <w:r>
      <w:tab/>
    </w:r>
    <w:r w:rsidR="00033BA5">
      <w:rPr>
        <w:rStyle w:val="PageNumber"/>
        <w:b/>
        <w:bCs/>
      </w:rPr>
      <w:fldChar w:fldCharType="begin"/>
    </w:r>
    <w:r>
      <w:rPr>
        <w:rStyle w:val="PageNumber"/>
        <w:b/>
        <w:bCs/>
      </w:rPr>
      <w:instrText xml:space="preserve"> PAGE </w:instrText>
    </w:r>
    <w:r w:rsidR="00033BA5">
      <w:rPr>
        <w:rStyle w:val="PageNumber"/>
        <w:b/>
        <w:bCs/>
      </w:rPr>
      <w:fldChar w:fldCharType="separate"/>
    </w:r>
    <w:r>
      <w:rPr>
        <w:rStyle w:val="PageNumber"/>
        <w:b/>
        <w:bCs/>
        <w:noProof/>
      </w:rPr>
      <w:t>vi</w:t>
    </w:r>
    <w:r w:rsidR="00033BA5">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60" w:rsidRDefault="00033BA5">
    <w:pPr>
      <w:pStyle w:val="Header"/>
      <w:jc w:val="left"/>
      <w:rPr>
        <w:lang w:val="en-US"/>
      </w:rPr>
    </w:pPr>
    <w:r>
      <w:rPr>
        <w:rStyle w:val="PageNumber"/>
        <w:b/>
        <w:bCs/>
      </w:rPr>
      <w:fldChar w:fldCharType="begin"/>
    </w:r>
    <w:r w:rsidR="00932860">
      <w:rPr>
        <w:rStyle w:val="PageNumber"/>
        <w:b/>
        <w:bCs/>
        <w:lang w:val="en-US"/>
      </w:rPr>
      <w:instrText xml:space="preserve"> PAGE </w:instrText>
    </w:r>
    <w:r>
      <w:rPr>
        <w:rStyle w:val="PageNumber"/>
        <w:b/>
        <w:bCs/>
      </w:rPr>
      <w:fldChar w:fldCharType="separate"/>
    </w:r>
    <w:r w:rsidR="00DC4481">
      <w:rPr>
        <w:rStyle w:val="PageNumber"/>
        <w:b/>
        <w:bCs/>
        <w:noProof/>
        <w:lang w:val="en-US"/>
      </w:rPr>
      <w:t>6</w:t>
    </w:r>
    <w:r>
      <w:rPr>
        <w:rStyle w:val="PageNumber"/>
        <w:b/>
        <w:bCs/>
      </w:rPr>
      <w:fldChar w:fldCharType="end"/>
    </w:r>
    <w:r w:rsidR="00932860">
      <w:rPr>
        <w:lang w:val="en-US"/>
      </w:rPr>
      <w:tab/>
    </w:r>
    <w:fldSimple w:instr=" DOCPROPERTY &quot;Header&quot; \* MERGEFORMAT ">
      <w:r w:rsidR="00DC4481" w:rsidRPr="00DC4481">
        <w:rPr>
          <w:b/>
          <w:bCs/>
          <w:lang w:val="en-US"/>
        </w:rPr>
        <w:t xml:space="preserve">Rec. </w:t>
      </w:r>
    </w:fldSimple>
    <w:r w:rsidR="00932860">
      <w:rPr>
        <w:b/>
        <w:bCs/>
      </w:rPr>
      <w:t xml:space="preserve"> </w:t>
    </w:r>
    <w:r>
      <w:rPr>
        <w:b/>
        <w:bCs/>
      </w:rPr>
      <w:fldChar w:fldCharType="begin"/>
    </w:r>
    <w:r w:rsidR="00932860">
      <w:rPr>
        <w:b/>
        <w:bCs/>
        <w:lang w:val="en-US"/>
      </w:rPr>
      <w:instrText>styleref href</w:instrText>
    </w:r>
    <w:r>
      <w:rPr>
        <w:b/>
        <w:bCs/>
      </w:rPr>
      <w:fldChar w:fldCharType="separate"/>
    </w:r>
    <w:r w:rsidR="00DC4481">
      <w:rPr>
        <w:b/>
        <w:bCs/>
        <w:noProof/>
      </w:rPr>
      <w:t>UIT-R  M.1319-3</w:t>
    </w:r>
    <w:r>
      <w:rPr>
        <w:b/>
        <w:bCs/>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860" w:rsidRDefault="00932860">
    <w:pPr>
      <w:pStyle w:val="Header"/>
    </w:pPr>
    <w:r>
      <w:tab/>
    </w:r>
    <w:fldSimple w:instr=" DOCPROPERTY &quot;Header&quot; \* MERGEFORMAT ">
      <w:r w:rsidR="00DC4481" w:rsidRPr="00DC4481">
        <w:rPr>
          <w:b/>
          <w:bCs/>
        </w:rPr>
        <w:t xml:space="preserve">Rec. </w:t>
      </w:r>
    </w:fldSimple>
    <w:r>
      <w:rPr>
        <w:b/>
        <w:bCs/>
      </w:rPr>
      <w:t xml:space="preserve"> </w:t>
    </w:r>
    <w:r w:rsidR="00033BA5">
      <w:rPr>
        <w:b/>
        <w:bCs/>
      </w:rPr>
      <w:fldChar w:fldCharType="begin"/>
    </w:r>
    <w:r>
      <w:rPr>
        <w:b/>
        <w:bCs/>
      </w:rPr>
      <w:instrText>styleref href</w:instrText>
    </w:r>
    <w:r w:rsidR="00033BA5">
      <w:rPr>
        <w:b/>
        <w:bCs/>
      </w:rPr>
      <w:fldChar w:fldCharType="separate"/>
    </w:r>
    <w:r w:rsidR="00DC4481">
      <w:rPr>
        <w:b/>
        <w:bCs/>
        <w:noProof/>
      </w:rPr>
      <w:t>UIT-R  M.1319-3</w:t>
    </w:r>
    <w:r w:rsidR="00033BA5">
      <w:rPr>
        <w:b/>
        <w:bCs/>
      </w:rPr>
      <w:fldChar w:fldCharType="end"/>
    </w:r>
    <w:r>
      <w:tab/>
    </w:r>
    <w:r w:rsidR="00033BA5">
      <w:rPr>
        <w:rStyle w:val="PageNumber"/>
        <w:b/>
        <w:bCs/>
      </w:rPr>
      <w:fldChar w:fldCharType="begin"/>
    </w:r>
    <w:r>
      <w:rPr>
        <w:rStyle w:val="PageNumber"/>
        <w:b/>
        <w:bCs/>
      </w:rPr>
      <w:instrText xml:space="preserve"> PAGE </w:instrText>
    </w:r>
    <w:r w:rsidR="00033BA5">
      <w:rPr>
        <w:rStyle w:val="PageNumber"/>
        <w:b/>
        <w:bCs/>
      </w:rPr>
      <w:fldChar w:fldCharType="separate"/>
    </w:r>
    <w:r w:rsidR="00DC4481">
      <w:rPr>
        <w:rStyle w:val="PageNumber"/>
        <w:b/>
        <w:bCs/>
        <w:noProof/>
      </w:rPr>
      <w:t>7</w:t>
    </w:r>
    <w:r w:rsidR="00033BA5">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defaultTabStop w:val="720"/>
  <w:evenAndOddHeader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EF1902"/>
    <w:rsid w:val="00033BA5"/>
    <w:rsid w:val="00157972"/>
    <w:rsid w:val="001704FA"/>
    <w:rsid w:val="00204359"/>
    <w:rsid w:val="0021357B"/>
    <w:rsid w:val="00217EBF"/>
    <w:rsid w:val="002D76C4"/>
    <w:rsid w:val="0035194B"/>
    <w:rsid w:val="0036059C"/>
    <w:rsid w:val="00467F24"/>
    <w:rsid w:val="004F40A4"/>
    <w:rsid w:val="00526974"/>
    <w:rsid w:val="00584496"/>
    <w:rsid w:val="005C2195"/>
    <w:rsid w:val="00607D68"/>
    <w:rsid w:val="00622491"/>
    <w:rsid w:val="006525BE"/>
    <w:rsid w:val="00653B61"/>
    <w:rsid w:val="00671F06"/>
    <w:rsid w:val="006A0095"/>
    <w:rsid w:val="006B1EA0"/>
    <w:rsid w:val="006F4DEA"/>
    <w:rsid w:val="0074449E"/>
    <w:rsid w:val="007468DA"/>
    <w:rsid w:val="007F56BC"/>
    <w:rsid w:val="008622D5"/>
    <w:rsid w:val="008C7AE8"/>
    <w:rsid w:val="00924F71"/>
    <w:rsid w:val="00932860"/>
    <w:rsid w:val="00A1537A"/>
    <w:rsid w:val="00A57F5F"/>
    <w:rsid w:val="00A6617B"/>
    <w:rsid w:val="00A715CE"/>
    <w:rsid w:val="00A95A8A"/>
    <w:rsid w:val="00AB0DC8"/>
    <w:rsid w:val="00B44E24"/>
    <w:rsid w:val="00B716BA"/>
    <w:rsid w:val="00DC4481"/>
    <w:rsid w:val="00DF4176"/>
    <w:rsid w:val="00E477C4"/>
    <w:rsid w:val="00E51113"/>
    <w:rsid w:val="00EB16BE"/>
    <w:rsid w:val="00EF1902"/>
    <w:rsid w:val="00EF4B6F"/>
    <w:rsid w:val="00F63CD9"/>
    <w:rsid w:val="00F655C7"/>
    <w:rsid w:val="00FA352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F4B6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F4B6F"/>
    <w:pPr>
      <w:keepNext/>
      <w:keepLines/>
      <w:spacing w:before="480"/>
      <w:ind w:left="794" w:hanging="794"/>
      <w:outlineLvl w:val="0"/>
    </w:pPr>
    <w:rPr>
      <w:b/>
    </w:rPr>
  </w:style>
  <w:style w:type="paragraph" w:styleId="Heading2">
    <w:name w:val="heading 2"/>
    <w:basedOn w:val="Heading1"/>
    <w:next w:val="Normal"/>
    <w:qFormat/>
    <w:rsid w:val="00EF4B6F"/>
    <w:pPr>
      <w:spacing w:before="320"/>
      <w:outlineLvl w:val="1"/>
    </w:pPr>
  </w:style>
  <w:style w:type="paragraph" w:styleId="Heading3">
    <w:name w:val="heading 3"/>
    <w:basedOn w:val="Heading1"/>
    <w:next w:val="Normal"/>
    <w:qFormat/>
    <w:rsid w:val="00EF4B6F"/>
    <w:pPr>
      <w:spacing w:before="200"/>
      <w:outlineLvl w:val="2"/>
    </w:pPr>
  </w:style>
  <w:style w:type="paragraph" w:styleId="Heading4">
    <w:name w:val="heading 4"/>
    <w:basedOn w:val="Heading3"/>
    <w:next w:val="Normal"/>
    <w:qFormat/>
    <w:rsid w:val="00EF4B6F"/>
    <w:pPr>
      <w:tabs>
        <w:tab w:val="clear" w:pos="794"/>
        <w:tab w:val="left" w:pos="992"/>
      </w:tabs>
      <w:ind w:left="992" w:hanging="992"/>
      <w:outlineLvl w:val="3"/>
    </w:pPr>
  </w:style>
  <w:style w:type="paragraph" w:styleId="Heading5">
    <w:name w:val="heading 5"/>
    <w:basedOn w:val="Heading4"/>
    <w:next w:val="Normal"/>
    <w:qFormat/>
    <w:rsid w:val="00EF4B6F"/>
    <w:pPr>
      <w:outlineLvl w:val="4"/>
    </w:pPr>
  </w:style>
  <w:style w:type="paragraph" w:styleId="Heading6">
    <w:name w:val="heading 6"/>
    <w:basedOn w:val="Heading4"/>
    <w:next w:val="Normal"/>
    <w:qFormat/>
    <w:rsid w:val="00EF4B6F"/>
    <w:pPr>
      <w:tabs>
        <w:tab w:val="clear" w:pos="992"/>
        <w:tab w:val="clear" w:pos="1191"/>
      </w:tabs>
      <w:ind w:left="1588" w:hanging="1588"/>
      <w:outlineLvl w:val="5"/>
    </w:pPr>
  </w:style>
  <w:style w:type="paragraph" w:styleId="Heading7">
    <w:name w:val="heading 7"/>
    <w:basedOn w:val="Heading6"/>
    <w:next w:val="Normal"/>
    <w:qFormat/>
    <w:rsid w:val="00EF4B6F"/>
    <w:pPr>
      <w:outlineLvl w:val="6"/>
    </w:pPr>
  </w:style>
  <w:style w:type="paragraph" w:styleId="Heading8">
    <w:name w:val="heading 8"/>
    <w:basedOn w:val="Heading6"/>
    <w:next w:val="Normal"/>
    <w:qFormat/>
    <w:rsid w:val="00EF4B6F"/>
    <w:pPr>
      <w:outlineLvl w:val="7"/>
    </w:pPr>
  </w:style>
  <w:style w:type="paragraph" w:styleId="Heading9">
    <w:name w:val="heading 9"/>
    <w:basedOn w:val="Heading6"/>
    <w:next w:val="Normal"/>
    <w:qFormat/>
    <w:rsid w:val="00EF4B6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F4B6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F4B6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F4B6F"/>
  </w:style>
  <w:style w:type="paragraph" w:customStyle="1" w:styleId="Headingb">
    <w:name w:val="Heading_b"/>
    <w:basedOn w:val="Heading3"/>
    <w:next w:val="Normal"/>
    <w:rsid w:val="00EF4B6F"/>
    <w:pPr>
      <w:spacing w:before="160"/>
      <w:ind w:left="0" w:firstLine="0"/>
      <w:outlineLvl w:val="9"/>
    </w:pPr>
  </w:style>
  <w:style w:type="paragraph" w:customStyle="1" w:styleId="Headingi">
    <w:name w:val="Heading_i"/>
    <w:basedOn w:val="Heading3"/>
    <w:next w:val="Normal"/>
    <w:rsid w:val="00EF4B6F"/>
    <w:pPr>
      <w:spacing w:before="160"/>
      <w:ind w:left="0" w:firstLine="0"/>
    </w:pPr>
    <w:rPr>
      <w:b w:val="0"/>
      <w:i/>
    </w:rPr>
  </w:style>
  <w:style w:type="character" w:customStyle="1" w:styleId="href">
    <w:name w:val="href"/>
    <w:basedOn w:val="DefaultParagraphFont"/>
    <w:rsid w:val="00EF4B6F"/>
  </w:style>
  <w:style w:type="paragraph" w:customStyle="1" w:styleId="enumlev1">
    <w:name w:val="enumlev1"/>
    <w:basedOn w:val="Normal"/>
    <w:rsid w:val="00EF4B6F"/>
    <w:pPr>
      <w:spacing w:before="80"/>
      <w:ind w:left="794" w:hanging="794"/>
    </w:pPr>
  </w:style>
  <w:style w:type="paragraph" w:customStyle="1" w:styleId="enumlev2">
    <w:name w:val="enumlev2"/>
    <w:basedOn w:val="enumlev1"/>
    <w:rsid w:val="00EF4B6F"/>
    <w:pPr>
      <w:ind w:left="1191" w:hanging="397"/>
    </w:pPr>
  </w:style>
  <w:style w:type="paragraph" w:customStyle="1" w:styleId="enumlev3">
    <w:name w:val="enumlev3"/>
    <w:basedOn w:val="enumlev2"/>
    <w:rsid w:val="00EF4B6F"/>
    <w:pPr>
      <w:ind w:left="1588"/>
    </w:pPr>
  </w:style>
  <w:style w:type="paragraph" w:customStyle="1" w:styleId="Normalaftertitle">
    <w:name w:val="Normal_after_title"/>
    <w:basedOn w:val="Normal"/>
    <w:next w:val="Normal"/>
    <w:rsid w:val="00EF4B6F"/>
    <w:pPr>
      <w:spacing w:before="320"/>
    </w:pPr>
  </w:style>
  <w:style w:type="paragraph" w:customStyle="1" w:styleId="Note">
    <w:name w:val="Note"/>
    <w:basedOn w:val="Normal"/>
    <w:rsid w:val="00EF4B6F"/>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F4B6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EF4B6F"/>
    <w:pPr>
      <w:spacing w:before="240"/>
    </w:pPr>
    <w:rPr>
      <w:sz w:val="22"/>
      <w:lang w:val="es-ES_tradnl"/>
    </w:rPr>
  </w:style>
  <w:style w:type="paragraph" w:customStyle="1" w:styleId="Recref">
    <w:name w:val="Rec_ref"/>
    <w:basedOn w:val="Normal"/>
    <w:next w:val="Recdate"/>
    <w:rsid w:val="00EF4B6F"/>
    <w:pPr>
      <w:jc w:val="center"/>
    </w:pPr>
  </w:style>
  <w:style w:type="paragraph" w:customStyle="1" w:styleId="Recdate">
    <w:name w:val="Rec_date"/>
    <w:basedOn w:val="Recref"/>
    <w:next w:val="Normalaftertitle"/>
    <w:rsid w:val="00EF4B6F"/>
    <w:pPr>
      <w:jc w:val="right"/>
    </w:pPr>
  </w:style>
  <w:style w:type="paragraph" w:customStyle="1" w:styleId="AnnexNoTitle">
    <w:name w:val="Annex_NoTitle"/>
    <w:basedOn w:val="Normal"/>
    <w:next w:val="Normalaftertitle"/>
    <w:rsid w:val="00EF4B6F"/>
    <w:pPr>
      <w:keepNext/>
      <w:keepLines/>
      <w:spacing w:before="480" w:after="80"/>
      <w:jc w:val="center"/>
    </w:pPr>
    <w:rPr>
      <w:b/>
      <w:sz w:val="28"/>
    </w:rPr>
  </w:style>
  <w:style w:type="paragraph" w:customStyle="1" w:styleId="AppendixNoTitle">
    <w:name w:val="Appendix_NoTitle"/>
    <w:basedOn w:val="AnnexNoTitle"/>
    <w:next w:val="Normal"/>
    <w:rsid w:val="00EF4B6F"/>
  </w:style>
  <w:style w:type="paragraph" w:customStyle="1" w:styleId="Tablefin">
    <w:name w:val="Table_fin"/>
    <w:basedOn w:val="Normal"/>
    <w:next w:val="Normal"/>
    <w:rsid w:val="00EF4B6F"/>
    <w:pPr>
      <w:spacing w:before="0"/>
    </w:pPr>
    <w:rPr>
      <w:sz w:val="20"/>
      <w:lang w:val="en-GB"/>
    </w:rPr>
  </w:style>
  <w:style w:type="paragraph" w:customStyle="1" w:styleId="Tablehead">
    <w:name w:val="Table_head"/>
    <w:basedOn w:val="Normal"/>
    <w:next w:val="Normal"/>
    <w:rsid w:val="00EF4B6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F4B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F4B6F"/>
    <w:pPr>
      <w:keepNext/>
      <w:spacing w:before="360" w:after="120"/>
      <w:jc w:val="center"/>
    </w:pPr>
  </w:style>
  <w:style w:type="paragraph" w:customStyle="1" w:styleId="Tabletext">
    <w:name w:val="Table_text"/>
    <w:basedOn w:val="Normal"/>
    <w:rsid w:val="00EF4B6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F4B6F"/>
    <w:pPr>
      <w:tabs>
        <w:tab w:val="clear" w:pos="1191"/>
        <w:tab w:val="clear" w:pos="1588"/>
        <w:tab w:val="clear" w:pos="1985"/>
        <w:tab w:val="center" w:pos="4820"/>
        <w:tab w:val="right" w:pos="9639"/>
      </w:tabs>
    </w:pPr>
  </w:style>
  <w:style w:type="paragraph" w:customStyle="1" w:styleId="Equationlegend">
    <w:name w:val="Equation_legend"/>
    <w:basedOn w:val="NormalIndent"/>
    <w:rsid w:val="00EF4B6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F4B6F"/>
    <w:pPr>
      <w:ind w:left="794"/>
    </w:pPr>
  </w:style>
  <w:style w:type="paragraph" w:customStyle="1" w:styleId="Figurelegend">
    <w:name w:val="Figure_legend"/>
    <w:basedOn w:val="Normal"/>
    <w:rsid w:val="00EF4B6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EF4B6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F4B6F"/>
    <w:pPr>
      <w:keepNext/>
      <w:keepLines/>
      <w:spacing w:before="480"/>
      <w:jc w:val="center"/>
    </w:pPr>
    <w:rPr>
      <w:sz w:val="28"/>
    </w:rPr>
  </w:style>
  <w:style w:type="paragraph" w:customStyle="1" w:styleId="Arttitle">
    <w:name w:val="Art_title"/>
    <w:basedOn w:val="Normal"/>
    <w:next w:val="Normalaftertitle"/>
    <w:rsid w:val="00EF4B6F"/>
    <w:pPr>
      <w:keepNext/>
      <w:keepLines/>
      <w:spacing w:before="240"/>
      <w:jc w:val="center"/>
    </w:pPr>
    <w:rPr>
      <w:b/>
      <w:sz w:val="28"/>
    </w:rPr>
  </w:style>
  <w:style w:type="paragraph" w:customStyle="1" w:styleId="Blanc">
    <w:name w:val="Blanc"/>
    <w:basedOn w:val="Normal"/>
    <w:next w:val="Tabletext"/>
    <w:rsid w:val="00EF4B6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F4B6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F4B6F"/>
    <w:pPr>
      <w:keepNext/>
      <w:keepLines/>
      <w:spacing w:before="160"/>
      <w:ind w:left="794"/>
    </w:pPr>
    <w:rPr>
      <w:i/>
    </w:rPr>
  </w:style>
  <w:style w:type="paragraph" w:customStyle="1" w:styleId="ChapNo">
    <w:name w:val="Chap_No"/>
    <w:basedOn w:val="ArtNo"/>
    <w:next w:val="Chaptitle"/>
    <w:rsid w:val="00EF4B6F"/>
    <w:rPr>
      <w:b/>
    </w:rPr>
  </w:style>
  <w:style w:type="paragraph" w:customStyle="1" w:styleId="Chaptitle">
    <w:name w:val="Chap_title"/>
    <w:basedOn w:val="Arttitle"/>
    <w:next w:val="Normalaftertitle"/>
    <w:rsid w:val="00EF4B6F"/>
  </w:style>
  <w:style w:type="character" w:styleId="FootnoteReference">
    <w:name w:val="footnote reference"/>
    <w:basedOn w:val="DefaultParagraphFont"/>
    <w:semiHidden/>
    <w:rsid w:val="00EF4B6F"/>
    <w:rPr>
      <w:position w:val="6"/>
      <w:sz w:val="18"/>
    </w:rPr>
  </w:style>
  <w:style w:type="paragraph" w:styleId="FootnoteText">
    <w:name w:val="footnote text"/>
    <w:basedOn w:val="Normal"/>
    <w:semiHidden/>
    <w:rsid w:val="00EF4B6F"/>
    <w:pPr>
      <w:keepLines/>
      <w:tabs>
        <w:tab w:val="left" w:pos="255"/>
      </w:tabs>
      <w:ind w:left="255" w:hanging="255"/>
    </w:pPr>
    <w:rPr>
      <w:sz w:val="22"/>
    </w:rPr>
  </w:style>
  <w:style w:type="paragraph" w:styleId="Index1">
    <w:name w:val="index 1"/>
    <w:basedOn w:val="Normal"/>
    <w:next w:val="Normal"/>
    <w:semiHidden/>
    <w:rsid w:val="00EF4B6F"/>
  </w:style>
  <w:style w:type="paragraph" w:styleId="Index2">
    <w:name w:val="index 2"/>
    <w:basedOn w:val="Normal"/>
    <w:next w:val="Normal"/>
    <w:semiHidden/>
    <w:rsid w:val="00EF4B6F"/>
    <w:pPr>
      <w:ind w:left="283"/>
    </w:pPr>
  </w:style>
  <w:style w:type="paragraph" w:styleId="Index3">
    <w:name w:val="index 3"/>
    <w:basedOn w:val="Normal"/>
    <w:next w:val="Normal"/>
    <w:semiHidden/>
    <w:rsid w:val="00EF4B6F"/>
    <w:pPr>
      <w:ind w:left="566"/>
    </w:pPr>
  </w:style>
  <w:style w:type="paragraph" w:styleId="IndexHeading">
    <w:name w:val="index heading"/>
    <w:basedOn w:val="Normal"/>
    <w:next w:val="Index1"/>
    <w:semiHidden/>
    <w:rsid w:val="00EF4B6F"/>
  </w:style>
  <w:style w:type="paragraph" w:customStyle="1" w:styleId="Line">
    <w:name w:val="Line"/>
    <w:basedOn w:val="Normal"/>
    <w:next w:val="Normal"/>
    <w:rsid w:val="00EF4B6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F4B6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F4B6F"/>
  </w:style>
  <w:style w:type="paragraph" w:customStyle="1" w:styleId="Partref">
    <w:name w:val="Part_ref"/>
    <w:basedOn w:val="Normal"/>
    <w:next w:val="Normal"/>
    <w:rsid w:val="00EF4B6F"/>
    <w:pPr>
      <w:keepNext/>
      <w:keepLines/>
      <w:spacing w:after="280"/>
      <w:jc w:val="center"/>
    </w:pPr>
  </w:style>
  <w:style w:type="paragraph" w:customStyle="1" w:styleId="Parttitle">
    <w:name w:val="Part_title"/>
    <w:basedOn w:val="Normal"/>
    <w:next w:val="Normalaftertitle"/>
    <w:rsid w:val="00EF4B6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F4B6F"/>
  </w:style>
  <w:style w:type="paragraph" w:customStyle="1" w:styleId="QuestionNo">
    <w:name w:val="Question_No"/>
    <w:basedOn w:val="RecNo"/>
    <w:next w:val="Normal"/>
    <w:rsid w:val="00EF4B6F"/>
  </w:style>
  <w:style w:type="paragraph" w:customStyle="1" w:styleId="Questionref">
    <w:name w:val="Question_ref"/>
    <w:basedOn w:val="Recref"/>
    <w:next w:val="Questiondate"/>
    <w:rsid w:val="00EF4B6F"/>
  </w:style>
  <w:style w:type="paragraph" w:customStyle="1" w:styleId="Questiontitle">
    <w:name w:val="Question_title"/>
    <w:basedOn w:val="Normal"/>
    <w:next w:val="Questionref"/>
    <w:rsid w:val="00EF4B6F"/>
  </w:style>
  <w:style w:type="paragraph" w:customStyle="1" w:styleId="Reftext">
    <w:name w:val="Ref_text"/>
    <w:basedOn w:val="Normal"/>
    <w:rsid w:val="00EF4B6F"/>
    <w:pPr>
      <w:ind w:left="794" w:hanging="794"/>
    </w:pPr>
    <w:rPr>
      <w:sz w:val="22"/>
    </w:rPr>
  </w:style>
  <w:style w:type="paragraph" w:customStyle="1" w:styleId="Reftitle">
    <w:name w:val="Ref_title"/>
    <w:basedOn w:val="Normal"/>
    <w:next w:val="Reftext"/>
    <w:rsid w:val="00EF4B6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F4B6F"/>
  </w:style>
  <w:style w:type="paragraph" w:customStyle="1" w:styleId="RepNo">
    <w:name w:val="Rep_No"/>
    <w:basedOn w:val="RecNo"/>
    <w:next w:val="Reptitle"/>
    <w:rsid w:val="00EF4B6F"/>
  </w:style>
  <w:style w:type="paragraph" w:customStyle="1" w:styleId="Repref">
    <w:name w:val="Rep_ref"/>
    <w:basedOn w:val="Recref"/>
    <w:next w:val="Repdate"/>
    <w:rsid w:val="00EF4B6F"/>
  </w:style>
  <w:style w:type="paragraph" w:customStyle="1" w:styleId="Reptitle">
    <w:name w:val="Rep_title"/>
    <w:basedOn w:val="Rectitle"/>
    <w:next w:val="Repref"/>
    <w:rsid w:val="00EF4B6F"/>
  </w:style>
  <w:style w:type="paragraph" w:customStyle="1" w:styleId="Resdate">
    <w:name w:val="Res_date"/>
    <w:basedOn w:val="Recdate"/>
    <w:next w:val="Normalaftertitle"/>
    <w:rsid w:val="00EF4B6F"/>
  </w:style>
  <w:style w:type="paragraph" w:customStyle="1" w:styleId="ResNo">
    <w:name w:val="Res_No"/>
    <w:basedOn w:val="RecNo"/>
    <w:next w:val="Restitle"/>
    <w:rsid w:val="00EF4B6F"/>
  </w:style>
  <w:style w:type="paragraph" w:customStyle="1" w:styleId="Resref">
    <w:name w:val="Res_ref"/>
    <w:basedOn w:val="Recref"/>
    <w:next w:val="Resdate"/>
    <w:rsid w:val="00EF4B6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EF4B6F"/>
  </w:style>
  <w:style w:type="paragraph" w:customStyle="1" w:styleId="Sectiontitle">
    <w:name w:val="Section_title"/>
    <w:basedOn w:val="Normal"/>
    <w:next w:val="Normalaftertitle"/>
    <w:rsid w:val="00EF4B6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F4B6F"/>
    <w:pPr>
      <w:tabs>
        <w:tab w:val="clear" w:pos="794"/>
        <w:tab w:val="clear" w:pos="1191"/>
        <w:tab w:val="clear" w:pos="1588"/>
        <w:tab w:val="clear" w:pos="1985"/>
        <w:tab w:val="right" w:pos="9611"/>
      </w:tabs>
    </w:pPr>
    <w:rPr>
      <w:i/>
    </w:rPr>
  </w:style>
  <w:style w:type="paragraph" w:styleId="TOC1">
    <w:name w:val="toc 1"/>
    <w:basedOn w:val="Normal"/>
    <w:semiHidden/>
    <w:rsid w:val="00EF4B6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F4B6F"/>
    <w:pPr>
      <w:tabs>
        <w:tab w:val="clear" w:pos="567"/>
        <w:tab w:val="left" w:pos="1276"/>
      </w:tabs>
      <w:spacing w:before="160"/>
      <w:ind w:left="1276" w:hanging="709"/>
    </w:pPr>
  </w:style>
  <w:style w:type="paragraph" w:styleId="TOC3">
    <w:name w:val="toc 3"/>
    <w:basedOn w:val="TOC2"/>
    <w:semiHidden/>
    <w:rsid w:val="00EF4B6F"/>
    <w:pPr>
      <w:tabs>
        <w:tab w:val="clear" w:pos="1276"/>
        <w:tab w:val="left" w:pos="2155"/>
      </w:tabs>
      <w:ind w:left="2155" w:hanging="879"/>
    </w:pPr>
  </w:style>
  <w:style w:type="paragraph" w:styleId="TOC4">
    <w:name w:val="toc 4"/>
    <w:basedOn w:val="TOC3"/>
    <w:semiHidden/>
    <w:rsid w:val="00EF4B6F"/>
    <w:pPr>
      <w:tabs>
        <w:tab w:val="left" w:pos="3261"/>
      </w:tabs>
      <w:spacing w:before="80"/>
      <w:ind w:left="3261" w:hanging="993"/>
    </w:pPr>
  </w:style>
  <w:style w:type="paragraph" w:styleId="TOC5">
    <w:name w:val="toc 5"/>
    <w:basedOn w:val="TOC4"/>
    <w:semiHidden/>
    <w:rsid w:val="00EF4B6F"/>
  </w:style>
  <w:style w:type="paragraph" w:styleId="TOC6">
    <w:name w:val="toc 6"/>
    <w:basedOn w:val="TOC4"/>
    <w:semiHidden/>
    <w:rsid w:val="00EF4B6F"/>
  </w:style>
  <w:style w:type="paragraph" w:styleId="TOC7">
    <w:name w:val="toc 7"/>
    <w:basedOn w:val="TOC4"/>
    <w:semiHidden/>
    <w:rsid w:val="00EF4B6F"/>
  </w:style>
  <w:style w:type="paragraph" w:styleId="TOC8">
    <w:name w:val="toc 8"/>
    <w:basedOn w:val="TOC4"/>
    <w:semiHidden/>
    <w:rsid w:val="00EF4B6F"/>
  </w:style>
  <w:style w:type="paragraph" w:customStyle="1" w:styleId="Rectitle">
    <w:name w:val="Rec_title"/>
    <w:basedOn w:val="Normal"/>
    <w:next w:val="Recref"/>
    <w:rsid w:val="00EF4B6F"/>
    <w:pPr>
      <w:keepNext/>
      <w:keepLines/>
      <w:spacing w:before="240"/>
      <w:jc w:val="center"/>
    </w:pPr>
    <w:rPr>
      <w:b/>
      <w:sz w:val="28"/>
    </w:rPr>
  </w:style>
  <w:style w:type="paragraph" w:customStyle="1" w:styleId="Annexref">
    <w:name w:val="Annex_ref"/>
    <w:basedOn w:val="Normal"/>
    <w:next w:val="Normalaftertitle"/>
    <w:rsid w:val="00EF4B6F"/>
    <w:pPr>
      <w:keepNext/>
      <w:keepLines/>
      <w:spacing w:after="280"/>
      <w:jc w:val="center"/>
    </w:pPr>
  </w:style>
  <w:style w:type="paragraph" w:customStyle="1" w:styleId="Appendixref">
    <w:name w:val="Appendix_ref"/>
    <w:basedOn w:val="Annexref"/>
    <w:next w:val="Normalaftertitle"/>
    <w:rsid w:val="00EF4B6F"/>
  </w:style>
  <w:style w:type="paragraph" w:customStyle="1" w:styleId="Figuretitle">
    <w:name w:val="Figure_title"/>
    <w:basedOn w:val="Normal"/>
    <w:next w:val="Figure"/>
    <w:rsid w:val="00EF4B6F"/>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F4B6F"/>
    <w:pPr>
      <w:keepNext/>
      <w:spacing w:before="0" w:after="120"/>
      <w:jc w:val="center"/>
    </w:pPr>
    <w:rPr>
      <w:b/>
    </w:rPr>
  </w:style>
  <w:style w:type="paragraph" w:customStyle="1" w:styleId="Summary">
    <w:name w:val="Summary"/>
    <w:basedOn w:val="Normal"/>
    <w:next w:val="Normalaftertitle"/>
    <w:rsid w:val="00EF4B6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4449E"/>
    <w:rPr>
      <w:color w:val="0000FF"/>
      <w:u w:val="single"/>
    </w:rPr>
  </w:style>
  <w:style w:type="paragraph" w:customStyle="1" w:styleId="Normalaftertitle0">
    <w:name w:val="Normal after title"/>
    <w:basedOn w:val="Normal"/>
    <w:next w:val="Normal"/>
    <w:rsid w:val="0074449E"/>
    <w:pPr>
      <w:spacing w:before="320"/>
      <w:jc w:val="left"/>
    </w:pPr>
    <w:rPr>
      <w:lang w:val="en-GB"/>
    </w:rPr>
  </w:style>
  <w:style w:type="character" w:customStyle="1" w:styleId="CallChar">
    <w:name w:val="Call Char"/>
    <w:basedOn w:val="DefaultParagraphFont"/>
    <w:link w:val="Call"/>
    <w:locked/>
    <w:rsid w:val="0074449E"/>
    <w:rPr>
      <w:i/>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s" TargetMode="Externa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DBF23-EB83-4A9C-99D2-309339393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184</TotalTime>
  <Pages>9</Pages>
  <Words>4248</Words>
  <Characters>23018</Characters>
  <Application>Microsoft Office Word</Application>
  <DocSecurity>0</DocSecurity>
  <Lines>1000</Lines>
  <Paragraphs>211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27055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martiner</cp:lastModifiedBy>
  <cp:revision>33</cp:revision>
  <cp:lastPrinted>2010-06-21T09:08:00Z</cp:lastPrinted>
  <dcterms:created xsi:type="dcterms:W3CDTF">2010-06-18T14:24:00Z</dcterms:created>
  <dcterms:modified xsi:type="dcterms:W3CDTF">2010-06-21T13:28:00Z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