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rsidP="00CA286D">
      <w:pPr>
        <w:spacing w:before="0"/>
      </w:pPr>
    </w:p>
    <w:p w:rsidR="00A26CE5" w:rsidRDefault="00A26CE5" w:rsidP="00CA286D">
      <w:pPr>
        <w:spacing w:before="0"/>
      </w:pPr>
    </w:p>
    <w:p w:rsidR="00FE79FE" w:rsidRDefault="00FE79FE" w:rsidP="00CA286D">
      <w:pPr>
        <w:spacing w:before="0"/>
      </w:pPr>
    </w:p>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CA286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CA286D" w:rsidRPr="00CA286D">
              <w:rPr>
                <w:rFonts w:ascii="Tahoma" w:hAnsi="Tahoma" w:cs="Tahoma"/>
                <w:b/>
                <w:bCs/>
                <w:iCs/>
                <w:color w:val="243285"/>
                <w:sz w:val="36"/>
                <w:szCs w:val="36"/>
                <w:lang w:val="fr-CH"/>
              </w:rPr>
              <w:t>M.1173-1</w:t>
            </w:r>
          </w:p>
          <w:p w:rsidR="00FE79FE" w:rsidRPr="00A443C2" w:rsidRDefault="00FE79FE" w:rsidP="00CA286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CA286D">
              <w:rPr>
                <w:rFonts w:ascii="Tahoma" w:hAnsi="Tahoma" w:cs="Tahoma"/>
                <w:b/>
                <w:bCs/>
                <w:iCs/>
                <w:color w:val="243285"/>
                <w:szCs w:val="24"/>
              </w:rPr>
              <w:t>3</w:t>
            </w:r>
            <w:r w:rsidRPr="00A443C2">
              <w:rPr>
                <w:rFonts w:ascii="Tahoma" w:hAnsi="Tahoma" w:cs="Tahoma"/>
                <w:b/>
                <w:bCs/>
                <w:iCs/>
                <w:color w:val="243285"/>
                <w:szCs w:val="24"/>
              </w:rPr>
              <w:t>/</w:t>
            </w:r>
            <w:r w:rsidR="00CA286D">
              <w:rPr>
                <w:rFonts w:ascii="Tahoma" w:hAnsi="Tahoma" w:cs="Tahoma"/>
                <w:b/>
                <w:bCs/>
                <w:iCs/>
                <w:color w:val="243285"/>
                <w:szCs w:val="24"/>
              </w:rPr>
              <w:t>2012</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CA286D" w:rsidP="00A26CE5">
            <w:pPr>
              <w:spacing w:before="0" w:line="500" w:lineRule="exact"/>
              <w:jc w:val="right"/>
              <w:rPr>
                <w:rFonts w:ascii="Tahoma" w:hAnsi="Tahoma" w:cs="Tahoma"/>
                <w:b/>
                <w:bCs/>
                <w:iCs/>
                <w:color w:val="243285"/>
                <w:sz w:val="44"/>
                <w:szCs w:val="44"/>
              </w:rPr>
            </w:pPr>
            <w:r w:rsidRPr="00A26CE5">
              <w:rPr>
                <w:rFonts w:ascii="Tahoma" w:hAnsi="Tahoma" w:cs="Tahoma"/>
                <w:b/>
                <w:bCs/>
                <w:iCs/>
                <w:color w:val="243285"/>
                <w:sz w:val="44"/>
                <w:szCs w:val="44"/>
                <w:lang w:val="fr-CH"/>
              </w:rPr>
              <w:t>Caractéristiques techniques des émetteurs à bande latérale unique utilisés</w:t>
            </w:r>
            <w:r w:rsidR="00A26CE5">
              <w:rPr>
                <w:rFonts w:ascii="Tahoma" w:hAnsi="Tahoma" w:cs="Tahoma"/>
                <w:b/>
                <w:bCs/>
                <w:iCs/>
                <w:color w:val="243285"/>
                <w:sz w:val="44"/>
                <w:szCs w:val="44"/>
                <w:lang w:val="fr-CH"/>
              </w:rPr>
              <w:t xml:space="preserve"> </w:t>
            </w:r>
            <w:r w:rsidRPr="00A26CE5">
              <w:rPr>
                <w:rFonts w:ascii="Tahoma" w:hAnsi="Tahoma" w:cs="Tahoma"/>
                <w:b/>
                <w:bCs/>
                <w:iCs/>
                <w:color w:val="243285"/>
                <w:sz w:val="44"/>
                <w:szCs w:val="44"/>
                <w:lang w:val="fr-CH"/>
              </w:rPr>
              <w:t>dans le service mobile maritime pour la radiotéléphonie dans les bandes</w:t>
            </w:r>
            <w:r w:rsidR="00A26CE5">
              <w:rPr>
                <w:rFonts w:ascii="Tahoma" w:hAnsi="Tahoma" w:cs="Tahoma"/>
                <w:b/>
                <w:bCs/>
                <w:iCs/>
                <w:color w:val="243285"/>
                <w:sz w:val="44"/>
                <w:szCs w:val="44"/>
                <w:lang w:val="fr-CH"/>
              </w:rPr>
              <w:t xml:space="preserve"> </w:t>
            </w:r>
            <w:r w:rsidRPr="00A26CE5">
              <w:rPr>
                <w:rFonts w:ascii="Tahoma" w:hAnsi="Tahoma" w:cs="Tahoma"/>
                <w:b/>
                <w:bCs/>
                <w:iCs/>
                <w:color w:val="243285"/>
                <w:sz w:val="44"/>
                <w:szCs w:val="44"/>
                <w:lang w:val="fr-CH"/>
              </w:rPr>
              <w:t>comprises entre 1 606,5 kHz (1 605 kHz Région 2)</w:t>
            </w:r>
            <w:r w:rsidR="00A26CE5">
              <w:rPr>
                <w:rFonts w:ascii="Tahoma" w:hAnsi="Tahoma" w:cs="Tahoma"/>
                <w:b/>
                <w:bCs/>
                <w:iCs/>
                <w:color w:val="243285"/>
                <w:sz w:val="44"/>
                <w:szCs w:val="44"/>
                <w:lang w:val="fr-CH"/>
              </w:rPr>
              <w:t xml:space="preserve"> </w:t>
            </w:r>
            <w:r w:rsidRPr="00A26CE5">
              <w:rPr>
                <w:rFonts w:ascii="Tahoma" w:hAnsi="Tahoma" w:cs="Tahoma"/>
                <w:b/>
                <w:bCs/>
                <w:iCs/>
                <w:color w:val="243285"/>
                <w:sz w:val="44"/>
                <w:szCs w:val="44"/>
                <w:lang w:val="fr-CH"/>
              </w:rPr>
              <w:t>et 4 000 kHz et entre 4 000 kHz et 27 500 kHz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Default="00AD267B" w:rsidP="00AD267B">
            <w:pPr>
              <w:spacing w:before="80" w:line="280" w:lineRule="exact"/>
              <w:ind w:right="640"/>
              <w:rPr>
                <w:rFonts w:ascii="Tahoma" w:hAnsi="Tahoma" w:cs="Tahoma"/>
                <w:b/>
                <w:bCs/>
                <w:iCs/>
                <w:color w:val="243285"/>
                <w:sz w:val="32"/>
                <w:szCs w:val="32"/>
              </w:rPr>
            </w:pPr>
          </w:p>
          <w:p w:rsidR="00A26CE5" w:rsidRPr="00F54FBD" w:rsidRDefault="00A26CE5"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671C8">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261CA3">
        <w:rPr>
          <w:sz w:val="20"/>
        </w:rPr>
        <w:t>5</w:t>
      </w:r>
    </w:p>
    <w:p w:rsidR="00F54FBD" w:rsidRPr="00614CC6" w:rsidRDefault="00F54FBD" w:rsidP="001671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3E0582">
        <w:rPr>
          <w:sz w:val="20"/>
        </w:rPr>
        <w:t>1</w:t>
      </w:r>
      <w:r w:rsidR="00261CA3">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CA286D" w:rsidRPr="00756B4D" w:rsidRDefault="00CA286D" w:rsidP="00CA286D">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1173-1</w:t>
      </w:r>
      <w:r w:rsidRPr="001B74B2">
        <w:rPr>
          <w:rStyle w:val="FootnoteReference"/>
          <w:lang w:val="fr-CH"/>
          <w:rPrChange w:id="3" w:author="Fleur, Severine" w:date="2015-06-19T12:01:00Z">
            <w:rPr>
              <w:rStyle w:val="FootnoteReference"/>
            </w:rPr>
          </w:rPrChange>
        </w:rPr>
        <w:footnoteReference w:customMarkFollows="1" w:id="1"/>
        <w:t>*</w:t>
      </w:r>
    </w:p>
    <w:p w:rsidR="00CA286D" w:rsidRDefault="00CA286D" w:rsidP="00A26CE5">
      <w:pPr>
        <w:pStyle w:val="Rectitle"/>
        <w:rPr>
          <w:lang w:val="fr-CH"/>
        </w:rPr>
      </w:pPr>
      <w:r w:rsidRPr="00A26CE5">
        <w:rPr>
          <w:lang w:val="fr-CH"/>
        </w:rPr>
        <w:t>Caractéristiques techniques des émetteurs à bande latérale unique utilisés</w:t>
      </w:r>
      <w:r w:rsidRPr="00A26CE5">
        <w:rPr>
          <w:lang w:val="fr-CH"/>
        </w:rPr>
        <w:br/>
        <w:t>dans le service mobile maritime pour la radiotéléphonie dans les bandes</w:t>
      </w:r>
      <w:r w:rsidRPr="00A26CE5">
        <w:rPr>
          <w:lang w:val="fr-CH"/>
        </w:rPr>
        <w:br/>
        <w:t>comprises entre 1 606,5</w:t>
      </w:r>
      <w:r w:rsidR="008C799B">
        <w:rPr>
          <w:lang w:val="fr-CH"/>
        </w:rPr>
        <w:t> </w:t>
      </w:r>
      <w:r w:rsidRPr="00A26CE5">
        <w:rPr>
          <w:lang w:val="fr-CH"/>
        </w:rPr>
        <w:t>kHz (1 605</w:t>
      </w:r>
      <w:r w:rsidR="008C799B">
        <w:rPr>
          <w:lang w:val="fr-CH"/>
        </w:rPr>
        <w:t> </w:t>
      </w:r>
      <w:r w:rsidRPr="00A26CE5">
        <w:rPr>
          <w:lang w:val="fr-CH"/>
        </w:rPr>
        <w:t>kHz Région 2)</w:t>
      </w:r>
      <w:r w:rsidRPr="00A26CE5">
        <w:rPr>
          <w:lang w:val="fr-CH"/>
        </w:rPr>
        <w:br/>
        <w:t>et 4 000</w:t>
      </w:r>
      <w:r w:rsidR="008C799B">
        <w:rPr>
          <w:lang w:val="fr-CH"/>
        </w:rPr>
        <w:t> </w:t>
      </w:r>
      <w:r w:rsidRPr="00A26CE5">
        <w:rPr>
          <w:lang w:val="fr-CH"/>
        </w:rPr>
        <w:t>kHz et entre 4 000</w:t>
      </w:r>
      <w:r w:rsidR="008C799B">
        <w:rPr>
          <w:lang w:val="fr-CH"/>
        </w:rPr>
        <w:t> </w:t>
      </w:r>
      <w:r w:rsidRPr="00A26CE5">
        <w:rPr>
          <w:lang w:val="fr-CH"/>
        </w:rPr>
        <w:t>kHz et 27 500</w:t>
      </w:r>
      <w:r w:rsidR="008C799B">
        <w:rPr>
          <w:lang w:val="fr-CH"/>
        </w:rPr>
        <w:t> </w:t>
      </w:r>
      <w:r w:rsidRPr="00A26CE5">
        <w:rPr>
          <w:lang w:val="fr-CH"/>
        </w:rPr>
        <w:t>kHz</w:t>
      </w:r>
    </w:p>
    <w:p w:rsidR="00CA286D" w:rsidRDefault="00CA286D" w:rsidP="00CA286D">
      <w:pPr>
        <w:pStyle w:val="Recdate"/>
        <w:rPr>
          <w:lang w:val="fr-CH"/>
        </w:rPr>
      </w:pPr>
      <w:r w:rsidRPr="00223EA5">
        <w:rPr>
          <w:lang w:val="fr-CH"/>
        </w:rPr>
        <w:t>(1995</w:t>
      </w:r>
      <w:r>
        <w:rPr>
          <w:lang w:val="fr-CH"/>
        </w:rPr>
        <w:t>-2012</w:t>
      </w:r>
      <w:r w:rsidRPr="00223EA5">
        <w:rPr>
          <w:lang w:val="fr-CH"/>
        </w:rPr>
        <w:t>)</w:t>
      </w:r>
    </w:p>
    <w:p w:rsidR="00CA286D" w:rsidRPr="004D765A" w:rsidRDefault="00CA286D" w:rsidP="000961A3">
      <w:pPr>
        <w:pStyle w:val="HeadingSum"/>
        <w:rPr>
          <w:lang w:val="fr-CH"/>
        </w:rPr>
      </w:pPr>
      <w:r w:rsidRPr="004D765A">
        <w:rPr>
          <w:lang w:val="fr-CH"/>
        </w:rPr>
        <w:t>Domaine d’application</w:t>
      </w:r>
    </w:p>
    <w:p w:rsidR="00CA286D" w:rsidRPr="004D765A" w:rsidRDefault="00CA286D" w:rsidP="000961A3">
      <w:pPr>
        <w:pStyle w:val="Summary"/>
        <w:rPr>
          <w:lang w:val="fr-CH"/>
        </w:rPr>
      </w:pPr>
      <w:r w:rsidRPr="004D765A">
        <w:rPr>
          <w:lang w:val="fr-CH"/>
        </w:rPr>
        <w:t>La présente Recommandation donne les caractér</w:t>
      </w:r>
      <w:bookmarkStart w:id="7" w:name="_GoBack"/>
      <w:bookmarkEnd w:id="7"/>
      <w:r w:rsidRPr="004D765A">
        <w:rPr>
          <w:lang w:val="fr-CH"/>
        </w:rPr>
        <w:t>istiques techniques des émetteurs à bande latérale unique utilisés dans le</w:t>
      </w:r>
      <w:r w:rsidR="004D765A" w:rsidRPr="004D765A">
        <w:rPr>
          <w:lang w:val="fr-CH"/>
        </w:rPr>
        <w:t>s bandes d'</w:t>
      </w:r>
      <w:r w:rsidRPr="004D765A">
        <w:rPr>
          <w:lang w:val="fr-CH"/>
        </w:rPr>
        <w:t>ondes hectométriques et décamétriques attribuées au service mobile maritime.</w:t>
      </w:r>
    </w:p>
    <w:p w:rsidR="00CA286D" w:rsidRPr="004D765A" w:rsidRDefault="00CA286D" w:rsidP="00A26CE5">
      <w:pPr>
        <w:pStyle w:val="Normalaftertitle0"/>
        <w:rPr>
          <w:lang w:val="fr-CH"/>
        </w:rPr>
      </w:pPr>
      <w:r w:rsidRPr="004D765A">
        <w:rPr>
          <w:lang w:val="fr-CH"/>
        </w:rPr>
        <w:t>L'Assemblée des radiocommunications de l'UIT,</w:t>
      </w:r>
    </w:p>
    <w:p w:rsidR="00CA286D" w:rsidRPr="00CA286D" w:rsidRDefault="00CA286D" w:rsidP="00A26CE5">
      <w:pPr>
        <w:pStyle w:val="Call"/>
        <w:rPr>
          <w:lang w:val="fr-CH"/>
        </w:rPr>
      </w:pPr>
      <w:r w:rsidRPr="00CA286D">
        <w:rPr>
          <w:lang w:val="fr-CH"/>
        </w:rPr>
        <w:t>considérant</w:t>
      </w:r>
    </w:p>
    <w:p w:rsidR="00CA286D" w:rsidRPr="00CA286D" w:rsidRDefault="00CA286D" w:rsidP="008C799B">
      <w:pPr>
        <w:rPr>
          <w:lang w:val="fr-CH"/>
        </w:rPr>
      </w:pPr>
      <w:r w:rsidRPr="00CA286D">
        <w:rPr>
          <w:lang w:val="fr-CH"/>
        </w:rPr>
        <w:t>a)</w:t>
      </w:r>
      <w:r w:rsidRPr="00CA286D">
        <w:rPr>
          <w:lang w:val="fr-CH"/>
        </w:rPr>
        <w:tab/>
        <w:t>qu'il est nécessaire de décrire les caractéristiques techniques des émetteurs à bande latérale unique utilisés dans les bandes comprises entre 1</w:t>
      </w:r>
      <w:r w:rsidRPr="008C799B">
        <w:t> </w:t>
      </w:r>
      <w:r w:rsidRPr="00CA286D">
        <w:rPr>
          <w:lang w:val="fr-CH"/>
        </w:rPr>
        <w:t>606,5</w:t>
      </w:r>
      <w:r w:rsidR="008C799B">
        <w:rPr>
          <w:lang w:val="fr-CH"/>
        </w:rPr>
        <w:t> </w:t>
      </w:r>
      <w:r w:rsidRPr="00CA286D">
        <w:rPr>
          <w:lang w:val="fr-CH"/>
        </w:rPr>
        <w:t>kHz (1</w:t>
      </w:r>
      <w:r w:rsidRPr="00CA286D">
        <w:rPr>
          <w:rFonts w:ascii="Tms Rmn" w:hAnsi="Tms Rmn"/>
          <w:sz w:val="12"/>
          <w:lang w:val="fr-CH"/>
        </w:rPr>
        <w:t> </w:t>
      </w:r>
      <w:r w:rsidRPr="00CA286D">
        <w:rPr>
          <w:lang w:val="fr-CH"/>
        </w:rPr>
        <w:t>605 kHz Région 2) et 4</w:t>
      </w:r>
      <w:r w:rsidRPr="008C799B">
        <w:t> </w:t>
      </w:r>
      <w:r w:rsidRPr="00CA286D">
        <w:rPr>
          <w:lang w:val="fr-CH"/>
        </w:rPr>
        <w:t>000</w:t>
      </w:r>
      <w:r w:rsidR="008C799B">
        <w:rPr>
          <w:lang w:val="fr-CH"/>
        </w:rPr>
        <w:t> </w:t>
      </w:r>
      <w:r w:rsidRPr="00CA286D">
        <w:rPr>
          <w:lang w:val="fr-CH"/>
        </w:rPr>
        <w:t>kHz et entre 4</w:t>
      </w:r>
      <w:r w:rsidRPr="008C799B">
        <w:t> </w:t>
      </w:r>
      <w:r w:rsidRPr="00CA286D">
        <w:rPr>
          <w:lang w:val="fr-CH"/>
        </w:rPr>
        <w:t>000</w:t>
      </w:r>
      <w:r w:rsidR="008C799B">
        <w:rPr>
          <w:lang w:val="fr-CH"/>
        </w:rPr>
        <w:t> </w:t>
      </w:r>
      <w:r w:rsidRPr="00CA286D">
        <w:rPr>
          <w:lang w:val="fr-CH"/>
        </w:rPr>
        <w:t>kHz et 27</w:t>
      </w:r>
      <w:r w:rsidRPr="008C799B">
        <w:t> </w:t>
      </w:r>
      <w:r w:rsidRPr="00CA286D">
        <w:rPr>
          <w:lang w:val="fr-CH"/>
        </w:rPr>
        <w:t>500 kHz,</w:t>
      </w:r>
    </w:p>
    <w:p w:rsidR="00CA286D" w:rsidRPr="00CA286D" w:rsidRDefault="00CA286D" w:rsidP="00A26CE5">
      <w:pPr>
        <w:pStyle w:val="Call"/>
        <w:rPr>
          <w:lang w:val="fr-CH"/>
        </w:rPr>
      </w:pPr>
      <w:r w:rsidRPr="00A26CE5">
        <w:t>recommande</w:t>
      </w:r>
    </w:p>
    <w:p w:rsidR="00CA286D" w:rsidRPr="00CA286D" w:rsidRDefault="00CA286D" w:rsidP="008C799B">
      <w:pPr>
        <w:rPr>
          <w:lang w:val="fr-CH"/>
        </w:rPr>
      </w:pPr>
      <w:r w:rsidRPr="00CA286D">
        <w:rPr>
          <w:b/>
          <w:lang w:val="fr-CH"/>
        </w:rPr>
        <w:t>1</w:t>
      </w:r>
      <w:r w:rsidRPr="00CA286D">
        <w:rPr>
          <w:lang w:val="fr-CH"/>
        </w:rPr>
        <w:tab/>
        <w:t>que les émetteurs à bande latérale unique utilisés dans le service mobile maritime pour la radiotéléphonie dans les bandes de fréquences comprises entre 1</w:t>
      </w:r>
      <w:r w:rsidRPr="008C799B">
        <w:t> </w:t>
      </w:r>
      <w:r w:rsidRPr="00CA286D">
        <w:rPr>
          <w:lang w:val="fr-CH"/>
        </w:rPr>
        <w:t>606,5</w:t>
      </w:r>
      <w:r w:rsidR="008C799B">
        <w:rPr>
          <w:lang w:val="fr-CH"/>
        </w:rPr>
        <w:t> </w:t>
      </w:r>
      <w:r w:rsidRPr="00CA286D">
        <w:rPr>
          <w:lang w:val="fr-CH"/>
        </w:rPr>
        <w:t>kHz (1</w:t>
      </w:r>
      <w:r w:rsidRPr="008C799B">
        <w:t> </w:t>
      </w:r>
      <w:r w:rsidRPr="00CA286D">
        <w:rPr>
          <w:lang w:val="fr-CH"/>
        </w:rPr>
        <w:t>605</w:t>
      </w:r>
      <w:r w:rsidR="008C799B">
        <w:rPr>
          <w:lang w:val="fr-CH"/>
        </w:rPr>
        <w:t> </w:t>
      </w:r>
      <w:r w:rsidRPr="00CA286D">
        <w:rPr>
          <w:lang w:val="fr-CH"/>
        </w:rPr>
        <w:t>kHz Région 2) et 4</w:t>
      </w:r>
      <w:r w:rsidRPr="008C799B">
        <w:t> </w:t>
      </w:r>
      <w:r w:rsidRPr="00CA286D">
        <w:rPr>
          <w:lang w:val="fr-CH"/>
        </w:rPr>
        <w:t>000</w:t>
      </w:r>
      <w:r w:rsidR="008C799B">
        <w:rPr>
          <w:lang w:val="fr-CH"/>
        </w:rPr>
        <w:t> </w:t>
      </w:r>
      <w:r w:rsidRPr="00CA286D">
        <w:rPr>
          <w:lang w:val="fr-CH"/>
        </w:rPr>
        <w:t>kHz et entre 4</w:t>
      </w:r>
      <w:r w:rsidRPr="008C799B">
        <w:t> </w:t>
      </w:r>
      <w:r w:rsidRPr="00CA286D">
        <w:rPr>
          <w:lang w:val="fr-CH"/>
        </w:rPr>
        <w:t>000</w:t>
      </w:r>
      <w:r w:rsidR="008C799B">
        <w:rPr>
          <w:lang w:val="fr-CH"/>
        </w:rPr>
        <w:t> </w:t>
      </w:r>
      <w:r w:rsidRPr="00CA286D">
        <w:rPr>
          <w:lang w:val="fr-CH"/>
        </w:rPr>
        <w:t>kHz et 27</w:t>
      </w:r>
      <w:r w:rsidR="008C799B" w:rsidRPr="008C799B">
        <w:t> </w:t>
      </w:r>
      <w:r w:rsidRPr="00CA286D">
        <w:rPr>
          <w:lang w:val="fr-CH"/>
        </w:rPr>
        <w:t>500 kHz soient conçus pour répondre aux caractéristiques techniques figurant dans l'Annexe 1.</w:t>
      </w:r>
    </w:p>
    <w:p w:rsidR="00CA286D" w:rsidRPr="00CA286D" w:rsidRDefault="00CA286D" w:rsidP="00CA286D">
      <w:pPr>
        <w:rPr>
          <w:lang w:val="fr-CH"/>
        </w:rPr>
      </w:pPr>
    </w:p>
    <w:p w:rsidR="00CA286D" w:rsidRPr="00CA286D" w:rsidRDefault="00CA286D" w:rsidP="00CA286D">
      <w:pPr>
        <w:rPr>
          <w:lang w:val="fr-CH"/>
        </w:rPr>
      </w:pPr>
    </w:p>
    <w:p w:rsidR="00CA286D" w:rsidRPr="00CA286D" w:rsidRDefault="00CA286D" w:rsidP="004D765A">
      <w:pPr>
        <w:pStyle w:val="AnnexNoTitle"/>
        <w:rPr>
          <w:lang w:val="fr-CH"/>
        </w:rPr>
      </w:pPr>
      <w:r w:rsidRPr="00CA286D">
        <w:rPr>
          <w:lang w:val="fr-CH"/>
        </w:rPr>
        <w:t>A</w:t>
      </w:r>
      <w:r w:rsidR="000961A3">
        <w:rPr>
          <w:lang w:val="fr-CH"/>
        </w:rPr>
        <w:t>nnexe</w:t>
      </w:r>
      <w:r w:rsidRPr="00CA286D">
        <w:rPr>
          <w:lang w:val="fr-CH"/>
        </w:rPr>
        <w:t xml:space="preserve">  1</w:t>
      </w:r>
      <w:r w:rsidR="004D765A">
        <w:rPr>
          <w:lang w:val="fr-CH"/>
        </w:rPr>
        <w:br/>
      </w:r>
      <w:r w:rsidR="004D765A">
        <w:rPr>
          <w:lang w:val="fr-CH"/>
        </w:rPr>
        <w:br/>
      </w:r>
      <w:r w:rsidRPr="00CA286D">
        <w:rPr>
          <w:lang w:val="fr-CH"/>
        </w:rPr>
        <w:t>Caractéristiques techniques des émetteurs à bande latérale unique utilisés</w:t>
      </w:r>
      <w:r w:rsidRPr="00CA286D">
        <w:rPr>
          <w:lang w:val="fr-CH"/>
        </w:rPr>
        <w:br/>
        <w:t>dans le service mobile maritime pour la radiotéléphonie dans les bandes</w:t>
      </w:r>
      <w:r w:rsidRPr="00CA286D">
        <w:rPr>
          <w:lang w:val="fr-CH"/>
        </w:rPr>
        <w:br/>
        <w:t>comprises entre 1</w:t>
      </w:r>
      <w:r w:rsidR="008C799B">
        <w:rPr>
          <w:lang w:val="fr-CH"/>
        </w:rPr>
        <w:t> </w:t>
      </w:r>
      <w:r w:rsidRPr="00CA286D">
        <w:rPr>
          <w:lang w:val="fr-CH"/>
        </w:rPr>
        <w:t>606,5</w:t>
      </w:r>
      <w:r w:rsidR="008C799B">
        <w:rPr>
          <w:lang w:val="fr-CH"/>
        </w:rPr>
        <w:t> </w:t>
      </w:r>
      <w:r w:rsidRPr="00CA286D">
        <w:rPr>
          <w:lang w:val="fr-CH"/>
        </w:rPr>
        <w:t>kHz (1</w:t>
      </w:r>
      <w:r w:rsidR="008C799B">
        <w:rPr>
          <w:lang w:val="fr-CH"/>
        </w:rPr>
        <w:t> </w:t>
      </w:r>
      <w:r w:rsidRPr="00CA286D">
        <w:rPr>
          <w:lang w:val="fr-CH"/>
        </w:rPr>
        <w:t>605</w:t>
      </w:r>
      <w:r w:rsidR="008C799B">
        <w:rPr>
          <w:lang w:val="fr-CH"/>
        </w:rPr>
        <w:t> </w:t>
      </w:r>
      <w:r w:rsidRPr="00CA286D">
        <w:rPr>
          <w:lang w:val="fr-CH"/>
        </w:rPr>
        <w:t>kHz Région 2)</w:t>
      </w:r>
      <w:r w:rsidRPr="00CA286D">
        <w:rPr>
          <w:lang w:val="fr-CH"/>
        </w:rPr>
        <w:br/>
        <w:t>et 4</w:t>
      </w:r>
      <w:r w:rsidR="008C799B">
        <w:rPr>
          <w:lang w:val="fr-CH"/>
        </w:rPr>
        <w:t> </w:t>
      </w:r>
      <w:r w:rsidRPr="00CA286D">
        <w:rPr>
          <w:lang w:val="fr-CH"/>
        </w:rPr>
        <w:t>000</w:t>
      </w:r>
      <w:r w:rsidR="008C799B">
        <w:rPr>
          <w:lang w:val="fr-CH"/>
        </w:rPr>
        <w:t> </w:t>
      </w:r>
      <w:r w:rsidRPr="00CA286D">
        <w:rPr>
          <w:lang w:val="fr-CH"/>
        </w:rPr>
        <w:t>kHz et entre 4</w:t>
      </w:r>
      <w:r w:rsidR="008C799B">
        <w:rPr>
          <w:lang w:val="fr-CH"/>
        </w:rPr>
        <w:t> </w:t>
      </w:r>
      <w:r w:rsidRPr="00CA286D">
        <w:rPr>
          <w:lang w:val="fr-CH"/>
        </w:rPr>
        <w:t>000</w:t>
      </w:r>
      <w:r w:rsidR="008C799B">
        <w:rPr>
          <w:lang w:val="fr-CH"/>
        </w:rPr>
        <w:t> </w:t>
      </w:r>
      <w:r w:rsidRPr="00CA286D">
        <w:rPr>
          <w:lang w:val="fr-CH"/>
        </w:rPr>
        <w:t>kHz et 27</w:t>
      </w:r>
      <w:r w:rsidR="008C799B">
        <w:rPr>
          <w:lang w:val="fr-CH"/>
        </w:rPr>
        <w:t> </w:t>
      </w:r>
      <w:r w:rsidRPr="00CA286D">
        <w:rPr>
          <w:lang w:val="fr-CH"/>
        </w:rPr>
        <w:t>500</w:t>
      </w:r>
      <w:r w:rsidR="008C799B">
        <w:rPr>
          <w:lang w:val="fr-CH"/>
        </w:rPr>
        <w:t> </w:t>
      </w:r>
      <w:r w:rsidRPr="00CA286D">
        <w:rPr>
          <w:lang w:val="fr-CH"/>
        </w:rPr>
        <w:t>kHz</w:t>
      </w:r>
    </w:p>
    <w:p w:rsidR="00CA286D" w:rsidRPr="00CA286D" w:rsidRDefault="00CA286D" w:rsidP="00A26CE5">
      <w:pPr>
        <w:pStyle w:val="Normalaftertitle0"/>
        <w:rPr>
          <w:lang w:val="fr-CH"/>
        </w:rPr>
      </w:pPr>
      <w:r w:rsidRPr="00CA286D">
        <w:rPr>
          <w:b/>
          <w:lang w:val="fr-CH"/>
        </w:rPr>
        <w:t>1</w:t>
      </w:r>
      <w:r w:rsidRPr="00CA286D">
        <w:rPr>
          <w:lang w:val="fr-CH"/>
        </w:rPr>
        <w:tab/>
        <w:t>Puissance de l'onde porteuse:</w:t>
      </w:r>
    </w:p>
    <w:p w:rsidR="00CA286D" w:rsidRPr="00CA286D" w:rsidRDefault="002C77C3" w:rsidP="004D765A">
      <w:pPr>
        <w:ind w:left="794" w:hanging="794"/>
        <w:rPr>
          <w:lang w:val="fr-CH"/>
        </w:rPr>
      </w:pPr>
      <w:r>
        <w:rPr>
          <w:lang w:val="fr-CH"/>
        </w:rPr>
        <w:tab/>
      </w:r>
      <w:r w:rsidR="00CA286D" w:rsidRPr="00CA286D">
        <w:rPr>
          <w:lang w:val="fr-CH"/>
        </w:rPr>
        <w:t>Pour les émissions de la classe J3E, la puissance de l'onde porteuse est inférieure de 40 dB au moins à la puissance en crête de l'émission.</w:t>
      </w:r>
    </w:p>
    <w:p w:rsidR="00CA286D" w:rsidRPr="00CA286D" w:rsidRDefault="00CA286D" w:rsidP="004D765A">
      <w:pPr>
        <w:ind w:left="794" w:hanging="794"/>
        <w:rPr>
          <w:lang w:val="fr-CH"/>
        </w:rPr>
      </w:pPr>
      <w:r w:rsidRPr="00CA286D">
        <w:rPr>
          <w:b/>
          <w:lang w:val="fr-CH"/>
        </w:rPr>
        <w:t>2</w:t>
      </w:r>
      <w:r w:rsidRPr="00CA286D">
        <w:rPr>
          <w:lang w:val="fr-CH"/>
        </w:rPr>
        <w:tab/>
        <w:t>Les stations côtières et les stations de navire doivent émettre dans la bande latérale supérieure seulement.</w:t>
      </w:r>
    </w:p>
    <w:p w:rsidR="00CA286D" w:rsidRDefault="00CA286D" w:rsidP="004D765A">
      <w:pPr>
        <w:ind w:left="794" w:hanging="794"/>
        <w:rPr>
          <w:lang w:val="fr-CH"/>
        </w:rPr>
      </w:pPr>
      <w:r w:rsidRPr="00CA286D">
        <w:rPr>
          <w:b/>
          <w:lang w:val="fr-CH"/>
        </w:rPr>
        <w:lastRenderedPageBreak/>
        <w:t>3</w:t>
      </w:r>
      <w:r w:rsidRPr="00CA286D">
        <w:rPr>
          <w:lang w:val="fr-CH"/>
        </w:rPr>
        <w:tab/>
        <w:t>La bande des fréquences acoustiques transmise doit s'étendre de 350 Hz à 2</w:t>
      </w:r>
      <w:r w:rsidRPr="00CA286D">
        <w:rPr>
          <w:rFonts w:ascii="Tms Rmn" w:hAnsi="Tms Rmn"/>
          <w:sz w:val="12"/>
          <w:lang w:val="fr-CH"/>
        </w:rPr>
        <w:t> </w:t>
      </w:r>
      <w:r w:rsidRPr="00CA286D">
        <w:rPr>
          <w:lang w:val="fr-CH"/>
        </w:rPr>
        <w:t>700 Hz, la variation de l'amplitude en fonction de la fréquence ne dépassant pas 6 dB.</w:t>
      </w:r>
    </w:p>
    <w:p w:rsidR="00CA286D" w:rsidRPr="00223EA5" w:rsidRDefault="00CA286D" w:rsidP="004D765A">
      <w:pPr>
        <w:ind w:left="794" w:hanging="794"/>
        <w:rPr>
          <w:lang w:val="fr-CH"/>
        </w:rPr>
      </w:pPr>
      <w:r w:rsidRPr="00223EA5">
        <w:rPr>
          <w:b/>
          <w:lang w:val="fr-CH"/>
        </w:rPr>
        <w:t>4</w:t>
      </w:r>
      <w:r w:rsidRPr="00223EA5">
        <w:rPr>
          <w:lang w:val="fr-CH"/>
        </w:rPr>
        <w:tab/>
        <w:t xml:space="preserve">La fréquence de l'onde porteuse des émetteurs doit être maintenue dans les tolérances spécifiées dans </w:t>
      </w:r>
      <w:r w:rsidR="00C03053">
        <w:rPr>
          <w:lang w:val="fr-CH"/>
        </w:rPr>
        <w:t>l'</w:t>
      </w:r>
      <w:r>
        <w:rPr>
          <w:lang w:val="fr-CH"/>
        </w:rPr>
        <w:t>Appendice 2 du Règlement des radiocommunications</w:t>
      </w:r>
      <w:r w:rsidRPr="00223EA5">
        <w:rPr>
          <w:lang w:val="fr-CH"/>
        </w:rPr>
        <w:t>.</w:t>
      </w:r>
    </w:p>
    <w:p w:rsidR="00CA286D" w:rsidRPr="00CA286D" w:rsidRDefault="00CA286D" w:rsidP="004D765A">
      <w:pPr>
        <w:ind w:left="794" w:hanging="794"/>
        <w:rPr>
          <w:lang w:val="fr-CH"/>
        </w:rPr>
      </w:pPr>
      <w:r w:rsidRPr="00CA286D">
        <w:rPr>
          <w:b/>
          <w:lang w:val="fr-CH"/>
        </w:rPr>
        <w:t>5</w:t>
      </w:r>
      <w:r w:rsidRPr="00CA286D">
        <w:rPr>
          <w:lang w:val="fr-CH"/>
        </w:rPr>
        <w:tab/>
        <w:t>La modulation de fréquence parasite de l'onde porteuse doit être suffisamment faible pour ne pas créer de distorsions nuisibles.</w:t>
      </w:r>
    </w:p>
    <w:p w:rsidR="00CA286D" w:rsidRPr="00223EA5" w:rsidRDefault="00CA286D" w:rsidP="004D765A">
      <w:pPr>
        <w:ind w:left="794" w:hanging="794"/>
        <w:rPr>
          <w:lang w:val="fr-CH"/>
        </w:rPr>
      </w:pPr>
      <w:r w:rsidRPr="00CA286D">
        <w:rPr>
          <w:b/>
          <w:lang w:val="fr-CH"/>
        </w:rPr>
        <w:t>6</w:t>
      </w:r>
      <w:r w:rsidRPr="00CA286D">
        <w:rPr>
          <w:lang w:val="fr-CH"/>
        </w:rPr>
        <w:tab/>
        <w:t xml:space="preserve">Dans le cas d'une émission de la classe H3E ou J3E, la puissance de tout </w:t>
      </w:r>
      <w:r>
        <w:rPr>
          <w:lang w:val="fr-CH"/>
        </w:rPr>
        <w:t>rayonnement</w:t>
      </w:r>
      <w:r w:rsidRPr="00CA286D">
        <w:rPr>
          <w:lang w:val="fr-CH"/>
        </w:rPr>
        <w:t xml:space="preserve"> non désir</w:t>
      </w:r>
      <w:r>
        <w:rPr>
          <w:lang w:val="fr-CH"/>
        </w:rPr>
        <w:t>é</w:t>
      </w:r>
      <w:r w:rsidRPr="00223EA5">
        <w:rPr>
          <w:lang w:val="fr-CH"/>
        </w:rPr>
        <w:t xml:space="preserve"> fournie à la ligne d'alimentation de l'antenne sur une fréquence discrète quelconque doit, lorsque l'émetteur fonctionne à sa puissance en crête maximale, rester dans les limites indiquées dans le Tableau suivant:</w:t>
      </w:r>
    </w:p>
    <w:p w:rsidR="00CA286D" w:rsidRDefault="00CA286D" w:rsidP="00A26CE5">
      <w:pPr>
        <w:rPr>
          <w:lang w:val="fr-CH"/>
        </w:rPr>
      </w:pPr>
    </w:p>
    <w:tbl>
      <w:tblPr>
        <w:tblStyle w:val="TableGrid"/>
        <w:tblW w:w="9639" w:type="dxa"/>
        <w:jc w:val="center"/>
        <w:tblLayout w:type="fixed"/>
        <w:tblLook w:val="04A0" w:firstRow="1" w:lastRow="0" w:firstColumn="1" w:lastColumn="0" w:noHBand="0" w:noVBand="1"/>
      </w:tblPr>
      <w:tblGrid>
        <w:gridCol w:w="4819"/>
        <w:gridCol w:w="4820"/>
      </w:tblGrid>
      <w:tr w:rsidR="00A26CE5" w:rsidTr="004D765A">
        <w:trPr>
          <w:jc w:val="center"/>
        </w:trPr>
        <w:tc>
          <w:tcPr>
            <w:tcW w:w="4927" w:type="dxa"/>
          </w:tcPr>
          <w:p w:rsidR="00A26CE5" w:rsidRPr="00223EA5" w:rsidRDefault="00A26CE5" w:rsidP="00A26CE5">
            <w:pPr>
              <w:pStyle w:val="Tablehead"/>
              <w:rPr>
                <w:lang w:val="fr-CH"/>
              </w:rPr>
            </w:pPr>
            <w:r w:rsidRPr="00223EA5">
              <w:rPr>
                <w:lang w:val="fr-CH"/>
              </w:rPr>
              <w:t xml:space="preserve">Différence </w:t>
            </w:r>
            <w:r w:rsidRPr="00223EA5">
              <w:rPr>
                <w:rFonts w:ascii="Symbol" w:hAnsi="Symbol"/>
                <w:lang w:val="fr-CH"/>
              </w:rPr>
              <w:t></w:t>
            </w:r>
            <w:r w:rsidRPr="00223EA5">
              <w:rPr>
                <w:lang w:val="fr-CH"/>
              </w:rPr>
              <w:t xml:space="preserve"> entre la fréquence</w:t>
            </w:r>
            <w:r w:rsidRPr="00223EA5">
              <w:rPr>
                <w:lang w:val="fr-CH"/>
              </w:rPr>
              <w:br/>
              <w:t>du rayonnement non désiré</w:t>
            </w:r>
            <w:r w:rsidRPr="00223EA5">
              <w:rPr>
                <w:position w:val="6"/>
                <w:sz w:val="14"/>
                <w:lang w:val="fr-CH"/>
              </w:rPr>
              <w:br/>
            </w:r>
            <w:r w:rsidRPr="00223EA5">
              <w:rPr>
                <w:lang w:val="fr-CH"/>
              </w:rPr>
              <w:t>et la fréquence assignée</w:t>
            </w:r>
            <w:r w:rsidRPr="00223EA5">
              <w:rPr>
                <w:rFonts w:ascii="Tms Rmn" w:hAnsi="Tms Rmn"/>
                <w:sz w:val="12"/>
                <w:lang w:val="fr-CH"/>
              </w:rPr>
              <w:t> </w:t>
            </w:r>
            <w:r w:rsidRPr="00223EA5">
              <w:rPr>
                <w:lang w:val="fr-CH"/>
              </w:rPr>
              <w:t>(kHz)</w:t>
            </w:r>
          </w:p>
        </w:tc>
        <w:tc>
          <w:tcPr>
            <w:tcW w:w="4928" w:type="dxa"/>
          </w:tcPr>
          <w:p w:rsidR="00A26CE5" w:rsidRPr="00223EA5" w:rsidRDefault="00A26CE5" w:rsidP="00A26CE5">
            <w:pPr>
              <w:pStyle w:val="Tablehead"/>
              <w:rPr>
                <w:lang w:val="fr-CH"/>
              </w:rPr>
            </w:pPr>
            <w:r w:rsidRPr="00223EA5">
              <w:rPr>
                <w:lang w:val="fr-CH"/>
              </w:rPr>
              <w:br/>
              <w:t>Affaiblissement minimum</w:t>
            </w:r>
            <w:r w:rsidRPr="00223EA5">
              <w:rPr>
                <w:lang w:val="fr-CH"/>
              </w:rPr>
              <w:br/>
              <w:t>par rapport à la puissance en crête</w:t>
            </w:r>
          </w:p>
        </w:tc>
      </w:tr>
      <w:tr w:rsidR="00A26CE5" w:rsidTr="004D765A">
        <w:trPr>
          <w:jc w:val="center"/>
        </w:trPr>
        <w:tc>
          <w:tcPr>
            <w:tcW w:w="4927" w:type="dxa"/>
          </w:tcPr>
          <w:p w:rsidR="00A26CE5" w:rsidRPr="00223EA5" w:rsidRDefault="00A26CE5" w:rsidP="00C22890">
            <w:pPr>
              <w:pStyle w:val="Tabletext"/>
              <w:tabs>
                <w:tab w:val="clear" w:pos="284"/>
                <w:tab w:val="clear" w:pos="567"/>
                <w:tab w:val="clear" w:pos="851"/>
                <w:tab w:val="clear" w:pos="1134"/>
                <w:tab w:val="clear" w:pos="1985"/>
                <w:tab w:val="clear" w:pos="2268"/>
                <w:tab w:val="clear" w:pos="2552"/>
                <w:tab w:val="clear" w:pos="2835"/>
                <w:tab w:val="clear" w:pos="3119"/>
                <w:tab w:val="left" w:pos="1168"/>
                <w:tab w:val="left" w:pos="2086"/>
                <w:tab w:val="left" w:pos="2444"/>
                <w:tab w:val="left" w:pos="2869"/>
              </w:tabs>
              <w:jc w:val="left"/>
              <w:rPr>
                <w:lang w:val="fr-CH"/>
              </w:rPr>
            </w:pPr>
            <w:r>
              <w:rPr>
                <w:lang w:val="fr-CH"/>
              </w:rPr>
              <w:tab/>
            </w:r>
            <w:r w:rsidRPr="00223EA5">
              <w:rPr>
                <w:lang w:val="fr-CH"/>
              </w:rPr>
              <w:t>1,</w:t>
            </w:r>
            <w:r>
              <w:rPr>
                <w:lang w:val="fr-CH"/>
              </w:rPr>
              <w:t>5</w:t>
            </w:r>
            <w:r w:rsidRPr="00223EA5">
              <w:rPr>
                <w:lang w:val="fr-CH"/>
              </w:rPr>
              <w:tab/>
            </w:r>
            <w:r w:rsidRPr="00223EA5">
              <w:rPr>
                <w:rFonts w:ascii="Symbol" w:hAnsi="Symbol"/>
                <w:lang w:val="fr-CH"/>
              </w:rPr>
              <w:t></w:t>
            </w:r>
            <w:r w:rsidRPr="00223EA5">
              <w:rPr>
                <w:lang w:val="fr-CH"/>
              </w:rPr>
              <w:tab/>
            </w:r>
            <w:r w:rsidRPr="00223EA5">
              <w:rPr>
                <w:rFonts w:ascii="Symbol" w:hAnsi="Symbol"/>
                <w:lang w:val="fr-CH"/>
              </w:rPr>
              <w:t></w:t>
            </w:r>
            <w:r>
              <w:rPr>
                <w:lang w:val="fr-CH"/>
              </w:rPr>
              <w:tab/>
            </w:r>
            <w:r w:rsidRPr="00223EA5">
              <w:rPr>
                <w:rFonts w:ascii="Symbol" w:hAnsi="Symbol"/>
                <w:lang w:val="fr-CH"/>
              </w:rPr>
              <w:t></w:t>
            </w:r>
            <w:r>
              <w:rPr>
                <w:lang w:val="fr-CH"/>
              </w:rPr>
              <w:tab/>
            </w:r>
            <w:r w:rsidRPr="00223EA5">
              <w:rPr>
                <w:lang w:val="fr-CH"/>
              </w:rPr>
              <w:t>4,</w:t>
            </w:r>
            <w:r>
              <w:rPr>
                <w:lang w:val="fr-CH"/>
              </w:rPr>
              <w:t>5</w:t>
            </w:r>
          </w:p>
        </w:tc>
        <w:tc>
          <w:tcPr>
            <w:tcW w:w="4928" w:type="dxa"/>
          </w:tcPr>
          <w:p w:rsidR="00A26CE5" w:rsidRPr="00223EA5" w:rsidRDefault="00A26CE5" w:rsidP="00A26CE5">
            <w:pPr>
              <w:pStyle w:val="Tabletext"/>
              <w:tabs>
                <w:tab w:val="clear" w:pos="2552"/>
              </w:tabs>
              <w:jc w:val="center"/>
              <w:rPr>
                <w:lang w:val="fr-CH"/>
              </w:rPr>
            </w:pPr>
            <w:r>
              <w:rPr>
                <w:lang w:val="fr-CH"/>
              </w:rPr>
              <w:t>31</w:t>
            </w:r>
            <w:r w:rsidRPr="00223EA5">
              <w:rPr>
                <w:lang w:val="fr-CH"/>
              </w:rPr>
              <w:t xml:space="preserve"> dB</w:t>
            </w:r>
          </w:p>
        </w:tc>
      </w:tr>
      <w:tr w:rsidR="00A26CE5" w:rsidTr="004D765A">
        <w:trPr>
          <w:jc w:val="center"/>
        </w:trPr>
        <w:tc>
          <w:tcPr>
            <w:tcW w:w="4927" w:type="dxa"/>
          </w:tcPr>
          <w:p w:rsidR="00A26CE5" w:rsidRPr="00223EA5" w:rsidRDefault="00A26CE5" w:rsidP="00C22890">
            <w:pPr>
              <w:pStyle w:val="Tabletext"/>
              <w:tabs>
                <w:tab w:val="clear" w:pos="284"/>
                <w:tab w:val="clear" w:pos="567"/>
                <w:tab w:val="clear" w:pos="851"/>
                <w:tab w:val="clear" w:pos="1134"/>
                <w:tab w:val="clear" w:pos="1985"/>
                <w:tab w:val="clear" w:pos="2268"/>
                <w:tab w:val="clear" w:pos="2552"/>
                <w:tab w:val="clear" w:pos="2835"/>
                <w:tab w:val="clear" w:pos="3119"/>
                <w:tab w:val="left" w:pos="1168"/>
                <w:tab w:val="left" w:pos="2086"/>
                <w:tab w:val="left" w:pos="2422"/>
                <w:tab w:val="left" w:pos="2869"/>
              </w:tabs>
              <w:jc w:val="left"/>
              <w:rPr>
                <w:lang w:val="fr-CH"/>
              </w:rPr>
            </w:pPr>
            <w:r>
              <w:rPr>
                <w:lang w:val="fr-CH"/>
              </w:rPr>
              <w:tab/>
            </w:r>
            <w:r w:rsidRPr="00223EA5">
              <w:rPr>
                <w:lang w:val="fr-CH"/>
              </w:rPr>
              <w:t>4,</w:t>
            </w:r>
            <w:r>
              <w:rPr>
                <w:lang w:val="fr-CH"/>
              </w:rPr>
              <w:t>5</w:t>
            </w:r>
            <w:r w:rsidRPr="00223EA5">
              <w:rPr>
                <w:lang w:val="fr-CH"/>
              </w:rPr>
              <w:tab/>
            </w:r>
            <w:r w:rsidRPr="00223EA5">
              <w:rPr>
                <w:rFonts w:ascii="Symbol" w:hAnsi="Symbol"/>
                <w:lang w:val="fr-CH"/>
              </w:rPr>
              <w:t></w:t>
            </w:r>
            <w:r w:rsidRPr="00223EA5">
              <w:rPr>
                <w:lang w:val="fr-CH"/>
              </w:rPr>
              <w:tab/>
            </w:r>
            <w:r w:rsidRPr="00223EA5">
              <w:rPr>
                <w:rFonts w:ascii="Symbol" w:hAnsi="Symbol"/>
                <w:lang w:val="fr-CH"/>
              </w:rPr>
              <w:t></w:t>
            </w:r>
            <w:r>
              <w:rPr>
                <w:lang w:val="fr-CH"/>
              </w:rPr>
              <w:tab/>
            </w:r>
            <w:r w:rsidRPr="00223EA5">
              <w:rPr>
                <w:rFonts w:ascii="Symbol" w:hAnsi="Symbol"/>
                <w:lang w:val="fr-CH"/>
              </w:rPr>
              <w:t></w:t>
            </w:r>
            <w:r>
              <w:rPr>
                <w:lang w:val="fr-CH"/>
              </w:rPr>
              <w:tab/>
              <w:t>7,5</w:t>
            </w:r>
          </w:p>
        </w:tc>
        <w:tc>
          <w:tcPr>
            <w:tcW w:w="4928" w:type="dxa"/>
          </w:tcPr>
          <w:p w:rsidR="00A26CE5" w:rsidRPr="00223EA5" w:rsidRDefault="00A26CE5" w:rsidP="00A26CE5">
            <w:pPr>
              <w:pStyle w:val="Tabletext"/>
              <w:tabs>
                <w:tab w:val="clear" w:pos="2552"/>
              </w:tabs>
              <w:jc w:val="center"/>
              <w:rPr>
                <w:lang w:val="fr-CH"/>
              </w:rPr>
            </w:pPr>
            <w:r w:rsidRPr="00223EA5">
              <w:rPr>
                <w:lang w:val="fr-CH"/>
              </w:rPr>
              <w:t>38 dB</w:t>
            </w:r>
          </w:p>
        </w:tc>
      </w:tr>
      <w:tr w:rsidR="00A26CE5" w:rsidTr="004D765A">
        <w:trPr>
          <w:jc w:val="center"/>
        </w:trPr>
        <w:tc>
          <w:tcPr>
            <w:tcW w:w="4927" w:type="dxa"/>
          </w:tcPr>
          <w:p w:rsidR="00A26CE5" w:rsidRPr="00223EA5" w:rsidRDefault="00A26CE5" w:rsidP="004D765A">
            <w:pPr>
              <w:pStyle w:val="Tabletext"/>
              <w:tabs>
                <w:tab w:val="clear" w:pos="284"/>
                <w:tab w:val="clear" w:pos="567"/>
                <w:tab w:val="clear" w:pos="851"/>
                <w:tab w:val="clear" w:pos="1134"/>
                <w:tab w:val="clear" w:pos="1985"/>
                <w:tab w:val="clear" w:pos="2268"/>
                <w:tab w:val="clear" w:pos="2552"/>
                <w:tab w:val="clear" w:pos="2835"/>
                <w:tab w:val="left" w:pos="1168"/>
                <w:tab w:val="left" w:pos="2086"/>
                <w:tab w:val="left" w:pos="2422"/>
              </w:tabs>
              <w:jc w:val="left"/>
              <w:rPr>
                <w:lang w:val="fr-CH"/>
              </w:rPr>
            </w:pPr>
            <w:r>
              <w:rPr>
                <w:lang w:val="fr-CH"/>
              </w:rPr>
              <w:tab/>
              <w:t>7,5</w:t>
            </w:r>
            <w:r w:rsidRPr="00223EA5">
              <w:rPr>
                <w:lang w:val="fr-CH"/>
              </w:rPr>
              <w:tab/>
            </w:r>
            <w:r w:rsidRPr="00223EA5">
              <w:rPr>
                <w:rFonts w:ascii="Symbol" w:hAnsi="Symbol"/>
                <w:lang w:val="fr-CH"/>
              </w:rPr>
              <w:t></w:t>
            </w:r>
            <w:r w:rsidRPr="00223EA5">
              <w:rPr>
                <w:lang w:val="fr-CH"/>
              </w:rPr>
              <w:tab/>
            </w:r>
            <w:r w:rsidRPr="00223EA5">
              <w:rPr>
                <w:rFonts w:ascii="Symbol" w:hAnsi="Symbol"/>
                <w:lang w:val="fr-CH"/>
              </w:rPr>
              <w:t></w:t>
            </w:r>
          </w:p>
        </w:tc>
        <w:tc>
          <w:tcPr>
            <w:tcW w:w="4928" w:type="dxa"/>
          </w:tcPr>
          <w:p w:rsidR="00A26CE5" w:rsidRPr="00223EA5" w:rsidRDefault="00A26CE5" w:rsidP="000961A3">
            <w:pPr>
              <w:pStyle w:val="Tabletext"/>
              <w:jc w:val="center"/>
              <w:rPr>
                <w:lang w:val="fr-CH"/>
              </w:rPr>
            </w:pPr>
            <w:r w:rsidRPr="00223EA5">
              <w:rPr>
                <w:lang w:val="fr-CH"/>
              </w:rPr>
              <w:t xml:space="preserve">43 dB, sans </w:t>
            </w:r>
            <w:r w:rsidRPr="000961A3">
              <w:t>que</w:t>
            </w:r>
            <w:r w:rsidRPr="00223EA5">
              <w:rPr>
                <w:lang w:val="fr-CH"/>
              </w:rPr>
              <w:t xml:space="preserve"> la puissance du rayonnement</w:t>
            </w:r>
            <w:r w:rsidRPr="00223EA5">
              <w:rPr>
                <w:lang w:val="fr-CH"/>
              </w:rPr>
              <w:br/>
              <w:t>non désiré puisse dépasser 50 mW</w:t>
            </w:r>
          </w:p>
        </w:tc>
      </w:tr>
    </w:tbl>
    <w:p w:rsidR="00A26CE5" w:rsidRPr="004D765A" w:rsidRDefault="00A26CE5" w:rsidP="004D765A">
      <w:pPr>
        <w:pStyle w:val="Tablefin"/>
        <w:rPr>
          <w:lang w:val="fr-CH"/>
        </w:rPr>
      </w:pPr>
    </w:p>
    <w:p w:rsidR="00CA286D" w:rsidRDefault="002C77C3" w:rsidP="00A26CE5">
      <w:pPr>
        <w:rPr>
          <w:rFonts w:ascii="Tms Rmn" w:hAnsi="Tms Rmn"/>
          <w:lang w:val="fr-CH"/>
        </w:rPr>
      </w:pPr>
      <w:r>
        <w:rPr>
          <w:lang w:val="fr-CH"/>
        </w:rPr>
        <w:tab/>
      </w:r>
      <w:r w:rsidR="00CA286D" w:rsidRPr="00CA286D">
        <w:rPr>
          <w:lang w:val="fr-CH"/>
        </w:rPr>
        <w:t>En ce qui concerne les émissions hors bande et les rayonnements non essentiels qui résultent du processus de modulation mais qui ne tombent pas dans le spectre des émissions hors bande, on peut, lorsqu'on désire vérifier si une émission à onde porteuse supprimée satisfait aux conditions ci-dessus, appliquer à l'entrée de l'émetteur un signal constitué de deux fréquences acoustiques suffisamment éloignées l'une de l'autre pour que tous les produits d'intermodulation tombent sur des fréquences distantes d'au moins 1,</w:t>
      </w:r>
      <w:r w:rsidR="00CA286D">
        <w:rPr>
          <w:lang w:val="fr-CH"/>
        </w:rPr>
        <w:t>5</w:t>
      </w:r>
      <w:r w:rsidR="00CA286D" w:rsidRPr="00CA286D">
        <w:rPr>
          <w:lang w:val="fr-CH"/>
        </w:rPr>
        <w:t xml:space="preserve"> kHz de la fréquence assignée</w:t>
      </w:r>
      <w:r w:rsidR="00CA286D" w:rsidRPr="00CA286D">
        <w:rPr>
          <w:rFonts w:ascii="Tms Rmn" w:hAnsi="Tms Rmn"/>
          <w:lang w:val="fr-CH"/>
        </w:rPr>
        <w:t>.</w:t>
      </w:r>
    </w:p>
    <w:p w:rsidR="00CA286D" w:rsidRDefault="00CA286D" w:rsidP="00CA286D">
      <w:pPr>
        <w:rPr>
          <w:rFonts w:ascii="Tms Rmn" w:hAnsi="Tms Rmn"/>
          <w:lang w:val="fr-CH"/>
        </w:rPr>
      </w:pPr>
    </w:p>
    <w:p w:rsidR="00CA286D" w:rsidRDefault="00CA286D" w:rsidP="00CA286D">
      <w:pPr>
        <w:rPr>
          <w:rFonts w:ascii="Tms Rmn" w:hAnsi="Tms Rmn"/>
          <w:lang w:val="fr-CH"/>
        </w:rPr>
      </w:pPr>
    </w:p>
    <w:p w:rsidR="00CA286D" w:rsidRPr="00CA286D" w:rsidRDefault="00CA286D" w:rsidP="00CA286D">
      <w:pPr>
        <w:pStyle w:val="Line"/>
        <w:rPr>
          <w:lang w:val="fr-CH"/>
        </w:rPr>
      </w:pPr>
    </w:p>
    <w:p w:rsidR="00CA286D" w:rsidRPr="00CA286D" w:rsidRDefault="00CA286D" w:rsidP="00CA286D">
      <w:pPr>
        <w:pStyle w:val="Normalaftertitle"/>
        <w:rPr>
          <w:lang w:val="fr-CH"/>
        </w:rPr>
      </w:pPr>
    </w:p>
    <w:p w:rsidR="00CA286D" w:rsidRDefault="00CA286D" w:rsidP="00CA286D"/>
    <w:sectPr w:rsidR="00CA286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E" w:rsidRDefault="00155A9E">
      <w:r>
        <w:separator/>
      </w:r>
    </w:p>
  </w:endnote>
  <w:endnote w:type="continuationSeparator" w:id="0">
    <w:p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E" w:rsidRDefault="00155A9E">
      <w:r>
        <w:separator/>
      </w:r>
    </w:p>
  </w:footnote>
  <w:footnote w:type="continuationSeparator" w:id="0">
    <w:p w:rsidR="00155A9E" w:rsidRDefault="00155A9E">
      <w:r>
        <w:continuationSeparator/>
      </w:r>
    </w:p>
  </w:footnote>
  <w:footnote w:id="1">
    <w:p w:rsidR="00CA286D" w:rsidRPr="00223EA5" w:rsidRDefault="00CA286D" w:rsidP="00A26CE5">
      <w:pPr>
        <w:pStyle w:val="FootnoteText"/>
        <w:rPr>
          <w:lang w:val="fr-CH"/>
        </w:rPr>
      </w:pPr>
      <w:r w:rsidRPr="001B74B2">
        <w:rPr>
          <w:rStyle w:val="FootnoteReference"/>
          <w:lang w:val="fr-CH"/>
          <w:rPrChange w:id="4" w:author="Fleur, Severine" w:date="2015-06-19T12:03:00Z">
            <w:rPr>
              <w:rStyle w:val="FootnoteReference"/>
            </w:rPr>
          </w:rPrChange>
        </w:rPr>
        <w:t>*</w:t>
      </w:r>
      <w:r w:rsidRPr="001B74B2">
        <w:rPr>
          <w:lang w:val="fr-CH"/>
          <w:rPrChange w:id="5" w:author="Fleur, Severine" w:date="2015-06-19T12:03:00Z">
            <w:rPr/>
          </w:rPrChange>
        </w:rPr>
        <w:t xml:space="preserve"> </w:t>
      </w:r>
      <w:r w:rsidRPr="001B74B2">
        <w:rPr>
          <w:lang w:val="fr-CH"/>
          <w:rPrChange w:id="6" w:author="Fleur, Severine" w:date="2015-06-19T12:03:00Z">
            <w:rPr/>
          </w:rPrChange>
        </w:rPr>
        <w:tab/>
      </w:r>
      <w:r>
        <w:rPr>
          <w:lang w:val="fr-CH"/>
        </w:rPr>
        <w:t>La présente</w:t>
      </w:r>
      <w:r w:rsidRPr="00223EA5">
        <w:rPr>
          <w:lang w:val="fr-CH"/>
        </w:rPr>
        <w:t xml:space="preserve"> Recommandation doit être portée à l'attention de l'Organisation maritime internationale (OMI), de la Commission électr</w:t>
      </w:r>
      <w:r>
        <w:rPr>
          <w:lang w:val="fr-CH"/>
        </w:rPr>
        <w:t xml:space="preserve">otechnique internationale (CEI) et du </w:t>
      </w:r>
      <w:r w:rsidRPr="001B74B2">
        <w:rPr>
          <w:lang w:val="fr-CH"/>
        </w:rPr>
        <w:t>Comité international radio-maritime (CIRM)</w:t>
      </w:r>
      <w:r w:rsidRPr="00223EA5">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C37C23" w:rsidP="00C668C8">
    <w:pPr>
      <w:pStyle w:val="Header"/>
      <w:ind w:right="360" w:firstLine="360"/>
    </w:pPr>
    <w:r>
      <w:rPr>
        <w:noProof/>
        <w:lang w:val="en-US" w:eastAsia="zh-CN"/>
      </w:rPr>
      <w:drawing>
        <wp:anchor distT="0" distB="0" distL="114300" distR="114300" simplePos="0" relativeHeight="251658752" behindDoc="0" locked="0" layoutInCell="1" allowOverlap="1" wp14:anchorId="36542113" wp14:editId="5485ADC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AB2DA1">
      <w:rPr>
        <w:noProof/>
        <w:lang w:val="en-US" w:eastAsia="zh-CN"/>
      </w:rPr>
      <w:drawing>
        <wp:anchor distT="0" distB="0" distL="114300" distR="114300" simplePos="0" relativeHeight="251656704" behindDoc="1" locked="0" layoutInCell="1" allowOverlap="1" wp14:anchorId="5FA5FC15" wp14:editId="7DC495E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80948">
      <w:rPr>
        <w:rStyle w:val="PageNumber"/>
        <w:b/>
        <w:bCs/>
        <w:noProof/>
      </w:rPr>
      <w:t>ii</w:t>
    </w:r>
    <w:r>
      <w:rPr>
        <w:rStyle w:val="PageNumber"/>
        <w:b/>
        <w:bCs/>
      </w:rPr>
      <w:fldChar w:fldCharType="end"/>
    </w:r>
    <w:r w:rsidRPr="00837CB5">
      <w:tab/>
    </w:r>
    <w:fldSimple w:instr=" DOCPROPERTY &quot;Header&quot; \* MERGEFORMAT ">
      <w:r w:rsidR="00280948" w:rsidRPr="0028094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80948">
      <w:rPr>
        <w:b/>
        <w:bCs/>
        <w:noProof/>
      </w:rPr>
      <w:t>UIT-R  M.1173-1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280948" w:rsidRPr="0028094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80948">
      <w:rPr>
        <w:b/>
        <w:bCs/>
        <w:noProof/>
      </w:rPr>
      <w:t>UIT-R  M.1173-1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8094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eur, Severine">
    <w15:presenceInfo w15:providerId="AD" w15:userId="S-1-5-21-8740799-900759487-1415713722-6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57FB"/>
    <w:rsid w:val="00072484"/>
    <w:rsid w:val="00076BD8"/>
    <w:rsid w:val="000961A3"/>
    <w:rsid w:val="00096612"/>
    <w:rsid w:val="000A0A78"/>
    <w:rsid w:val="000B7683"/>
    <w:rsid w:val="00102934"/>
    <w:rsid w:val="00123FD5"/>
    <w:rsid w:val="00125B6D"/>
    <w:rsid w:val="00126AF2"/>
    <w:rsid w:val="00147110"/>
    <w:rsid w:val="00155A9E"/>
    <w:rsid w:val="001671C8"/>
    <w:rsid w:val="001C129B"/>
    <w:rsid w:val="00202D10"/>
    <w:rsid w:val="002058CE"/>
    <w:rsid w:val="002165F1"/>
    <w:rsid w:val="00227626"/>
    <w:rsid w:val="00261CA3"/>
    <w:rsid w:val="00276D21"/>
    <w:rsid w:val="00280948"/>
    <w:rsid w:val="00296D7F"/>
    <w:rsid w:val="002B3CF6"/>
    <w:rsid w:val="002C768A"/>
    <w:rsid w:val="002C77C3"/>
    <w:rsid w:val="002D76C4"/>
    <w:rsid w:val="00363367"/>
    <w:rsid w:val="003E0582"/>
    <w:rsid w:val="00420DFD"/>
    <w:rsid w:val="00422AE4"/>
    <w:rsid w:val="00470E28"/>
    <w:rsid w:val="004934C5"/>
    <w:rsid w:val="004A4D65"/>
    <w:rsid w:val="004D765A"/>
    <w:rsid w:val="005258F8"/>
    <w:rsid w:val="00530208"/>
    <w:rsid w:val="00556548"/>
    <w:rsid w:val="00567DC0"/>
    <w:rsid w:val="00586EF8"/>
    <w:rsid w:val="00592F9F"/>
    <w:rsid w:val="00593B96"/>
    <w:rsid w:val="005B49AB"/>
    <w:rsid w:val="005B50E7"/>
    <w:rsid w:val="005B65B9"/>
    <w:rsid w:val="005E6DCC"/>
    <w:rsid w:val="005E7B4F"/>
    <w:rsid w:val="0060611D"/>
    <w:rsid w:val="00607D68"/>
    <w:rsid w:val="006149B1"/>
    <w:rsid w:val="00614CC6"/>
    <w:rsid w:val="00647E80"/>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C7848"/>
    <w:rsid w:val="008C799B"/>
    <w:rsid w:val="008F5522"/>
    <w:rsid w:val="00917AF2"/>
    <w:rsid w:val="0092418A"/>
    <w:rsid w:val="00934ED7"/>
    <w:rsid w:val="009454F8"/>
    <w:rsid w:val="00950992"/>
    <w:rsid w:val="009543C3"/>
    <w:rsid w:val="00966E1B"/>
    <w:rsid w:val="00987C75"/>
    <w:rsid w:val="009B5551"/>
    <w:rsid w:val="009F2D2C"/>
    <w:rsid w:val="00A26CE5"/>
    <w:rsid w:val="00A443C2"/>
    <w:rsid w:val="00A52DB0"/>
    <w:rsid w:val="00A6617B"/>
    <w:rsid w:val="00A71FE5"/>
    <w:rsid w:val="00AA3AD8"/>
    <w:rsid w:val="00AB0DC8"/>
    <w:rsid w:val="00AB2DA1"/>
    <w:rsid w:val="00AB52D1"/>
    <w:rsid w:val="00AD267B"/>
    <w:rsid w:val="00B033C8"/>
    <w:rsid w:val="00B33425"/>
    <w:rsid w:val="00B44E24"/>
    <w:rsid w:val="00B54ECC"/>
    <w:rsid w:val="00B714F3"/>
    <w:rsid w:val="00BC0651"/>
    <w:rsid w:val="00BC5D77"/>
    <w:rsid w:val="00BE1FC5"/>
    <w:rsid w:val="00BF487A"/>
    <w:rsid w:val="00C03053"/>
    <w:rsid w:val="00C22890"/>
    <w:rsid w:val="00C362C3"/>
    <w:rsid w:val="00C37C23"/>
    <w:rsid w:val="00C46BD9"/>
    <w:rsid w:val="00C55258"/>
    <w:rsid w:val="00C668C8"/>
    <w:rsid w:val="00C73560"/>
    <w:rsid w:val="00C854EA"/>
    <w:rsid w:val="00C95B6F"/>
    <w:rsid w:val="00CA286D"/>
    <w:rsid w:val="00CB0F14"/>
    <w:rsid w:val="00CD659B"/>
    <w:rsid w:val="00CD7DC8"/>
    <w:rsid w:val="00D017C0"/>
    <w:rsid w:val="00D07139"/>
    <w:rsid w:val="00D31EB8"/>
    <w:rsid w:val="00D70C4E"/>
    <w:rsid w:val="00DF4176"/>
    <w:rsid w:val="00E02402"/>
    <w:rsid w:val="00E17240"/>
    <w:rsid w:val="00E44C45"/>
    <w:rsid w:val="00E44CBB"/>
    <w:rsid w:val="00EA6E8E"/>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TableText0">
    <w:name w:val="Table_Text"/>
    <w:basedOn w:val="Tablelegend"/>
    <w:rsid w:val="00CA286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Annex">
    <w:name w:val="Annex_#"/>
    <w:basedOn w:val="Normal"/>
    <w:next w:val="Annexref"/>
    <w:rsid w:val="00CA286D"/>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A286D"/>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A26CE5"/>
    <w:pPr>
      <w:spacing w:before="480"/>
    </w:pPr>
    <w:rPr>
      <w:szCs w:val="24"/>
      <w:lang w:val="en-GB" w:eastAsia="zh-CN"/>
    </w:rPr>
  </w:style>
  <w:style w:type="table" w:styleId="TableGrid">
    <w:name w:val="Table Grid"/>
    <w:basedOn w:val="TableNormal"/>
    <w:rsid w:val="00A26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4</Pages>
  <Words>983</Words>
  <Characters>5340</Characters>
  <Application>Microsoft Office Word</Application>
  <DocSecurity>0</DocSecurity>
  <Lines>172</Lines>
  <Paragraphs>94</Paragraphs>
  <ScaleCrop>false</ScaleCrop>
  <HeadingPairs>
    <vt:vector size="2" baseType="variant">
      <vt:variant>
        <vt:lpstr>Title</vt:lpstr>
      </vt:variant>
      <vt:variant>
        <vt:i4>1</vt:i4>
      </vt:variant>
    </vt:vector>
  </HeadingPairs>
  <TitlesOfParts>
    <vt:vector size="1" baseType="lpstr">
      <vt:lpstr>UIT-T Rec. </vt:lpstr>
    </vt:vector>
  </TitlesOfParts>
  <Manager/>
  <Company>ITU</Company>
  <LinksUpToDate>false</LinksUpToDate>
  <CharactersWithSpaces>6229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UIT-T Rec. </dc:title>
  <dc:subject/>
  <dc:creator>ITU Radiocommunication Sector</dc:creator>
  <cp:keywords/>
  <dc:description>Gachetc, 22.06.2015, ITU51007784</dc:description>
  <cp:lastModifiedBy>Gachet, Christelle</cp:lastModifiedBy>
  <cp:revision>11</cp:revision>
  <cp:lastPrinted>2015-06-22T13:13:00Z</cp:lastPrinted>
  <dcterms:created xsi:type="dcterms:W3CDTF">2015-06-22T08:58:00Z</dcterms:created>
  <dcterms:modified xsi:type="dcterms:W3CDTF">2015-06-22T13:13:00Z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lundi 22 juin 2015</vt:lpwstr>
  </property>
</Properties>
</file>