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ECB" w:rsidRPr="00575CB8" w:rsidRDefault="00A04ECB" w:rsidP="00A04ECB">
      <w:pPr>
        <w:rPr>
          <w:lang w:val="en-US"/>
        </w:rPr>
      </w:pPr>
    </w:p>
    <w:p w:rsidR="00A04ECB" w:rsidRDefault="00A04ECB" w:rsidP="00A04ECB"/>
    <w:p w:rsidR="00A04ECB" w:rsidRDefault="00A04ECB" w:rsidP="00A04ECB"/>
    <w:p w:rsidR="00A04ECB" w:rsidRDefault="00A04ECB" w:rsidP="00A04ECB"/>
    <w:p w:rsidR="00A04ECB" w:rsidRDefault="00A04ECB" w:rsidP="00A04ECB"/>
    <w:p w:rsidR="00A04ECB" w:rsidRDefault="00A04ECB" w:rsidP="00A04ECB"/>
    <w:p w:rsidR="00A04ECB" w:rsidRDefault="00A04ECB" w:rsidP="00A04ECB"/>
    <w:p w:rsidR="00A04ECB" w:rsidRDefault="00A04ECB" w:rsidP="00A04ECB"/>
    <w:p w:rsidR="00A04ECB" w:rsidRDefault="00A04ECB" w:rsidP="00A04ECB"/>
    <w:p w:rsidR="00A04ECB" w:rsidRDefault="00A04ECB" w:rsidP="00A04ECB"/>
    <w:p w:rsidR="00A04ECB" w:rsidRDefault="00A04ECB" w:rsidP="00A04ECB"/>
    <w:p w:rsidR="00A04ECB" w:rsidRDefault="00A04ECB" w:rsidP="00A04EC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A04ECB" w:rsidRPr="00A04ECB" w:rsidTr="006F4688">
        <w:tc>
          <w:tcPr>
            <w:tcW w:w="10089" w:type="dxa"/>
          </w:tcPr>
          <w:p w:rsidR="00A04ECB" w:rsidRPr="00A07AEB" w:rsidRDefault="00A04ECB" w:rsidP="006F468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A04ECB" w:rsidRPr="00A07AEB" w:rsidRDefault="00A04ECB" w:rsidP="00561D4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561D4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1073-3</w:t>
            </w:r>
          </w:p>
          <w:p w:rsidR="00A04ECB" w:rsidRPr="00A07AEB" w:rsidRDefault="00A04ECB" w:rsidP="00561D4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561D4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03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561D4E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A04ECB" w:rsidRPr="00561D4E" w:rsidTr="006F4688">
        <w:tc>
          <w:tcPr>
            <w:tcW w:w="10089" w:type="dxa"/>
          </w:tcPr>
          <w:p w:rsidR="00A04ECB" w:rsidRPr="0010336F" w:rsidRDefault="00A04ECB" w:rsidP="006F468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A04ECB" w:rsidRDefault="00561D4E" w:rsidP="00561D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561D4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Sistemas celulares digitales de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561D4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telecomunicaciones móviles terrestres</w:t>
            </w:r>
          </w:p>
          <w:p w:rsidR="00A04ECB" w:rsidRPr="00A07AEB" w:rsidRDefault="00A04ECB" w:rsidP="006F468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A04ECB" w:rsidRPr="00A07AEB" w:rsidRDefault="00A04ECB" w:rsidP="006F468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A04ECB" w:rsidRPr="00A04ECB" w:rsidTr="006F4688">
        <w:tc>
          <w:tcPr>
            <w:tcW w:w="10089" w:type="dxa"/>
          </w:tcPr>
          <w:p w:rsidR="00A04ECB" w:rsidRPr="00A07AEB" w:rsidRDefault="00A04ECB" w:rsidP="006F468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A04ECB" w:rsidRPr="00A07AEB" w:rsidRDefault="00A04ECB" w:rsidP="006F468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A04ECB" w:rsidRPr="00A07AEB" w:rsidRDefault="00A04ECB" w:rsidP="006F468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A04ECB" w:rsidRPr="00A07AEB" w:rsidRDefault="00A04ECB" w:rsidP="006F468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A04ECB" w:rsidRPr="00A07AEB" w:rsidRDefault="00A04ECB" w:rsidP="006F4688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A04ECB" w:rsidRPr="0026666F" w:rsidRDefault="00A04ECB" w:rsidP="00A04ECB">
      <w:pPr>
        <w:spacing w:before="80"/>
        <w:rPr>
          <w:i/>
          <w:sz w:val="22"/>
          <w:lang w:val="es-ES_tradnl"/>
        </w:rPr>
      </w:pPr>
    </w:p>
    <w:p w:rsidR="00A04ECB" w:rsidRPr="0026666F" w:rsidRDefault="00A04ECB" w:rsidP="00A04ECB">
      <w:pPr>
        <w:spacing w:before="80"/>
        <w:rPr>
          <w:i/>
          <w:sz w:val="22"/>
          <w:lang w:val="es-ES_tradnl"/>
        </w:rPr>
      </w:pPr>
    </w:p>
    <w:p w:rsidR="00A04ECB" w:rsidRPr="0026666F" w:rsidRDefault="00A04ECB" w:rsidP="00A04ECB">
      <w:pPr>
        <w:spacing w:before="80"/>
        <w:rPr>
          <w:i/>
          <w:sz w:val="22"/>
          <w:lang w:val="es-ES_tradnl"/>
        </w:rPr>
      </w:pPr>
    </w:p>
    <w:p w:rsidR="00A04ECB" w:rsidRPr="0026666F" w:rsidRDefault="00A04ECB" w:rsidP="00A04ECB">
      <w:pPr>
        <w:spacing w:before="80"/>
        <w:rPr>
          <w:i/>
          <w:sz w:val="22"/>
          <w:lang w:val="es-ES_tradnl"/>
        </w:rPr>
      </w:pPr>
    </w:p>
    <w:p w:rsidR="00A04ECB" w:rsidRPr="0026666F" w:rsidRDefault="00A04ECB" w:rsidP="00A04ECB">
      <w:pPr>
        <w:spacing w:before="80"/>
        <w:rPr>
          <w:i/>
          <w:sz w:val="22"/>
          <w:lang w:val="es-ES_tradnl"/>
        </w:rPr>
      </w:pPr>
    </w:p>
    <w:p w:rsidR="00A04ECB" w:rsidRPr="0026666F" w:rsidRDefault="00A04ECB" w:rsidP="00A04ECB">
      <w:pPr>
        <w:spacing w:before="80"/>
        <w:rPr>
          <w:i/>
          <w:sz w:val="22"/>
          <w:lang w:val="es-ES_tradnl"/>
        </w:rPr>
      </w:pPr>
    </w:p>
    <w:p w:rsidR="00A04ECB" w:rsidRPr="0026666F" w:rsidRDefault="00A04ECB" w:rsidP="00A04EC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A04ECB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04ECB" w:rsidRPr="006C718C" w:rsidRDefault="00A04ECB" w:rsidP="00A04EC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A04ECB" w:rsidRPr="006C718C" w:rsidRDefault="00A04ECB" w:rsidP="00A04EC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A04ECB" w:rsidRPr="006C718C" w:rsidRDefault="00A04ECB" w:rsidP="00A04EC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A04ECB" w:rsidRPr="00021E8A" w:rsidRDefault="00A04ECB" w:rsidP="00A04EC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A04ECB" w:rsidRPr="00021E8A" w:rsidRDefault="00A04ECB" w:rsidP="00A04EC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A04ECB" w:rsidRPr="007C36CA" w:rsidRDefault="00A04ECB" w:rsidP="00A04ECB">
      <w:pPr>
        <w:spacing w:before="0"/>
        <w:jc w:val="center"/>
        <w:rPr>
          <w:sz w:val="22"/>
          <w:lang w:val="es-ES_tradnl"/>
        </w:rPr>
      </w:pPr>
    </w:p>
    <w:p w:rsidR="00A04ECB" w:rsidRPr="007C36CA" w:rsidRDefault="00A04ECB" w:rsidP="00A04EC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A04ECB" w:rsidRPr="00A04ECB" w:rsidTr="006F4688">
        <w:tc>
          <w:tcPr>
            <w:tcW w:w="9360" w:type="dxa"/>
            <w:gridSpan w:val="2"/>
          </w:tcPr>
          <w:p w:rsidR="00A04ECB" w:rsidRPr="00021E8A" w:rsidRDefault="00A04ECB" w:rsidP="006F468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A04ECB" w:rsidRPr="00763D08" w:rsidRDefault="00A04ECB" w:rsidP="006F468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A04ECB" w:rsidRPr="00036EE3" w:rsidTr="006F4688">
        <w:tc>
          <w:tcPr>
            <w:tcW w:w="1140" w:type="dxa"/>
          </w:tcPr>
          <w:p w:rsidR="00A04ECB" w:rsidRPr="00036EE3" w:rsidRDefault="00A04ECB" w:rsidP="006F4688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A04ECB" w:rsidRPr="00036EE3" w:rsidRDefault="00A04ECB" w:rsidP="006F468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A04ECB" w:rsidRPr="00036EE3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A04ECB" w:rsidRPr="00A04ECB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A04ECB" w:rsidRPr="00036EE3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A04ECB" w:rsidRPr="00ED2695" w:rsidTr="006F4688">
        <w:tc>
          <w:tcPr>
            <w:tcW w:w="1140" w:type="dxa"/>
            <w:shd w:val="clear" w:color="auto" w:fill="auto"/>
          </w:tcPr>
          <w:p w:rsidR="00A04ECB" w:rsidRPr="00ED2695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A04ECB" w:rsidRPr="00021E8A" w:rsidRDefault="00A04ECB" w:rsidP="006F468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A04ECB" w:rsidRPr="00036EE3" w:rsidTr="006F4688">
        <w:tc>
          <w:tcPr>
            <w:tcW w:w="1140" w:type="dxa"/>
            <w:shd w:val="clear" w:color="auto" w:fill="auto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A04ECB" w:rsidRPr="00021E8A" w:rsidRDefault="00A04ECB" w:rsidP="006F46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A04ECB" w:rsidRPr="00A04ECB" w:rsidTr="006F4688">
        <w:tc>
          <w:tcPr>
            <w:tcW w:w="1140" w:type="dxa"/>
            <w:shd w:val="clear" w:color="auto" w:fill="F3F3F3"/>
          </w:tcPr>
          <w:p w:rsidR="00A04ECB" w:rsidRPr="001240BC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A04ECB" w:rsidRPr="001240BC" w:rsidRDefault="00A04ECB" w:rsidP="006F468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A04ECB" w:rsidRPr="00A04ECB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A04ECB" w:rsidRPr="00036EE3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A04ECB" w:rsidRPr="00A04ECB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A04ECB" w:rsidRPr="00036EE3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A04ECB" w:rsidRPr="00036EE3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A04ECB" w:rsidRPr="00A04ECB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A04ECB" w:rsidRPr="00036EE3" w:rsidTr="006F4688">
        <w:tc>
          <w:tcPr>
            <w:tcW w:w="1140" w:type="dxa"/>
            <w:shd w:val="clear" w:color="auto" w:fill="auto"/>
          </w:tcPr>
          <w:p w:rsidR="00A04ECB" w:rsidRPr="001240BC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A04ECB" w:rsidRPr="001240BC" w:rsidRDefault="00A04ECB" w:rsidP="006F468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A04ECB" w:rsidRPr="00036EE3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A04ECB" w:rsidRPr="00A04ECB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A04ECB" w:rsidRPr="00036EE3" w:rsidTr="006F4688">
        <w:tc>
          <w:tcPr>
            <w:tcW w:w="1140" w:type="dxa"/>
          </w:tcPr>
          <w:p w:rsidR="00A04ECB" w:rsidRPr="00036EE3" w:rsidRDefault="00A04ECB" w:rsidP="006F468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A04ECB" w:rsidRPr="00021E8A" w:rsidRDefault="00A04ECB" w:rsidP="006F4688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A04ECB" w:rsidRPr="00036EE3" w:rsidRDefault="00A04ECB" w:rsidP="00A04EC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A04ECB" w:rsidTr="006F4688">
        <w:tc>
          <w:tcPr>
            <w:tcW w:w="720" w:type="dxa"/>
          </w:tcPr>
          <w:p w:rsidR="00A04ECB" w:rsidRDefault="00A04ECB" w:rsidP="006F4688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A04ECB" w:rsidRPr="00A04ECB" w:rsidTr="006F4688">
        <w:tc>
          <w:tcPr>
            <w:tcW w:w="9360" w:type="dxa"/>
          </w:tcPr>
          <w:p w:rsidR="00A04ECB" w:rsidRPr="00A07AEB" w:rsidRDefault="00A04ECB" w:rsidP="006F4688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A04ECB" w:rsidRPr="00763D08" w:rsidRDefault="00A04ECB" w:rsidP="00A04ECB">
      <w:pPr>
        <w:spacing w:before="0"/>
        <w:jc w:val="center"/>
        <w:rPr>
          <w:sz w:val="22"/>
          <w:lang w:val="es-ES_tradnl"/>
        </w:rPr>
      </w:pPr>
    </w:p>
    <w:p w:rsidR="00A04ECB" w:rsidRPr="00763D08" w:rsidRDefault="00A04ECB" w:rsidP="00A04EC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A04ECB" w:rsidRPr="00763D08" w:rsidRDefault="00A04ECB" w:rsidP="00A04ECB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14</w:t>
      </w:r>
    </w:p>
    <w:p w:rsidR="00A04ECB" w:rsidRPr="00763D08" w:rsidRDefault="00A04ECB" w:rsidP="00A04ECB">
      <w:pPr>
        <w:spacing w:before="0"/>
        <w:jc w:val="center"/>
        <w:rPr>
          <w:sz w:val="22"/>
          <w:lang w:val="es-ES_tradnl"/>
        </w:rPr>
      </w:pPr>
    </w:p>
    <w:p w:rsidR="00A04ECB" w:rsidRPr="00763D08" w:rsidRDefault="00A04ECB" w:rsidP="00A04ECB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14</w:t>
      </w:r>
    </w:p>
    <w:p w:rsidR="00A04ECB" w:rsidRPr="006C718C" w:rsidRDefault="00A04ECB" w:rsidP="00A04EC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A04ECB" w:rsidRPr="006C718C" w:rsidRDefault="00A04ECB" w:rsidP="00A04ECB">
      <w:pPr>
        <w:spacing w:before="160"/>
        <w:rPr>
          <w:i/>
          <w:sz w:val="20"/>
          <w:highlight w:val="yellow"/>
          <w:lang w:val="es-ES_tradnl"/>
        </w:rPr>
        <w:sectPr w:rsidR="00A04ECB" w:rsidRPr="006C718C" w:rsidSect="00CB135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A04ECB" w:rsidRPr="0010336F" w:rsidRDefault="00A04ECB" w:rsidP="00561D4E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M</w:t>
      </w:r>
      <w:r w:rsidRPr="0010336F">
        <w:rPr>
          <w:rStyle w:val="href"/>
          <w:lang w:val="es-ES_tradnl"/>
        </w:rPr>
        <w:t>.</w:t>
      </w:r>
      <w:r w:rsidR="00561D4E">
        <w:rPr>
          <w:rStyle w:val="href"/>
          <w:lang w:val="es-ES_tradnl"/>
        </w:rPr>
        <w:t>1073-3</w:t>
      </w:r>
    </w:p>
    <w:p w:rsidR="00A04ECB" w:rsidRPr="00A001A9" w:rsidRDefault="00A04ECB" w:rsidP="00A04ECB">
      <w:pPr>
        <w:pStyle w:val="Rectitle"/>
        <w:rPr>
          <w:lang w:val="es-ES_tradnl"/>
        </w:rPr>
      </w:pPr>
      <w:r w:rsidRPr="00A001A9">
        <w:rPr>
          <w:lang w:val="es-ES_tradnl"/>
        </w:rPr>
        <w:t>Sistemas celulares digitales de telecomunicaciones móviles terrestres</w:t>
      </w:r>
    </w:p>
    <w:p w:rsidR="00A04ECB" w:rsidRPr="00A001A9" w:rsidRDefault="00A04ECB" w:rsidP="00F815D5">
      <w:pPr>
        <w:pStyle w:val="Recdate"/>
        <w:rPr>
          <w:lang w:val="es-ES_tradnl"/>
        </w:rPr>
      </w:pPr>
      <w:r w:rsidRPr="00A001A9">
        <w:rPr>
          <w:lang w:val="es-ES_tradnl"/>
        </w:rPr>
        <w:t>(1994-1997</w:t>
      </w:r>
      <w:r>
        <w:rPr>
          <w:lang w:val="es-ES_tradnl"/>
        </w:rPr>
        <w:t>-2005-2012</w:t>
      </w:r>
      <w:r w:rsidRPr="00A001A9">
        <w:rPr>
          <w:lang w:val="es-ES_tradnl"/>
        </w:rPr>
        <w:t>)</w:t>
      </w:r>
    </w:p>
    <w:p w:rsidR="00A04ECB" w:rsidRPr="00A001A9" w:rsidRDefault="00A04ECB" w:rsidP="00A04ECB">
      <w:pPr>
        <w:pStyle w:val="HeadingSum"/>
        <w:rPr>
          <w:u w:val="single"/>
        </w:rPr>
      </w:pPr>
      <w:r>
        <w:t>Cometido</w:t>
      </w:r>
    </w:p>
    <w:p w:rsidR="00A04ECB" w:rsidRPr="00A001A9" w:rsidRDefault="00A04ECB" w:rsidP="00A04ECB">
      <w:pPr>
        <w:pStyle w:val="Summary"/>
      </w:pPr>
      <w:r w:rsidRPr="00A001A9">
        <w:t>Esta Recomendación establece recomendaciones sobre las características técnicas y de explotación de los sistemas celulares digitales de telecomunicaciones móviles terrestres para uso internacional y regional. Mediante la provisión de las referencias asociadas a las especificaciones de cada tecnología, la Recomendación suministra a las administraciones directrices para la evaluación de distintos sistemas celulares digitales en sus aplicaciones proyectadas.</w:t>
      </w:r>
    </w:p>
    <w:p w:rsidR="00A04ECB" w:rsidRDefault="00A04ECB" w:rsidP="00A04ECB">
      <w:pPr>
        <w:pStyle w:val="Normalaftertitle"/>
        <w:rPr>
          <w:lang w:val="es-ES_tradnl"/>
        </w:rPr>
      </w:pPr>
      <w:r>
        <w:rPr>
          <w:lang w:val="es-ES_tradnl"/>
        </w:rPr>
        <w:t>La Asamblea de Radiocomunicaciones de la UIT,</w:t>
      </w:r>
    </w:p>
    <w:p w:rsidR="00A04ECB" w:rsidRDefault="00A04ECB" w:rsidP="00A04ECB">
      <w:pPr>
        <w:pStyle w:val="Call"/>
        <w:rPr>
          <w:lang w:val="es-ES_tradnl"/>
        </w:rPr>
      </w:pPr>
      <w:r>
        <w:rPr>
          <w:lang w:val="es-ES_tradnl"/>
        </w:rPr>
        <w:t>considerando</w:t>
      </w:r>
    </w:p>
    <w:p w:rsidR="00A04ECB" w:rsidRPr="00A001A9" w:rsidRDefault="00A04ECB" w:rsidP="00A04ECB">
      <w:pPr>
        <w:rPr>
          <w:lang w:val="es-ES_tradnl"/>
        </w:rPr>
      </w:pPr>
      <w:r w:rsidRPr="00FE3C43">
        <w:rPr>
          <w:i/>
          <w:iCs/>
          <w:lang w:val="es-ES_tradnl"/>
        </w:rPr>
        <w:t>a)</w:t>
      </w:r>
      <w:r w:rsidRPr="00A001A9">
        <w:rPr>
          <w:lang w:val="es-ES_tradnl"/>
        </w:rPr>
        <w:tab/>
        <w:t>que se están utilizando señales digitales con diversos formatos para mejorar la eficacia de las comunicaciones del servicio móvil terrestre;</w:t>
      </w:r>
    </w:p>
    <w:p w:rsidR="00A04ECB" w:rsidRPr="00A001A9" w:rsidRDefault="00A04ECB" w:rsidP="00A04ECB">
      <w:pPr>
        <w:rPr>
          <w:lang w:val="es-ES_tradnl"/>
        </w:rPr>
      </w:pPr>
      <w:r w:rsidRPr="00FE3C43">
        <w:rPr>
          <w:i/>
          <w:iCs/>
          <w:lang w:val="es-ES_tradnl"/>
        </w:rPr>
        <w:t>b)</w:t>
      </w:r>
      <w:r w:rsidRPr="00A001A9">
        <w:rPr>
          <w:lang w:val="es-ES_tradnl"/>
        </w:rPr>
        <w:tab/>
        <w:t>que también deben examinarse los sistemas de transmisión digital que no son compatibles con los actuales sistemas móviles terrestres, incluyendo la transmisión de las señales vocales codificadas digitalmente;</w:t>
      </w:r>
    </w:p>
    <w:p w:rsidR="00A04ECB" w:rsidRPr="00A001A9" w:rsidRDefault="00A04ECB" w:rsidP="00A04ECB">
      <w:pPr>
        <w:rPr>
          <w:lang w:val="es-ES_tradnl"/>
        </w:rPr>
      </w:pPr>
      <w:r w:rsidRPr="00FE3C43">
        <w:rPr>
          <w:i/>
          <w:iCs/>
          <w:lang w:val="es-ES_tradnl"/>
        </w:rPr>
        <w:t>c)</w:t>
      </w:r>
      <w:r w:rsidRPr="00A001A9">
        <w:rPr>
          <w:lang w:val="es-ES_tradnl"/>
        </w:rPr>
        <w:tab/>
        <w:t>que actualmente se encuentran en explotación en varios países servicios telefónicos móviles, es decir, servicios abiertos a la correspondencia pública por medio de estaciones radioeléctricas conectadas a la red telefónica pública con conmutación (RTPC), y que su empleo se está extendiendo;</w:t>
      </w:r>
    </w:p>
    <w:p w:rsidR="00A04ECB" w:rsidRPr="00A001A9" w:rsidRDefault="00A04ECB" w:rsidP="00A04ECB">
      <w:pPr>
        <w:rPr>
          <w:lang w:val="es-ES_tradnl"/>
        </w:rPr>
      </w:pPr>
      <w:r w:rsidRPr="00FE3C43">
        <w:rPr>
          <w:i/>
          <w:iCs/>
          <w:lang w:val="es-ES_tradnl"/>
        </w:rPr>
        <w:t>d)</w:t>
      </w:r>
      <w:r w:rsidRPr="00A001A9">
        <w:rPr>
          <w:lang w:val="es-ES_tradnl"/>
        </w:rPr>
        <w:tab/>
        <w:t>que los diversos sistemas técnicos ya utilizados o propuestos para esos servicios no son necesariamente compatibles entre sí;</w:t>
      </w:r>
    </w:p>
    <w:p w:rsidR="00A04ECB" w:rsidRPr="00A001A9" w:rsidRDefault="00A04ECB" w:rsidP="00A04ECB">
      <w:pPr>
        <w:rPr>
          <w:lang w:val="es-ES_tradnl"/>
        </w:rPr>
      </w:pPr>
      <w:r w:rsidRPr="00FE3C43">
        <w:rPr>
          <w:i/>
          <w:iCs/>
          <w:lang w:val="es-ES_tradnl"/>
        </w:rPr>
        <w:t>e)</w:t>
      </w:r>
      <w:r w:rsidRPr="00A001A9">
        <w:rPr>
          <w:lang w:val="es-ES_tradnl"/>
        </w:rPr>
        <w:tab/>
        <w:t>que para la explotación internacional es necesaria la compatibilidad entre los sistemas;</w:t>
      </w:r>
    </w:p>
    <w:p w:rsidR="00A04ECB" w:rsidRPr="00A001A9" w:rsidRDefault="00A04ECB" w:rsidP="00A04ECB">
      <w:pPr>
        <w:rPr>
          <w:lang w:val="es-ES_tradnl"/>
        </w:rPr>
      </w:pPr>
      <w:r w:rsidRPr="00FE3C43">
        <w:rPr>
          <w:i/>
          <w:iCs/>
          <w:lang w:val="es-ES_tradnl"/>
        </w:rPr>
        <w:t>f)</w:t>
      </w:r>
      <w:r w:rsidRPr="00A001A9">
        <w:rPr>
          <w:lang w:val="es-ES_tradnl"/>
        </w:rPr>
        <w:tab/>
        <w:t>que para la explotación internacional es conveniente llegar a un acuerdo sobre los parámetros del sistema;</w:t>
      </w:r>
    </w:p>
    <w:p w:rsidR="00A04ECB" w:rsidRPr="00A001A9" w:rsidRDefault="00A04ECB" w:rsidP="00A04ECB">
      <w:pPr>
        <w:rPr>
          <w:lang w:val="es-ES_tradnl"/>
        </w:rPr>
      </w:pPr>
      <w:r w:rsidRPr="00FE3C43">
        <w:rPr>
          <w:i/>
          <w:iCs/>
          <w:lang w:val="es-ES_tradnl"/>
        </w:rPr>
        <w:t>g)</w:t>
      </w:r>
      <w:r w:rsidRPr="00A001A9">
        <w:rPr>
          <w:lang w:val="es-ES_tradnl"/>
        </w:rPr>
        <w:tab/>
        <w:t>la necesidad de mejorar la eficacia de utilización del espectro y, por ende, la capacidad de los sistemas por MHz y unidad de superficie;</w:t>
      </w:r>
    </w:p>
    <w:p w:rsidR="00A04ECB" w:rsidRPr="00A001A9" w:rsidRDefault="00A04ECB" w:rsidP="00A04ECB">
      <w:pPr>
        <w:rPr>
          <w:lang w:val="es-ES_tradnl"/>
        </w:rPr>
      </w:pPr>
      <w:r w:rsidRPr="00FE3C43">
        <w:rPr>
          <w:i/>
          <w:iCs/>
          <w:lang w:val="es-ES_tradnl"/>
        </w:rPr>
        <w:t>h)</w:t>
      </w:r>
      <w:r w:rsidRPr="00A001A9">
        <w:rPr>
          <w:lang w:val="es-ES_tradnl"/>
        </w:rPr>
        <w:tab/>
        <w:t>la necesidad de una estructura de sistema flexible, capaz de adecuar las inversiones en la red al crecimiento de los ingresos, de adaptarse rápidamente a los factores del entorno y de responder a las nuevas circunstancias en vez de limitar la innovación;</w:t>
      </w:r>
    </w:p>
    <w:p w:rsidR="00A04ECB" w:rsidRPr="00A001A9" w:rsidRDefault="00A04ECB" w:rsidP="00A04ECB">
      <w:pPr>
        <w:rPr>
          <w:lang w:val="es-ES_tradnl"/>
        </w:rPr>
      </w:pPr>
      <w:r w:rsidRPr="00FE3C43">
        <w:rPr>
          <w:i/>
          <w:iCs/>
          <w:lang w:val="es-ES_tradnl"/>
        </w:rPr>
        <w:t>j)</w:t>
      </w:r>
      <w:r w:rsidRPr="00A001A9">
        <w:rPr>
          <w:lang w:val="es-ES_tradnl"/>
        </w:rPr>
        <w:tab/>
        <w:t>la creciente importancia de los diversos tipos de ser</w:t>
      </w:r>
      <w:r>
        <w:rPr>
          <w:lang w:val="es-ES_tradnl"/>
        </w:rPr>
        <w:t>vicios de datos y de telemática,</w:t>
      </w:r>
    </w:p>
    <w:p w:rsidR="00A04ECB" w:rsidRDefault="00A04ECB" w:rsidP="00A04ECB">
      <w:pPr>
        <w:pStyle w:val="Call"/>
        <w:rPr>
          <w:lang w:val="es-ES_tradnl"/>
        </w:rPr>
      </w:pPr>
      <w:r>
        <w:rPr>
          <w:lang w:val="es-ES_tradnl"/>
        </w:rPr>
        <w:t>observando</w:t>
      </w:r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que la Recomendación UIT-R M.1457 versa sobre las interfaces radioeléctricas para las IMT-2000</w:t>
      </w:r>
      <w:r>
        <w:rPr>
          <w:lang w:val="es-ES_tradnl"/>
        </w:rPr>
        <w:t>,</w:t>
      </w:r>
    </w:p>
    <w:p w:rsidR="00A04ECB" w:rsidRPr="00A001A9" w:rsidRDefault="00A04ECB" w:rsidP="00A04ECB">
      <w:pPr>
        <w:pStyle w:val="Call"/>
        <w:rPr>
          <w:lang w:val="es-ES_tradnl"/>
        </w:rPr>
      </w:pPr>
      <w:r w:rsidRPr="00A001A9">
        <w:rPr>
          <w:lang w:val="es-ES_tradnl"/>
        </w:rPr>
        <w:t>recomienda</w:t>
      </w:r>
    </w:p>
    <w:p w:rsidR="00A04ECB" w:rsidRDefault="00A04ECB" w:rsidP="00A04ECB">
      <w:pPr>
        <w:rPr>
          <w:lang w:val="es-ES_tradnl"/>
        </w:rPr>
      </w:pPr>
      <w:r w:rsidRPr="00A001A9">
        <w:rPr>
          <w:lang w:val="es-ES_tradnl"/>
        </w:rPr>
        <w:t>que se tengan en cuenta las siguientes características técnicas y operacionales de los sistemas celulares digitales de telecomunicaciones móviles terrestres (SDCTMT):</w:t>
      </w:r>
    </w:p>
    <w:p w:rsidR="00A04ECB" w:rsidRPr="00A001A9" w:rsidRDefault="00A04ECB" w:rsidP="00FE3C43">
      <w:pPr>
        <w:pStyle w:val="Heading1"/>
        <w:rPr>
          <w:lang w:val="es-ES_tradnl"/>
        </w:rPr>
      </w:pPr>
      <w:bookmarkStart w:id="3" w:name="_Toc391188754"/>
      <w:bookmarkStart w:id="4" w:name="_Toc119211460"/>
      <w:r w:rsidRPr="00A001A9">
        <w:rPr>
          <w:lang w:val="es-ES_tradnl"/>
        </w:rPr>
        <w:lastRenderedPageBreak/>
        <w:t>1</w:t>
      </w:r>
      <w:r w:rsidRPr="00A001A9">
        <w:rPr>
          <w:lang w:val="es-ES_tradnl"/>
        </w:rPr>
        <w:tab/>
        <w:t>Objetivos generales</w:t>
      </w:r>
      <w:bookmarkEnd w:id="3"/>
      <w:bookmarkEnd w:id="4"/>
    </w:p>
    <w:p w:rsidR="00A04ECB" w:rsidRPr="00A001A9" w:rsidRDefault="00A04ECB" w:rsidP="00FE3C43">
      <w:pPr>
        <w:keepNext/>
        <w:keepLines/>
        <w:rPr>
          <w:lang w:val="es-ES_tradnl"/>
        </w:rPr>
      </w:pPr>
      <w:r w:rsidRPr="00A001A9">
        <w:rPr>
          <w:lang w:val="es-ES_tradnl"/>
        </w:rPr>
        <w:t>Los objetivos generales de los SDCTMT son proporcionar: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a los sistemas una elevada eficacia de utilización del espectro, acomodando con ello en el limitado espectro disponible a más usuarios que los actuales sistemas públicos analógicos celulares de telecomunicaciones móviles terrestres (SPACTMT);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a los usuarios una amplia gama de servicios y medios técnicos, tanto vocales como no vocales, compatibles con los ofrecidos por las redes fijas públicas (RTPC, RDSI, RPD, etc.) y con acceso a las mismas;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servicios y facilidades exclusivas a los sistemas móviles, incluidas las facilidades para la conmutación automática en el desplazamiento, la localización y la actualización de la posición de los usuarios móviles;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a los usuarios una diversidad de estaciones móviles de acuerdo con sus necesidades, desde vehículos montados hasta estaciones portátiles con interfaces vocales y no vocales;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servicios de elevada calidad e integridad a un coste económico;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equipos móviles e infraestructura de coste, precio, dimensiones y potencia reducidos como consecuencia de la adopción del procesamiento digital y de la tecnología</w:t>
      </w:r>
      <w:r>
        <w:rPr>
          <w:lang w:val="es-ES_tradnl"/>
        </w:rPr>
        <w:t xml:space="preserve"> a integración a escala muy grande</w:t>
      </w:r>
      <w:r w:rsidRPr="00A001A9">
        <w:rPr>
          <w:lang w:val="es-ES_tradnl"/>
        </w:rPr>
        <w:t> </w:t>
      </w:r>
      <w:r>
        <w:rPr>
          <w:lang w:val="es-ES_tradnl"/>
        </w:rPr>
        <w:t>(</w:t>
      </w:r>
      <w:r w:rsidRPr="00A001A9">
        <w:rPr>
          <w:lang w:val="es-ES_tradnl"/>
        </w:rPr>
        <w:t>VLSI</w:t>
      </w:r>
      <w:r>
        <w:rPr>
          <w:lang w:val="es-ES_tradnl"/>
        </w:rPr>
        <w:t>)</w:t>
      </w:r>
      <w:r w:rsidRPr="00A001A9">
        <w:rPr>
          <w:lang w:val="es-ES_tradnl"/>
        </w:rPr>
        <w:t>.</w:t>
      </w:r>
    </w:p>
    <w:p w:rsidR="00A04ECB" w:rsidRPr="00A001A9" w:rsidRDefault="00A04ECB" w:rsidP="00A04ECB">
      <w:pPr>
        <w:pStyle w:val="Heading1"/>
        <w:rPr>
          <w:lang w:val="es-ES_tradnl"/>
        </w:rPr>
      </w:pPr>
      <w:bookmarkStart w:id="5" w:name="_Toc391188755"/>
      <w:bookmarkStart w:id="6" w:name="_Toc119211461"/>
      <w:r w:rsidRPr="00A001A9">
        <w:rPr>
          <w:lang w:val="es-ES_tradnl"/>
        </w:rPr>
        <w:t>2</w:t>
      </w:r>
      <w:r w:rsidRPr="00A001A9">
        <w:rPr>
          <w:lang w:val="es-ES_tradnl"/>
        </w:rPr>
        <w:tab/>
        <w:t>Tecnología digital</w:t>
      </w:r>
      <w:bookmarkEnd w:id="5"/>
      <w:bookmarkEnd w:id="6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La tecnología digital se ha introducido en los SPACTMT en cinco sectores principales: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modul</w:t>
      </w:r>
      <w:r>
        <w:rPr>
          <w:lang w:val="es-ES_tradnl"/>
        </w:rPr>
        <w:t>ación/demodulación radiodigital;</w:t>
      </w:r>
    </w:p>
    <w:p w:rsidR="00A04ECB" w:rsidRPr="00A001A9" w:rsidRDefault="00A04ECB" w:rsidP="00A04ECB">
      <w:pPr>
        <w:pStyle w:val="enumlev1"/>
        <w:rPr>
          <w:lang w:val="es-ES_tradnl"/>
        </w:rPr>
      </w:pPr>
      <w:r>
        <w:rPr>
          <w:lang w:val="es-ES_tradnl"/>
        </w:rPr>
        <w:t>–</w:t>
      </w:r>
      <w:r>
        <w:rPr>
          <w:lang w:val="es-ES_tradnl"/>
        </w:rPr>
        <w:tab/>
        <w:t>codificación vocal digital;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codificación del canal y p</w:t>
      </w:r>
      <w:r>
        <w:rPr>
          <w:lang w:val="es-ES_tradnl"/>
        </w:rPr>
        <w:t>rocesamiento digital de señales;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canal</w:t>
      </w:r>
      <w:r>
        <w:rPr>
          <w:lang w:val="es-ES_tradnl"/>
        </w:rPr>
        <w:t>es digitales de control y datos;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secreto y autentificación.</w:t>
      </w:r>
    </w:p>
    <w:p w:rsidR="00A04ECB" w:rsidRPr="00A001A9" w:rsidRDefault="00A04ECB" w:rsidP="00A04ECB">
      <w:pPr>
        <w:pStyle w:val="Heading1"/>
        <w:rPr>
          <w:lang w:val="es-ES_tradnl"/>
        </w:rPr>
      </w:pPr>
      <w:bookmarkStart w:id="7" w:name="_Toc391188756"/>
      <w:bookmarkStart w:id="8" w:name="_Toc119211462"/>
      <w:r w:rsidRPr="00A001A9">
        <w:rPr>
          <w:lang w:val="es-ES_tradnl"/>
        </w:rPr>
        <w:t>3</w:t>
      </w:r>
      <w:r w:rsidRPr="00A001A9">
        <w:rPr>
          <w:lang w:val="es-ES_tradnl"/>
        </w:rPr>
        <w:tab/>
        <w:t>Tipos de servicios</w:t>
      </w:r>
      <w:bookmarkEnd w:id="7"/>
      <w:bookmarkEnd w:id="8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Los servicios básicos de telecomunicación ofrecidos por los SDCTMT, tal como se describen exhaustivamente en los documentos de referencia, se pueden dividir en dos tipos: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servicios portadores, que dan al usuario la capacidad necesaria para transmitir las señales apropiadas entre ciertos puntos de acceso;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teleservicios, que dan al usuario la capacidad plena, incluidas las funciones de equipo terminal, de comunicar con otros usuarios.</w:t>
      </w:r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En asociación con los servicios básicos se dispone también de servicios suplementarios.</w:t>
      </w:r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Todos los SDCTMT admiten algún servicio en cada categoría, pero la gama ofrecida varía según los sistemas.</w:t>
      </w:r>
    </w:p>
    <w:p w:rsidR="00A04ECB" w:rsidRPr="00A001A9" w:rsidRDefault="00A04ECB" w:rsidP="00A04ECB">
      <w:pPr>
        <w:pStyle w:val="Heading2"/>
        <w:rPr>
          <w:lang w:val="es-ES_tradnl"/>
        </w:rPr>
      </w:pPr>
      <w:bookmarkStart w:id="9" w:name="_Toc391188757"/>
      <w:bookmarkStart w:id="10" w:name="_Toc119211463"/>
      <w:r w:rsidRPr="00A001A9">
        <w:rPr>
          <w:lang w:val="es-ES_tradnl"/>
        </w:rPr>
        <w:t>3.1</w:t>
      </w:r>
      <w:r w:rsidRPr="00A001A9">
        <w:rPr>
          <w:lang w:val="es-ES_tradnl"/>
        </w:rPr>
        <w:tab/>
        <w:t>Servicios portadores</w:t>
      </w:r>
      <w:bookmarkEnd w:id="9"/>
      <w:bookmarkEnd w:id="10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Los servicios portadores ofrecidos son: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servicio de datos síncronos, asíncronos y por paquetes;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capacidad digital ilimitada a velocidades binarias específicas.</w:t>
      </w:r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lastRenderedPageBreak/>
        <w:t>En general</w:t>
      </w:r>
      <w:r>
        <w:rPr>
          <w:lang w:val="es-ES_tradnl"/>
        </w:rPr>
        <w:t>,</w:t>
      </w:r>
      <w:r w:rsidRPr="00A001A9">
        <w:rPr>
          <w:lang w:val="es-ES_tradnl"/>
        </w:rPr>
        <w:t xml:space="preserve"> no es posible la conexión de módems de banda vocal al trayecto vocal de las estaciones móviles. A través de los servicios portadores enumerados más arriba se puede proporcionar un servicio equivalente al ofrecido por la utilización de los módems de banda vocal en la RPTC o en la RDSI.</w:t>
      </w:r>
    </w:p>
    <w:p w:rsidR="00A04ECB" w:rsidRPr="00A001A9" w:rsidRDefault="00A04ECB" w:rsidP="00A04ECB">
      <w:pPr>
        <w:pStyle w:val="Heading2"/>
        <w:rPr>
          <w:lang w:val="es-ES_tradnl"/>
        </w:rPr>
      </w:pPr>
      <w:bookmarkStart w:id="11" w:name="_Toc391188758"/>
      <w:bookmarkStart w:id="12" w:name="_Toc119211464"/>
      <w:r w:rsidRPr="00A001A9">
        <w:rPr>
          <w:lang w:val="es-ES_tradnl"/>
        </w:rPr>
        <w:t>3.2</w:t>
      </w:r>
      <w:r w:rsidRPr="00A001A9">
        <w:rPr>
          <w:lang w:val="es-ES_tradnl"/>
        </w:rPr>
        <w:tab/>
        <w:t>Teleservicios</w:t>
      </w:r>
      <w:bookmarkEnd w:id="11"/>
      <w:bookmarkEnd w:id="12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Todos los SDCTMT admiten teleservicios de telefonía y facsímil. Algunos amplían la oferta de teleservicios con la inclusión del videotex, teletex, etc.</w:t>
      </w:r>
    </w:p>
    <w:p w:rsidR="00A04ECB" w:rsidRPr="00A001A9" w:rsidRDefault="00A04ECB" w:rsidP="00A04ECB">
      <w:pPr>
        <w:pStyle w:val="Heading2"/>
        <w:rPr>
          <w:lang w:val="es-ES_tradnl"/>
        </w:rPr>
      </w:pPr>
      <w:bookmarkStart w:id="13" w:name="_Toc391188759"/>
      <w:bookmarkStart w:id="14" w:name="_Toc119211465"/>
      <w:r w:rsidRPr="00A001A9">
        <w:rPr>
          <w:lang w:val="es-ES_tradnl"/>
        </w:rPr>
        <w:t>3.3</w:t>
      </w:r>
      <w:r w:rsidRPr="00A001A9">
        <w:rPr>
          <w:lang w:val="es-ES_tradnl"/>
        </w:rPr>
        <w:tab/>
        <w:t>Servicios suplementarios</w:t>
      </w:r>
      <w:bookmarkEnd w:id="13"/>
      <w:bookmarkEnd w:id="14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La gama de servicios suplementarios que admiten los SDCTMT varía en función del sistema y de su configuración particular.</w:t>
      </w:r>
    </w:p>
    <w:p w:rsidR="00A04ECB" w:rsidRPr="00A001A9" w:rsidRDefault="00A04ECB" w:rsidP="00A04ECB">
      <w:pPr>
        <w:pStyle w:val="Heading1"/>
        <w:rPr>
          <w:lang w:val="es-ES_tradnl"/>
        </w:rPr>
      </w:pPr>
      <w:bookmarkStart w:id="15" w:name="_Toc391188760"/>
      <w:bookmarkStart w:id="16" w:name="_Toc119211466"/>
      <w:r w:rsidRPr="00A001A9">
        <w:rPr>
          <w:lang w:val="es-ES_tradnl"/>
        </w:rPr>
        <w:t>4</w:t>
      </w:r>
      <w:r w:rsidRPr="00A001A9">
        <w:rPr>
          <w:lang w:val="es-ES_tradnl"/>
        </w:rPr>
        <w:tab/>
        <w:t>Arquitectura común de todos los sistemas digitales</w:t>
      </w:r>
      <w:bookmarkEnd w:id="15"/>
      <w:bookmarkEnd w:id="16"/>
    </w:p>
    <w:p w:rsidR="00A04ECB" w:rsidRPr="00A001A9" w:rsidRDefault="00A04ECB" w:rsidP="00A04ECB">
      <w:pPr>
        <w:pStyle w:val="Heading2"/>
        <w:rPr>
          <w:lang w:val="es-ES_tradnl"/>
        </w:rPr>
      </w:pPr>
      <w:bookmarkStart w:id="17" w:name="_Toc391188761"/>
      <w:bookmarkStart w:id="18" w:name="_Toc119211467"/>
      <w:r w:rsidRPr="00A001A9">
        <w:rPr>
          <w:lang w:val="es-ES_tradnl"/>
        </w:rPr>
        <w:t>4.1</w:t>
      </w:r>
      <w:r w:rsidRPr="00A001A9">
        <w:rPr>
          <w:lang w:val="es-ES_tradnl"/>
        </w:rPr>
        <w:tab/>
        <w:t>Distribución de las estaciones de base</w:t>
      </w:r>
      <w:bookmarkEnd w:id="17"/>
      <w:bookmarkEnd w:id="18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La distribución geográfica de las estaciones de base se organiza en torno a dos tipos de estructuras: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estructuras de células regulares que utilizan antenas omnidireccionales</w:t>
      </w:r>
      <w:r>
        <w:rPr>
          <w:lang w:val="es-ES_tradnl"/>
        </w:rPr>
        <w:t>;</w:t>
      </w:r>
      <w:r w:rsidRPr="00A001A9">
        <w:rPr>
          <w:lang w:val="es-ES_tradnl"/>
        </w:rPr>
        <w:t xml:space="preserve"> y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estructuras de células sectoriales que utilizan antenas direccionales.</w:t>
      </w:r>
    </w:p>
    <w:p w:rsidR="00A04ECB" w:rsidRPr="00A001A9" w:rsidRDefault="00A04ECB" w:rsidP="00A04ECB">
      <w:pPr>
        <w:pStyle w:val="Heading2"/>
        <w:rPr>
          <w:lang w:val="es-ES_tradnl"/>
        </w:rPr>
      </w:pPr>
      <w:bookmarkStart w:id="19" w:name="_Toc391188762"/>
      <w:bookmarkStart w:id="20" w:name="_Toc119211468"/>
      <w:r w:rsidRPr="00A001A9">
        <w:rPr>
          <w:lang w:val="es-ES_tradnl"/>
        </w:rPr>
        <w:t>4.2</w:t>
      </w:r>
      <w:r w:rsidRPr="00A001A9">
        <w:rPr>
          <w:lang w:val="es-ES_tradnl"/>
        </w:rPr>
        <w:tab/>
        <w:t>Diseño de los canales</w:t>
      </w:r>
      <w:bookmarkEnd w:id="19"/>
      <w:bookmarkEnd w:id="20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Para los SDCTMT se definen dos categorías básicas de canales: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canales de tráfico (CT) que se utilizan para transmisión de voz y datos (es decir, servicios portadores y tele</w:t>
      </w:r>
      <w:r w:rsidRPr="00A001A9">
        <w:rPr>
          <w:lang w:val="es-ES_tradnl"/>
        </w:rPr>
        <w:softHyphen/>
        <w:t>servicios);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canales de control (CC) que se utilizan a fines de señalización y control, incluida la transferencia.</w:t>
      </w:r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Los CC se subdividen a su vez en tres grandes tipos: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canales de control común (CCC) que se utilizan para radiobúsqueda, acceso aleatorio, etc.;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canales de control de radiodifusión (CCR), que se utilizan para mensajes de radiodifusión y de sincronización y para corrección de frecuencia;</w:t>
      </w:r>
    </w:p>
    <w:p w:rsidR="00A04ECB" w:rsidRPr="00A001A9" w:rsidRDefault="00A04ECB" w:rsidP="00A04ECB">
      <w:pPr>
        <w:pStyle w:val="enumlev1"/>
        <w:rPr>
          <w:lang w:val="es-ES_tradnl"/>
        </w:rPr>
      </w:pPr>
      <w:r w:rsidRPr="00A001A9">
        <w:rPr>
          <w:lang w:val="es-ES_tradnl"/>
        </w:rPr>
        <w:t>–</w:t>
      </w:r>
      <w:r w:rsidRPr="00A001A9">
        <w:rPr>
          <w:lang w:val="es-ES_tradnl"/>
        </w:rPr>
        <w:tab/>
        <w:t>canales de control asociados (CCA), que a su vez se pueden dividir en lentos y rápidos y proporcionan funciones de control y señalización a usuarios individuales.</w:t>
      </w:r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Algunos sistemas pueden definir también otros tipos de canales de control para aplicaciones particulares (por ejemplo, los canales de control específicos autónomos).</w:t>
      </w:r>
    </w:p>
    <w:p w:rsidR="00A04ECB" w:rsidRPr="00A001A9" w:rsidRDefault="00A04ECB" w:rsidP="00A04ECB">
      <w:pPr>
        <w:pStyle w:val="Heading2"/>
        <w:rPr>
          <w:lang w:val="es-ES_tradnl"/>
        </w:rPr>
      </w:pPr>
      <w:bookmarkStart w:id="21" w:name="_Toc391188763"/>
      <w:bookmarkStart w:id="22" w:name="_Toc119211469"/>
      <w:r w:rsidRPr="00A001A9">
        <w:rPr>
          <w:lang w:val="es-ES_tradnl"/>
        </w:rPr>
        <w:t>4.3</w:t>
      </w:r>
      <w:r w:rsidRPr="00A001A9">
        <w:rPr>
          <w:lang w:val="es-ES_tradnl"/>
        </w:rPr>
        <w:tab/>
        <w:t>Arquitectura de la red y asignación de funciones</w:t>
      </w:r>
      <w:bookmarkEnd w:id="21"/>
      <w:bookmarkEnd w:id="22"/>
    </w:p>
    <w:p w:rsidR="00A04ECB" w:rsidRDefault="00A04ECB" w:rsidP="00A04ECB">
      <w:pPr>
        <w:keepLines/>
        <w:rPr>
          <w:lang w:val="es-ES_tradnl"/>
        </w:rPr>
      </w:pPr>
      <w:r w:rsidRPr="00A001A9">
        <w:rPr>
          <w:lang w:val="es-ES_tradnl"/>
        </w:rPr>
        <w:t>La Fig. 1 muestra la arquitectura básica de un sistema SDCTMT, incluidos los principales componentes funcionales. Los protocolos de comunicación se especifican de conformidad con el modelo ISA de 7 capas, en tanto que la interfaz entre los centros móviles de conmutación (CMC) y las interfaces con la RDSI, la RPTC y la RPD se especifican de acuerdo con las Recomendaciones UIT</w:t>
      </w:r>
      <w:r w:rsidRPr="00A001A9">
        <w:rPr>
          <w:lang w:val="es-ES_tradnl"/>
        </w:rPr>
        <w:noBreakHyphen/>
        <w:t>T. El plan de numeración sigue también las Recomendaciones UIT</w:t>
      </w:r>
      <w:r w:rsidRPr="00A001A9">
        <w:rPr>
          <w:lang w:val="es-ES_tradnl"/>
        </w:rPr>
        <w:noBreakHyphen/>
        <w:t>T.</w:t>
      </w:r>
    </w:p>
    <w:p w:rsidR="00640BEB" w:rsidRDefault="00640BEB" w:rsidP="00640BEB">
      <w:pPr>
        <w:pStyle w:val="FigureNo"/>
        <w:rPr>
          <w:lang w:val="es-ES_tradnl"/>
        </w:rPr>
      </w:pPr>
      <w:r>
        <w:rPr>
          <w:lang w:val="es-ES_tradnl"/>
        </w:rPr>
        <w:t>figura 1</w:t>
      </w:r>
      <w:bookmarkStart w:id="23" w:name="_GoBack"/>
      <w:bookmarkEnd w:id="23"/>
    </w:p>
    <w:p w:rsidR="00640BEB" w:rsidRPr="00640BEB" w:rsidRDefault="00640BEB" w:rsidP="00640BEB">
      <w:pPr>
        <w:pStyle w:val="Figuretitle"/>
        <w:rPr>
          <w:lang w:val="es-ES_tradnl"/>
        </w:rPr>
      </w:pPr>
      <w:r>
        <w:rPr>
          <w:lang w:val="es-ES_tradnl"/>
        </w:rPr>
        <w:t>Arquitectura de red</w:t>
      </w:r>
    </w:p>
    <w:p w:rsidR="00A04ECB" w:rsidRDefault="00234328" w:rsidP="006D5979">
      <w:pPr>
        <w:pStyle w:val="Figure"/>
        <w:rPr>
          <w:lang w:val="es-ES_tradnl"/>
        </w:rPr>
      </w:pPr>
      <w:r>
        <w:rPr>
          <w:lang w:val="es-ES_tradnl"/>
        </w:rPr>
        <w:object w:dxaOrig="6638" w:dyaOrig="6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40.3pt;height:448.6pt" o:ole="">
            <v:imagedata r:id="rId12" o:title=""/>
          </v:shape>
          <o:OLEObject Type="Embed" ProgID="CorelDRAW.Graphic.14" ShapeID="_x0000_i1038" DrawAspect="Content" ObjectID="_1473595090" r:id="rId13"/>
        </w:object>
      </w:r>
    </w:p>
    <w:p w:rsidR="00A04ECB" w:rsidRPr="00A001A9" w:rsidRDefault="00A04ECB" w:rsidP="00A04ECB">
      <w:pPr>
        <w:pStyle w:val="Heading1"/>
        <w:rPr>
          <w:lang w:val="es-ES_tradnl"/>
        </w:rPr>
      </w:pPr>
      <w:bookmarkStart w:id="24" w:name="_Toc119211470"/>
      <w:r w:rsidRPr="00A001A9">
        <w:rPr>
          <w:lang w:val="es-ES_tradnl"/>
        </w:rPr>
        <w:t>5</w:t>
      </w:r>
      <w:r w:rsidRPr="00A001A9">
        <w:rPr>
          <w:lang w:val="es-ES_tradnl"/>
        </w:rPr>
        <w:tab/>
        <w:t>Incorporación de especificaciones elaboradas por otros organismos</w:t>
      </w:r>
      <w:bookmarkEnd w:id="24"/>
      <w:r w:rsidRPr="00A001A9">
        <w:rPr>
          <w:lang w:val="es-ES_tradnl"/>
        </w:rPr>
        <w:t xml:space="preserve"> </w:t>
      </w:r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>La normalización pormenorizada de las tecnologías que figura en esta Recomendación ha sido elaborada por organizaciones de normalización. Por consiguiente, en esta Recomendación se hace referencia a normas elaboradas por otros organismos.</w:t>
      </w:r>
    </w:p>
    <w:p w:rsidR="00A04ECB" w:rsidRPr="00A001A9" w:rsidRDefault="00A04ECB" w:rsidP="00A04ECB">
      <w:pPr>
        <w:pStyle w:val="Heading1"/>
        <w:rPr>
          <w:lang w:val="es-ES_tradnl"/>
        </w:rPr>
      </w:pPr>
      <w:bookmarkStart w:id="25" w:name="_Toc119211471"/>
      <w:r w:rsidRPr="00A001A9">
        <w:rPr>
          <w:lang w:val="es-ES_tradnl"/>
        </w:rPr>
        <w:t>6</w:t>
      </w:r>
      <w:r w:rsidRPr="00A001A9">
        <w:rPr>
          <w:lang w:val="es-ES_tradnl"/>
        </w:rPr>
        <w:tab/>
        <w:t>Sistemas celulares digitales y su perfeccionamiento</w:t>
      </w:r>
      <w:bookmarkEnd w:id="25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 xml:space="preserve">En las tres Regiones se han desarrollado sistemas inalámbricos digitales de gran capacidad. Cada uno de los sistemas que se describen a continuación se incorporan utilizando un simple puntero de referencia. En los siguientes </w:t>
      </w:r>
      <w:r>
        <w:rPr>
          <w:lang w:val="es-ES_tradnl"/>
        </w:rPr>
        <w:t>C</w:t>
      </w:r>
      <w:r w:rsidRPr="00A001A9">
        <w:rPr>
          <w:lang w:val="es-ES_tradnl"/>
        </w:rPr>
        <w:t>uadros figuran las referencias a estos sistemas.</w:t>
      </w:r>
    </w:p>
    <w:p w:rsidR="00A04ECB" w:rsidRPr="00A001A9" w:rsidRDefault="00A04ECB" w:rsidP="00B005C9">
      <w:pPr>
        <w:pStyle w:val="Heading2"/>
        <w:rPr>
          <w:lang w:val="es-ES_tradnl"/>
        </w:rPr>
      </w:pPr>
      <w:bookmarkStart w:id="26" w:name="_Toc119211472"/>
      <w:r w:rsidRPr="00A001A9">
        <w:rPr>
          <w:lang w:val="es-ES_tradnl"/>
        </w:rPr>
        <w:lastRenderedPageBreak/>
        <w:t>6.1</w:t>
      </w:r>
      <w:r w:rsidRPr="00A001A9">
        <w:rPr>
          <w:lang w:val="es-ES_tradnl"/>
        </w:rPr>
        <w:tab/>
        <w:t>GSM</w:t>
      </w:r>
      <w:bookmarkEnd w:id="26"/>
    </w:p>
    <w:p w:rsidR="00A04ECB" w:rsidRPr="00A001A9" w:rsidRDefault="00A04ECB" w:rsidP="00B005C9">
      <w:pPr>
        <w:keepNext/>
        <w:keepLines/>
        <w:rPr>
          <w:lang w:val="es-ES_tradnl"/>
        </w:rPr>
      </w:pPr>
      <w:r w:rsidRPr="00A001A9">
        <w:rPr>
          <w:lang w:val="es-ES_tradnl"/>
        </w:rPr>
        <w:t>En este enlace se describen las características de los GSM.</w:t>
      </w:r>
    </w:p>
    <w:p w:rsidR="00A04ECB" w:rsidRPr="00D067DF" w:rsidRDefault="00A04ECB" w:rsidP="00A04ECB">
      <w:pPr>
        <w:pStyle w:val="Blanc"/>
        <w:rPr>
          <w:lang w:val="es-ES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715"/>
        <w:gridCol w:w="1451"/>
        <w:gridCol w:w="1410"/>
        <w:gridCol w:w="1423"/>
        <w:gridCol w:w="1499"/>
        <w:gridCol w:w="2457"/>
      </w:tblGrid>
      <w:tr w:rsidR="00A04ECB" w:rsidTr="006F4688">
        <w:trPr>
          <w:jc w:val="center"/>
        </w:trPr>
        <w:tc>
          <w:tcPr>
            <w:tcW w:w="1424" w:type="dxa"/>
            <w:gridSpan w:val="2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484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Documento N</w:t>
            </w:r>
            <w:r>
              <w:rPr>
                <w:sz w:val="18"/>
                <w:szCs w:val="18"/>
              </w:rPr>
              <w:t>.</w:t>
            </w:r>
            <w:r w:rsidRPr="00E34A85">
              <w:rPr>
                <w:sz w:val="18"/>
                <w:szCs w:val="18"/>
              </w:rPr>
              <w:t>º</w:t>
            </w:r>
          </w:p>
        </w:tc>
        <w:tc>
          <w:tcPr>
            <w:tcW w:w="1442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Versión</w:t>
            </w:r>
          </w:p>
        </w:tc>
        <w:tc>
          <w:tcPr>
            <w:tcW w:w="1455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Situación</w:t>
            </w:r>
          </w:p>
        </w:tc>
        <w:tc>
          <w:tcPr>
            <w:tcW w:w="1533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Fecha de publicación</w:t>
            </w:r>
          </w:p>
        </w:tc>
        <w:tc>
          <w:tcPr>
            <w:tcW w:w="2517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Ubicación</w:t>
            </w:r>
          </w:p>
        </w:tc>
      </w:tr>
      <w:tr w:rsidR="00A04ECB" w:rsidTr="006F4688">
        <w:trPr>
          <w:jc w:val="center"/>
        </w:trPr>
        <w:tc>
          <w:tcPr>
            <w:tcW w:w="696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ETSI</w:t>
            </w:r>
          </w:p>
        </w:tc>
        <w:tc>
          <w:tcPr>
            <w:tcW w:w="1484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TS 102 338</w:t>
            </w:r>
          </w:p>
        </w:tc>
        <w:tc>
          <w:tcPr>
            <w:tcW w:w="1442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1.0.0</w:t>
            </w:r>
          </w:p>
        </w:tc>
        <w:tc>
          <w:tcPr>
            <w:tcW w:w="1455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Publicado</w:t>
            </w:r>
          </w:p>
        </w:tc>
        <w:tc>
          <w:tcPr>
            <w:tcW w:w="1533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Junio de 2004</w:t>
            </w:r>
          </w:p>
        </w:tc>
        <w:tc>
          <w:tcPr>
            <w:tcW w:w="2517" w:type="dxa"/>
            <w:vAlign w:val="center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hyperlink r:id="rId14" w:history="1">
              <w:r w:rsidRPr="00266F8E">
                <w:rPr>
                  <w:rStyle w:val="Hyperlink"/>
                  <w:sz w:val="18"/>
                  <w:szCs w:val="18"/>
                </w:rPr>
                <w:t>http://pda.etsi.org/exchangefolder/ts_102338v010000p.pdf</w:t>
              </w:r>
            </w:hyperlink>
          </w:p>
        </w:tc>
      </w:tr>
    </w:tbl>
    <w:p w:rsidR="00A04ECB" w:rsidRPr="00827D8C" w:rsidRDefault="00A04ECB" w:rsidP="00A04ECB">
      <w:pPr>
        <w:pStyle w:val="Tablefin"/>
        <w:rPr>
          <w:lang w:val="fr-FR"/>
        </w:rPr>
      </w:pPr>
    </w:p>
    <w:p w:rsidR="00A04ECB" w:rsidRPr="00A001A9" w:rsidRDefault="00A04ECB" w:rsidP="00A04ECB">
      <w:pPr>
        <w:pStyle w:val="Heading2"/>
        <w:rPr>
          <w:lang w:val="es-ES_tradnl"/>
        </w:rPr>
      </w:pPr>
      <w:bookmarkStart w:id="27" w:name="_Toc119211473"/>
      <w:r w:rsidRPr="00A001A9">
        <w:rPr>
          <w:lang w:val="es-ES_tradnl"/>
        </w:rPr>
        <w:t>6.2</w:t>
      </w:r>
      <w:r w:rsidRPr="00A001A9">
        <w:rPr>
          <w:lang w:val="es-ES_tradnl"/>
        </w:rPr>
        <w:tab/>
        <w:t xml:space="preserve">TIA/EIA-136 </w:t>
      </w:r>
      <w:r>
        <w:rPr>
          <w:lang w:val="es-ES_tradnl"/>
        </w:rPr>
        <w:t>TDMA</w:t>
      </w:r>
      <w:bookmarkEnd w:id="27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 xml:space="preserve">En este enlace se describen las características de la TIA/EIA-136 </w:t>
      </w:r>
      <w:r>
        <w:rPr>
          <w:lang w:val="es-ES_tradnl"/>
        </w:rPr>
        <w:t>TDMA.</w:t>
      </w:r>
    </w:p>
    <w:p w:rsidR="00A04ECB" w:rsidRPr="00E34A85" w:rsidRDefault="00A04ECB" w:rsidP="00A04ECB">
      <w:pPr>
        <w:pStyle w:val="Blanc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715"/>
        <w:gridCol w:w="1451"/>
        <w:gridCol w:w="1410"/>
        <w:gridCol w:w="1423"/>
        <w:gridCol w:w="1499"/>
        <w:gridCol w:w="2457"/>
      </w:tblGrid>
      <w:tr w:rsidR="00A04ECB" w:rsidTr="006F4688">
        <w:trPr>
          <w:jc w:val="center"/>
        </w:trPr>
        <w:tc>
          <w:tcPr>
            <w:tcW w:w="1399" w:type="dxa"/>
            <w:gridSpan w:val="2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451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Documento N</w:t>
            </w:r>
            <w:r>
              <w:rPr>
                <w:sz w:val="18"/>
                <w:szCs w:val="18"/>
              </w:rPr>
              <w:t>.</w:t>
            </w:r>
            <w:r w:rsidRPr="00E34A85">
              <w:rPr>
                <w:sz w:val="18"/>
                <w:szCs w:val="18"/>
              </w:rPr>
              <w:t>º</w:t>
            </w:r>
          </w:p>
        </w:tc>
        <w:tc>
          <w:tcPr>
            <w:tcW w:w="1410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Versión</w:t>
            </w:r>
          </w:p>
        </w:tc>
        <w:tc>
          <w:tcPr>
            <w:tcW w:w="1423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Situación</w:t>
            </w:r>
          </w:p>
        </w:tc>
        <w:tc>
          <w:tcPr>
            <w:tcW w:w="1499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Fecha de publicación</w:t>
            </w:r>
          </w:p>
        </w:tc>
        <w:tc>
          <w:tcPr>
            <w:tcW w:w="2457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Ubicación</w:t>
            </w:r>
          </w:p>
        </w:tc>
      </w:tr>
      <w:tr w:rsidR="00A04ECB" w:rsidTr="006F4688">
        <w:trPr>
          <w:jc w:val="center"/>
        </w:trPr>
        <w:tc>
          <w:tcPr>
            <w:tcW w:w="684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715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</w:rPr>
              <w:t>TIA</w:t>
            </w:r>
          </w:p>
        </w:tc>
        <w:tc>
          <w:tcPr>
            <w:tcW w:w="1451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</w:rPr>
              <w:t>TIA-136-000</w:t>
            </w:r>
          </w:p>
        </w:tc>
        <w:tc>
          <w:tcPr>
            <w:tcW w:w="1410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</w:rPr>
              <w:t xml:space="preserve">E </w:t>
            </w:r>
          </w:p>
        </w:tc>
        <w:tc>
          <w:tcPr>
            <w:tcW w:w="1423" w:type="dxa"/>
          </w:tcPr>
          <w:p w:rsidR="00A04ECB" w:rsidRPr="00E34A85" w:rsidRDefault="00A04ECB" w:rsidP="006F4688">
            <w:pPr>
              <w:pStyle w:val="Tabletext"/>
              <w:jc w:val="left"/>
              <w:rPr>
                <w:sz w:val="18"/>
                <w:szCs w:val="18"/>
              </w:rPr>
            </w:pPr>
            <w:r w:rsidRPr="00E34A85">
              <w:rPr>
                <w:sz w:val="18"/>
              </w:rPr>
              <w:t xml:space="preserve">Publicado en ANS </w:t>
            </w:r>
          </w:p>
        </w:tc>
        <w:tc>
          <w:tcPr>
            <w:tcW w:w="1499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</w:rPr>
              <w:t>14</w:t>
            </w:r>
            <w:r>
              <w:rPr>
                <w:sz w:val="18"/>
              </w:rPr>
              <w:t>-01-2004</w:t>
            </w:r>
          </w:p>
        </w:tc>
        <w:tc>
          <w:tcPr>
            <w:tcW w:w="2457" w:type="dxa"/>
            <w:vAlign w:val="center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hyperlink r:id="rId15" w:history="1">
              <w:r w:rsidRPr="00827D8C">
                <w:rPr>
                  <w:rStyle w:val="Hyperlink"/>
                  <w:sz w:val="18"/>
                </w:rPr>
                <w:t>http://ftp.tiaonline.org/uwc136/136-000-E.pdf</w:t>
              </w:r>
            </w:hyperlink>
          </w:p>
        </w:tc>
      </w:tr>
    </w:tbl>
    <w:p w:rsidR="00A04ECB" w:rsidRPr="00827D8C" w:rsidRDefault="00A04ECB" w:rsidP="00A04ECB">
      <w:pPr>
        <w:pStyle w:val="Tablefin"/>
        <w:rPr>
          <w:lang w:val="fr-FR"/>
        </w:rPr>
      </w:pPr>
    </w:p>
    <w:p w:rsidR="00A04ECB" w:rsidRPr="00A001A9" w:rsidRDefault="00A04ECB" w:rsidP="00A04ECB">
      <w:pPr>
        <w:pStyle w:val="Heading2"/>
        <w:rPr>
          <w:lang w:val="es-ES_tradnl"/>
        </w:rPr>
      </w:pPr>
      <w:bookmarkStart w:id="28" w:name="_Toc119211474"/>
      <w:r w:rsidRPr="00A001A9">
        <w:rPr>
          <w:lang w:val="es-ES_tradnl"/>
        </w:rPr>
        <w:t>6.3</w:t>
      </w:r>
      <w:r w:rsidRPr="00A001A9">
        <w:rPr>
          <w:lang w:val="es-ES_tradnl"/>
        </w:rPr>
        <w:tab/>
        <w:t xml:space="preserve">TIA/EIA-95 </w:t>
      </w:r>
      <w:r>
        <w:rPr>
          <w:lang w:val="es-ES_tradnl"/>
        </w:rPr>
        <w:t>CDMA</w:t>
      </w:r>
      <w:bookmarkEnd w:id="28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 xml:space="preserve">En este enlace se describen las características de la TIA/EIA-95 </w:t>
      </w:r>
      <w:r>
        <w:rPr>
          <w:lang w:val="es-ES_tradnl"/>
        </w:rPr>
        <w:t>CDMA.</w:t>
      </w:r>
    </w:p>
    <w:p w:rsidR="00A04ECB" w:rsidRPr="00D067DF" w:rsidRDefault="00A04ECB" w:rsidP="00A04ECB">
      <w:pPr>
        <w:pStyle w:val="Blanc"/>
        <w:rPr>
          <w:lang w:val="es-ES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715"/>
        <w:gridCol w:w="1451"/>
        <w:gridCol w:w="1410"/>
        <w:gridCol w:w="1423"/>
        <w:gridCol w:w="1499"/>
        <w:gridCol w:w="2457"/>
      </w:tblGrid>
      <w:tr w:rsidR="00A04ECB" w:rsidTr="006F4688">
        <w:trPr>
          <w:jc w:val="center"/>
        </w:trPr>
        <w:tc>
          <w:tcPr>
            <w:tcW w:w="1424" w:type="dxa"/>
            <w:gridSpan w:val="2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484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Documento N</w:t>
            </w:r>
            <w:r>
              <w:rPr>
                <w:sz w:val="18"/>
                <w:szCs w:val="18"/>
              </w:rPr>
              <w:t>.</w:t>
            </w:r>
            <w:r w:rsidRPr="00E34A85">
              <w:rPr>
                <w:sz w:val="18"/>
                <w:szCs w:val="18"/>
              </w:rPr>
              <w:t>º</w:t>
            </w:r>
          </w:p>
        </w:tc>
        <w:tc>
          <w:tcPr>
            <w:tcW w:w="1442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Versión</w:t>
            </w:r>
          </w:p>
        </w:tc>
        <w:tc>
          <w:tcPr>
            <w:tcW w:w="1455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Situación</w:t>
            </w:r>
          </w:p>
        </w:tc>
        <w:tc>
          <w:tcPr>
            <w:tcW w:w="1533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Fecha de publicación</w:t>
            </w:r>
          </w:p>
        </w:tc>
        <w:tc>
          <w:tcPr>
            <w:tcW w:w="2517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Ubicación</w:t>
            </w:r>
          </w:p>
        </w:tc>
      </w:tr>
      <w:tr w:rsidR="00A04ECB" w:rsidTr="006F4688">
        <w:trPr>
          <w:jc w:val="center"/>
        </w:trPr>
        <w:tc>
          <w:tcPr>
            <w:tcW w:w="696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</w:rPr>
              <w:t>TIA</w:t>
            </w:r>
          </w:p>
        </w:tc>
        <w:tc>
          <w:tcPr>
            <w:tcW w:w="1484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</w:rPr>
              <w:t>TIA-2000.000</w:t>
            </w:r>
          </w:p>
        </w:tc>
        <w:tc>
          <w:tcPr>
            <w:tcW w:w="1442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</w:rPr>
              <w:t>1.0</w:t>
            </w:r>
          </w:p>
        </w:tc>
        <w:tc>
          <w:tcPr>
            <w:tcW w:w="1455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Publicado</w:t>
            </w:r>
          </w:p>
        </w:tc>
        <w:tc>
          <w:tcPr>
            <w:tcW w:w="1533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>
              <w:rPr>
                <w:sz w:val="18"/>
              </w:rPr>
              <w:t>06-</w:t>
            </w:r>
            <w:r w:rsidRPr="00E34A85">
              <w:rPr>
                <w:sz w:val="18"/>
              </w:rPr>
              <w:t>2004</w:t>
            </w:r>
          </w:p>
        </w:tc>
        <w:tc>
          <w:tcPr>
            <w:tcW w:w="2517" w:type="dxa"/>
            <w:vAlign w:val="center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hyperlink r:id="rId16" w:history="1">
              <w:r w:rsidRPr="00827D8C">
                <w:rPr>
                  <w:rStyle w:val="Hyperlink"/>
                  <w:sz w:val="18"/>
                </w:rPr>
                <w:t>http://ftp.tiaonline.org/TR-45/TR455/Public/ITUM1073/TIA-2000.00_CDMA_List%20of%20Stds.doc</w:t>
              </w:r>
            </w:hyperlink>
          </w:p>
        </w:tc>
      </w:tr>
    </w:tbl>
    <w:p w:rsidR="00A04ECB" w:rsidRPr="00827D8C" w:rsidRDefault="00A04ECB" w:rsidP="00A04ECB">
      <w:pPr>
        <w:pStyle w:val="Tablefin"/>
        <w:rPr>
          <w:lang w:val="fr-FR"/>
        </w:rPr>
      </w:pPr>
    </w:p>
    <w:p w:rsidR="00A04ECB" w:rsidRPr="00A001A9" w:rsidRDefault="00A04ECB" w:rsidP="00A04ECB">
      <w:pPr>
        <w:pStyle w:val="Heading2"/>
        <w:rPr>
          <w:lang w:val="es-ES_tradnl"/>
        </w:rPr>
      </w:pPr>
      <w:bookmarkStart w:id="29" w:name="_Toc119211475"/>
      <w:r w:rsidRPr="00A001A9">
        <w:rPr>
          <w:lang w:val="es-ES_tradnl"/>
        </w:rPr>
        <w:t>6.4</w:t>
      </w:r>
      <w:r w:rsidRPr="00A001A9">
        <w:rPr>
          <w:lang w:val="es-ES_tradnl"/>
        </w:rPr>
        <w:tab/>
        <w:t>Comunicaciones personales digitales (PDC)</w:t>
      </w:r>
      <w:bookmarkEnd w:id="29"/>
    </w:p>
    <w:p w:rsidR="00A04ECB" w:rsidRPr="00A001A9" w:rsidRDefault="00A04ECB" w:rsidP="00A04ECB">
      <w:pPr>
        <w:rPr>
          <w:lang w:val="es-ES_tradnl"/>
        </w:rPr>
      </w:pPr>
      <w:r w:rsidRPr="00A001A9">
        <w:rPr>
          <w:lang w:val="es-ES_tradnl"/>
        </w:rPr>
        <w:t xml:space="preserve">En este enlace se describen las características de las </w:t>
      </w:r>
      <w:r>
        <w:rPr>
          <w:lang w:val="es-ES_tradnl"/>
        </w:rPr>
        <w:t>PDC</w:t>
      </w:r>
      <w:r w:rsidRPr="00A001A9">
        <w:rPr>
          <w:lang w:val="es-ES_tradnl"/>
        </w:rPr>
        <w:t>.</w:t>
      </w:r>
    </w:p>
    <w:p w:rsidR="00A04ECB" w:rsidRPr="00827D8C" w:rsidRDefault="00A04ECB" w:rsidP="00A04ECB">
      <w:pPr>
        <w:pStyle w:val="Blanc"/>
        <w:rPr>
          <w:lang w:val="es-ES_tradnl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715"/>
        <w:gridCol w:w="1451"/>
        <w:gridCol w:w="1410"/>
        <w:gridCol w:w="1423"/>
        <w:gridCol w:w="1499"/>
        <w:gridCol w:w="2457"/>
      </w:tblGrid>
      <w:tr w:rsidR="00A04ECB" w:rsidTr="006F4688">
        <w:trPr>
          <w:jc w:val="center"/>
        </w:trPr>
        <w:tc>
          <w:tcPr>
            <w:tcW w:w="1424" w:type="dxa"/>
            <w:gridSpan w:val="2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484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Documento N</w:t>
            </w:r>
            <w:r>
              <w:rPr>
                <w:sz w:val="18"/>
                <w:szCs w:val="18"/>
              </w:rPr>
              <w:t>.</w:t>
            </w:r>
            <w:r w:rsidRPr="00E34A85">
              <w:rPr>
                <w:sz w:val="18"/>
                <w:szCs w:val="18"/>
              </w:rPr>
              <w:t>º</w:t>
            </w:r>
          </w:p>
        </w:tc>
        <w:tc>
          <w:tcPr>
            <w:tcW w:w="1442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Versión</w:t>
            </w:r>
          </w:p>
        </w:tc>
        <w:tc>
          <w:tcPr>
            <w:tcW w:w="1455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Situación</w:t>
            </w:r>
          </w:p>
        </w:tc>
        <w:tc>
          <w:tcPr>
            <w:tcW w:w="1533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Fecha de publicación</w:t>
            </w:r>
          </w:p>
        </w:tc>
        <w:tc>
          <w:tcPr>
            <w:tcW w:w="2517" w:type="dxa"/>
          </w:tcPr>
          <w:p w:rsidR="00A04ECB" w:rsidRPr="00E34A85" w:rsidRDefault="00A04ECB" w:rsidP="006F4688">
            <w:pPr>
              <w:pStyle w:val="Tablehead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Ubicación</w:t>
            </w:r>
          </w:p>
        </w:tc>
      </w:tr>
      <w:tr w:rsidR="00A04ECB" w:rsidTr="006F4688">
        <w:trPr>
          <w:jc w:val="center"/>
        </w:trPr>
        <w:tc>
          <w:tcPr>
            <w:tcW w:w="696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8E6681">
              <w:rPr>
                <w:sz w:val="18"/>
                <w:lang w:val="en-US"/>
              </w:rPr>
              <w:t>ARIB</w:t>
            </w:r>
          </w:p>
        </w:tc>
        <w:tc>
          <w:tcPr>
            <w:tcW w:w="1484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8E6681">
              <w:rPr>
                <w:sz w:val="18"/>
                <w:lang w:val="en-US"/>
              </w:rPr>
              <w:t>RCR STD-27</w:t>
            </w:r>
          </w:p>
        </w:tc>
        <w:tc>
          <w:tcPr>
            <w:tcW w:w="1442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1455" w:type="dxa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r w:rsidRPr="00E34A85">
              <w:rPr>
                <w:sz w:val="18"/>
                <w:szCs w:val="18"/>
              </w:rPr>
              <w:t>Publicado</w:t>
            </w:r>
          </w:p>
        </w:tc>
        <w:tc>
          <w:tcPr>
            <w:tcW w:w="1533" w:type="dxa"/>
          </w:tcPr>
          <w:p w:rsidR="00A04ECB" w:rsidRPr="00E34A85" w:rsidRDefault="00A04ECB" w:rsidP="006F4688">
            <w:pPr>
              <w:pStyle w:val="Tabletext"/>
              <w:jc w:val="left"/>
              <w:rPr>
                <w:sz w:val="18"/>
                <w:szCs w:val="18"/>
              </w:rPr>
            </w:pPr>
            <w:r>
              <w:rPr>
                <w:sz w:val="18"/>
              </w:rPr>
              <w:t>Noviembre</w:t>
            </w:r>
            <w:r w:rsidRPr="008E6681">
              <w:rPr>
                <w:sz w:val="18"/>
              </w:rPr>
              <w:t xml:space="preserve"> de 200</w:t>
            </w:r>
            <w:r>
              <w:rPr>
                <w:sz w:val="18"/>
              </w:rPr>
              <w:t>5</w:t>
            </w:r>
          </w:p>
        </w:tc>
        <w:tc>
          <w:tcPr>
            <w:tcW w:w="2517" w:type="dxa"/>
            <w:vAlign w:val="center"/>
          </w:tcPr>
          <w:p w:rsidR="00A04ECB" w:rsidRPr="00E34A85" w:rsidRDefault="00A04ECB" w:rsidP="006F4688">
            <w:pPr>
              <w:pStyle w:val="Tabletext"/>
              <w:rPr>
                <w:sz w:val="18"/>
                <w:szCs w:val="18"/>
              </w:rPr>
            </w:pPr>
            <w:hyperlink r:id="rId17" w:history="1">
              <w:r w:rsidRPr="00A7764A">
                <w:rPr>
                  <w:rStyle w:val="Hyperlink"/>
                  <w:sz w:val="18"/>
                  <w:szCs w:val="18"/>
                  <w:lang w:eastAsia="ja-JP"/>
                </w:rPr>
                <w:t>http://www.arib.or.jp/english/html/overview/doc/5-STD-27_L-1p3-E.pdf</w:t>
              </w:r>
            </w:hyperlink>
            <w:r w:rsidRPr="00266F8E">
              <w:rPr>
                <w:color w:val="FF0000"/>
                <w:sz w:val="18"/>
                <w:szCs w:val="18"/>
                <w:u w:val="single"/>
                <w:lang w:eastAsia="ja-JP"/>
              </w:rPr>
              <w:t xml:space="preserve"> </w:t>
            </w:r>
            <w:r w:rsidRPr="00266F8E">
              <w:rPr>
                <w:color w:val="FF0000"/>
              </w:rPr>
              <w:t xml:space="preserve"> </w:t>
            </w:r>
            <w:hyperlink r:id="rId18" w:history="1">
              <w:r w:rsidRPr="00A7764A">
                <w:rPr>
                  <w:rStyle w:val="Hyperlink"/>
                  <w:sz w:val="18"/>
                  <w:szCs w:val="18"/>
                  <w:lang w:eastAsia="ja-JP"/>
                </w:rPr>
                <w:t>http://www.arib.or.jp/english/html/overview/doc/5-STD-27_L-2p3-E.pdf</w:t>
              </w:r>
            </w:hyperlink>
            <w:r w:rsidRPr="00266F8E" w:rsidDel="00DC20E4">
              <w:rPr>
                <w:color w:val="FF0000"/>
                <w:sz w:val="18"/>
                <w:szCs w:val="18"/>
                <w:u w:val="single"/>
                <w:lang w:eastAsia="ja-JP"/>
              </w:rPr>
              <w:t xml:space="preserve"> </w:t>
            </w:r>
            <w:r w:rsidRPr="00266F8E">
              <w:rPr>
                <w:color w:val="FF0000"/>
              </w:rPr>
              <w:t xml:space="preserve"> </w:t>
            </w:r>
            <w:hyperlink r:id="rId19" w:history="1">
              <w:r w:rsidRPr="00A7764A">
                <w:rPr>
                  <w:rStyle w:val="Hyperlink"/>
                  <w:sz w:val="18"/>
                  <w:szCs w:val="18"/>
                  <w:lang w:eastAsia="ja-JP"/>
                </w:rPr>
                <w:t>http://www.arib.or.jp/english/html/overview/doc/5-STD-27_L-3p3-E.pdf</w:t>
              </w:r>
            </w:hyperlink>
          </w:p>
        </w:tc>
      </w:tr>
    </w:tbl>
    <w:p w:rsidR="00A04ECB" w:rsidRDefault="00A04ECB" w:rsidP="00A04ECB">
      <w:pPr>
        <w:pStyle w:val="Tablefin"/>
        <w:rPr>
          <w:lang w:val="fr-FR"/>
        </w:rPr>
      </w:pPr>
    </w:p>
    <w:p w:rsidR="00B005C9" w:rsidRPr="00B005C9" w:rsidRDefault="00B005C9" w:rsidP="00B005C9"/>
    <w:p w:rsidR="00A04ECB" w:rsidRPr="00827D8C" w:rsidRDefault="00A04ECB" w:rsidP="00A04ECB">
      <w:pPr>
        <w:pStyle w:val="Line"/>
        <w:rPr>
          <w:lang w:val="fr-FR"/>
        </w:rPr>
      </w:pPr>
    </w:p>
    <w:p w:rsidR="00A04ECB" w:rsidRPr="00A82A50" w:rsidRDefault="00A04ECB" w:rsidP="00A04ECB">
      <w:pPr>
        <w:pStyle w:val="RecNo"/>
        <w:spacing w:before="0"/>
      </w:pPr>
    </w:p>
    <w:sectPr w:rsidR="00A04ECB" w:rsidRPr="00A82A50" w:rsidSect="00F815D5">
      <w:headerReference w:type="even" r:id="rId20"/>
      <w:headerReference w:type="defaul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ECB" w:rsidRDefault="00A04ECB">
      <w:r>
        <w:separator/>
      </w:r>
    </w:p>
  </w:endnote>
  <w:endnote w:type="continuationSeparator" w:id="0">
    <w:p w:rsidR="00A04ECB" w:rsidRDefault="00A04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ECB" w:rsidRDefault="00A04ECB">
      <w:r>
        <w:separator/>
      </w:r>
    </w:p>
  </w:footnote>
  <w:footnote w:type="continuationSeparator" w:id="0">
    <w:p w:rsidR="00A04ECB" w:rsidRDefault="00A04E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ECB" w:rsidRDefault="00A04ECB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ECB" w:rsidRDefault="00A04ECB" w:rsidP="00CB1354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D1ADA35" wp14:editId="1A320F7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ECB" w:rsidRDefault="00A04ECB" w:rsidP="001B395D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40BEB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640BEB" w:rsidRPr="00640BEB">
      <w:rPr>
        <w:b/>
        <w:bCs/>
      </w:rPr>
      <w:t xml:space="preserve">Rec. </w:t>
    </w:r>
    <w:r>
      <w:rPr>
        <w:b/>
        <w:bCs/>
      </w:rPr>
      <w:fldChar w:fldCharType="end"/>
    </w:r>
    <w:r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640BEB">
      <w:rPr>
        <w:b/>
        <w:bCs/>
        <w:noProof/>
      </w:rPr>
      <w:t>UIT-R  M.1073-3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ECB" w:rsidRDefault="00A04ECB"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640BEB" w:rsidRPr="00640BEB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40BEB">
      <w:rPr>
        <w:b/>
        <w:bCs/>
        <w:noProof/>
      </w:rPr>
      <w:t>UIT-R  M.1073-3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40BEB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640BEB" w:rsidRPr="00640BEB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640BEB">
      <w:rPr>
        <w:b/>
        <w:bCs/>
        <w:noProof/>
      </w:rPr>
      <w:t>UIT-R  M.1073-3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r w:rsidR="00640BEB">
      <w:fldChar w:fldCharType="begin"/>
    </w:r>
    <w:r w:rsidR="00640BEB">
      <w:instrText xml:space="preserve"> DOCPROPERTY "Header" \* MERGEFORMAT </w:instrText>
    </w:r>
    <w:r w:rsidR="00640BEB">
      <w:fldChar w:fldCharType="separate"/>
    </w:r>
    <w:r w:rsidR="00640BEB" w:rsidRPr="00640BEB">
      <w:rPr>
        <w:b/>
        <w:bCs/>
      </w:rPr>
      <w:t xml:space="preserve">Rec. </w:t>
    </w:r>
    <w:r w:rsidR="00640BE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40BEB">
      <w:rPr>
        <w:b/>
        <w:bCs/>
        <w:noProof/>
      </w:rPr>
      <w:t>UIT-R  M.1073-3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40BEB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ECB"/>
    <w:rsid w:val="00217EBF"/>
    <w:rsid w:val="00234328"/>
    <w:rsid w:val="00242AEE"/>
    <w:rsid w:val="002B6A00"/>
    <w:rsid w:val="002D76C4"/>
    <w:rsid w:val="0052529D"/>
    <w:rsid w:val="00561D4E"/>
    <w:rsid w:val="00607D68"/>
    <w:rsid w:val="00640BEB"/>
    <w:rsid w:val="006D5979"/>
    <w:rsid w:val="006F02C9"/>
    <w:rsid w:val="007468DA"/>
    <w:rsid w:val="007975D2"/>
    <w:rsid w:val="009E00A8"/>
    <w:rsid w:val="00A04ECB"/>
    <w:rsid w:val="00A6617B"/>
    <w:rsid w:val="00AB0DC8"/>
    <w:rsid w:val="00B005C9"/>
    <w:rsid w:val="00B44E24"/>
    <w:rsid w:val="00DF4176"/>
    <w:rsid w:val="00F815D5"/>
    <w:rsid w:val="00FE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E97973C-5F0F-40D7-BF24-BCF66B09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EC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A04ECB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A04ECB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A04ECB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A04ECB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A04ECB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A04ECB"/>
    <w:rPr>
      <w:caps/>
      <w:sz w:val="18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640BEB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40BEB"/>
    <w:rPr>
      <w:rFonts w:ascii="Segoe UI" w:hAnsi="Segoe UI" w:cs="Segoe UI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://www.arib.or.jp/english/html/overview/doc/5-STD-27_L-2p3-E.pdf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6.xml"/><Relationship Id="rId7" Type="http://schemas.openxmlformats.org/officeDocument/2006/relationships/header" Target="header2.xml"/><Relationship Id="rId12" Type="http://schemas.openxmlformats.org/officeDocument/2006/relationships/image" Target="media/image2.emf"/><Relationship Id="rId17" Type="http://schemas.openxmlformats.org/officeDocument/2006/relationships/hyperlink" Target="http://www.arib.or.jp/english/html/overview/doc/5-STD-27_L-1p3-E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ftp.tiaonline.org/TR-45/TR455/Public/ITUM1073/TIA-2000.00_CDMA_List%20of%20Stds.doc" TargetMode="External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yperlink" Target="http://ftp.tiaonline.org/uwc136/136-000-E.pdf" TargetMode="External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yperlink" Target="http://www.arib.or.jp/english/html/overview/doc/5-STD-27_L-3p3-E.pd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hyperlink" Target="http://pda.etsi.org/exchangefolder/ts_102338v010000p.pdf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52</TotalTime>
  <Pages>7</Pages>
  <Words>1619</Words>
  <Characters>10769</Characters>
  <Application>Microsoft Office Word</Application>
  <DocSecurity>0</DocSecurity>
  <Lines>89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Catalano Moreira, Rossana</dc:creator>
  <cp:keywords/>
  <dc:description/>
  <cp:lastModifiedBy>Catalano Moreira, Rossana</cp:lastModifiedBy>
  <cp:revision>11</cp:revision>
  <cp:lastPrinted>2014-09-30T12:46:00Z</cp:lastPrinted>
  <dcterms:created xsi:type="dcterms:W3CDTF">2014-09-30T11:52:00Z</dcterms:created>
  <dcterms:modified xsi:type="dcterms:W3CDTF">2014-09-30T13:02:00Z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