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A60F9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A60F92">
              <w:rPr>
                <w:rFonts w:ascii="Tahoma" w:hAnsi="Tahoma" w:cs="Tahoma"/>
                <w:b/>
                <w:bCs/>
                <w:iCs/>
                <w:color w:val="243285"/>
                <w:sz w:val="36"/>
                <w:szCs w:val="36"/>
              </w:rPr>
              <w:t>1073-3</w:t>
            </w:r>
          </w:p>
          <w:p w:rsidR="00FE79FE" w:rsidRPr="004F65E4" w:rsidRDefault="00FE79FE" w:rsidP="00A60F9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60F92">
              <w:rPr>
                <w:rFonts w:ascii="Tahoma" w:hAnsi="Tahoma" w:cs="Tahoma"/>
                <w:b/>
                <w:bCs/>
                <w:iCs/>
                <w:color w:val="243285"/>
                <w:szCs w:val="24"/>
              </w:rPr>
              <w:t>03</w:t>
            </w:r>
            <w:r w:rsidRPr="004F65E4">
              <w:rPr>
                <w:rFonts w:ascii="Tahoma" w:hAnsi="Tahoma" w:cs="Tahoma"/>
                <w:b/>
                <w:bCs/>
                <w:iCs/>
                <w:color w:val="243285"/>
                <w:szCs w:val="24"/>
              </w:rPr>
              <w:t>/</w:t>
            </w:r>
            <w:r w:rsidR="00A60F92">
              <w:rPr>
                <w:rFonts w:ascii="Tahoma" w:hAnsi="Tahoma" w:cs="Tahoma"/>
                <w:b/>
                <w:bCs/>
                <w:iCs/>
                <w:color w:val="243285"/>
                <w:szCs w:val="24"/>
              </w:rPr>
              <w:t>2012</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A60F92" w:rsidP="005D045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Digital cellular land mobile telecommunication systems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Default="00FD15CF" w:rsidP="00FD15CF">
            <w:pPr>
              <w:spacing w:before="80" w:line="280" w:lineRule="exact"/>
              <w:ind w:right="640"/>
              <w:rPr>
                <w:rFonts w:ascii="Tahoma" w:hAnsi="Tahoma" w:cs="Tahoma"/>
                <w:b/>
                <w:bCs/>
                <w:iCs/>
                <w:color w:val="243285"/>
                <w:sz w:val="32"/>
                <w:szCs w:val="32"/>
                <w:lang w:val="es-ES_tradnl"/>
              </w:rPr>
            </w:pPr>
          </w:p>
          <w:p w:rsidR="00FD15CF" w:rsidRDefault="00FD15CF" w:rsidP="00FD15CF">
            <w:pPr>
              <w:spacing w:before="80" w:after="180" w:line="360" w:lineRule="exact"/>
              <w:ind w:right="720"/>
              <w:rPr>
                <w:rFonts w:ascii="Tahoma" w:hAnsi="Tahoma" w:cs="Tahoma"/>
                <w:b/>
                <w:bCs/>
                <w:iCs/>
                <w:color w:val="243285"/>
                <w:sz w:val="36"/>
                <w:szCs w:val="36"/>
                <w:lang w:val="es-ES_tradnl"/>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55287">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55287"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55287"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5528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55287">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A60F92" w:rsidP="00A60F9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1073-3</w:t>
      </w:r>
    </w:p>
    <w:p w:rsidR="00A60F92" w:rsidRPr="00855287" w:rsidRDefault="00A60F92" w:rsidP="00A60F92">
      <w:pPr>
        <w:pStyle w:val="Rectitle"/>
        <w:rPr>
          <w:lang w:val="en-US"/>
        </w:rPr>
      </w:pPr>
      <w:r w:rsidRPr="00855287">
        <w:rPr>
          <w:lang w:val="en-US"/>
        </w:rPr>
        <w:t>Digital cellular land mobile telecommunication systems</w:t>
      </w:r>
    </w:p>
    <w:p w:rsidR="00A60F92" w:rsidRPr="00855287" w:rsidRDefault="00A60F92" w:rsidP="00A60F92">
      <w:pPr>
        <w:pStyle w:val="Recdate"/>
        <w:rPr>
          <w:lang w:val="en-US"/>
        </w:rPr>
      </w:pPr>
    </w:p>
    <w:p w:rsidR="00A60F92" w:rsidRPr="00A60F92" w:rsidRDefault="00A60F92" w:rsidP="00A60F92">
      <w:pPr>
        <w:pStyle w:val="Recdate"/>
        <w:rPr>
          <w:lang w:val="en-US"/>
        </w:rPr>
      </w:pPr>
      <w:r w:rsidRPr="00A60F92">
        <w:rPr>
          <w:lang w:val="en-US"/>
        </w:rPr>
        <w:t>(1994-1997-2005-2012)</w:t>
      </w:r>
    </w:p>
    <w:p w:rsidR="00A60F92" w:rsidRPr="00A7764A" w:rsidRDefault="00A60F92" w:rsidP="00A60F92">
      <w:pPr>
        <w:pStyle w:val="HeadingSum"/>
        <w:rPr>
          <w:sz w:val="22"/>
          <w:lang w:val="en-GB"/>
        </w:rPr>
      </w:pPr>
      <w:bookmarkStart w:id="3" w:name="_Toc391188345"/>
      <w:r w:rsidRPr="00A7764A">
        <w:rPr>
          <w:sz w:val="22"/>
          <w:lang w:val="en-GB"/>
        </w:rPr>
        <w:t>Scope</w:t>
      </w:r>
    </w:p>
    <w:bookmarkEnd w:id="3"/>
    <w:p w:rsidR="00A60F92" w:rsidRPr="00A7764A" w:rsidRDefault="00A60F92" w:rsidP="00A7764A">
      <w:pPr>
        <w:pStyle w:val="Summary"/>
        <w:rPr>
          <w:sz w:val="22"/>
          <w:lang w:val="en-GB"/>
        </w:rPr>
      </w:pPr>
      <w:r w:rsidRPr="00A7764A">
        <w:rPr>
          <w:sz w:val="22"/>
          <w:lang w:val="en-GB"/>
        </w:rPr>
        <w:t>This Recommendation recommends the technical and operational characteristics of digital cellular land mobile telecommunication systems for international and regional use. By providing associated references to the specifications for each technology, the Recommendation provides guidance for administrations evaluating various cellular systems for their intended applications.</w:t>
      </w:r>
    </w:p>
    <w:p w:rsidR="00A60F92" w:rsidRPr="00A60F92" w:rsidRDefault="00A60F92" w:rsidP="00A60F92">
      <w:pPr>
        <w:pStyle w:val="Normalaftertitle"/>
        <w:rPr>
          <w:lang w:val="en-US"/>
        </w:rPr>
      </w:pPr>
      <w:r w:rsidRPr="00A60F92">
        <w:rPr>
          <w:lang w:val="en-US"/>
        </w:rPr>
        <w:t>The ITU Radiocommunication Assembly,</w:t>
      </w:r>
    </w:p>
    <w:p w:rsidR="00A60F92" w:rsidRPr="00A60F92" w:rsidRDefault="00A60F92" w:rsidP="00A60F92">
      <w:pPr>
        <w:pStyle w:val="Call"/>
        <w:rPr>
          <w:lang w:val="en-US"/>
        </w:rPr>
      </w:pPr>
      <w:r w:rsidRPr="00A60F92">
        <w:rPr>
          <w:lang w:val="en-US"/>
        </w:rPr>
        <w:t>considering</w:t>
      </w:r>
    </w:p>
    <w:p w:rsidR="00A60F92" w:rsidRPr="00A60F92" w:rsidRDefault="00A60F92" w:rsidP="00A60F92">
      <w:pPr>
        <w:rPr>
          <w:lang w:val="en-US"/>
        </w:rPr>
      </w:pPr>
      <w:r w:rsidRPr="00A60F92">
        <w:rPr>
          <w:lang w:val="en-US"/>
        </w:rPr>
        <w:t>a)</w:t>
      </w:r>
      <w:r w:rsidRPr="00A60F92">
        <w:rPr>
          <w:lang w:val="en-US"/>
        </w:rPr>
        <w:tab/>
        <w:t>that digital signals in various formats are being used to improve the communications efficiency of the land mobile service;</w:t>
      </w:r>
    </w:p>
    <w:p w:rsidR="00A60F92" w:rsidRPr="00A60F92" w:rsidRDefault="00A60F92" w:rsidP="00A60F92">
      <w:pPr>
        <w:rPr>
          <w:lang w:val="en-US"/>
        </w:rPr>
      </w:pPr>
      <w:r w:rsidRPr="00A60F92">
        <w:rPr>
          <w:lang w:val="en-US"/>
        </w:rPr>
        <w:t>b)</w:t>
      </w:r>
      <w:r w:rsidRPr="00A60F92">
        <w:rPr>
          <w:lang w:val="en-US"/>
        </w:rPr>
        <w:tab/>
        <w:t>that digital transmission systems which are not compatible with existing land mobile systems should also be considered, including the transmission of digitally encoded speech signals;</w:t>
      </w:r>
    </w:p>
    <w:p w:rsidR="00A60F92" w:rsidRPr="00A60F92" w:rsidRDefault="00A60F92" w:rsidP="00A60F92">
      <w:pPr>
        <w:rPr>
          <w:lang w:val="en-US"/>
        </w:rPr>
      </w:pPr>
      <w:r w:rsidRPr="00A60F92">
        <w:rPr>
          <w:lang w:val="en-US"/>
        </w:rPr>
        <w:t>c)</w:t>
      </w:r>
      <w:r w:rsidRPr="00A60F92">
        <w:rPr>
          <w:lang w:val="en-US"/>
        </w:rPr>
        <w:tab/>
        <w:t>that mobile telephone services, i.e. services for public correspondence via radio stations connected to the public switched telephone network (PSTN), are in operation in a number of countries and that their use is extending;</w:t>
      </w:r>
    </w:p>
    <w:p w:rsidR="00A60F92" w:rsidRPr="00A60F92" w:rsidRDefault="00A60F92" w:rsidP="00A60F92">
      <w:pPr>
        <w:rPr>
          <w:lang w:val="en-US"/>
        </w:rPr>
      </w:pPr>
      <w:r w:rsidRPr="00A60F92">
        <w:rPr>
          <w:lang w:val="en-US"/>
        </w:rPr>
        <w:t>d)</w:t>
      </w:r>
      <w:r w:rsidRPr="00A60F92">
        <w:rPr>
          <w:lang w:val="en-US"/>
        </w:rPr>
        <w:tab/>
        <w:t>that the various technical systems already in use or proposed for such services, are not necessarily compatible;</w:t>
      </w:r>
    </w:p>
    <w:p w:rsidR="00A60F92" w:rsidRPr="00A60F92" w:rsidRDefault="00A60F92" w:rsidP="00A60F92">
      <w:pPr>
        <w:rPr>
          <w:lang w:val="en-US"/>
        </w:rPr>
      </w:pPr>
      <w:r w:rsidRPr="00A60F92">
        <w:rPr>
          <w:lang w:val="en-US"/>
        </w:rPr>
        <w:t>e)</w:t>
      </w:r>
      <w:r w:rsidRPr="00A60F92">
        <w:rPr>
          <w:lang w:val="en-US"/>
        </w:rPr>
        <w:tab/>
        <w:t>that system compatibility is necessary in the case of international operation;</w:t>
      </w:r>
    </w:p>
    <w:p w:rsidR="00A60F92" w:rsidRPr="00A60F92" w:rsidRDefault="00A60F92" w:rsidP="00A60F92">
      <w:pPr>
        <w:rPr>
          <w:lang w:val="en-US"/>
        </w:rPr>
      </w:pPr>
      <w:r w:rsidRPr="00A60F92">
        <w:rPr>
          <w:lang w:val="en-US"/>
        </w:rPr>
        <w:t>f)</w:t>
      </w:r>
      <w:r w:rsidRPr="00A60F92">
        <w:rPr>
          <w:lang w:val="en-US"/>
        </w:rPr>
        <w:tab/>
        <w:t>that for international operation it is desirable to agree on the parameters of the system;</w:t>
      </w:r>
    </w:p>
    <w:p w:rsidR="00A60F92" w:rsidRPr="00A60F92" w:rsidRDefault="00A60F92" w:rsidP="00A60F92">
      <w:pPr>
        <w:rPr>
          <w:lang w:val="en-US"/>
        </w:rPr>
      </w:pPr>
      <w:r w:rsidRPr="00A60F92">
        <w:rPr>
          <w:lang w:val="en-US"/>
        </w:rPr>
        <w:t>g)</w:t>
      </w:r>
      <w:r w:rsidRPr="00A60F92">
        <w:rPr>
          <w:lang w:val="en-US"/>
        </w:rPr>
        <w:tab/>
        <w:t>the need to improve spectrum utilization efficiency and hence system capacity per MHz per unit area;</w:t>
      </w:r>
    </w:p>
    <w:p w:rsidR="00A60F92" w:rsidRPr="00A60F92" w:rsidRDefault="00A60F92" w:rsidP="00A60F92">
      <w:pPr>
        <w:rPr>
          <w:lang w:val="en-US"/>
        </w:rPr>
      </w:pPr>
      <w:r w:rsidRPr="00A60F92">
        <w:rPr>
          <w:lang w:val="en-US"/>
        </w:rPr>
        <w:t>h)</w:t>
      </w:r>
      <w:r w:rsidRPr="00A60F92">
        <w:rPr>
          <w:lang w:val="en-US"/>
        </w:rPr>
        <w:tab/>
        <w:t>the need for a flexible system structure able to match network investment to revenue growth, readily adapting to environmental factors and responding to new developments rather than restricting innovation;</w:t>
      </w:r>
    </w:p>
    <w:p w:rsidR="00A60F92" w:rsidRPr="00A60F92" w:rsidRDefault="00A60F92" w:rsidP="00A60F92">
      <w:pPr>
        <w:rPr>
          <w:lang w:val="en-US"/>
        </w:rPr>
      </w:pPr>
      <w:r w:rsidRPr="00A60F92">
        <w:rPr>
          <w:lang w:val="en-US"/>
        </w:rPr>
        <w:t>j)</w:t>
      </w:r>
      <w:r w:rsidRPr="00A60F92">
        <w:rPr>
          <w:lang w:val="en-US"/>
        </w:rPr>
        <w:tab/>
        <w:t>the increasing importance of the various types of data and telematic services,</w:t>
      </w:r>
    </w:p>
    <w:p w:rsidR="00A60F92" w:rsidRPr="00A60F92" w:rsidRDefault="00A60F92" w:rsidP="00A60F92">
      <w:pPr>
        <w:pStyle w:val="Call"/>
        <w:rPr>
          <w:lang w:val="en-US"/>
        </w:rPr>
      </w:pPr>
      <w:r w:rsidRPr="00A60F92">
        <w:rPr>
          <w:lang w:val="en-US"/>
        </w:rPr>
        <w:t>noting</w:t>
      </w:r>
    </w:p>
    <w:p w:rsidR="00A60F92" w:rsidRPr="00A60F92" w:rsidRDefault="00A60F92" w:rsidP="00A60F92">
      <w:pPr>
        <w:rPr>
          <w:szCs w:val="24"/>
          <w:lang w:val="en-US"/>
        </w:rPr>
      </w:pPr>
      <w:r w:rsidRPr="00A60F92">
        <w:rPr>
          <w:szCs w:val="24"/>
          <w:lang w:val="en-US"/>
        </w:rPr>
        <w:t>that Recommendation ITU-R M.1457 covers the IMT-2000 radio interfaces,</w:t>
      </w:r>
    </w:p>
    <w:p w:rsidR="00A60F92" w:rsidRPr="00A60F92" w:rsidRDefault="00A60F92" w:rsidP="00A60F92">
      <w:pPr>
        <w:pStyle w:val="Call"/>
        <w:rPr>
          <w:lang w:val="en-US"/>
        </w:rPr>
      </w:pPr>
      <w:r w:rsidRPr="00A60F92">
        <w:rPr>
          <w:lang w:val="en-US"/>
        </w:rPr>
        <w:t>recommends</w:t>
      </w:r>
    </w:p>
    <w:p w:rsidR="00A60F92" w:rsidRPr="00A60F92" w:rsidRDefault="00A60F92" w:rsidP="00A60F92">
      <w:pPr>
        <w:rPr>
          <w:lang w:val="en-US"/>
        </w:rPr>
      </w:pPr>
      <w:r w:rsidRPr="00A60F92">
        <w:rPr>
          <w:lang w:val="en-US"/>
        </w:rPr>
        <w:t>that for digital cellular land mobile telecommunication systems (DCLMTS) the following technical and operational characteristics should be used:</w:t>
      </w:r>
    </w:p>
    <w:p w:rsidR="00A60F92" w:rsidRPr="00A60F92" w:rsidRDefault="00A60F92" w:rsidP="00A60F92">
      <w:pPr>
        <w:pStyle w:val="Heading1"/>
        <w:rPr>
          <w:lang w:val="en-US"/>
        </w:rPr>
      </w:pPr>
      <w:bookmarkStart w:id="4" w:name="_Toc391188349"/>
      <w:bookmarkStart w:id="5" w:name="_Toc115517155"/>
      <w:r w:rsidRPr="00A60F92">
        <w:rPr>
          <w:lang w:val="en-US"/>
        </w:rPr>
        <w:t>1</w:t>
      </w:r>
      <w:r w:rsidRPr="00A60F92">
        <w:rPr>
          <w:lang w:val="en-US"/>
        </w:rPr>
        <w:tab/>
        <w:t>General objectives</w:t>
      </w:r>
      <w:bookmarkEnd w:id="4"/>
      <w:bookmarkEnd w:id="5"/>
    </w:p>
    <w:p w:rsidR="00A60F92" w:rsidRPr="00A60F92" w:rsidRDefault="00A60F92" w:rsidP="00A60F92">
      <w:pPr>
        <w:rPr>
          <w:lang w:val="en-US"/>
        </w:rPr>
      </w:pPr>
      <w:r w:rsidRPr="00A60F92">
        <w:rPr>
          <w:lang w:val="en-US"/>
        </w:rPr>
        <w:t>The general objectives of DCLMTSs are to provide:</w:t>
      </w:r>
    </w:p>
    <w:p w:rsidR="00A60F92" w:rsidRPr="00A60F92" w:rsidRDefault="00A60F92" w:rsidP="00A60F92">
      <w:pPr>
        <w:pStyle w:val="enumlev1"/>
        <w:rPr>
          <w:lang w:val="en-US"/>
        </w:rPr>
      </w:pPr>
      <w:r w:rsidRPr="00A60F92">
        <w:rPr>
          <w:lang w:val="en-US"/>
        </w:rPr>
        <w:t>–</w:t>
      </w:r>
      <w:r w:rsidRPr="00A60F92">
        <w:rPr>
          <w:lang w:val="en-US"/>
        </w:rPr>
        <w:tab/>
        <w:t>systems with high spectrum utilization efficiency, thereby accommodating more users within the limited spectrum resource than existing analogue cellular public land mobile telecommunication systems (PLMTS);</w:t>
      </w:r>
    </w:p>
    <w:p w:rsidR="00A60F92" w:rsidRPr="00A60F92" w:rsidRDefault="00A60F92" w:rsidP="00A60F92">
      <w:pPr>
        <w:pStyle w:val="enumlev1"/>
        <w:rPr>
          <w:lang w:val="en-US"/>
        </w:rPr>
      </w:pPr>
      <w:r w:rsidRPr="00A60F92">
        <w:rPr>
          <w:lang w:val="en-US"/>
        </w:rPr>
        <w:lastRenderedPageBreak/>
        <w:t>–</w:t>
      </w:r>
      <w:r w:rsidRPr="00A60F92">
        <w:rPr>
          <w:lang w:val="en-US"/>
        </w:rPr>
        <w:tab/>
        <w:t>users with a wide range of services and facilities, both voice and non-voice, that are compatible with, and access, those offered by the public fixed networks (PSTN, ISDN, PDN, etc.);</w:t>
      </w:r>
    </w:p>
    <w:p w:rsidR="00A60F92" w:rsidRPr="00A60F92" w:rsidRDefault="00A60F92" w:rsidP="00A60F92">
      <w:pPr>
        <w:pStyle w:val="enumlev1"/>
        <w:rPr>
          <w:lang w:val="en-US"/>
        </w:rPr>
      </w:pPr>
      <w:r w:rsidRPr="00A60F92">
        <w:rPr>
          <w:lang w:val="en-US"/>
        </w:rPr>
        <w:t>–</w:t>
      </w:r>
      <w:r w:rsidRPr="00A60F92">
        <w:rPr>
          <w:lang w:val="en-US"/>
        </w:rPr>
        <w:tab/>
        <w:t>services and facilities exclusive to mobile systems, including facilities for automatic roaming, locating and updating mobile users;</w:t>
      </w:r>
    </w:p>
    <w:p w:rsidR="00A60F92" w:rsidRPr="00A60F92" w:rsidRDefault="00A60F92" w:rsidP="00A60F92">
      <w:pPr>
        <w:pStyle w:val="enumlev1"/>
        <w:rPr>
          <w:lang w:val="en-US"/>
        </w:rPr>
      </w:pPr>
      <w:r w:rsidRPr="00A60F92">
        <w:rPr>
          <w:lang w:val="en-US"/>
        </w:rPr>
        <w:t>–</w:t>
      </w:r>
      <w:r w:rsidRPr="00A60F92">
        <w:rPr>
          <w:lang w:val="en-US"/>
        </w:rPr>
        <w:tab/>
        <w:t>users with a variety of mobile stations consistent with their requirements, ranging from vehicle mounted to hand</w:t>
      </w:r>
      <w:r w:rsidRPr="00A60F92">
        <w:rPr>
          <w:lang w:val="en-US"/>
        </w:rPr>
        <w:noBreakHyphen/>
        <w:t>held stations with voice and non-voice interfaces;</w:t>
      </w:r>
    </w:p>
    <w:p w:rsidR="00A60F92" w:rsidRPr="00A60F92" w:rsidRDefault="00A60F92" w:rsidP="00A60F92">
      <w:pPr>
        <w:pStyle w:val="enumlev1"/>
        <w:rPr>
          <w:lang w:val="en-US"/>
        </w:rPr>
      </w:pPr>
      <w:r w:rsidRPr="00A60F92">
        <w:rPr>
          <w:lang w:val="en-US"/>
        </w:rPr>
        <w:t>–</w:t>
      </w:r>
      <w:r w:rsidRPr="00A60F92">
        <w:rPr>
          <w:lang w:val="en-US"/>
        </w:rPr>
        <w:tab/>
        <w:t>services of high quality and integrity at an economic cost;</w:t>
      </w:r>
    </w:p>
    <w:p w:rsidR="00A60F92" w:rsidRPr="00A60F92" w:rsidRDefault="00A60F92" w:rsidP="00A60F92">
      <w:pPr>
        <w:pStyle w:val="enumlev1"/>
        <w:rPr>
          <w:lang w:val="en-US"/>
        </w:rPr>
      </w:pPr>
      <w:r w:rsidRPr="00A60F92">
        <w:rPr>
          <w:lang w:val="en-US"/>
        </w:rPr>
        <w:t>–</w:t>
      </w:r>
      <w:r w:rsidRPr="00A60F92">
        <w:rPr>
          <w:lang w:val="en-US"/>
        </w:rPr>
        <w:tab/>
        <w:t>mobile equipment and infrastructure at the reduced cost, weight, size and power drain offered by the adoption of digital processing and very large scale integration (VLSI) technology.</w:t>
      </w:r>
    </w:p>
    <w:p w:rsidR="00A60F92" w:rsidRPr="00A60F92" w:rsidRDefault="00A60F92" w:rsidP="00A60F92">
      <w:pPr>
        <w:pStyle w:val="Heading1"/>
        <w:rPr>
          <w:lang w:val="en-US"/>
        </w:rPr>
      </w:pPr>
      <w:bookmarkStart w:id="6" w:name="_Toc391188350"/>
      <w:bookmarkStart w:id="7" w:name="_Toc115517156"/>
      <w:r w:rsidRPr="00A60F92">
        <w:rPr>
          <w:lang w:val="en-US"/>
        </w:rPr>
        <w:t>2</w:t>
      </w:r>
      <w:r w:rsidRPr="00A60F92">
        <w:rPr>
          <w:lang w:val="en-US"/>
        </w:rPr>
        <w:tab/>
        <w:t>Digital technology</w:t>
      </w:r>
      <w:bookmarkEnd w:id="6"/>
      <w:bookmarkEnd w:id="7"/>
    </w:p>
    <w:p w:rsidR="00A60F92" w:rsidRPr="00A60F92" w:rsidRDefault="00A60F92" w:rsidP="00A60F92">
      <w:pPr>
        <w:rPr>
          <w:lang w:val="en-US"/>
        </w:rPr>
      </w:pPr>
      <w:r w:rsidRPr="00A60F92">
        <w:rPr>
          <w:lang w:val="en-US"/>
        </w:rPr>
        <w:t>Digital technology is introduced into the PLMTS in five major areas:</w:t>
      </w:r>
    </w:p>
    <w:p w:rsidR="00A60F92" w:rsidRPr="00A60F92" w:rsidRDefault="00A60F92" w:rsidP="00A60F92">
      <w:pPr>
        <w:pStyle w:val="enumlev1"/>
        <w:rPr>
          <w:lang w:val="en-US"/>
        </w:rPr>
      </w:pPr>
      <w:r w:rsidRPr="00A60F92">
        <w:rPr>
          <w:lang w:val="en-US"/>
        </w:rPr>
        <w:t>–</w:t>
      </w:r>
      <w:r w:rsidRPr="00A60F92">
        <w:rPr>
          <w:lang w:val="en-US"/>
        </w:rPr>
        <w:tab/>
        <w:t>digital radio modulation/demodulation;</w:t>
      </w:r>
    </w:p>
    <w:p w:rsidR="00A60F92" w:rsidRPr="00A60F92" w:rsidRDefault="00A60F92" w:rsidP="00A60F92">
      <w:pPr>
        <w:pStyle w:val="enumlev1"/>
        <w:rPr>
          <w:lang w:val="en-US"/>
        </w:rPr>
      </w:pPr>
      <w:r w:rsidRPr="00A60F92">
        <w:rPr>
          <w:lang w:val="en-US"/>
        </w:rPr>
        <w:t>–</w:t>
      </w:r>
      <w:r w:rsidRPr="00A60F92">
        <w:rPr>
          <w:lang w:val="en-US"/>
        </w:rPr>
        <w:tab/>
        <w:t>digital speech coding;</w:t>
      </w:r>
    </w:p>
    <w:p w:rsidR="00A60F92" w:rsidRPr="00A60F92" w:rsidRDefault="00A60F92" w:rsidP="00A60F92">
      <w:pPr>
        <w:pStyle w:val="enumlev1"/>
        <w:rPr>
          <w:lang w:val="en-US"/>
        </w:rPr>
      </w:pPr>
      <w:r w:rsidRPr="00A60F92">
        <w:rPr>
          <w:lang w:val="en-US"/>
        </w:rPr>
        <w:t>–</w:t>
      </w:r>
      <w:r w:rsidRPr="00A60F92">
        <w:rPr>
          <w:lang w:val="en-US"/>
        </w:rPr>
        <w:tab/>
        <w:t>channel coding and digital signal processing;</w:t>
      </w:r>
    </w:p>
    <w:p w:rsidR="00A60F92" w:rsidRPr="00A60F92" w:rsidRDefault="00A60F92" w:rsidP="00A60F92">
      <w:pPr>
        <w:pStyle w:val="enumlev1"/>
        <w:rPr>
          <w:lang w:val="en-US"/>
        </w:rPr>
      </w:pPr>
      <w:r w:rsidRPr="00A60F92">
        <w:rPr>
          <w:lang w:val="en-US"/>
        </w:rPr>
        <w:t>–</w:t>
      </w:r>
      <w:r w:rsidRPr="00A60F92">
        <w:rPr>
          <w:lang w:val="en-US"/>
        </w:rPr>
        <w:tab/>
        <w:t>digital control and data channels;</w:t>
      </w:r>
    </w:p>
    <w:p w:rsidR="00A60F92" w:rsidRPr="00A60F92" w:rsidRDefault="00A60F92" w:rsidP="00A60F92">
      <w:pPr>
        <w:pStyle w:val="enumlev1"/>
        <w:rPr>
          <w:lang w:val="en-US"/>
        </w:rPr>
      </w:pPr>
      <w:r w:rsidRPr="00A60F92">
        <w:rPr>
          <w:lang w:val="en-US"/>
        </w:rPr>
        <w:t>–</w:t>
      </w:r>
      <w:r w:rsidRPr="00A60F92">
        <w:rPr>
          <w:lang w:val="en-US"/>
        </w:rPr>
        <w:tab/>
        <w:t>privacy and authentication.</w:t>
      </w:r>
    </w:p>
    <w:p w:rsidR="00A60F92" w:rsidRPr="00A60F92" w:rsidRDefault="00A60F92" w:rsidP="00A60F92">
      <w:pPr>
        <w:pStyle w:val="Heading1"/>
        <w:rPr>
          <w:lang w:val="en-US"/>
        </w:rPr>
      </w:pPr>
      <w:bookmarkStart w:id="8" w:name="_Toc391188351"/>
      <w:bookmarkStart w:id="9" w:name="_Toc115517157"/>
      <w:r w:rsidRPr="00A60F92">
        <w:rPr>
          <w:lang w:val="en-US"/>
        </w:rPr>
        <w:t>3</w:t>
      </w:r>
      <w:r w:rsidRPr="00A60F92">
        <w:rPr>
          <w:lang w:val="en-US"/>
        </w:rPr>
        <w:tab/>
        <w:t>Service types</w:t>
      </w:r>
      <w:bookmarkEnd w:id="8"/>
      <w:bookmarkEnd w:id="9"/>
    </w:p>
    <w:p w:rsidR="00A60F92" w:rsidRPr="00A60F92" w:rsidRDefault="00A60F92" w:rsidP="00A60F92">
      <w:pPr>
        <w:rPr>
          <w:lang w:val="en-US"/>
        </w:rPr>
      </w:pPr>
      <w:r w:rsidRPr="00A60F92">
        <w:rPr>
          <w:lang w:val="en-US"/>
        </w:rPr>
        <w:t>The basic telecommunication services offered by the DCLMTS, as fully described in the reference material, can be divided into two types:</w:t>
      </w:r>
    </w:p>
    <w:p w:rsidR="00A60F92" w:rsidRPr="00A60F92" w:rsidRDefault="00A60F92" w:rsidP="00A60F92">
      <w:pPr>
        <w:pStyle w:val="enumlev1"/>
        <w:rPr>
          <w:lang w:val="en-US"/>
        </w:rPr>
      </w:pPr>
      <w:r w:rsidRPr="00A60F92">
        <w:rPr>
          <w:lang w:val="en-US"/>
        </w:rPr>
        <w:t>–</w:t>
      </w:r>
      <w:r w:rsidRPr="00A60F92">
        <w:rPr>
          <w:lang w:val="en-US"/>
        </w:rPr>
        <w:tab/>
        <w:t>bearer services which give the user the capacity needed to transmit appropriate signals between certain access points;</w:t>
      </w:r>
    </w:p>
    <w:p w:rsidR="00A60F92" w:rsidRPr="00A60F92" w:rsidRDefault="00A60F92" w:rsidP="00A60F92">
      <w:pPr>
        <w:pStyle w:val="enumlev1"/>
        <w:rPr>
          <w:lang w:val="en-US"/>
        </w:rPr>
      </w:pPr>
      <w:r w:rsidRPr="00A60F92">
        <w:rPr>
          <w:lang w:val="en-US"/>
        </w:rPr>
        <w:t>–</w:t>
      </w:r>
      <w:r w:rsidRPr="00A60F92">
        <w:rPr>
          <w:lang w:val="en-US"/>
        </w:rPr>
        <w:tab/>
        <w:t>teleservices which provide the user with the full capacity, including terminal equipment functions, to communicate with other users.</w:t>
      </w:r>
    </w:p>
    <w:p w:rsidR="00A60F92" w:rsidRPr="00A60F92" w:rsidRDefault="00A60F92" w:rsidP="00A60F92">
      <w:pPr>
        <w:rPr>
          <w:lang w:val="en-US"/>
        </w:rPr>
      </w:pPr>
      <w:r w:rsidRPr="00A60F92">
        <w:rPr>
          <w:lang w:val="en-US"/>
        </w:rPr>
        <w:t>Supplementary services are also available in association with the basic services.</w:t>
      </w:r>
    </w:p>
    <w:p w:rsidR="00A60F92" w:rsidRPr="00A60F92" w:rsidRDefault="00A60F92" w:rsidP="00A60F92">
      <w:pPr>
        <w:rPr>
          <w:lang w:val="en-US"/>
        </w:rPr>
      </w:pPr>
      <w:r w:rsidRPr="00A60F92">
        <w:rPr>
          <w:lang w:val="en-US"/>
        </w:rPr>
        <w:t>All the DCLMTS support some services in each category, but the range offered varies between systems.</w:t>
      </w:r>
    </w:p>
    <w:p w:rsidR="00A60F92" w:rsidRPr="00A60F92" w:rsidRDefault="00A60F92" w:rsidP="00A60F92">
      <w:pPr>
        <w:pStyle w:val="Heading2"/>
        <w:rPr>
          <w:lang w:val="en-US"/>
        </w:rPr>
      </w:pPr>
      <w:bookmarkStart w:id="10" w:name="_Toc391188352"/>
      <w:bookmarkStart w:id="11" w:name="_Toc115517158"/>
      <w:r w:rsidRPr="00A60F92">
        <w:rPr>
          <w:lang w:val="en-US"/>
        </w:rPr>
        <w:t>3.1</w:t>
      </w:r>
      <w:r w:rsidRPr="00A60F92">
        <w:rPr>
          <w:lang w:val="en-US"/>
        </w:rPr>
        <w:tab/>
        <w:t>Bearer services</w:t>
      </w:r>
      <w:bookmarkEnd w:id="10"/>
      <w:bookmarkEnd w:id="11"/>
    </w:p>
    <w:p w:rsidR="00A60F92" w:rsidRPr="00A60F92" w:rsidRDefault="00A60F92" w:rsidP="00A60F92">
      <w:pPr>
        <w:rPr>
          <w:lang w:val="en-US"/>
        </w:rPr>
      </w:pPr>
      <w:r w:rsidRPr="00A60F92">
        <w:rPr>
          <w:lang w:val="en-US"/>
        </w:rPr>
        <w:t>Typical bearer services offered include:</w:t>
      </w:r>
    </w:p>
    <w:p w:rsidR="00A60F92" w:rsidRPr="00A60F92" w:rsidRDefault="00A60F92" w:rsidP="00A60F92">
      <w:pPr>
        <w:pStyle w:val="enumlev1"/>
        <w:rPr>
          <w:lang w:val="en-US"/>
        </w:rPr>
      </w:pPr>
      <w:r w:rsidRPr="00A60F92">
        <w:rPr>
          <w:lang w:val="en-US"/>
        </w:rPr>
        <w:t>–</w:t>
      </w:r>
      <w:r w:rsidRPr="00A60F92">
        <w:rPr>
          <w:lang w:val="en-US"/>
        </w:rPr>
        <w:tab/>
        <w:t>synchronous, asynchronous and packet data;</w:t>
      </w:r>
    </w:p>
    <w:p w:rsidR="00A60F92" w:rsidRPr="00A60F92" w:rsidRDefault="00A60F92" w:rsidP="00A60F92">
      <w:pPr>
        <w:pStyle w:val="enumlev1"/>
        <w:rPr>
          <w:lang w:val="en-US"/>
        </w:rPr>
      </w:pPr>
      <w:r w:rsidRPr="00A60F92">
        <w:rPr>
          <w:lang w:val="en-US"/>
        </w:rPr>
        <w:t>–</w:t>
      </w:r>
      <w:r w:rsidRPr="00A60F92">
        <w:rPr>
          <w:lang w:val="en-US"/>
        </w:rPr>
        <w:tab/>
        <w:t>unrestricted digital capability at specific bit rates.</w:t>
      </w:r>
    </w:p>
    <w:p w:rsidR="00A60F92" w:rsidRPr="00A60F92" w:rsidRDefault="00A60F92" w:rsidP="00A60F92">
      <w:pPr>
        <w:rPr>
          <w:lang w:val="en-US"/>
        </w:rPr>
      </w:pPr>
      <w:r w:rsidRPr="00A60F92">
        <w:rPr>
          <w:lang w:val="en-US"/>
        </w:rPr>
        <w:t>In general, connection of voice-band modems to the speech path of mobile stations is not supported. Equivalent service to that offered by the use of voice-band modems on the PSTN or ISDN can be provided via the bearer services listed above.</w:t>
      </w:r>
    </w:p>
    <w:p w:rsidR="00A60F92" w:rsidRPr="00A60F92" w:rsidRDefault="00A60F92" w:rsidP="00A60F92">
      <w:pPr>
        <w:pStyle w:val="Heading2"/>
        <w:rPr>
          <w:lang w:val="en-US"/>
        </w:rPr>
      </w:pPr>
      <w:bookmarkStart w:id="12" w:name="_Toc391188353"/>
      <w:bookmarkStart w:id="13" w:name="_Toc115517159"/>
      <w:r w:rsidRPr="00A60F92">
        <w:rPr>
          <w:lang w:val="en-US"/>
        </w:rPr>
        <w:t>3.2</w:t>
      </w:r>
      <w:r w:rsidRPr="00A60F92">
        <w:rPr>
          <w:lang w:val="en-US"/>
        </w:rPr>
        <w:tab/>
        <w:t>Teleservices</w:t>
      </w:r>
      <w:bookmarkEnd w:id="12"/>
      <w:bookmarkEnd w:id="13"/>
    </w:p>
    <w:p w:rsidR="00A60F92" w:rsidRPr="00A60F92" w:rsidRDefault="00A60F92" w:rsidP="00A60F92">
      <w:pPr>
        <w:rPr>
          <w:lang w:val="en-US"/>
        </w:rPr>
      </w:pPr>
      <w:r w:rsidRPr="00A60F92">
        <w:rPr>
          <w:lang w:val="en-US"/>
        </w:rPr>
        <w:t>All the DCLMTS support telephony and facsimile teleservices. Some extend the teleservice offerings to include videotex, teletex, etc.</w:t>
      </w:r>
    </w:p>
    <w:p w:rsidR="00A60F92" w:rsidRPr="00A60F92" w:rsidRDefault="00A60F92" w:rsidP="00A60F92">
      <w:pPr>
        <w:pStyle w:val="Heading2"/>
        <w:rPr>
          <w:lang w:val="en-US"/>
        </w:rPr>
      </w:pPr>
      <w:bookmarkStart w:id="14" w:name="_Toc391188354"/>
      <w:bookmarkStart w:id="15" w:name="_Toc115517160"/>
      <w:r w:rsidRPr="00A60F92">
        <w:rPr>
          <w:lang w:val="en-US"/>
        </w:rPr>
        <w:lastRenderedPageBreak/>
        <w:t>3.3</w:t>
      </w:r>
      <w:r w:rsidRPr="00A60F92">
        <w:rPr>
          <w:lang w:val="en-US"/>
        </w:rPr>
        <w:tab/>
        <w:t>Supplementary services</w:t>
      </w:r>
      <w:bookmarkEnd w:id="14"/>
      <w:bookmarkEnd w:id="15"/>
    </w:p>
    <w:p w:rsidR="00A60F92" w:rsidRPr="00A60F92" w:rsidRDefault="00A60F92" w:rsidP="00A60F92">
      <w:pPr>
        <w:rPr>
          <w:lang w:val="en-US"/>
        </w:rPr>
      </w:pPr>
      <w:r w:rsidRPr="00A60F92">
        <w:rPr>
          <w:lang w:val="en-US"/>
        </w:rPr>
        <w:t>The range of supplementary services supported by the DCLMTS varies depending on the system and also the particular implementation.</w:t>
      </w:r>
    </w:p>
    <w:p w:rsidR="00A60F92" w:rsidRPr="00A60F92" w:rsidRDefault="00A60F92" w:rsidP="00A60F92">
      <w:pPr>
        <w:pStyle w:val="Heading1"/>
        <w:rPr>
          <w:lang w:val="en-US"/>
        </w:rPr>
      </w:pPr>
      <w:bookmarkStart w:id="16" w:name="_Toc391188355"/>
      <w:bookmarkStart w:id="17" w:name="_Toc115517161"/>
      <w:r w:rsidRPr="00A60F92">
        <w:rPr>
          <w:lang w:val="en-US"/>
        </w:rPr>
        <w:t>4</w:t>
      </w:r>
      <w:r w:rsidRPr="00A60F92">
        <w:rPr>
          <w:lang w:val="en-US"/>
        </w:rPr>
        <w:tab/>
        <w:t>Architecture common to all digital systems</w:t>
      </w:r>
      <w:bookmarkEnd w:id="16"/>
      <w:bookmarkEnd w:id="17"/>
    </w:p>
    <w:p w:rsidR="00A60F92" w:rsidRPr="00A60F92" w:rsidRDefault="00A60F92" w:rsidP="00A60F92">
      <w:pPr>
        <w:pStyle w:val="Heading2"/>
        <w:rPr>
          <w:lang w:val="en-US"/>
        </w:rPr>
      </w:pPr>
      <w:bookmarkStart w:id="18" w:name="_Toc391188356"/>
      <w:bookmarkStart w:id="19" w:name="_Toc115517162"/>
      <w:r w:rsidRPr="00A60F92">
        <w:rPr>
          <w:lang w:val="en-US"/>
        </w:rPr>
        <w:t>4.1</w:t>
      </w:r>
      <w:r w:rsidRPr="00A60F92">
        <w:rPr>
          <w:lang w:val="en-US"/>
        </w:rPr>
        <w:tab/>
        <w:t>Base station layout</w:t>
      </w:r>
      <w:bookmarkEnd w:id="18"/>
      <w:bookmarkEnd w:id="19"/>
    </w:p>
    <w:p w:rsidR="00A60F92" w:rsidRPr="00A60F92" w:rsidRDefault="00A60F92" w:rsidP="00A60F92">
      <w:pPr>
        <w:rPr>
          <w:lang w:val="en-US"/>
        </w:rPr>
      </w:pPr>
      <w:r w:rsidRPr="00A60F92">
        <w:rPr>
          <w:lang w:val="en-US"/>
        </w:rPr>
        <w:t>The geographical distribution of base stations is organized around two types of structure:</w:t>
      </w:r>
    </w:p>
    <w:p w:rsidR="00A60F92" w:rsidRPr="00A60F92" w:rsidRDefault="00A60F92" w:rsidP="00A60F92">
      <w:pPr>
        <w:pStyle w:val="enumlev1"/>
        <w:rPr>
          <w:lang w:val="en-US"/>
        </w:rPr>
      </w:pPr>
      <w:r w:rsidRPr="00A60F92">
        <w:rPr>
          <w:lang w:val="en-US"/>
        </w:rPr>
        <w:t>–</w:t>
      </w:r>
      <w:r w:rsidRPr="00A60F92">
        <w:rPr>
          <w:lang w:val="en-US"/>
        </w:rPr>
        <w:tab/>
        <w:t>regular cell structures using omnidirectional antennas;</w:t>
      </w:r>
    </w:p>
    <w:p w:rsidR="00A60F92" w:rsidRPr="00A60F92" w:rsidRDefault="00A60F92" w:rsidP="00A60F92">
      <w:pPr>
        <w:pStyle w:val="enumlev1"/>
        <w:rPr>
          <w:lang w:val="en-US"/>
        </w:rPr>
      </w:pPr>
      <w:r w:rsidRPr="00A60F92">
        <w:rPr>
          <w:lang w:val="en-US"/>
        </w:rPr>
        <w:t>–</w:t>
      </w:r>
      <w:r w:rsidRPr="00A60F92">
        <w:rPr>
          <w:lang w:val="en-US"/>
        </w:rPr>
        <w:tab/>
        <w:t>sector cell structures using directional antennas.</w:t>
      </w:r>
    </w:p>
    <w:p w:rsidR="00A60F92" w:rsidRPr="00A60F92" w:rsidRDefault="00A60F92" w:rsidP="00A60F92">
      <w:pPr>
        <w:pStyle w:val="Heading2"/>
        <w:rPr>
          <w:lang w:val="en-US"/>
        </w:rPr>
      </w:pPr>
      <w:bookmarkStart w:id="20" w:name="_Toc391188357"/>
      <w:bookmarkStart w:id="21" w:name="_Toc115517163"/>
      <w:r w:rsidRPr="00A60F92">
        <w:rPr>
          <w:lang w:val="en-US"/>
        </w:rPr>
        <w:t>4.2</w:t>
      </w:r>
      <w:r w:rsidRPr="00A60F92">
        <w:rPr>
          <w:lang w:val="en-US"/>
        </w:rPr>
        <w:tab/>
        <w:t>Channel design</w:t>
      </w:r>
      <w:bookmarkEnd w:id="20"/>
      <w:bookmarkEnd w:id="21"/>
    </w:p>
    <w:p w:rsidR="00A60F92" w:rsidRPr="00A60F92" w:rsidRDefault="00A60F92" w:rsidP="00A60F92">
      <w:pPr>
        <w:pStyle w:val="enumlev1"/>
        <w:rPr>
          <w:lang w:val="en-US"/>
        </w:rPr>
      </w:pPr>
      <w:r w:rsidRPr="00A60F92">
        <w:rPr>
          <w:lang w:val="en-US"/>
        </w:rPr>
        <w:t>Two basic categories of channels are defined for DCLMTS:</w:t>
      </w:r>
    </w:p>
    <w:p w:rsidR="00A60F92" w:rsidRPr="00A60F92" w:rsidRDefault="00A60F92" w:rsidP="00A60F92">
      <w:pPr>
        <w:pStyle w:val="enumlev1"/>
        <w:rPr>
          <w:lang w:val="en-US"/>
        </w:rPr>
      </w:pPr>
      <w:r w:rsidRPr="00A60F92">
        <w:rPr>
          <w:lang w:val="en-US"/>
        </w:rPr>
        <w:t>–</w:t>
      </w:r>
      <w:r w:rsidRPr="00A60F92">
        <w:rPr>
          <w:lang w:val="en-US"/>
        </w:rPr>
        <w:tab/>
        <w:t>traffic channels (TCH) which are used for voice and data transmission (i.e. bearer services and teleservices);</w:t>
      </w:r>
    </w:p>
    <w:p w:rsidR="00A60F92" w:rsidRPr="00A60F92" w:rsidRDefault="00A60F92" w:rsidP="00A60F92">
      <w:pPr>
        <w:pStyle w:val="enumlev1"/>
        <w:rPr>
          <w:lang w:val="en-US"/>
        </w:rPr>
      </w:pPr>
      <w:r w:rsidRPr="00A60F92">
        <w:rPr>
          <w:lang w:val="en-US"/>
        </w:rPr>
        <w:t>–</w:t>
      </w:r>
      <w:r w:rsidRPr="00A60F92">
        <w:rPr>
          <w:lang w:val="en-US"/>
        </w:rPr>
        <w:tab/>
        <w:t>control channels (CCH) which are used for signalling and control purposes, including handover.</w:t>
      </w:r>
    </w:p>
    <w:p w:rsidR="00A60F92" w:rsidRPr="00A60F92" w:rsidRDefault="00A60F92" w:rsidP="00A60F92">
      <w:pPr>
        <w:rPr>
          <w:lang w:val="en-US"/>
        </w:rPr>
      </w:pPr>
      <w:r w:rsidRPr="00A60F92">
        <w:rPr>
          <w:lang w:val="en-US"/>
        </w:rPr>
        <w:t>The CCH can be further divided into three broad types:</w:t>
      </w:r>
    </w:p>
    <w:p w:rsidR="00A60F92" w:rsidRPr="00A60F92" w:rsidRDefault="00A60F92" w:rsidP="00A60F92">
      <w:pPr>
        <w:pStyle w:val="enumlev1"/>
        <w:rPr>
          <w:lang w:val="en-US"/>
        </w:rPr>
      </w:pPr>
      <w:r w:rsidRPr="00A60F92">
        <w:rPr>
          <w:lang w:val="en-US"/>
        </w:rPr>
        <w:t>–</w:t>
      </w:r>
      <w:r w:rsidRPr="00A60F92">
        <w:rPr>
          <w:lang w:val="en-US"/>
        </w:rPr>
        <w:tab/>
        <w:t>common control channels (CCCH) which are used for paging, random access, etc.;</w:t>
      </w:r>
    </w:p>
    <w:p w:rsidR="00A60F92" w:rsidRPr="00A60F92" w:rsidRDefault="00A60F92" w:rsidP="00A60F92">
      <w:pPr>
        <w:pStyle w:val="enumlev1"/>
        <w:rPr>
          <w:lang w:val="en-US"/>
        </w:rPr>
      </w:pPr>
      <w:r w:rsidRPr="00A60F92">
        <w:rPr>
          <w:lang w:val="en-US"/>
        </w:rPr>
        <w:t>–</w:t>
      </w:r>
      <w:r w:rsidRPr="00A60F92">
        <w:rPr>
          <w:lang w:val="en-US"/>
        </w:rPr>
        <w:tab/>
        <w:t>broadcast control channels (BCCH) which are used for broadcast messages, and/or synchronization and frequency correction;</w:t>
      </w:r>
    </w:p>
    <w:p w:rsidR="00A60F92" w:rsidRPr="00A60F92" w:rsidRDefault="00A60F92" w:rsidP="00A60F92">
      <w:pPr>
        <w:pStyle w:val="enumlev1"/>
        <w:rPr>
          <w:lang w:val="en-US"/>
        </w:rPr>
      </w:pPr>
      <w:r w:rsidRPr="00A60F92">
        <w:rPr>
          <w:lang w:val="en-US"/>
        </w:rPr>
        <w:t>–</w:t>
      </w:r>
      <w:r w:rsidRPr="00A60F92">
        <w:rPr>
          <w:lang w:val="en-US"/>
        </w:rPr>
        <w:tab/>
        <w:t>associated control channels (ACCH) which can be divided into slow ACCH (SACCH) and fast ACCH (FACCH) and provide control and signalling functions for individual users.</w:t>
      </w:r>
    </w:p>
    <w:p w:rsidR="00A60F92" w:rsidRPr="00A60F92" w:rsidRDefault="00A60F92" w:rsidP="00A60F92">
      <w:pPr>
        <w:rPr>
          <w:lang w:val="en-US"/>
        </w:rPr>
      </w:pPr>
      <w:r w:rsidRPr="00A60F92">
        <w:rPr>
          <w:lang w:val="en-US"/>
        </w:rPr>
        <w:t>Some systems may also define other types of control channel for particular applications (e.g. stand-alone dedicated control channels).</w:t>
      </w:r>
    </w:p>
    <w:p w:rsidR="00A60F92" w:rsidRPr="00A60F92" w:rsidRDefault="00A60F92" w:rsidP="00A60F92">
      <w:pPr>
        <w:pStyle w:val="Heading2"/>
        <w:rPr>
          <w:lang w:val="en-US"/>
        </w:rPr>
      </w:pPr>
      <w:bookmarkStart w:id="22" w:name="_Toc391188358"/>
      <w:bookmarkStart w:id="23" w:name="_Toc115517164"/>
      <w:r w:rsidRPr="00A60F92">
        <w:rPr>
          <w:lang w:val="en-US"/>
        </w:rPr>
        <w:t>4.3</w:t>
      </w:r>
      <w:r w:rsidRPr="00A60F92">
        <w:rPr>
          <w:lang w:val="en-US"/>
        </w:rPr>
        <w:tab/>
        <w:t>Network architecture and assignment of functions</w:t>
      </w:r>
      <w:bookmarkEnd w:id="22"/>
      <w:bookmarkEnd w:id="23"/>
    </w:p>
    <w:p w:rsidR="00A60F92" w:rsidRPr="00A7764A" w:rsidRDefault="00A60F92" w:rsidP="00A7764A">
      <w:pPr>
        <w:rPr>
          <w:lang w:val="en-US"/>
        </w:rPr>
      </w:pPr>
      <w:r w:rsidRPr="00A60F92">
        <w:rPr>
          <w:lang w:val="en-US"/>
        </w:rPr>
        <w:t>Figure 1 shows the basic system architecture for a DCLMTS, including the major functional components. The communication protocols are specified according to the 7-layer OSI model, while</w:t>
      </w:r>
      <w:r w:rsidR="00A7764A">
        <w:rPr>
          <w:lang w:val="en-US"/>
        </w:rPr>
        <w:t xml:space="preserve"> </w:t>
      </w:r>
      <w:r w:rsidRPr="00A60F92">
        <w:rPr>
          <w:lang w:val="en-US"/>
        </w:rPr>
        <w:t>the interfaces between mobile switching centres (MSCs) and the interfaces to the ISDN, PSTN and PDN are all specified according to ITU</w:t>
      </w:r>
      <w:r w:rsidRPr="00A60F92">
        <w:rPr>
          <w:lang w:val="en-US"/>
        </w:rPr>
        <w:noBreakHyphen/>
        <w:t xml:space="preserve">T Recommendations. </w:t>
      </w:r>
      <w:r w:rsidRPr="00A7764A">
        <w:rPr>
          <w:lang w:val="en-US"/>
        </w:rPr>
        <w:t>The numbering plan also follows ITU</w:t>
      </w:r>
      <w:r w:rsidRPr="00A7764A">
        <w:rPr>
          <w:lang w:val="en-US"/>
        </w:rPr>
        <w:noBreakHyphen/>
        <w:t>T Recommendations.</w:t>
      </w:r>
    </w:p>
    <w:p w:rsidR="00A7764A" w:rsidRDefault="00A7764A" w:rsidP="00A60F92">
      <w:pPr>
        <w:pStyle w:val="FigureNo"/>
      </w:pPr>
      <w:r>
        <w:lastRenderedPageBreak/>
        <w:t>FIGURE 1</w:t>
      </w:r>
    </w:p>
    <w:p w:rsidR="00A7764A" w:rsidRPr="00A7764A" w:rsidRDefault="00A7764A" w:rsidP="00A7764A">
      <w:pPr>
        <w:pStyle w:val="Figuretitle"/>
      </w:pPr>
      <w:r>
        <w:t>Network architecture</w:t>
      </w:r>
    </w:p>
    <w:p w:rsidR="00A60F92" w:rsidRPr="00266F8E" w:rsidRDefault="00855287" w:rsidP="00A7764A">
      <w:pPr>
        <w:pStyle w:val="Figure"/>
      </w:pPr>
      <w:r>
        <w:object w:dxaOrig="11704" w:dyaOrig="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439.5pt" o:ole="">
            <v:imagedata r:id="rId14" o:title=""/>
          </v:shape>
          <o:OLEObject Type="Embed" ProgID="CorelDRAW.Graphic.14" ShapeID="_x0000_i1027" DrawAspect="Content" ObjectID="_1395579395" r:id="rId15"/>
        </w:object>
      </w:r>
    </w:p>
    <w:p w:rsidR="00A60F92" w:rsidRPr="00A60F92" w:rsidRDefault="00A60F92" w:rsidP="00A60F92">
      <w:pPr>
        <w:pStyle w:val="Heading1"/>
        <w:rPr>
          <w:lang w:val="en-US"/>
        </w:rPr>
      </w:pPr>
      <w:bookmarkStart w:id="24" w:name="_Toc115517165"/>
      <w:r w:rsidRPr="00A60F92">
        <w:rPr>
          <w:lang w:val="en-US"/>
        </w:rPr>
        <w:t>5</w:t>
      </w:r>
      <w:r w:rsidRPr="00A60F92">
        <w:rPr>
          <w:lang w:val="en-US"/>
        </w:rPr>
        <w:tab/>
        <w:t>Incorporation of externally developed specification material</w:t>
      </w:r>
      <w:bookmarkEnd w:id="24"/>
    </w:p>
    <w:p w:rsidR="00A60F92" w:rsidRPr="00A60F92" w:rsidRDefault="00A60F92" w:rsidP="00A60F92">
      <w:pPr>
        <w:rPr>
          <w:lang w:val="en-US"/>
        </w:rPr>
      </w:pPr>
      <w:r w:rsidRPr="00A60F92">
        <w:rPr>
          <w:lang w:val="en-US"/>
        </w:rPr>
        <w:t>The detailed standardization of the technologies in this Recommendation has been undertaken within standards development organizations. This Recommendation therefore makes use of references to externally developed standards.</w:t>
      </w:r>
    </w:p>
    <w:p w:rsidR="00A60F92" w:rsidRPr="00A60F92" w:rsidRDefault="00A60F92" w:rsidP="00A60F92">
      <w:pPr>
        <w:pStyle w:val="Heading1"/>
        <w:rPr>
          <w:lang w:val="en-US"/>
        </w:rPr>
      </w:pPr>
      <w:bookmarkStart w:id="25" w:name="_Toc67737914"/>
      <w:bookmarkStart w:id="26" w:name="_Toc77150853"/>
      <w:bookmarkStart w:id="27" w:name="_Toc115517166"/>
      <w:r w:rsidRPr="00A60F92">
        <w:rPr>
          <w:lang w:val="en-US"/>
        </w:rPr>
        <w:t>6</w:t>
      </w:r>
      <w:r w:rsidRPr="00A60F92">
        <w:rPr>
          <w:lang w:val="en-US"/>
        </w:rPr>
        <w:tab/>
        <w:t>Digital cellular systems and their enhancements</w:t>
      </w:r>
      <w:bookmarkEnd w:id="25"/>
      <w:bookmarkEnd w:id="26"/>
      <w:bookmarkEnd w:id="27"/>
    </w:p>
    <w:p w:rsidR="00A60F92" w:rsidRPr="00A60F92" w:rsidRDefault="00A60F92" w:rsidP="00A60F92">
      <w:pPr>
        <w:rPr>
          <w:lang w:val="en-US"/>
        </w:rPr>
      </w:pPr>
      <w:r w:rsidRPr="00A60F92">
        <w:rPr>
          <w:lang w:val="en-US"/>
        </w:rPr>
        <w:t>High capacity digital wireless systems have been developed in all three Regions. Each of the systems delineated below is incorporated by using a simple reference pointer. References to these syst</w:t>
      </w:r>
      <w:bookmarkStart w:id="28" w:name="_GoBack"/>
      <w:bookmarkEnd w:id="28"/>
      <w:r w:rsidRPr="00A60F92">
        <w:rPr>
          <w:lang w:val="en-US"/>
        </w:rPr>
        <w:t>ems are shown in the following Tables.</w:t>
      </w:r>
    </w:p>
    <w:p w:rsidR="00855287" w:rsidRDefault="00855287">
      <w:pPr>
        <w:tabs>
          <w:tab w:val="clear" w:pos="794"/>
          <w:tab w:val="clear" w:pos="1191"/>
          <w:tab w:val="clear" w:pos="1588"/>
          <w:tab w:val="clear" w:pos="1985"/>
        </w:tabs>
        <w:overflowPunct/>
        <w:autoSpaceDE/>
        <w:autoSpaceDN/>
        <w:adjustRightInd/>
        <w:spacing w:before="0"/>
        <w:jc w:val="left"/>
        <w:textAlignment w:val="auto"/>
        <w:rPr>
          <w:b/>
          <w:lang w:val="en-US"/>
        </w:rPr>
      </w:pPr>
      <w:bookmarkStart w:id="29" w:name="_Toc77150854"/>
      <w:bookmarkStart w:id="30" w:name="_Toc115517167"/>
      <w:r>
        <w:rPr>
          <w:lang w:val="en-US"/>
        </w:rPr>
        <w:br w:type="page"/>
      </w:r>
    </w:p>
    <w:p w:rsidR="00A60F92" w:rsidRPr="00855287" w:rsidRDefault="00A60F92" w:rsidP="00A60F92">
      <w:pPr>
        <w:pStyle w:val="Heading2"/>
        <w:rPr>
          <w:lang w:val="en-US"/>
        </w:rPr>
      </w:pPr>
      <w:r w:rsidRPr="00855287">
        <w:rPr>
          <w:lang w:val="en-US"/>
        </w:rPr>
        <w:lastRenderedPageBreak/>
        <w:t>6.1</w:t>
      </w:r>
      <w:r w:rsidRPr="00855287">
        <w:rPr>
          <w:lang w:val="en-US"/>
        </w:rPr>
        <w:tab/>
        <w:t>GSM</w:t>
      </w:r>
      <w:bookmarkEnd w:id="29"/>
      <w:bookmarkEnd w:id="30"/>
    </w:p>
    <w:p w:rsidR="00A60F92" w:rsidRPr="00A60F92" w:rsidRDefault="00A60F92" w:rsidP="00A60F92">
      <w:pPr>
        <w:rPr>
          <w:lang w:val="en-US"/>
        </w:rPr>
      </w:pPr>
      <w:r w:rsidRPr="00A60F92">
        <w:rPr>
          <w:lang w:val="en-US"/>
        </w:rPr>
        <w:t>These reference links describe the characteristics of GSM.</w:t>
      </w:r>
    </w:p>
    <w:p w:rsidR="00A60F92" w:rsidRPr="00A60F92" w:rsidRDefault="00A60F92" w:rsidP="00A7764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733"/>
        <w:gridCol w:w="2085"/>
        <w:gridCol w:w="847"/>
        <w:gridCol w:w="1578"/>
        <w:gridCol w:w="1128"/>
        <w:gridCol w:w="2873"/>
      </w:tblGrid>
      <w:tr w:rsidR="00A60F92" w:rsidRPr="00266F8E" w:rsidTr="00A7764A">
        <w:trPr>
          <w:cantSplit/>
          <w:jc w:val="center"/>
        </w:trPr>
        <w:tc>
          <w:tcPr>
            <w:tcW w:w="1134" w:type="dxa"/>
            <w:gridSpan w:val="2"/>
          </w:tcPr>
          <w:p w:rsidR="00A60F92" w:rsidRPr="00A60F92" w:rsidRDefault="00A60F92" w:rsidP="00A7764A">
            <w:pPr>
              <w:pStyle w:val="Tablehead"/>
              <w:rPr>
                <w:bCs/>
                <w:sz w:val="18"/>
                <w:lang w:val="en-US"/>
              </w:rPr>
            </w:pPr>
          </w:p>
        </w:tc>
        <w:tc>
          <w:tcPr>
            <w:tcW w:w="2098" w:type="dxa"/>
            <w:vAlign w:val="center"/>
          </w:tcPr>
          <w:p w:rsidR="00A60F92" w:rsidRPr="00266F8E" w:rsidRDefault="00A60F92" w:rsidP="00A7764A">
            <w:pPr>
              <w:pStyle w:val="Tablehead"/>
              <w:rPr>
                <w:bCs/>
                <w:sz w:val="18"/>
              </w:rPr>
            </w:pPr>
            <w:r w:rsidRPr="00266F8E">
              <w:rPr>
                <w:bCs/>
                <w:sz w:val="18"/>
              </w:rPr>
              <w:t>Document No.</w:t>
            </w:r>
          </w:p>
        </w:tc>
        <w:tc>
          <w:tcPr>
            <w:tcW w:w="851" w:type="dxa"/>
            <w:vAlign w:val="center"/>
          </w:tcPr>
          <w:p w:rsidR="00A60F92" w:rsidRPr="00266F8E" w:rsidRDefault="00A60F92" w:rsidP="00A7764A">
            <w:pPr>
              <w:pStyle w:val="Tablehead"/>
              <w:rPr>
                <w:bCs/>
                <w:sz w:val="18"/>
              </w:rPr>
            </w:pPr>
            <w:r w:rsidRPr="00266F8E">
              <w:rPr>
                <w:bCs/>
                <w:sz w:val="18"/>
              </w:rPr>
              <w:t>Version</w:t>
            </w:r>
          </w:p>
        </w:tc>
        <w:tc>
          <w:tcPr>
            <w:tcW w:w="1588" w:type="dxa"/>
            <w:vAlign w:val="center"/>
          </w:tcPr>
          <w:p w:rsidR="00A60F92" w:rsidRPr="00266F8E" w:rsidRDefault="00A60F92" w:rsidP="00A7764A">
            <w:pPr>
              <w:pStyle w:val="Tablehead"/>
              <w:rPr>
                <w:bCs/>
                <w:sz w:val="18"/>
              </w:rPr>
            </w:pPr>
            <w:r w:rsidRPr="00266F8E">
              <w:rPr>
                <w:bCs/>
                <w:sz w:val="18"/>
              </w:rPr>
              <w:t>Status</w:t>
            </w:r>
          </w:p>
        </w:tc>
        <w:tc>
          <w:tcPr>
            <w:tcW w:w="1134" w:type="dxa"/>
            <w:vAlign w:val="center"/>
          </w:tcPr>
          <w:p w:rsidR="00A60F92" w:rsidRPr="00266F8E" w:rsidRDefault="00A60F92" w:rsidP="00A7764A">
            <w:pPr>
              <w:pStyle w:val="Tablehead"/>
              <w:rPr>
                <w:bCs/>
                <w:sz w:val="18"/>
              </w:rPr>
            </w:pPr>
            <w:r w:rsidRPr="00266F8E">
              <w:rPr>
                <w:bCs/>
                <w:sz w:val="18"/>
              </w:rPr>
              <w:t>Issued date</w:t>
            </w:r>
          </w:p>
        </w:tc>
        <w:tc>
          <w:tcPr>
            <w:tcW w:w="2892" w:type="dxa"/>
            <w:vAlign w:val="center"/>
          </w:tcPr>
          <w:p w:rsidR="00A60F92" w:rsidRPr="00266F8E" w:rsidRDefault="00A60F92" w:rsidP="00A7764A">
            <w:pPr>
              <w:pStyle w:val="Tablehead"/>
              <w:rPr>
                <w:bCs/>
                <w:sz w:val="18"/>
              </w:rPr>
            </w:pPr>
            <w:r w:rsidRPr="00266F8E">
              <w:rPr>
                <w:bCs/>
                <w:sz w:val="18"/>
              </w:rPr>
              <w:t>Location</w:t>
            </w:r>
          </w:p>
        </w:tc>
      </w:tr>
      <w:tr w:rsidR="00A60F92" w:rsidRPr="00266F8E" w:rsidTr="00A7764A">
        <w:trPr>
          <w:cantSplit/>
          <w:jc w:val="center"/>
        </w:trPr>
        <w:tc>
          <w:tcPr>
            <w:tcW w:w="397" w:type="dxa"/>
          </w:tcPr>
          <w:p w:rsidR="00A60F92" w:rsidRPr="00D42925" w:rsidRDefault="00A60F92" w:rsidP="00D42925">
            <w:pPr>
              <w:pStyle w:val="Tabletext"/>
              <w:rPr>
                <w:sz w:val="18"/>
              </w:rPr>
            </w:pPr>
          </w:p>
        </w:tc>
        <w:tc>
          <w:tcPr>
            <w:tcW w:w="737" w:type="dxa"/>
          </w:tcPr>
          <w:p w:rsidR="00A60F92" w:rsidRPr="00266F8E" w:rsidRDefault="00A60F92" w:rsidP="00A7764A">
            <w:pPr>
              <w:pStyle w:val="Tabletext"/>
              <w:rPr>
                <w:sz w:val="18"/>
              </w:rPr>
            </w:pPr>
            <w:r w:rsidRPr="00266F8E">
              <w:rPr>
                <w:sz w:val="18"/>
              </w:rPr>
              <w:t>ETSI</w:t>
            </w:r>
          </w:p>
        </w:tc>
        <w:tc>
          <w:tcPr>
            <w:tcW w:w="2098" w:type="dxa"/>
          </w:tcPr>
          <w:p w:rsidR="00A60F92" w:rsidRPr="00266F8E" w:rsidRDefault="00A60F92" w:rsidP="00A7764A">
            <w:pPr>
              <w:pStyle w:val="Tabletext"/>
              <w:rPr>
                <w:sz w:val="18"/>
              </w:rPr>
            </w:pPr>
            <w:r w:rsidRPr="00266F8E">
              <w:rPr>
                <w:sz w:val="18"/>
              </w:rPr>
              <w:t>TS 102 338</w:t>
            </w:r>
          </w:p>
        </w:tc>
        <w:tc>
          <w:tcPr>
            <w:tcW w:w="851" w:type="dxa"/>
          </w:tcPr>
          <w:p w:rsidR="00A60F92" w:rsidRPr="00266F8E" w:rsidRDefault="00A60F92" w:rsidP="00A7764A">
            <w:pPr>
              <w:pStyle w:val="Tabletext"/>
              <w:rPr>
                <w:sz w:val="18"/>
              </w:rPr>
            </w:pPr>
            <w:r w:rsidRPr="00266F8E">
              <w:rPr>
                <w:sz w:val="18"/>
              </w:rPr>
              <w:t>1.0.0</w:t>
            </w:r>
          </w:p>
        </w:tc>
        <w:tc>
          <w:tcPr>
            <w:tcW w:w="1588" w:type="dxa"/>
          </w:tcPr>
          <w:p w:rsidR="00A60F92" w:rsidRPr="00266F8E" w:rsidRDefault="00A60F92" w:rsidP="00A7764A">
            <w:pPr>
              <w:pStyle w:val="Tabletext"/>
              <w:rPr>
                <w:sz w:val="18"/>
              </w:rPr>
            </w:pPr>
            <w:r w:rsidRPr="00266F8E">
              <w:rPr>
                <w:sz w:val="18"/>
              </w:rPr>
              <w:t>Published</w:t>
            </w:r>
          </w:p>
        </w:tc>
        <w:tc>
          <w:tcPr>
            <w:tcW w:w="1134" w:type="dxa"/>
          </w:tcPr>
          <w:p w:rsidR="00A60F92" w:rsidRPr="00266F8E" w:rsidRDefault="00A60F92" w:rsidP="00A7764A">
            <w:pPr>
              <w:pStyle w:val="Tabletext"/>
              <w:rPr>
                <w:sz w:val="18"/>
              </w:rPr>
            </w:pPr>
            <w:r w:rsidRPr="00266F8E">
              <w:rPr>
                <w:sz w:val="18"/>
              </w:rPr>
              <w:t>June 2004</w:t>
            </w:r>
          </w:p>
        </w:tc>
        <w:tc>
          <w:tcPr>
            <w:tcW w:w="2892" w:type="dxa"/>
          </w:tcPr>
          <w:p w:rsidR="00A60F92" w:rsidRPr="00266F8E" w:rsidRDefault="00855287" w:rsidP="00A7764A">
            <w:pPr>
              <w:pStyle w:val="Tabletext"/>
              <w:rPr>
                <w:sz w:val="18"/>
                <w:szCs w:val="18"/>
              </w:rPr>
            </w:pPr>
            <w:hyperlink r:id="rId16" w:history="1">
              <w:r w:rsidR="00A60F92" w:rsidRPr="00266F8E">
                <w:rPr>
                  <w:rStyle w:val="Hyperlink"/>
                  <w:sz w:val="18"/>
                  <w:szCs w:val="18"/>
                </w:rPr>
                <w:t>http://pda.etsi.org/exchangefolder/ts_102338v010000p.pdf</w:t>
              </w:r>
            </w:hyperlink>
          </w:p>
        </w:tc>
      </w:tr>
    </w:tbl>
    <w:p w:rsidR="00A7764A" w:rsidRPr="00855287" w:rsidRDefault="00A7764A" w:rsidP="00A7764A">
      <w:pPr>
        <w:pStyle w:val="Tablefin"/>
        <w:rPr>
          <w:lang w:val="fr-FR"/>
        </w:rPr>
      </w:pPr>
      <w:bookmarkStart w:id="31" w:name="_Toc115517168"/>
      <w:bookmarkStart w:id="32" w:name="_Toc77150855"/>
    </w:p>
    <w:p w:rsidR="00A60F92" w:rsidRPr="00A60F92" w:rsidRDefault="00A60F92" w:rsidP="00A7764A">
      <w:pPr>
        <w:pStyle w:val="Heading2"/>
        <w:rPr>
          <w:lang w:val="en-US"/>
        </w:rPr>
      </w:pPr>
      <w:r w:rsidRPr="00A60F92">
        <w:rPr>
          <w:lang w:val="en-US"/>
        </w:rPr>
        <w:t>6.2</w:t>
      </w:r>
      <w:r w:rsidRPr="00A60F92">
        <w:rPr>
          <w:lang w:val="en-US"/>
        </w:rPr>
        <w:tab/>
        <w:t>TIA/EIA-136 TDMA</w:t>
      </w:r>
      <w:bookmarkEnd w:id="31"/>
    </w:p>
    <w:p w:rsidR="00A60F92" w:rsidRPr="00A60F92" w:rsidRDefault="00A60F92" w:rsidP="00A60F92">
      <w:pPr>
        <w:rPr>
          <w:lang w:val="en-US"/>
        </w:rPr>
      </w:pPr>
      <w:r w:rsidRPr="00A60F92">
        <w:rPr>
          <w:lang w:val="en-US"/>
        </w:rPr>
        <w:t>These reference links describe the characteristics of TIA/EIA-136 TDMA.</w:t>
      </w:r>
    </w:p>
    <w:p w:rsidR="00A60F92" w:rsidRPr="00A60F92" w:rsidRDefault="00A60F92" w:rsidP="00A7764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733"/>
        <w:gridCol w:w="2085"/>
        <w:gridCol w:w="847"/>
        <w:gridCol w:w="1578"/>
        <w:gridCol w:w="1128"/>
        <w:gridCol w:w="2873"/>
      </w:tblGrid>
      <w:tr w:rsidR="00A60F92" w:rsidRPr="00266F8E" w:rsidTr="00A7764A">
        <w:trPr>
          <w:cantSplit/>
          <w:jc w:val="center"/>
        </w:trPr>
        <w:tc>
          <w:tcPr>
            <w:tcW w:w="1128" w:type="dxa"/>
            <w:gridSpan w:val="2"/>
          </w:tcPr>
          <w:p w:rsidR="00A60F92" w:rsidRPr="00A60F92" w:rsidRDefault="00A60F92" w:rsidP="00A7764A">
            <w:pPr>
              <w:pStyle w:val="Tablehead"/>
              <w:rPr>
                <w:bCs/>
                <w:sz w:val="18"/>
                <w:lang w:val="en-US"/>
              </w:rPr>
            </w:pPr>
          </w:p>
        </w:tc>
        <w:tc>
          <w:tcPr>
            <w:tcW w:w="2085" w:type="dxa"/>
            <w:vAlign w:val="center"/>
          </w:tcPr>
          <w:p w:rsidR="00A60F92" w:rsidRPr="00266F8E" w:rsidRDefault="00A60F92" w:rsidP="00A7764A">
            <w:pPr>
              <w:pStyle w:val="Tablehead"/>
              <w:rPr>
                <w:bCs/>
                <w:sz w:val="18"/>
              </w:rPr>
            </w:pPr>
            <w:r w:rsidRPr="00266F8E">
              <w:rPr>
                <w:bCs/>
                <w:sz w:val="18"/>
              </w:rPr>
              <w:t>Document No.</w:t>
            </w:r>
          </w:p>
        </w:tc>
        <w:tc>
          <w:tcPr>
            <w:tcW w:w="847" w:type="dxa"/>
            <w:vAlign w:val="center"/>
          </w:tcPr>
          <w:p w:rsidR="00A60F92" w:rsidRPr="00266F8E" w:rsidRDefault="00A60F92" w:rsidP="00A7764A">
            <w:pPr>
              <w:pStyle w:val="Tablehead"/>
              <w:rPr>
                <w:bCs/>
                <w:sz w:val="18"/>
              </w:rPr>
            </w:pPr>
            <w:r w:rsidRPr="00266F8E">
              <w:rPr>
                <w:bCs/>
                <w:sz w:val="18"/>
              </w:rPr>
              <w:t>Version</w:t>
            </w:r>
          </w:p>
        </w:tc>
        <w:tc>
          <w:tcPr>
            <w:tcW w:w="1578" w:type="dxa"/>
            <w:vAlign w:val="center"/>
          </w:tcPr>
          <w:p w:rsidR="00A60F92" w:rsidRPr="00266F8E" w:rsidRDefault="00A60F92" w:rsidP="00A7764A">
            <w:pPr>
              <w:pStyle w:val="Tablehead"/>
              <w:rPr>
                <w:bCs/>
                <w:sz w:val="18"/>
              </w:rPr>
            </w:pPr>
            <w:r w:rsidRPr="00266F8E">
              <w:rPr>
                <w:bCs/>
                <w:sz w:val="18"/>
              </w:rPr>
              <w:t>Status</w:t>
            </w:r>
          </w:p>
        </w:tc>
        <w:tc>
          <w:tcPr>
            <w:tcW w:w="1128" w:type="dxa"/>
            <w:vAlign w:val="center"/>
          </w:tcPr>
          <w:p w:rsidR="00A60F92" w:rsidRPr="00266F8E" w:rsidRDefault="00A60F92" w:rsidP="00A7764A">
            <w:pPr>
              <w:pStyle w:val="Tablehead"/>
              <w:rPr>
                <w:bCs/>
                <w:sz w:val="18"/>
              </w:rPr>
            </w:pPr>
            <w:r w:rsidRPr="00266F8E">
              <w:rPr>
                <w:bCs/>
                <w:sz w:val="18"/>
              </w:rPr>
              <w:t>Issued date</w:t>
            </w:r>
          </w:p>
        </w:tc>
        <w:tc>
          <w:tcPr>
            <w:tcW w:w="2873" w:type="dxa"/>
            <w:vAlign w:val="center"/>
          </w:tcPr>
          <w:p w:rsidR="00A60F92" w:rsidRPr="00266F8E" w:rsidRDefault="00A60F92" w:rsidP="00A7764A">
            <w:pPr>
              <w:pStyle w:val="Tablehead"/>
              <w:rPr>
                <w:bCs/>
                <w:sz w:val="18"/>
              </w:rPr>
            </w:pPr>
            <w:r w:rsidRPr="00266F8E">
              <w:rPr>
                <w:bCs/>
                <w:sz w:val="18"/>
              </w:rPr>
              <w:t>Location</w:t>
            </w:r>
          </w:p>
        </w:tc>
      </w:tr>
      <w:tr w:rsidR="00A60F92" w:rsidRPr="00266F8E" w:rsidTr="00A7764A">
        <w:trPr>
          <w:cantSplit/>
          <w:jc w:val="center"/>
        </w:trPr>
        <w:tc>
          <w:tcPr>
            <w:tcW w:w="395" w:type="dxa"/>
          </w:tcPr>
          <w:p w:rsidR="00A60F92" w:rsidRPr="00D42925" w:rsidRDefault="00A60F92" w:rsidP="00D42925">
            <w:pPr>
              <w:pStyle w:val="Tabletext"/>
              <w:rPr>
                <w:sz w:val="18"/>
              </w:rPr>
            </w:pPr>
          </w:p>
        </w:tc>
        <w:tc>
          <w:tcPr>
            <w:tcW w:w="733" w:type="dxa"/>
          </w:tcPr>
          <w:p w:rsidR="00A60F92" w:rsidRPr="00266F8E" w:rsidRDefault="00A60F92" w:rsidP="00A7764A">
            <w:pPr>
              <w:pStyle w:val="Tabletext"/>
              <w:rPr>
                <w:sz w:val="18"/>
              </w:rPr>
            </w:pPr>
            <w:r w:rsidRPr="00266F8E">
              <w:rPr>
                <w:sz w:val="18"/>
              </w:rPr>
              <w:t>TIA</w:t>
            </w:r>
          </w:p>
        </w:tc>
        <w:tc>
          <w:tcPr>
            <w:tcW w:w="2085" w:type="dxa"/>
          </w:tcPr>
          <w:p w:rsidR="00A60F92" w:rsidRPr="00266F8E" w:rsidRDefault="00A60F92" w:rsidP="00A7764A">
            <w:pPr>
              <w:pStyle w:val="Tabletext"/>
              <w:rPr>
                <w:sz w:val="18"/>
              </w:rPr>
            </w:pPr>
            <w:r w:rsidRPr="00266F8E">
              <w:rPr>
                <w:sz w:val="18"/>
              </w:rPr>
              <w:t>TIA-136-000</w:t>
            </w:r>
          </w:p>
        </w:tc>
        <w:tc>
          <w:tcPr>
            <w:tcW w:w="847" w:type="dxa"/>
          </w:tcPr>
          <w:p w:rsidR="00A60F92" w:rsidRPr="00266F8E" w:rsidRDefault="00A60F92" w:rsidP="00A7764A">
            <w:pPr>
              <w:pStyle w:val="Tabletext"/>
              <w:rPr>
                <w:sz w:val="18"/>
              </w:rPr>
            </w:pPr>
            <w:r w:rsidRPr="00266F8E">
              <w:rPr>
                <w:sz w:val="18"/>
              </w:rPr>
              <w:t>E</w:t>
            </w:r>
          </w:p>
        </w:tc>
        <w:tc>
          <w:tcPr>
            <w:tcW w:w="1578" w:type="dxa"/>
          </w:tcPr>
          <w:p w:rsidR="00A60F92" w:rsidRPr="00266F8E" w:rsidRDefault="00A60F92" w:rsidP="00A7764A">
            <w:pPr>
              <w:pStyle w:val="Tabletext"/>
              <w:rPr>
                <w:sz w:val="18"/>
              </w:rPr>
            </w:pPr>
            <w:r w:rsidRPr="00266F8E">
              <w:rPr>
                <w:sz w:val="18"/>
              </w:rPr>
              <w:t>Published ANS</w:t>
            </w:r>
          </w:p>
        </w:tc>
        <w:tc>
          <w:tcPr>
            <w:tcW w:w="1128" w:type="dxa"/>
          </w:tcPr>
          <w:p w:rsidR="00A60F92" w:rsidRPr="00266F8E" w:rsidRDefault="00A60F92" w:rsidP="00A7764A">
            <w:pPr>
              <w:pStyle w:val="Tabletext"/>
              <w:rPr>
                <w:sz w:val="18"/>
              </w:rPr>
            </w:pPr>
            <w:r w:rsidRPr="00266F8E">
              <w:rPr>
                <w:sz w:val="18"/>
              </w:rPr>
              <w:t>2004-01-14</w:t>
            </w:r>
          </w:p>
        </w:tc>
        <w:tc>
          <w:tcPr>
            <w:tcW w:w="2873" w:type="dxa"/>
          </w:tcPr>
          <w:p w:rsidR="00A60F92" w:rsidRPr="00266F8E" w:rsidRDefault="00855287" w:rsidP="00A7764A">
            <w:pPr>
              <w:pStyle w:val="Tabletext"/>
              <w:rPr>
                <w:sz w:val="18"/>
              </w:rPr>
            </w:pPr>
            <w:hyperlink r:id="rId17" w:history="1">
              <w:r w:rsidR="00A60F92" w:rsidRPr="00266F8E">
                <w:rPr>
                  <w:rStyle w:val="Hyperlink"/>
                  <w:sz w:val="18"/>
                </w:rPr>
                <w:t>http://ftp.tiaonline.org/uwc136/136-000-E.pdf</w:t>
              </w:r>
            </w:hyperlink>
            <w:r w:rsidR="00A60F92" w:rsidRPr="00266F8E">
              <w:rPr>
                <w:sz w:val="18"/>
              </w:rPr>
              <w:t xml:space="preserve"> </w:t>
            </w:r>
          </w:p>
        </w:tc>
      </w:tr>
    </w:tbl>
    <w:p w:rsidR="00A7764A" w:rsidRPr="00855287" w:rsidRDefault="00A7764A" w:rsidP="00A7764A">
      <w:pPr>
        <w:pStyle w:val="Tablefin"/>
        <w:rPr>
          <w:lang w:val="fr-FR"/>
        </w:rPr>
      </w:pPr>
      <w:bookmarkStart w:id="33" w:name="_Toc77150856"/>
      <w:bookmarkStart w:id="34" w:name="_Toc115517169"/>
      <w:bookmarkEnd w:id="32"/>
    </w:p>
    <w:p w:rsidR="00A60F92" w:rsidRPr="00A60F92" w:rsidRDefault="00A60F92" w:rsidP="00A7764A">
      <w:pPr>
        <w:pStyle w:val="Heading2"/>
        <w:rPr>
          <w:lang w:val="en-US"/>
        </w:rPr>
      </w:pPr>
      <w:r w:rsidRPr="00A60F92">
        <w:rPr>
          <w:lang w:val="en-US"/>
        </w:rPr>
        <w:t>6.3</w:t>
      </w:r>
      <w:r w:rsidRPr="00A60F92">
        <w:rPr>
          <w:lang w:val="en-US"/>
        </w:rPr>
        <w:tab/>
      </w:r>
      <w:bookmarkEnd w:id="33"/>
      <w:r w:rsidRPr="00A60F92">
        <w:rPr>
          <w:lang w:val="en-US"/>
        </w:rPr>
        <w:t>TIA/EIA-95 CDMA</w:t>
      </w:r>
      <w:bookmarkEnd w:id="34"/>
    </w:p>
    <w:p w:rsidR="00A60F92" w:rsidRPr="00A60F92" w:rsidRDefault="00A60F92" w:rsidP="00A60F92">
      <w:pPr>
        <w:rPr>
          <w:lang w:val="en-US"/>
        </w:rPr>
      </w:pPr>
      <w:r w:rsidRPr="00A60F92">
        <w:rPr>
          <w:lang w:val="en-US"/>
        </w:rPr>
        <w:t>These reference links describe the characteristics of TIA/EIA-95 CDMA.</w:t>
      </w:r>
    </w:p>
    <w:p w:rsidR="00A60F92" w:rsidRPr="00A60F92" w:rsidRDefault="00A60F92" w:rsidP="00A7764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733"/>
        <w:gridCol w:w="2085"/>
        <w:gridCol w:w="847"/>
        <w:gridCol w:w="1578"/>
        <w:gridCol w:w="1128"/>
        <w:gridCol w:w="2873"/>
      </w:tblGrid>
      <w:tr w:rsidR="00A60F92" w:rsidRPr="00266F8E" w:rsidTr="00A7764A">
        <w:trPr>
          <w:cantSplit/>
          <w:jc w:val="center"/>
        </w:trPr>
        <w:tc>
          <w:tcPr>
            <w:tcW w:w="1128" w:type="dxa"/>
            <w:gridSpan w:val="2"/>
          </w:tcPr>
          <w:p w:rsidR="00A60F92" w:rsidRPr="00A60F92" w:rsidRDefault="00A60F92" w:rsidP="00A7764A">
            <w:pPr>
              <w:pStyle w:val="Tablehead"/>
              <w:rPr>
                <w:bCs/>
                <w:sz w:val="18"/>
                <w:lang w:val="en-US"/>
              </w:rPr>
            </w:pPr>
          </w:p>
        </w:tc>
        <w:tc>
          <w:tcPr>
            <w:tcW w:w="2085" w:type="dxa"/>
            <w:vAlign w:val="center"/>
          </w:tcPr>
          <w:p w:rsidR="00A60F92" w:rsidRPr="00266F8E" w:rsidRDefault="00A60F92" w:rsidP="00A7764A">
            <w:pPr>
              <w:pStyle w:val="Tablehead"/>
              <w:rPr>
                <w:bCs/>
                <w:sz w:val="18"/>
              </w:rPr>
            </w:pPr>
            <w:r w:rsidRPr="00266F8E">
              <w:rPr>
                <w:bCs/>
                <w:sz w:val="18"/>
              </w:rPr>
              <w:t>Document No.</w:t>
            </w:r>
          </w:p>
        </w:tc>
        <w:tc>
          <w:tcPr>
            <w:tcW w:w="847" w:type="dxa"/>
            <w:vAlign w:val="center"/>
          </w:tcPr>
          <w:p w:rsidR="00A60F92" w:rsidRPr="00266F8E" w:rsidRDefault="00A60F92" w:rsidP="00A7764A">
            <w:pPr>
              <w:pStyle w:val="Tablehead"/>
              <w:rPr>
                <w:bCs/>
                <w:sz w:val="18"/>
              </w:rPr>
            </w:pPr>
            <w:r w:rsidRPr="00266F8E">
              <w:rPr>
                <w:bCs/>
                <w:sz w:val="18"/>
              </w:rPr>
              <w:t>Version</w:t>
            </w:r>
          </w:p>
        </w:tc>
        <w:tc>
          <w:tcPr>
            <w:tcW w:w="1578" w:type="dxa"/>
            <w:vAlign w:val="center"/>
          </w:tcPr>
          <w:p w:rsidR="00A60F92" w:rsidRPr="00266F8E" w:rsidRDefault="00A60F92" w:rsidP="00A7764A">
            <w:pPr>
              <w:pStyle w:val="Tablehead"/>
              <w:rPr>
                <w:bCs/>
                <w:sz w:val="18"/>
              </w:rPr>
            </w:pPr>
            <w:r w:rsidRPr="00266F8E">
              <w:rPr>
                <w:bCs/>
                <w:sz w:val="18"/>
              </w:rPr>
              <w:t>Status</w:t>
            </w:r>
          </w:p>
        </w:tc>
        <w:tc>
          <w:tcPr>
            <w:tcW w:w="1128" w:type="dxa"/>
            <w:vAlign w:val="center"/>
          </w:tcPr>
          <w:p w:rsidR="00A60F92" w:rsidRPr="00266F8E" w:rsidRDefault="00A60F92" w:rsidP="00A7764A">
            <w:pPr>
              <w:pStyle w:val="Tablehead"/>
              <w:rPr>
                <w:bCs/>
                <w:sz w:val="18"/>
              </w:rPr>
            </w:pPr>
            <w:r w:rsidRPr="00266F8E">
              <w:rPr>
                <w:bCs/>
                <w:sz w:val="18"/>
              </w:rPr>
              <w:t>Issued date</w:t>
            </w:r>
          </w:p>
        </w:tc>
        <w:tc>
          <w:tcPr>
            <w:tcW w:w="2873" w:type="dxa"/>
            <w:vAlign w:val="center"/>
          </w:tcPr>
          <w:p w:rsidR="00A60F92" w:rsidRPr="00266F8E" w:rsidRDefault="00A60F92" w:rsidP="00A7764A">
            <w:pPr>
              <w:pStyle w:val="Tablehead"/>
              <w:rPr>
                <w:bCs/>
                <w:sz w:val="18"/>
              </w:rPr>
            </w:pPr>
            <w:r w:rsidRPr="00266F8E">
              <w:rPr>
                <w:bCs/>
                <w:sz w:val="18"/>
              </w:rPr>
              <w:t>Location</w:t>
            </w:r>
          </w:p>
        </w:tc>
      </w:tr>
      <w:tr w:rsidR="00A60F92" w:rsidRPr="00266F8E" w:rsidTr="00A7764A">
        <w:trPr>
          <w:cantSplit/>
          <w:jc w:val="center"/>
        </w:trPr>
        <w:tc>
          <w:tcPr>
            <w:tcW w:w="395" w:type="dxa"/>
          </w:tcPr>
          <w:p w:rsidR="00A60F92" w:rsidRPr="00D42925" w:rsidRDefault="00A60F92" w:rsidP="00A7764A">
            <w:pPr>
              <w:pStyle w:val="Tabletext"/>
              <w:jc w:val="center"/>
              <w:rPr>
                <w:position w:val="6"/>
                <w:sz w:val="18"/>
              </w:rPr>
            </w:pPr>
          </w:p>
        </w:tc>
        <w:tc>
          <w:tcPr>
            <w:tcW w:w="733" w:type="dxa"/>
          </w:tcPr>
          <w:p w:rsidR="00A60F92" w:rsidRPr="00266F8E" w:rsidRDefault="00A60F92" w:rsidP="00A7764A">
            <w:pPr>
              <w:pStyle w:val="Tabletext"/>
              <w:rPr>
                <w:sz w:val="18"/>
              </w:rPr>
            </w:pPr>
            <w:r w:rsidRPr="00266F8E">
              <w:rPr>
                <w:sz w:val="18"/>
              </w:rPr>
              <w:t>TIA</w:t>
            </w:r>
          </w:p>
        </w:tc>
        <w:tc>
          <w:tcPr>
            <w:tcW w:w="2085" w:type="dxa"/>
          </w:tcPr>
          <w:p w:rsidR="00A60F92" w:rsidRPr="00266F8E" w:rsidRDefault="00A60F92" w:rsidP="00A7764A">
            <w:pPr>
              <w:pStyle w:val="Tabletext"/>
              <w:rPr>
                <w:sz w:val="18"/>
              </w:rPr>
            </w:pPr>
            <w:r w:rsidRPr="00266F8E">
              <w:rPr>
                <w:sz w:val="18"/>
              </w:rPr>
              <w:t>TIA-2000.000</w:t>
            </w:r>
          </w:p>
        </w:tc>
        <w:tc>
          <w:tcPr>
            <w:tcW w:w="847" w:type="dxa"/>
          </w:tcPr>
          <w:p w:rsidR="00A60F92" w:rsidRPr="00266F8E" w:rsidRDefault="00A60F92" w:rsidP="00A7764A">
            <w:pPr>
              <w:pStyle w:val="Tabletext"/>
              <w:rPr>
                <w:sz w:val="18"/>
              </w:rPr>
            </w:pPr>
            <w:r w:rsidRPr="00266F8E">
              <w:rPr>
                <w:sz w:val="18"/>
              </w:rPr>
              <w:t>1.0</w:t>
            </w:r>
          </w:p>
        </w:tc>
        <w:tc>
          <w:tcPr>
            <w:tcW w:w="1578" w:type="dxa"/>
          </w:tcPr>
          <w:p w:rsidR="00A60F92" w:rsidRPr="00266F8E" w:rsidRDefault="00A60F92" w:rsidP="00A7764A">
            <w:pPr>
              <w:pStyle w:val="Tabletext"/>
              <w:rPr>
                <w:sz w:val="18"/>
              </w:rPr>
            </w:pPr>
            <w:r w:rsidRPr="00266F8E">
              <w:rPr>
                <w:sz w:val="18"/>
              </w:rPr>
              <w:t>Published</w:t>
            </w:r>
          </w:p>
        </w:tc>
        <w:tc>
          <w:tcPr>
            <w:tcW w:w="1128" w:type="dxa"/>
          </w:tcPr>
          <w:p w:rsidR="00A60F92" w:rsidRPr="00266F8E" w:rsidRDefault="00A60F92" w:rsidP="00A7764A">
            <w:pPr>
              <w:pStyle w:val="Tabletext"/>
              <w:rPr>
                <w:sz w:val="18"/>
              </w:rPr>
            </w:pPr>
            <w:r w:rsidRPr="00266F8E">
              <w:rPr>
                <w:sz w:val="18"/>
              </w:rPr>
              <w:t>2004-06</w:t>
            </w:r>
          </w:p>
        </w:tc>
        <w:tc>
          <w:tcPr>
            <w:tcW w:w="2873" w:type="dxa"/>
          </w:tcPr>
          <w:p w:rsidR="00A60F92" w:rsidRPr="00266F8E" w:rsidRDefault="00855287" w:rsidP="00A7764A">
            <w:pPr>
              <w:pStyle w:val="Tabletext"/>
              <w:rPr>
                <w:color w:val="000000"/>
                <w:sz w:val="18"/>
                <w:szCs w:val="18"/>
              </w:rPr>
            </w:pPr>
            <w:hyperlink r:id="rId18" w:history="1">
              <w:r w:rsidR="00A60F92" w:rsidRPr="00266F8E">
                <w:rPr>
                  <w:rStyle w:val="Hyperlink"/>
                  <w:sz w:val="18"/>
                  <w:szCs w:val="18"/>
                </w:rPr>
                <w:t>http://ftp.tiaonline.org/TR-45/TR-45.5/Public/ITUM1073/TIA-2000.00_CDMA_List%20of%20Stds.doc</w:t>
              </w:r>
            </w:hyperlink>
            <w:r w:rsidR="00A60F92" w:rsidRPr="00266F8E">
              <w:rPr>
                <w:color w:val="000000"/>
                <w:sz w:val="18"/>
                <w:szCs w:val="18"/>
              </w:rPr>
              <w:t xml:space="preserve"> </w:t>
            </w:r>
          </w:p>
        </w:tc>
      </w:tr>
    </w:tbl>
    <w:p w:rsidR="00A7764A" w:rsidRPr="00855287" w:rsidRDefault="00A7764A" w:rsidP="00A7764A">
      <w:pPr>
        <w:pStyle w:val="Tablefin"/>
        <w:rPr>
          <w:lang w:val="fr-FR"/>
        </w:rPr>
      </w:pPr>
      <w:bookmarkStart w:id="35" w:name="_Toc115517170"/>
    </w:p>
    <w:p w:rsidR="00A60F92" w:rsidRPr="00A60F92" w:rsidRDefault="00A60F92" w:rsidP="00A7764A">
      <w:pPr>
        <w:pStyle w:val="Heading2"/>
        <w:rPr>
          <w:rFonts w:ascii="Times New Roman Bold" w:hAnsi="Times New Roman Bold"/>
          <w:szCs w:val="24"/>
          <w:lang w:val="en-US"/>
        </w:rPr>
      </w:pPr>
      <w:r w:rsidRPr="00A60F92">
        <w:rPr>
          <w:lang w:val="en-US"/>
        </w:rPr>
        <w:t>6.4</w:t>
      </w:r>
      <w:r w:rsidRPr="00A60F92">
        <w:rPr>
          <w:lang w:val="en-US"/>
        </w:rPr>
        <w:tab/>
        <w:t>PDC</w:t>
      </w:r>
      <w:bookmarkEnd w:id="35"/>
    </w:p>
    <w:p w:rsidR="00A60F92" w:rsidRPr="00A60F92" w:rsidRDefault="00A60F92" w:rsidP="00A60F92">
      <w:pPr>
        <w:rPr>
          <w:lang w:val="en-US"/>
        </w:rPr>
      </w:pPr>
      <w:r w:rsidRPr="00A60F92">
        <w:rPr>
          <w:lang w:val="en-US"/>
        </w:rPr>
        <w:t>These reference links describe the characteristics of PDC.</w:t>
      </w:r>
    </w:p>
    <w:p w:rsidR="00A60F92" w:rsidRPr="00A60F92" w:rsidRDefault="00A60F92" w:rsidP="00A7764A">
      <w:pPr>
        <w:pStyle w:val="Blanc"/>
        <w:rPr>
          <w:lang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733"/>
        <w:gridCol w:w="2085"/>
        <w:gridCol w:w="847"/>
        <w:gridCol w:w="1578"/>
        <w:gridCol w:w="1128"/>
        <w:gridCol w:w="2873"/>
      </w:tblGrid>
      <w:tr w:rsidR="00A60F92" w:rsidRPr="00266F8E" w:rsidTr="00A7764A">
        <w:trPr>
          <w:cantSplit/>
          <w:jc w:val="center"/>
        </w:trPr>
        <w:tc>
          <w:tcPr>
            <w:tcW w:w="1134" w:type="dxa"/>
            <w:gridSpan w:val="2"/>
          </w:tcPr>
          <w:p w:rsidR="00A60F92" w:rsidRPr="00A60F92" w:rsidRDefault="00A60F92" w:rsidP="00A7764A">
            <w:pPr>
              <w:pStyle w:val="Tablehead"/>
              <w:rPr>
                <w:bCs/>
                <w:sz w:val="18"/>
                <w:lang w:val="en-US"/>
              </w:rPr>
            </w:pPr>
          </w:p>
        </w:tc>
        <w:tc>
          <w:tcPr>
            <w:tcW w:w="2098" w:type="dxa"/>
            <w:vAlign w:val="center"/>
          </w:tcPr>
          <w:p w:rsidR="00A60F92" w:rsidRPr="00266F8E" w:rsidRDefault="00A60F92" w:rsidP="00A7764A">
            <w:pPr>
              <w:pStyle w:val="Tablehead"/>
              <w:rPr>
                <w:bCs/>
                <w:sz w:val="18"/>
              </w:rPr>
            </w:pPr>
            <w:r w:rsidRPr="00266F8E">
              <w:rPr>
                <w:bCs/>
                <w:sz w:val="18"/>
              </w:rPr>
              <w:t>Document No.</w:t>
            </w:r>
          </w:p>
        </w:tc>
        <w:tc>
          <w:tcPr>
            <w:tcW w:w="851" w:type="dxa"/>
            <w:vAlign w:val="center"/>
          </w:tcPr>
          <w:p w:rsidR="00A60F92" w:rsidRPr="00266F8E" w:rsidRDefault="00A60F92" w:rsidP="00A7764A">
            <w:pPr>
              <w:pStyle w:val="Tablehead"/>
              <w:rPr>
                <w:bCs/>
                <w:sz w:val="18"/>
              </w:rPr>
            </w:pPr>
            <w:r w:rsidRPr="00266F8E">
              <w:rPr>
                <w:bCs/>
                <w:sz w:val="18"/>
              </w:rPr>
              <w:t>Version</w:t>
            </w:r>
          </w:p>
        </w:tc>
        <w:tc>
          <w:tcPr>
            <w:tcW w:w="1588" w:type="dxa"/>
            <w:vAlign w:val="center"/>
          </w:tcPr>
          <w:p w:rsidR="00A60F92" w:rsidRPr="00266F8E" w:rsidRDefault="00A60F92" w:rsidP="00A7764A">
            <w:pPr>
              <w:pStyle w:val="Tablehead"/>
              <w:rPr>
                <w:bCs/>
                <w:sz w:val="18"/>
              </w:rPr>
            </w:pPr>
            <w:r w:rsidRPr="00266F8E">
              <w:rPr>
                <w:bCs/>
                <w:sz w:val="18"/>
              </w:rPr>
              <w:t>Status</w:t>
            </w:r>
          </w:p>
        </w:tc>
        <w:tc>
          <w:tcPr>
            <w:tcW w:w="1134" w:type="dxa"/>
            <w:vAlign w:val="center"/>
          </w:tcPr>
          <w:p w:rsidR="00A60F92" w:rsidRPr="00266F8E" w:rsidRDefault="00A60F92" w:rsidP="00A7764A">
            <w:pPr>
              <w:pStyle w:val="Tablehead"/>
              <w:rPr>
                <w:bCs/>
                <w:sz w:val="18"/>
              </w:rPr>
            </w:pPr>
            <w:r w:rsidRPr="00266F8E">
              <w:rPr>
                <w:bCs/>
                <w:sz w:val="18"/>
              </w:rPr>
              <w:t>Issued date</w:t>
            </w:r>
          </w:p>
        </w:tc>
        <w:tc>
          <w:tcPr>
            <w:tcW w:w="2892" w:type="dxa"/>
            <w:vAlign w:val="center"/>
          </w:tcPr>
          <w:p w:rsidR="00A60F92" w:rsidRPr="00266F8E" w:rsidRDefault="00A60F92" w:rsidP="00A7764A">
            <w:pPr>
              <w:pStyle w:val="Tablehead"/>
              <w:rPr>
                <w:bCs/>
                <w:sz w:val="18"/>
              </w:rPr>
            </w:pPr>
            <w:r w:rsidRPr="00266F8E">
              <w:rPr>
                <w:bCs/>
                <w:sz w:val="18"/>
              </w:rPr>
              <w:t>Location</w:t>
            </w:r>
          </w:p>
        </w:tc>
      </w:tr>
      <w:tr w:rsidR="00A60F92" w:rsidRPr="00266F8E" w:rsidTr="00A7764A">
        <w:trPr>
          <w:cantSplit/>
          <w:jc w:val="center"/>
        </w:trPr>
        <w:tc>
          <w:tcPr>
            <w:tcW w:w="397" w:type="dxa"/>
          </w:tcPr>
          <w:p w:rsidR="00A60F92" w:rsidRPr="00D42925" w:rsidRDefault="00A60F92" w:rsidP="00A7764A">
            <w:pPr>
              <w:pStyle w:val="Tabletext"/>
              <w:jc w:val="center"/>
              <w:rPr>
                <w:position w:val="6"/>
                <w:sz w:val="18"/>
              </w:rPr>
            </w:pPr>
          </w:p>
        </w:tc>
        <w:tc>
          <w:tcPr>
            <w:tcW w:w="737" w:type="dxa"/>
          </w:tcPr>
          <w:p w:rsidR="00A60F92" w:rsidRPr="00266F8E" w:rsidRDefault="00A60F92" w:rsidP="00A7764A">
            <w:pPr>
              <w:pStyle w:val="Tabletext"/>
              <w:rPr>
                <w:sz w:val="18"/>
              </w:rPr>
            </w:pPr>
            <w:r w:rsidRPr="00266F8E">
              <w:rPr>
                <w:sz w:val="18"/>
              </w:rPr>
              <w:t>ARIB</w:t>
            </w:r>
          </w:p>
        </w:tc>
        <w:tc>
          <w:tcPr>
            <w:tcW w:w="2098" w:type="dxa"/>
          </w:tcPr>
          <w:p w:rsidR="00A60F92" w:rsidRPr="00266F8E" w:rsidRDefault="00A60F92" w:rsidP="00A7764A">
            <w:pPr>
              <w:pStyle w:val="Tabletext"/>
              <w:rPr>
                <w:sz w:val="18"/>
                <w:lang w:eastAsia="ja-JP"/>
              </w:rPr>
            </w:pPr>
            <w:r w:rsidRPr="00266F8E">
              <w:rPr>
                <w:sz w:val="18"/>
                <w:lang w:eastAsia="ja-JP"/>
              </w:rPr>
              <w:t>RCR STD-27</w:t>
            </w:r>
          </w:p>
        </w:tc>
        <w:tc>
          <w:tcPr>
            <w:tcW w:w="851" w:type="dxa"/>
          </w:tcPr>
          <w:p w:rsidR="00A60F92" w:rsidRPr="00266F8E" w:rsidRDefault="00A60F92" w:rsidP="00A7764A">
            <w:pPr>
              <w:rPr>
                <w:sz w:val="18"/>
                <w:szCs w:val="18"/>
                <w:lang w:eastAsia="ja-JP"/>
              </w:rPr>
            </w:pPr>
            <w:r w:rsidRPr="00266F8E">
              <w:rPr>
                <w:sz w:val="18"/>
                <w:szCs w:val="18"/>
                <w:lang w:eastAsia="ja-JP"/>
              </w:rPr>
              <w:t>L</w:t>
            </w:r>
          </w:p>
        </w:tc>
        <w:tc>
          <w:tcPr>
            <w:tcW w:w="1588" w:type="dxa"/>
          </w:tcPr>
          <w:p w:rsidR="00A60F92" w:rsidRPr="00266F8E" w:rsidRDefault="00A60F92" w:rsidP="00A7764A">
            <w:pPr>
              <w:pStyle w:val="Tabletext"/>
              <w:rPr>
                <w:sz w:val="18"/>
                <w:lang w:eastAsia="ja-JP"/>
              </w:rPr>
            </w:pPr>
            <w:r w:rsidRPr="00266F8E">
              <w:rPr>
                <w:sz w:val="18"/>
                <w:lang w:eastAsia="ja-JP"/>
              </w:rPr>
              <w:t>Published</w:t>
            </w:r>
          </w:p>
        </w:tc>
        <w:tc>
          <w:tcPr>
            <w:tcW w:w="1134" w:type="dxa"/>
          </w:tcPr>
          <w:p w:rsidR="00A60F92" w:rsidRPr="00266F8E" w:rsidRDefault="00A60F92" w:rsidP="00A7764A">
            <w:pPr>
              <w:rPr>
                <w:sz w:val="18"/>
                <w:szCs w:val="18"/>
                <w:lang w:eastAsia="ja-JP"/>
              </w:rPr>
            </w:pPr>
            <w:r w:rsidRPr="00266F8E">
              <w:rPr>
                <w:sz w:val="18"/>
                <w:szCs w:val="18"/>
                <w:lang w:eastAsia="ja-JP"/>
              </w:rPr>
              <w:t>Nov. 2005</w:t>
            </w:r>
          </w:p>
        </w:tc>
        <w:tc>
          <w:tcPr>
            <w:tcW w:w="2892" w:type="dxa"/>
          </w:tcPr>
          <w:p w:rsidR="00A60F92" w:rsidRPr="00266F8E" w:rsidRDefault="00855287" w:rsidP="00A7764A">
            <w:pPr>
              <w:pStyle w:val="Tabletext"/>
              <w:rPr>
                <w:color w:val="FF0000"/>
                <w:sz w:val="18"/>
                <w:szCs w:val="18"/>
                <w:u w:val="single"/>
                <w:lang w:eastAsia="ja-JP"/>
              </w:rPr>
            </w:pPr>
            <w:hyperlink r:id="rId19" w:history="1">
              <w:r w:rsidR="00A60F92" w:rsidRPr="00A7764A">
                <w:rPr>
                  <w:rStyle w:val="Hyperlink"/>
                  <w:sz w:val="18"/>
                  <w:szCs w:val="18"/>
                  <w:lang w:eastAsia="ja-JP"/>
                </w:rPr>
                <w:t>http://www.arib.or.jp/english/html/overview/doc/5-STD-27_L-1p3-E.pdf</w:t>
              </w:r>
            </w:hyperlink>
            <w:r w:rsidR="00A60F92" w:rsidRPr="00266F8E">
              <w:rPr>
                <w:color w:val="FF0000"/>
                <w:sz w:val="18"/>
                <w:szCs w:val="18"/>
                <w:u w:val="single"/>
                <w:lang w:eastAsia="ja-JP"/>
              </w:rPr>
              <w:t xml:space="preserve"> </w:t>
            </w:r>
            <w:r w:rsidR="00A60F92" w:rsidRPr="00266F8E">
              <w:rPr>
                <w:color w:val="FF0000"/>
              </w:rPr>
              <w:t xml:space="preserve"> </w:t>
            </w:r>
            <w:hyperlink r:id="rId20" w:history="1">
              <w:r w:rsidR="00A60F92" w:rsidRPr="00A7764A">
                <w:rPr>
                  <w:rStyle w:val="Hyperlink"/>
                  <w:sz w:val="18"/>
                  <w:szCs w:val="18"/>
                  <w:lang w:eastAsia="ja-JP"/>
                </w:rPr>
                <w:t>http://www.arib.or.jp/english/html/overview/doc/5-STD-27_L-2p3-E.pdf</w:t>
              </w:r>
            </w:hyperlink>
            <w:r w:rsidR="00A60F92" w:rsidRPr="00266F8E" w:rsidDel="00DC20E4">
              <w:rPr>
                <w:color w:val="FF0000"/>
                <w:sz w:val="18"/>
                <w:szCs w:val="18"/>
                <w:u w:val="single"/>
                <w:lang w:eastAsia="ja-JP"/>
              </w:rPr>
              <w:t xml:space="preserve"> </w:t>
            </w:r>
            <w:r w:rsidR="00A60F92" w:rsidRPr="00266F8E">
              <w:rPr>
                <w:color w:val="FF0000"/>
              </w:rPr>
              <w:t xml:space="preserve"> </w:t>
            </w:r>
            <w:hyperlink r:id="rId21" w:history="1">
              <w:r w:rsidR="00A60F92" w:rsidRPr="00A7764A">
                <w:rPr>
                  <w:rStyle w:val="Hyperlink"/>
                  <w:sz w:val="18"/>
                  <w:szCs w:val="18"/>
                  <w:lang w:eastAsia="ja-JP"/>
                </w:rPr>
                <w:t>http://www.arib.or.jp/english/html/overview/doc/5-STD-27_L-3p3-E.pdf</w:t>
              </w:r>
            </w:hyperlink>
            <w:r w:rsidR="00A60F92" w:rsidRPr="00266F8E" w:rsidDel="00DC20E4">
              <w:rPr>
                <w:color w:val="FF0000"/>
                <w:sz w:val="18"/>
                <w:szCs w:val="18"/>
                <w:u w:val="single"/>
                <w:lang w:eastAsia="ja-JP"/>
              </w:rPr>
              <w:t xml:space="preserve"> </w:t>
            </w:r>
          </w:p>
        </w:tc>
      </w:tr>
    </w:tbl>
    <w:p w:rsidR="00A60F92" w:rsidRPr="00A60F92" w:rsidRDefault="00A60F92" w:rsidP="00A60F92">
      <w:pPr>
        <w:pStyle w:val="Tablefin"/>
        <w:rPr>
          <w:lang w:val="fr-FR"/>
        </w:rPr>
      </w:pPr>
    </w:p>
    <w:p w:rsidR="00A60F92" w:rsidRPr="00A60F92" w:rsidRDefault="00A60F92" w:rsidP="00A60F92"/>
    <w:p w:rsidR="00A60F92" w:rsidRPr="00A60F92" w:rsidRDefault="00A60F92" w:rsidP="00A60F92"/>
    <w:p w:rsidR="00A60F92" w:rsidRPr="00A60F92" w:rsidRDefault="00A60F92" w:rsidP="00A60F92">
      <w:pPr>
        <w:pStyle w:val="Line"/>
        <w:rPr>
          <w:lang w:val="fr-FR"/>
        </w:rPr>
      </w:pPr>
    </w:p>
    <w:sectPr w:rsidR="00A60F92" w:rsidRPr="00A60F9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64A" w:rsidRDefault="00A7764A">
      <w:r>
        <w:separator/>
      </w:r>
    </w:p>
  </w:endnote>
  <w:endnote w:type="continuationSeparator" w:id="0">
    <w:p w:rsidR="00A7764A" w:rsidRDefault="00A77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64A" w:rsidRDefault="00A7764A">
      <w:r>
        <w:separator/>
      </w:r>
    </w:p>
  </w:footnote>
  <w:footnote w:type="continuationSeparator" w:id="0">
    <w:p w:rsidR="00A7764A" w:rsidRDefault="00A77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64A" w:rsidRDefault="00A7764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64A" w:rsidRDefault="00A7764A"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64A" w:rsidRPr="00FC42AF" w:rsidRDefault="00A7764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55287">
      <w:rPr>
        <w:rStyle w:val="PageNumber"/>
        <w:b/>
        <w:bCs/>
        <w:noProof/>
      </w:rPr>
      <w:t>4</w:t>
    </w:r>
    <w:r>
      <w:rPr>
        <w:rStyle w:val="PageNumber"/>
        <w:b/>
        <w:bCs/>
      </w:rPr>
      <w:fldChar w:fldCharType="end"/>
    </w:r>
    <w:r w:rsidRPr="00FC42AF">
      <w:tab/>
    </w:r>
    <w:r w:rsidR="00855287">
      <w:fldChar w:fldCharType="begin"/>
    </w:r>
    <w:r w:rsidR="00855287">
      <w:instrText xml:space="preserve"> DOCPROPERTY "Header" \* MERGEFORMAT </w:instrText>
    </w:r>
    <w:r w:rsidR="00855287">
      <w:fldChar w:fldCharType="separate"/>
    </w:r>
    <w:r w:rsidR="00D42925" w:rsidRPr="00D42925">
      <w:rPr>
        <w:b/>
        <w:bCs/>
      </w:rPr>
      <w:t xml:space="preserve">Rec. </w:t>
    </w:r>
    <w:r w:rsidR="0085528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5287">
      <w:rPr>
        <w:b/>
        <w:bCs/>
        <w:noProof/>
      </w:rPr>
      <w:t>ITU-R  M.1073-3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64A" w:rsidRDefault="00A7764A">
    <w:pPr>
      <w:pStyle w:val="Header"/>
    </w:pPr>
    <w:r>
      <w:tab/>
    </w:r>
    <w:r w:rsidR="00855287">
      <w:fldChar w:fldCharType="begin"/>
    </w:r>
    <w:r w:rsidR="00855287">
      <w:instrText xml:space="preserve"> DOCPROPERTY "Header" \* MERGEFORMAT </w:instrText>
    </w:r>
    <w:r w:rsidR="00855287">
      <w:fldChar w:fldCharType="separate"/>
    </w:r>
    <w:r w:rsidR="00D42925" w:rsidRPr="00D42925">
      <w:rPr>
        <w:b/>
        <w:bCs/>
      </w:rPr>
      <w:t xml:space="preserve">Rec. </w:t>
    </w:r>
    <w:r w:rsidR="00855287">
      <w:rPr>
        <w:b/>
        <w:bCs/>
      </w:rPr>
      <w:fldChar w:fldCharType="end"/>
    </w:r>
    <w:r>
      <w:rPr>
        <w:b/>
        <w:bCs/>
      </w:rPr>
      <w:t xml:space="preserve"> </w:t>
    </w:r>
    <w:r>
      <w:rPr>
        <w:b/>
        <w:bCs/>
      </w:rPr>
      <w:fldChar w:fldCharType="begin"/>
    </w:r>
    <w:r>
      <w:rPr>
        <w:b/>
        <w:bCs/>
      </w:rPr>
      <w:instrText>styleref href</w:instrText>
    </w:r>
    <w:r>
      <w:rPr>
        <w:b/>
        <w:bCs/>
      </w:rPr>
      <w:fldChar w:fldCharType="separate"/>
    </w:r>
    <w:r w:rsidR="00855287">
      <w:rPr>
        <w:b/>
        <w:bCs/>
        <w:noProof/>
      </w:rPr>
      <w:t>ITU-R  M.1073-3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5287">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10C0D"/>
    <w:rsid w:val="00333892"/>
    <w:rsid w:val="00356B5D"/>
    <w:rsid w:val="0041667C"/>
    <w:rsid w:val="00420DFD"/>
    <w:rsid w:val="00437A76"/>
    <w:rsid w:val="00470E28"/>
    <w:rsid w:val="00470FEC"/>
    <w:rsid w:val="004934C5"/>
    <w:rsid w:val="004E0FB1"/>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55287"/>
    <w:rsid w:val="008C7848"/>
    <w:rsid w:val="00906589"/>
    <w:rsid w:val="00906AD6"/>
    <w:rsid w:val="00917AF2"/>
    <w:rsid w:val="0092418A"/>
    <w:rsid w:val="00934ED7"/>
    <w:rsid w:val="009543C3"/>
    <w:rsid w:val="00966E1B"/>
    <w:rsid w:val="009947C0"/>
    <w:rsid w:val="009F2D2C"/>
    <w:rsid w:val="00A31928"/>
    <w:rsid w:val="00A60F92"/>
    <w:rsid w:val="00A62A14"/>
    <w:rsid w:val="00A6617B"/>
    <w:rsid w:val="00A71FE5"/>
    <w:rsid w:val="00A7764A"/>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42925"/>
    <w:rsid w:val="00D83556"/>
    <w:rsid w:val="00DF4176"/>
    <w:rsid w:val="00E17240"/>
    <w:rsid w:val="00E406BD"/>
    <w:rsid w:val="00E74595"/>
    <w:rsid w:val="00EB786E"/>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link w:val="enumlev1Char"/>
    <w:uiPriority w:val="99"/>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uiPriority w:val="99"/>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uiPriority w:val="99"/>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link w:val="TabletextChar"/>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semiHidden/>
    <w:rsid w:val="00EB786E"/>
    <w:rPr>
      <w:position w:val="6"/>
      <w:sz w:val="18"/>
    </w:rPr>
  </w:style>
  <w:style w:type="paragraph" w:styleId="FootnoteText">
    <w:name w:val="footnote text"/>
    <w:basedOn w:val="Normal"/>
    <w:semiHidden/>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uiPriority w:val="99"/>
    <w:rsid w:val="00EB786E"/>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enumlev1Char">
    <w:name w:val="enumlev1 Char"/>
    <w:link w:val="enumlev1"/>
    <w:uiPriority w:val="99"/>
    <w:locked/>
    <w:rsid w:val="00A60F92"/>
    <w:rPr>
      <w:sz w:val="24"/>
      <w:lang w:val="fr-FR" w:eastAsia="en-US"/>
    </w:rPr>
  </w:style>
  <w:style w:type="character" w:customStyle="1" w:styleId="TabletextChar">
    <w:name w:val="Table_text Char"/>
    <w:link w:val="Tabletext"/>
    <w:uiPriority w:val="99"/>
    <w:locked/>
    <w:rsid w:val="00A60F92"/>
    <w:rPr>
      <w:sz w:val="22"/>
      <w:lang w:val="fr-FR" w:eastAsia="en-US"/>
    </w:rPr>
  </w:style>
  <w:style w:type="character" w:customStyle="1" w:styleId="FigureNoChar">
    <w:name w:val="Figure_No Char"/>
    <w:link w:val="FigureNo"/>
    <w:uiPriority w:val="99"/>
    <w:locked/>
    <w:rsid w:val="00A60F92"/>
    <w:rPr>
      <w:caps/>
      <w:sz w:val="18"/>
      <w:lang w:val="fr-FR" w:eastAsia="en-US"/>
    </w:rPr>
  </w:style>
  <w:style w:type="character" w:customStyle="1" w:styleId="TableheadChar">
    <w:name w:val="Table_head Char"/>
    <w:link w:val="Tablehead"/>
    <w:uiPriority w:val="99"/>
    <w:locked/>
    <w:rsid w:val="00A60F92"/>
    <w:rPr>
      <w:b/>
      <w:sz w:val="22"/>
      <w:lang w:val="fr-FR" w:eastAsia="en-US"/>
    </w:rPr>
  </w:style>
  <w:style w:type="character" w:customStyle="1" w:styleId="NormalaftertitleChar">
    <w:name w:val="Normal_after_title Char"/>
    <w:link w:val="Normalaftertitle"/>
    <w:uiPriority w:val="99"/>
    <w:locked/>
    <w:rsid w:val="00A60F92"/>
    <w:rPr>
      <w:sz w:val="24"/>
      <w:lang w:val="fr-FR" w:eastAsia="en-US"/>
    </w:rPr>
  </w:style>
  <w:style w:type="character" w:customStyle="1" w:styleId="CallChar">
    <w:name w:val="Call Char"/>
    <w:link w:val="Call"/>
    <w:uiPriority w:val="99"/>
    <w:locked/>
    <w:rsid w:val="00A60F92"/>
    <w:rPr>
      <w:i/>
      <w:sz w:val="24"/>
      <w:lang w:val="fr-FR" w:eastAsia="en-US"/>
    </w:rPr>
  </w:style>
  <w:style w:type="character" w:styleId="FollowedHyperlink">
    <w:name w:val="FollowedHyperlink"/>
    <w:basedOn w:val="DefaultParagraphFont"/>
    <w:rsid w:val="00A776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link w:val="enumlev1Char"/>
    <w:uiPriority w:val="99"/>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uiPriority w:val="99"/>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uiPriority w:val="99"/>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link w:val="TabletextChar"/>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semiHidden/>
    <w:rsid w:val="00EB786E"/>
    <w:rPr>
      <w:position w:val="6"/>
      <w:sz w:val="18"/>
    </w:rPr>
  </w:style>
  <w:style w:type="paragraph" w:styleId="FootnoteText">
    <w:name w:val="footnote text"/>
    <w:basedOn w:val="Normal"/>
    <w:semiHidden/>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uiPriority w:val="99"/>
    <w:rsid w:val="00EB786E"/>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enumlev1Char">
    <w:name w:val="enumlev1 Char"/>
    <w:link w:val="enumlev1"/>
    <w:uiPriority w:val="99"/>
    <w:locked/>
    <w:rsid w:val="00A60F92"/>
    <w:rPr>
      <w:sz w:val="24"/>
      <w:lang w:val="fr-FR" w:eastAsia="en-US"/>
    </w:rPr>
  </w:style>
  <w:style w:type="character" w:customStyle="1" w:styleId="TabletextChar">
    <w:name w:val="Table_text Char"/>
    <w:link w:val="Tabletext"/>
    <w:uiPriority w:val="99"/>
    <w:locked/>
    <w:rsid w:val="00A60F92"/>
    <w:rPr>
      <w:sz w:val="22"/>
      <w:lang w:val="fr-FR" w:eastAsia="en-US"/>
    </w:rPr>
  </w:style>
  <w:style w:type="character" w:customStyle="1" w:styleId="FigureNoChar">
    <w:name w:val="Figure_No Char"/>
    <w:link w:val="FigureNo"/>
    <w:uiPriority w:val="99"/>
    <w:locked/>
    <w:rsid w:val="00A60F92"/>
    <w:rPr>
      <w:caps/>
      <w:sz w:val="18"/>
      <w:lang w:val="fr-FR" w:eastAsia="en-US"/>
    </w:rPr>
  </w:style>
  <w:style w:type="character" w:customStyle="1" w:styleId="TableheadChar">
    <w:name w:val="Table_head Char"/>
    <w:link w:val="Tablehead"/>
    <w:uiPriority w:val="99"/>
    <w:locked/>
    <w:rsid w:val="00A60F92"/>
    <w:rPr>
      <w:b/>
      <w:sz w:val="22"/>
      <w:lang w:val="fr-FR" w:eastAsia="en-US"/>
    </w:rPr>
  </w:style>
  <w:style w:type="character" w:customStyle="1" w:styleId="NormalaftertitleChar">
    <w:name w:val="Normal_after_title Char"/>
    <w:link w:val="Normalaftertitle"/>
    <w:uiPriority w:val="99"/>
    <w:locked/>
    <w:rsid w:val="00A60F92"/>
    <w:rPr>
      <w:sz w:val="24"/>
      <w:lang w:val="fr-FR" w:eastAsia="en-US"/>
    </w:rPr>
  </w:style>
  <w:style w:type="character" w:customStyle="1" w:styleId="CallChar">
    <w:name w:val="Call Char"/>
    <w:link w:val="Call"/>
    <w:uiPriority w:val="99"/>
    <w:locked/>
    <w:rsid w:val="00A60F92"/>
    <w:rPr>
      <w:i/>
      <w:sz w:val="24"/>
      <w:lang w:val="fr-FR" w:eastAsia="en-US"/>
    </w:rPr>
  </w:style>
  <w:style w:type="character" w:styleId="FollowedHyperlink">
    <w:name w:val="FollowedHyperlink"/>
    <w:basedOn w:val="DefaultParagraphFont"/>
    <w:rsid w:val="00A776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ftp.tiaonline.org/TR-45/TR-45.5/Public/ITUM1073/TIA-2000.00_CDMA_List%20of%20Stds.doc" TargetMode="External"/><Relationship Id="rId3" Type="http://schemas.microsoft.com/office/2007/relationships/stylesWithEffects" Target="stylesWithEffects.xml"/><Relationship Id="rId21" Type="http://schemas.openxmlformats.org/officeDocument/2006/relationships/hyperlink" Target="http://www.arib.or.jp/english/html/overview/doc/5-STD-27_L-3p3-E.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ftp.tiaonline.org/uwc136/136-000-E.pdf" TargetMode="External"/><Relationship Id="rId2" Type="http://schemas.openxmlformats.org/officeDocument/2006/relationships/styles" Target="styles.xml"/><Relationship Id="rId16" Type="http://schemas.openxmlformats.org/officeDocument/2006/relationships/hyperlink" Target="http://pda.etsi.org/exchangefolder/ts_102338v010000p.pdf" TargetMode="External"/><Relationship Id="rId20" Type="http://schemas.openxmlformats.org/officeDocument/2006/relationships/hyperlink" Target="http://www.arib.or.jp/english/html/overview/doc/5-STD-27_L-2p3-E.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www.arib.or.jp/english/html/overview/doc/5-STD-27_L-1p3-E.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7</Pages>
  <Words>1339</Words>
  <Characters>9407</Characters>
  <Application>Microsoft Office Word</Application>
  <DocSecurity>0</DocSecurity>
  <Lines>149</Lines>
  <Paragraphs>67</Paragraphs>
  <ScaleCrop>false</ScaleCrop>
  <HeadingPairs>
    <vt:vector size="2" baseType="variant">
      <vt:variant>
        <vt:lpstr>Title</vt:lpstr>
      </vt:variant>
      <vt:variant>
        <vt:i4>1</vt:i4>
      </vt:variant>
    </vt:vector>
  </HeadingPairs>
  <TitlesOfParts>
    <vt:vector size="1" baseType="lpstr">
      <vt:lpstr>RECOMMENDATION  ITU-R  M.1073-3 - Digital cellular land mobile telecommunication systems</vt:lpstr>
    </vt:vector>
  </TitlesOfParts>
  <Manager/>
  <Company>ITU</Company>
  <LinksUpToDate>false</LinksUpToDate>
  <CharactersWithSpaces>10679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M.1073-3 - Digital cellular land mobile telecommunication systems</dc:title>
  <dc:subject>M Series = Mobile, radiodetermination, amateur and related satellite services</dc:subject>
  <dc:creator>ITU Radiocommunication Bureau (BR)</dc:creator>
  <cp:keywords>M,1073-3</cp:keywords>
  <dc:description>Santosbo, 22.03.2012, MSB106309</dc:description>
  <cp:lastModifiedBy>Gachet, Christelle</cp:lastModifiedBy>
  <cp:revision>5</cp:revision>
  <cp:lastPrinted>2009-06-26T13:19:00Z</cp:lastPrinted>
  <dcterms:created xsi:type="dcterms:W3CDTF">2012-03-22T08:18:00Z</dcterms:created>
  <dcterms:modified xsi:type="dcterms:W3CDTF">2012-04-10T14:02:00Z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22. mars 2012</vt:lpwstr>
  </property>
</Properties>
</file>