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571" w:rsidRPr="00575CB8" w:rsidRDefault="00E12571" w:rsidP="00E12571">
      <w:pPr>
        <w:rPr>
          <w:lang w:val="en-US"/>
        </w:rPr>
      </w:pPr>
    </w:p>
    <w:p w:rsidR="00E12571" w:rsidRDefault="00E12571" w:rsidP="00E12571"/>
    <w:p w:rsidR="00E12571" w:rsidRDefault="00E12571" w:rsidP="00E12571"/>
    <w:p w:rsidR="00E12571" w:rsidRDefault="00E12571" w:rsidP="00E12571"/>
    <w:p w:rsidR="00E12571" w:rsidRDefault="00E12571" w:rsidP="00E12571"/>
    <w:p w:rsidR="00E12571" w:rsidRDefault="00E12571" w:rsidP="00E12571"/>
    <w:p w:rsidR="00E12571" w:rsidRDefault="00E12571" w:rsidP="00E12571"/>
    <w:p w:rsidR="00E12571" w:rsidRDefault="00E12571" w:rsidP="00E12571"/>
    <w:p w:rsidR="00E12571" w:rsidRDefault="00E12571" w:rsidP="00E12571"/>
    <w:tbl>
      <w:tblPr>
        <w:tblW w:w="10089" w:type="dxa"/>
        <w:tblLook w:val="01E0" w:firstRow="1" w:lastRow="1" w:firstColumn="1" w:lastColumn="1" w:noHBand="0" w:noVBand="0"/>
      </w:tblPr>
      <w:tblGrid>
        <w:gridCol w:w="10089"/>
      </w:tblGrid>
      <w:tr w:rsidR="00E12571" w:rsidRPr="00E12571" w:rsidTr="00CF26FE">
        <w:tc>
          <w:tcPr>
            <w:tcW w:w="10089" w:type="dxa"/>
          </w:tcPr>
          <w:p w:rsidR="00E12571" w:rsidRPr="00A07AEB" w:rsidRDefault="00E12571" w:rsidP="00CF26FE">
            <w:pPr>
              <w:spacing w:before="380" w:line="280" w:lineRule="exact"/>
              <w:jc w:val="right"/>
              <w:rPr>
                <w:rFonts w:ascii="Tahoma" w:hAnsi="Tahoma" w:cs="Tahoma"/>
                <w:b/>
                <w:bCs/>
                <w:iCs/>
                <w:color w:val="243285"/>
                <w:sz w:val="32"/>
                <w:szCs w:val="32"/>
                <w:lang w:val="en-US"/>
              </w:rPr>
            </w:pPr>
          </w:p>
          <w:p w:rsidR="00E12571" w:rsidRPr="00A07AEB" w:rsidRDefault="00E12571" w:rsidP="00A4359F">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A4359F">
              <w:rPr>
                <w:rFonts w:ascii="Tahoma" w:hAnsi="Tahoma" w:cs="Tahoma"/>
                <w:b/>
                <w:bCs/>
                <w:iCs/>
                <w:color w:val="243285"/>
                <w:sz w:val="36"/>
                <w:szCs w:val="36"/>
                <w:lang w:val="es-ES_tradnl"/>
              </w:rPr>
              <w:t>1036-5</w:t>
            </w:r>
          </w:p>
          <w:p w:rsidR="00E12571" w:rsidRPr="00A07AEB" w:rsidRDefault="00E12571" w:rsidP="005F2C03">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F2C03">
              <w:rPr>
                <w:rFonts w:ascii="Tahoma" w:hAnsi="Tahoma" w:cs="Tahoma"/>
                <w:b/>
                <w:bCs/>
                <w:iCs/>
                <w:color w:val="243285"/>
                <w:szCs w:val="24"/>
                <w:lang w:val="es-ES_tradnl"/>
              </w:rPr>
              <w:t>10</w:t>
            </w:r>
            <w:r w:rsidRPr="00A07AEB">
              <w:rPr>
                <w:rFonts w:ascii="Tahoma" w:hAnsi="Tahoma" w:cs="Tahoma"/>
                <w:b/>
                <w:bCs/>
                <w:iCs/>
                <w:color w:val="243285"/>
                <w:szCs w:val="24"/>
                <w:lang w:val="es-ES_tradnl"/>
              </w:rPr>
              <w:t>/</w:t>
            </w:r>
            <w:r w:rsidR="005F2C03">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E12571" w:rsidRPr="005F2C03" w:rsidTr="00CF26FE">
        <w:tc>
          <w:tcPr>
            <w:tcW w:w="10089" w:type="dxa"/>
          </w:tcPr>
          <w:p w:rsidR="00E12571" w:rsidRPr="005F2C03" w:rsidRDefault="00E12571" w:rsidP="00CF26FE">
            <w:pPr>
              <w:spacing w:before="80" w:line="500" w:lineRule="exact"/>
              <w:jc w:val="right"/>
              <w:rPr>
                <w:rFonts w:ascii="Tahoma" w:hAnsi="Tahoma" w:cs="Tahoma"/>
                <w:b/>
                <w:bCs/>
                <w:color w:val="243285"/>
                <w:sz w:val="44"/>
                <w:szCs w:val="44"/>
                <w:lang w:val="es-ES_tradnl"/>
              </w:rPr>
            </w:pPr>
          </w:p>
          <w:p w:rsidR="00E12571" w:rsidRPr="005F2C03" w:rsidRDefault="00E12571" w:rsidP="00CF26FE">
            <w:pPr>
              <w:spacing w:before="80" w:line="500" w:lineRule="exact"/>
              <w:jc w:val="right"/>
              <w:rPr>
                <w:rFonts w:ascii="Tahoma" w:hAnsi="Tahoma" w:cs="Tahoma"/>
                <w:b/>
                <w:bCs/>
                <w:color w:val="243285"/>
                <w:sz w:val="44"/>
                <w:szCs w:val="44"/>
                <w:lang w:val="es-ES_tradnl"/>
              </w:rPr>
            </w:pPr>
          </w:p>
          <w:p w:rsidR="00E12571" w:rsidRDefault="005F2C03" w:rsidP="005F2C03">
            <w:pPr>
              <w:spacing w:before="80" w:line="500" w:lineRule="exact"/>
              <w:jc w:val="right"/>
              <w:rPr>
                <w:rFonts w:ascii="Tahoma" w:hAnsi="Tahoma" w:cs="Tahoma"/>
                <w:b/>
                <w:bCs/>
                <w:color w:val="243285"/>
                <w:sz w:val="44"/>
                <w:szCs w:val="44"/>
                <w:lang w:val="es-ES_tradnl"/>
              </w:rPr>
            </w:pPr>
            <w:r w:rsidRPr="005F2C03">
              <w:rPr>
                <w:rFonts w:ascii="Tahoma" w:hAnsi="Tahoma" w:cs="Tahoma"/>
                <w:b/>
                <w:bCs/>
                <w:color w:val="243285"/>
                <w:sz w:val="44"/>
                <w:szCs w:val="44"/>
                <w:lang w:val="es-ES_tradnl"/>
              </w:rPr>
              <w:t>Disposiciones de frecuencias para la implementación de la componente terrenal de las telecomunicaciones móviles internacionales (IMT) en las bandas identificadas en el Reglamento de Radiocomunicaciones (RR) para las IMT</w:t>
            </w:r>
          </w:p>
          <w:p w:rsidR="00E12571" w:rsidRPr="005F2C03" w:rsidRDefault="00E12571" w:rsidP="00CF26FE">
            <w:pPr>
              <w:spacing w:before="80" w:line="500" w:lineRule="exact"/>
              <w:jc w:val="right"/>
              <w:rPr>
                <w:rFonts w:ascii="Tahoma" w:hAnsi="Tahoma" w:cs="Tahoma"/>
                <w:b/>
                <w:bCs/>
                <w:color w:val="243285"/>
                <w:sz w:val="44"/>
                <w:szCs w:val="44"/>
                <w:lang w:val="es-ES_tradnl"/>
              </w:rPr>
            </w:pPr>
          </w:p>
        </w:tc>
      </w:tr>
      <w:tr w:rsidR="00E12571" w:rsidRPr="00E12571" w:rsidTr="00CF26FE">
        <w:tc>
          <w:tcPr>
            <w:tcW w:w="10089" w:type="dxa"/>
          </w:tcPr>
          <w:p w:rsidR="00E12571" w:rsidRPr="00A07AEB" w:rsidRDefault="00E12571" w:rsidP="00CF26FE">
            <w:pPr>
              <w:spacing w:before="80" w:line="280" w:lineRule="exact"/>
              <w:ind w:right="640"/>
              <w:rPr>
                <w:rFonts w:ascii="Tahoma" w:hAnsi="Tahoma" w:cs="Tahoma"/>
                <w:b/>
                <w:bCs/>
                <w:iCs/>
                <w:color w:val="243285"/>
                <w:sz w:val="32"/>
                <w:szCs w:val="32"/>
                <w:lang w:val="es-ES_tradnl"/>
              </w:rPr>
            </w:pPr>
          </w:p>
          <w:p w:rsidR="00E12571" w:rsidRPr="00A07AEB" w:rsidRDefault="00E12571" w:rsidP="00CF26FE">
            <w:pPr>
              <w:spacing w:before="80" w:line="280" w:lineRule="exact"/>
              <w:ind w:right="640"/>
              <w:rPr>
                <w:rFonts w:ascii="Tahoma" w:hAnsi="Tahoma" w:cs="Tahoma"/>
                <w:b/>
                <w:bCs/>
                <w:iCs/>
                <w:color w:val="243285"/>
                <w:sz w:val="32"/>
                <w:szCs w:val="32"/>
                <w:lang w:val="es-ES_tradnl"/>
              </w:rPr>
            </w:pPr>
          </w:p>
          <w:p w:rsidR="00E12571" w:rsidRPr="00A07AEB" w:rsidRDefault="00E12571" w:rsidP="00CF26FE">
            <w:pPr>
              <w:spacing w:before="80" w:after="180" w:line="360" w:lineRule="exact"/>
              <w:ind w:right="720"/>
              <w:rPr>
                <w:rFonts w:ascii="Tahoma" w:hAnsi="Tahoma" w:cs="Tahoma"/>
                <w:b/>
                <w:bCs/>
                <w:iCs/>
                <w:color w:val="243285"/>
                <w:sz w:val="36"/>
                <w:szCs w:val="36"/>
                <w:lang w:val="es-ES_tradnl"/>
              </w:rPr>
            </w:pPr>
          </w:p>
          <w:p w:rsidR="00E12571" w:rsidRPr="00A07AEB" w:rsidRDefault="00E12571" w:rsidP="00CF26FE">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E12571" w:rsidRPr="00A07AEB" w:rsidRDefault="00E12571" w:rsidP="00CF26FE">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E12571" w:rsidRPr="0026666F" w:rsidRDefault="00E12571" w:rsidP="00E12571">
      <w:pPr>
        <w:spacing w:before="80"/>
        <w:rPr>
          <w:i/>
          <w:sz w:val="22"/>
          <w:lang w:val="es-ES_tradnl"/>
        </w:rPr>
      </w:pPr>
    </w:p>
    <w:p w:rsidR="00E12571" w:rsidRPr="0026666F" w:rsidRDefault="00E12571" w:rsidP="00E12571">
      <w:pPr>
        <w:spacing w:before="80"/>
        <w:rPr>
          <w:i/>
          <w:sz w:val="22"/>
          <w:lang w:val="es-ES_tradnl"/>
        </w:rPr>
      </w:pPr>
    </w:p>
    <w:p w:rsidR="00E12571" w:rsidRPr="0026666F" w:rsidRDefault="00E12571" w:rsidP="00E12571">
      <w:pPr>
        <w:spacing w:before="80"/>
        <w:rPr>
          <w:i/>
          <w:sz w:val="22"/>
          <w:lang w:val="es-ES_tradnl"/>
        </w:rPr>
      </w:pPr>
    </w:p>
    <w:p w:rsidR="00E12571" w:rsidRPr="0026666F" w:rsidRDefault="00E12571" w:rsidP="00E12571">
      <w:pPr>
        <w:pStyle w:val="Equation"/>
        <w:tabs>
          <w:tab w:val="clear" w:pos="4820"/>
          <w:tab w:val="clear" w:pos="9639"/>
          <w:tab w:val="left" w:pos="1191"/>
          <w:tab w:val="left" w:pos="1588"/>
          <w:tab w:val="left" w:pos="1985"/>
        </w:tabs>
        <w:rPr>
          <w:rFonts w:ascii="Palatino Linotype" w:hAnsi="Palatino Linotype"/>
          <w:lang w:val="es-ES_tradnl"/>
        </w:rPr>
        <w:sectPr w:rsidR="00E12571" w:rsidRPr="0026666F">
          <w:headerReference w:type="even" r:id="rId7"/>
          <w:headerReference w:type="default" r:id="rId8"/>
          <w:pgSz w:w="11907" w:h="16840" w:code="9"/>
          <w:pgMar w:top="1089" w:right="1089" w:bottom="284" w:left="1089" w:header="567" w:footer="284" w:gutter="0"/>
          <w:pgNumType w:start="1"/>
          <w:cols w:space="720"/>
        </w:sectPr>
      </w:pPr>
    </w:p>
    <w:p w:rsidR="00E12571" w:rsidRPr="006C718C" w:rsidRDefault="00E12571" w:rsidP="00E125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E12571" w:rsidRPr="006C718C" w:rsidRDefault="00E12571" w:rsidP="00E1257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12571" w:rsidRPr="006C718C" w:rsidRDefault="00E12571" w:rsidP="00E1257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12571" w:rsidRPr="00021E8A" w:rsidRDefault="00E12571" w:rsidP="00E1257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12571" w:rsidRPr="00021E8A" w:rsidRDefault="00E12571" w:rsidP="00E1257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12571" w:rsidRPr="007C36CA" w:rsidRDefault="00E12571" w:rsidP="00E12571">
      <w:pPr>
        <w:spacing w:before="0"/>
        <w:jc w:val="center"/>
        <w:rPr>
          <w:sz w:val="22"/>
          <w:lang w:val="es-ES_tradnl"/>
        </w:rPr>
      </w:pPr>
    </w:p>
    <w:p w:rsidR="00E12571" w:rsidRPr="007C36CA" w:rsidRDefault="00E12571" w:rsidP="00E1257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12571" w:rsidRPr="00E12571" w:rsidTr="00CF26FE">
        <w:tc>
          <w:tcPr>
            <w:tcW w:w="9360" w:type="dxa"/>
            <w:gridSpan w:val="2"/>
          </w:tcPr>
          <w:p w:rsidR="00E12571" w:rsidRPr="00021E8A" w:rsidRDefault="00E12571" w:rsidP="00CF26F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12571" w:rsidRPr="00763D08"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E12571" w:rsidRPr="00036EE3" w:rsidTr="00CF26FE">
        <w:tc>
          <w:tcPr>
            <w:tcW w:w="1140" w:type="dxa"/>
          </w:tcPr>
          <w:p w:rsidR="00E12571" w:rsidRPr="00036EE3" w:rsidRDefault="00E12571" w:rsidP="00CF26FE">
            <w:pPr>
              <w:spacing w:before="180" w:after="100"/>
              <w:ind w:left="57"/>
              <w:rPr>
                <w:b/>
                <w:bCs/>
                <w:sz w:val="20"/>
                <w:lang w:val="en-US"/>
              </w:rPr>
            </w:pPr>
            <w:r w:rsidRPr="00036EE3">
              <w:rPr>
                <w:b/>
                <w:bCs/>
                <w:sz w:val="20"/>
                <w:lang w:val="en-US"/>
              </w:rPr>
              <w:t>Series</w:t>
            </w:r>
          </w:p>
        </w:tc>
        <w:tc>
          <w:tcPr>
            <w:tcW w:w="8220" w:type="dxa"/>
          </w:tcPr>
          <w:p w:rsidR="00E12571" w:rsidRPr="00036EE3"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BO</w:t>
            </w:r>
          </w:p>
        </w:tc>
        <w:tc>
          <w:tcPr>
            <w:tcW w:w="8220" w:type="dxa"/>
          </w:tcPr>
          <w:p w:rsidR="00E12571" w:rsidRPr="00021E8A"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E12571" w:rsidRPr="00E12571"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BR</w:t>
            </w:r>
          </w:p>
        </w:tc>
        <w:tc>
          <w:tcPr>
            <w:tcW w:w="8220" w:type="dxa"/>
          </w:tcPr>
          <w:p w:rsidR="00E12571" w:rsidRPr="00021E8A"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BS</w:t>
            </w:r>
          </w:p>
        </w:tc>
        <w:tc>
          <w:tcPr>
            <w:tcW w:w="8220" w:type="dxa"/>
          </w:tcPr>
          <w:p w:rsidR="00E12571" w:rsidRPr="00021E8A"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12571" w:rsidRPr="00ED2695" w:rsidTr="00CF26FE">
        <w:tc>
          <w:tcPr>
            <w:tcW w:w="1140" w:type="dxa"/>
            <w:shd w:val="clear" w:color="auto" w:fill="auto"/>
          </w:tcPr>
          <w:p w:rsidR="00E12571" w:rsidRPr="00ED2695" w:rsidRDefault="00E12571" w:rsidP="00CF26FE">
            <w:pPr>
              <w:spacing w:before="30" w:after="30"/>
              <w:ind w:left="57"/>
              <w:jc w:val="left"/>
              <w:rPr>
                <w:b/>
                <w:bCs/>
                <w:sz w:val="20"/>
                <w:lang w:val="en-US"/>
              </w:rPr>
            </w:pPr>
            <w:r w:rsidRPr="00ED2695">
              <w:rPr>
                <w:b/>
                <w:bCs/>
                <w:sz w:val="20"/>
                <w:lang w:val="en-US"/>
              </w:rPr>
              <w:t>BT</w:t>
            </w:r>
          </w:p>
        </w:tc>
        <w:tc>
          <w:tcPr>
            <w:tcW w:w="8220" w:type="dxa"/>
            <w:shd w:val="clear" w:color="auto" w:fill="auto"/>
          </w:tcPr>
          <w:p w:rsidR="00E12571" w:rsidRPr="00021E8A"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12571" w:rsidRPr="00036EE3" w:rsidTr="00CF26FE">
        <w:tc>
          <w:tcPr>
            <w:tcW w:w="1140" w:type="dxa"/>
            <w:shd w:val="clear" w:color="auto" w:fill="auto"/>
          </w:tcPr>
          <w:p w:rsidR="00E12571" w:rsidRPr="00036EE3" w:rsidRDefault="00E12571" w:rsidP="00CF26FE">
            <w:pPr>
              <w:spacing w:before="30" w:after="30"/>
              <w:ind w:left="57"/>
              <w:jc w:val="left"/>
              <w:rPr>
                <w:b/>
                <w:bCs/>
                <w:sz w:val="20"/>
                <w:lang w:val="fr-CH"/>
              </w:rPr>
            </w:pPr>
            <w:r w:rsidRPr="00036EE3">
              <w:rPr>
                <w:b/>
                <w:bCs/>
                <w:sz w:val="20"/>
                <w:lang w:val="fr-CH"/>
              </w:rPr>
              <w:t>F</w:t>
            </w:r>
          </w:p>
        </w:tc>
        <w:tc>
          <w:tcPr>
            <w:tcW w:w="8220" w:type="dxa"/>
            <w:shd w:val="clear" w:color="auto" w:fill="auto"/>
          </w:tcPr>
          <w:p w:rsidR="00E12571" w:rsidRPr="00021E8A" w:rsidRDefault="00E12571" w:rsidP="00CF2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E12571" w:rsidRPr="00E12571" w:rsidTr="00CF26FE">
        <w:tc>
          <w:tcPr>
            <w:tcW w:w="1140" w:type="dxa"/>
            <w:shd w:val="clear" w:color="auto" w:fill="F3F3F3"/>
          </w:tcPr>
          <w:p w:rsidR="00E12571" w:rsidRPr="001240BC" w:rsidRDefault="00E12571" w:rsidP="00CF26FE">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E12571" w:rsidRPr="001240BC" w:rsidRDefault="00E12571" w:rsidP="00CF26F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E12571" w:rsidRPr="00E12571" w:rsidTr="00CF26FE">
        <w:tc>
          <w:tcPr>
            <w:tcW w:w="1140" w:type="dxa"/>
          </w:tcPr>
          <w:p w:rsidR="00E12571" w:rsidRPr="00036EE3" w:rsidRDefault="00E12571" w:rsidP="00CF26FE">
            <w:pPr>
              <w:spacing w:before="30" w:after="30"/>
              <w:ind w:left="57"/>
              <w:jc w:val="left"/>
              <w:rPr>
                <w:b/>
                <w:bCs/>
                <w:sz w:val="20"/>
                <w:lang w:val="fr-CH"/>
              </w:rPr>
            </w:pPr>
            <w:r w:rsidRPr="00036EE3">
              <w:rPr>
                <w:b/>
                <w:bCs/>
                <w:sz w:val="20"/>
                <w:lang w:val="fr-CH"/>
              </w:rPr>
              <w:t>P</w:t>
            </w:r>
          </w:p>
        </w:tc>
        <w:tc>
          <w:tcPr>
            <w:tcW w:w="8220" w:type="dxa"/>
          </w:tcPr>
          <w:p w:rsidR="00E12571" w:rsidRPr="00021E8A" w:rsidRDefault="00E12571" w:rsidP="00CF26FE">
            <w:pPr>
              <w:spacing w:before="30" w:after="30"/>
              <w:jc w:val="left"/>
              <w:rPr>
                <w:bCs/>
                <w:sz w:val="20"/>
                <w:lang w:val="es-ES_tradnl"/>
              </w:rPr>
            </w:pPr>
            <w:r w:rsidRPr="00021E8A">
              <w:rPr>
                <w:bCs/>
                <w:sz w:val="20"/>
                <w:lang w:val="es-ES_tradnl"/>
              </w:rPr>
              <w:t>Propagación de las ondas radioeléctricas</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RA</w:t>
            </w:r>
          </w:p>
        </w:tc>
        <w:tc>
          <w:tcPr>
            <w:tcW w:w="8220" w:type="dxa"/>
          </w:tcPr>
          <w:p w:rsidR="00E12571" w:rsidRPr="00021E8A" w:rsidRDefault="00E12571" w:rsidP="00CF2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12571" w:rsidRPr="00E12571"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RS</w:t>
            </w:r>
          </w:p>
        </w:tc>
        <w:tc>
          <w:tcPr>
            <w:tcW w:w="8220" w:type="dxa"/>
          </w:tcPr>
          <w:p w:rsidR="00E12571" w:rsidRPr="00021E8A" w:rsidRDefault="00E12571" w:rsidP="00CF26F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S</w:t>
            </w:r>
          </w:p>
        </w:tc>
        <w:tc>
          <w:tcPr>
            <w:tcW w:w="8220" w:type="dxa"/>
          </w:tcPr>
          <w:p w:rsidR="00E12571" w:rsidRPr="00021E8A" w:rsidRDefault="00E12571" w:rsidP="00CF26FE">
            <w:pPr>
              <w:spacing w:before="30" w:after="30"/>
              <w:jc w:val="left"/>
              <w:rPr>
                <w:bCs/>
                <w:sz w:val="20"/>
                <w:lang w:val="en-US"/>
              </w:rPr>
            </w:pPr>
            <w:r w:rsidRPr="00021E8A">
              <w:rPr>
                <w:bCs/>
                <w:sz w:val="20"/>
              </w:rPr>
              <w:t>Servicio fijo por satélite</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SA</w:t>
            </w:r>
          </w:p>
        </w:tc>
        <w:tc>
          <w:tcPr>
            <w:tcW w:w="8220" w:type="dxa"/>
          </w:tcPr>
          <w:p w:rsidR="00E12571" w:rsidRPr="00021E8A" w:rsidRDefault="00E12571" w:rsidP="00CF26FE">
            <w:pPr>
              <w:spacing w:before="30" w:after="30"/>
              <w:jc w:val="left"/>
              <w:rPr>
                <w:bCs/>
                <w:sz w:val="20"/>
                <w:lang w:val="en-US"/>
              </w:rPr>
            </w:pPr>
            <w:r w:rsidRPr="00021E8A">
              <w:rPr>
                <w:bCs/>
                <w:sz w:val="20"/>
              </w:rPr>
              <w:t>Aplicaciones espaciales y meteorología</w:t>
            </w:r>
          </w:p>
        </w:tc>
      </w:tr>
      <w:tr w:rsidR="00E12571" w:rsidRPr="00E12571"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SF</w:t>
            </w:r>
          </w:p>
        </w:tc>
        <w:tc>
          <w:tcPr>
            <w:tcW w:w="8220" w:type="dxa"/>
          </w:tcPr>
          <w:p w:rsidR="00E12571" w:rsidRPr="00021E8A" w:rsidRDefault="00E12571" w:rsidP="00CF26F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12571" w:rsidRPr="00036EE3" w:rsidTr="00CF26FE">
        <w:tc>
          <w:tcPr>
            <w:tcW w:w="1140" w:type="dxa"/>
            <w:shd w:val="clear" w:color="auto" w:fill="auto"/>
          </w:tcPr>
          <w:p w:rsidR="00E12571" w:rsidRPr="001240BC" w:rsidRDefault="00E12571" w:rsidP="00CF26FE">
            <w:pPr>
              <w:spacing w:before="30" w:after="30"/>
              <w:ind w:left="57"/>
              <w:jc w:val="left"/>
              <w:rPr>
                <w:b/>
                <w:bCs/>
                <w:sz w:val="20"/>
                <w:lang w:val="en-US"/>
              </w:rPr>
            </w:pPr>
            <w:r w:rsidRPr="001240BC">
              <w:rPr>
                <w:b/>
                <w:bCs/>
                <w:sz w:val="20"/>
                <w:lang w:val="en-US"/>
              </w:rPr>
              <w:t>SM</w:t>
            </w:r>
          </w:p>
        </w:tc>
        <w:tc>
          <w:tcPr>
            <w:tcW w:w="8220" w:type="dxa"/>
            <w:shd w:val="clear" w:color="auto" w:fill="auto"/>
          </w:tcPr>
          <w:p w:rsidR="00E12571" w:rsidRPr="001240BC" w:rsidRDefault="00E12571" w:rsidP="00CF26FE">
            <w:pPr>
              <w:spacing w:before="30" w:after="30"/>
              <w:jc w:val="left"/>
              <w:rPr>
                <w:sz w:val="20"/>
                <w:lang w:val="en-US"/>
              </w:rPr>
            </w:pPr>
            <w:r w:rsidRPr="001240BC">
              <w:rPr>
                <w:sz w:val="20"/>
              </w:rPr>
              <w:t>Gestión del espectro</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SNG</w:t>
            </w:r>
          </w:p>
        </w:tc>
        <w:tc>
          <w:tcPr>
            <w:tcW w:w="8220" w:type="dxa"/>
          </w:tcPr>
          <w:p w:rsidR="00E12571" w:rsidRPr="00021E8A" w:rsidRDefault="00E12571" w:rsidP="00CF26FE">
            <w:pPr>
              <w:spacing w:before="30" w:after="30"/>
              <w:jc w:val="left"/>
              <w:rPr>
                <w:bCs/>
                <w:sz w:val="20"/>
                <w:lang w:val="en-US"/>
              </w:rPr>
            </w:pPr>
            <w:r w:rsidRPr="00021E8A">
              <w:rPr>
                <w:bCs/>
                <w:sz w:val="20"/>
              </w:rPr>
              <w:t>Periodismo electrónico por satélite</w:t>
            </w:r>
          </w:p>
        </w:tc>
      </w:tr>
      <w:tr w:rsidR="00E12571" w:rsidRPr="00E12571"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TF</w:t>
            </w:r>
          </w:p>
        </w:tc>
        <w:tc>
          <w:tcPr>
            <w:tcW w:w="8220" w:type="dxa"/>
          </w:tcPr>
          <w:p w:rsidR="00E12571" w:rsidRPr="00021E8A" w:rsidRDefault="00E12571" w:rsidP="00CF26FE">
            <w:pPr>
              <w:spacing w:before="30" w:after="30"/>
              <w:jc w:val="left"/>
              <w:rPr>
                <w:bCs/>
                <w:sz w:val="20"/>
                <w:lang w:val="es-ES_tradnl"/>
              </w:rPr>
            </w:pPr>
            <w:r w:rsidRPr="00021E8A">
              <w:rPr>
                <w:bCs/>
                <w:sz w:val="20"/>
                <w:lang w:val="es-ES_tradnl"/>
              </w:rPr>
              <w:t>Emisiones de frecuencias patrón y señales horarias</w:t>
            </w:r>
          </w:p>
        </w:tc>
      </w:tr>
      <w:tr w:rsidR="00E12571" w:rsidRPr="00036EE3" w:rsidTr="00CF26FE">
        <w:tc>
          <w:tcPr>
            <w:tcW w:w="1140" w:type="dxa"/>
          </w:tcPr>
          <w:p w:rsidR="00E12571" w:rsidRPr="00036EE3" w:rsidRDefault="00E12571" w:rsidP="00CF26FE">
            <w:pPr>
              <w:spacing w:before="30" w:after="30"/>
              <w:ind w:left="57"/>
              <w:jc w:val="left"/>
              <w:rPr>
                <w:b/>
                <w:bCs/>
                <w:sz w:val="20"/>
                <w:lang w:val="en-US"/>
              </w:rPr>
            </w:pPr>
            <w:r w:rsidRPr="00036EE3">
              <w:rPr>
                <w:b/>
                <w:bCs/>
                <w:sz w:val="20"/>
                <w:lang w:val="en-US"/>
              </w:rPr>
              <w:t>V</w:t>
            </w:r>
          </w:p>
        </w:tc>
        <w:tc>
          <w:tcPr>
            <w:tcW w:w="8220" w:type="dxa"/>
          </w:tcPr>
          <w:p w:rsidR="00E12571" w:rsidRPr="00021E8A" w:rsidRDefault="00E12571" w:rsidP="00CF26FE">
            <w:pPr>
              <w:spacing w:before="30" w:after="140"/>
              <w:jc w:val="left"/>
              <w:rPr>
                <w:bCs/>
                <w:sz w:val="20"/>
                <w:lang w:val="en-US"/>
              </w:rPr>
            </w:pPr>
            <w:r w:rsidRPr="00021E8A">
              <w:rPr>
                <w:bCs/>
                <w:sz w:val="20"/>
              </w:rPr>
              <w:t>Vocabulario y cuestiones afines</w:t>
            </w:r>
          </w:p>
        </w:tc>
      </w:tr>
    </w:tbl>
    <w:p w:rsidR="00E12571" w:rsidRPr="00036EE3" w:rsidRDefault="00E12571" w:rsidP="00E1257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12571" w:rsidTr="00CF26FE">
        <w:tc>
          <w:tcPr>
            <w:tcW w:w="720" w:type="dxa"/>
          </w:tcPr>
          <w:p w:rsidR="00E12571" w:rsidRDefault="00E12571" w:rsidP="00CF26F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12571" w:rsidRPr="00E12571" w:rsidTr="00CF26FE">
        <w:tc>
          <w:tcPr>
            <w:tcW w:w="9360" w:type="dxa"/>
          </w:tcPr>
          <w:p w:rsidR="00E12571" w:rsidRPr="00A07AEB" w:rsidRDefault="00E12571" w:rsidP="00CF26FE">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E12571" w:rsidRPr="00763D08" w:rsidRDefault="00E12571" w:rsidP="00E12571">
      <w:pPr>
        <w:spacing w:before="0"/>
        <w:jc w:val="center"/>
        <w:rPr>
          <w:sz w:val="22"/>
          <w:lang w:val="es-ES_tradnl"/>
        </w:rPr>
      </w:pPr>
    </w:p>
    <w:p w:rsidR="00E12571" w:rsidRPr="00763D08" w:rsidRDefault="00E12571" w:rsidP="00E12571">
      <w:pPr>
        <w:spacing w:before="60"/>
        <w:jc w:val="right"/>
        <w:rPr>
          <w:i/>
          <w:iCs/>
          <w:sz w:val="20"/>
          <w:lang w:val="es-ES_tradnl"/>
        </w:rPr>
      </w:pPr>
      <w:r w:rsidRPr="00763D08">
        <w:rPr>
          <w:i/>
          <w:iCs/>
          <w:sz w:val="20"/>
          <w:lang w:val="es-ES_tradnl"/>
        </w:rPr>
        <w:t>Publicación electrónica</w:t>
      </w:r>
    </w:p>
    <w:p w:rsidR="00E12571" w:rsidRPr="00763D08" w:rsidRDefault="00E12571" w:rsidP="00E12571">
      <w:pPr>
        <w:spacing w:before="0" w:after="40"/>
        <w:jc w:val="right"/>
        <w:rPr>
          <w:sz w:val="20"/>
          <w:lang w:val="es-ES_tradnl"/>
        </w:rPr>
      </w:pPr>
      <w:r w:rsidRPr="00763D08">
        <w:rPr>
          <w:sz w:val="20"/>
          <w:lang w:val="es-ES_tradnl"/>
        </w:rPr>
        <w:t>Ginebra, 20</w:t>
      </w:r>
      <w:r>
        <w:rPr>
          <w:sz w:val="20"/>
          <w:lang w:val="es-ES_tradnl"/>
        </w:rPr>
        <w:t>15</w:t>
      </w:r>
    </w:p>
    <w:p w:rsidR="00E12571" w:rsidRPr="00763D08" w:rsidRDefault="00E12571" w:rsidP="00E12571">
      <w:pPr>
        <w:spacing w:before="0"/>
        <w:jc w:val="center"/>
        <w:rPr>
          <w:sz w:val="22"/>
          <w:lang w:val="es-ES_tradnl"/>
        </w:rPr>
      </w:pPr>
    </w:p>
    <w:p w:rsidR="00E12571" w:rsidRPr="00763D08" w:rsidRDefault="00E12571" w:rsidP="00E1257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E12571" w:rsidRPr="006C718C" w:rsidRDefault="00E12571" w:rsidP="00E1257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12571" w:rsidRPr="006C718C" w:rsidRDefault="00E12571" w:rsidP="00E12571">
      <w:pPr>
        <w:spacing w:before="160"/>
        <w:rPr>
          <w:i/>
          <w:sz w:val="20"/>
          <w:highlight w:val="yellow"/>
          <w:lang w:val="es-ES_tradnl"/>
        </w:rPr>
        <w:sectPr w:rsidR="00E12571"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E12571" w:rsidRPr="0010336F" w:rsidRDefault="00E12571" w:rsidP="005F2C03">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5F2C03">
        <w:rPr>
          <w:rStyle w:val="href"/>
          <w:lang w:val="es-ES_tradnl"/>
        </w:rPr>
        <w:t>1036-5</w:t>
      </w:r>
    </w:p>
    <w:p w:rsidR="00E12571" w:rsidRPr="008B2F73" w:rsidRDefault="008B2F73" w:rsidP="008B2F73">
      <w:pPr>
        <w:pStyle w:val="Rectitle"/>
        <w:rPr>
          <w:lang w:val="es-ES_tradnl"/>
        </w:rPr>
      </w:pPr>
      <w:r w:rsidRPr="008B2F73">
        <w:rPr>
          <w:lang w:val="es-ES_tradnl"/>
        </w:rPr>
        <w:t>Disposiciones de frecuencias para la implementación de la componente terrenal de las telecomunicaciones móviles internacionales (IMT) en las bandas identificadas en el Reglamento de Radiocomunicaciones (RR) para las IMT</w:t>
      </w:r>
    </w:p>
    <w:p w:rsidR="00A6617B" w:rsidRPr="008B2F73" w:rsidRDefault="008B2F73" w:rsidP="008B2F73">
      <w:pPr>
        <w:pStyle w:val="Questionref"/>
        <w:rPr>
          <w:lang w:val="es-ES_tradnl"/>
        </w:rPr>
      </w:pPr>
      <w:r w:rsidRPr="008B2F73">
        <w:rPr>
          <w:lang w:val="es-ES_tradnl" w:eastAsia="zh-CN"/>
        </w:rPr>
        <w:t>(Cuestión UIT-R 229-2/5)</w:t>
      </w:r>
    </w:p>
    <w:p w:rsidR="008B2F73" w:rsidRPr="008B2F73" w:rsidRDefault="008B2F73" w:rsidP="008B2F73">
      <w:pPr>
        <w:pStyle w:val="Recdate"/>
        <w:rPr>
          <w:lang w:val="es-ES_tradnl"/>
        </w:rPr>
      </w:pPr>
      <w:r w:rsidRPr="008B2F73">
        <w:rPr>
          <w:lang w:val="es-ES_tradnl"/>
        </w:rPr>
        <w:t>(1994-1999-2003-2007-2012</w:t>
      </w:r>
      <w:r w:rsidR="000F393D">
        <w:rPr>
          <w:lang w:val="es-ES_tradnl"/>
        </w:rPr>
        <w:t>-2015</w:t>
      </w:r>
      <w:r w:rsidRPr="008B2F73">
        <w:rPr>
          <w:lang w:val="es-ES_tradnl"/>
        </w:rPr>
        <w:t>)</w:t>
      </w:r>
    </w:p>
    <w:p w:rsidR="008B2F73" w:rsidRPr="008B2F73" w:rsidRDefault="008B2F73" w:rsidP="000F393D">
      <w:pPr>
        <w:pStyle w:val="HeadingSum"/>
        <w:rPr>
          <w:rFonts w:eastAsia="Batang"/>
        </w:rPr>
      </w:pPr>
      <w:r w:rsidRPr="008B2F73">
        <w:rPr>
          <w:rFonts w:eastAsia="Batang"/>
        </w:rPr>
        <w:t>Cometido</w:t>
      </w:r>
    </w:p>
    <w:p w:rsidR="008B2F73" w:rsidRPr="008B2F73" w:rsidRDefault="008B2F73" w:rsidP="000F393D">
      <w:pPr>
        <w:pStyle w:val="Summary"/>
        <w:rPr>
          <w:rFonts w:eastAsia="Batang"/>
        </w:rPr>
      </w:pPr>
      <w:r w:rsidRPr="008B2F73">
        <w:rPr>
          <w:rFonts w:eastAsia="Batang"/>
        </w:rPr>
        <w:t>Esta Recomendación proporciona directrices sobre la selección de disposiciones de frecuencias de transmisión y recepción aplicables a la componente terrenal de los sistemas IMT, así como sobre las propias disposiciones, con el objetivo de servir de ayuda a las administraciones en aspectos técnicos relativos al espectro que sean pertinentes para la implementación y utilización de la componente terrenal de IMT identificada en el RR. Las disposiciones de frecuencias se recomiendan desde el punto de vista de permitir la utilización más eficiente y eficaz del espectro para la provisión de servicios IMT, al tiempo que se minimiza el impacto sobre otros sistemas o servicios en dichas bandas, facilitando el crecimiento de los sistemas IMT.</w:t>
      </w:r>
    </w:p>
    <w:p w:rsidR="008B2F73" w:rsidRDefault="008B2F73" w:rsidP="000F393D">
      <w:pPr>
        <w:pStyle w:val="Summary"/>
        <w:rPr>
          <w:rFonts w:eastAsia="Batang"/>
        </w:rPr>
      </w:pPr>
      <w:r w:rsidRPr="008B2F73">
        <w:rPr>
          <w:rFonts w:eastAsia="Batang"/>
        </w:rPr>
        <w:t>Esta Recomendación está complementada por otras Recomendaciones e Informes UIT-R sobre las IMT, que ofrecen detalles adicionales acerca de diversos aspectos, incluidas las características de las emisiones no deseadas en las bandas de que trata esta Recomendación y las especificaciones de la interfaz radioeléctrica.</w:t>
      </w:r>
    </w:p>
    <w:p w:rsidR="000F393D" w:rsidRPr="008B2F73" w:rsidRDefault="000F393D" w:rsidP="000F393D">
      <w:pPr>
        <w:pStyle w:val="Headingb"/>
        <w:rPr>
          <w:rFonts w:eastAsia="Batang"/>
          <w:lang w:val="es-ES_tradnl"/>
        </w:rPr>
      </w:pPr>
      <w:r w:rsidRPr="008B2F73">
        <w:rPr>
          <w:rFonts w:eastAsia="Batang"/>
          <w:lang w:val="es-ES_tradnl"/>
        </w:rPr>
        <w:t>Palabras clave</w:t>
      </w:r>
    </w:p>
    <w:p w:rsidR="000F393D" w:rsidRPr="008B2F73" w:rsidRDefault="000F393D" w:rsidP="000F393D">
      <w:pPr>
        <w:suppressAutoHyphens/>
        <w:rPr>
          <w:rFonts w:eastAsia="Batang"/>
          <w:b/>
          <w:bCs/>
          <w:i/>
          <w:iCs/>
          <w:lang w:val="es-ES_tradnl"/>
        </w:rPr>
      </w:pPr>
      <w:r w:rsidRPr="008B2F73">
        <w:rPr>
          <w:rFonts w:eastAsia="Batang"/>
          <w:bCs/>
          <w:iCs/>
          <w:lang w:val="es-ES_tradnl"/>
        </w:rPr>
        <w:t>IMT, disposiciones de frecuencias, componente terrenal de las IMT</w:t>
      </w:r>
    </w:p>
    <w:p w:rsidR="008B2F73" w:rsidRPr="008B2F73" w:rsidRDefault="008B2F73" w:rsidP="008B2F73">
      <w:pPr>
        <w:pStyle w:val="Headingb"/>
        <w:rPr>
          <w:lang w:val="es-ES_tradnl"/>
        </w:rPr>
      </w:pPr>
      <w:r w:rsidRPr="008B2F73">
        <w:rPr>
          <w:lang w:val="es-ES_tradnl"/>
        </w:rPr>
        <w:t>Introducción</w:t>
      </w:r>
    </w:p>
    <w:p w:rsidR="008B2F73" w:rsidRPr="008B2F73" w:rsidRDefault="008B2F73" w:rsidP="00270316">
      <w:pPr>
        <w:rPr>
          <w:lang w:val="es-ES_tradnl"/>
        </w:rPr>
      </w:pPr>
      <w:r w:rsidRPr="008B2F73">
        <w:rPr>
          <w:lang w:val="es-ES_tradnl"/>
        </w:rPr>
        <w:t>Las IMT-2000, sistemas móviles de la tercera generación, que entraron en funcionamiento en torno al año 2000, permiten el acceso por medio de uno o varios enlaces radioeléctricos a una amplia gama de servicios de telecomunicaciones soportados por las redes de telecomunicaciones fijas (por ejemplo, RTPC/RDSI/Protocolo de Internet (IP)) y a otros servicios específicos de los usuarios móviles. Desde entonces, las IMT-2000 han sido objeto de mejora constantemente.</w:t>
      </w:r>
    </w:p>
    <w:p w:rsidR="008B2F73" w:rsidRPr="008B2F73" w:rsidRDefault="008B2F73" w:rsidP="00270316">
      <w:pPr>
        <w:rPr>
          <w:lang w:val="es-ES_tradnl"/>
        </w:rPr>
      </w:pPr>
      <w:r w:rsidRPr="008B2F73">
        <w:rPr>
          <w:lang w:val="es-ES_tradnl"/>
        </w:rPr>
        <w:t>Estos sistemas engloban varios tipos de terminales móviles que enlazan con redes terrenales y/o de satélite, siendo posible diseñar los terminales para usos móviles o fijos.</w:t>
      </w:r>
    </w:p>
    <w:p w:rsidR="008B2F73" w:rsidRPr="008B2F73" w:rsidRDefault="008B2F73" w:rsidP="00270316">
      <w:pPr>
        <w:rPr>
          <w:lang w:val="es-ES_tradnl"/>
        </w:rPr>
      </w:pPr>
      <w:r w:rsidRPr="008B2F73">
        <w:rPr>
          <w:lang w:val="es-ES_tradnl"/>
        </w:rPr>
        <w:t>Los sistemas de telecomunicaciones móviles internacionales-avanzadas (IMT-Avanzadas) son sistemas móviles dotados de nuevas capacidades de IMT que superan a las de las IMT-2000. Estos sistemas permiten el acceso a una amplia gama de servicios de telecomunicaciones, entre ellos servicios móviles avanzados, soportados por redes móviles y fijas que, cada vez con mayor frecuencia, se basan en la transmisión de paquetes.</w:t>
      </w:r>
    </w:p>
    <w:p w:rsidR="008B2F73" w:rsidRPr="008B2F73" w:rsidRDefault="008B2F73" w:rsidP="00270316">
      <w:pPr>
        <w:rPr>
          <w:lang w:val="es-ES_tradnl"/>
        </w:rPr>
      </w:pPr>
      <w:r w:rsidRPr="008B2F73">
        <w:rPr>
          <w:lang w:val="es-ES_tradnl"/>
        </w:rPr>
        <w:t>Los sistemas de IMT-Avanzadas soportan aplicaciones de baja a alta movilidad y una amplia gama de velocidades de datos, según lo exija el usuario y el servicio de que se trate en múltiples entornos de usuario. Las IMT-Avanzadas cuentan también con capacidades para ofrecer aplicaciones multimedios de alta calidad con una amplia gama de servicios y plataformas, lo que supone una mejora significativa de las prestaciones ofrecidas y de la calidad de servicio.</w:t>
      </w:r>
    </w:p>
    <w:p w:rsidR="008B2F73" w:rsidRPr="008B2F73" w:rsidRDefault="008B2F73" w:rsidP="00270316">
      <w:pPr>
        <w:rPr>
          <w:szCs w:val="24"/>
          <w:lang w:val="es-ES_tradnl"/>
        </w:rPr>
      </w:pPr>
      <w:r w:rsidRPr="008B2F73">
        <w:rPr>
          <w:lang w:val="es-ES_tradnl"/>
        </w:rPr>
        <w:t>Las Telecomunicaciones Móviles Internacionales (IMT) engloban las IMT-2000 y las IMT</w:t>
      </w:r>
      <w:r w:rsidRPr="008B2F73">
        <w:rPr>
          <w:lang w:val="es-ES_tradnl"/>
        </w:rPr>
        <w:noBreakHyphen/>
        <w:t>Avanzadas.</w:t>
      </w:r>
    </w:p>
    <w:p w:rsidR="008B2F73" w:rsidRPr="008B2F73" w:rsidRDefault="008B2F73" w:rsidP="00270316">
      <w:pPr>
        <w:rPr>
          <w:lang w:val="es-ES_tradnl"/>
        </w:rPr>
      </w:pPr>
      <w:r w:rsidRPr="008B2F73">
        <w:rPr>
          <w:lang w:val="es-ES_tradnl"/>
        </w:rPr>
        <w:t>Las principales características de las IMT-2000 y las IMT-Avanzadas pueden encontrarse en las Recomendaciones UIT-R M.1645 y UIT-R M.1822. Los detalles acerca de las frecuencias y los parámetros de las emisiones no deseadas se consignan en las Recomendaciones UIT-R M.1580,</w:t>
      </w:r>
      <w:r w:rsidR="001B13B9">
        <w:rPr>
          <w:lang w:val="es-ES_tradnl"/>
        </w:rPr>
        <w:t xml:space="preserve"> UIT</w:t>
      </w:r>
      <w:r w:rsidR="001B13B9">
        <w:rPr>
          <w:lang w:val="es-ES_tradnl"/>
        </w:rPr>
        <w:noBreakHyphen/>
      </w:r>
      <w:r w:rsidRPr="008B2F73">
        <w:rPr>
          <w:lang w:val="es-ES_tradnl"/>
        </w:rPr>
        <w:t xml:space="preserve">R M.1581, UIT-R M.2070 y UIT-R M.2071. Pueden incorporarse disposiciones de frecuencias en la Recomendación UIT-R M.1036 antes de que las Recomendaciones hermanas asociadas estén </w:t>
      </w:r>
      <w:r w:rsidRPr="008B2F73">
        <w:rPr>
          <w:lang w:val="es-ES_tradnl"/>
        </w:rPr>
        <w:lastRenderedPageBreak/>
        <w:t>actualizadas para proporcionar las características genéricas de las emisiones no deseadas de estaciones móviles y de base que utilizan las interfaces radioeléctricas terrenales de las IMT.</w:t>
      </w:r>
    </w:p>
    <w:p w:rsidR="008B2F73" w:rsidRPr="008B2F73" w:rsidRDefault="008B2F73" w:rsidP="008B2F73">
      <w:pPr>
        <w:suppressAutoHyphens/>
        <w:rPr>
          <w:lang w:val="es-ES_tradnl"/>
        </w:rPr>
      </w:pPr>
      <w:r w:rsidRPr="008B2F73">
        <w:rPr>
          <w:lang w:val="es-ES_tradnl"/>
        </w:rPr>
        <w:t>Es necesario establecer límites a las emisiones no deseadas para proteger otros sistemas radioeléctricos, incluidos los que se encuentran en bandas adyacentes, y ayudar a que sea posible la coexistencia entre tecnologías diferentes en las bandas objeto de esta Recomendación.</w:t>
      </w:r>
    </w:p>
    <w:p w:rsidR="008B2F73" w:rsidRPr="008B2F73" w:rsidRDefault="008B2F73" w:rsidP="008B2F73">
      <w:pPr>
        <w:suppressAutoHyphens/>
        <w:rPr>
          <w:lang w:val="es-ES_tradnl"/>
        </w:rPr>
      </w:pPr>
      <w:r w:rsidRPr="008B2F73">
        <w:rPr>
          <w:lang w:val="es-ES_tradnl"/>
        </w:rPr>
        <w:t>Las capacidades de los sistemas IMT están siendo continuamente mejoradas en línea con las necesidades de los usuarios y las tendencias tecnológicas.</w:t>
      </w:r>
    </w:p>
    <w:p w:rsidR="008B2F73" w:rsidRPr="008B2F73" w:rsidRDefault="008B2F73" w:rsidP="008B2F73">
      <w:pPr>
        <w:suppressAutoHyphens/>
        <w:rPr>
          <w:lang w:val="es-ES_tradnl" w:eastAsia="zh-CN"/>
        </w:rPr>
      </w:pPr>
      <w:r w:rsidRPr="008B2F73">
        <w:rPr>
          <w:lang w:val="es-ES_tradnl"/>
        </w:rPr>
        <w:t>En el Reglamento de Radiocomunicaciones (RR) edición 2012 se han identificado hasta ahora las siguientes bandas para las IMT. Esta identificación no impide que estas bandas se utilicen para otras aplicaciones de los servicios a los que están atribuidas o identificadas ni tampoco establece prioridad alguna en el Reglamento de Radiocomunicaciones. Cabe señalar que a cada banda se aplican distintas disposiciones reglamentarias. Las variaciones regionales para cada banda se describen en las diferentes notas que se aplican a cada banda, como se muestra en el Cuadro 1.</w:t>
      </w:r>
    </w:p>
    <w:p w:rsidR="008B2F73" w:rsidRPr="000759A1" w:rsidRDefault="008B2F73" w:rsidP="008B2F73">
      <w:pPr>
        <w:pStyle w:val="TableNo"/>
        <w:rPr>
          <w:lang w:eastAsia="zh-CN"/>
        </w:rPr>
      </w:pPr>
      <w:r w:rsidRPr="000759A1">
        <w:t>CUADRO 1</w:t>
      </w:r>
    </w:p>
    <w:tbl>
      <w:tblPr>
        <w:tblW w:w="0" w:type="auto"/>
        <w:jc w:val="center"/>
        <w:tblLayout w:type="fixed"/>
        <w:tblLook w:val="0000" w:firstRow="0" w:lastRow="0" w:firstColumn="0" w:lastColumn="0" w:noHBand="0" w:noVBand="0"/>
      </w:tblPr>
      <w:tblGrid>
        <w:gridCol w:w="2354"/>
        <w:gridCol w:w="3831"/>
      </w:tblGrid>
      <w:tr w:rsidR="008B2F73" w:rsidRPr="008B2F73" w:rsidTr="00CF26FE">
        <w:trPr>
          <w:tblHeade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head"/>
            </w:pPr>
            <w:r w:rsidRPr="000759A1">
              <w:t>Banda</w:t>
            </w:r>
            <w:r w:rsidRPr="000759A1">
              <w:br/>
              <w:t>(MHz)</w:t>
            </w:r>
          </w:p>
        </w:tc>
        <w:tc>
          <w:tcPr>
            <w:tcW w:w="3831" w:type="dxa"/>
            <w:tcBorders>
              <w:top w:val="single" w:sz="4" w:space="0" w:color="000000"/>
              <w:left w:val="single" w:sz="4" w:space="0" w:color="000000"/>
              <w:bottom w:val="single" w:sz="4" w:space="0" w:color="000000"/>
              <w:right w:val="single" w:sz="4" w:space="0" w:color="000000"/>
            </w:tcBorders>
          </w:tcPr>
          <w:p w:rsidR="008B2F73" w:rsidRPr="008B2F73" w:rsidRDefault="008B2F73" w:rsidP="00CF26FE">
            <w:pPr>
              <w:pStyle w:val="Tablehead"/>
              <w:rPr>
                <w:lang w:val="es-ES_tradnl"/>
              </w:rPr>
            </w:pPr>
            <w:r w:rsidRPr="008B2F73">
              <w:rPr>
                <w:lang w:val="es-ES_tradnl"/>
              </w:rPr>
              <w:t>Notas que identifican la banda</w:t>
            </w:r>
            <w:r w:rsidRPr="008B2F73">
              <w:rPr>
                <w:lang w:val="es-ES_tradnl"/>
              </w:rPr>
              <w:br/>
              <w:t>para IMT</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450-470</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5.286AA</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698-960</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5.313A, 5.317A</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1 710-2 025</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5.384A, 5.388</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2 110-2 200</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5.388</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2 300-2 400</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5.384A</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2 500-2 690</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5.384A</w:t>
            </w:r>
          </w:p>
        </w:tc>
      </w:tr>
      <w:tr w:rsidR="008B2F73" w:rsidRPr="000759A1" w:rsidTr="00CF26FE">
        <w:trPr>
          <w:jc w:val="center"/>
        </w:trPr>
        <w:tc>
          <w:tcPr>
            <w:tcW w:w="2354" w:type="dxa"/>
            <w:tcBorders>
              <w:top w:val="single" w:sz="4" w:space="0" w:color="000000"/>
              <w:left w:val="single" w:sz="4" w:space="0" w:color="000000"/>
              <w:bottom w:val="single" w:sz="4" w:space="0" w:color="000000"/>
            </w:tcBorders>
          </w:tcPr>
          <w:p w:rsidR="008B2F73" w:rsidRPr="000759A1" w:rsidRDefault="008B2F73" w:rsidP="00CF26FE">
            <w:pPr>
              <w:pStyle w:val="Tabletext"/>
              <w:jc w:val="center"/>
            </w:pPr>
            <w:r w:rsidRPr="000759A1">
              <w:t>3 400-3 600</w:t>
            </w:r>
          </w:p>
        </w:tc>
        <w:tc>
          <w:tcPr>
            <w:tcW w:w="3831" w:type="dxa"/>
            <w:tcBorders>
              <w:top w:val="single" w:sz="4" w:space="0" w:color="000000"/>
              <w:left w:val="single" w:sz="4" w:space="0" w:color="000000"/>
              <w:bottom w:val="single" w:sz="4" w:space="0" w:color="000000"/>
              <w:right w:val="single" w:sz="4" w:space="0" w:color="000000"/>
            </w:tcBorders>
          </w:tcPr>
          <w:p w:rsidR="008B2F73" w:rsidRPr="000759A1" w:rsidRDefault="008B2F73" w:rsidP="00CF26FE">
            <w:pPr>
              <w:pStyle w:val="Tabletext"/>
              <w:jc w:val="center"/>
            </w:pPr>
            <w:r w:rsidRPr="000759A1">
              <w:t>5.430A, 5.432A, 5.432B, 5.433A</w:t>
            </w:r>
          </w:p>
        </w:tc>
      </w:tr>
    </w:tbl>
    <w:p w:rsidR="008B2F73" w:rsidRPr="000759A1" w:rsidRDefault="008B2F73" w:rsidP="008B2F73">
      <w:pPr>
        <w:pStyle w:val="Tablefin"/>
        <w:rPr>
          <w:lang w:val="es-ES_tradnl"/>
        </w:rPr>
      </w:pPr>
    </w:p>
    <w:p w:rsidR="00DE7308" w:rsidRPr="00DE7308" w:rsidRDefault="00DE7308" w:rsidP="00DE7308">
      <w:pPr>
        <w:rPr>
          <w:lang w:val="es-ES_tradnl" w:eastAsia="zh-CN"/>
        </w:rPr>
      </w:pPr>
      <w:r w:rsidRPr="00DE7308">
        <w:rPr>
          <w:lang w:val="es-ES_tradnl"/>
        </w:rPr>
        <w:t>Por otra parte, las administraciones pueden instalar sistemas IMT en bandas atribuidas al servicio móvil distintas de las identificadas en el RR, o pueden desplegar sistemas IMT sólo en algunas bandas o en parte de las mismas identificadas para IMT en el RR.</w:t>
      </w:r>
    </w:p>
    <w:p w:rsidR="008B2F73" w:rsidRPr="000759A1" w:rsidRDefault="008B2F73" w:rsidP="008B2F73">
      <w:pPr>
        <w:pStyle w:val="Normalaftertitle"/>
        <w:rPr>
          <w:lang w:val="es-ES_tradnl"/>
        </w:rPr>
      </w:pPr>
      <w:r w:rsidRPr="000759A1">
        <w:rPr>
          <w:lang w:val="es-ES_tradnl"/>
        </w:rPr>
        <w:t>La Asamblea de Radiocomunicaciones de la UIT,</w:t>
      </w:r>
    </w:p>
    <w:p w:rsidR="008B2F73" w:rsidRPr="008B2F73" w:rsidRDefault="008B2F73" w:rsidP="008B2F73">
      <w:pPr>
        <w:pStyle w:val="Call"/>
        <w:rPr>
          <w:lang w:val="es-ES_tradnl"/>
        </w:rPr>
      </w:pPr>
      <w:r w:rsidRPr="008B2F73">
        <w:rPr>
          <w:lang w:val="es-ES_tradnl"/>
        </w:rPr>
        <w:t>considerando</w:t>
      </w:r>
    </w:p>
    <w:p w:rsidR="008B2F73" w:rsidRPr="008B2F73" w:rsidRDefault="008B2F73" w:rsidP="008B2F73">
      <w:pPr>
        <w:rPr>
          <w:lang w:val="es-ES_tradnl"/>
        </w:rPr>
      </w:pPr>
      <w:r w:rsidRPr="008B2F73">
        <w:rPr>
          <w:i/>
          <w:iCs/>
          <w:lang w:val="es-ES_tradnl"/>
        </w:rPr>
        <w:t>a)</w:t>
      </w:r>
      <w:r w:rsidRPr="008B2F73">
        <w:rPr>
          <w:lang w:val="es-ES_tradnl"/>
        </w:rPr>
        <w:tab/>
        <w:t>que la UIT es la entidad reconocida internacionalmente que tiene la responsabilidad exclusiva de definir y recomendar las normas y disposiciones de radiofrecuencias para los sistemas IMT</w:t>
      </w:r>
      <w:r w:rsidRPr="008B2F73">
        <w:rPr>
          <w:lang w:val="es-ES_tradnl"/>
        </w:rPr>
        <w:noBreakHyphen/>
        <w:t>2000, con la colaboración de otros organismos.</w:t>
      </w:r>
    </w:p>
    <w:p w:rsidR="008B2F73" w:rsidRPr="008B2F73" w:rsidRDefault="008B2F73" w:rsidP="008B2F73">
      <w:pPr>
        <w:rPr>
          <w:lang w:val="es-ES_tradnl"/>
        </w:rPr>
      </w:pPr>
      <w:r w:rsidRPr="008B2F73">
        <w:rPr>
          <w:i/>
          <w:iCs/>
          <w:lang w:val="es-ES_tradnl"/>
        </w:rPr>
        <w:t>b)</w:t>
      </w:r>
      <w:r w:rsidRPr="008B2F73">
        <w:rPr>
          <w:lang w:val="es-ES_tradnl"/>
        </w:rPr>
        <w:tab/>
        <w:t>que es conveniente disponer de espectro y disposiciones de frecuencias armonizados a nivel mundial para las IMT;</w:t>
      </w:r>
    </w:p>
    <w:p w:rsidR="008B2F73" w:rsidRPr="008B2F73" w:rsidRDefault="008B2F73" w:rsidP="008B2F73">
      <w:pPr>
        <w:rPr>
          <w:lang w:val="es-ES_tradnl"/>
        </w:rPr>
      </w:pPr>
      <w:r w:rsidRPr="008B2F73">
        <w:rPr>
          <w:i/>
          <w:iCs/>
          <w:lang w:val="es-ES_tradnl"/>
        </w:rPr>
        <w:t>c)</w:t>
      </w:r>
      <w:r w:rsidRPr="008B2F73">
        <w:rPr>
          <w:lang w:val="es-ES_tradnl"/>
        </w:rPr>
        <w:tab/>
        <w:t>que la existencia de un número mínimo de disposiciones de frecuencias armonizadas a nivel mundial en las bandas identificadas para las IMT permitirá reducir los costes globales de las redes y terminales IMT permitiendo economías de escala y facilitando la implantación y la coordinación transfronteriza;</w:t>
      </w:r>
    </w:p>
    <w:p w:rsidR="008B2F73" w:rsidRPr="008B2F73" w:rsidRDefault="008B2F73" w:rsidP="008B2F73">
      <w:pPr>
        <w:rPr>
          <w:lang w:val="es-ES_tradnl"/>
        </w:rPr>
      </w:pPr>
      <w:r w:rsidRPr="008B2F73">
        <w:rPr>
          <w:i/>
          <w:iCs/>
          <w:lang w:val="es-ES_tradnl"/>
        </w:rPr>
        <w:t>d)</w:t>
      </w:r>
      <w:r w:rsidRPr="008B2F73">
        <w:rPr>
          <w:lang w:val="es-ES_tradnl"/>
        </w:rPr>
        <w:tab/>
        <w:t xml:space="preserve">que, cuando las disposiciones de frecuencias no pueden armonizarse a nivel mundial, la existencia de una banda de frecuencias de transmisión común para la estación base y/o la estación móvil facilita el equipamiento de terminales con capacidad de itinerancia a nivel mundial. En </w:t>
      </w:r>
      <w:r w:rsidRPr="008B2F73">
        <w:rPr>
          <w:lang w:val="es-ES_tradnl"/>
        </w:rPr>
        <w:lastRenderedPageBreak/>
        <w:t>particular, una banda de transmisión común de las estaciones base permite difundir a los usuarios en itinerancia toda la información necesaria para el establecimiento de una llamada;</w:t>
      </w:r>
    </w:p>
    <w:p w:rsidR="008B2F73" w:rsidRPr="008B2F73" w:rsidRDefault="008B2F73" w:rsidP="008B2F73">
      <w:pPr>
        <w:rPr>
          <w:lang w:val="es-ES_tradnl"/>
        </w:rPr>
      </w:pPr>
      <w:r w:rsidRPr="008B2F73">
        <w:rPr>
          <w:i/>
          <w:iCs/>
          <w:lang w:val="es-ES_tradnl"/>
        </w:rPr>
        <w:t>e)</w:t>
      </w:r>
      <w:r w:rsidRPr="008B2F73">
        <w:rPr>
          <w:lang w:val="es-ES_tradnl"/>
        </w:rPr>
        <w:tab/>
        <w:t>que, cuando se desarrollen las disposiciones de frecuencias, deben tenerse en cuenta las posibles limitaciones tecnológicas (por ejemplo, eficiencia de costos, tamaño y complejidad de los terminales, procesamiento digital de la señal de alta velocidad/baja potencia y la necesidad de baterías de tamaño reducido);</w:t>
      </w:r>
    </w:p>
    <w:p w:rsidR="008B2F73" w:rsidRPr="008B2F73" w:rsidRDefault="008B2F73" w:rsidP="008B2F73">
      <w:pPr>
        <w:rPr>
          <w:lang w:val="es-ES_tradnl"/>
        </w:rPr>
      </w:pPr>
      <w:r w:rsidRPr="008B2F73">
        <w:rPr>
          <w:i/>
          <w:iCs/>
          <w:lang w:val="es-ES_tradnl"/>
        </w:rPr>
        <w:t>f)</w:t>
      </w:r>
      <w:r w:rsidRPr="008B2F73">
        <w:rPr>
          <w:lang w:val="es-ES_tradnl"/>
        </w:rPr>
        <w:tab/>
        <w:t>que las bandas de guarda para sistemas IMT deben minimizarse a fin de evitar desperdiciar espectro radioeléctrico;</w:t>
      </w:r>
    </w:p>
    <w:p w:rsidR="008B2F73" w:rsidRPr="008B2F73" w:rsidRDefault="008B2F73" w:rsidP="008B2F73">
      <w:pPr>
        <w:rPr>
          <w:lang w:val="es-ES_tradnl"/>
        </w:rPr>
      </w:pPr>
      <w:r w:rsidRPr="008B2F73">
        <w:rPr>
          <w:i/>
          <w:iCs/>
          <w:lang w:val="es-ES_tradnl"/>
        </w:rPr>
        <w:t>g)</w:t>
      </w:r>
      <w:r w:rsidRPr="008B2F73">
        <w:rPr>
          <w:lang w:val="es-ES_tradnl"/>
        </w:rPr>
        <w:tab/>
        <w:t>que cuando se elaboran disposiciones de frecuencias, los avances de las IMT actuales y futuros (por ejemplo, terminales multimodo/multibanda, tecnología de filtrado mejorada, antenas adaptables, técnicas de procesamiento digital de la señal avanzadas, técnicas asociadas a los sistemas de radiocomunicaciones cognitivos, tecnología dúplex variable y periféricos con conectividad inalámbrica) pueden facilitar una utilización más eficaz y, en general, más completa del espectro radioeléctrico;</w:t>
      </w:r>
    </w:p>
    <w:p w:rsidR="008B2F73" w:rsidRPr="008B2F73" w:rsidRDefault="008B2F73" w:rsidP="008B2F73">
      <w:pPr>
        <w:rPr>
          <w:lang w:val="es-ES_tradnl"/>
        </w:rPr>
      </w:pPr>
      <w:r w:rsidRPr="008B2F73">
        <w:rPr>
          <w:i/>
          <w:iCs/>
          <w:lang w:val="es-ES_tradnl"/>
        </w:rPr>
        <w:t>h)</w:t>
      </w:r>
      <w:r w:rsidRPr="008B2F73">
        <w:rPr>
          <w:lang w:val="es-ES_tradnl"/>
        </w:rPr>
        <w:tab/>
        <w:t>que es previsible que el tráfico de cada abonado de los sistemas IMT sea asimétrico de forma dinámica, con variaciones rápidas (ms) del sentido de dicha asimetría;</w:t>
      </w:r>
    </w:p>
    <w:p w:rsidR="008B2F73" w:rsidRPr="008B2F73" w:rsidRDefault="008B2F73" w:rsidP="008B2F73">
      <w:pPr>
        <w:rPr>
          <w:snapToGrid w:val="0"/>
          <w:lang w:val="es-ES_tradnl"/>
        </w:rPr>
      </w:pPr>
      <w:r w:rsidRPr="008B2F73">
        <w:rPr>
          <w:i/>
          <w:iCs/>
          <w:lang w:val="es-ES_tradnl"/>
        </w:rPr>
        <w:t>i)</w:t>
      </w:r>
      <w:r w:rsidRPr="008B2F73">
        <w:rPr>
          <w:lang w:val="es-ES_tradnl"/>
        </w:rPr>
        <w:tab/>
        <w:t>que es previsible que el nivel del tráfico por célula de los sistemas IMT sea asimétrico de forma dinámica, variando el sentido de dicha asimetría en base al tráfico agregado de los abonados;</w:t>
      </w:r>
    </w:p>
    <w:p w:rsidR="008B2F73" w:rsidRPr="008B2F73" w:rsidRDefault="008B2F73" w:rsidP="008B2F73">
      <w:pPr>
        <w:rPr>
          <w:lang w:val="es-ES_tradnl"/>
        </w:rPr>
      </w:pPr>
      <w:r w:rsidRPr="008B2F73">
        <w:rPr>
          <w:i/>
          <w:iCs/>
          <w:lang w:val="es-ES_tradnl"/>
        </w:rPr>
        <w:t>j)</w:t>
      </w:r>
      <w:r w:rsidRPr="008B2F73">
        <w:rPr>
          <w:lang w:val="es-ES_tradnl"/>
        </w:rPr>
        <w:tab/>
        <w:t>que el tráfico de las redes IMT puede cambiar sus características asimétricas a largo plazo;</w:t>
      </w:r>
    </w:p>
    <w:p w:rsidR="008B2F73" w:rsidRPr="008B2F73" w:rsidRDefault="008B2F73" w:rsidP="008B2F73">
      <w:pPr>
        <w:rPr>
          <w:lang w:val="es-ES_tradnl"/>
        </w:rPr>
      </w:pPr>
      <w:r w:rsidRPr="008B2F73">
        <w:rPr>
          <w:i/>
          <w:iCs/>
          <w:lang w:val="es-ES_tradnl"/>
        </w:rPr>
        <w:t>k)</w:t>
      </w:r>
      <w:r w:rsidRPr="008B2F73">
        <w:rPr>
          <w:lang w:val="es-ES_tradnl"/>
        </w:rPr>
        <w:tab/>
        <w:t>que las interfaces radioeléctricas IMT-2000 se describen con detalle en la Recomendación UIT-R M.1457 y que, en la actualidad, ofrecen</w:t>
      </w:r>
      <w:r w:rsidRPr="008B2F73">
        <w:rPr>
          <w:lang w:val="es-ES_tradnl" w:eastAsia="ja-JP"/>
        </w:rPr>
        <w:t xml:space="preserve"> </w:t>
      </w:r>
      <w:r w:rsidRPr="008B2F73">
        <w:rPr>
          <w:lang w:val="es-ES_tradnl"/>
        </w:rPr>
        <w:t>dos modos de funcionamiento: dúplex por división de frecuencia (FDD) y dúplex por división en el tiempo (TDD);</w:t>
      </w:r>
    </w:p>
    <w:p w:rsidR="008B2F73" w:rsidRPr="008B2F73" w:rsidRDefault="008B2F73" w:rsidP="008B2F73">
      <w:pPr>
        <w:suppressAutoHyphens/>
        <w:rPr>
          <w:lang w:val="es-ES_tradnl"/>
        </w:rPr>
      </w:pPr>
      <w:r w:rsidRPr="008B2F73">
        <w:rPr>
          <w:i/>
          <w:iCs/>
          <w:lang w:val="es-ES_tradnl"/>
        </w:rPr>
        <w:t>l)</w:t>
      </w:r>
      <w:r w:rsidRPr="008B2F73">
        <w:rPr>
          <w:lang w:val="es-ES_tradnl"/>
        </w:rPr>
        <w:tab/>
        <w:t>que las interfaces radioeléctricas de las IMT-Avanzadas se detallan en la Recomendación UIT-R M.2012 para los modos FDD y TDD;</w:t>
      </w:r>
    </w:p>
    <w:p w:rsidR="008B2F73" w:rsidRPr="008B2F73" w:rsidRDefault="008B2F73" w:rsidP="008B2F73">
      <w:pPr>
        <w:suppressAutoHyphens/>
        <w:rPr>
          <w:i/>
          <w:szCs w:val="24"/>
          <w:lang w:val="es-ES_tradnl"/>
        </w:rPr>
      </w:pPr>
      <w:r w:rsidRPr="008B2F73">
        <w:rPr>
          <w:i/>
          <w:iCs/>
          <w:color w:val="000000"/>
          <w:szCs w:val="24"/>
          <w:lang w:val="es-ES_tradnl"/>
        </w:rPr>
        <w:t>m)</w:t>
      </w:r>
      <w:r w:rsidRPr="008B2F73">
        <w:rPr>
          <w:color w:val="000000"/>
          <w:szCs w:val="24"/>
          <w:lang w:val="es-ES_tradnl"/>
        </w:rPr>
        <w:tab/>
      </w:r>
      <w:r w:rsidRPr="008B2F73">
        <w:rPr>
          <w:lang w:val="es-ES_tradnl"/>
        </w:rPr>
        <w:t xml:space="preserve">que resulta beneficioso utilizar los modos FDD y TDD en la misma banda, aunque tal utilización se ha de considerar detalladamente para minimizar la interferencia entre sistemas, de acuerdo con las orientaciones indicadas en el </w:t>
      </w:r>
      <w:r w:rsidRPr="008B2F73">
        <w:rPr>
          <w:i/>
          <w:iCs/>
          <w:lang w:val="es-ES_tradnl"/>
        </w:rPr>
        <w:t>considerando</w:t>
      </w:r>
      <w:r w:rsidRPr="008B2F73">
        <w:rPr>
          <w:lang w:val="es-ES_tradnl"/>
        </w:rPr>
        <w:t xml:space="preserve"> </w:t>
      </w:r>
      <w:r w:rsidRPr="008B2F73">
        <w:rPr>
          <w:i/>
          <w:iCs/>
          <w:lang w:val="es-ES_tradnl"/>
        </w:rPr>
        <w:t>o)</w:t>
      </w:r>
      <w:r w:rsidRPr="008B2F73">
        <w:rPr>
          <w:lang w:val="es-ES_tradnl"/>
        </w:rPr>
        <w:t>, sobre todo si se seleccionan límites FDD/TDD flexibles, pues en tal caso podrá ser necesario incluir filtros adicionales tanto en los transmisores como en los receptores, contar con bandas de guarda que pueden afectar a la utilización del espectro, y utilizar diversas</w:t>
      </w:r>
      <w:r w:rsidRPr="008B2F73">
        <w:rPr>
          <w:color w:val="000000"/>
          <w:szCs w:val="24"/>
          <w:lang w:val="es-ES_tradnl"/>
        </w:rPr>
        <w:t xml:space="preserve"> </w:t>
      </w:r>
      <w:r w:rsidRPr="008B2F73">
        <w:rPr>
          <w:lang w:val="es-ES_tradnl"/>
        </w:rPr>
        <w:t>técnicas de reducción de interferencia</w:t>
      </w:r>
      <w:r w:rsidRPr="008B2F73">
        <w:rPr>
          <w:color w:val="000000"/>
          <w:szCs w:val="24"/>
          <w:lang w:val="es-ES_tradnl"/>
        </w:rPr>
        <w:t xml:space="preserve"> en casos concretos;</w:t>
      </w:r>
    </w:p>
    <w:p w:rsidR="008B2F73" w:rsidRPr="008B2F73" w:rsidRDefault="008B2F73" w:rsidP="008B2F73">
      <w:pPr>
        <w:suppressAutoHyphens/>
        <w:rPr>
          <w:lang w:val="es-ES_tradnl"/>
        </w:rPr>
      </w:pPr>
      <w:r w:rsidRPr="008B2F73">
        <w:rPr>
          <w:i/>
          <w:iCs/>
          <w:lang w:val="es-ES_tradnl"/>
        </w:rPr>
        <w:t>n)</w:t>
      </w:r>
      <w:r w:rsidRPr="008B2F73">
        <w:rPr>
          <w:lang w:val="es-ES_tradnl"/>
        </w:rPr>
        <w:tab/>
        <w:t>que se considera que la tecnología dúplex seleccionable/variable puede ayudar a utilizar múltiples bandas de frecuencias para facilitar soluciones globales y de convergencia. Dicha tecnología aporta flexibilidad adicional para que los terminales IMT soporten múltiples disposiciones de frecuencias;</w:t>
      </w:r>
    </w:p>
    <w:p w:rsidR="008B2F73" w:rsidRPr="008B2F73" w:rsidRDefault="008B2F73" w:rsidP="008B2F73">
      <w:pPr>
        <w:suppressAutoHyphens/>
        <w:rPr>
          <w:lang w:val="es-ES_tradnl"/>
        </w:rPr>
      </w:pPr>
      <w:r w:rsidRPr="008B2F73">
        <w:rPr>
          <w:i/>
          <w:iCs/>
          <w:lang w:val="es-ES_tradnl"/>
        </w:rPr>
        <w:t>o)</w:t>
      </w:r>
      <w:r w:rsidRPr="008B2F73">
        <w:rPr>
          <w:lang w:val="es-ES_tradnl"/>
        </w:rPr>
        <w:tab/>
        <w:t>que los Informes UIT-R M.2030, UIT-R M.2031, UIT-R M.2045, UIT-R M.2109, UIT</w:t>
      </w:r>
      <w:r w:rsidRPr="008B2F73">
        <w:rPr>
          <w:lang w:val="es-ES_tradnl"/>
        </w:rPr>
        <w:noBreakHyphen/>
        <w:t>R M.2110 y UIT-R M.2041 pueden ayudar a determinar los mecanismos (por ejemplo requisitos de banda de guarda, que permitan garantizar la coexistencia de los sistemas FDD y TDD) y la compatibilidad entre las componentes de satélite y terrenal de las IMT,</w:t>
      </w:r>
    </w:p>
    <w:p w:rsidR="008B2F73" w:rsidRPr="008B2F73" w:rsidRDefault="008B2F73" w:rsidP="008B2F73">
      <w:pPr>
        <w:pStyle w:val="Call"/>
        <w:rPr>
          <w:lang w:val="es-ES_tradnl"/>
        </w:rPr>
      </w:pPr>
      <w:r w:rsidRPr="008B2F73">
        <w:rPr>
          <w:lang w:val="es-ES_tradnl"/>
        </w:rPr>
        <w:t>observando</w:t>
      </w:r>
    </w:p>
    <w:p w:rsidR="008B2F73" w:rsidRPr="008B2F73" w:rsidRDefault="008B2F73" w:rsidP="008B2F73">
      <w:pPr>
        <w:rPr>
          <w:lang w:val="es-ES_tradnl"/>
        </w:rPr>
      </w:pPr>
      <w:r w:rsidRPr="008B2F73">
        <w:rPr>
          <w:lang w:val="es-ES_tradnl"/>
        </w:rPr>
        <w:t>que en los Adjuntos 1 a 3 se facilita información sobre el vocabulario y los términos específicos utilizados en esta Recomendación, los objetivos de aplicación de las IMT-2000 y una lista de las Recomendaciones e Informes conexos</w:t>
      </w:r>
      <w:r w:rsidRPr="008B2F73">
        <w:rPr>
          <w:rFonts w:eastAsia="MS Mincho"/>
          <w:lang w:val="es-ES_tradnl"/>
        </w:rPr>
        <w:t>,</w:t>
      </w:r>
    </w:p>
    <w:p w:rsidR="008B2F73" w:rsidRPr="008B2F73" w:rsidRDefault="008B2F73" w:rsidP="008B2F73">
      <w:pPr>
        <w:pStyle w:val="Call"/>
        <w:rPr>
          <w:lang w:val="es-ES_tradnl"/>
        </w:rPr>
      </w:pPr>
      <w:r w:rsidRPr="008B2F73">
        <w:rPr>
          <w:lang w:val="es-ES_tradnl"/>
        </w:rPr>
        <w:lastRenderedPageBreak/>
        <w:t>reconociendo</w:t>
      </w:r>
    </w:p>
    <w:p w:rsidR="008B2F73" w:rsidRPr="008B2F73" w:rsidRDefault="008B2F73" w:rsidP="008B2F73">
      <w:pPr>
        <w:rPr>
          <w:lang w:val="es-ES_tradnl"/>
        </w:rPr>
      </w:pPr>
      <w:r w:rsidRPr="008B2F73">
        <w:rPr>
          <w:i/>
          <w:iCs/>
          <w:lang w:val="es-ES_tradnl"/>
        </w:rPr>
        <w:t>a)</w:t>
      </w:r>
      <w:r w:rsidRPr="008B2F73">
        <w:rPr>
          <w:lang w:val="es-ES_tradnl"/>
        </w:rPr>
        <w:tab/>
        <w:t xml:space="preserve">que en la Resolución </w:t>
      </w:r>
      <w:r w:rsidRPr="001B13B9">
        <w:rPr>
          <w:b/>
          <w:bCs/>
          <w:lang w:val="es-ES_tradnl"/>
        </w:rPr>
        <w:t>646 (Rev.CMR-12)</w:t>
      </w:r>
      <w:r w:rsidRPr="008B2F73">
        <w:rPr>
          <w:lang w:val="es-ES_tradnl"/>
        </w:rPr>
        <w:t xml:space="preserve"> se alienta a las administraciones a considerar las siguientes bandas de frecuencias identificadas para la protección pública y las operaciones de socorro, cuando emprendan su planificación nacional:</w:t>
      </w:r>
    </w:p>
    <w:p w:rsidR="008B2F73" w:rsidRPr="008B2F73" w:rsidRDefault="008B2F73" w:rsidP="008B2F73">
      <w:pPr>
        <w:pStyle w:val="enumlev1"/>
        <w:rPr>
          <w:lang w:val="es-ES_tradnl"/>
        </w:rPr>
      </w:pPr>
      <w:r w:rsidRPr="008B2F73">
        <w:rPr>
          <w:lang w:val="es-ES_tradnl"/>
        </w:rPr>
        <w:t>–</w:t>
      </w:r>
      <w:r w:rsidRPr="008B2F73">
        <w:rPr>
          <w:lang w:val="es-ES_tradnl"/>
        </w:rPr>
        <w:tab/>
        <w:t>en la Región 2: 746-806 MHz, 806-869 MHz;</w:t>
      </w:r>
    </w:p>
    <w:p w:rsidR="008B2F73" w:rsidRPr="008B2F73" w:rsidRDefault="008B2F73" w:rsidP="008B2F73">
      <w:pPr>
        <w:pStyle w:val="enumlev1"/>
        <w:rPr>
          <w:lang w:val="es-ES_tradnl"/>
        </w:rPr>
      </w:pPr>
      <w:r w:rsidRPr="008B2F73">
        <w:rPr>
          <w:lang w:val="es-ES_tradnl"/>
        </w:rPr>
        <w:t>–</w:t>
      </w:r>
      <w:r w:rsidRPr="008B2F73">
        <w:rPr>
          <w:lang w:val="es-ES_tradnl"/>
        </w:rPr>
        <w:tab/>
        <w:t>en la Región 3</w:t>
      </w:r>
      <w:r w:rsidRPr="000759A1">
        <w:rPr>
          <w:rStyle w:val="FootnoteReference"/>
        </w:rPr>
        <w:footnoteReference w:id="1"/>
      </w:r>
      <w:r w:rsidRPr="008B2F73">
        <w:rPr>
          <w:lang w:val="es-ES_tradnl"/>
        </w:rPr>
        <w:t>: 806-824/851-869 MHz;</w:t>
      </w:r>
    </w:p>
    <w:p w:rsidR="008B2F73" w:rsidRPr="008B2F73" w:rsidRDefault="008B2F73" w:rsidP="008B2F73">
      <w:pPr>
        <w:suppressAutoHyphens/>
        <w:rPr>
          <w:lang w:val="es-ES_tradnl"/>
        </w:rPr>
      </w:pPr>
      <w:r w:rsidRPr="008B2F73">
        <w:rPr>
          <w:i/>
          <w:iCs/>
          <w:lang w:val="es-ES_tradnl"/>
        </w:rPr>
        <w:t>b)</w:t>
      </w:r>
      <w:r w:rsidRPr="008B2F73">
        <w:rPr>
          <w:lang w:val="es-ES_tradnl"/>
        </w:rPr>
        <w:tab/>
        <w:t>que la identificación de las bandas/gamas de frecuencias indicadas para la protección pública y las operaciones de socorro no excluye la utilización de estas bandas/frecuencias para cualquier otra aplicación dentro de los servicios a los que estén atribuidas dichas bandas/frecuencias, y no impide la utilización ni establece prioridad por encima de cualesquiera otras frecuencias para las aplicaciones de protección pública y operaciones de socorro, de conformidad con el Reglamento de Radiocomunicaciones;</w:t>
      </w:r>
    </w:p>
    <w:p w:rsidR="008B2F73" w:rsidRPr="008B2F73" w:rsidRDefault="008B2F73" w:rsidP="008B2F73">
      <w:pPr>
        <w:suppressAutoHyphens/>
        <w:rPr>
          <w:lang w:val="es-ES_tradnl"/>
        </w:rPr>
      </w:pPr>
      <w:r w:rsidRPr="008B2F73">
        <w:rPr>
          <w:i/>
          <w:lang w:val="es-ES_tradnl"/>
        </w:rPr>
        <w:t>c)</w:t>
      </w:r>
      <w:r w:rsidRPr="008B2F73">
        <w:rPr>
          <w:lang w:val="es-ES_tradnl"/>
        </w:rPr>
        <w:tab/>
        <w:t>que en la CAMR-92, se identificaron 230 MHz de espectro para las IMT-2000 en las bandas 1 885-2 025 MHz y 2 110-2 200 MHz, incluidas las bandas 1 980-2 010 MHz y 2 170</w:t>
      </w:r>
      <w:r w:rsidRPr="008B2F73">
        <w:rPr>
          <w:lang w:val="es-ES_tradnl"/>
        </w:rPr>
        <w:noBreakHyphen/>
        <w:t xml:space="preserve">2 200 MHz para la componente de satélite de las IMT-2000, en el número </w:t>
      </w:r>
      <w:r w:rsidRPr="00AD7C06">
        <w:rPr>
          <w:b/>
          <w:bCs/>
          <w:lang w:val="es-ES_tradnl"/>
        </w:rPr>
        <w:t>5.388</w:t>
      </w:r>
      <w:r w:rsidRPr="008B2F73">
        <w:rPr>
          <w:lang w:val="es-ES_tradnl"/>
        </w:rPr>
        <w:t xml:space="preserve"> y con arreglo a las disposiciones de la Resolución </w:t>
      </w:r>
      <w:r w:rsidRPr="00AD7C06">
        <w:rPr>
          <w:b/>
          <w:bCs/>
          <w:lang w:val="es-ES_tradnl"/>
        </w:rPr>
        <w:t>212 (Rev.CMR-07)</w:t>
      </w:r>
      <w:r w:rsidRPr="008B2F73">
        <w:rPr>
          <w:lang w:val="es-ES_tradnl"/>
        </w:rPr>
        <w:t>;</w:t>
      </w:r>
    </w:p>
    <w:p w:rsidR="008B2F73" w:rsidRPr="008B2F73" w:rsidRDefault="008B2F73" w:rsidP="0053355A">
      <w:pPr>
        <w:suppressAutoHyphens/>
        <w:rPr>
          <w:lang w:val="es-ES_tradnl"/>
        </w:rPr>
      </w:pPr>
      <w:r w:rsidRPr="008B2F73">
        <w:rPr>
          <w:i/>
          <w:lang w:val="es-ES_tradnl"/>
        </w:rPr>
        <w:t>d)</w:t>
      </w:r>
      <w:r w:rsidRPr="008B2F73">
        <w:rPr>
          <w:lang w:val="es-ES_tradnl"/>
        </w:rPr>
        <w:tab/>
        <w:t xml:space="preserve">que </w:t>
      </w:r>
      <w:r w:rsidR="005648D5">
        <w:rPr>
          <w:lang w:val="es-ES_tradnl"/>
        </w:rPr>
        <w:t xml:space="preserve">la </w:t>
      </w:r>
      <w:r w:rsidRPr="008B2F73">
        <w:rPr>
          <w:lang w:val="es-ES_tradnl"/>
        </w:rPr>
        <w:t xml:space="preserve">Resolución </w:t>
      </w:r>
      <w:r w:rsidR="0053355A" w:rsidRPr="00AD7C06">
        <w:rPr>
          <w:b/>
          <w:bCs/>
          <w:lang w:val="es-ES_tradnl"/>
        </w:rPr>
        <w:t>212 (Rev.CMR-07)</w:t>
      </w:r>
      <w:r w:rsidRPr="008B2F73">
        <w:rPr>
          <w:lang w:val="es-ES_tradnl"/>
        </w:rPr>
        <w:t xml:space="preserve"> señala que la disponibilidad de la componente de satélite de las IMT en las bandas 1 980-2 010 MHz y 2 170-2 200 MHz simultáneamente con la componente terrenal de las IMT en las bandas identificadas en el número </w:t>
      </w:r>
      <w:r w:rsidRPr="00AD7C06">
        <w:rPr>
          <w:b/>
          <w:bCs/>
          <w:lang w:val="es-ES_tradnl"/>
        </w:rPr>
        <w:t>5.388</w:t>
      </w:r>
      <w:r w:rsidRPr="008B2F73">
        <w:rPr>
          <w:lang w:val="es-ES_tradnl"/>
        </w:rPr>
        <w:t xml:space="preserve"> mejoraría la implementación global y el atractivo de las IMT,</w:t>
      </w:r>
    </w:p>
    <w:p w:rsidR="008B2F73" w:rsidRPr="008B2F73" w:rsidRDefault="008B2F73" w:rsidP="008B2F73">
      <w:pPr>
        <w:pStyle w:val="Call"/>
        <w:rPr>
          <w:lang w:val="es-ES_tradnl"/>
        </w:rPr>
      </w:pPr>
      <w:r w:rsidRPr="008B2F73">
        <w:rPr>
          <w:lang w:val="es-ES_tradnl"/>
        </w:rPr>
        <w:t>recomienda</w:t>
      </w:r>
    </w:p>
    <w:p w:rsidR="008B2F73" w:rsidRPr="008B2F73" w:rsidRDefault="008B2F73" w:rsidP="008B2F73">
      <w:pPr>
        <w:rPr>
          <w:lang w:val="es-ES_tradnl"/>
        </w:rPr>
      </w:pPr>
      <w:r w:rsidRPr="00BB0CB4">
        <w:rPr>
          <w:b/>
          <w:bCs/>
          <w:lang w:val="es-ES_tradnl"/>
        </w:rPr>
        <w:t>1</w:t>
      </w:r>
      <w:r w:rsidRPr="008B2F73">
        <w:rPr>
          <w:b/>
          <w:bCs/>
          <w:lang w:val="es-ES_tradnl"/>
        </w:rPr>
        <w:tab/>
      </w:r>
      <w:r w:rsidRPr="008B2F73">
        <w:rPr>
          <w:lang w:val="es-ES_tradnl"/>
        </w:rPr>
        <w:t>que se utilicen las disposiciones de frecuencias de las Secciones 1 a 6 para la implantación de las IMT en las bandas identificadas para las IMT en el Reglamento de Radiocomunicaciones (RR); y</w:t>
      </w:r>
    </w:p>
    <w:p w:rsidR="008B2F73" w:rsidRPr="008B2F73" w:rsidRDefault="008B2F73" w:rsidP="008B2F73">
      <w:pPr>
        <w:rPr>
          <w:lang w:val="es-ES_tradnl"/>
        </w:rPr>
      </w:pPr>
      <w:r w:rsidRPr="00BB0CB4">
        <w:rPr>
          <w:b/>
          <w:bCs/>
          <w:lang w:val="es-ES_tradnl"/>
        </w:rPr>
        <w:t>2</w:t>
      </w:r>
      <w:r w:rsidRPr="008B2F73">
        <w:rPr>
          <w:b/>
          <w:bCs/>
          <w:lang w:val="es-ES_tradnl"/>
        </w:rPr>
        <w:tab/>
      </w:r>
      <w:r w:rsidRPr="008B2F73">
        <w:rPr>
          <w:lang w:val="es-ES_tradnl"/>
        </w:rPr>
        <w:t>que al aplicar las disposiciones de frecuencias de las Secciones 1 a 6 se tengan en cuenta los aspectos detallados en el Anexo 1.</w:t>
      </w:r>
    </w:p>
    <w:p w:rsidR="008B2F73" w:rsidRPr="00AD7C06" w:rsidRDefault="008B2F73" w:rsidP="00AD7C06">
      <w:pPr>
        <w:pStyle w:val="AnnexNoTitle"/>
        <w:rPr>
          <w:rFonts w:eastAsia="Batang"/>
          <w:lang w:val="es-ES_tradnl"/>
        </w:rPr>
      </w:pPr>
      <w:r w:rsidRPr="00AD7C06">
        <w:rPr>
          <w:rFonts w:eastAsia="Batang"/>
          <w:lang w:val="es-ES_tradnl"/>
        </w:rPr>
        <w:t>Anexo 1</w:t>
      </w:r>
      <w:r w:rsidR="00AD7C06" w:rsidRPr="00AD7C06">
        <w:rPr>
          <w:rFonts w:eastAsia="Batang"/>
          <w:lang w:val="es-ES_tradnl"/>
        </w:rPr>
        <w:br/>
      </w:r>
      <w:r w:rsidR="00AD7C06" w:rsidRPr="00AD7C06">
        <w:rPr>
          <w:rFonts w:eastAsia="Batang"/>
          <w:lang w:val="es-ES_tradnl"/>
        </w:rPr>
        <w:br/>
      </w:r>
      <w:r w:rsidRPr="00AD7C06">
        <w:rPr>
          <w:rFonts w:eastAsia="Batang"/>
          <w:lang w:val="es-ES_tradnl"/>
        </w:rPr>
        <w:t xml:space="preserve">Aspectos aplicables a la implantación de las disposiciones </w:t>
      </w:r>
      <w:r w:rsidRPr="00AD7C06">
        <w:rPr>
          <w:rFonts w:eastAsia="Batang"/>
          <w:lang w:val="es-ES_tradnl"/>
        </w:rPr>
        <w:br/>
        <w:t>de frecuencias de las Secciones 1 a 6</w:t>
      </w:r>
    </w:p>
    <w:p w:rsidR="008B2F73" w:rsidRPr="000759A1" w:rsidRDefault="008B2F73" w:rsidP="008B2F73">
      <w:pPr>
        <w:pStyle w:val="Normalaftertitle"/>
        <w:rPr>
          <w:i/>
          <w:lang w:val="es-ES_tradnl"/>
        </w:rPr>
      </w:pPr>
      <w:r w:rsidRPr="000759A1">
        <w:rPr>
          <w:lang w:val="es-ES_tradnl"/>
        </w:rPr>
        <w:t>El orden de las disposiciones de frecuencias en cada una de los puntos no supone ninguna prioridad específica. Las administraciones pueden aplicar cualquiera de las disposiciones de frecuencias recomendadas que se adapten a las condiciones de sus países. Las administraciones pueden utilizar cada una de las disposiciones de frecuencias en todo o en parte.</w:t>
      </w:r>
    </w:p>
    <w:p w:rsidR="008B2F73" w:rsidRPr="008B2F73" w:rsidRDefault="008B2F73" w:rsidP="008B2F73">
      <w:pPr>
        <w:rPr>
          <w:lang w:val="es-ES_tradnl"/>
        </w:rPr>
      </w:pPr>
      <w:r w:rsidRPr="008B2F73">
        <w:rPr>
          <w:szCs w:val="24"/>
          <w:lang w:val="es-ES_tradnl" w:eastAsia="zh-CN"/>
        </w:rPr>
        <w:t>Cabe señalar que las administraciones pueden utilizar disposiciones de frecuencias diferentes (por ejemplo, disposiciones que incluyan esquemas dúplex distintos, diferentes límites FDD/TDD, etc.) para ajustarse a sus necesidades. Esas administraciones deberán tener en cuenta la implantación geográfica circundante, así como otros aspectos relacionados con las economías de escala, la facilitación de la itinerancia y las medidas para minimizar la interferencia</w:t>
      </w:r>
      <w:r w:rsidRPr="008B2F73">
        <w:rPr>
          <w:lang w:val="es-ES_tradnl"/>
        </w:rPr>
        <w:t>.</w:t>
      </w:r>
    </w:p>
    <w:p w:rsidR="008B2F73" w:rsidRPr="008B2F73" w:rsidRDefault="008B2F73" w:rsidP="008B2F73">
      <w:pPr>
        <w:rPr>
          <w:lang w:val="es-ES_tradnl"/>
        </w:rPr>
      </w:pPr>
      <w:r w:rsidRPr="008B2F73">
        <w:rPr>
          <w:lang w:val="es-ES_tradnl"/>
        </w:rPr>
        <w:lastRenderedPageBreak/>
        <w:t>Las administraciones deben tener en cuenta el hecho de que en algunas de las disposiciones de frecuencias en la misma banda solapan la banda del trasmisor de la estación base y la del transmisor de la estación móvil. Pueden aparecer problemas de interferencia cuando una disposición de frecuencias se solape con la disposición de frecuencias de algún país vecino.</w:t>
      </w:r>
    </w:p>
    <w:p w:rsidR="008B2F73" w:rsidRPr="008B2F73" w:rsidRDefault="008B2F73" w:rsidP="008B2F73">
      <w:pPr>
        <w:suppressAutoHyphens/>
        <w:rPr>
          <w:lang w:val="es-ES_tradnl" w:eastAsia="zh-CN"/>
        </w:rPr>
      </w:pPr>
      <w:r w:rsidRPr="008B2F73">
        <w:rPr>
          <w:lang w:val="es-ES_tradnl"/>
        </w:rPr>
        <w:t>Las Secciones 1 a 6 forman parte de esta Recomendación y han de considerarse en su integridad a la hora de implantar disposiciones de frecuencias.</w:t>
      </w:r>
    </w:p>
    <w:p w:rsidR="008B2F73" w:rsidRPr="008B2F73" w:rsidRDefault="008B2F73" w:rsidP="008B2F73">
      <w:pPr>
        <w:pStyle w:val="Headingb"/>
        <w:keepNext w:val="0"/>
        <w:widowControl w:val="0"/>
        <w:rPr>
          <w:lang w:val="es-ES_tradnl"/>
        </w:rPr>
      </w:pPr>
      <w:r w:rsidRPr="008B2F73">
        <w:rPr>
          <w:lang w:val="es-ES_tradnl"/>
        </w:rPr>
        <w:t>Implicaciones de la asimetría del tráfico</w:t>
      </w:r>
    </w:p>
    <w:p w:rsidR="008B2F73" w:rsidRPr="008B2F73" w:rsidRDefault="008B2F73" w:rsidP="008B2F73">
      <w:pPr>
        <w:rPr>
          <w:lang w:val="es-ES_tradnl"/>
        </w:rPr>
      </w:pPr>
      <w:r w:rsidRPr="008B2F73">
        <w:rPr>
          <w:lang w:val="es-ES_tradnl"/>
        </w:rPr>
        <w:t>Se recomienda que las administraciones y los operadores tengan presentes los requisitos de asimetría del tráfico cuando realicen asignaciones de espectro o cuando implementen sistemas. Las aplicaciones que soportan las IMT constan de diferentes grados de asimetría. En el Informe UIT</w:t>
      </w:r>
      <w:r w:rsidRPr="008B2F73">
        <w:rPr>
          <w:lang w:val="es-ES_tradnl"/>
        </w:rPr>
        <w:noBreakHyphen/>
        <w:t>R M.2072 se describen no sólo las aplicaciones predominantes de descarga, tales como el periodismo electrónico, sino también las principales aplicaciones de carga, por ejemplo, la observación (con cámaras de red) y la transferencia de ficheros de carga. Asimismo, el grado de asimetría de otras aplicaciones, por ejemplo, la telefonía vídeo de elevada calidad, la radiodifusión móvil y la videoconferencia, depende de los requisitos de dichas aplicaciones.</w:t>
      </w:r>
    </w:p>
    <w:p w:rsidR="008B2F73" w:rsidRPr="008B2F73" w:rsidRDefault="008B2F73" w:rsidP="008B2F73">
      <w:pPr>
        <w:rPr>
          <w:lang w:val="es-ES_tradnl"/>
        </w:rPr>
      </w:pPr>
      <w:r w:rsidRPr="008B2F73">
        <w:rPr>
          <w:lang w:val="es-ES_tradnl"/>
        </w:rPr>
        <w:t>En este contexto, por asimetría se entiende que la cantidad de tráfico básica en sentido ascendente puede diferir de la del sentido descendente. Como posible consecuencia, la cantidad de recursos necesarios para el enlace descendente puede ser diferente de la del enlace ascendente. En el Informe UIT</w:t>
      </w:r>
      <w:r w:rsidRPr="008B2F73">
        <w:rPr>
          <w:lang w:val="es-ES_tradnl"/>
        </w:rPr>
        <w:noBreakHyphen/>
        <w:t>R M.2023, el Informe UIT-R M.2078 y la Recomendación UIT-R M.1822 figuran los cálculos para una combinación de tráfico. En el Informe UIT</w:t>
      </w:r>
      <w:r w:rsidRPr="008B2F73">
        <w:rPr>
          <w:lang w:val="es-ES_tradnl"/>
        </w:rPr>
        <w:noBreakHyphen/>
        <w:t>R M.2038 se describen algunas técnicas apropiadas que soportan tráfico asimétrico.</w:t>
      </w:r>
    </w:p>
    <w:p w:rsidR="008B2F73" w:rsidRPr="008B2F73" w:rsidRDefault="008B2F73" w:rsidP="008B2F73">
      <w:pPr>
        <w:rPr>
          <w:lang w:val="es-ES_tradnl"/>
        </w:rPr>
      </w:pPr>
      <w:r w:rsidRPr="008B2F73">
        <w:rPr>
          <w:lang w:val="es-ES_tradnl"/>
        </w:rPr>
        <w:t>Cabe señalar que el tráfico asimétrico puede tratarse mediante diversos mecanismos, entre los que se cuentan la atribución flexible de intervalos de tiempo y el uso de formatos de modulación y esquemas de codificación diferentes para los enlaces ascendente y descendente. Con emparejamientos iguales para FDD, o TDD pueden acomodarse asimetrías de tráfico de diversos grados.</w:t>
      </w:r>
    </w:p>
    <w:p w:rsidR="008B2F73" w:rsidRPr="008B2F73" w:rsidRDefault="008B2F73" w:rsidP="008B2F73">
      <w:pPr>
        <w:pStyle w:val="Headingb"/>
        <w:rPr>
          <w:lang w:val="es-ES_tradnl"/>
        </w:rPr>
      </w:pPr>
      <w:r w:rsidRPr="008B2F73">
        <w:rPr>
          <w:lang w:val="es-ES_tradnl"/>
        </w:rPr>
        <w:t xml:space="preserve">Segmentación del espectro </w:t>
      </w:r>
    </w:p>
    <w:p w:rsidR="008B2F73" w:rsidRPr="008B2F73" w:rsidRDefault="008B2F73" w:rsidP="008B2F73">
      <w:pPr>
        <w:rPr>
          <w:lang w:val="es-ES_tradnl"/>
        </w:rPr>
      </w:pPr>
      <w:r w:rsidRPr="008B2F73">
        <w:rPr>
          <w:lang w:val="es-ES_tradnl"/>
        </w:rPr>
        <w:t>Se recomienda que las disposiciones de frecuencias no se segmenten para los distintos servicios o interfaces radioeléctricas IMT, excepto cuando ello sea necesario por motivos técnicos y reglamentarios.</w:t>
      </w:r>
    </w:p>
    <w:p w:rsidR="008B2F73" w:rsidRPr="008B2F73" w:rsidRDefault="008B2F73" w:rsidP="008B2F73">
      <w:pPr>
        <w:rPr>
          <w:lang w:val="es-ES_tradnl"/>
        </w:rPr>
      </w:pPr>
      <w:r w:rsidRPr="008B2F73">
        <w:rPr>
          <w:lang w:val="es-ES_tradnl"/>
        </w:rPr>
        <w:t>Se recomienda que, para mantener la flexibilidad del despliegue, las disposiciones de frecuencias estén disponibles en modo FDD o en modo TDD, o en ambos y que, idealmente, no se segmenten entre ambos modos FDD y TDD en espectro apareado, salvo que sea necesario por razones técnicas y reglamentarias.</w:t>
      </w:r>
    </w:p>
    <w:p w:rsidR="008B2F73" w:rsidRPr="008B2F73" w:rsidRDefault="008B2F73" w:rsidP="008B2F73">
      <w:pPr>
        <w:pStyle w:val="Headingb"/>
        <w:rPr>
          <w:lang w:val="es-ES_tradnl"/>
        </w:rPr>
      </w:pPr>
      <w:r w:rsidRPr="008B2F73">
        <w:rPr>
          <w:lang w:val="es-ES_tradnl"/>
        </w:rPr>
        <w:t xml:space="preserve">Disposición y separación dúplex </w:t>
      </w:r>
    </w:p>
    <w:p w:rsidR="008B2F73" w:rsidRPr="008B2F73" w:rsidRDefault="008B2F73" w:rsidP="008B2F73">
      <w:pPr>
        <w:rPr>
          <w:lang w:val="es-ES_tradnl"/>
        </w:rPr>
      </w:pPr>
      <w:r w:rsidRPr="008B2F73">
        <w:rPr>
          <w:lang w:val="es-ES_tradnl"/>
        </w:rPr>
        <w:t xml:space="preserve">Se recomienda que en todas las bandas identificadas para los sistemas IMT explotados en modo FDD se mantenga el sentido dúplex convencional, es decir, que el terminal móvil transmita en la banda más baja y la estación base transmita en la banda superior. </w:t>
      </w:r>
    </w:p>
    <w:p w:rsidR="008B2F73" w:rsidRPr="008B2F73" w:rsidRDefault="008B2F73" w:rsidP="008B2F73">
      <w:pPr>
        <w:rPr>
          <w:lang w:val="es-ES_tradnl"/>
        </w:rPr>
      </w:pPr>
      <w:r w:rsidRPr="008B2F73">
        <w:rPr>
          <w:lang w:val="es-ES_tradnl"/>
        </w:rPr>
        <w:t>En el sentido dúplex convencional de los sistemas móviles terrenales con FDD, el terminal móvil transmite en las frecuencias más bajas y la estación de base en las frecuencias más elevadas. Esto se debe a que el balance del enlace ascendente por lo general restringe el funcionamiento del sistema ya que la potencia de transmisión de los terminales es limitada.</w:t>
      </w:r>
    </w:p>
    <w:p w:rsidR="008B2F73" w:rsidRPr="008B2F73" w:rsidRDefault="008B2F73" w:rsidP="008B2F73">
      <w:pPr>
        <w:rPr>
          <w:lang w:val="es-ES_tradnl"/>
        </w:rPr>
      </w:pPr>
      <w:r w:rsidRPr="008B2F73">
        <w:rPr>
          <w:lang w:val="es-ES_tradnl"/>
        </w:rPr>
        <w:t>Para facilitar la coexistencia con los servicios adyacentes, en algunos casos puede ser conveniente invertir el sentido del dúplex y que, así, el terminal móvil transmita en la banda superior y la estación base en la banda inferior. Tales casos se especifican en los puntos correspondientes.</w:t>
      </w:r>
    </w:p>
    <w:p w:rsidR="008B2F73" w:rsidRPr="008B2F73" w:rsidRDefault="008B2F73" w:rsidP="008B2F73">
      <w:pPr>
        <w:rPr>
          <w:lang w:val="es-ES_tradnl"/>
        </w:rPr>
      </w:pPr>
      <w:r w:rsidRPr="008B2F73">
        <w:rPr>
          <w:lang w:val="es-ES_tradnl"/>
        </w:rPr>
        <w:lastRenderedPageBreak/>
        <w:t>Se recomienda que si las administraciones desean implementar solamente una parte de una disposición de frecuencias IMT, el emparejamiento de canales debe ser consistente con la separación de frecuencias dúplex de la disposición que utilizan todas las frecuencias.</w:t>
      </w:r>
    </w:p>
    <w:p w:rsidR="008B2F73" w:rsidRPr="008B2F73" w:rsidRDefault="008B2F73" w:rsidP="008B2F73">
      <w:pPr>
        <w:pStyle w:val="Headingb"/>
        <w:rPr>
          <w:lang w:val="es-ES_tradnl"/>
        </w:rPr>
      </w:pPr>
      <w:bookmarkStart w:id="3" w:name="_Toc283976897"/>
      <w:r w:rsidRPr="008B2F73">
        <w:rPr>
          <w:lang w:val="es-ES_tradnl"/>
        </w:rPr>
        <w:t>Duplexor doble</w:t>
      </w:r>
      <w:bookmarkEnd w:id="3"/>
    </w:p>
    <w:p w:rsidR="008B2F73" w:rsidRPr="008B2F73" w:rsidRDefault="008B2F73" w:rsidP="008B2F73">
      <w:pPr>
        <w:tabs>
          <w:tab w:val="left" w:pos="2608"/>
          <w:tab w:val="left" w:pos="3345"/>
        </w:tabs>
        <w:rPr>
          <w:lang w:val="es-ES_tradnl"/>
        </w:rPr>
      </w:pPr>
      <w:r w:rsidRPr="008B2F73">
        <w:rPr>
          <w:lang w:val="es-ES_tradnl"/>
        </w:rPr>
        <w:t>La separación dúplex, el ancho de banda del duplexor y el intervalo central en la disposición de frecuencias FDD influyen en el rendimiento del duplexor:</w:t>
      </w:r>
    </w:p>
    <w:p w:rsidR="008B2F73" w:rsidRPr="008B2F73" w:rsidRDefault="008B2F73" w:rsidP="008B2F73">
      <w:pPr>
        <w:pStyle w:val="enumlev1"/>
        <w:rPr>
          <w:lang w:val="es-ES_tradnl"/>
        </w:rPr>
      </w:pPr>
      <w:r w:rsidRPr="008B2F73">
        <w:rPr>
          <w:lang w:val="es-ES_tradnl"/>
        </w:rPr>
        <w:t>–</w:t>
      </w:r>
      <w:r w:rsidRPr="008B2F73">
        <w:rPr>
          <w:lang w:val="es-ES_tradnl"/>
        </w:rPr>
        <w:tab/>
        <w:t>con una mayor separación dúplex se logra un mejor aislamiento entre el enlace descendente y el enlace ascendente (es decir, menos autodesensibilización);</w:t>
      </w:r>
    </w:p>
    <w:p w:rsidR="008B2F73" w:rsidRPr="008B2F73" w:rsidRDefault="008B2F73" w:rsidP="008B2F73">
      <w:pPr>
        <w:pStyle w:val="enumlev1"/>
        <w:rPr>
          <w:lang w:val="es-ES_tradnl"/>
        </w:rPr>
      </w:pPr>
      <w:r w:rsidRPr="008B2F73">
        <w:rPr>
          <w:lang w:val="es-ES_tradnl"/>
        </w:rPr>
        <w:t>–</w:t>
      </w:r>
      <w:r w:rsidRPr="008B2F73">
        <w:rPr>
          <w:lang w:val="es-ES_tradnl"/>
        </w:rPr>
        <w:tab/>
        <w:t>con un mayor ancho de banda del duplexor se reduce el rendimiento general del duplexor, lo que empeora la autodesensibilización y aumenta la interferencia SM-SM o SR-SR;</w:t>
      </w:r>
    </w:p>
    <w:p w:rsidR="008B2F73" w:rsidRPr="008B2F73" w:rsidRDefault="008B2F73" w:rsidP="008B2F73">
      <w:pPr>
        <w:pStyle w:val="enumlev1"/>
        <w:rPr>
          <w:lang w:val="es-ES_tradnl"/>
        </w:rPr>
      </w:pPr>
      <w:r w:rsidRPr="008B2F73">
        <w:rPr>
          <w:lang w:val="es-ES_tradnl"/>
        </w:rPr>
        <w:t>–</w:t>
      </w:r>
      <w:r w:rsidRPr="008B2F73">
        <w:rPr>
          <w:lang w:val="es-ES_tradnl"/>
        </w:rPr>
        <w:tab/>
        <w:t>con un menor intervalo central es mayor la interferencia SM-SM o SR-SR.</w:t>
      </w:r>
    </w:p>
    <w:p w:rsidR="008B2F73" w:rsidRPr="008B2F73" w:rsidRDefault="008B2F73" w:rsidP="008B2F73">
      <w:pPr>
        <w:rPr>
          <w:bCs/>
          <w:lang w:val="es-ES_tradnl" w:eastAsia="zh-CN"/>
        </w:rPr>
      </w:pPr>
      <w:r w:rsidRPr="008B2F73">
        <w:rPr>
          <w:lang w:val="es-ES_tradnl"/>
        </w:rPr>
        <w:t>Para reducir el ancho de banda del duplexor en un sistema FDD, manteniendo al mismo tiempo una amplia separación dúplex y el ancho de banda total, se puede utilizar un duplexor doble. Desde el punto de vista práctico, la disposición del duplexor doble puede ser la que se muestra en la Fig. 1 siguiente</w:t>
      </w:r>
      <w:r w:rsidRPr="008B2F73">
        <w:rPr>
          <w:bCs/>
          <w:lang w:val="es-ES_tradnl" w:eastAsia="zh-CN"/>
        </w:rPr>
        <w:t>.</w:t>
      </w:r>
    </w:p>
    <w:p w:rsidR="008B2F73" w:rsidRPr="008B2F73" w:rsidRDefault="008B2F73" w:rsidP="009A5409">
      <w:pPr>
        <w:pStyle w:val="FigureNo"/>
        <w:spacing w:before="360"/>
        <w:rPr>
          <w:lang w:val="es-ES_tradnl" w:eastAsia="zh-CN"/>
        </w:rPr>
      </w:pPr>
      <w:r w:rsidRPr="008B2F73">
        <w:rPr>
          <w:lang w:val="es-ES_tradnl" w:eastAsia="zh-CN"/>
        </w:rPr>
        <w:t>FigurA 1</w:t>
      </w:r>
    </w:p>
    <w:p w:rsidR="008B2F73" w:rsidRPr="008B2F73" w:rsidRDefault="008B2F73" w:rsidP="008B2F73">
      <w:pPr>
        <w:pStyle w:val="Figuretitle"/>
        <w:rPr>
          <w:lang w:val="es-ES_tradnl" w:eastAsia="zh-CN"/>
        </w:rPr>
      </w:pPr>
      <w:r w:rsidRPr="008B2F73">
        <w:rPr>
          <w:lang w:val="es-ES_tradnl" w:eastAsia="zh-CN"/>
        </w:rPr>
        <w:t>Disposición del duplexor en una disposición de frecuencias FDD</w:t>
      </w:r>
    </w:p>
    <w:p w:rsidR="008B2F73" w:rsidRPr="000759A1" w:rsidRDefault="008B2F73" w:rsidP="008B2F73">
      <w:pPr>
        <w:pStyle w:val="Figure"/>
        <w:rPr>
          <w:lang w:eastAsia="ja-JP"/>
        </w:rPr>
      </w:pPr>
      <w:r w:rsidRPr="000759A1">
        <w:rPr>
          <w:noProof/>
          <w:lang w:eastAsia="zh-CN"/>
        </w:rPr>
        <w:object w:dxaOrig="4884" w:dyaOrig="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5pt;height:172.5pt" o:ole="">
            <v:imagedata r:id="rId13" o:title=""/>
          </v:shape>
          <o:OLEObject Type="Embed" ProgID="CorelDRAW.Graphic.14" ShapeID="_x0000_i1025" DrawAspect="Content" ObjectID="_1508224658" r:id="rId14"/>
        </w:object>
      </w:r>
    </w:p>
    <w:p w:rsidR="008B2F73" w:rsidRPr="008B2F73" w:rsidRDefault="008B2F73" w:rsidP="008B2F73">
      <w:pPr>
        <w:rPr>
          <w:lang w:val="es-ES_tradnl" w:eastAsia="ja-JP"/>
        </w:rPr>
      </w:pPr>
      <w:r w:rsidRPr="008B2F73">
        <w:rPr>
          <w:lang w:val="es-ES_tradnl"/>
        </w:rPr>
        <w:t>Al haber un solapamiento fijo entre las disposiciones dúplex N</w:t>
      </w:r>
      <w:r w:rsidRPr="008B2F73">
        <w:rPr>
          <w:vertAlign w:val="superscript"/>
          <w:lang w:val="es-ES_tradnl"/>
        </w:rPr>
        <w:t>o</w:t>
      </w:r>
      <w:r w:rsidRPr="008B2F73">
        <w:rPr>
          <w:lang w:val="es-ES_tradnl"/>
        </w:rPr>
        <w:t>. 1 y N</w:t>
      </w:r>
      <w:r w:rsidRPr="008B2F73">
        <w:rPr>
          <w:vertAlign w:val="superscript"/>
          <w:lang w:val="es-ES_tradnl"/>
        </w:rPr>
        <w:t>o</w:t>
      </w:r>
      <w:r w:rsidRPr="008B2F73">
        <w:rPr>
          <w:lang w:val="es-ES_tradnl"/>
        </w:rPr>
        <w:t>. 2, se puede utilizar el equipo común para cumplir todos los requisitos operativos del sistema. Probablemente el tamaño del solapamiento sea igual en todas las configuraciones y se decida en función del diseño del filtro al determinar el plan de bandas.</w:t>
      </w:r>
    </w:p>
    <w:p w:rsidR="008B2F73" w:rsidRPr="008B2F73" w:rsidRDefault="008B2F73" w:rsidP="008B2F73">
      <w:pPr>
        <w:rPr>
          <w:lang w:val="es-ES_tradnl"/>
        </w:rPr>
      </w:pPr>
      <w:r w:rsidRPr="008B2F73">
        <w:rPr>
          <w:lang w:val="es-ES_tradnl"/>
        </w:rPr>
        <w:t>Al haber dos disposiciones dúplex adyacentes, el intervalo entre los bloques de enlace descendente y enlace ascendente puede ser más pequeño que el intervalo dúplex en una disposición FDD con duplexor único. Esta disposición de duplexor doble puede utilizarse con la tecnología de filtro normalizada, lo que minimizará el costo y la complejidad del equipo.</w:t>
      </w:r>
    </w:p>
    <w:p w:rsidR="008B2F73" w:rsidRPr="008B2F73" w:rsidRDefault="008B2F73" w:rsidP="008B2F73">
      <w:pPr>
        <w:tabs>
          <w:tab w:val="left" w:pos="7635"/>
        </w:tabs>
        <w:rPr>
          <w:lang w:val="es-ES_tradnl"/>
        </w:rPr>
      </w:pPr>
      <w:r w:rsidRPr="008B2F73">
        <w:rPr>
          <w:lang w:val="es-ES_tradnl"/>
        </w:rPr>
        <w:t>Sin embargo, el corto intervalo entre los bloques de enlace ascendente y de enlace descendente impondrá requisitos de filtrado adicionales a los terminales para evitar la interferencia SM-SM. La interferencia SR-SR puede resolverse con un filtrado adicional utilizando las tecnologías habituales.</w:t>
      </w:r>
    </w:p>
    <w:p w:rsidR="008B2F73" w:rsidRPr="008B2F73" w:rsidRDefault="008B2F73" w:rsidP="008B2F73">
      <w:pPr>
        <w:pStyle w:val="Headingb"/>
        <w:rPr>
          <w:lang w:val="es-ES_tradnl"/>
        </w:rPr>
      </w:pPr>
      <w:r w:rsidRPr="008B2F73">
        <w:rPr>
          <w:lang w:val="es-ES_tradnl"/>
        </w:rPr>
        <w:t>Disponibilidad de frecuencias</w:t>
      </w:r>
    </w:p>
    <w:p w:rsidR="008B2F73" w:rsidRPr="008B2F73" w:rsidRDefault="008B2F73" w:rsidP="008B2F73">
      <w:pPr>
        <w:rPr>
          <w:lang w:val="es-ES_tradnl"/>
        </w:rPr>
      </w:pPr>
      <w:r w:rsidRPr="008B2F73">
        <w:rPr>
          <w:lang w:val="es-ES_tradnl"/>
        </w:rPr>
        <w:t>Se recomienda que las administraciones pongan a disposición las frecuencias necesarias para el desarrollo del sistema IMT-2000 con tiempo suficiente.</w:t>
      </w:r>
    </w:p>
    <w:p w:rsidR="008B2F73" w:rsidRPr="008B2F73" w:rsidRDefault="008B2F73" w:rsidP="008B2F73">
      <w:pPr>
        <w:suppressAutoHyphens/>
        <w:spacing w:before="0"/>
        <w:rPr>
          <w:lang w:val="es-ES_tradnl" w:eastAsia="zh-CN"/>
        </w:rPr>
      </w:pPr>
      <w:r w:rsidRPr="008B2F73">
        <w:rPr>
          <w:lang w:val="es-ES_tradnl" w:eastAsia="zh-CN"/>
        </w:rPr>
        <w:br w:type="page"/>
      </w:r>
    </w:p>
    <w:p w:rsidR="008B2F73" w:rsidRPr="001F4FB5" w:rsidRDefault="0053190C" w:rsidP="0053190C">
      <w:pPr>
        <w:pStyle w:val="SectionNo"/>
        <w:jc w:val="center"/>
        <w:rPr>
          <w:rFonts w:eastAsia="MS Mincho"/>
          <w:sz w:val="28"/>
          <w:szCs w:val="28"/>
          <w:lang w:val="es-ES_tradnl"/>
        </w:rPr>
      </w:pPr>
      <w:r w:rsidRPr="001F4FB5">
        <w:rPr>
          <w:rFonts w:eastAsia="MS Mincho"/>
          <w:sz w:val="28"/>
          <w:szCs w:val="28"/>
          <w:lang w:val="es-ES_tradnl"/>
        </w:rPr>
        <w:lastRenderedPageBreak/>
        <w:t>SECCIÓN 1</w:t>
      </w:r>
    </w:p>
    <w:p w:rsidR="008B2F73" w:rsidRPr="008B2F73" w:rsidRDefault="008B2F73" w:rsidP="008B2F73">
      <w:pPr>
        <w:pStyle w:val="Sectiontitle"/>
        <w:rPr>
          <w:rFonts w:eastAsia="MS Mincho"/>
          <w:caps/>
          <w:lang w:val="es-ES_tradnl"/>
        </w:rPr>
      </w:pPr>
      <w:r w:rsidRPr="008B2F73">
        <w:rPr>
          <w:rFonts w:eastAsia="MS Mincho"/>
          <w:lang w:val="es-ES_tradnl"/>
        </w:rPr>
        <w:t>Disposiciones de frecuencias en la banda 450-470 MHz</w:t>
      </w:r>
    </w:p>
    <w:p w:rsidR="008B2F73" w:rsidRPr="000759A1" w:rsidRDefault="008B2F73" w:rsidP="008B2F73">
      <w:pPr>
        <w:pStyle w:val="Normalaftertitle"/>
        <w:rPr>
          <w:lang w:val="es-ES_tradnl" w:eastAsia="zh-CN"/>
        </w:rPr>
      </w:pPr>
      <w:r w:rsidRPr="000759A1">
        <w:rPr>
          <w:lang w:val="es-ES_tradnl"/>
        </w:rPr>
        <w:t>Las disposiciones de frecuencias recomendadas para la implantación</w:t>
      </w:r>
      <w:r w:rsidR="001F4FB5">
        <w:rPr>
          <w:lang w:val="es-ES_tradnl"/>
        </w:rPr>
        <w:t xml:space="preserve"> de las IMT en la banda 450</w:t>
      </w:r>
      <w:r w:rsidR="001F4FB5">
        <w:rPr>
          <w:lang w:val="es-ES_tradnl"/>
        </w:rPr>
        <w:noBreakHyphen/>
        <w:t>470 </w:t>
      </w:r>
      <w:r w:rsidRPr="000759A1">
        <w:rPr>
          <w:lang w:val="es-ES_tradnl"/>
        </w:rPr>
        <w:t>MHz se resumen en el Cuadro 2 y en la Fig. 2, considerando las directrices del Anexo 1.</w:t>
      </w:r>
    </w:p>
    <w:p w:rsidR="008B2F73" w:rsidRPr="008B2F73" w:rsidRDefault="008B2F73" w:rsidP="008B2F73">
      <w:pPr>
        <w:pStyle w:val="TableNo"/>
        <w:rPr>
          <w:lang w:val="es-ES_tradnl" w:eastAsia="zh-CN"/>
        </w:rPr>
      </w:pPr>
      <w:r w:rsidRPr="008B2F73">
        <w:rPr>
          <w:lang w:val="es-ES_tradnl"/>
        </w:rPr>
        <w:t>CUADRO 2</w:t>
      </w:r>
    </w:p>
    <w:p w:rsidR="008B2F73" w:rsidRPr="008B2F73" w:rsidRDefault="008B2F73" w:rsidP="008B2F73">
      <w:pPr>
        <w:pStyle w:val="Tabletitle"/>
        <w:rPr>
          <w:lang w:val="es-ES_tradnl" w:eastAsia="zh-CN"/>
        </w:rPr>
      </w:pPr>
      <w:r w:rsidRPr="008B2F73">
        <w:rPr>
          <w:lang w:val="es-ES_tradnl"/>
        </w:rPr>
        <w:t>Disposiciones de frecuencias en la banda 450-470 MHz</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871"/>
        <w:gridCol w:w="1159"/>
        <w:gridCol w:w="1784"/>
        <w:gridCol w:w="1335"/>
        <w:gridCol w:w="1693"/>
        <w:gridCol w:w="24"/>
      </w:tblGrid>
      <w:tr w:rsidR="008B2F73" w:rsidRPr="008B2F73" w:rsidTr="002A50AB">
        <w:trPr>
          <w:gridAfter w:val="1"/>
          <w:wAfter w:w="24" w:type="dxa"/>
          <w:jc w:val="center"/>
        </w:trPr>
        <w:tc>
          <w:tcPr>
            <w:tcW w:w="1768" w:type="dxa"/>
            <w:vMerge w:val="restart"/>
            <w:shd w:val="clear" w:color="auto" w:fill="auto"/>
            <w:vAlign w:val="center"/>
          </w:tcPr>
          <w:p w:rsidR="008B2F73" w:rsidRPr="000759A1" w:rsidRDefault="008B2F73" w:rsidP="00CF26FE">
            <w:pPr>
              <w:pStyle w:val="Tablehead"/>
            </w:pPr>
            <w:r w:rsidRPr="000759A1">
              <w:t>Disposiciones de frecuencias</w:t>
            </w:r>
          </w:p>
        </w:tc>
        <w:tc>
          <w:tcPr>
            <w:tcW w:w="6149" w:type="dxa"/>
            <w:gridSpan w:val="4"/>
            <w:shd w:val="clear" w:color="auto" w:fill="auto"/>
            <w:vAlign w:val="center"/>
          </w:tcPr>
          <w:p w:rsidR="008B2F73" w:rsidRPr="000759A1" w:rsidRDefault="008B2F73" w:rsidP="00CF26FE">
            <w:pPr>
              <w:pStyle w:val="Tablehead"/>
              <w:rPr>
                <w:bCs/>
              </w:rPr>
            </w:pPr>
            <w:r w:rsidRPr="000759A1">
              <w:rPr>
                <w:bCs/>
              </w:rPr>
              <w:t>Disposiciones apareadas</w:t>
            </w:r>
          </w:p>
        </w:tc>
        <w:tc>
          <w:tcPr>
            <w:tcW w:w="1693" w:type="dxa"/>
            <w:vMerge w:val="restart"/>
            <w:shd w:val="clear" w:color="auto" w:fill="auto"/>
            <w:vAlign w:val="center"/>
          </w:tcPr>
          <w:p w:rsidR="008B2F73" w:rsidRPr="008B2F73" w:rsidRDefault="008B2F73" w:rsidP="00CF26FE">
            <w:pPr>
              <w:pStyle w:val="Tablehead"/>
              <w:rPr>
                <w:lang w:val="es-ES_tradnl"/>
              </w:rPr>
            </w:pPr>
            <w:r w:rsidRPr="008B2F73">
              <w:rPr>
                <w:lang w:val="es-ES_tradnl"/>
              </w:rPr>
              <w:t>Disposiciones no apareadas (por ejemplo, para TDD)</w:t>
            </w:r>
            <w:r w:rsidRPr="008B2F73">
              <w:rPr>
                <w:lang w:val="es-ES_tradnl"/>
              </w:rPr>
              <w:br/>
              <w:t>(MHz)</w:t>
            </w:r>
          </w:p>
        </w:tc>
      </w:tr>
      <w:tr w:rsidR="008B2F73" w:rsidRPr="000759A1" w:rsidTr="002A50AB">
        <w:trPr>
          <w:gridAfter w:val="1"/>
          <w:wAfter w:w="24" w:type="dxa"/>
          <w:jc w:val="center"/>
        </w:trPr>
        <w:tc>
          <w:tcPr>
            <w:tcW w:w="1768" w:type="dxa"/>
            <w:vMerge/>
            <w:shd w:val="clear" w:color="auto" w:fill="auto"/>
            <w:vAlign w:val="center"/>
          </w:tcPr>
          <w:p w:rsidR="008B2F73" w:rsidRPr="008B2F73" w:rsidRDefault="008B2F73" w:rsidP="00CF26FE">
            <w:pPr>
              <w:pStyle w:val="Tablehead"/>
              <w:rPr>
                <w:lang w:val="es-ES_tradnl"/>
              </w:rPr>
            </w:pPr>
          </w:p>
        </w:tc>
        <w:tc>
          <w:tcPr>
            <w:tcW w:w="1871" w:type="dxa"/>
            <w:shd w:val="clear" w:color="auto" w:fill="auto"/>
            <w:vAlign w:val="center"/>
          </w:tcPr>
          <w:p w:rsidR="008B2F73" w:rsidRPr="000759A1" w:rsidRDefault="008B2F73" w:rsidP="00CF26FE">
            <w:pPr>
              <w:pStyle w:val="Tablehead"/>
              <w:rPr>
                <w:caps/>
              </w:rPr>
            </w:pPr>
            <w:r w:rsidRPr="000759A1">
              <w:t xml:space="preserve">Estación móvil transmisora </w:t>
            </w:r>
            <w:r w:rsidRPr="000759A1">
              <w:br/>
              <w:t>(MHz)</w:t>
            </w:r>
          </w:p>
        </w:tc>
        <w:tc>
          <w:tcPr>
            <w:tcW w:w="1159" w:type="dxa"/>
            <w:shd w:val="clear" w:color="auto" w:fill="auto"/>
            <w:vAlign w:val="center"/>
          </w:tcPr>
          <w:p w:rsidR="008B2F73" w:rsidRPr="000759A1" w:rsidRDefault="008B2F73" w:rsidP="00CF26FE">
            <w:pPr>
              <w:pStyle w:val="Tablehead"/>
              <w:rPr>
                <w:caps/>
              </w:rPr>
            </w:pPr>
            <w:r w:rsidRPr="000759A1">
              <w:t>Separación central (MHz)</w:t>
            </w:r>
          </w:p>
        </w:tc>
        <w:tc>
          <w:tcPr>
            <w:tcW w:w="1784" w:type="dxa"/>
            <w:shd w:val="clear" w:color="auto" w:fill="auto"/>
            <w:vAlign w:val="center"/>
          </w:tcPr>
          <w:p w:rsidR="008B2F73" w:rsidRPr="008B2F73" w:rsidRDefault="008B2F73" w:rsidP="00CF26FE">
            <w:pPr>
              <w:pStyle w:val="Tablehead"/>
              <w:rPr>
                <w:caps/>
                <w:lang w:val="es-ES_tradnl"/>
              </w:rPr>
            </w:pPr>
            <w:r w:rsidRPr="008B2F73">
              <w:rPr>
                <w:lang w:val="es-ES_tradnl"/>
              </w:rPr>
              <w:t>Estación de base transmisora</w:t>
            </w:r>
            <w:r w:rsidRPr="008B2F73">
              <w:rPr>
                <w:lang w:val="es-ES_tradnl"/>
              </w:rPr>
              <w:br/>
              <w:t>(MHz)</w:t>
            </w:r>
          </w:p>
        </w:tc>
        <w:tc>
          <w:tcPr>
            <w:tcW w:w="1335" w:type="dxa"/>
            <w:shd w:val="clear" w:color="auto" w:fill="auto"/>
            <w:vAlign w:val="center"/>
          </w:tcPr>
          <w:p w:rsidR="008B2F73" w:rsidRPr="000759A1" w:rsidRDefault="008B2F73" w:rsidP="00CF26FE">
            <w:pPr>
              <w:pStyle w:val="Tablehead"/>
            </w:pPr>
            <w:r w:rsidRPr="000759A1">
              <w:t>Separación dúplex</w:t>
            </w:r>
            <w:r w:rsidRPr="000759A1">
              <w:br/>
              <w:t>(MHz)</w:t>
            </w:r>
          </w:p>
        </w:tc>
        <w:tc>
          <w:tcPr>
            <w:tcW w:w="1693" w:type="dxa"/>
            <w:vMerge/>
            <w:shd w:val="clear" w:color="auto" w:fill="auto"/>
            <w:vAlign w:val="center"/>
          </w:tcPr>
          <w:p w:rsidR="008B2F73" w:rsidRPr="000759A1" w:rsidRDefault="008B2F73" w:rsidP="00CF26FE">
            <w:pPr>
              <w:pStyle w:val="Tablehead"/>
              <w:rPr>
                <w:highlight w:val="yellow"/>
              </w:rPr>
            </w:pP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rPr>
            </w:pPr>
            <w:r w:rsidRPr="000759A1">
              <w:t>D1</w:t>
            </w:r>
          </w:p>
        </w:tc>
        <w:tc>
          <w:tcPr>
            <w:tcW w:w="1871" w:type="dxa"/>
            <w:shd w:val="clear" w:color="auto" w:fill="auto"/>
          </w:tcPr>
          <w:p w:rsidR="008B2F73" w:rsidRPr="000759A1" w:rsidRDefault="008B2F73" w:rsidP="00CF26FE">
            <w:pPr>
              <w:pStyle w:val="Tabletext"/>
              <w:jc w:val="center"/>
              <w:rPr>
                <w:rFonts w:eastAsia="Batang"/>
                <w:caps/>
              </w:rPr>
            </w:pPr>
            <w:r w:rsidRPr="000759A1">
              <w:t>450,000-454,800</w:t>
            </w:r>
          </w:p>
        </w:tc>
        <w:tc>
          <w:tcPr>
            <w:tcW w:w="1159" w:type="dxa"/>
            <w:shd w:val="clear" w:color="auto" w:fill="auto"/>
          </w:tcPr>
          <w:p w:rsidR="008B2F73" w:rsidRPr="000759A1" w:rsidRDefault="008B2F73" w:rsidP="00CF26FE">
            <w:pPr>
              <w:pStyle w:val="Tabletext"/>
              <w:jc w:val="center"/>
              <w:rPr>
                <w:rFonts w:eastAsia="Batang"/>
                <w:caps/>
              </w:rPr>
            </w:pPr>
            <w:r w:rsidRPr="000759A1">
              <w:t>5,2</w:t>
            </w:r>
          </w:p>
        </w:tc>
        <w:tc>
          <w:tcPr>
            <w:tcW w:w="1784" w:type="dxa"/>
            <w:shd w:val="clear" w:color="auto" w:fill="auto"/>
          </w:tcPr>
          <w:p w:rsidR="008B2F73" w:rsidRPr="000759A1" w:rsidRDefault="008B2F73" w:rsidP="00CF26FE">
            <w:pPr>
              <w:pStyle w:val="Tabletext"/>
              <w:jc w:val="center"/>
              <w:rPr>
                <w:rFonts w:eastAsia="Batang"/>
                <w:caps/>
              </w:rPr>
            </w:pPr>
            <w:r w:rsidRPr="000759A1">
              <w:t>460,000-464,800</w:t>
            </w:r>
          </w:p>
        </w:tc>
        <w:tc>
          <w:tcPr>
            <w:tcW w:w="1335" w:type="dxa"/>
            <w:shd w:val="clear" w:color="auto" w:fill="auto"/>
          </w:tcPr>
          <w:p w:rsidR="008B2F73" w:rsidRPr="000759A1" w:rsidRDefault="008B2F73" w:rsidP="00CF26FE">
            <w:pPr>
              <w:pStyle w:val="Tabletext"/>
              <w:jc w:val="center"/>
              <w:rPr>
                <w:rFonts w:eastAsia="Batang"/>
                <w:caps/>
              </w:rPr>
            </w:pPr>
            <w:r w:rsidRPr="000759A1">
              <w:t>10</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rPr>
            </w:pPr>
            <w:r w:rsidRPr="000759A1">
              <w:t>D2</w:t>
            </w:r>
          </w:p>
        </w:tc>
        <w:tc>
          <w:tcPr>
            <w:tcW w:w="1871" w:type="dxa"/>
            <w:shd w:val="clear" w:color="auto" w:fill="auto"/>
          </w:tcPr>
          <w:p w:rsidR="008B2F73" w:rsidRPr="000759A1" w:rsidRDefault="008B2F73" w:rsidP="00CF26FE">
            <w:pPr>
              <w:pStyle w:val="Tabletext"/>
              <w:jc w:val="center"/>
              <w:rPr>
                <w:rFonts w:eastAsia="Batang"/>
                <w:caps/>
              </w:rPr>
            </w:pPr>
            <w:r w:rsidRPr="000759A1">
              <w:t>451,325-455,725</w:t>
            </w:r>
          </w:p>
        </w:tc>
        <w:tc>
          <w:tcPr>
            <w:tcW w:w="1159" w:type="dxa"/>
            <w:shd w:val="clear" w:color="auto" w:fill="auto"/>
          </w:tcPr>
          <w:p w:rsidR="008B2F73" w:rsidRPr="000759A1" w:rsidRDefault="008B2F73" w:rsidP="00CF26FE">
            <w:pPr>
              <w:pStyle w:val="Tabletext"/>
              <w:jc w:val="center"/>
              <w:rPr>
                <w:rFonts w:eastAsia="Batang"/>
                <w:caps/>
              </w:rPr>
            </w:pPr>
            <w:r w:rsidRPr="000759A1">
              <w:t>5,6</w:t>
            </w:r>
          </w:p>
        </w:tc>
        <w:tc>
          <w:tcPr>
            <w:tcW w:w="1784" w:type="dxa"/>
            <w:shd w:val="clear" w:color="auto" w:fill="auto"/>
          </w:tcPr>
          <w:p w:rsidR="008B2F73" w:rsidRPr="000759A1" w:rsidRDefault="008B2F73" w:rsidP="00CF26FE">
            <w:pPr>
              <w:pStyle w:val="Tabletext"/>
              <w:jc w:val="center"/>
              <w:rPr>
                <w:rFonts w:eastAsia="Batang"/>
                <w:caps/>
              </w:rPr>
            </w:pPr>
            <w:r w:rsidRPr="000759A1">
              <w:t>461,325-465,725</w:t>
            </w:r>
          </w:p>
        </w:tc>
        <w:tc>
          <w:tcPr>
            <w:tcW w:w="1335" w:type="dxa"/>
            <w:shd w:val="clear" w:color="auto" w:fill="auto"/>
          </w:tcPr>
          <w:p w:rsidR="008B2F73" w:rsidRPr="000759A1" w:rsidRDefault="008B2F73" w:rsidP="00CF26FE">
            <w:pPr>
              <w:pStyle w:val="Tabletext"/>
              <w:jc w:val="center"/>
              <w:rPr>
                <w:rFonts w:eastAsia="Batang"/>
                <w:caps/>
              </w:rPr>
            </w:pPr>
            <w:r w:rsidRPr="000759A1">
              <w:t>10</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rPr>
            </w:pPr>
            <w:r w:rsidRPr="000759A1">
              <w:t>D3</w:t>
            </w:r>
          </w:p>
        </w:tc>
        <w:tc>
          <w:tcPr>
            <w:tcW w:w="1871" w:type="dxa"/>
            <w:shd w:val="clear" w:color="auto" w:fill="auto"/>
          </w:tcPr>
          <w:p w:rsidR="008B2F73" w:rsidRPr="000759A1" w:rsidRDefault="008B2F73" w:rsidP="00CF26FE">
            <w:pPr>
              <w:pStyle w:val="Tabletext"/>
              <w:jc w:val="center"/>
              <w:rPr>
                <w:rFonts w:eastAsia="Batang"/>
                <w:caps/>
              </w:rPr>
            </w:pPr>
            <w:r w:rsidRPr="000759A1">
              <w:t>452,000-456,475</w:t>
            </w:r>
          </w:p>
        </w:tc>
        <w:tc>
          <w:tcPr>
            <w:tcW w:w="1159" w:type="dxa"/>
            <w:shd w:val="clear" w:color="auto" w:fill="auto"/>
          </w:tcPr>
          <w:p w:rsidR="008B2F73" w:rsidRPr="000759A1" w:rsidRDefault="008B2F73" w:rsidP="00CF26FE">
            <w:pPr>
              <w:pStyle w:val="Tabletext"/>
              <w:jc w:val="center"/>
              <w:rPr>
                <w:rFonts w:eastAsia="Batang"/>
                <w:caps/>
              </w:rPr>
            </w:pPr>
            <w:r w:rsidRPr="000759A1">
              <w:t>5,525</w:t>
            </w:r>
          </w:p>
        </w:tc>
        <w:tc>
          <w:tcPr>
            <w:tcW w:w="1784" w:type="dxa"/>
            <w:shd w:val="clear" w:color="auto" w:fill="auto"/>
          </w:tcPr>
          <w:p w:rsidR="008B2F73" w:rsidRPr="000759A1" w:rsidRDefault="008B2F73" w:rsidP="00CF26FE">
            <w:pPr>
              <w:pStyle w:val="Tabletext"/>
              <w:jc w:val="center"/>
              <w:rPr>
                <w:rFonts w:eastAsia="Batang"/>
                <w:caps/>
              </w:rPr>
            </w:pPr>
            <w:r w:rsidRPr="000759A1">
              <w:t>462,000-466,475</w:t>
            </w:r>
          </w:p>
        </w:tc>
        <w:tc>
          <w:tcPr>
            <w:tcW w:w="1335" w:type="dxa"/>
            <w:shd w:val="clear" w:color="auto" w:fill="auto"/>
          </w:tcPr>
          <w:p w:rsidR="008B2F73" w:rsidRPr="000759A1" w:rsidRDefault="008B2F73" w:rsidP="00CF26FE">
            <w:pPr>
              <w:pStyle w:val="Tabletext"/>
              <w:jc w:val="center"/>
              <w:rPr>
                <w:rFonts w:eastAsia="Batang"/>
                <w:caps/>
              </w:rPr>
            </w:pPr>
            <w:r w:rsidRPr="000759A1">
              <w:t>10</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rPr>
            </w:pPr>
            <w:r w:rsidRPr="000759A1">
              <w:t>D4</w:t>
            </w:r>
          </w:p>
        </w:tc>
        <w:tc>
          <w:tcPr>
            <w:tcW w:w="1871" w:type="dxa"/>
            <w:shd w:val="clear" w:color="auto" w:fill="auto"/>
          </w:tcPr>
          <w:p w:rsidR="008B2F73" w:rsidRPr="000759A1" w:rsidRDefault="008B2F73" w:rsidP="00CF26FE">
            <w:pPr>
              <w:pStyle w:val="Tabletext"/>
              <w:jc w:val="center"/>
              <w:rPr>
                <w:rFonts w:eastAsia="Batang"/>
                <w:caps/>
              </w:rPr>
            </w:pPr>
            <w:r w:rsidRPr="000759A1">
              <w:t>452,500-457,475</w:t>
            </w:r>
          </w:p>
        </w:tc>
        <w:tc>
          <w:tcPr>
            <w:tcW w:w="1159" w:type="dxa"/>
            <w:shd w:val="clear" w:color="auto" w:fill="auto"/>
          </w:tcPr>
          <w:p w:rsidR="008B2F73" w:rsidRPr="000759A1" w:rsidRDefault="008B2F73" w:rsidP="00CF26FE">
            <w:pPr>
              <w:pStyle w:val="Tabletext"/>
              <w:jc w:val="center"/>
              <w:rPr>
                <w:rFonts w:eastAsia="Batang"/>
                <w:caps/>
              </w:rPr>
            </w:pPr>
            <w:r w:rsidRPr="000759A1">
              <w:t>5,025</w:t>
            </w:r>
          </w:p>
        </w:tc>
        <w:tc>
          <w:tcPr>
            <w:tcW w:w="1784" w:type="dxa"/>
            <w:shd w:val="clear" w:color="auto" w:fill="auto"/>
          </w:tcPr>
          <w:p w:rsidR="008B2F73" w:rsidRPr="000759A1" w:rsidRDefault="008B2F73" w:rsidP="00CF26FE">
            <w:pPr>
              <w:pStyle w:val="Tabletext"/>
              <w:jc w:val="center"/>
              <w:rPr>
                <w:rFonts w:eastAsia="Batang"/>
                <w:caps/>
              </w:rPr>
            </w:pPr>
            <w:r w:rsidRPr="000759A1">
              <w:t>462,500-467,475</w:t>
            </w:r>
          </w:p>
        </w:tc>
        <w:tc>
          <w:tcPr>
            <w:tcW w:w="1335" w:type="dxa"/>
            <w:shd w:val="clear" w:color="auto" w:fill="auto"/>
          </w:tcPr>
          <w:p w:rsidR="008B2F73" w:rsidRPr="000759A1" w:rsidRDefault="008B2F73" w:rsidP="00CF26FE">
            <w:pPr>
              <w:pStyle w:val="Tabletext"/>
              <w:jc w:val="center"/>
              <w:rPr>
                <w:rFonts w:eastAsia="Batang"/>
                <w:caps/>
              </w:rPr>
            </w:pPr>
            <w:r w:rsidRPr="000759A1">
              <w:t>10</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rPr>
            </w:pPr>
            <w:r w:rsidRPr="000759A1">
              <w:t>D5</w:t>
            </w:r>
          </w:p>
        </w:tc>
        <w:tc>
          <w:tcPr>
            <w:tcW w:w="1871" w:type="dxa"/>
            <w:shd w:val="clear" w:color="auto" w:fill="auto"/>
          </w:tcPr>
          <w:p w:rsidR="008B2F73" w:rsidRPr="000759A1" w:rsidRDefault="008B2F73" w:rsidP="00CF26FE">
            <w:pPr>
              <w:pStyle w:val="Tabletext"/>
              <w:jc w:val="center"/>
              <w:rPr>
                <w:rFonts w:eastAsia="Batang"/>
                <w:caps/>
              </w:rPr>
            </w:pPr>
            <w:r w:rsidRPr="000759A1">
              <w:t>453,000-457,500</w:t>
            </w:r>
          </w:p>
        </w:tc>
        <w:tc>
          <w:tcPr>
            <w:tcW w:w="1159" w:type="dxa"/>
            <w:shd w:val="clear" w:color="auto" w:fill="auto"/>
          </w:tcPr>
          <w:p w:rsidR="008B2F73" w:rsidRPr="000759A1" w:rsidRDefault="008B2F73" w:rsidP="00CF26FE">
            <w:pPr>
              <w:pStyle w:val="Tabletext"/>
              <w:jc w:val="center"/>
              <w:rPr>
                <w:rFonts w:eastAsia="Batang"/>
                <w:caps/>
              </w:rPr>
            </w:pPr>
            <w:r w:rsidRPr="000759A1">
              <w:t>5,5</w:t>
            </w:r>
          </w:p>
        </w:tc>
        <w:tc>
          <w:tcPr>
            <w:tcW w:w="1784" w:type="dxa"/>
            <w:shd w:val="clear" w:color="auto" w:fill="auto"/>
          </w:tcPr>
          <w:p w:rsidR="008B2F73" w:rsidRPr="000759A1" w:rsidRDefault="008B2F73" w:rsidP="00CF26FE">
            <w:pPr>
              <w:pStyle w:val="Tabletext"/>
              <w:jc w:val="center"/>
              <w:rPr>
                <w:rFonts w:eastAsia="Batang"/>
                <w:caps/>
              </w:rPr>
            </w:pPr>
            <w:r w:rsidRPr="000759A1">
              <w:t>463,000-467,500</w:t>
            </w:r>
          </w:p>
        </w:tc>
        <w:tc>
          <w:tcPr>
            <w:tcW w:w="1335" w:type="dxa"/>
            <w:shd w:val="clear" w:color="auto" w:fill="auto"/>
          </w:tcPr>
          <w:p w:rsidR="008B2F73" w:rsidRPr="000759A1" w:rsidRDefault="008B2F73" w:rsidP="00CF26FE">
            <w:pPr>
              <w:pStyle w:val="Tabletext"/>
              <w:jc w:val="center"/>
              <w:rPr>
                <w:rFonts w:eastAsia="Batang"/>
                <w:caps/>
              </w:rPr>
            </w:pPr>
            <w:r w:rsidRPr="000759A1">
              <w:t>10</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rPr>
            </w:pPr>
            <w:r w:rsidRPr="000759A1">
              <w:t>D6</w:t>
            </w:r>
          </w:p>
        </w:tc>
        <w:tc>
          <w:tcPr>
            <w:tcW w:w="1871" w:type="dxa"/>
            <w:shd w:val="clear" w:color="auto" w:fill="auto"/>
          </w:tcPr>
          <w:p w:rsidR="008B2F73" w:rsidRPr="000759A1" w:rsidRDefault="008B2F73" w:rsidP="00CF26FE">
            <w:pPr>
              <w:pStyle w:val="Tabletext"/>
              <w:jc w:val="center"/>
              <w:rPr>
                <w:rFonts w:eastAsia="Batang"/>
                <w:caps/>
              </w:rPr>
            </w:pPr>
            <w:r w:rsidRPr="000759A1">
              <w:t>455,250-459,975</w:t>
            </w:r>
          </w:p>
        </w:tc>
        <w:tc>
          <w:tcPr>
            <w:tcW w:w="1159" w:type="dxa"/>
            <w:shd w:val="clear" w:color="auto" w:fill="auto"/>
          </w:tcPr>
          <w:p w:rsidR="008B2F73" w:rsidRPr="000759A1" w:rsidRDefault="008B2F73" w:rsidP="00CF26FE">
            <w:pPr>
              <w:pStyle w:val="Tabletext"/>
              <w:jc w:val="center"/>
              <w:rPr>
                <w:rFonts w:eastAsia="Batang"/>
                <w:caps/>
              </w:rPr>
            </w:pPr>
            <w:r w:rsidRPr="000759A1">
              <w:t>5,275</w:t>
            </w:r>
          </w:p>
        </w:tc>
        <w:tc>
          <w:tcPr>
            <w:tcW w:w="1784" w:type="dxa"/>
            <w:shd w:val="clear" w:color="auto" w:fill="auto"/>
          </w:tcPr>
          <w:p w:rsidR="008B2F73" w:rsidRPr="000759A1" w:rsidRDefault="008B2F73" w:rsidP="00CF26FE">
            <w:pPr>
              <w:pStyle w:val="Tabletext"/>
              <w:jc w:val="center"/>
              <w:rPr>
                <w:rFonts w:eastAsia="Batang"/>
                <w:caps/>
              </w:rPr>
            </w:pPr>
            <w:r w:rsidRPr="000759A1">
              <w:t>465,250-469,975</w:t>
            </w:r>
          </w:p>
        </w:tc>
        <w:tc>
          <w:tcPr>
            <w:tcW w:w="1335" w:type="dxa"/>
            <w:shd w:val="clear" w:color="auto" w:fill="auto"/>
          </w:tcPr>
          <w:p w:rsidR="008B2F73" w:rsidRPr="000759A1" w:rsidRDefault="008B2F73" w:rsidP="00CF26FE">
            <w:pPr>
              <w:pStyle w:val="Tabletext"/>
              <w:jc w:val="center"/>
              <w:rPr>
                <w:rFonts w:eastAsia="Batang"/>
                <w:caps/>
              </w:rPr>
            </w:pPr>
            <w:r w:rsidRPr="000759A1">
              <w:t>10</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rPr>
            </w:pPr>
            <w:r w:rsidRPr="000759A1">
              <w:t>D7</w:t>
            </w:r>
          </w:p>
        </w:tc>
        <w:tc>
          <w:tcPr>
            <w:tcW w:w="1871" w:type="dxa"/>
            <w:shd w:val="clear" w:color="auto" w:fill="auto"/>
          </w:tcPr>
          <w:p w:rsidR="008B2F73" w:rsidRPr="000759A1" w:rsidRDefault="008B2F73" w:rsidP="00CF26FE">
            <w:pPr>
              <w:pStyle w:val="Tabletext"/>
              <w:jc w:val="center"/>
              <w:rPr>
                <w:rFonts w:eastAsia="Batang"/>
                <w:caps/>
              </w:rPr>
            </w:pPr>
            <w:r w:rsidRPr="000759A1">
              <w:t>450,000-457,500</w:t>
            </w:r>
          </w:p>
        </w:tc>
        <w:tc>
          <w:tcPr>
            <w:tcW w:w="1159" w:type="dxa"/>
            <w:shd w:val="clear" w:color="auto" w:fill="auto"/>
          </w:tcPr>
          <w:p w:rsidR="008B2F73" w:rsidRPr="000759A1" w:rsidRDefault="008B2F73" w:rsidP="00CF26FE">
            <w:pPr>
              <w:pStyle w:val="Tabletext"/>
              <w:jc w:val="center"/>
              <w:rPr>
                <w:rFonts w:eastAsia="Batang"/>
                <w:caps/>
              </w:rPr>
            </w:pPr>
            <w:r w:rsidRPr="000759A1">
              <w:t>5,0</w:t>
            </w:r>
          </w:p>
        </w:tc>
        <w:tc>
          <w:tcPr>
            <w:tcW w:w="1784" w:type="dxa"/>
            <w:shd w:val="clear" w:color="auto" w:fill="auto"/>
          </w:tcPr>
          <w:p w:rsidR="008B2F73" w:rsidRPr="000759A1" w:rsidRDefault="008B2F73" w:rsidP="00CF26FE">
            <w:pPr>
              <w:pStyle w:val="Tabletext"/>
              <w:jc w:val="center"/>
              <w:rPr>
                <w:rFonts w:eastAsia="Batang"/>
                <w:caps/>
              </w:rPr>
            </w:pPr>
            <w:r w:rsidRPr="000759A1">
              <w:t>462,500-470,000</w:t>
            </w:r>
          </w:p>
        </w:tc>
        <w:tc>
          <w:tcPr>
            <w:tcW w:w="1335" w:type="dxa"/>
            <w:shd w:val="clear" w:color="auto" w:fill="auto"/>
          </w:tcPr>
          <w:p w:rsidR="008B2F73" w:rsidRPr="000759A1" w:rsidRDefault="008B2F73" w:rsidP="00CF26FE">
            <w:pPr>
              <w:pStyle w:val="Tabletext"/>
              <w:jc w:val="center"/>
              <w:rPr>
                <w:rFonts w:eastAsia="Batang"/>
                <w:caps/>
              </w:rPr>
            </w:pPr>
            <w:r w:rsidRPr="000759A1">
              <w:t>12,5</w:t>
            </w:r>
          </w:p>
        </w:tc>
        <w:tc>
          <w:tcPr>
            <w:tcW w:w="1693" w:type="dxa"/>
            <w:shd w:val="clear" w:color="auto" w:fill="auto"/>
          </w:tcPr>
          <w:p w:rsidR="008B2F73" w:rsidRPr="000759A1" w:rsidRDefault="008B2F73" w:rsidP="00CF26FE">
            <w:pPr>
              <w:pStyle w:val="Tabletext"/>
              <w:jc w:val="center"/>
              <w:rPr>
                <w:rFonts w:eastAsia="Batang"/>
                <w:caps/>
              </w:rPr>
            </w:pPr>
            <w:r w:rsidRPr="000759A1">
              <w:t>Ninguna</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lang w:eastAsia="zh-CN"/>
              </w:rPr>
            </w:pPr>
            <w:r w:rsidRPr="000759A1">
              <w:rPr>
                <w:lang w:eastAsia="zh-CN"/>
              </w:rPr>
              <w:t>D8</w:t>
            </w:r>
          </w:p>
        </w:tc>
        <w:tc>
          <w:tcPr>
            <w:tcW w:w="1871" w:type="dxa"/>
            <w:shd w:val="clear" w:color="auto" w:fill="auto"/>
          </w:tcPr>
          <w:p w:rsidR="008B2F73" w:rsidRPr="000759A1" w:rsidRDefault="008B2F73" w:rsidP="00CF26FE">
            <w:pPr>
              <w:pStyle w:val="Tabletext"/>
              <w:jc w:val="center"/>
              <w:rPr>
                <w:lang w:eastAsia="zh-CN"/>
              </w:rPr>
            </w:pPr>
          </w:p>
        </w:tc>
        <w:tc>
          <w:tcPr>
            <w:tcW w:w="1159" w:type="dxa"/>
            <w:shd w:val="clear" w:color="auto" w:fill="auto"/>
          </w:tcPr>
          <w:p w:rsidR="008B2F73" w:rsidRPr="000759A1" w:rsidRDefault="008B2F73" w:rsidP="00CF26FE">
            <w:pPr>
              <w:pStyle w:val="Tabletext"/>
              <w:jc w:val="center"/>
            </w:pPr>
          </w:p>
        </w:tc>
        <w:tc>
          <w:tcPr>
            <w:tcW w:w="1784" w:type="dxa"/>
            <w:shd w:val="clear" w:color="auto" w:fill="auto"/>
          </w:tcPr>
          <w:p w:rsidR="008B2F73" w:rsidRPr="000759A1" w:rsidRDefault="008B2F73" w:rsidP="00CF26FE">
            <w:pPr>
              <w:pStyle w:val="Tabletext"/>
              <w:jc w:val="center"/>
              <w:rPr>
                <w:lang w:eastAsia="zh-CN"/>
              </w:rPr>
            </w:pPr>
          </w:p>
        </w:tc>
        <w:tc>
          <w:tcPr>
            <w:tcW w:w="1335" w:type="dxa"/>
            <w:shd w:val="clear" w:color="auto" w:fill="auto"/>
          </w:tcPr>
          <w:p w:rsidR="008B2F73" w:rsidRPr="000759A1" w:rsidRDefault="008B2F73" w:rsidP="00CF26FE">
            <w:pPr>
              <w:pStyle w:val="Tabletext"/>
              <w:jc w:val="center"/>
            </w:pPr>
          </w:p>
        </w:tc>
        <w:tc>
          <w:tcPr>
            <w:tcW w:w="1693" w:type="dxa"/>
            <w:shd w:val="clear" w:color="auto" w:fill="auto"/>
          </w:tcPr>
          <w:p w:rsidR="008B2F73" w:rsidRPr="000759A1" w:rsidRDefault="008B2F73" w:rsidP="00CF26FE">
            <w:pPr>
              <w:pStyle w:val="Tabletext"/>
              <w:jc w:val="center"/>
              <w:rPr>
                <w:caps/>
              </w:rPr>
            </w:pPr>
            <w:r w:rsidRPr="000759A1">
              <w:t>450-470 TDD</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rPr>
                <w:rFonts w:eastAsia="Batang"/>
                <w:caps/>
                <w:lang w:eastAsia="zh-CN"/>
              </w:rPr>
            </w:pPr>
            <w:r w:rsidRPr="000759A1">
              <w:t>D</w:t>
            </w:r>
            <w:r w:rsidRPr="000759A1">
              <w:rPr>
                <w:lang w:eastAsia="zh-CN"/>
              </w:rPr>
              <w:t>9</w:t>
            </w:r>
          </w:p>
        </w:tc>
        <w:tc>
          <w:tcPr>
            <w:tcW w:w="1871" w:type="dxa"/>
            <w:shd w:val="clear" w:color="auto" w:fill="auto"/>
          </w:tcPr>
          <w:p w:rsidR="008B2F73" w:rsidRPr="000759A1" w:rsidRDefault="008B2F73" w:rsidP="00CF26FE">
            <w:pPr>
              <w:pStyle w:val="Tabletext"/>
              <w:jc w:val="center"/>
              <w:rPr>
                <w:rFonts w:eastAsia="Batang"/>
                <w:caps/>
                <w:lang w:eastAsia="zh-CN"/>
              </w:rPr>
            </w:pPr>
            <w:r w:rsidRPr="000759A1">
              <w:rPr>
                <w:lang w:eastAsia="zh-CN"/>
              </w:rPr>
              <w:t>450,000</w:t>
            </w:r>
            <w:r w:rsidRPr="000759A1">
              <w:t>-</w:t>
            </w:r>
            <w:r w:rsidRPr="000759A1">
              <w:rPr>
                <w:lang w:eastAsia="zh-CN"/>
              </w:rPr>
              <w:t>455,000</w:t>
            </w:r>
          </w:p>
        </w:tc>
        <w:tc>
          <w:tcPr>
            <w:tcW w:w="1159" w:type="dxa"/>
            <w:shd w:val="clear" w:color="auto" w:fill="auto"/>
          </w:tcPr>
          <w:p w:rsidR="008B2F73" w:rsidRPr="000759A1" w:rsidRDefault="008B2F73" w:rsidP="00CF26FE">
            <w:pPr>
              <w:pStyle w:val="Tabletext"/>
              <w:jc w:val="center"/>
              <w:rPr>
                <w:rFonts w:eastAsia="Batang"/>
                <w:caps/>
                <w:lang w:eastAsia="zh-CN"/>
              </w:rPr>
            </w:pPr>
            <w:r w:rsidRPr="000759A1">
              <w:rPr>
                <w:lang w:eastAsia="zh-CN"/>
              </w:rPr>
              <w:t>10,0</w:t>
            </w:r>
          </w:p>
        </w:tc>
        <w:tc>
          <w:tcPr>
            <w:tcW w:w="1784" w:type="dxa"/>
            <w:shd w:val="clear" w:color="auto" w:fill="auto"/>
          </w:tcPr>
          <w:p w:rsidR="008B2F73" w:rsidRPr="000759A1" w:rsidRDefault="008B2F73" w:rsidP="00CF26FE">
            <w:pPr>
              <w:pStyle w:val="Tabletext"/>
              <w:jc w:val="center"/>
              <w:rPr>
                <w:rFonts w:eastAsia="Batang"/>
                <w:caps/>
                <w:lang w:eastAsia="zh-CN"/>
              </w:rPr>
            </w:pPr>
            <w:r w:rsidRPr="000759A1">
              <w:rPr>
                <w:lang w:eastAsia="zh-CN"/>
              </w:rPr>
              <w:t>465,000</w:t>
            </w:r>
            <w:r w:rsidRPr="000759A1">
              <w:t>-</w:t>
            </w:r>
            <w:r w:rsidRPr="000759A1">
              <w:rPr>
                <w:lang w:eastAsia="zh-CN"/>
              </w:rPr>
              <w:t>47</w:t>
            </w:r>
            <w:r w:rsidRPr="000759A1">
              <w:t>0</w:t>
            </w:r>
            <w:r w:rsidRPr="000759A1">
              <w:rPr>
                <w:lang w:eastAsia="zh-CN"/>
              </w:rPr>
              <w:t>,000</w:t>
            </w:r>
          </w:p>
        </w:tc>
        <w:tc>
          <w:tcPr>
            <w:tcW w:w="1335" w:type="dxa"/>
            <w:shd w:val="clear" w:color="auto" w:fill="auto"/>
          </w:tcPr>
          <w:p w:rsidR="008B2F73" w:rsidRPr="000759A1" w:rsidRDefault="008B2F73" w:rsidP="00CF26FE">
            <w:pPr>
              <w:pStyle w:val="Tabletext"/>
              <w:jc w:val="center"/>
              <w:rPr>
                <w:rFonts w:eastAsia="Batang"/>
                <w:caps/>
                <w:lang w:eastAsia="zh-CN"/>
              </w:rPr>
            </w:pPr>
            <w:r w:rsidRPr="000759A1">
              <w:rPr>
                <w:lang w:eastAsia="zh-CN"/>
              </w:rPr>
              <w:t>15</w:t>
            </w:r>
          </w:p>
        </w:tc>
        <w:tc>
          <w:tcPr>
            <w:tcW w:w="1693" w:type="dxa"/>
            <w:shd w:val="clear" w:color="auto" w:fill="auto"/>
          </w:tcPr>
          <w:p w:rsidR="008B2F73" w:rsidRPr="000759A1" w:rsidRDefault="008B2F73" w:rsidP="00CF26FE">
            <w:pPr>
              <w:pStyle w:val="Tabletext"/>
              <w:jc w:val="center"/>
              <w:rPr>
                <w:rFonts w:eastAsia="Batang"/>
                <w:caps/>
              </w:rPr>
            </w:pPr>
            <w:r w:rsidRPr="000759A1">
              <w:rPr>
                <w:lang w:eastAsia="zh-CN"/>
              </w:rPr>
              <w:t>457,500</w:t>
            </w:r>
            <w:r w:rsidRPr="000759A1">
              <w:t>-</w:t>
            </w:r>
            <w:r w:rsidRPr="000759A1">
              <w:rPr>
                <w:lang w:eastAsia="zh-CN"/>
              </w:rPr>
              <w:t>462,500 TDD</w:t>
            </w:r>
          </w:p>
        </w:tc>
      </w:tr>
      <w:tr w:rsidR="008B2F73" w:rsidRPr="000759A1" w:rsidTr="002A50AB">
        <w:trPr>
          <w:gridAfter w:val="1"/>
          <w:wAfter w:w="24" w:type="dxa"/>
          <w:jc w:val="center"/>
        </w:trPr>
        <w:tc>
          <w:tcPr>
            <w:tcW w:w="1768" w:type="dxa"/>
            <w:shd w:val="clear" w:color="auto" w:fill="auto"/>
          </w:tcPr>
          <w:p w:rsidR="008B2F73" w:rsidRPr="000759A1" w:rsidRDefault="008B2F73" w:rsidP="00CF26FE">
            <w:pPr>
              <w:pStyle w:val="Tabletext"/>
              <w:jc w:val="center"/>
            </w:pPr>
            <w:r w:rsidRPr="000759A1">
              <w:t>D10</w:t>
            </w:r>
          </w:p>
        </w:tc>
        <w:tc>
          <w:tcPr>
            <w:tcW w:w="1871" w:type="dxa"/>
            <w:shd w:val="clear" w:color="auto" w:fill="auto"/>
          </w:tcPr>
          <w:p w:rsidR="008B2F73" w:rsidRPr="000759A1" w:rsidRDefault="008B2F73" w:rsidP="00CF26FE">
            <w:pPr>
              <w:pStyle w:val="Tabletext"/>
              <w:jc w:val="center"/>
              <w:rPr>
                <w:rFonts w:eastAsia="Batang"/>
                <w:caps/>
              </w:rPr>
            </w:pPr>
            <w:r w:rsidRPr="000759A1">
              <w:t>450,000-454,800</w:t>
            </w:r>
          </w:p>
        </w:tc>
        <w:tc>
          <w:tcPr>
            <w:tcW w:w="1159" w:type="dxa"/>
            <w:shd w:val="clear" w:color="auto" w:fill="auto"/>
          </w:tcPr>
          <w:p w:rsidR="008B2F73" w:rsidRPr="000759A1" w:rsidRDefault="008B2F73" w:rsidP="00CF26FE">
            <w:pPr>
              <w:pStyle w:val="Tabletext"/>
              <w:jc w:val="center"/>
              <w:rPr>
                <w:rFonts w:eastAsia="Batang"/>
                <w:caps/>
              </w:rPr>
            </w:pPr>
            <w:r w:rsidRPr="000759A1">
              <w:t>5,2</w:t>
            </w:r>
          </w:p>
        </w:tc>
        <w:tc>
          <w:tcPr>
            <w:tcW w:w="1784" w:type="dxa"/>
            <w:shd w:val="clear" w:color="auto" w:fill="auto"/>
          </w:tcPr>
          <w:p w:rsidR="008B2F73" w:rsidRPr="000759A1" w:rsidRDefault="008B2F73" w:rsidP="00CF26FE">
            <w:pPr>
              <w:pStyle w:val="Tabletext"/>
              <w:jc w:val="center"/>
              <w:rPr>
                <w:rFonts w:eastAsia="Batang"/>
                <w:caps/>
              </w:rPr>
            </w:pPr>
            <w:r w:rsidRPr="000759A1">
              <w:t>460,000-464,800</w:t>
            </w:r>
          </w:p>
        </w:tc>
        <w:tc>
          <w:tcPr>
            <w:tcW w:w="1335" w:type="dxa"/>
            <w:shd w:val="clear" w:color="auto" w:fill="auto"/>
          </w:tcPr>
          <w:p w:rsidR="008B2F73" w:rsidRPr="000759A1" w:rsidRDefault="008B2F73" w:rsidP="00CF26FE">
            <w:pPr>
              <w:pStyle w:val="Tabletext"/>
              <w:jc w:val="center"/>
              <w:rPr>
                <w:lang w:eastAsia="zh-CN"/>
              </w:rPr>
            </w:pPr>
            <w:r w:rsidRPr="000759A1">
              <w:rPr>
                <w:lang w:eastAsia="zh-CN"/>
              </w:rPr>
              <w:t>10</w:t>
            </w:r>
          </w:p>
        </w:tc>
        <w:tc>
          <w:tcPr>
            <w:tcW w:w="1693" w:type="dxa"/>
            <w:shd w:val="clear" w:color="auto" w:fill="auto"/>
          </w:tcPr>
          <w:p w:rsidR="008B2F73" w:rsidRPr="000759A1" w:rsidRDefault="008B2F73" w:rsidP="00CF26FE">
            <w:pPr>
              <w:pStyle w:val="Tabletext"/>
              <w:jc w:val="center"/>
              <w:rPr>
                <w:lang w:eastAsia="zh-CN"/>
              </w:rPr>
            </w:pPr>
            <w:r w:rsidRPr="000759A1">
              <w:t>Ninguna</w:t>
            </w:r>
          </w:p>
        </w:tc>
      </w:tr>
      <w:tr w:rsidR="008B2F73" w:rsidRPr="000759A1" w:rsidTr="002A50AB">
        <w:tblPrEx>
          <w:tblCellMar>
            <w:left w:w="10" w:type="dxa"/>
            <w:right w:w="10" w:type="dxa"/>
          </w:tblCellMar>
        </w:tblPrEx>
        <w:trPr>
          <w:jc w:val="center"/>
        </w:trPr>
        <w:tc>
          <w:tcPr>
            <w:tcW w:w="1768" w:type="dxa"/>
            <w:shd w:val="clear" w:color="auto" w:fill="auto"/>
            <w:tcMar>
              <w:top w:w="0" w:type="dxa"/>
              <w:left w:w="108" w:type="dxa"/>
              <w:bottom w:w="0" w:type="dxa"/>
              <w:right w:w="108" w:type="dxa"/>
            </w:tcMar>
            <w:vAlign w:val="center"/>
          </w:tcPr>
          <w:p w:rsidR="008B2F73" w:rsidRPr="000759A1" w:rsidRDefault="008B2F73" w:rsidP="00CF26FE">
            <w:pPr>
              <w:pStyle w:val="Tabletext"/>
              <w:jc w:val="center"/>
            </w:pPr>
            <w:r w:rsidRPr="000759A1">
              <w:t>D11</w:t>
            </w:r>
          </w:p>
        </w:tc>
        <w:tc>
          <w:tcPr>
            <w:tcW w:w="1871" w:type="dxa"/>
            <w:shd w:val="clear" w:color="auto" w:fill="auto"/>
            <w:tcMar>
              <w:top w:w="0" w:type="dxa"/>
              <w:left w:w="108" w:type="dxa"/>
              <w:bottom w:w="0" w:type="dxa"/>
              <w:right w:w="108" w:type="dxa"/>
            </w:tcMar>
            <w:vAlign w:val="center"/>
          </w:tcPr>
          <w:p w:rsidR="008B2F73" w:rsidRPr="000759A1" w:rsidRDefault="008B2F73" w:rsidP="00CF26FE">
            <w:pPr>
              <w:pStyle w:val="Tabletext"/>
              <w:jc w:val="center"/>
            </w:pPr>
            <w:r w:rsidRPr="000759A1">
              <w:t>450,500-457,500</w:t>
            </w:r>
          </w:p>
        </w:tc>
        <w:tc>
          <w:tcPr>
            <w:tcW w:w="1159" w:type="dxa"/>
            <w:shd w:val="clear" w:color="auto" w:fill="auto"/>
            <w:tcMar>
              <w:top w:w="0" w:type="dxa"/>
              <w:left w:w="108" w:type="dxa"/>
              <w:bottom w:w="0" w:type="dxa"/>
              <w:right w:w="108" w:type="dxa"/>
            </w:tcMar>
            <w:vAlign w:val="center"/>
          </w:tcPr>
          <w:p w:rsidR="008B2F73" w:rsidRPr="000759A1" w:rsidRDefault="008B2F73" w:rsidP="00CF26FE">
            <w:pPr>
              <w:pStyle w:val="Tabletext"/>
              <w:jc w:val="center"/>
            </w:pPr>
            <w:r w:rsidRPr="000759A1">
              <w:t>3,0</w:t>
            </w:r>
          </w:p>
        </w:tc>
        <w:tc>
          <w:tcPr>
            <w:tcW w:w="1784" w:type="dxa"/>
            <w:shd w:val="clear" w:color="auto" w:fill="auto"/>
            <w:tcMar>
              <w:top w:w="0" w:type="dxa"/>
              <w:left w:w="108" w:type="dxa"/>
              <w:bottom w:w="0" w:type="dxa"/>
              <w:right w:w="108" w:type="dxa"/>
            </w:tcMar>
            <w:vAlign w:val="center"/>
          </w:tcPr>
          <w:p w:rsidR="008B2F73" w:rsidRPr="000759A1" w:rsidRDefault="008B2F73" w:rsidP="00CF26FE">
            <w:pPr>
              <w:pStyle w:val="Tabletext"/>
              <w:jc w:val="center"/>
            </w:pPr>
            <w:r w:rsidRPr="000759A1">
              <w:t>460,500-467,500</w:t>
            </w:r>
          </w:p>
        </w:tc>
        <w:tc>
          <w:tcPr>
            <w:tcW w:w="1335" w:type="dxa"/>
            <w:shd w:val="clear" w:color="auto" w:fill="auto"/>
            <w:tcMar>
              <w:top w:w="0" w:type="dxa"/>
              <w:left w:w="108" w:type="dxa"/>
              <w:bottom w:w="0" w:type="dxa"/>
              <w:right w:w="108" w:type="dxa"/>
            </w:tcMar>
          </w:tcPr>
          <w:p w:rsidR="008B2F73" w:rsidRPr="000759A1" w:rsidRDefault="008B2F73" w:rsidP="00CF26FE">
            <w:pPr>
              <w:pStyle w:val="Tabletext"/>
              <w:jc w:val="center"/>
              <w:rPr>
                <w:rFonts w:eastAsia="Batang"/>
                <w:caps/>
              </w:rPr>
            </w:pPr>
            <w:r w:rsidRPr="000759A1">
              <w:t>10</w:t>
            </w:r>
          </w:p>
        </w:tc>
        <w:tc>
          <w:tcPr>
            <w:tcW w:w="1717" w:type="dxa"/>
            <w:gridSpan w:val="2"/>
            <w:shd w:val="clear" w:color="auto" w:fill="auto"/>
            <w:tcMar>
              <w:top w:w="0" w:type="dxa"/>
              <w:left w:w="108" w:type="dxa"/>
              <w:bottom w:w="0" w:type="dxa"/>
              <w:right w:w="108" w:type="dxa"/>
            </w:tcMar>
          </w:tcPr>
          <w:p w:rsidR="008B2F73" w:rsidRPr="000759A1" w:rsidRDefault="008B2F73" w:rsidP="00CF26FE">
            <w:pPr>
              <w:pStyle w:val="Tabletext"/>
              <w:jc w:val="center"/>
            </w:pPr>
            <w:r w:rsidRPr="000759A1">
              <w:t>Ninguna</w:t>
            </w:r>
          </w:p>
        </w:tc>
      </w:tr>
    </w:tbl>
    <w:p w:rsidR="008B2F73" w:rsidRPr="000759A1" w:rsidRDefault="008B2F73" w:rsidP="008B2F73">
      <w:pPr>
        <w:pStyle w:val="Tablefin"/>
        <w:rPr>
          <w:lang w:val="es-ES_tradnl" w:eastAsia="zh-CN"/>
        </w:rPr>
      </w:pPr>
    </w:p>
    <w:p w:rsidR="008B2F73" w:rsidRPr="000759A1" w:rsidRDefault="008B2F73" w:rsidP="008B2F73">
      <w:pPr>
        <w:pStyle w:val="Headingi"/>
      </w:pPr>
      <w:r w:rsidRPr="000759A1">
        <w:t>Notas al Cuadro 2:</w:t>
      </w:r>
    </w:p>
    <w:p w:rsidR="008B2F73" w:rsidRPr="008B2F73" w:rsidRDefault="008B2F73" w:rsidP="008B2F73">
      <w:pPr>
        <w:pStyle w:val="Note"/>
        <w:rPr>
          <w:szCs w:val="22"/>
          <w:lang w:val="es-ES_tradnl"/>
        </w:rPr>
      </w:pPr>
      <w:r w:rsidRPr="008B2F73">
        <w:rPr>
          <w:szCs w:val="22"/>
          <w:lang w:val="es-ES_tradnl"/>
        </w:rPr>
        <w:t>NOTA 1 – El número de disposiciones de frecuencias del Cuadro 2 indica que las administraciones han tenido que acomodar las operaciones existentes al mismo tiempo que, por ejemplo, una estructura de enlace ascendente/descendente común (enlace ascendente en los 10 MHz inferiores, enlace descendente en los 10 MHz superiores) para las disposiciones FDD.</w:t>
      </w:r>
    </w:p>
    <w:p w:rsidR="008B2F73" w:rsidRPr="008B2F73" w:rsidRDefault="008B2F73" w:rsidP="008B2F73">
      <w:pPr>
        <w:pStyle w:val="Note"/>
        <w:rPr>
          <w:szCs w:val="22"/>
          <w:lang w:val="es-ES_tradnl"/>
        </w:rPr>
      </w:pPr>
      <w:r w:rsidRPr="008B2F73">
        <w:rPr>
          <w:szCs w:val="22"/>
          <w:lang w:val="es-ES_tradnl"/>
        </w:rPr>
        <w:t>NOTA 2 – Las administraciones que disponen de toda la banda 450-470 MHz para las IMT pueden utilizar las disposiciones D7, D8 y D9. La disposición D8 también puede servir para las administraciones que sólo disponen de una parte de la banda para las IMT.</w:t>
      </w:r>
    </w:p>
    <w:p w:rsidR="008B2F73" w:rsidRPr="008B2F73" w:rsidRDefault="008B2F73" w:rsidP="008B2F73">
      <w:pPr>
        <w:pStyle w:val="FigureNo"/>
        <w:rPr>
          <w:lang w:val="es-ES_tradnl" w:eastAsia="zh-CN"/>
        </w:rPr>
      </w:pPr>
      <w:r w:rsidRPr="008B2F73">
        <w:rPr>
          <w:lang w:val="es-ES_tradnl"/>
        </w:rPr>
        <w:lastRenderedPageBreak/>
        <w:t xml:space="preserve">FIGURA 2 </w:t>
      </w:r>
      <w:r w:rsidRPr="008B2F73">
        <w:rPr>
          <w:lang w:val="es-ES_tradnl"/>
        </w:rPr>
        <w:br/>
        <w:t>(</w:t>
      </w:r>
      <w:r w:rsidRPr="008B2F73">
        <w:rPr>
          <w:caps w:val="0"/>
          <w:lang w:val="es-ES_tradnl"/>
        </w:rPr>
        <w:t>Véanse las Notas al Cuadro 2</w:t>
      </w:r>
      <w:r w:rsidRPr="008B2F73">
        <w:rPr>
          <w:lang w:val="es-ES_tradnl"/>
        </w:rPr>
        <w:t>)</w:t>
      </w:r>
    </w:p>
    <w:p w:rsidR="008B2F73" w:rsidRPr="000759A1" w:rsidRDefault="008B2F73" w:rsidP="008B2F73">
      <w:pPr>
        <w:pStyle w:val="Figure"/>
      </w:pPr>
      <w:r w:rsidRPr="000759A1">
        <w:rPr>
          <w:noProof/>
          <w:lang w:eastAsia="zh-CN"/>
        </w:rPr>
        <w:object w:dxaOrig="5522" w:dyaOrig="6167">
          <v:shape id="_x0000_i1026" type="#_x0000_t75" style="width:459.95pt;height:509.9pt" o:ole="">
            <v:imagedata r:id="rId15" o:title=""/>
          </v:shape>
          <o:OLEObject Type="Embed" ProgID="CorelDRAW.Graphic.14" ShapeID="_x0000_i1026" DrawAspect="Content" ObjectID="_1508224659" r:id="rId16"/>
        </w:object>
      </w:r>
    </w:p>
    <w:p w:rsidR="008B2F73" w:rsidRPr="000759A1" w:rsidRDefault="008B2F73" w:rsidP="008B2F73">
      <w:pPr>
        <w:suppressAutoHyphens/>
        <w:rPr>
          <w:lang w:eastAsia="zh-CN"/>
        </w:rPr>
      </w:pPr>
    </w:p>
    <w:p w:rsidR="008B2F73" w:rsidRPr="000759A1" w:rsidRDefault="008B2F73" w:rsidP="008B2F73">
      <w:r w:rsidRPr="000759A1">
        <w:br w:type="page"/>
      </w:r>
    </w:p>
    <w:p w:rsidR="008B2F73" w:rsidRPr="001F4FB5" w:rsidRDefault="0020614A" w:rsidP="0020614A">
      <w:pPr>
        <w:pStyle w:val="SectionNo"/>
        <w:jc w:val="center"/>
        <w:rPr>
          <w:rFonts w:eastAsia="MS Mincho"/>
          <w:sz w:val="28"/>
          <w:szCs w:val="28"/>
          <w:lang w:val="es-ES_tradnl"/>
        </w:rPr>
      </w:pPr>
      <w:r w:rsidRPr="001F4FB5">
        <w:rPr>
          <w:rFonts w:eastAsia="MS Mincho"/>
          <w:sz w:val="28"/>
          <w:szCs w:val="28"/>
          <w:lang w:val="es-ES_tradnl"/>
        </w:rPr>
        <w:lastRenderedPageBreak/>
        <w:t>SECCIÓN 2</w:t>
      </w:r>
    </w:p>
    <w:p w:rsidR="008B2F73" w:rsidRPr="008B2F73" w:rsidRDefault="008B2F73" w:rsidP="008B2F73">
      <w:pPr>
        <w:pStyle w:val="Sectiontitle"/>
        <w:rPr>
          <w:lang w:val="es-ES_tradnl"/>
        </w:rPr>
      </w:pPr>
      <w:r w:rsidRPr="008B2F73">
        <w:rPr>
          <w:rFonts w:eastAsia="MS Mincho"/>
          <w:lang w:val="es-ES_tradnl"/>
        </w:rPr>
        <w:t>Disposiciones de frecuencias en la banda 694-960 MHz</w:t>
      </w:r>
    </w:p>
    <w:p w:rsidR="008B2F73" w:rsidRPr="000759A1" w:rsidRDefault="008B2F73" w:rsidP="008B2F73">
      <w:pPr>
        <w:pStyle w:val="Normalaftertitle"/>
        <w:rPr>
          <w:lang w:val="es-ES_tradnl" w:eastAsia="zh-CN"/>
        </w:rPr>
      </w:pPr>
      <w:r w:rsidRPr="000759A1">
        <w:rPr>
          <w:lang w:val="es-ES_tradnl"/>
        </w:rPr>
        <w:t>Las disposiciones de frecuencias recomendadas para la implantación de las IMT en la banda 694</w:t>
      </w:r>
      <w:r w:rsidRPr="000759A1">
        <w:rPr>
          <w:lang w:val="es-ES_tradnl"/>
        </w:rPr>
        <w:noBreakHyphen/>
        <w:t>960 MHz se resumen en el Cuadro 3 y en la Fig. 3, considerando las directrices del Anexo 1.</w:t>
      </w:r>
    </w:p>
    <w:p w:rsidR="008B2F73" w:rsidRPr="008B2F73" w:rsidRDefault="008B2F73" w:rsidP="008B2F73">
      <w:pPr>
        <w:pStyle w:val="TableNo"/>
        <w:rPr>
          <w:lang w:val="es-ES_tradnl"/>
        </w:rPr>
      </w:pPr>
      <w:r w:rsidRPr="008B2F73">
        <w:rPr>
          <w:lang w:val="es-ES_tradnl"/>
        </w:rPr>
        <w:t>CUADRO 3</w:t>
      </w:r>
    </w:p>
    <w:p w:rsidR="008B2F73" w:rsidRPr="008B2F73" w:rsidRDefault="008B2F73" w:rsidP="008B2F73">
      <w:pPr>
        <w:pStyle w:val="Tabletitle"/>
        <w:rPr>
          <w:lang w:val="es-ES_tradnl" w:eastAsia="zh-CN"/>
        </w:rPr>
      </w:pPr>
      <w:r w:rsidRPr="008B2F73">
        <w:rPr>
          <w:lang w:val="es-ES_tradnl"/>
        </w:rPr>
        <w:t>Disposiciones apareadas de frecuencias en la banda 694-960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515"/>
        <w:gridCol w:w="1379"/>
        <w:gridCol w:w="1515"/>
        <w:gridCol w:w="1652"/>
      </w:tblGrid>
      <w:tr w:rsidR="008B2F73" w:rsidRPr="008B2F73" w:rsidTr="00CF26FE">
        <w:trPr>
          <w:jc w:val="center"/>
        </w:trPr>
        <w:tc>
          <w:tcPr>
            <w:tcW w:w="1789" w:type="dxa"/>
            <w:vMerge w:val="restart"/>
            <w:vAlign w:val="center"/>
          </w:tcPr>
          <w:p w:rsidR="008B2F73" w:rsidRPr="000759A1" w:rsidRDefault="008B2F73" w:rsidP="00CF26FE">
            <w:pPr>
              <w:pStyle w:val="Tablehead"/>
            </w:pPr>
            <w:r w:rsidRPr="000759A1">
              <w:t>Disposiciones de frecuencias</w:t>
            </w:r>
          </w:p>
        </w:tc>
        <w:tc>
          <w:tcPr>
            <w:tcW w:w="6198" w:type="dxa"/>
            <w:gridSpan w:val="4"/>
            <w:vAlign w:val="center"/>
          </w:tcPr>
          <w:p w:rsidR="008B2F73" w:rsidRPr="000759A1" w:rsidRDefault="008B2F73" w:rsidP="00CF26FE">
            <w:pPr>
              <w:pStyle w:val="Tablehead"/>
              <w:rPr>
                <w:bCs/>
              </w:rPr>
            </w:pPr>
            <w:r w:rsidRPr="000759A1">
              <w:rPr>
                <w:bCs/>
              </w:rPr>
              <w:t>Disposiciones apareadas</w:t>
            </w:r>
          </w:p>
        </w:tc>
        <w:tc>
          <w:tcPr>
            <w:tcW w:w="1652" w:type="dxa"/>
            <w:vMerge w:val="restart"/>
            <w:vAlign w:val="center"/>
          </w:tcPr>
          <w:p w:rsidR="008B2F73" w:rsidRPr="008B2F73" w:rsidRDefault="008B2F73" w:rsidP="00CF26FE">
            <w:pPr>
              <w:pStyle w:val="Tablehead"/>
              <w:rPr>
                <w:lang w:val="es-ES_tradnl"/>
              </w:rPr>
            </w:pPr>
            <w:r w:rsidRPr="008B2F73">
              <w:rPr>
                <w:lang w:val="es-ES_tradnl"/>
              </w:rPr>
              <w:t>Disposiciones no apareadas (por ejemplo para TDD)</w:t>
            </w:r>
            <w:r w:rsidRPr="008B2F73">
              <w:rPr>
                <w:lang w:val="es-ES_tradnl"/>
              </w:rPr>
              <w:br/>
              <w:t>(MHz)</w:t>
            </w:r>
          </w:p>
        </w:tc>
      </w:tr>
      <w:tr w:rsidR="008B2F73" w:rsidRPr="000759A1" w:rsidTr="00CF26FE">
        <w:trPr>
          <w:jc w:val="center"/>
        </w:trPr>
        <w:tc>
          <w:tcPr>
            <w:tcW w:w="1789" w:type="dxa"/>
            <w:vMerge/>
            <w:vAlign w:val="center"/>
          </w:tcPr>
          <w:p w:rsidR="008B2F73" w:rsidRPr="008B2F73" w:rsidRDefault="008B2F73" w:rsidP="00CF26FE">
            <w:pPr>
              <w:pStyle w:val="Tablehead"/>
              <w:rPr>
                <w:lang w:val="es-ES_tradnl"/>
              </w:rPr>
            </w:pPr>
          </w:p>
        </w:tc>
        <w:tc>
          <w:tcPr>
            <w:tcW w:w="1789" w:type="dxa"/>
            <w:vAlign w:val="center"/>
          </w:tcPr>
          <w:p w:rsidR="008B2F73" w:rsidRPr="000759A1" w:rsidRDefault="008B2F73" w:rsidP="00CF26FE">
            <w:pPr>
              <w:pStyle w:val="Tablehead"/>
              <w:rPr>
                <w:caps/>
              </w:rPr>
            </w:pPr>
            <w:r w:rsidRPr="000759A1">
              <w:t xml:space="preserve">Estación móvil transmisora </w:t>
            </w:r>
            <w:r w:rsidRPr="000759A1">
              <w:br/>
              <w:t>(MHz)</w:t>
            </w:r>
          </w:p>
        </w:tc>
        <w:tc>
          <w:tcPr>
            <w:tcW w:w="1515" w:type="dxa"/>
            <w:vAlign w:val="center"/>
          </w:tcPr>
          <w:p w:rsidR="008B2F73" w:rsidRPr="000759A1" w:rsidRDefault="008B2F73" w:rsidP="00CF26FE">
            <w:pPr>
              <w:pStyle w:val="Tablehead"/>
              <w:rPr>
                <w:caps/>
              </w:rPr>
            </w:pPr>
            <w:r w:rsidRPr="000759A1">
              <w:t>Separación central (MHz)</w:t>
            </w:r>
          </w:p>
        </w:tc>
        <w:tc>
          <w:tcPr>
            <w:tcW w:w="1379" w:type="dxa"/>
            <w:vAlign w:val="center"/>
          </w:tcPr>
          <w:p w:rsidR="008B2F73" w:rsidRPr="008B2F73" w:rsidRDefault="008B2F73" w:rsidP="00CF26FE">
            <w:pPr>
              <w:pStyle w:val="Tablehead"/>
              <w:rPr>
                <w:caps/>
                <w:lang w:val="es-ES_tradnl"/>
              </w:rPr>
            </w:pPr>
            <w:r w:rsidRPr="008B2F73">
              <w:rPr>
                <w:lang w:val="es-ES_tradnl"/>
              </w:rPr>
              <w:t>Estación de base transmisora</w:t>
            </w:r>
            <w:r w:rsidRPr="008B2F73">
              <w:rPr>
                <w:lang w:val="es-ES_tradnl"/>
              </w:rPr>
              <w:br/>
              <w:t>(MHz)</w:t>
            </w:r>
          </w:p>
        </w:tc>
        <w:tc>
          <w:tcPr>
            <w:tcW w:w="1515" w:type="dxa"/>
            <w:vAlign w:val="center"/>
          </w:tcPr>
          <w:p w:rsidR="008B2F73" w:rsidRPr="000759A1" w:rsidRDefault="008B2F73" w:rsidP="00CF26FE">
            <w:pPr>
              <w:pStyle w:val="Tablehead"/>
            </w:pPr>
            <w:r w:rsidRPr="000759A1">
              <w:t>Separación dúplex</w:t>
            </w:r>
            <w:r w:rsidRPr="000759A1">
              <w:br/>
              <w:t>(MHz)</w:t>
            </w:r>
          </w:p>
        </w:tc>
        <w:tc>
          <w:tcPr>
            <w:tcW w:w="1652" w:type="dxa"/>
            <w:vMerge/>
            <w:vAlign w:val="center"/>
          </w:tcPr>
          <w:p w:rsidR="008B2F73" w:rsidRPr="000759A1" w:rsidRDefault="008B2F73" w:rsidP="00CF26FE">
            <w:pPr>
              <w:pStyle w:val="Tablehead"/>
            </w:pPr>
          </w:p>
        </w:tc>
      </w:tr>
      <w:tr w:rsidR="008B2F73" w:rsidRPr="000759A1" w:rsidTr="00CF26FE">
        <w:trPr>
          <w:jc w:val="center"/>
        </w:trPr>
        <w:tc>
          <w:tcPr>
            <w:tcW w:w="1789" w:type="dxa"/>
          </w:tcPr>
          <w:p w:rsidR="008B2F73" w:rsidRPr="000759A1" w:rsidRDefault="008B2F73" w:rsidP="00CF26FE">
            <w:pPr>
              <w:pStyle w:val="Tabletext"/>
              <w:keepNext/>
              <w:keepLines/>
              <w:jc w:val="center"/>
            </w:pPr>
            <w:r w:rsidRPr="000759A1">
              <w:t>A1</w:t>
            </w:r>
          </w:p>
        </w:tc>
        <w:tc>
          <w:tcPr>
            <w:tcW w:w="1789" w:type="dxa"/>
          </w:tcPr>
          <w:p w:rsidR="008B2F73" w:rsidRPr="000759A1" w:rsidRDefault="008B2F73" w:rsidP="00CF26FE">
            <w:pPr>
              <w:pStyle w:val="Tabletext"/>
              <w:keepNext/>
              <w:keepLines/>
              <w:jc w:val="center"/>
            </w:pPr>
            <w:r w:rsidRPr="000759A1">
              <w:t>824-849</w:t>
            </w:r>
          </w:p>
        </w:tc>
        <w:tc>
          <w:tcPr>
            <w:tcW w:w="1515" w:type="dxa"/>
          </w:tcPr>
          <w:p w:rsidR="008B2F73" w:rsidRPr="000759A1" w:rsidRDefault="008B2F73" w:rsidP="00CF26FE">
            <w:pPr>
              <w:pStyle w:val="Tabletext"/>
              <w:keepNext/>
              <w:keepLines/>
              <w:jc w:val="center"/>
            </w:pPr>
            <w:r w:rsidRPr="000759A1">
              <w:t>20</w:t>
            </w:r>
          </w:p>
        </w:tc>
        <w:tc>
          <w:tcPr>
            <w:tcW w:w="1379" w:type="dxa"/>
          </w:tcPr>
          <w:p w:rsidR="008B2F73" w:rsidRPr="000759A1" w:rsidRDefault="008B2F73" w:rsidP="00CF26FE">
            <w:pPr>
              <w:pStyle w:val="Tabletext"/>
              <w:keepNext/>
              <w:keepLines/>
              <w:jc w:val="center"/>
            </w:pPr>
            <w:r w:rsidRPr="000759A1">
              <w:t>869-894</w:t>
            </w:r>
          </w:p>
        </w:tc>
        <w:tc>
          <w:tcPr>
            <w:tcW w:w="1515" w:type="dxa"/>
          </w:tcPr>
          <w:p w:rsidR="008B2F73" w:rsidRPr="000759A1" w:rsidRDefault="008B2F73" w:rsidP="00CF26FE">
            <w:pPr>
              <w:pStyle w:val="Tabletext"/>
              <w:keepNext/>
              <w:keepLines/>
              <w:jc w:val="center"/>
            </w:pPr>
            <w:r w:rsidRPr="000759A1">
              <w:t>45</w:t>
            </w:r>
          </w:p>
        </w:tc>
        <w:tc>
          <w:tcPr>
            <w:tcW w:w="1652" w:type="dxa"/>
          </w:tcPr>
          <w:p w:rsidR="008B2F73" w:rsidRPr="000759A1" w:rsidRDefault="008B2F73" w:rsidP="00CF26FE">
            <w:pPr>
              <w:pStyle w:val="Tabletext"/>
              <w:keepNext/>
              <w:keepLines/>
              <w:jc w:val="center"/>
            </w:pPr>
            <w:r w:rsidRPr="000759A1">
              <w:t>Ninguna</w:t>
            </w:r>
          </w:p>
        </w:tc>
      </w:tr>
      <w:tr w:rsidR="008B2F73" w:rsidRPr="000759A1" w:rsidTr="00CF26FE">
        <w:trPr>
          <w:jc w:val="center"/>
        </w:trPr>
        <w:tc>
          <w:tcPr>
            <w:tcW w:w="1789" w:type="dxa"/>
          </w:tcPr>
          <w:p w:rsidR="008B2F73" w:rsidRPr="000759A1" w:rsidRDefault="008B2F73" w:rsidP="00CF26FE">
            <w:pPr>
              <w:pStyle w:val="Tabletext"/>
              <w:jc w:val="center"/>
            </w:pPr>
            <w:r w:rsidRPr="000759A1">
              <w:t>A2</w:t>
            </w:r>
          </w:p>
        </w:tc>
        <w:tc>
          <w:tcPr>
            <w:tcW w:w="1789" w:type="dxa"/>
          </w:tcPr>
          <w:p w:rsidR="008B2F73" w:rsidRPr="000759A1" w:rsidRDefault="008B2F73" w:rsidP="00CF26FE">
            <w:pPr>
              <w:pStyle w:val="Tabletext"/>
              <w:jc w:val="center"/>
            </w:pPr>
            <w:r w:rsidRPr="000759A1">
              <w:t>880-915</w:t>
            </w:r>
          </w:p>
        </w:tc>
        <w:tc>
          <w:tcPr>
            <w:tcW w:w="1515" w:type="dxa"/>
          </w:tcPr>
          <w:p w:rsidR="008B2F73" w:rsidRPr="000759A1" w:rsidRDefault="008B2F73" w:rsidP="00CF26FE">
            <w:pPr>
              <w:pStyle w:val="Tabletext"/>
              <w:jc w:val="center"/>
            </w:pPr>
            <w:r w:rsidRPr="000759A1">
              <w:t>10</w:t>
            </w:r>
          </w:p>
        </w:tc>
        <w:tc>
          <w:tcPr>
            <w:tcW w:w="1379" w:type="dxa"/>
          </w:tcPr>
          <w:p w:rsidR="008B2F73" w:rsidRPr="000759A1" w:rsidRDefault="008B2F73" w:rsidP="00CF26FE">
            <w:pPr>
              <w:pStyle w:val="Tabletext"/>
              <w:jc w:val="center"/>
            </w:pPr>
            <w:r w:rsidRPr="000759A1">
              <w:t>925-960</w:t>
            </w:r>
          </w:p>
        </w:tc>
        <w:tc>
          <w:tcPr>
            <w:tcW w:w="1515" w:type="dxa"/>
          </w:tcPr>
          <w:p w:rsidR="008B2F73" w:rsidRPr="000759A1" w:rsidRDefault="008B2F73" w:rsidP="00CF26FE">
            <w:pPr>
              <w:pStyle w:val="Tabletext"/>
              <w:jc w:val="center"/>
            </w:pPr>
            <w:r w:rsidRPr="000759A1">
              <w:t>45</w:t>
            </w:r>
          </w:p>
        </w:tc>
        <w:tc>
          <w:tcPr>
            <w:tcW w:w="1652" w:type="dxa"/>
          </w:tcPr>
          <w:p w:rsidR="008B2F73" w:rsidRPr="000759A1" w:rsidRDefault="008B2F73" w:rsidP="00CF26FE">
            <w:pPr>
              <w:pStyle w:val="Tabletext"/>
              <w:jc w:val="center"/>
            </w:pPr>
            <w:r w:rsidRPr="000759A1">
              <w:t>Ninguna</w:t>
            </w:r>
          </w:p>
        </w:tc>
      </w:tr>
      <w:tr w:rsidR="008B2F73" w:rsidRPr="000759A1" w:rsidTr="00CF26FE">
        <w:trPr>
          <w:jc w:val="center"/>
        </w:trPr>
        <w:tc>
          <w:tcPr>
            <w:tcW w:w="1789" w:type="dxa"/>
          </w:tcPr>
          <w:p w:rsidR="008B2F73" w:rsidRPr="000759A1" w:rsidRDefault="008B2F73" w:rsidP="00CF26FE">
            <w:pPr>
              <w:pStyle w:val="Tabletext"/>
              <w:jc w:val="center"/>
            </w:pPr>
            <w:r w:rsidRPr="000759A1">
              <w:t>A3</w:t>
            </w:r>
          </w:p>
        </w:tc>
        <w:tc>
          <w:tcPr>
            <w:tcW w:w="1789" w:type="dxa"/>
          </w:tcPr>
          <w:p w:rsidR="008B2F73" w:rsidRPr="000759A1" w:rsidRDefault="008B2F73" w:rsidP="00CF26FE">
            <w:pPr>
              <w:pStyle w:val="Tabletext"/>
              <w:jc w:val="center"/>
            </w:pPr>
            <w:r w:rsidRPr="000759A1">
              <w:t>832-862</w:t>
            </w:r>
          </w:p>
        </w:tc>
        <w:tc>
          <w:tcPr>
            <w:tcW w:w="1515" w:type="dxa"/>
          </w:tcPr>
          <w:p w:rsidR="008B2F73" w:rsidRPr="000759A1" w:rsidRDefault="008B2F73" w:rsidP="00CF26FE">
            <w:pPr>
              <w:pStyle w:val="Tabletext"/>
              <w:jc w:val="center"/>
            </w:pPr>
            <w:r w:rsidRPr="000759A1">
              <w:t>11</w:t>
            </w:r>
          </w:p>
        </w:tc>
        <w:tc>
          <w:tcPr>
            <w:tcW w:w="1379" w:type="dxa"/>
          </w:tcPr>
          <w:p w:rsidR="008B2F73" w:rsidRPr="000759A1" w:rsidRDefault="008B2F73" w:rsidP="00CF26FE">
            <w:pPr>
              <w:pStyle w:val="Tabletext"/>
              <w:jc w:val="center"/>
            </w:pPr>
            <w:r w:rsidRPr="000759A1">
              <w:t>791-821</w:t>
            </w:r>
          </w:p>
        </w:tc>
        <w:tc>
          <w:tcPr>
            <w:tcW w:w="1515" w:type="dxa"/>
          </w:tcPr>
          <w:p w:rsidR="008B2F73" w:rsidRPr="000759A1" w:rsidRDefault="008B2F73" w:rsidP="00CF26FE">
            <w:pPr>
              <w:pStyle w:val="Tabletext"/>
              <w:jc w:val="center"/>
            </w:pPr>
            <w:r w:rsidRPr="000759A1">
              <w:t>41</w:t>
            </w:r>
          </w:p>
        </w:tc>
        <w:tc>
          <w:tcPr>
            <w:tcW w:w="1652" w:type="dxa"/>
          </w:tcPr>
          <w:p w:rsidR="008B2F73" w:rsidRPr="000759A1" w:rsidRDefault="008B2F73" w:rsidP="00CF26FE">
            <w:pPr>
              <w:pStyle w:val="Tabletext"/>
              <w:jc w:val="center"/>
            </w:pPr>
            <w:r w:rsidRPr="000759A1">
              <w:t>Ninguna</w:t>
            </w:r>
          </w:p>
        </w:tc>
      </w:tr>
      <w:tr w:rsidR="008B2F73" w:rsidRPr="000759A1" w:rsidTr="00CF26FE">
        <w:trPr>
          <w:jc w:val="center"/>
        </w:trPr>
        <w:tc>
          <w:tcPr>
            <w:tcW w:w="1789" w:type="dxa"/>
          </w:tcPr>
          <w:p w:rsidR="008B2F73" w:rsidRPr="000759A1" w:rsidRDefault="008B2F73" w:rsidP="00CF26FE">
            <w:pPr>
              <w:pStyle w:val="Tabletext"/>
              <w:jc w:val="center"/>
            </w:pPr>
            <w:r w:rsidRPr="000759A1">
              <w:t>A4</w:t>
            </w:r>
          </w:p>
        </w:tc>
        <w:tc>
          <w:tcPr>
            <w:tcW w:w="1789" w:type="dxa"/>
          </w:tcPr>
          <w:p w:rsidR="008B2F73" w:rsidRPr="000759A1" w:rsidRDefault="008B2F73" w:rsidP="00CF26FE">
            <w:pPr>
              <w:pStyle w:val="Tabletext"/>
              <w:jc w:val="center"/>
            </w:pPr>
            <w:r w:rsidRPr="000759A1">
              <w:t>698-716</w:t>
            </w:r>
            <w:r w:rsidRPr="000759A1">
              <w:br/>
              <w:t>776-793</w:t>
            </w:r>
          </w:p>
        </w:tc>
        <w:tc>
          <w:tcPr>
            <w:tcW w:w="1515" w:type="dxa"/>
          </w:tcPr>
          <w:p w:rsidR="008B2F73" w:rsidRPr="000759A1" w:rsidRDefault="008B2F73" w:rsidP="00CF26FE">
            <w:pPr>
              <w:pStyle w:val="Tabletext"/>
              <w:jc w:val="center"/>
            </w:pPr>
            <w:r w:rsidRPr="000759A1">
              <w:t>12</w:t>
            </w:r>
            <w:r w:rsidRPr="000759A1">
              <w:br/>
              <w:t>13</w:t>
            </w:r>
          </w:p>
        </w:tc>
        <w:tc>
          <w:tcPr>
            <w:tcW w:w="1379" w:type="dxa"/>
          </w:tcPr>
          <w:p w:rsidR="008B2F73" w:rsidRPr="000759A1" w:rsidRDefault="008B2F73" w:rsidP="00CF26FE">
            <w:pPr>
              <w:pStyle w:val="Tabletext"/>
              <w:jc w:val="center"/>
            </w:pPr>
            <w:r w:rsidRPr="000759A1">
              <w:t>728-746</w:t>
            </w:r>
            <w:r w:rsidRPr="000759A1">
              <w:br/>
              <w:t>746-763</w:t>
            </w:r>
          </w:p>
        </w:tc>
        <w:tc>
          <w:tcPr>
            <w:tcW w:w="1515" w:type="dxa"/>
          </w:tcPr>
          <w:p w:rsidR="008B2F73" w:rsidRPr="000759A1" w:rsidRDefault="008B2F73" w:rsidP="00CF26FE">
            <w:pPr>
              <w:pStyle w:val="Tabletext"/>
              <w:jc w:val="center"/>
            </w:pPr>
            <w:r w:rsidRPr="000759A1">
              <w:t>30</w:t>
            </w:r>
            <w:r w:rsidRPr="000759A1">
              <w:br/>
              <w:t>30</w:t>
            </w:r>
          </w:p>
        </w:tc>
        <w:tc>
          <w:tcPr>
            <w:tcW w:w="1652" w:type="dxa"/>
          </w:tcPr>
          <w:p w:rsidR="008B2F73" w:rsidRPr="000759A1" w:rsidRDefault="008B2F73" w:rsidP="00CF26FE">
            <w:pPr>
              <w:pStyle w:val="Tabletext"/>
              <w:jc w:val="center"/>
            </w:pPr>
            <w:r w:rsidRPr="000759A1">
              <w:t>716-728</w:t>
            </w:r>
          </w:p>
        </w:tc>
      </w:tr>
      <w:tr w:rsidR="008B2F73" w:rsidRPr="000759A1" w:rsidTr="00CF26FE">
        <w:trPr>
          <w:jc w:val="center"/>
        </w:trPr>
        <w:tc>
          <w:tcPr>
            <w:tcW w:w="1789" w:type="dxa"/>
          </w:tcPr>
          <w:p w:rsidR="008B2F73" w:rsidRPr="000759A1" w:rsidRDefault="008B2F73" w:rsidP="00CF26FE">
            <w:pPr>
              <w:pStyle w:val="Tabletext"/>
              <w:jc w:val="center"/>
            </w:pPr>
            <w:r w:rsidRPr="000759A1">
              <w:t>A5</w:t>
            </w:r>
          </w:p>
        </w:tc>
        <w:tc>
          <w:tcPr>
            <w:tcW w:w="1789" w:type="dxa"/>
          </w:tcPr>
          <w:p w:rsidR="008B2F73" w:rsidRPr="000759A1" w:rsidRDefault="008B2F73" w:rsidP="00CF26FE">
            <w:pPr>
              <w:pStyle w:val="Tabletext"/>
              <w:jc w:val="center"/>
            </w:pPr>
            <w:r w:rsidRPr="000759A1">
              <w:t>703-748</w:t>
            </w:r>
          </w:p>
        </w:tc>
        <w:tc>
          <w:tcPr>
            <w:tcW w:w="1515" w:type="dxa"/>
          </w:tcPr>
          <w:p w:rsidR="008B2F73" w:rsidRPr="000759A1" w:rsidRDefault="008B2F73" w:rsidP="00CF26FE">
            <w:pPr>
              <w:pStyle w:val="Tabletext"/>
              <w:jc w:val="center"/>
            </w:pPr>
            <w:r w:rsidRPr="000759A1">
              <w:t>10</w:t>
            </w:r>
          </w:p>
        </w:tc>
        <w:tc>
          <w:tcPr>
            <w:tcW w:w="1379" w:type="dxa"/>
          </w:tcPr>
          <w:p w:rsidR="008B2F73" w:rsidRPr="000759A1" w:rsidRDefault="008B2F73" w:rsidP="00CF26FE">
            <w:pPr>
              <w:pStyle w:val="Tabletext"/>
              <w:jc w:val="center"/>
            </w:pPr>
            <w:r w:rsidRPr="000759A1">
              <w:t>758-803</w:t>
            </w:r>
          </w:p>
        </w:tc>
        <w:tc>
          <w:tcPr>
            <w:tcW w:w="1515" w:type="dxa"/>
          </w:tcPr>
          <w:p w:rsidR="008B2F73" w:rsidRPr="000759A1" w:rsidRDefault="008B2F73" w:rsidP="00CF26FE">
            <w:pPr>
              <w:pStyle w:val="Tabletext"/>
              <w:jc w:val="center"/>
            </w:pPr>
            <w:r w:rsidRPr="000759A1">
              <w:t>55</w:t>
            </w:r>
          </w:p>
        </w:tc>
        <w:tc>
          <w:tcPr>
            <w:tcW w:w="1652" w:type="dxa"/>
          </w:tcPr>
          <w:p w:rsidR="008B2F73" w:rsidRPr="000759A1" w:rsidRDefault="008B2F73" w:rsidP="00CF26FE">
            <w:pPr>
              <w:pStyle w:val="Tabletext"/>
              <w:jc w:val="center"/>
            </w:pPr>
            <w:r w:rsidRPr="000759A1">
              <w:t>Ninguna</w:t>
            </w:r>
          </w:p>
        </w:tc>
      </w:tr>
      <w:tr w:rsidR="008B2F73" w:rsidRPr="000759A1" w:rsidTr="00CF26FE">
        <w:trPr>
          <w:jc w:val="center"/>
        </w:trPr>
        <w:tc>
          <w:tcPr>
            <w:tcW w:w="1789" w:type="dxa"/>
          </w:tcPr>
          <w:p w:rsidR="008B2F73" w:rsidRPr="000759A1" w:rsidRDefault="008B2F73" w:rsidP="00CF26FE">
            <w:pPr>
              <w:pStyle w:val="Tabletext"/>
              <w:jc w:val="center"/>
            </w:pPr>
            <w:r w:rsidRPr="000759A1">
              <w:t>A6</w:t>
            </w:r>
          </w:p>
        </w:tc>
        <w:tc>
          <w:tcPr>
            <w:tcW w:w="1789" w:type="dxa"/>
          </w:tcPr>
          <w:p w:rsidR="008B2F73" w:rsidRPr="000759A1" w:rsidRDefault="008B2F73" w:rsidP="00CF26FE">
            <w:pPr>
              <w:pStyle w:val="Tabletext"/>
              <w:jc w:val="center"/>
            </w:pPr>
            <w:r w:rsidRPr="000759A1">
              <w:t>Ninguna</w:t>
            </w:r>
          </w:p>
        </w:tc>
        <w:tc>
          <w:tcPr>
            <w:tcW w:w="1515" w:type="dxa"/>
          </w:tcPr>
          <w:p w:rsidR="008B2F73" w:rsidRPr="000759A1" w:rsidRDefault="008B2F73" w:rsidP="00CF26FE">
            <w:pPr>
              <w:pStyle w:val="Tabletext"/>
              <w:jc w:val="center"/>
            </w:pPr>
            <w:r w:rsidRPr="000759A1">
              <w:t>Ninguna</w:t>
            </w:r>
          </w:p>
        </w:tc>
        <w:tc>
          <w:tcPr>
            <w:tcW w:w="1379" w:type="dxa"/>
          </w:tcPr>
          <w:p w:rsidR="008B2F73" w:rsidRPr="000759A1" w:rsidRDefault="008B2F73" w:rsidP="00CF26FE">
            <w:pPr>
              <w:pStyle w:val="Tabletext"/>
              <w:jc w:val="center"/>
            </w:pPr>
            <w:r w:rsidRPr="000759A1">
              <w:t>Ninguna</w:t>
            </w:r>
          </w:p>
        </w:tc>
        <w:tc>
          <w:tcPr>
            <w:tcW w:w="1515" w:type="dxa"/>
          </w:tcPr>
          <w:p w:rsidR="008B2F73" w:rsidRPr="000759A1" w:rsidRDefault="008B2F73" w:rsidP="00CF26FE">
            <w:pPr>
              <w:pStyle w:val="Tabletext"/>
              <w:jc w:val="center"/>
            </w:pPr>
          </w:p>
        </w:tc>
        <w:tc>
          <w:tcPr>
            <w:tcW w:w="1652" w:type="dxa"/>
          </w:tcPr>
          <w:p w:rsidR="008B2F73" w:rsidRPr="000759A1" w:rsidRDefault="008B2F73" w:rsidP="00CF26FE">
            <w:pPr>
              <w:pStyle w:val="Tabletext"/>
              <w:jc w:val="center"/>
            </w:pPr>
            <w:r w:rsidRPr="000759A1">
              <w:t>698-806</w:t>
            </w:r>
          </w:p>
        </w:tc>
      </w:tr>
      <w:tr w:rsidR="008B2F73" w:rsidRPr="000759A1" w:rsidTr="00CF26FE">
        <w:trPr>
          <w:jc w:val="center"/>
        </w:trPr>
        <w:tc>
          <w:tcPr>
            <w:tcW w:w="1789" w:type="dxa"/>
          </w:tcPr>
          <w:p w:rsidR="008B2F73" w:rsidRPr="000759A1" w:rsidRDefault="008B2F73" w:rsidP="00CF26FE">
            <w:pPr>
              <w:pStyle w:val="Tabletext"/>
              <w:jc w:val="center"/>
              <w:rPr>
                <w:b/>
              </w:rPr>
            </w:pPr>
            <w:r w:rsidRPr="000759A1">
              <w:t>A7</w:t>
            </w:r>
          </w:p>
        </w:tc>
        <w:tc>
          <w:tcPr>
            <w:tcW w:w="1789" w:type="dxa"/>
            <w:tcBorders>
              <w:bottom w:val="single" w:sz="4" w:space="0" w:color="auto"/>
            </w:tcBorders>
          </w:tcPr>
          <w:p w:rsidR="008B2F73" w:rsidRPr="000759A1" w:rsidRDefault="008B2F73" w:rsidP="00CF26FE">
            <w:pPr>
              <w:pStyle w:val="Tabletext"/>
              <w:jc w:val="center"/>
              <w:rPr>
                <w:b/>
              </w:rPr>
            </w:pPr>
            <w:r w:rsidRPr="000759A1">
              <w:t>703-733</w:t>
            </w:r>
          </w:p>
        </w:tc>
        <w:tc>
          <w:tcPr>
            <w:tcW w:w="1515" w:type="dxa"/>
            <w:tcBorders>
              <w:bottom w:val="single" w:sz="4" w:space="0" w:color="auto"/>
            </w:tcBorders>
          </w:tcPr>
          <w:p w:rsidR="008B2F73" w:rsidRPr="000759A1" w:rsidRDefault="008B2F73" w:rsidP="00CF26FE">
            <w:pPr>
              <w:pStyle w:val="Tabletext"/>
              <w:jc w:val="center"/>
              <w:rPr>
                <w:b/>
              </w:rPr>
            </w:pPr>
            <w:r w:rsidRPr="000759A1">
              <w:t>25</w:t>
            </w:r>
          </w:p>
        </w:tc>
        <w:tc>
          <w:tcPr>
            <w:tcW w:w="1379" w:type="dxa"/>
            <w:tcBorders>
              <w:bottom w:val="single" w:sz="4" w:space="0" w:color="auto"/>
            </w:tcBorders>
          </w:tcPr>
          <w:p w:rsidR="008B2F73" w:rsidRPr="000759A1" w:rsidRDefault="008B2F73" w:rsidP="00CF26FE">
            <w:pPr>
              <w:pStyle w:val="Tabletext"/>
              <w:jc w:val="center"/>
            </w:pPr>
            <w:r w:rsidRPr="000759A1">
              <w:t>758-788</w:t>
            </w:r>
          </w:p>
        </w:tc>
        <w:tc>
          <w:tcPr>
            <w:tcW w:w="1515" w:type="dxa"/>
            <w:tcBorders>
              <w:bottom w:val="single" w:sz="4" w:space="0" w:color="auto"/>
            </w:tcBorders>
          </w:tcPr>
          <w:p w:rsidR="008B2F73" w:rsidRPr="000759A1" w:rsidRDefault="008B2F73" w:rsidP="00CF26FE">
            <w:pPr>
              <w:pStyle w:val="Tabletext"/>
              <w:jc w:val="center"/>
              <w:rPr>
                <w:b/>
              </w:rPr>
            </w:pPr>
            <w:r w:rsidRPr="000759A1">
              <w:t>55</w:t>
            </w:r>
          </w:p>
        </w:tc>
        <w:tc>
          <w:tcPr>
            <w:tcW w:w="1652" w:type="dxa"/>
            <w:tcBorders>
              <w:bottom w:val="single" w:sz="4" w:space="0" w:color="auto"/>
            </w:tcBorders>
          </w:tcPr>
          <w:p w:rsidR="008B2F73" w:rsidRPr="000759A1" w:rsidRDefault="008B2F73" w:rsidP="00CF26FE">
            <w:pPr>
              <w:pStyle w:val="Tabletext"/>
              <w:jc w:val="center"/>
              <w:rPr>
                <w:lang w:eastAsia="zh-CN"/>
              </w:rPr>
            </w:pPr>
            <w:r w:rsidRPr="000759A1">
              <w:t>Ninguna</w:t>
            </w:r>
          </w:p>
        </w:tc>
      </w:tr>
      <w:tr w:rsidR="008B2F73" w:rsidRPr="000759A1" w:rsidTr="00CF26FE">
        <w:trPr>
          <w:jc w:val="center"/>
        </w:trPr>
        <w:tc>
          <w:tcPr>
            <w:tcW w:w="1789" w:type="dxa"/>
            <w:vAlign w:val="center"/>
          </w:tcPr>
          <w:p w:rsidR="008B2F73" w:rsidRPr="000759A1" w:rsidRDefault="008B2F73" w:rsidP="00CF26FE">
            <w:pPr>
              <w:pStyle w:val="Tabletext"/>
              <w:jc w:val="center"/>
            </w:pPr>
            <w:r w:rsidRPr="000759A1">
              <w:t>A8</w:t>
            </w:r>
          </w:p>
        </w:tc>
        <w:tc>
          <w:tcPr>
            <w:tcW w:w="1789" w:type="dxa"/>
            <w:vAlign w:val="center"/>
          </w:tcPr>
          <w:p w:rsidR="008B2F73" w:rsidRPr="000759A1" w:rsidRDefault="008B2F73" w:rsidP="00CF26FE">
            <w:pPr>
              <w:pStyle w:val="Tabletext"/>
              <w:jc w:val="center"/>
            </w:pPr>
            <w:r w:rsidRPr="000759A1">
              <w:t>698-703</w:t>
            </w:r>
          </w:p>
        </w:tc>
        <w:tc>
          <w:tcPr>
            <w:tcW w:w="1515" w:type="dxa"/>
            <w:vAlign w:val="center"/>
          </w:tcPr>
          <w:p w:rsidR="008B2F73" w:rsidRPr="000759A1" w:rsidRDefault="008B2F73" w:rsidP="00CF26FE">
            <w:pPr>
              <w:pStyle w:val="Tabletext"/>
              <w:jc w:val="center"/>
            </w:pPr>
            <w:r w:rsidRPr="000759A1">
              <w:t>50</w:t>
            </w:r>
          </w:p>
        </w:tc>
        <w:tc>
          <w:tcPr>
            <w:tcW w:w="1379" w:type="dxa"/>
            <w:vAlign w:val="center"/>
          </w:tcPr>
          <w:p w:rsidR="008B2F73" w:rsidRPr="000759A1" w:rsidRDefault="008B2F73" w:rsidP="00CF26FE">
            <w:pPr>
              <w:pStyle w:val="Tabletext"/>
              <w:jc w:val="center"/>
            </w:pPr>
            <w:r w:rsidRPr="000759A1">
              <w:t>753-758</w:t>
            </w:r>
          </w:p>
        </w:tc>
        <w:tc>
          <w:tcPr>
            <w:tcW w:w="1515" w:type="dxa"/>
            <w:vAlign w:val="center"/>
          </w:tcPr>
          <w:p w:rsidR="008B2F73" w:rsidRPr="000759A1" w:rsidRDefault="008B2F73" w:rsidP="00CF26FE">
            <w:pPr>
              <w:pStyle w:val="Tabletext"/>
              <w:jc w:val="center"/>
            </w:pPr>
            <w:r w:rsidRPr="000759A1">
              <w:t>55</w:t>
            </w:r>
          </w:p>
        </w:tc>
        <w:tc>
          <w:tcPr>
            <w:tcW w:w="1652" w:type="dxa"/>
            <w:vAlign w:val="center"/>
          </w:tcPr>
          <w:p w:rsidR="008B2F73" w:rsidRPr="000759A1" w:rsidRDefault="008B2F73" w:rsidP="00CF26FE">
            <w:pPr>
              <w:pStyle w:val="Tabletext"/>
              <w:jc w:val="center"/>
            </w:pPr>
            <w:r w:rsidRPr="000759A1">
              <w:t>Ninguna</w:t>
            </w:r>
          </w:p>
        </w:tc>
      </w:tr>
      <w:tr w:rsidR="008B2F73" w:rsidRPr="000759A1" w:rsidTr="00CF26FE">
        <w:trPr>
          <w:jc w:val="center"/>
        </w:trPr>
        <w:tc>
          <w:tcPr>
            <w:tcW w:w="1789" w:type="dxa"/>
            <w:tcBorders>
              <w:top w:val="single" w:sz="4" w:space="0" w:color="auto"/>
              <w:left w:val="single" w:sz="4" w:space="0" w:color="auto"/>
              <w:bottom w:val="single" w:sz="4" w:space="0" w:color="auto"/>
              <w:right w:val="single" w:sz="4" w:space="0" w:color="auto"/>
            </w:tcBorders>
          </w:tcPr>
          <w:p w:rsidR="008B2F73" w:rsidRPr="000759A1" w:rsidRDefault="008B2F73" w:rsidP="00CF26FE">
            <w:pPr>
              <w:pStyle w:val="Tabletext"/>
              <w:jc w:val="center"/>
              <w:rPr>
                <w:b/>
              </w:rPr>
            </w:pPr>
            <w:r w:rsidRPr="000759A1">
              <w:t>A9</w:t>
            </w:r>
          </w:p>
        </w:tc>
        <w:tc>
          <w:tcPr>
            <w:tcW w:w="1789" w:type="dxa"/>
            <w:tcBorders>
              <w:top w:val="single" w:sz="4" w:space="0" w:color="auto"/>
              <w:left w:val="single" w:sz="4" w:space="0" w:color="auto"/>
              <w:bottom w:val="single" w:sz="4" w:space="0" w:color="auto"/>
              <w:right w:val="single" w:sz="4" w:space="0" w:color="auto"/>
            </w:tcBorders>
          </w:tcPr>
          <w:p w:rsidR="008B2F73" w:rsidRPr="000759A1" w:rsidRDefault="008B2F73" w:rsidP="00CF26FE">
            <w:pPr>
              <w:pStyle w:val="Tabletext"/>
              <w:jc w:val="center"/>
              <w:rPr>
                <w:b/>
              </w:rPr>
            </w:pPr>
            <w:r w:rsidRPr="000759A1">
              <w:t>733-736</w:t>
            </w:r>
          </w:p>
        </w:tc>
        <w:tc>
          <w:tcPr>
            <w:tcW w:w="1515" w:type="dxa"/>
            <w:tcBorders>
              <w:top w:val="single" w:sz="4" w:space="0" w:color="auto"/>
              <w:left w:val="single" w:sz="4" w:space="0" w:color="auto"/>
              <w:bottom w:val="single" w:sz="4" w:space="0" w:color="auto"/>
              <w:right w:val="single" w:sz="4" w:space="0" w:color="auto"/>
            </w:tcBorders>
          </w:tcPr>
          <w:p w:rsidR="008B2F73" w:rsidRPr="000759A1" w:rsidRDefault="008B2F73" w:rsidP="00CF26FE">
            <w:pPr>
              <w:pStyle w:val="Tabletext"/>
              <w:jc w:val="center"/>
              <w:rPr>
                <w:b/>
              </w:rPr>
            </w:pPr>
            <w:r w:rsidRPr="000759A1">
              <w:t>52</w:t>
            </w:r>
          </w:p>
        </w:tc>
        <w:tc>
          <w:tcPr>
            <w:tcW w:w="1379" w:type="dxa"/>
            <w:tcBorders>
              <w:top w:val="single" w:sz="4" w:space="0" w:color="auto"/>
              <w:left w:val="single" w:sz="4" w:space="0" w:color="auto"/>
              <w:bottom w:val="single" w:sz="4" w:space="0" w:color="auto"/>
              <w:right w:val="single" w:sz="4" w:space="0" w:color="auto"/>
            </w:tcBorders>
          </w:tcPr>
          <w:p w:rsidR="008B2F73" w:rsidRPr="000759A1" w:rsidRDefault="008B2F73" w:rsidP="00CF26FE">
            <w:pPr>
              <w:pStyle w:val="Tabletext"/>
              <w:jc w:val="center"/>
              <w:rPr>
                <w:b/>
              </w:rPr>
            </w:pPr>
            <w:r w:rsidRPr="000759A1">
              <w:t>788-791</w:t>
            </w:r>
          </w:p>
        </w:tc>
        <w:tc>
          <w:tcPr>
            <w:tcW w:w="1515" w:type="dxa"/>
            <w:tcBorders>
              <w:top w:val="single" w:sz="4" w:space="0" w:color="auto"/>
              <w:left w:val="single" w:sz="4" w:space="0" w:color="auto"/>
              <w:bottom w:val="single" w:sz="4" w:space="0" w:color="auto"/>
              <w:right w:val="single" w:sz="4" w:space="0" w:color="auto"/>
            </w:tcBorders>
          </w:tcPr>
          <w:p w:rsidR="008B2F73" w:rsidRPr="000759A1" w:rsidRDefault="008B2F73" w:rsidP="00CF26FE">
            <w:pPr>
              <w:pStyle w:val="Tabletext"/>
              <w:jc w:val="center"/>
              <w:rPr>
                <w:b/>
              </w:rPr>
            </w:pPr>
            <w:r w:rsidRPr="000759A1">
              <w:t>55</w:t>
            </w:r>
          </w:p>
        </w:tc>
        <w:tc>
          <w:tcPr>
            <w:tcW w:w="1652" w:type="dxa"/>
            <w:tcBorders>
              <w:top w:val="single" w:sz="4" w:space="0" w:color="auto"/>
              <w:left w:val="single" w:sz="4" w:space="0" w:color="auto"/>
              <w:bottom w:val="single" w:sz="4" w:space="0" w:color="auto"/>
              <w:right w:val="single" w:sz="4" w:space="0" w:color="auto"/>
            </w:tcBorders>
          </w:tcPr>
          <w:p w:rsidR="008B2F73" w:rsidRPr="000759A1" w:rsidRDefault="008B2F73" w:rsidP="00CF26FE">
            <w:pPr>
              <w:pStyle w:val="Tabletext"/>
              <w:jc w:val="center"/>
            </w:pPr>
            <w:r w:rsidRPr="000759A1">
              <w:t>Ninguna</w:t>
            </w:r>
          </w:p>
        </w:tc>
      </w:tr>
      <w:tr w:rsidR="008B2F73" w:rsidRPr="000759A1" w:rsidTr="00CF26FE">
        <w:trPr>
          <w:jc w:val="center"/>
        </w:trPr>
        <w:tc>
          <w:tcPr>
            <w:tcW w:w="1789" w:type="dxa"/>
          </w:tcPr>
          <w:p w:rsidR="008B2F73" w:rsidRPr="000759A1" w:rsidRDefault="008B2F73" w:rsidP="00CF26FE">
            <w:pPr>
              <w:pStyle w:val="Tabletext"/>
              <w:jc w:val="center"/>
            </w:pPr>
            <w:r w:rsidRPr="000759A1">
              <w:t>A10</w:t>
            </w:r>
          </w:p>
        </w:tc>
        <w:tc>
          <w:tcPr>
            <w:tcW w:w="1789" w:type="dxa"/>
            <w:tcBorders>
              <w:top w:val="single" w:sz="4" w:space="0" w:color="auto"/>
              <w:bottom w:val="single" w:sz="4" w:space="0" w:color="auto"/>
            </w:tcBorders>
          </w:tcPr>
          <w:p w:rsidR="008B2F73" w:rsidRPr="000759A1" w:rsidRDefault="008B2F73" w:rsidP="00CF26FE">
            <w:pPr>
              <w:pStyle w:val="Tabletext"/>
              <w:jc w:val="center"/>
            </w:pPr>
            <w:r w:rsidRPr="000759A1">
              <w:t>Externa</w:t>
            </w:r>
          </w:p>
        </w:tc>
        <w:tc>
          <w:tcPr>
            <w:tcW w:w="1515" w:type="dxa"/>
            <w:tcBorders>
              <w:top w:val="single" w:sz="4" w:space="0" w:color="auto"/>
              <w:bottom w:val="single" w:sz="4" w:space="0" w:color="auto"/>
            </w:tcBorders>
          </w:tcPr>
          <w:p w:rsidR="008B2F73" w:rsidRPr="000759A1" w:rsidRDefault="008B2F73" w:rsidP="00CF26FE">
            <w:pPr>
              <w:pStyle w:val="Tabletext"/>
              <w:jc w:val="center"/>
            </w:pPr>
            <w:r w:rsidRPr="000759A1">
              <w:t>–</w:t>
            </w:r>
          </w:p>
        </w:tc>
        <w:tc>
          <w:tcPr>
            <w:tcW w:w="1379" w:type="dxa"/>
            <w:tcBorders>
              <w:top w:val="single" w:sz="4" w:space="0" w:color="auto"/>
              <w:bottom w:val="single" w:sz="4" w:space="0" w:color="auto"/>
            </w:tcBorders>
          </w:tcPr>
          <w:p w:rsidR="008B2F73" w:rsidRPr="000759A1" w:rsidRDefault="008B2F73" w:rsidP="00CF26FE">
            <w:pPr>
              <w:pStyle w:val="Tabletext"/>
              <w:jc w:val="center"/>
            </w:pPr>
            <w:r w:rsidRPr="000759A1">
              <w:t>738-758</w:t>
            </w:r>
          </w:p>
        </w:tc>
        <w:tc>
          <w:tcPr>
            <w:tcW w:w="1515" w:type="dxa"/>
            <w:tcBorders>
              <w:top w:val="single" w:sz="4" w:space="0" w:color="auto"/>
              <w:bottom w:val="single" w:sz="4" w:space="0" w:color="auto"/>
            </w:tcBorders>
          </w:tcPr>
          <w:p w:rsidR="008B2F73" w:rsidRPr="000759A1" w:rsidRDefault="008B2F73" w:rsidP="00CF26FE">
            <w:pPr>
              <w:pStyle w:val="Tabletext"/>
              <w:jc w:val="center"/>
            </w:pPr>
            <w:r w:rsidRPr="000759A1">
              <w:t>–</w:t>
            </w:r>
          </w:p>
        </w:tc>
        <w:tc>
          <w:tcPr>
            <w:tcW w:w="1652" w:type="dxa"/>
            <w:tcBorders>
              <w:top w:val="single" w:sz="4" w:space="0" w:color="auto"/>
              <w:bottom w:val="single" w:sz="4" w:space="0" w:color="auto"/>
            </w:tcBorders>
          </w:tcPr>
          <w:p w:rsidR="008B2F73" w:rsidRPr="000759A1" w:rsidRDefault="008B2F73" w:rsidP="00CF26FE">
            <w:pPr>
              <w:pStyle w:val="Tabletext"/>
              <w:jc w:val="center"/>
            </w:pPr>
            <w:r w:rsidRPr="000759A1">
              <w:t>Ninguna</w:t>
            </w:r>
          </w:p>
        </w:tc>
      </w:tr>
      <w:tr w:rsidR="008B2F73" w:rsidRPr="000759A1" w:rsidTr="00CF26FE">
        <w:trPr>
          <w:jc w:val="center"/>
        </w:trPr>
        <w:tc>
          <w:tcPr>
            <w:tcW w:w="1789" w:type="dxa"/>
          </w:tcPr>
          <w:p w:rsidR="008B2F73" w:rsidRPr="008B2F73" w:rsidRDefault="008B2F73" w:rsidP="00CF26FE">
            <w:pPr>
              <w:pStyle w:val="Tabletext"/>
              <w:jc w:val="center"/>
              <w:rPr>
                <w:lang w:val="es-ES_tradnl"/>
              </w:rPr>
            </w:pPr>
            <w:r w:rsidRPr="008B2F73">
              <w:rPr>
                <w:lang w:val="es-ES_tradnl"/>
              </w:rPr>
              <w:t>A11 (armonizada con A7 y A10)</w:t>
            </w:r>
          </w:p>
        </w:tc>
        <w:tc>
          <w:tcPr>
            <w:tcW w:w="1789" w:type="dxa"/>
          </w:tcPr>
          <w:p w:rsidR="008B2F73" w:rsidRPr="000759A1" w:rsidRDefault="008B2F73" w:rsidP="00CF26FE">
            <w:pPr>
              <w:pStyle w:val="Tabletext"/>
              <w:jc w:val="center"/>
            </w:pPr>
            <w:r w:rsidRPr="000759A1">
              <w:t>703-733</w:t>
            </w:r>
            <w:r w:rsidRPr="000759A1">
              <w:br/>
              <w:t>Externa</w:t>
            </w:r>
          </w:p>
        </w:tc>
        <w:tc>
          <w:tcPr>
            <w:tcW w:w="1515" w:type="dxa"/>
          </w:tcPr>
          <w:p w:rsidR="008B2F73" w:rsidRPr="000759A1" w:rsidRDefault="008B2F73" w:rsidP="00CF26FE">
            <w:pPr>
              <w:pStyle w:val="Tabletext"/>
              <w:jc w:val="center"/>
            </w:pPr>
            <w:r w:rsidRPr="000759A1">
              <w:t>25</w:t>
            </w:r>
            <w:r w:rsidRPr="000759A1">
              <w:br/>
              <w:t>–</w:t>
            </w:r>
          </w:p>
        </w:tc>
        <w:tc>
          <w:tcPr>
            <w:tcW w:w="1379" w:type="dxa"/>
          </w:tcPr>
          <w:p w:rsidR="008B2F73" w:rsidRPr="000759A1" w:rsidRDefault="008B2F73" w:rsidP="00CF26FE">
            <w:pPr>
              <w:pStyle w:val="Tabletext"/>
              <w:jc w:val="center"/>
            </w:pPr>
            <w:r w:rsidRPr="000759A1">
              <w:t>758-788</w:t>
            </w:r>
            <w:r w:rsidRPr="000759A1">
              <w:br/>
              <w:t>738-758</w:t>
            </w:r>
          </w:p>
        </w:tc>
        <w:tc>
          <w:tcPr>
            <w:tcW w:w="1515" w:type="dxa"/>
          </w:tcPr>
          <w:p w:rsidR="008B2F73" w:rsidRPr="000759A1" w:rsidRDefault="008B2F73" w:rsidP="00CF26FE">
            <w:pPr>
              <w:pStyle w:val="Tabletext"/>
              <w:jc w:val="center"/>
            </w:pPr>
            <w:r w:rsidRPr="000759A1">
              <w:t>55</w:t>
            </w:r>
            <w:r w:rsidRPr="000759A1">
              <w:br/>
              <w:t>–</w:t>
            </w:r>
          </w:p>
        </w:tc>
        <w:tc>
          <w:tcPr>
            <w:tcW w:w="1652" w:type="dxa"/>
          </w:tcPr>
          <w:p w:rsidR="008B2F73" w:rsidRPr="000759A1" w:rsidRDefault="008B2F73" w:rsidP="00CF26FE">
            <w:pPr>
              <w:pStyle w:val="Tabletext"/>
              <w:jc w:val="center"/>
            </w:pPr>
            <w:r w:rsidRPr="000759A1">
              <w:t>Ninguna</w:t>
            </w:r>
          </w:p>
        </w:tc>
      </w:tr>
    </w:tbl>
    <w:p w:rsidR="008B2F73" w:rsidRPr="000759A1" w:rsidRDefault="008B2F73" w:rsidP="008B2F73">
      <w:pPr>
        <w:pStyle w:val="Tablefin"/>
        <w:rPr>
          <w:lang w:val="es-ES_tradnl" w:eastAsia="zh-CN"/>
        </w:rPr>
      </w:pPr>
    </w:p>
    <w:p w:rsidR="008B2F73" w:rsidRPr="000759A1" w:rsidRDefault="008B2F73" w:rsidP="008B2F73">
      <w:pPr>
        <w:pStyle w:val="Headingi"/>
      </w:pPr>
      <w:r w:rsidRPr="000759A1">
        <w:t>Notas al Cuadro 3:</w:t>
      </w:r>
    </w:p>
    <w:p w:rsidR="008B2F73" w:rsidRPr="008B2F73" w:rsidRDefault="008B2F73" w:rsidP="008B2F73">
      <w:pPr>
        <w:pStyle w:val="Note"/>
        <w:rPr>
          <w:szCs w:val="22"/>
          <w:lang w:val="es-ES_tradnl"/>
        </w:rPr>
      </w:pPr>
      <w:r w:rsidRPr="008B2F73">
        <w:rPr>
          <w:szCs w:val="22"/>
          <w:lang w:val="es-ES_tradnl"/>
        </w:rPr>
        <w:t>NOTA 1 – Debido al solapamiento de las bandas de transmisión de la estación de base y de la estación móvil y por la diferente utilización de la banda 698-960 MHz en cada una de las Regiones, no existe una solución común posible por ahora.</w:t>
      </w:r>
    </w:p>
    <w:p w:rsidR="008B2F73" w:rsidRPr="008B2F73" w:rsidRDefault="008B2F73" w:rsidP="008B2F73">
      <w:pPr>
        <w:pStyle w:val="Note"/>
        <w:rPr>
          <w:szCs w:val="22"/>
          <w:lang w:val="es-ES_tradnl"/>
        </w:rPr>
      </w:pPr>
      <w:r w:rsidRPr="008B2F73">
        <w:rPr>
          <w:szCs w:val="22"/>
          <w:lang w:val="es-ES_tradnl"/>
        </w:rPr>
        <w:t xml:space="preserve">NOTA 2 – En A3, los sistemas IMT funcionan en modo FDD y utilizan sentido dúplex invertido transmitiendo el terminal móvil en la banda superior y la estación de base en la banda inferior. Esta disposición proporciona mejores condiciones para la coexistencia con el servicio de radiodifusión en la banda inferior adyacente. </w:t>
      </w:r>
    </w:p>
    <w:p w:rsidR="008B2F73" w:rsidRPr="008B2F73" w:rsidRDefault="008B2F73" w:rsidP="008B2F73">
      <w:pPr>
        <w:pStyle w:val="Note"/>
        <w:rPr>
          <w:szCs w:val="22"/>
          <w:lang w:val="es-ES_tradnl"/>
        </w:rPr>
      </w:pPr>
      <w:r w:rsidRPr="008B2F73">
        <w:rPr>
          <w:szCs w:val="22"/>
          <w:lang w:val="es-ES_tradnl"/>
        </w:rPr>
        <w:t>Cabe señalar que las administraciones que no deseen utilizar este plan o que no dispongan de toda la banda 790-862 MHz pueden considerar otras disposiciones de frecuencias, incluida, por ejemplo, la implementación parcial de la disposición de frecuencias descrita en A3, una disposición de frecuencias TDD (con una banda de guarda de al menos 7 MHz por encima de 790 MHz) o una utilización combinada de disposiciones de frecuencias TDD y FDD.</w:t>
      </w:r>
    </w:p>
    <w:p w:rsidR="008B2F73" w:rsidRPr="008B2F73" w:rsidRDefault="008B2F73" w:rsidP="008B2F73">
      <w:pPr>
        <w:pStyle w:val="Note"/>
        <w:rPr>
          <w:szCs w:val="22"/>
          <w:lang w:val="es-ES_tradnl"/>
        </w:rPr>
      </w:pPr>
      <w:r w:rsidRPr="008B2F73">
        <w:rPr>
          <w:szCs w:val="22"/>
          <w:lang w:val="es-ES_tradnl"/>
        </w:rPr>
        <w:t>NOTA 3 – En A4 las administraciones pueden utilizar la banda únicamente para FDD o TDD o alguna combinación de FDD y TDD. Las administraciones pueden utilizar cualquier separación de dúplex FDD o de sentido dúplex FDD. Sin embargo, cuando las administraciones decidan desplegar canales mixtos FDD/TDD con una separación dúplex fija para FDD, son preferibles la separación y el sentido dúplex que se muestran en A4. Cada bloque de frecuencias en una disposición de canales mixta puede estar además subdividido para acomodar ambos métodos dúplex.</w:t>
      </w:r>
    </w:p>
    <w:p w:rsidR="008B2F73" w:rsidRPr="008B2F73" w:rsidRDefault="008B2F73" w:rsidP="008B2F73">
      <w:pPr>
        <w:pStyle w:val="Note"/>
        <w:rPr>
          <w:szCs w:val="22"/>
          <w:lang w:val="es-ES_tradnl"/>
        </w:rPr>
      </w:pPr>
      <w:r w:rsidRPr="008B2F73">
        <w:rPr>
          <w:szCs w:val="22"/>
          <w:lang w:val="es-ES_tradnl"/>
        </w:rPr>
        <w:lastRenderedPageBreak/>
        <w:t>NOTA 4 – </w:t>
      </w:r>
      <w:r w:rsidRPr="008B2F73">
        <w:rPr>
          <w:szCs w:val="22"/>
          <w:lang w:val="es-ES_tradnl" w:eastAsia="zh-CN"/>
        </w:rPr>
        <w:t xml:space="preserve">Para la banda 698-960 MHz las disposiciones de frecuencias se han elaborado teniendo en cuenta el </w:t>
      </w:r>
      <w:r w:rsidRPr="008B2F73">
        <w:rPr>
          <w:i/>
          <w:iCs/>
          <w:szCs w:val="22"/>
          <w:lang w:val="es-ES_tradnl" w:eastAsia="zh-CN"/>
        </w:rPr>
        <w:t>reconociendo</w:t>
      </w:r>
      <w:r w:rsidRPr="008B2F73">
        <w:rPr>
          <w:szCs w:val="22"/>
          <w:lang w:val="es-ES_tradnl" w:eastAsia="zh-CN"/>
        </w:rPr>
        <w:t xml:space="preserve"> anterior.</w:t>
      </w:r>
    </w:p>
    <w:p w:rsidR="008B2F73" w:rsidRPr="008B2F73" w:rsidRDefault="008B2F73" w:rsidP="008B2F73">
      <w:pPr>
        <w:pStyle w:val="Note"/>
        <w:rPr>
          <w:szCs w:val="22"/>
          <w:lang w:val="es-ES_tradnl"/>
        </w:rPr>
      </w:pPr>
      <w:r w:rsidRPr="008B2F73">
        <w:rPr>
          <w:szCs w:val="22"/>
          <w:lang w:val="es-ES_tradnl"/>
        </w:rPr>
        <w:t xml:space="preserve">Las disposiciones de frecuencias para los sistemas PPDR que utilizan tecnologías IMT en las bandas identificadas en la </w:t>
      </w:r>
      <w:r w:rsidRPr="00D32EAC">
        <w:rPr>
          <w:iCs/>
          <w:szCs w:val="22"/>
          <w:lang w:val="es-ES_tradnl" w:eastAsia="zh-CN"/>
        </w:rPr>
        <w:t>Resolución 646 (CMR-03)</w:t>
      </w:r>
      <w:r w:rsidRPr="00D32EAC">
        <w:rPr>
          <w:szCs w:val="22"/>
          <w:lang w:val="es-ES_tradnl"/>
        </w:rPr>
        <w:t>,</w:t>
      </w:r>
      <w:r w:rsidRPr="008B2F73">
        <w:rPr>
          <w:szCs w:val="22"/>
          <w:lang w:val="es-ES_tradnl"/>
        </w:rPr>
        <w:t xml:space="preserve"> de conformidad con el </w:t>
      </w:r>
      <w:r w:rsidRPr="008B2F73">
        <w:rPr>
          <w:i/>
          <w:iCs/>
          <w:szCs w:val="22"/>
          <w:lang w:val="es-ES_tradnl"/>
        </w:rPr>
        <w:t xml:space="preserve">considerando </w:t>
      </w:r>
      <w:r w:rsidRPr="00D32EAC">
        <w:rPr>
          <w:i/>
          <w:iCs/>
          <w:szCs w:val="22"/>
          <w:lang w:val="es-ES_tradnl"/>
        </w:rPr>
        <w:t>h)</w:t>
      </w:r>
      <w:r w:rsidRPr="008B2F73">
        <w:rPr>
          <w:szCs w:val="22"/>
          <w:lang w:val="es-ES_tradnl"/>
        </w:rPr>
        <w:t xml:space="preserve"> y el </w:t>
      </w:r>
      <w:r w:rsidRPr="008B2F73">
        <w:rPr>
          <w:i/>
          <w:iCs/>
          <w:szCs w:val="22"/>
          <w:lang w:val="es-ES_tradnl"/>
        </w:rPr>
        <w:t>resuelve</w:t>
      </w:r>
      <w:r w:rsidRPr="008B2F73">
        <w:rPr>
          <w:szCs w:val="22"/>
          <w:lang w:val="es-ES_tradnl"/>
        </w:rPr>
        <w:t xml:space="preserve"> 6 de esa Resolución, están fuera del ámbito de la presente Recomendación. Es especialmente beneficioso desplegar tecnologías IMT para aplicaciones PPDR en esta banda, en particular por las ventajas de disponer de grandes zonas de cobertura y la posibilidad de interfuncionar a lo largo de las bandas de 700 y de 800 MHz, teniendo en cuenta las diferencias en los requisitos de explotación y en las implementaciones</w:t>
      </w:r>
      <w:r w:rsidRPr="008B2F73">
        <w:rPr>
          <w:szCs w:val="22"/>
          <w:lang w:val="es-ES_tradnl" w:eastAsia="zh-CN"/>
        </w:rPr>
        <w:t>.</w:t>
      </w:r>
    </w:p>
    <w:p w:rsidR="008B2F73" w:rsidRPr="008B2F73" w:rsidRDefault="008B2F73" w:rsidP="008B2F73">
      <w:pPr>
        <w:pStyle w:val="Note"/>
        <w:rPr>
          <w:szCs w:val="22"/>
          <w:lang w:val="es-ES_tradnl" w:eastAsia="zh-CN"/>
        </w:rPr>
      </w:pPr>
      <w:r w:rsidRPr="008B2F73">
        <w:rPr>
          <w:szCs w:val="22"/>
          <w:lang w:val="es-ES_tradnl"/>
        </w:rPr>
        <w:t>NOTA 5 – </w:t>
      </w:r>
      <w:r w:rsidRPr="008B2F73">
        <w:rPr>
          <w:szCs w:val="22"/>
          <w:lang w:val="es-ES_tradnl" w:eastAsia="zh-CN"/>
        </w:rPr>
        <w:t>En A5 se implementan 2 × 45 MHz para disposiciones FDD utilizando bloques con una solución dual del duplexor y una disposición dúplex convencional. En los extremos superior e inferior de la banda se proveen bandas de guarda internas de 5 MHz y de 3 MHz para una mejor coexistencia con los servicios de radiocomunicaciones adyacentes.</w:t>
      </w:r>
    </w:p>
    <w:p w:rsidR="008B2F73" w:rsidRPr="008B2F73" w:rsidRDefault="008B2F73" w:rsidP="008B2F73">
      <w:pPr>
        <w:pStyle w:val="Note"/>
        <w:rPr>
          <w:szCs w:val="22"/>
          <w:lang w:val="es-ES_tradnl"/>
        </w:rPr>
      </w:pPr>
      <w:r w:rsidRPr="008B2F73">
        <w:rPr>
          <w:szCs w:val="22"/>
          <w:lang w:val="es-ES_tradnl"/>
        </w:rPr>
        <w:t>NOTA 6 – </w:t>
      </w:r>
      <w:r w:rsidRPr="008B2F73">
        <w:rPr>
          <w:szCs w:val="22"/>
          <w:lang w:val="es-ES_tradnl" w:eastAsia="zh-CN"/>
        </w:rPr>
        <w:t>En A6, teniendo en cuenta la banda de guarda externa de 4 MHz (694-698 MHz), hay que considerar una banda de guarda interna mínima de 5 MHz en el extremo inferior (698 MHz) y de 3 MHz en el extremo superior (806 MHz)</w:t>
      </w:r>
      <w:r w:rsidRPr="008B2F73">
        <w:rPr>
          <w:szCs w:val="22"/>
          <w:lang w:val="es-ES_tradnl"/>
        </w:rPr>
        <w:t>.</w:t>
      </w:r>
    </w:p>
    <w:p w:rsidR="008B2F73" w:rsidRPr="008B2F73" w:rsidRDefault="008B2F73" w:rsidP="008B2F73">
      <w:pPr>
        <w:pStyle w:val="Note"/>
        <w:rPr>
          <w:szCs w:val="22"/>
          <w:lang w:val="es-ES_tradnl"/>
        </w:rPr>
      </w:pPr>
      <w:r w:rsidRPr="008B2F73">
        <w:rPr>
          <w:szCs w:val="22"/>
          <w:lang w:val="es-ES_tradnl"/>
        </w:rPr>
        <w:t>NOTA 7 – La disposición de frecuencias en A7 está alineada con el duplexor más bajo de A5.</w:t>
      </w:r>
    </w:p>
    <w:p w:rsidR="008B2F73" w:rsidRPr="008B2F73" w:rsidRDefault="008B2F73" w:rsidP="008B2F73">
      <w:pPr>
        <w:pStyle w:val="Note"/>
        <w:rPr>
          <w:szCs w:val="22"/>
          <w:lang w:val="es-ES_tradnl"/>
        </w:rPr>
      </w:pPr>
      <w:r w:rsidRPr="008B2F73">
        <w:rPr>
          <w:szCs w:val="22"/>
          <w:lang w:val="es-ES_tradnl"/>
        </w:rPr>
        <w:t>NOTA 8 – Las administraciones pueden implementar la disposición A8 sola o en combinación con partes de A7 (por ejemplo, UL: 698-718/DL: 753-773 MHz), siempre y cuando esté garantizada la coexistencia con los servicios por debajo de 694 MHz.</w:t>
      </w:r>
    </w:p>
    <w:p w:rsidR="008B2F73" w:rsidRPr="008B2F73" w:rsidRDefault="008B2F73" w:rsidP="008B2F73">
      <w:pPr>
        <w:pStyle w:val="Note"/>
        <w:rPr>
          <w:szCs w:val="22"/>
          <w:lang w:val="es-ES_tradnl"/>
        </w:rPr>
      </w:pPr>
      <w:r w:rsidRPr="008B2F73">
        <w:rPr>
          <w:szCs w:val="22"/>
          <w:lang w:val="es-ES_tradnl"/>
        </w:rPr>
        <w:t>NOTA 9 – La disposición de frecuencias en A9 está alineada con parte del duplexor más alto de A5.</w:t>
      </w:r>
    </w:p>
    <w:p w:rsidR="008B2F73" w:rsidRPr="008B2F73" w:rsidRDefault="008B2F73" w:rsidP="008B2F73">
      <w:pPr>
        <w:pStyle w:val="Note"/>
        <w:rPr>
          <w:szCs w:val="22"/>
          <w:lang w:val="es-ES_tradnl"/>
        </w:rPr>
      </w:pPr>
      <w:r w:rsidRPr="008B2F73">
        <w:rPr>
          <w:szCs w:val="22"/>
          <w:lang w:val="es-ES_tradnl"/>
        </w:rPr>
        <w:t>NOTA 10 – Para A10 y A11, podrían utilizarse entre cero y cuatro bloques de frecuencias de 5 MHz en 738</w:t>
      </w:r>
      <w:r w:rsidRPr="008B2F73">
        <w:rPr>
          <w:szCs w:val="22"/>
          <w:lang w:val="es-ES_tradnl"/>
        </w:rPr>
        <w:noBreakHyphen/>
        <w:t xml:space="preserve">758 MHz para complementar la capacidad de enlace descendente de una disposición de frecuencias en esa u otras bandas. </w:t>
      </w:r>
    </w:p>
    <w:p w:rsidR="008B2F73" w:rsidRPr="008B2F73" w:rsidRDefault="008B2F73" w:rsidP="008B2F73">
      <w:pPr>
        <w:pStyle w:val="Note"/>
        <w:rPr>
          <w:szCs w:val="22"/>
          <w:lang w:val="es-ES_tradnl"/>
        </w:rPr>
      </w:pPr>
      <w:r w:rsidRPr="008B2F73">
        <w:rPr>
          <w:szCs w:val="22"/>
          <w:lang w:val="es-ES_tradnl"/>
        </w:rPr>
        <w:t>NOTA 11 – Para las administraciones que han implementado la disposición A7, esa disposición puede combinarse con la disposición A10, es decir, A11.</w:t>
      </w:r>
    </w:p>
    <w:p w:rsidR="008B2F73" w:rsidRPr="008B2F73" w:rsidRDefault="008B2F73" w:rsidP="008B2F73">
      <w:pPr>
        <w:pStyle w:val="Note"/>
        <w:rPr>
          <w:szCs w:val="22"/>
          <w:highlight w:val="yellow"/>
          <w:lang w:val="es-ES_tradnl"/>
        </w:rPr>
      </w:pPr>
    </w:p>
    <w:p w:rsidR="008B2F73" w:rsidRPr="008B2F73" w:rsidRDefault="008B2F73" w:rsidP="001F4FB5">
      <w:pPr>
        <w:pStyle w:val="FigureNo"/>
        <w:rPr>
          <w:lang w:val="es-ES_tradnl" w:eastAsia="zh-CN"/>
        </w:rPr>
      </w:pPr>
      <w:r w:rsidRPr="008B2F73">
        <w:rPr>
          <w:lang w:val="es-ES_tradnl"/>
        </w:rPr>
        <w:t xml:space="preserve">FIGURaS 3A1 </w:t>
      </w:r>
      <w:r w:rsidR="001F4FB5">
        <w:rPr>
          <w:caps w:val="0"/>
          <w:lang w:val="es-ES_tradnl"/>
        </w:rPr>
        <w:t>y</w:t>
      </w:r>
      <w:r w:rsidRPr="008B2F73">
        <w:rPr>
          <w:lang w:val="es-ES_tradnl"/>
        </w:rPr>
        <w:t xml:space="preserve"> 3a2 </w:t>
      </w:r>
      <w:r w:rsidRPr="008B2F73">
        <w:rPr>
          <w:lang w:val="es-ES_tradnl"/>
        </w:rPr>
        <w:br/>
        <w:t>(</w:t>
      </w:r>
      <w:r w:rsidRPr="008B2F73">
        <w:rPr>
          <w:caps w:val="0"/>
          <w:lang w:val="es-ES_tradnl"/>
        </w:rPr>
        <w:t xml:space="preserve">Véanse las Notas al Cuadro </w:t>
      </w:r>
      <w:r w:rsidRPr="008B2F73">
        <w:rPr>
          <w:lang w:val="es-ES_tradnl"/>
        </w:rPr>
        <w:t>3)</w:t>
      </w:r>
    </w:p>
    <w:p w:rsidR="008B2F73" w:rsidRPr="000759A1" w:rsidRDefault="008B2F73" w:rsidP="008B2F73">
      <w:pPr>
        <w:pStyle w:val="Figure"/>
        <w:rPr>
          <w:lang w:eastAsia="zh-CN"/>
        </w:rPr>
      </w:pPr>
      <w:r w:rsidRPr="000759A1">
        <w:rPr>
          <w:noProof/>
          <w:lang w:val="en-US" w:eastAsia="zh-CN"/>
        </w:rPr>
        <w:drawing>
          <wp:inline distT="0" distB="0" distL="0" distR="0" wp14:anchorId="5FBF94C1" wp14:editId="53BA92A5">
            <wp:extent cx="5715000" cy="1619250"/>
            <wp:effectExtent l="0" t="0" r="0" b="0"/>
            <wp:docPr id="5"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a:noFill/>
                    <a:ln>
                      <a:noFill/>
                    </a:ln>
                  </pic:spPr>
                </pic:pic>
              </a:graphicData>
            </a:graphic>
          </wp:inline>
        </w:drawing>
      </w:r>
    </w:p>
    <w:p w:rsidR="008B2F73" w:rsidRPr="00DC6E39" w:rsidRDefault="008B2F73" w:rsidP="00DC6E39">
      <w:pPr>
        <w:pStyle w:val="FigureNo"/>
        <w:rPr>
          <w:lang w:val="es-ES_tradnl"/>
        </w:rPr>
      </w:pPr>
      <w:r w:rsidRPr="00DC6E39">
        <w:rPr>
          <w:lang w:val="es-ES_tradnl"/>
        </w:rPr>
        <w:t>FIGURA 3a3</w:t>
      </w:r>
    </w:p>
    <w:p w:rsidR="008B2F73" w:rsidRPr="000759A1" w:rsidRDefault="008B2F73" w:rsidP="008B2F73">
      <w:pPr>
        <w:pStyle w:val="Figure"/>
        <w:rPr>
          <w:lang w:eastAsia="zh-CN"/>
        </w:rPr>
      </w:pPr>
      <w:r w:rsidRPr="000759A1">
        <w:rPr>
          <w:noProof/>
          <w:lang w:val="en-US" w:eastAsia="zh-CN"/>
        </w:rPr>
        <w:drawing>
          <wp:inline distT="0" distB="0" distL="0" distR="0" wp14:anchorId="37989850" wp14:editId="7417FCC4">
            <wp:extent cx="5619750" cy="1076325"/>
            <wp:effectExtent l="0" t="0" r="0" b="9525"/>
            <wp:docPr id="6"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1076325"/>
                    </a:xfrm>
                    <a:prstGeom prst="rect">
                      <a:avLst/>
                    </a:prstGeom>
                    <a:noFill/>
                    <a:ln>
                      <a:noFill/>
                    </a:ln>
                  </pic:spPr>
                </pic:pic>
              </a:graphicData>
            </a:graphic>
          </wp:inline>
        </w:drawing>
      </w:r>
    </w:p>
    <w:p w:rsidR="008B2F73" w:rsidRPr="000759A1" w:rsidRDefault="008B2F73" w:rsidP="008B2F73">
      <w:pPr>
        <w:pStyle w:val="FigureNo"/>
        <w:rPr>
          <w:lang w:eastAsia="zh-CN"/>
        </w:rPr>
      </w:pPr>
      <w:r w:rsidRPr="000759A1">
        <w:lastRenderedPageBreak/>
        <w:t>FIGURA 3a4</w:t>
      </w:r>
    </w:p>
    <w:p w:rsidR="008B2F73" w:rsidRPr="000759A1" w:rsidRDefault="008B2F73" w:rsidP="008B2F73">
      <w:pPr>
        <w:pStyle w:val="Figure"/>
        <w:rPr>
          <w:lang w:eastAsia="zh-CN"/>
        </w:rPr>
      </w:pPr>
      <w:r w:rsidRPr="000759A1">
        <w:rPr>
          <w:noProof/>
          <w:lang w:val="en-US" w:eastAsia="zh-CN"/>
        </w:rPr>
        <w:drawing>
          <wp:inline distT="0" distB="0" distL="0" distR="0" wp14:anchorId="5748E4E3" wp14:editId="2281B1B5">
            <wp:extent cx="5734050" cy="1190625"/>
            <wp:effectExtent l="0" t="0" r="0" b="9525"/>
            <wp:docPr id="7"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1190625"/>
                    </a:xfrm>
                    <a:prstGeom prst="rect">
                      <a:avLst/>
                    </a:prstGeom>
                    <a:noFill/>
                    <a:ln>
                      <a:noFill/>
                    </a:ln>
                  </pic:spPr>
                </pic:pic>
              </a:graphicData>
            </a:graphic>
          </wp:inline>
        </w:drawing>
      </w:r>
    </w:p>
    <w:p w:rsidR="008B2F73" w:rsidRPr="000759A1" w:rsidRDefault="008B2F73" w:rsidP="008B2F73">
      <w:pPr>
        <w:pStyle w:val="FigureNo"/>
        <w:rPr>
          <w:lang w:eastAsia="zh-CN"/>
        </w:rPr>
      </w:pPr>
      <w:r w:rsidRPr="000759A1">
        <w:rPr>
          <w:lang w:eastAsia="zh-CN"/>
        </w:rPr>
        <w:t>FIGURA 3a5</w:t>
      </w:r>
    </w:p>
    <w:p w:rsidR="008B2F73" w:rsidRPr="000759A1" w:rsidRDefault="008B2F73" w:rsidP="008B2F73">
      <w:pPr>
        <w:pStyle w:val="Figure"/>
        <w:rPr>
          <w:lang w:eastAsia="zh-CN"/>
        </w:rPr>
      </w:pPr>
      <w:r w:rsidRPr="000759A1">
        <w:rPr>
          <w:noProof/>
          <w:lang w:val="en-US" w:eastAsia="zh-CN"/>
        </w:rPr>
        <w:drawing>
          <wp:inline distT="0" distB="0" distL="0" distR="0" wp14:anchorId="648B2D0A" wp14:editId="4A4BD2FE">
            <wp:extent cx="5372100" cy="1476375"/>
            <wp:effectExtent l="0" t="0" r="0" b="9525"/>
            <wp:docPr id="8"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1476375"/>
                    </a:xfrm>
                    <a:prstGeom prst="rect">
                      <a:avLst/>
                    </a:prstGeom>
                    <a:noFill/>
                    <a:ln>
                      <a:noFill/>
                    </a:ln>
                  </pic:spPr>
                </pic:pic>
              </a:graphicData>
            </a:graphic>
          </wp:inline>
        </w:drawing>
      </w:r>
    </w:p>
    <w:p w:rsidR="008B2F73" w:rsidRPr="000759A1" w:rsidRDefault="008B2F73" w:rsidP="008B2F73">
      <w:pPr>
        <w:pStyle w:val="FigureNo"/>
        <w:rPr>
          <w:lang w:eastAsia="zh-CN"/>
        </w:rPr>
      </w:pPr>
      <w:r w:rsidRPr="000759A1">
        <w:rPr>
          <w:lang w:eastAsia="zh-CN"/>
        </w:rPr>
        <w:t>FIGURA 3a6</w:t>
      </w:r>
    </w:p>
    <w:p w:rsidR="008B2F73" w:rsidRPr="000759A1" w:rsidRDefault="008B2F73" w:rsidP="008B2F73">
      <w:pPr>
        <w:pStyle w:val="Figure"/>
      </w:pPr>
      <w:r w:rsidRPr="000759A1">
        <w:rPr>
          <w:noProof/>
          <w:lang w:val="en-US" w:eastAsia="zh-CN"/>
        </w:rPr>
        <w:drawing>
          <wp:inline distT="0" distB="0" distL="0" distR="0" wp14:anchorId="59EA2580" wp14:editId="06AD876E">
            <wp:extent cx="5772150" cy="2124075"/>
            <wp:effectExtent l="0" t="0" r="0" b="0"/>
            <wp:docPr id="9"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2150" cy="2124075"/>
                    </a:xfrm>
                    <a:prstGeom prst="rect">
                      <a:avLst/>
                    </a:prstGeom>
                    <a:noFill/>
                    <a:ln>
                      <a:noFill/>
                    </a:ln>
                  </pic:spPr>
                </pic:pic>
              </a:graphicData>
            </a:graphic>
          </wp:inline>
        </w:drawing>
      </w:r>
    </w:p>
    <w:p w:rsidR="008B2F73" w:rsidRPr="000759A1" w:rsidRDefault="008B2F73" w:rsidP="008B2F73">
      <w:pPr>
        <w:pStyle w:val="FigureNo"/>
      </w:pPr>
      <w:r w:rsidRPr="000759A1">
        <w:t>FiGURA 3A7</w:t>
      </w:r>
    </w:p>
    <w:p w:rsidR="008B2F73" w:rsidRPr="000759A1" w:rsidRDefault="008B2F73" w:rsidP="008B2F73">
      <w:pPr>
        <w:pStyle w:val="Figure"/>
      </w:pPr>
      <w:r w:rsidRPr="000759A1">
        <w:rPr>
          <w:noProof/>
          <w:lang w:val="en-US" w:eastAsia="zh-CN"/>
        </w:rPr>
        <w:drawing>
          <wp:inline distT="0" distB="0" distL="0" distR="0" wp14:anchorId="4A3137F7" wp14:editId="5D3CD0A0">
            <wp:extent cx="5486400" cy="1047750"/>
            <wp:effectExtent l="0" t="0" r="0" b="0"/>
            <wp:docPr id="10"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B2F73" w:rsidRPr="000759A1" w:rsidRDefault="008B2F73" w:rsidP="008B2F73">
      <w:pPr>
        <w:pStyle w:val="FigureNo"/>
      </w:pPr>
      <w:r w:rsidRPr="000759A1">
        <w:rPr>
          <w:lang w:eastAsia="zh-CN"/>
        </w:rPr>
        <w:lastRenderedPageBreak/>
        <w:t xml:space="preserve">FIGURA </w:t>
      </w:r>
      <w:r w:rsidRPr="000759A1">
        <w:t>3A8</w:t>
      </w:r>
    </w:p>
    <w:p w:rsidR="008B2F73" w:rsidRPr="000759A1" w:rsidRDefault="008B2F73" w:rsidP="008B2F73">
      <w:pPr>
        <w:pStyle w:val="Figure"/>
      </w:pPr>
      <w:r w:rsidRPr="000759A1">
        <w:rPr>
          <w:noProof/>
          <w:lang w:val="en-US" w:eastAsia="zh-CN"/>
        </w:rPr>
        <w:drawing>
          <wp:inline distT="0" distB="0" distL="0" distR="0" wp14:anchorId="011C786C" wp14:editId="3C448919">
            <wp:extent cx="5486400" cy="1123950"/>
            <wp:effectExtent l="0" t="0" r="0" b="0"/>
            <wp:docPr id="11"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noFill/>
                    </a:ln>
                  </pic:spPr>
                </pic:pic>
              </a:graphicData>
            </a:graphic>
          </wp:inline>
        </w:drawing>
      </w:r>
    </w:p>
    <w:p w:rsidR="008B2F73" w:rsidRPr="000759A1" w:rsidRDefault="008B2F73" w:rsidP="008B2F73">
      <w:pPr>
        <w:pStyle w:val="FigureNo"/>
      </w:pPr>
      <w:r w:rsidRPr="000759A1">
        <w:rPr>
          <w:lang w:eastAsia="zh-CN"/>
        </w:rPr>
        <w:t xml:space="preserve">FIGURA </w:t>
      </w:r>
      <w:r w:rsidRPr="000759A1">
        <w:t>3A9</w:t>
      </w:r>
    </w:p>
    <w:p w:rsidR="008B2F73" w:rsidRPr="000759A1" w:rsidRDefault="008B2F73" w:rsidP="008B2F73">
      <w:pPr>
        <w:pStyle w:val="Figure"/>
      </w:pPr>
      <w:r w:rsidRPr="000759A1">
        <w:rPr>
          <w:noProof/>
          <w:lang w:val="en-US" w:eastAsia="zh-CN"/>
        </w:rPr>
        <w:drawing>
          <wp:inline distT="0" distB="0" distL="0" distR="0" wp14:anchorId="2C4C50F6" wp14:editId="06CABA3F">
            <wp:extent cx="5486400" cy="1114425"/>
            <wp:effectExtent l="0" t="0" r="0" b="9525"/>
            <wp:docPr id="12"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rsidR="008B2F73" w:rsidRPr="000759A1" w:rsidRDefault="008B2F73" w:rsidP="008B2F73">
      <w:pPr>
        <w:pStyle w:val="FigureNo"/>
      </w:pPr>
      <w:r w:rsidRPr="000759A1">
        <w:rPr>
          <w:lang w:eastAsia="zh-CN"/>
        </w:rPr>
        <w:t xml:space="preserve">FIGURA </w:t>
      </w:r>
      <w:r w:rsidRPr="000759A1">
        <w:t>3A10</w:t>
      </w:r>
    </w:p>
    <w:p w:rsidR="008B2F73" w:rsidRPr="000759A1" w:rsidRDefault="008B2F73" w:rsidP="008B2F73">
      <w:pPr>
        <w:pStyle w:val="Figure"/>
      </w:pPr>
      <w:r w:rsidRPr="000759A1">
        <w:rPr>
          <w:noProof/>
          <w:lang w:val="en-US" w:eastAsia="zh-CN"/>
        </w:rPr>
        <w:drawing>
          <wp:inline distT="0" distB="0" distL="0" distR="0" wp14:anchorId="2A57C44D" wp14:editId="04128768">
            <wp:extent cx="5486400" cy="1047750"/>
            <wp:effectExtent l="0" t="0" r="0" b="0"/>
            <wp:docPr id="13"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B2F73" w:rsidRPr="000759A1" w:rsidRDefault="008B2F73" w:rsidP="008B2F73">
      <w:pPr>
        <w:keepNext/>
        <w:keepLines/>
        <w:suppressAutoHyphens/>
        <w:spacing w:before="480" w:after="120"/>
        <w:jc w:val="center"/>
        <w:rPr>
          <w:rFonts w:cs="Arial"/>
          <w:caps/>
          <w:sz w:val="20"/>
        </w:rPr>
      </w:pPr>
      <w:r w:rsidRPr="000759A1">
        <w:rPr>
          <w:caps/>
          <w:sz w:val="20"/>
        </w:rPr>
        <w:t>FIGURA 3A11</w:t>
      </w:r>
    </w:p>
    <w:p w:rsidR="008B2F73" w:rsidRPr="000759A1" w:rsidRDefault="008B2F73" w:rsidP="008B2F73">
      <w:pPr>
        <w:pStyle w:val="Figure"/>
      </w:pPr>
      <w:r w:rsidRPr="000759A1">
        <w:rPr>
          <w:noProof/>
          <w:lang w:val="en-US" w:eastAsia="zh-CN"/>
        </w:rPr>
        <w:drawing>
          <wp:inline distT="0" distB="0" distL="0" distR="0" wp14:anchorId="55E1548E" wp14:editId="4075B922">
            <wp:extent cx="5486400" cy="1047750"/>
            <wp:effectExtent l="0" t="0" r="0" b="0"/>
            <wp:docPr id="14"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p>
    <w:p w:rsidR="008B2F73" w:rsidRPr="000759A1" w:rsidRDefault="008B2F73" w:rsidP="008B2F73">
      <w:pPr>
        <w:suppressAutoHyphens/>
        <w:spacing w:before="0"/>
        <w:rPr>
          <w:lang w:eastAsia="zh-CN"/>
        </w:rPr>
      </w:pPr>
      <w:r w:rsidRPr="000759A1">
        <w:rPr>
          <w:lang w:eastAsia="zh-CN"/>
        </w:rPr>
        <w:br w:type="page"/>
      </w:r>
    </w:p>
    <w:p w:rsidR="008B2F73" w:rsidRPr="00D666CC" w:rsidRDefault="00D666CC" w:rsidP="00D666CC">
      <w:pPr>
        <w:pStyle w:val="SectionNo"/>
        <w:jc w:val="center"/>
        <w:rPr>
          <w:sz w:val="28"/>
          <w:szCs w:val="28"/>
          <w:lang w:val="es-ES_tradnl"/>
        </w:rPr>
      </w:pPr>
      <w:r w:rsidRPr="00D666CC">
        <w:rPr>
          <w:sz w:val="28"/>
          <w:szCs w:val="28"/>
          <w:lang w:val="es-ES_tradnl"/>
        </w:rPr>
        <w:lastRenderedPageBreak/>
        <w:t>SECCIÓN 3</w:t>
      </w:r>
    </w:p>
    <w:p w:rsidR="008B2F73" w:rsidRPr="008B2F73" w:rsidRDefault="008B2F73" w:rsidP="008B2F73">
      <w:pPr>
        <w:pStyle w:val="Sectiontitle"/>
        <w:rPr>
          <w:lang w:val="es-ES_tradnl"/>
        </w:rPr>
      </w:pPr>
      <w:r w:rsidRPr="008B2F73">
        <w:rPr>
          <w:lang w:val="es-ES_tradnl"/>
        </w:rPr>
        <w:t>Disposiciones de frecuencias en la banda 1 710-2 200 MHz</w:t>
      </w:r>
      <w:r w:rsidRPr="000759A1">
        <w:rPr>
          <w:position w:val="6"/>
          <w:sz w:val="18"/>
        </w:rPr>
        <w:footnoteReference w:id="2"/>
      </w:r>
    </w:p>
    <w:p w:rsidR="008B2F73" w:rsidRPr="000759A1" w:rsidRDefault="008B2F73" w:rsidP="008B2F73">
      <w:pPr>
        <w:pStyle w:val="Normalaftertitle"/>
        <w:rPr>
          <w:lang w:val="es-ES_tradnl" w:eastAsia="zh-CN"/>
        </w:rPr>
      </w:pPr>
      <w:r w:rsidRPr="000759A1">
        <w:rPr>
          <w:lang w:val="es-ES_tradnl"/>
        </w:rPr>
        <w:t>Las disposiciones de frecuencias recomendadas para la implantación de las IMT en la banda 1 710</w:t>
      </w:r>
      <w:r w:rsidRPr="000759A1">
        <w:rPr>
          <w:lang w:val="es-ES_tradnl"/>
        </w:rPr>
        <w:noBreakHyphen/>
        <w:t>2 200 MHz se resumen en el Cuadro 4 y en la Fig. 4, considerando las directrices del Anexo 1.</w:t>
      </w:r>
    </w:p>
    <w:p w:rsidR="008B2F73" w:rsidRPr="008B2F73" w:rsidRDefault="008B2F73" w:rsidP="008B2F73">
      <w:pPr>
        <w:pStyle w:val="TableNo"/>
        <w:rPr>
          <w:lang w:val="es-ES_tradnl"/>
        </w:rPr>
      </w:pPr>
      <w:r w:rsidRPr="008B2F73">
        <w:rPr>
          <w:lang w:val="es-ES_tradnl"/>
        </w:rPr>
        <w:t>CUADRO 4</w:t>
      </w:r>
    </w:p>
    <w:p w:rsidR="008B2F73" w:rsidRPr="008B2F73" w:rsidRDefault="008B2F73" w:rsidP="008B2F73">
      <w:pPr>
        <w:pStyle w:val="Tabletitle"/>
        <w:rPr>
          <w:lang w:val="es-ES_tradnl" w:eastAsia="zh-CN"/>
        </w:rPr>
      </w:pPr>
      <w:r w:rsidRPr="008B2F73">
        <w:rPr>
          <w:lang w:val="es-ES_tradnl"/>
        </w:rPr>
        <w:t>Disposiciones de frecuencias en la banda 1 710-2 200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6"/>
        <w:gridCol w:w="1483"/>
        <w:gridCol w:w="1121"/>
        <w:gridCol w:w="1290"/>
        <w:gridCol w:w="1129"/>
        <w:gridCol w:w="1285"/>
        <w:gridCol w:w="1285"/>
      </w:tblGrid>
      <w:tr w:rsidR="008B2F73" w:rsidRPr="00D666CC" w:rsidTr="000C244A">
        <w:trPr>
          <w:jc w:val="center"/>
        </w:trPr>
        <w:tc>
          <w:tcPr>
            <w:tcW w:w="2390" w:type="dxa"/>
            <w:vMerge w:val="restart"/>
            <w:vAlign w:val="center"/>
          </w:tcPr>
          <w:p w:rsidR="008B2F73" w:rsidRPr="00D666CC" w:rsidRDefault="008B2F73" w:rsidP="00CF26FE">
            <w:pPr>
              <w:pStyle w:val="Tablehead"/>
              <w:rPr>
                <w:sz w:val="18"/>
                <w:szCs w:val="18"/>
              </w:rPr>
            </w:pPr>
            <w:r w:rsidRPr="00D666CC">
              <w:rPr>
                <w:sz w:val="18"/>
                <w:szCs w:val="18"/>
              </w:rPr>
              <w:t>Disposiciones de frecuencias</w:t>
            </w:r>
          </w:p>
        </w:tc>
        <w:tc>
          <w:tcPr>
            <w:tcW w:w="5799" w:type="dxa"/>
            <w:gridSpan w:val="4"/>
            <w:vAlign w:val="center"/>
          </w:tcPr>
          <w:p w:rsidR="008B2F73" w:rsidRPr="00D666CC" w:rsidRDefault="008B2F73" w:rsidP="00CF26FE">
            <w:pPr>
              <w:pStyle w:val="Tablehead"/>
              <w:rPr>
                <w:bCs/>
                <w:sz w:val="18"/>
                <w:szCs w:val="18"/>
              </w:rPr>
            </w:pPr>
            <w:r w:rsidRPr="00D666CC">
              <w:rPr>
                <w:bCs/>
                <w:sz w:val="18"/>
                <w:szCs w:val="18"/>
              </w:rPr>
              <w:t>Disposiciones apareadas</w:t>
            </w:r>
          </w:p>
        </w:tc>
        <w:tc>
          <w:tcPr>
            <w:tcW w:w="1485" w:type="dxa"/>
            <w:vMerge w:val="restart"/>
            <w:vAlign w:val="center"/>
          </w:tcPr>
          <w:p w:rsidR="008B2F73" w:rsidRPr="00D666CC" w:rsidRDefault="008B2F73" w:rsidP="00CF26FE">
            <w:pPr>
              <w:pStyle w:val="Tablehead"/>
              <w:rPr>
                <w:sz w:val="18"/>
                <w:szCs w:val="18"/>
                <w:lang w:val="es-ES_tradnl"/>
              </w:rPr>
            </w:pPr>
            <w:r w:rsidRPr="00D666CC">
              <w:rPr>
                <w:sz w:val="18"/>
                <w:szCs w:val="18"/>
                <w:lang w:val="es-ES_tradnl"/>
              </w:rPr>
              <w:t>Disposiciones no apareadas (por ejemplo para TDD)</w:t>
            </w:r>
            <w:r w:rsidRPr="00D666CC">
              <w:rPr>
                <w:sz w:val="18"/>
                <w:szCs w:val="18"/>
                <w:lang w:val="es-ES_tradnl"/>
              </w:rPr>
              <w:br/>
              <w:t>(MHz)</w:t>
            </w:r>
          </w:p>
        </w:tc>
        <w:tc>
          <w:tcPr>
            <w:tcW w:w="1485" w:type="dxa"/>
            <w:vMerge w:val="restart"/>
            <w:vAlign w:val="center"/>
          </w:tcPr>
          <w:p w:rsidR="008B2F73" w:rsidRPr="00D666CC" w:rsidRDefault="008B2F73" w:rsidP="00CF26FE">
            <w:pPr>
              <w:pStyle w:val="Tablehead"/>
              <w:rPr>
                <w:sz w:val="18"/>
                <w:szCs w:val="18"/>
              </w:rPr>
            </w:pPr>
            <w:r w:rsidRPr="00D666CC">
              <w:rPr>
                <w:sz w:val="18"/>
                <w:szCs w:val="18"/>
              </w:rPr>
              <w:t>Notas pertinentes</w:t>
            </w:r>
          </w:p>
        </w:tc>
      </w:tr>
      <w:tr w:rsidR="008B2F73" w:rsidRPr="00D666CC" w:rsidTr="00D666CC">
        <w:trPr>
          <w:jc w:val="center"/>
        </w:trPr>
        <w:tc>
          <w:tcPr>
            <w:tcW w:w="2390" w:type="dxa"/>
            <w:vMerge/>
            <w:vAlign w:val="center"/>
          </w:tcPr>
          <w:p w:rsidR="008B2F73" w:rsidRPr="00D666CC" w:rsidRDefault="008B2F73" w:rsidP="00CF26FE">
            <w:pPr>
              <w:pStyle w:val="Tablehead"/>
              <w:rPr>
                <w:sz w:val="18"/>
                <w:szCs w:val="18"/>
              </w:rPr>
            </w:pPr>
          </w:p>
        </w:tc>
        <w:tc>
          <w:tcPr>
            <w:tcW w:w="1720" w:type="dxa"/>
            <w:vAlign w:val="center"/>
          </w:tcPr>
          <w:p w:rsidR="008B2F73" w:rsidRPr="00D666CC" w:rsidRDefault="008B2F73" w:rsidP="00CF26FE">
            <w:pPr>
              <w:pStyle w:val="Tablehead"/>
              <w:rPr>
                <w:caps/>
                <w:sz w:val="18"/>
                <w:szCs w:val="18"/>
              </w:rPr>
            </w:pPr>
            <w:r w:rsidRPr="00D666CC">
              <w:rPr>
                <w:sz w:val="18"/>
                <w:szCs w:val="18"/>
              </w:rPr>
              <w:t xml:space="preserve">Estación móvil transmisora </w:t>
            </w:r>
            <w:r w:rsidRPr="00D666CC">
              <w:rPr>
                <w:sz w:val="18"/>
                <w:szCs w:val="18"/>
              </w:rPr>
              <w:br/>
              <w:t>(MHz)</w:t>
            </w:r>
          </w:p>
        </w:tc>
        <w:tc>
          <w:tcPr>
            <w:tcW w:w="1290" w:type="dxa"/>
            <w:vAlign w:val="center"/>
          </w:tcPr>
          <w:p w:rsidR="008B2F73" w:rsidRPr="00D666CC" w:rsidRDefault="008B2F73" w:rsidP="00CF26FE">
            <w:pPr>
              <w:pStyle w:val="Tablehead"/>
              <w:rPr>
                <w:caps/>
                <w:sz w:val="18"/>
                <w:szCs w:val="18"/>
              </w:rPr>
            </w:pPr>
            <w:r w:rsidRPr="00D666CC">
              <w:rPr>
                <w:sz w:val="18"/>
                <w:szCs w:val="18"/>
              </w:rPr>
              <w:t>Separación central (MHz)</w:t>
            </w:r>
          </w:p>
        </w:tc>
        <w:tc>
          <w:tcPr>
            <w:tcW w:w="1490" w:type="dxa"/>
            <w:vAlign w:val="center"/>
          </w:tcPr>
          <w:p w:rsidR="008B2F73" w:rsidRPr="00D666CC" w:rsidRDefault="008B2F73" w:rsidP="00CF26FE">
            <w:pPr>
              <w:pStyle w:val="Tablehead"/>
              <w:rPr>
                <w:caps/>
                <w:sz w:val="18"/>
                <w:szCs w:val="18"/>
                <w:lang w:val="es-ES_tradnl"/>
              </w:rPr>
            </w:pPr>
            <w:r w:rsidRPr="00D666CC">
              <w:rPr>
                <w:sz w:val="18"/>
                <w:szCs w:val="18"/>
                <w:lang w:val="es-ES_tradnl"/>
              </w:rPr>
              <w:t>Estación de base transmisora</w:t>
            </w:r>
            <w:r w:rsidRPr="00D666CC">
              <w:rPr>
                <w:sz w:val="18"/>
                <w:szCs w:val="18"/>
                <w:lang w:val="es-ES_tradnl"/>
              </w:rPr>
              <w:br/>
              <w:t>(MHz)</w:t>
            </w:r>
          </w:p>
        </w:tc>
        <w:tc>
          <w:tcPr>
            <w:tcW w:w="1299" w:type="dxa"/>
            <w:vAlign w:val="center"/>
          </w:tcPr>
          <w:p w:rsidR="008B2F73" w:rsidRPr="00D666CC" w:rsidRDefault="008B2F73" w:rsidP="00CF26FE">
            <w:pPr>
              <w:pStyle w:val="Tablehead"/>
              <w:rPr>
                <w:sz w:val="18"/>
                <w:szCs w:val="18"/>
              </w:rPr>
            </w:pPr>
            <w:r w:rsidRPr="00D666CC">
              <w:rPr>
                <w:sz w:val="18"/>
                <w:szCs w:val="18"/>
              </w:rPr>
              <w:t>Separación dúplex</w:t>
            </w:r>
            <w:r w:rsidRPr="00D666CC">
              <w:rPr>
                <w:sz w:val="18"/>
                <w:szCs w:val="18"/>
              </w:rPr>
              <w:br/>
              <w:t>(MHz)</w:t>
            </w:r>
          </w:p>
        </w:tc>
        <w:tc>
          <w:tcPr>
            <w:tcW w:w="1485" w:type="dxa"/>
            <w:vMerge/>
            <w:vAlign w:val="center"/>
          </w:tcPr>
          <w:p w:rsidR="008B2F73" w:rsidRPr="00D666CC" w:rsidRDefault="008B2F73" w:rsidP="00CF26FE">
            <w:pPr>
              <w:pStyle w:val="Tablehead"/>
              <w:rPr>
                <w:sz w:val="18"/>
                <w:szCs w:val="18"/>
              </w:rPr>
            </w:pPr>
          </w:p>
        </w:tc>
        <w:tc>
          <w:tcPr>
            <w:tcW w:w="1485" w:type="dxa"/>
            <w:vMerge/>
          </w:tcPr>
          <w:p w:rsidR="008B2F73" w:rsidRPr="00D666CC" w:rsidRDefault="008B2F73" w:rsidP="00CF26FE">
            <w:pPr>
              <w:pStyle w:val="Tablehead"/>
              <w:rPr>
                <w:sz w:val="18"/>
                <w:szCs w:val="18"/>
              </w:rPr>
            </w:pPr>
          </w:p>
        </w:tc>
      </w:tr>
      <w:tr w:rsidR="008B2F73" w:rsidRPr="00D666CC" w:rsidTr="00EC6387">
        <w:trPr>
          <w:jc w:val="center"/>
        </w:trPr>
        <w:tc>
          <w:tcPr>
            <w:tcW w:w="2390" w:type="dxa"/>
            <w:vAlign w:val="center"/>
          </w:tcPr>
          <w:p w:rsidR="008B2F73" w:rsidRPr="00D666CC" w:rsidRDefault="008B2F73" w:rsidP="00CF26FE">
            <w:pPr>
              <w:pStyle w:val="Tabletext"/>
              <w:jc w:val="center"/>
              <w:rPr>
                <w:sz w:val="18"/>
                <w:szCs w:val="18"/>
              </w:rPr>
            </w:pPr>
            <w:r w:rsidRPr="00D666CC">
              <w:rPr>
                <w:sz w:val="18"/>
                <w:szCs w:val="18"/>
              </w:rPr>
              <w:t>B1</w:t>
            </w:r>
          </w:p>
        </w:tc>
        <w:tc>
          <w:tcPr>
            <w:tcW w:w="1720" w:type="dxa"/>
            <w:vAlign w:val="center"/>
          </w:tcPr>
          <w:p w:rsidR="008B2F73" w:rsidRPr="00D666CC" w:rsidRDefault="008B2F73" w:rsidP="00CF26FE">
            <w:pPr>
              <w:pStyle w:val="Tabletext"/>
              <w:jc w:val="center"/>
              <w:rPr>
                <w:sz w:val="18"/>
                <w:szCs w:val="18"/>
              </w:rPr>
            </w:pPr>
            <w:r w:rsidRPr="00D666CC">
              <w:rPr>
                <w:sz w:val="18"/>
                <w:szCs w:val="18"/>
              </w:rPr>
              <w:t>1 920-1 980</w:t>
            </w:r>
          </w:p>
        </w:tc>
        <w:tc>
          <w:tcPr>
            <w:tcW w:w="1290" w:type="dxa"/>
            <w:vAlign w:val="center"/>
          </w:tcPr>
          <w:p w:rsidR="008B2F73" w:rsidRPr="00D666CC" w:rsidRDefault="008B2F73" w:rsidP="00CF26FE">
            <w:pPr>
              <w:pStyle w:val="Tabletext"/>
              <w:jc w:val="center"/>
              <w:rPr>
                <w:sz w:val="18"/>
                <w:szCs w:val="18"/>
              </w:rPr>
            </w:pPr>
            <w:r w:rsidRPr="00D666CC">
              <w:rPr>
                <w:sz w:val="18"/>
                <w:szCs w:val="18"/>
              </w:rPr>
              <w:t>130</w:t>
            </w:r>
          </w:p>
        </w:tc>
        <w:tc>
          <w:tcPr>
            <w:tcW w:w="1490" w:type="dxa"/>
            <w:vAlign w:val="center"/>
          </w:tcPr>
          <w:p w:rsidR="008B2F73" w:rsidRPr="00D666CC" w:rsidRDefault="008B2F73" w:rsidP="00CF26FE">
            <w:pPr>
              <w:pStyle w:val="Tabletext"/>
              <w:jc w:val="center"/>
              <w:rPr>
                <w:sz w:val="18"/>
                <w:szCs w:val="18"/>
              </w:rPr>
            </w:pPr>
            <w:r w:rsidRPr="00D666CC">
              <w:rPr>
                <w:sz w:val="18"/>
                <w:szCs w:val="18"/>
              </w:rPr>
              <w:t>2 110-2 170</w:t>
            </w:r>
          </w:p>
        </w:tc>
        <w:tc>
          <w:tcPr>
            <w:tcW w:w="1299" w:type="dxa"/>
            <w:vAlign w:val="center"/>
          </w:tcPr>
          <w:p w:rsidR="008B2F73" w:rsidRPr="00D666CC" w:rsidRDefault="008B2F73" w:rsidP="00CF26FE">
            <w:pPr>
              <w:pStyle w:val="Tabletext"/>
              <w:jc w:val="center"/>
              <w:rPr>
                <w:sz w:val="18"/>
                <w:szCs w:val="18"/>
              </w:rPr>
            </w:pPr>
            <w:r w:rsidRPr="00D666CC">
              <w:rPr>
                <w:sz w:val="18"/>
                <w:szCs w:val="18"/>
              </w:rPr>
              <w:t>190</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1 880-1 920;</w:t>
            </w:r>
            <w:r w:rsidRPr="00D666CC">
              <w:rPr>
                <w:sz w:val="18"/>
                <w:szCs w:val="18"/>
              </w:rPr>
              <w:br/>
              <w:t>2 010-2 025</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1, 2, 4</w:t>
            </w:r>
          </w:p>
        </w:tc>
      </w:tr>
      <w:tr w:rsidR="008B2F73" w:rsidRPr="00D666CC" w:rsidTr="00EC6387">
        <w:trPr>
          <w:jc w:val="center"/>
        </w:trPr>
        <w:tc>
          <w:tcPr>
            <w:tcW w:w="2390" w:type="dxa"/>
            <w:vAlign w:val="center"/>
          </w:tcPr>
          <w:p w:rsidR="008B2F73" w:rsidRPr="00D666CC" w:rsidRDefault="008B2F73" w:rsidP="00CF26FE">
            <w:pPr>
              <w:pStyle w:val="Tabletext"/>
              <w:jc w:val="center"/>
              <w:rPr>
                <w:sz w:val="18"/>
                <w:szCs w:val="18"/>
              </w:rPr>
            </w:pPr>
            <w:r w:rsidRPr="00D666CC">
              <w:rPr>
                <w:sz w:val="18"/>
                <w:szCs w:val="18"/>
              </w:rPr>
              <w:t>B2</w:t>
            </w:r>
          </w:p>
        </w:tc>
        <w:tc>
          <w:tcPr>
            <w:tcW w:w="1720" w:type="dxa"/>
            <w:vAlign w:val="center"/>
          </w:tcPr>
          <w:p w:rsidR="008B2F73" w:rsidRPr="00D666CC" w:rsidRDefault="008B2F73" w:rsidP="00CF26FE">
            <w:pPr>
              <w:pStyle w:val="Tabletext"/>
              <w:jc w:val="center"/>
              <w:rPr>
                <w:sz w:val="18"/>
                <w:szCs w:val="18"/>
              </w:rPr>
            </w:pPr>
            <w:r w:rsidRPr="00D666CC">
              <w:rPr>
                <w:sz w:val="18"/>
                <w:szCs w:val="18"/>
              </w:rPr>
              <w:t>1 710-1 785</w:t>
            </w:r>
          </w:p>
        </w:tc>
        <w:tc>
          <w:tcPr>
            <w:tcW w:w="1290" w:type="dxa"/>
            <w:vAlign w:val="center"/>
          </w:tcPr>
          <w:p w:rsidR="008B2F73" w:rsidRPr="00D666CC" w:rsidRDefault="008B2F73" w:rsidP="00CF26FE">
            <w:pPr>
              <w:pStyle w:val="Tabletext"/>
              <w:jc w:val="center"/>
              <w:rPr>
                <w:sz w:val="18"/>
                <w:szCs w:val="18"/>
              </w:rPr>
            </w:pPr>
            <w:r w:rsidRPr="00D666CC">
              <w:rPr>
                <w:sz w:val="18"/>
                <w:szCs w:val="18"/>
              </w:rPr>
              <w:t>20</w:t>
            </w:r>
          </w:p>
        </w:tc>
        <w:tc>
          <w:tcPr>
            <w:tcW w:w="1490" w:type="dxa"/>
            <w:vAlign w:val="center"/>
          </w:tcPr>
          <w:p w:rsidR="008B2F73" w:rsidRPr="00D666CC" w:rsidRDefault="008B2F73" w:rsidP="00CF26FE">
            <w:pPr>
              <w:pStyle w:val="Tabletext"/>
              <w:jc w:val="center"/>
              <w:rPr>
                <w:sz w:val="18"/>
                <w:szCs w:val="18"/>
              </w:rPr>
            </w:pPr>
            <w:r w:rsidRPr="00D666CC">
              <w:rPr>
                <w:sz w:val="18"/>
                <w:szCs w:val="18"/>
              </w:rPr>
              <w:t>1 805-1 880</w:t>
            </w:r>
          </w:p>
        </w:tc>
        <w:tc>
          <w:tcPr>
            <w:tcW w:w="1299" w:type="dxa"/>
            <w:vAlign w:val="center"/>
          </w:tcPr>
          <w:p w:rsidR="008B2F73" w:rsidRPr="00D666CC" w:rsidRDefault="008B2F73" w:rsidP="00CF26FE">
            <w:pPr>
              <w:pStyle w:val="Tabletext"/>
              <w:jc w:val="center"/>
              <w:rPr>
                <w:sz w:val="18"/>
                <w:szCs w:val="18"/>
              </w:rPr>
            </w:pPr>
            <w:r w:rsidRPr="00D666CC">
              <w:rPr>
                <w:sz w:val="18"/>
                <w:szCs w:val="18"/>
              </w:rPr>
              <w:t>95</w:t>
            </w:r>
          </w:p>
        </w:tc>
        <w:tc>
          <w:tcPr>
            <w:tcW w:w="1485" w:type="dxa"/>
            <w:vAlign w:val="center"/>
          </w:tcPr>
          <w:p w:rsidR="008B2F73" w:rsidRPr="00D666CC" w:rsidRDefault="008B2F73" w:rsidP="00CF26FE">
            <w:pPr>
              <w:pStyle w:val="Tabletext"/>
              <w:jc w:val="center"/>
              <w:rPr>
                <w:sz w:val="18"/>
                <w:szCs w:val="18"/>
              </w:rPr>
            </w:pPr>
            <w:r w:rsidRPr="00D666CC">
              <w:rPr>
                <w:sz w:val="18"/>
                <w:szCs w:val="18"/>
              </w:rPr>
              <w:t>Ninguna</w:t>
            </w:r>
          </w:p>
        </w:tc>
        <w:tc>
          <w:tcPr>
            <w:tcW w:w="1485" w:type="dxa"/>
            <w:vAlign w:val="center"/>
          </w:tcPr>
          <w:p w:rsidR="008B2F73" w:rsidRPr="00D666CC" w:rsidRDefault="008B2F73" w:rsidP="00CF26FE">
            <w:pPr>
              <w:pStyle w:val="Tabletext"/>
              <w:jc w:val="center"/>
              <w:rPr>
                <w:sz w:val="18"/>
                <w:szCs w:val="18"/>
              </w:rPr>
            </w:pPr>
            <w:r w:rsidRPr="00D666CC">
              <w:rPr>
                <w:sz w:val="18"/>
                <w:szCs w:val="18"/>
              </w:rPr>
              <w:t>1</w:t>
            </w:r>
          </w:p>
        </w:tc>
      </w:tr>
      <w:tr w:rsidR="008B2F73" w:rsidRPr="00D666CC" w:rsidTr="00EC6387">
        <w:trPr>
          <w:jc w:val="center"/>
        </w:trPr>
        <w:tc>
          <w:tcPr>
            <w:tcW w:w="2390" w:type="dxa"/>
            <w:vAlign w:val="center"/>
          </w:tcPr>
          <w:p w:rsidR="008B2F73" w:rsidRPr="00D666CC" w:rsidRDefault="008B2F73" w:rsidP="00CF26FE">
            <w:pPr>
              <w:pStyle w:val="Tabletext"/>
              <w:jc w:val="center"/>
              <w:rPr>
                <w:sz w:val="18"/>
                <w:szCs w:val="18"/>
              </w:rPr>
            </w:pPr>
            <w:r w:rsidRPr="00D666CC">
              <w:rPr>
                <w:sz w:val="18"/>
                <w:szCs w:val="18"/>
              </w:rPr>
              <w:t>B3</w:t>
            </w:r>
          </w:p>
        </w:tc>
        <w:tc>
          <w:tcPr>
            <w:tcW w:w="1720" w:type="dxa"/>
            <w:vAlign w:val="center"/>
          </w:tcPr>
          <w:p w:rsidR="008B2F73" w:rsidRPr="00D666CC" w:rsidRDefault="008B2F73" w:rsidP="00CF26FE">
            <w:pPr>
              <w:pStyle w:val="Tabletext"/>
              <w:jc w:val="center"/>
              <w:rPr>
                <w:sz w:val="18"/>
                <w:szCs w:val="18"/>
              </w:rPr>
            </w:pPr>
            <w:r w:rsidRPr="00D666CC">
              <w:rPr>
                <w:sz w:val="18"/>
                <w:szCs w:val="18"/>
              </w:rPr>
              <w:t>1 850-1 920</w:t>
            </w:r>
          </w:p>
        </w:tc>
        <w:tc>
          <w:tcPr>
            <w:tcW w:w="1290" w:type="dxa"/>
            <w:vAlign w:val="center"/>
          </w:tcPr>
          <w:p w:rsidR="008B2F73" w:rsidRPr="00D666CC" w:rsidRDefault="008B2F73" w:rsidP="00CF26FE">
            <w:pPr>
              <w:pStyle w:val="Tabletext"/>
              <w:jc w:val="center"/>
              <w:rPr>
                <w:sz w:val="18"/>
                <w:szCs w:val="18"/>
              </w:rPr>
            </w:pPr>
            <w:r w:rsidRPr="00D666CC" w:rsidDel="00281C94">
              <w:rPr>
                <w:sz w:val="18"/>
                <w:szCs w:val="18"/>
              </w:rPr>
              <w:t>2</w:t>
            </w:r>
            <w:r w:rsidRPr="00D666CC">
              <w:rPr>
                <w:sz w:val="18"/>
                <w:szCs w:val="18"/>
              </w:rPr>
              <w:t>10</w:t>
            </w:r>
          </w:p>
        </w:tc>
        <w:tc>
          <w:tcPr>
            <w:tcW w:w="1490" w:type="dxa"/>
            <w:vAlign w:val="center"/>
          </w:tcPr>
          <w:p w:rsidR="008B2F73" w:rsidRPr="00D666CC" w:rsidRDefault="008B2F73" w:rsidP="00CF26FE">
            <w:pPr>
              <w:pStyle w:val="Tabletext"/>
              <w:jc w:val="center"/>
              <w:rPr>
                <w:sz w:val="18"/>
                <w:szCs w:val="18"/>
              </w:rPr>
            </w:pPr>
            <w:r w:rsidRPr="00D666CC">
              <w:rPr>
                <w:sz w:val="18"/>
                <w:szCs w:val="18"/>
              </w:rPr>
              <w:t xml:space="preserve">1 930-2 000 </w:t>
            </w:r>
          </w:p>
        </w:tc>
        <w:tc>
          <w:tcPr>
            <w:tcW w:w="1299" w:type="dxa"/>
            <w:vAlign w:val="center"/>
          </w:tcPr>
          <w:p w:rsidR="008B2F73" w:rsidRPr="00D666CC" w:rsidRDefault="008B2F73" w:rsidP="00CF26FE">
            <w:pPr>
              <w:pStyle w:val="Tabletext"/>
              <w:jc w:val="center"/>
              <w:rPr>
                <w:sz w:val="18"/>
                <w:szCs w:val="18"/>
              </w:rPr>
            </w:pPr>
            <w:r w:rsidRPr="00D666CC">
              <w:rPr>
                <w:sz w:val="18"/>
                <w:szCs w:val="18"/>
              </w:rPr>
              <w:t>80</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1 920-1 930</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1, 2, 5</w:t>
            </w:r>
          </w:p>
        </w:tc>
      </w:tr>
      <w:tr w:rsidR="008B2F73" w:rsidRPr="00D666CC" w:rsidTr="00EC6387">
        <w:trPr>
          <w:jc w:val="center"/>
        </w:trPr>
        <w:tc>
          <w:tcPr>
            <w:tcW w:w="2390" w:type="dxa"/>
            <w:vAlign w:val="center"/>
          </w:tcPr>
          <w:p w:rsidR="008B2F73" w:rsidRPr="00D666CC" w:rsidRDefault="008B2F73" w:rsidP="00CF26FE">
            <w:pPr>
              <w:pStyle w:val="Tabletext"/>
              <w:jc w:val="center"/>
              <w:rPr>
                <w:sz w:val="18"/>
                <w:szCs w:val="18"/>
                <w:lang w:val="es-ES_tradnl"/>
              </w:rPr>
            </w:pPr>
            <w:r w:rsidRPr="00D666CC">
              <w:rPr>
                <w:sz w:val="18"/>
                <w:szCs w:val="18"/>
                <w:lang w:val="es-ES_tradnl"/>
              </w:rPr>
              <w:t>B4 (armonizado con B1 y B2)</w:t>
            </w:r>
          </w:p>
        </w:tc>
        <w:tc>
          <w:tcPr>
            <w:tcW w:w="1720" w:type="dxa"/>
            <w:vAlign w:val="center"/>
          </w:tcPr>
          <w:p w:rsidR="008B2F73" w:rsidRPr="00D666CC" w:rsidRDefault="008B2F73" w:rsidP="00CF26FE">
            <w:pPr>
              <w:pStyle w:val="Tabletext"/>
              <w:jc w:val="center"/>
              <w:rPr>
                <w:sz w:val="18"/>
                <w:szCs w:val="18"/>
              </w:rPr>
            </w:pPr>
            <w:r w:rsidRPr="00D666CC">
              <w:rPr>
                <w:sz w:val="18"/>
                <w:szCs w:val="18"/>
              </w:rPr>
              <w:t>1 710-1 785</w:t>
            </w:r>
            <w:r w:rsidRPr="00D666CC">
              <w:rPr>
                <w:sz w:val="18"/>
                <w:szCs w:val="18"/>
              </w:rPr>
              <w:br/>
              <w:t>1 920-1 980</w:t>
            </w:r>
          </w:p>
        </w:tc>
        <w:tc>
          <w:tcPr>
            <w:tcW w:w="1290" w:type="dxa"/>
            <w:vAlign w:val="center"/>
          </w:tcPr>
          <w:p w:rsidR="008B2F73" w:rsidRPr="00D666CC" w:rsidRDefault="008B2F73" w:rsidP="00CF26FE">
            <w:pPr>
              <w:pStyle w:val="Tabletext"/>
              <w:jc w:val="center"/>
              <w:rPr>
                <w:sz w:val="18"/>
                <w:szCs w:val="18"/>
              </w:rPr>
            </w:pPr>
            <w:r w:rsidRPr="00D666CC">
              <w:rPr>
                <w:sz w:val="18"/>
                <w:szCs w:val="18"/>
              </w:rPr>
              <w:t>20</w:t>
            </w:r>
            <w:r w:rsidRPr="00D666CC">
              <w:rPr>
                <w:sz w:val="18"/>
                <w:szCs w:val="18"/>
              </w:rPr>
              <w:br/>
              <w:t>130</w:t>
            </w:r>
          </w:p>
        </w:tc>
        <w:tc>
          <w:tcPr>
            <w:tcW w:w="1490" w:type="dxa"/>
            <w:vAlign w:val="center"/>
          </w:tcPr>
          <w:p w:rsidR="008B2F73" w:rsidRPr="00D666CC" w:rsidRDefault="008B2F73" w:rsidP="00CF26FE">
            <w:pPr>
              <w:pStyle w:val="Tabletext"/>
              <w:jc w:val="center"/>
              <w:rPr>
                <w:sz w:val="18"/>
                <w:szCs w:val="18"/>
              </w:rPr>
            </w:pPr>
            <w:r w:rsidRPr="00D666CC">
              <w:rPr>
                <w:sz w:val="18"/>
                <w:szCs w:val="18"/>
              </w:rPr>
              <w:t>1 805-1 880</w:t>
            </w:r>
            <w:r w:rsidRPr="00D666CC">
              <w:rPr>
                <w:sz w:val="18"/>
                <w:szCs w:val="18"/>
              </w:rPr>
              <w:br/>
              <w:t>2 110-2 170</w:t>
            </w:r>
          </w:p>
        </w:tc>
        <w:tc>
          <w:tcPr>
            <w:tcW w:w="1299" w:type="dxa"/>
            <w:vAlign w:val="center"/>
          </w:tcPr>
          <w:p w:rsidR="008B2F73" w:rsidRPr="00D666CC" w:rsidRDefault="008B2F73" w:rsidP="00CF26FE">
            <w:pPr>
              <w:pStyle w:val="Tabletext"/>
              <w:jc w:val="center"/>
              <w:rPr>
                <w:sz w:val="18"/>
                <w:szCs w:val="18"/>
              </w:rPr>
            </w:pPr>
            <w:r w:rsidRPr="00D666CC">
              <w:rPr>
                <w:sz w:val="18"/>
                <w:szCs w:val="18"/>
              </w:rPr>
              <w:t>95</w:t>
            </w:r>
            <w:r w:rsidRPr="00D666CC">
              <w:rPr>
                <w:sz w:val="18"/>
                <w:szCs w:val="18"/>
              </w:rPr>
              <w:br/>
              <w:t>190</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1 880-1 920;</w:t>
            </w:r>
            <w:r w:rsidRPr="00D666CC">
              <w:rPr>
                <w:sz w:val="18"/>
                <w:szCs w:val="18"/>
              </w:rPr>
              <w:br/>
              <w:t>2 010-2 025</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1, 2, 4</w:t>
            </w:r>
          </w:p>
        </w:tc>
      </w:tr>
      <w:tr w:rsidR="008B2F73" w:rsidRPr="00D666CC" w:rsidTr="00EC6387">
        <w:trPr>
          <w:jc w:val="center"/>
        </w:trPr>
        <w:tc>
          <w:tcPr>
            <w:tcW w:w="2390" w:type="dxa"/>
            <w:vAlign w:val="center"/>
          </w:tcPr>
          <w:p w:rsidR="008B2F73" w:rsidRPr="00D666CC" w:rsidRDefault="008B2F73" w:rsidP="00D666CC">
            <w:pPr>
              <w:pStyle w:val="Tabletext"/>
              <w:jc w:val="center"/>
              <w:rPr>
                <w:sz w:val="18"/>
                <w:szCs w:val="18"/>
                <w:lang w:val="es-ES_tradnl"/>
              </w:rPr>
            </w:pPr>
            <w:r w:rsidRPr="00D666CC">
              <w:rPr>
                <w:sz w:val="18"/>
                <w:szCs w:val="18"/>
                <w:lang w:val="es-ES_tradnl"/>
              </w:rPr>
              <w:t>B5 (armonizado con B3 y parcialmente armonizado con el enlace descendente de B1 y el enlace ascendente de B2)</w:t>
            </w:r>
          </w:p>
        </w:tc>
        <w:tc>
          <w:tcPr>
            <w:tcW w:w="1720" w:type="dxa"/>
            <w:vAlign w:val="center"/>
          </w:tcPr>
          <w:p w:rsidR="008B2F73" w:rsidRPr="00D666CC" w:rsidRDefault="008B2F73" w:rsidP="00CF26FE">
            <w:pPr>
              <w:pStyle w:val="Tabletext"/>
              <w:jc w:val="center"/>
              <w:rPr>
                <w:sz w:val="18"/>
                <w:szCs w:val="18"/>
              </w:rPr>
            </w:pPr>
            <w:r w:rsidRPr="00D666CC">
              <w:rPr>
                <w:sz w:val="18"/>
                <w:szCs w:val="18"/>
              </w:rPr>
              <w:t>1 850-1 920</w:t>
            </w:r>
            <w:r w:rsidRPr="00D666CC">
              <w:rPr>
                <w:sz w:val="18"/>
                <w:szCs w:val="18"/>
              </w:rPr>
              <w:br/>
              <w:t>1 710-1 780</w:t>
            </w:r>
          </w:p>
        </w:tc>
        <w:tc>
          <w:tcPr>
            <w:tcW w:w="1290" w:type="dxa"/>
            <w:vAlign w:val="center"/>
          </w:tcPr>
          <w:p w:rsidR="008B2F73" w:rsidRPr="00D666CC" w:rsidRDefault="008B2F73" w:rsidP="00CF26FE">
            <w:pPr>
              <w:pStyle w:val="Tabletext"/>
              <w:jc w:val="center"/>
              <w:rPr>
                <w:sz w:val="18"/>
                <w:szCs w:val="18"/>
              </w:rPr>
            </w:pPr>
            <w:r w:rsidRPr="00D666CC" w:rsidDel="00281C94">
              <w:rPr>
                <w:sz w:val="18"/>
                <w:szCs w:val="18"/>
              </w:rPr>
              <w:t>2</w:t>
            </w:r>
            <w:r w:rsidRPr="00D666CC">
              <w:rPr>
                <w:sz w:val="18"/>
                <w:szCs w:val="18"/>
              </w:rPr>
              <w:t>10</w:t>
            </w:r>
            <w:r w:rsidRPr="00D666CC">
              <w:rPr>
                <w:sz w:val="18"/>
                <w:szCs w:val="18"/>
              </w:rPr>
              <w:br/>
              <w:t>330</w:t>
            </w:r>
          </w:p>
        </w:tc>
        <w:tc>
          <w:tcPr>
            <w:tcW w:w="1490" w:type="dxa"/>
            <w:vAlign w:val="center"/>
          </w:tcPr>
          <w:p w:rsidR="008B2F73" w:rsidRPr="00D666CC" w:rsidRDefault="008B2F73" w:rsidP="00CF26FE">
            <w:pPr>
              <w:pStyle w:val="Tabletext"/>
              <w:jc w:val="center"/>
              <w:rPr>
                <w:sz w:val="18"/>
                <w:szCs w:val="18"/>
              </w:rPr>
            </w:pPr>
            <w:r w:rsidRPr="00D666CC">
              <w:rPr>
                <w:sz w:val="18"/>
                <w:szCs w:val="18"/>
              </w:rPr>
              <w:t xml:space="preserve">1 930-2 000 </w:t>
            </w:r>
            <w:r w:rsidRPr="00D666CC">
              <w:rPr>
                <w:sz w:val="18"/>
                <w:szCs w:val="18"/>
              </w:rPr>
              <w:br/>
              <w:t>2 110-2 180</w:t>
            </w:r>
          </w:p>
        </w:tc>
        <w:tc>
          <w:tcPr>
            <w:tcW w:w="1299" w:type="dxa"/>
            <w:vAlign w:val="center"/>
          </w:tcPr>
          <w:p w:rsidR="008B2F73" w:rsidRPr="00D666CC" w:rsidRDefault="008B2F73" w:rsidP="00CF26FE">
            <w:pPr>
              <w:pStyle w:val="Tabletext"/>
              <w:jc w:val="center"/>
              <w:rPr>
                <w:sz w:val="18"/>
                <w:szCs w:val="18"/>
              </w:rPr>
            </w:pPr>
            <w:r w:rsidRPr="00D666CC">
              <w:rPr>
                <w:sz w:val="18"/>
                <w:szCs w:val="18"/>
              </w:rPr>
              <w:t>80</w:t>
            </w:r>
            <w:r w:rsidRPr="00D666CC">
              <w:rPr>
                <w:sz w:val="18"/>
                <w:szCs w:val="18"/>
              </w:rPr>
              <w:br/>
              <w:t>400</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1 920-1 930</w:t>
            </w:r>
          </w:p>
        </w:tc>
        <w:tc>
          <w:tcPr>
            <w:tcW w:w="1485" w:type="dxa"/>
            <w:vAlign w:val="center"/>
          </w:tcPr>
          <w:p w:rsidR="008B2F73" w:rsidRPr="00D666CC" w:rsidRDefault="008B2F73" w:rsidP="00CF26FE">
            <w:pPr>
              <w:pStyle w:val="Tabletext"/>
              <w:jc w:val="center"/>
              <w:rPr>
                <w:sz w:val="18"/>
                <w:szCs w:val="18"/>
              </w:rPr>
            </w:pPr>
            <w:r w:rsidRPr="00D666CC">
              <w:rPr>
                <w:sz w:val="18"/>
                <w:szCs w:val="18"/>
              </w:rPr>
              <w:t>1, 2, 3, 5</w:t>
            </w:r>
          </w:p>
        </w:tc>
      </w:tr>
      <w:tr w:rsidR="008B2F73" w:rsidRPr="00D666CC" w:rsidTr="00EC6387">
        <w:trPr>
          <w:jc w:val="center"/>
        </w:trPr>
        <w:tc>
          <w:tcPr>
            <w:tcW w:w="2390" w:type="dxa"/>
            <w:vAlign w:val="center"/>
          </w:tcPr>
          <w:p w:rsidR="008B2F73" w:rsidRPr="00D666CC" w:rsidRDefault="008B2F73" w:rsidP="00CF26FE">
            <w:pPr>
              <w:pStyle w:val="Tabletext"/>
              <w:jc w:val="center"/>
              <w:rPr>
                <w:sz w:val="18"/>
                <w:szCs w:val="18"/>
              </w:rPr>
            </w:pPr>
            <w:r w:rsidRPr="00D666CC">
              <w:rPr>
                <w:sz w:val="18"/>
                <w:szCs w:val="18"/>
              </w:rPr>
              <w:t>B6</w:t>
            </w:r>
          </w:p>
        </w:tc>
        <w:tc>
          <w:tcPr>
            <w:tcW w:w="1720" w:type="dxa"/>
            <w:vAlign w:val="center"/>
          </w:tcPr>
          <w:p w:rsidR="008B2F73" w:rsidRPr="00D666CC" w:rsidRDefault="008B2F73" w:rsidP="00CF26FE">
            <w:pPr>
              <w:pStyle w:val="Tabletext"/>
              <w:jc w:val="center"/>
              <w:rPr>
                <w:sz w:val="18"/>
                <w:szCs w:val="18"/>
              </w:rPr>
            </w:pPr>
            <w:r w:rsidRPr="00D666CC">
              <w:rPr>
                <w:sz w:val="18"/>
                <w:szCs w:val="18"/>
              </w:rPr>
              <w:t>1 980-2 010</w:t>
            </w:r>
          </w:p>
        </w:tc>
        <w:tc>
          <w:tcPr>
            <w:tcW w:w="1290" w:type="dxa"/>
            <w:vAlign w:val="center"/>
          </w:tcPr>
          <w:p w:rsidR="008B2F73" w:rsidRPr="00D666CC" w:rsidRDefault="008B2F73" w:rsidP="00CF26FE">
            <w:pPr>
              <w:pStyle w:val="Tabletext"/>
              <w:jc w:val="center"/>
              <w:rPr>
                <w:sz w:val="18"/>
                <w:szCs w:val="18"/>
              </w:rPr>
            </w:pPr>
            <w:r w:rsidRPr="00D666CC">
              <w:rPr>
                <w:sz w:val="18"/>
                <w:szCs w:val="18"/>
              </w:rPr>
              <w:t>160</w:t>
            </w:r>
          </w:p>
        </w:tc>
        <w:tc>
          <w:tcPr>
            <w:tcW w:w="1490" w:type="dxa"/>
            <w:vAlign w:val="center"/>
          </w:tcPr>
          <w:p w:rsidR="008B2F73" w:rsidRPr="00D666CC" w:rsidRDefault="008B2F73" w:rsidP="00CF26FE">
            <w:pPr>
              <w:pStyle w:val="Tabletext"/>
              <w:jc w:val="center"/>
              <w:rPr>
                <w:sz w:val="18"/>
                <w:szCs w:val="18"/>
              </w:rPr>
            </w:pPr>
            <w:r w:rsidRPr="00D666CC">
              <w:rPr>
                <w:sz w:val="18"/>
                <w:szCs w:val="18"/>
              </w:rPr>
              <w:t>2 170-2 200</w:t>
            </w:r>
          </w:p>
        </w:tc>
        <w:tc>
          <w:tcPr>
            <w:tcW w:w="1299" w:type="dxa"/>
            <w:vAlign w:val="center"/>
          </w:tcPr>
          <w:p w:rsidR="008B2F73" w:rsidRPr="00D666CC" w:rsidRDefault="008B2F73" w:rsidP="00CF26FE">
            <w:pPr>
              <w:pStyle w:val="Tabletext"/>
              <w:jc w:val="center"/>
              <w:rPr>
                <w:sz w:val="18"/>
                <w:szCs w:val="18"/>
              </w:rPr>
            </w:pPr>
            <w:r w:rsidRPr="00D666CC">
              <w:rPr>
                <w:sz w:val="18"/>
                <w:szCs w:val="18"/>
              </w:rPr>
              <w:t>190</w:t>
            </w:r>
          </w:p>
        </w:tc>
        <w:tc>
          <w:tcPr>
            <w:tcW w:w="1485" w:type="dxa"/>
            <w:vAlign w:val="center"/>
          </w:tcPr>
          <w:p w:rsidR="008B2F73" w:rsidRPr="00D666CC" w:rsidRDefault="008B2F73" w:rsidP="00CF26FE">
            <w:pPr>
              <w:pStyle w:val="Tabletext"/>
              <w:jc w:val="center"/>
              <w:rPr>
                <w:sz w:val="18"/>
                <w:szCs w:val="18"/>
              </w:rPr>
            </w:pPr>
            <w:r w:rsidRPr="00D666CC">
              <w:rPr>
                <w:sz w:val="18"/>
                <w:szCs w:val="18"/>
              </w:rPr>
              <w:t>Ninguna</w:t>
            </w:r>
          </w:p>
        </w:tc>
        <w:tc>
          <w:tcPr>
            <w:tcW w:w="1485" w:type="dxa"/>
            <w:vAlign w:val="center"/>
          </w:tcPr>
          <w:p w:rsidR="008B2F73" w:rsidRPr="00D666CC" w:rsidRDefault="008B2F73" w:rsidP="00CF26FE">
            <w:pPr>
              <w:pStyle w:val="Tabletext"/>
              <w:jc w:val="center"/>
              <w:rPr>
                <w:sz w:val="18"/>
                <w:szCs w:val="18"/>
              </w:rPr>
            </w:pPr>
            <w:r w:rsidRPr="00D666CC">
              <w:rPr>
                <w:sz w:val="18"/>
                <w:szCs w:val="18"/>
              </w:rPr>
              <w:t>4, 5</w:t>
            </w:r>
          </w:p>
        </w:tc>
      </w:tr>
      <w:tr w:rsidR="008B2F73" w:rsidRPr="00D666CC" w:rsidTr="00EC6387">
        <w:tblPrEx>
          <w:tblLook w:val="04A0" w:firstRow="1" w:lastRow="0" w:firstColumn="1" w:lastColumn="0" w:noHBand="0" w:noVBand="1"/>
        </w:tblPrEx>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8B2F73" w:rsidRPr="00D666CC" w:rsidRDefault="008B2F73" w:rsidP="00CF26FE">
            <w:pPr>
              <w:pStyle w:val="Tabletext"/>
              <w:jc w:val="center"/>
              <w:rPr>
                <w:sz w:val="18"/>
                <w:szCs w:val="18"/>
                <w:lang w:eastAsia="zh-CN"/>
              </w:rPr>
            </w:pPr>
            <w:r w:rsidRPr="00D666CC">
              <w:rPr>
                <w:sz w:val="18"/>
                <w:szCs w:val="18"/>
                <w:lang w:eastAsia="zh-CN"/>
              </w:rPr>
              <w:t>B7</w:t>
            </w:r>
          </w:p>
        </w:tc>
        <w:tc>
          <w:tcPr>
            <w:tcW w:w="1720" w:type="dxa"/>
            <w:tcBorders>
              <w:top w:val="single" w:sz="4" w:space="0" w:color="auto"/>
              <w:left w:val="single" w:sz="4" w:space="0" w:color="auto"/>
              <w:bottom w:val="single" w:sz="4" w:space="0" w:color="auto"/>
              <w:right w:val="single" w:sz="4" w:space="0" w:color="auto"/>
            </w:tcBorders>
            <w:vAlign w:val="center"/>
            <w:hideMark/>
          </w:tcPr>
          <w:p w:rsidR="008B2F73" w:rsidRPr="00D666CC" w:rsidRDefault="008B2F73" w:rsidP="00CF26FE">
            <w:pPr>
              <w:pStyle w:val="Tabletext"/>
              <w:jc w:val="center"/>
              <w:rPr>
                <w:sz w:val="18"/>
                <w:szCs w:val="18"/>
                <w:lang w:eastAsia="zh-CN"/>
              </w:rPr>
            </w:pPr>
            <w:r w:rsidRPr="00D666CC">
              <w:rPr>
                <w:sz w:val="18"/>
                <w:szCs w:val="18"/>
                <w:lang w:eastAsia="zh-CN"/>
              </w:rPr>
              <w:t>2 000-2 020</w:t>
            </w:r>
          </w:p>
        </w:tc>
        <w:tc>
          <w:tcPr>
            <w:tcW w:w="1290" w:type="dxa"/>
            <w:tcBorders>
              <w:top w:val="single" w:sz="4" w:space="0" w:color="auto"/>
              <w:left w:val="single" w:sz="4" w:space="0" w:color="auto"/>
              <w:bottom w:val="single" w:sz="4" w:space="0" w:color="auto"/>
              <w:right w:val="single" w:sz="4" w:space="0" w:color="auto"/>
            </w:tcBorders>
            <w:vAlign w:val="center"/>
            <w:hideMark/>
          </w:tcPr>
          <w:p w:rsidR="008B2F73" w:rsidRPr="00D666CC" w:rsidRDefault="008B2F73" w:rsidP="00CF26FE">
            <w:pPr>
              <w:pStyle w:val="Tabletext"/>
              <w:jc w:val="center"/>
              <w:rPr>
                <w:sz w:val="18"/>
                <w:szCs w:val="18"/>
                <w:lang w:eastAsia="zh-CN"/>
              </w:rPr>
            </w:pPr>
            <w:r w:rsidRPr="00D666CC">
              <w:rPr>
                <w:sz w:val="18"/>
                <w:szCs w:val="18"/>
                <w:lang w:eastAsia="zh-CN"/>
              </w:rPr>
              <w:t>160</w:t>
            </w:r>
          </w:p>
        </w:tc>
        <w:tc>
          <w:tcPr>
            <w:tcW w:w="1490" w:type="dxa"/>
            <w:tcBorders>
              <w:top w:val="single" w:sz="4" w:space="0" w:color="auto"/>
              <w:left w:val="single" w:sz="4" w:space="0" w:color="auto"/>
              <w:bottom w:val="single" w:sz="4" w:space="0" w:color="auto"/>
              <w:right w:val="single" w:sz="4" w:space="0" w:color="auto"/>
            </w:tcBorders>
            <w:vAlign w:val="center"/>
            <w:hideMark/>
          </w:tcPr>
          <w:p w:rsidR="008B2F73" w:rsidRPr="00D666CC" w:rsidRDefault="008B2F73" w:rsidP="00CF26FE">
            <w:pPr>
              <w:pStyle w:val="Tabletext"/>
              <w:jc w:val="center"/>
              <w:rPr>
                <w:sz w:val="18"/>
                <w:szCs w:val="18"/>
                <w:lang w:eastAsia="zh-CN"/>
              </w:rPr>
            </w:pPr>
            <w:r w:rsidRPr="00D666CC">
              <w:rPr>
                <w:sz w:val="18"/>
                <w:szCs w:val="18"/>
                <w:lang w:eastAsia="zh-CN"/>
              </w:rPr>
              <w:t>2 180-2 200</w:t>
            </w:r>
          </w:p>
        </w:tc>
        <w:tc>
          <w:tcPr>
            <w:tcW w:w="1299" w:type="dxa"/>
            <w:tcBorders>
              <w:top w:val="single" w:sz="4" w:space="0" w:color="auto"/>
              <w:left w:val="single" w:sz="4" w:space="0" w:color="auto"/>
              <w:bottom w:val="single" w:sz="4" w:space="0" w:color="auto"/>
              <w:right w:val="single" w:sz="4" w:space="0" w:color="auto"/>
            </w:tcBorders>
            <w:vAlign w:val="center"/>
            <w:hideMark/>
          </w:tcPr>
          <w:p w:rsidR="008B2F73" w:rsidRPr="00D666CC" w:rsidRDefault="008B2F73" w:rsidP="00CF26FE">
            <w:pPr>
              <w:pStyle w:val="Tabletext"/>
              <w:jc w:val="center"/>
              <w:rPr>
                <w:sz w:val="18"/>
                <w:szCs w:val="18"/>
                <w:lang w:eastAsia="zh-CN"/>
              </w:rPr>
            </w:pPr>
            <w:r w:rsidRPr="00D666CC">
              <w:rPr>
                <w:sz w:val="18"/>
                <w:szCs w:val="18"/>
                <w:lang w:eastAsia="zh-CN"/>
              </w:rPr>
              <w:t>180</w:t>
            </w:r>
          </w:p>
        </w:tc>
        <w:tc>
          <w:tcPr>
            <w:tcW w:w="1485" w:type="dxa"/>
            <w:tcBorders>
              <w:top w:val="single" w:sz="4" w:space="0" w:color="auto"/>
              <w:left w:val="single" w:sz="4" w:space="0" w:color="auto"/>
              <w:bottom w:val="single" w:sz="4" w:space="0" w:color="auto"/>
              <w:right w:val="single" w:sz="4" w:space="0" w:color="auto"/>
            </w:tcBorders>
            <w:vAlign w:val="center"/>
            <w:hideMark/>
          </w:tcPr>
          <w:p w:rsidR="008B2F73" w:rsidRPr="00D666CC" w:rsidRDefault="008B2F73" w:rsidP="00CF26FE">
            <w:pPr>
              <w:pStyle w:val="Tabletext"/>
              <w:jc w:val="center"/>
              <w:rPr>
                <w:sz w:val="18"/>
                <w:szCs w:val="18"/>
                <w:lang w:eastAsia="zh-CN"/>
              </w:rPr>
            </w:pPr>
            <w:r w:rsidRPr="00D666CC">
              <w:rPr>
                <w:sz w:val="18"/>
                <w:szCs w:val="18"/>
              </w:rPr>
              <w:t>Ninguna</w:t>
            </w:r>
          </w:p>
        </w:tc>
        <w:tc>
          <w:tcPr>
            <w:tcW w:w="1485" w:type="dxa"/>
            <w:tcBorders>
              <w:top w:val="single" w:sz="4" w:space="0" w:color="auto"/>
              <w:left w:val="single" w:sz="4" w:space="0" w:color="auto"/>
              <w:bottom w:val="single" w:sz="4" w:space="0" w:color="auto"/>
              <w:right w:val="single" w:sz="4" w:space="0" w:color="auto"/>
            </w:tcBorders>
            <w:vAlign w:val="center"/>
          </w:tcPr>
          <w:p w:rsidR="008B2F73" w:rsidRPr="00D666CC" w:rsidRDefault="008B2F73" w:rsidP="00CF26FE">
            <w:pPr>
              <w:pStyle w:val="Tabletext"/>
              <w:jc w:val="center"/>
              <w:rPr>
                <w:sz w:val="18"/>
                <w:szCs w:val="18"/>
              </w:rPr>
            </w:pPr>
            <w:r w:rsidRPr="00D666CC">
              <w:rPr>
                <w:sz w:val="18"/>
                <w:szCs w:val="18"/>
                <w:lang w:eastAsia="zh-CN"/>
              </w:rPr>
              <w:t>5</w:t>
            </w:r>
          </w:p>
        </w:tc>
      </w:tr>
    </w:tbl>
    <w:p w:rsidR="008B2F73" w:rsidRPr="008B2F73" w:rsidRDefault="008B2F73" w:rsidP="008B2F73">
      <w:pPr>
        <w:pStyle w:val="Headingi"/>
        <w:rPr>
          <w:lang w:val="es-ES_tradnl"/>
        </w:rPr>
      </w:pPr>
      <w:r w:rsidRPr="008B2F73">
        <w:rPr>
          <w:lang w:val="es-ES_tradnl"/>
        </w:rPr>
        <w:t>Notas al Cuadro 4:</w:t>
      </w:r>
    </w:p>
    <w:p w:rsidR="00544E24" w:rsidRPr="00544E24" w:rsidRDefault="00544E24" w:rsidP="00544E24">
      <w:pPr>
        <w:pStyle w:val="Note"/>
        <w:rPr>
          <w:szCs w:val="22"/>
          <w:lang w:val="es-ES_tradnl"/>
        </w:rPr>
      </w:pPr>
      <w:r w:rsidRPr="00544E24">
        <w:rPr>
          <w:szCs w:val="22"/>
          <w:lang w:val="es-ES_tradnl"/>
        </w:rPr>
        <w:t>NOTA 1 – En la banda 1 710-2 025 y 2 110-2 200 MHz existen tres disposiciones de frecuencias básicas (B1, B2 y B3) que ya utilizan o tienen previsto utilizar los sistemas móviles públicos celulares, incluido IMT</w:t>
      </w:r>
      <w:r w:rsidRPr="00544E24">
        <w:rPr>
          <w:szCs w:val="22"/>
          <w:lang w:val="es-ES_tradnl"/>
        </w:rPr>
        <w:noBreakHyphen/>
        <w:t>2000. En base a estas tres disposiciones, se recomiendan varias combinaciones de disposiciones, tales como las B4 y B5. Las disposiciones B1 y B2 son totalmente complementarias, mientras que la disposición B3 se solapa con las disposiciones B1 y B2.</w:t>
      </w:r>
    </w:p>
    <w:p w:rsidR="008B2F73" w:rsidRPr="008B2F73" w:rsidRDefault="008B2F73" w:rsidP="008B2F73">
      <w:pPr>
        <w:pStyle w:val="Note"/>
        <w:rPr>
          <w:szCs w:val="22"/>
          <w:lang w:val="es-ES_tradnl"/>
        </w:rPr>
      </w:pPr>
      <w:r w:rsidRPr="008B2F73">
        <w:rPr>
          <w:szCs w:val="22"/>
          <w:lang w:val="es-ES_tradnl"/>
        </w:rPr>
        <w:t>En países donde se haya implementado la disposición B1, B4 permite optimizar la utilización del espectro funcionando con bandas IMT-2000 apareadas.</w:t>
      </w:r>
    </w:p>
    <w:p w:rsidR="008B2F73" w:rsidRPr="008B2F73" w:rsidRDefault="008B2F73" w:rsidP="008B2F73">
      <w:pPr>
        <w:pStyle w:val="Note"/>
        <w:rPr>
          <w:szCs w:val="22"/>
          <w:lang w:val="es-ES_tradnl"/>
        </w:rPr>
      </w:pPr>
      <w:r w:rsidRPr="008B2F73">
        <w:rPr>
          <w:szCs w:val="22"/>
          <w:lang w:val="es-ES_tradnl"/>
        </w:rPr>
        <w:t>En países que hayan implementado la disposición B3, la disposición B1 puede combinarse con la B2. Por lo tanto, se recomienda la disposición B5 para optimizar la utilización del espectro:</w:t>
      </w:r>
    </w:p>
    <w:p w:rsidR="008B2F73" w:rsidRPr="008B2F73" w:rsidRDefault="008B2F73" w:rsidP="008B2F73">
      <w:pPr>
        <w:pStyle w:val="Note"/>
        <w:ind w:left="284" w:hanging="284"/>
        <w:rPr>
          <w:szCs w:val="22"/>
          <w:lang w:val="es-ES_tradnl"/>
        </w:rPr>
      </w:pPr>
      <w:r w:rsidRPr="008B2F73">
        <w:rPr>
          <w:szCs w:val="22"/>
          <w:lang w:val="es-ES_tradnl"/>
        </w:rPr>
        <w:t>–</w:t>
      </w:r>
      <w:r w:rsidRPr="008B2F73">
        <w:rPr>
          <w:szCs w:val="22"/>
          <w:lang w:val="es-ES_tradnl"/>
        </w:rPr>
        <w:tab/>
        <w:t>B5 permite maximizar la utilización del espectro para IMT-2000 en países en los que B3 está implementada y en los que la banda 1 770-1 850 MHz no está disponible en la fase inicial de despliegue de IMT-2000 en esta banda de frecuencias.</w:t>
      </w:r>
    </w:p>
    <w:p w:rsidR="008B2F73" w:rsidRPr="008B2F73" w:rsidRDefault="008B2F73" w:rsidP="008B2F73">
      <w:pPr>
        <w:pStyle w:val="Note"/>
        <w:rPr>
          <w:szCs w:val="22"/>
          <w:lang w:val="es-ES_tradnl"/>
        </w:rPr>
      </w:pPr>
      <w:r w:rsidRPr="008B2F73">
        <w:rPr>
          <w:szCs w:val="22"/>
          <w:lang w:val="es-ES_tradnl"/>
        </w:rPr>
        <w:t>NOTA 2 – Un sistema TDD puede utilizarse en bandas no apareadas y, en determinadas circunstancias, en las bandas ascendentes de las disposiciones de bandas apareadas y/o en la separación central entre bandas pareadas.</w:t>
      </w:r>
    </w:p>
    <w:p w:rsidR="008B2F73" w:rsidRPr="008B2F73" w:rsidRDefault="008B2F73" w:rsidP="008B2F73">
      <w:pPr>
        <w:pStyle w:val="Note"/>
        <w:rPr>
          <w:szCs w:val="22"/>
          <w:lang w:val="es-ES_tradnl"/>
        </w:rPr>
      </w:pPr>
      <w:r w:rsidRPr="008B2F73">
        <w:rPr>
          <w:szCs w:val="22"/>
          <w:lang w:val="es-ES_tradnl"/>
        </w:rPr>
        <w:t>NOTA 3 – Si la tecnología dúplex seleccionable/variable se implementa en terminales como la forma más eficiente de gestionar las disposiciones de frecuencias, el hecho de que países vecinos puedan seleccionar B5 no influirá en la complejidad del terminal. Son necesarios estudios adicionales.</w:t>
      </w:r>
    </w:p>
    <w:p w:rsidR="008B2F73" w:rsidRPr="008B2F73" w:rsidRDefault="008B2F73" w:rsidP="008B2F73">
      <w:pPr>
        <w:pStyle w:val="Note"/>
        <w:rPr>
          <w:szCs w:val="22"/>
          <w:lang w:val="es-ES_tradnl" w:eastAsia="zh-CN"/>
        </w:rPr>
      </w:pPr>
      <w:r w:rsidRPr="008B2F73">
        <w:rPr>
          <w:szCs w:val="22"/>
          <w:lang w:val="es-ES_tradnl"/>
        </w:rPr>
        <w:lastRenderedPageBreak/>
        <w:t>NOTA 4 – Las bandas 1 980-2 010 MHz y 2 170-2 200 MHz en la disposición de frecuencias B6 están destinadas a ser utilizadas en combinación con las disposiciones de frecuencias B1 o B4 que ofrecen una optimización aún mayor de la utilización del espectro para operaciones IMT apareadas (véase la Nota 1).</w:t>
      </w:r>
    </w:p>
    <w:p w:rsidR="008B2F73" w:rsidRPr="008B2F73" w:rsidRDefault="008B2F73" w:rsidP="008B2F73">
      <w:pPr>
        <w:pStyle w:val="Note"/>
        <w:rPr>
          <w:lang w:val="es-ES_tradnl"/>
        </w:rPr>
      </w:pPr>
      <w:r w:rsidRPr="008B2F73">
        <w:rPr>
          <w:lang w:val="es-ES_tradnl"/>
        </w:rPr>
        <w:t xml:space="preserve">NOTA 5 – En el caso de las disposiciones de frecuencias B6 y B7 y en partes de las disposiciones B3 y B5 en las bandas 1 980-2 010 MHz y 2 170-2 200 MHz existe una situación singular, tal como se señala en los </w:t>
      </w:r>
      <w:r w:rsidRPr="008B2F73">
        <w:rPr>
          <w:i/>
          <w:iCs/>
          <w:lang w:val="es-ES_tradnl"/>
        </w:rPr>
        <w:t xml:space="preserve">reconociendos c) </w:t>
      </w:r>
      <w:r w:rsidRPr="008B2F73">
        <w:rPr>
          <w:lang w:val="es-ES_tradnl"/>
        </w:rPr>
        <w:t>y</w:t>
      </w:r>
      <w:r w:rsidRPr="008B2F73">
        <w:rPr>
          <w:i/>
          <w:iCs/>
          <w:lang w:val="es-ES_tradnl"/>
        </w:rPr>
        <w:t xml:space="preserve"> d</w:t>
      </w:r>
      <w:r w:rsidRPr="008B2F73">
        <w:rPr>
          <w:lang w:val="es-ES_tradnl"/>
        </w:rPr>
        <w:t>). El despliegue con coincidencia de cobertura y de frecuencia de componentes de satélite y terrenal de las IMT no es viable salvo que se apliquen técnicas tales como la utilización de una banda de guarda adecuada u otras técnicas de mitigación con el fin de garantizar la coexistencia y compatibilidad entre las componentes terrenas y de satélite de las IMT. Cuando dichas componentes se despliegan en zonas geográficas adyacentes en las mismas bandas de frecuencias, es necesario adoptar determinadas técnicas o medidas operacionales si se informa de la existencia de interferencia perjudicial. Son necesarios estudios adicionales del UIT-R en relación con este asunto.</w:t>
      </w:r>
    </w:p>
    <w:p w:rsidR="008B2F73" w:rsidRPr="008B2F73" w:rsidRDefault="008B2F73" w:rsidP="008B2F73">
      <w:pPr>
        <w:pStyle w:val="FigureNo"/>
        <w:rPr>
          <w:lang w:val="es-ES_tradnl" w:eastAsia="zh-CN"/>
        </w:rPr>
      </w:pPr>
      <w:r w:rsidRPr="008B2F73">
        <w:rPr>
          <w:lang w:val="es-ES_tradnl"/>
        </w:rPr>
        <w:t xml:space="preserve">FIGURA 4 </w:t>
      </w:r>
      <w:r w:rsidRPr="008B2F73">
        <w:rPr>
          <w:lang w:val="es-ES_tradnl"/>
        </w:rPr>
        <w:br/>
        <w:t>(</w:t>
      </w:r>
      <w:r w:rsidRPr="008B2F73">
        <w:rPr>
          <w:caps w:val="0"/>
          <w:lang w:val="es-ES_tradnl"/>
        </w:rPr>
        <w:t>Véanse las Notas al Cuadro 4</w:t>
      </w:r>
      <w:r w:rsidRPr="008B2F73">
        <w:rPr>
          <w:lang w:val="es-ES_tradnl"/>
        </w:rPr>
        <w:t>)</w:t>
      </w:r>
    </w:p>
    <w:p w:rsidR="008B2F73" w:rsidRPr="000759A1" w:rsidRDefault="008B2F73" w:rsidP="008B2F73">
      <w:pPr>
        <w:pStyle w:val="Figure"/>
      </w:pPr>
      <w:r w:rsidRPr="000759A1">
        <w:rPr>
          <w:noProof/>
          <w:lang w:eastAsia="zh-CN"/>
        </w:rPr>
        <w:object w:dxaOrig="5557" w:dyaOrig="3221">
          <v:shape id="_x0000_i1027" type="#_x0000_t75" style="width:461.55pt;height:261.65pt" o:ole="">
            <v:imagedata r:id="rId27" o:title=""/>
          </v:shape>
          <o:OLEObject Type="Embed" ProgID="CorelDRAW.Graphic.14" ShapeID="_x0000_i1027" DrawAspect="Content" ObjectID="_1508224660" r:id="rId28"/>
        </w:object>
      </w:r>
    </w:p>
    <w:p w:rsidR="008B2F73" w:rsidRPr="000759A1" w:rsidRDefault="008B2F73" w:rsidP="008B2F73">
      <w:pPr>
        <w:keepNext/>
        <w:keepLines/>
        <w:suppressAutoHyphens/>
        <w:spacing w:before="60"/>
        <w:jc w:val="center"/>
        <w:rPr>
          <w:lang w:eastAsia="zh-CN"/>
        </w:rPr>
      </w:pPr>
      <w:r w:rsidRPr="000759A1">
        <w:rPr>
          <w:noProof/>
          <w:lang w:val="en-US" w:eastAsia="zh-CN"/>
        </w:rPr>
        <w:lastRenderedPageBreak/>
        <mc:AlternateContent>
          <mc:Choice Requires="wps">
            <w:drawing>
              <wp:anchor distT="0" distB="0" distL="114300" distR="114300" simplePos="0" relativeHeight="251664384" behindDoc="0" locked="0" layoutInCell="1" allowOverlap="1" wp14:anchorId="7F4C1641" wp14:editId="24FEB1B4">
                <wp:simplePos x="0" y="0"/>
                <wp:positionH relativeFrom="column">
                  <wp:posOffset>5080</wp:posOffset>
                </wp:positionH>
                <wp:positionV relativeFrom="paragraph">
                  <wp:posOffset>133985</wp:posOffset>
                </wp:positionV>
                <wp:extent cx="1059180" cy="818515"/>
                <wp:effectExtent l="0" t="0" r="26670" b="1968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818515"/>
                        </a:xfrm>
                        <a:prstGeom prst="rect">
                          <a:avLst/>
                        </a:prstGeom>
                        <a:solidFill>
                          <a:srgbClr val="FFFF99"/>
                        </a:solidFill>
                        <a:ln w="9525">
                          <a:solidFill>
                            <a:srgbClr val="000000"/>
                          </a:solidFill>
                          <a:miter lim="800000"/>
                          <a:headEnd/>
                          <a:tailEnd/>
                        </a:ln>
                      </wps:spPr>
                      <wps:txbx>
                        <w:txbxContent>
                          <w:p w:rsidR="008B2F73" w:rsidRDefault="008B2F73" w:rsidP="008B2F73">
                            <w:pPr>
                              <w:jc w:val="center"/>
                              <w:rPr>
                                <w:rFonts w:ascii="Arial" w:hAnsi="Arial" w:cs="Arial"/>
                                <w:color w:val="000000"/>
                                <w:sz w:val="30"/>
                                <w:szCs w:val="36"/>
                              </w:rPr>
                            </w:pPr>
                          </w:p>
                          <w:p w:rsidR="008B2F73" w:rsidRDefault="008B2F73" w:rsidP="008B2F73">
                            <w:pPr>
                              <w:jc w:val="center"/>
                              <w:rPr>
                                <w:rFonts w:ascii="Arial" w:hAnsi="Arial" w:cs="Arial"/>
                                <w:color w:val="000000"/>
                                <w:sz w:val="30"/>
                                <w:szCs w:val="36"/>
                              </w:rPr>
                            </w:pPr>
                            <w:r>
                              <w:rPr>
                                <w:rFonts w:ascii="Arial" w:hAnsi="Arial" w:cs="Arial"/>
                                <w:color w:val="000000"/>
                                <w:sz w:val="30"/>
                                <w:szCs w:val="36"/>
                              </w:rPr>
                              <w:t>B3rev</w:t>
                            </w:r>
                          </w:p>
                        </w:txbxContent>
                      </wps:txbx>
                      <wps:bodyPr rot="0" vert="horz" wrap="square" lIns="74981" tIns="37490" rIns="74981" bIns="374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4C1641" id="Rectangle 697" o:spid="_x0000_s1026" style="position:absolute;left:0;text-align:left;margin-left:.4pt;margin-top:10.55pt;width:83.4pt;height:6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" fillcolor="#ff9">
                <v:textbox inset="2.08281mm,1.0414mm,2.08281mm,1.0414mm">
                  <w:txbxContent>
                    <w:p w:rsidR="008B2F73" w:rsidRDefault="008B2F73" w:rsidP="008B2F73">
                      <w:pPr>
                        <w:jc w:val="center"/>
                        <w:rPr>
                          <w:rFonts w:ascii="Arial" w:hAnsi="Arial" w:cs="Arial"/>
                          <w:color w:val="000000"/>
                          <w:sz w:val="30"/>
                          <w:szCs w:val="36"/>
                        </w:rPr>
                      </w:pPr>
                    </w:p>
                    <w:p w:rsidR="008B2F73" w:rsidRDefault="008B2F73" w:rsidP="008B2F73">
                      <w:pPr>
                        <w:jc w:val="center"/>
                        <w:rPr>
                          <w:rFonts w:ascii="Arial" w:hAnsi="Arial" w:cs="Arial"/>
                          <w:color w:val="000000"/>
                          <w:sz w:val="30"/>
                          <w:szCs w:val="36"/>
                        </w:rPr>
                      </w:pPr>
                      <w:r>
                        <w:rPr>
                          <w:rFonts w:ascii="Arial" w:hAnsi="Arial" w:cs="Arial"/>
                          <w:color w:val="000000"/>
                          <w:sz w:val="30"/>
                          <w:szCs w:val="36"/>
                        </w:rPr>
                        <w:t>B3rev</w:t>
                      </w:r>
                    </w:p>
                  </w:txbxContent>
                </v:textbox>
              </v:rect>
            </w:pict>
          </mc:Fallback>
        </mc:AlternateContent>
      </w:r>
      <w:r w:rsidRPr="000759A1">
        <w:rPr>
          <w:noProof/>
          <w:lang w:val="en-US" w:eastAsia="zh-CN"/>
        </w:rPr>
        <mc:AlternateContent>
          <mc:Choice Requires="wps">
            <w:drawing>
              <wp:anchor distT="0" distB="0" distL="114300" distR="114300" simplePos="0" relativeHeight="251665408" behindDoc="0" locked="0" layoutInCell="1" allowOverlap="1" wp14:anchorId="59F4040E" wp14:editId="014C79BC">
                <wp:simplePos x="0" y="0"/>
                <wp:positionH relativeFrom="column">
                  <wp:posOffset>1064260</wp:posOffset>
                </wp:positionH>
                <wp:positionV relativeFrom="paragraph">
                  <wp:posOffset>133985</wp:posOffset>
                </wp:positionV>
                <wp:extent cx="4944745" cy="818515"/>
                <wp:effectExtent l="0" t="0" r="27305" b="1968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745" cy="818515"/>
                        </a:xfrm>
                        <a:prstGeom prst="rect">
                          <a:avLst/>
                        </a:prstGeom>
                        <a:solidFill>
                          <a:srgbClr val="C0C0C0"/>
                        </a:solidFill>
                        <a:ln w="9525">
                          <a:solidFill>
                            <a:srgbClr val="000000"/>
                          </a:solidFill>
                          <a:miter lim="800000"/>
                          <a:headEnd/>
                          <a:tailEnd/>
                        </a:ln>
                      </wps:spPr>
                      <wps:txbx>
                        <w:txbxContent>
                          <w:p w:rsidR="008B2F73" w:rsidRDefault="008B2F73" w:rsidP="008B2F7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F4040E" id="Rectangle 696" o:spid="_x0000_s1027" style="position:absolute;left:0;text-align:left;margin-left:83.8pt;margin-top:10.55pt;width:389.35pt;height:6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" fillcolor="silver">
                <v:textbox>
                  <w:txbxContent>
                    <w:p w:rsidR="008B2F73" w:rsidRDefault="008B2F73" w:rsidP="008B2F73"/>
                  </w:txbxContent>
                </v:textbox>
              </v:rect>
            </w:pict>
          </mc:Fallback>
        </mc:AlternateContent>
      </w:r>
      <w:r w:rsidRPr="000759A1">
        <w:rPr>
          <w:noProof/>
          <w:lang w:val="en-US" w:eastAsia="zh-CN"/>
        </w:rPr>
        <mc:AlternateContent>
          <mc:Choice Requires="wpg">
            <w:drawing>
              <wp:anchor distT="0" distB="0" distL="114300" distR="114300" simplePos="0" relativeHeight="251668480" behindDoc="0" locked="0" layoutInCell="1" allowOverlap="1" wp14:anchorId="6DE6E34E" wp14:editId="4DAB2883">
                <wp:simplePos x="0" y="0"/>
                <wp:positionH relativeFrom="column">
                  <wp:posOffset>2270125</wp:posOffset>
                </wp:positionH>
                <wp:positionV relativeFrom="paragraph">
                  <wp:posOffset>203200</wp:posOffset>
                </wp:positionV>
                <wp:extent cx="1906270" cy="540385"/>
                <wp:effectExtent l="0" t="0" r="17780" b="12065"/>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89" name="Group 353"/>
                        <wpg:cNvGrpSpPr>
                          <a:grpSpLocks/>
                        </wpg:cNvGrpSpPr>
                        <wpg:grpSpPr bwMode="auto">
                          <a:xfrm>
                            <a:off x="5469" y="6760"/>
                            <a:ext cx="1975" cy="235"/>
                            <a:chOff x="3900" y="8340"/>
                            <a:chExt cx="6030" cy="195"/>
                          </a:xfrm>
                        </wpg:grpSpPr>
                        <wps:wsp>
                          <wps:cNvPr id="690"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3"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MS Tx</w:t>
                              </w:r>
                            </w:p>
                          </w:txbxContent>
                        </wps:txbx>
                        <wps:bodyPr rot="0" vert="horz" wrap="square" lIns="74981" tIns="37490" rIns="74981" bIns="37490" anchor="t" anchorCtr="0" upright="1">
                          <a:noAutofit/>
                        </wps:bodyPr>
                      </wps:wsp>
                      <wps:wsp>
                        <wps:cNvPr id="694"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8B2F73" w:rsidRDefault="008B2F73" w:rsidP="008B2F73">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95"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BS Tx</w:t>
                              </w:r>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6E34E" id="Group 688" o:spid="_x0000_s1028" style="position:absolute;left:0;text-align:left;margin-left:178.75pt;margin-top:16pt;width:150.1pt;height:42.55pt;z-index:251668480"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">
                <v:group id="Group 353" o:spid="_x0000_s1029"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line id="Line 354" o:spid="_x0000_s1030"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3hxcEAAADcAAAADwAAAGRycy9kb3ducmV2LnhtbERPy4rCMBTdD/gP4QpuBk3VQbQ2FRFG&#10;XDn4wu2lubbF5qY0GVv9+sliwOXhvJNVZyrxoMaVlhWMRxEI4szqknMF59P3cA7CeWSNlWVS8CQH&#10;q7T3kWCsbcsHehx9LkIIuxgVFN7XsZQuK8igG9maOHA32xj0ATa51A22IdxUchJFM2mw5NBQYE2b&#10;grL78dcoQN6/pvN2TF9yS1c32f98ri83pQb9br0E4anzb/G/e6cVzBZhfjgTjo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eHFwQAAANwAAAAPAAAAAAAAAAAAAAAA&#10;AKECAABkcnMvZG93bnJldi54bWxQSwUGAAAAAAQABAD5AAAAjwMAAAAA&#10;"/>
                  <v:line id="Line 355" o:spid="_x0000_s1031"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tM8UAAADcAAAADwAAAGRycy9kb3ducmV2LnhtbESPzWrDMBCE74G+g9hCbonsHpLajRJK&#10;TaGHtJAfct5aG8vEWhlLdZS3jwqFHoeZ+YZZbaLtxEiDbx0ryOcZCOLa6ZYbBcfD++wZhA/IGjvH&#10;pOBGHjbrh8kKS+2uvKNxHxqRIOxLVGBC6EspfW3Iop+7njh5ZzdYDEkOjdQDXhPcdvIpyxbSYstp&#10;wWBPb4bqy/7HKliaaieXstoevqqxzYv4GU/fhVLTx/j6AiJQDP/hv/aHVr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0tM8UAAADcAAAADwAAAAAAAAAA&#10;AAAAAAChAgAAZHJzL2Rvd25yZXYueG1sUEsFBgAAAAAEAAQA+QAAAJMDAAAAAA==&#10;">
                    <v:stroke endarrow="block"/>
                  </v:line>
                  <v:line id="Line 356" o:spid="_x0000_s1032"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group>
                <v:rect id="Rectangle 357" o:spid="_x0000_s1033"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QK8UA&#10;AADcAAAADwAAAGRycy9kb3ducmV2LnhtbESPwWrDMBBE74X8g9hAb42ctLiJGyUkgYAP9aFOPmCx&#10;tpaJtTKWYrv9+qpQ6HGYmTfMdj/ZVgzU+8axguUiAUFcOd1wreB6OT+tQfiArLF1TAq+yMN+N3vY&#10;YqbdyB80lKEWEcI+QwUmhC6T0leGLPqF64ij9+l6iyHKvpa6xzHCbStXSZJKiw3HBYMdnQxVt/Ju&#10;Fbycy/S1fC9y0xbH5lB/UzitSKnH+XR4AxFoCv/hv3auFaSb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pArxQAAANwAAAAPAAAAAAAAAAAAAAAAAJgCAABkcnMv&#10;ZG93bnJldi54bWxQSwUGAAAAAAQABAD1AAAAigMAAAAA&#10;">
                  <v:textbox inset="2.08281mm,1.0414mm,2.08281mm,1.0414mm">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MS Tx</w:t>
                        </w:r>
                      </w:p>
                    </w:txbxContent>
                  </v:textbox>
                </v:rect>
                <v:rect id="Rectangle 358" o:spid="_x0000_s1034"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IX8MA&#10;AADcAAAADwAAAGRycy9kb3ducmV2LnhtbESPQYvCMBSE7wv+h/AEb2uqSFerUVQQPKyHrf6AR/Ns&#10;is1LaWKt/nqzsLDHYWa+YVab3taio9ZXjhVMxgkI4sLpiksFl/Phcw7CB2SNtWNS8CQPm/XgY4WZ&#10;dg/+oS4PpYgQ9hkqMCE0mZS+MGTRj11DHL2ray2GKNtS6hYfEW5rOU2SVFqsOC4YbGhvqLjld6tg&#10;dsjTr/z7dDT1aVdtyxeF/ZSUGg377RJEoD78h//aR60gXczg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8IX8MAAADcAAAADwAAAAAAAAAAAAAAAACYAgAAZHJzL2Rv&#10;d25yZXYueG1sUEsFBgAAAAAEAAQA9QAAAIgDAAAAAA==&#10;">
                  <v:textbox inset="2.08281mm,1.0414mm,2.08281mm,1.0414mm">
                    <w:txbxContent>
                      <w:p w:rsidR="008B2F73" w:rsidRDefault="008B2F73" w:rsidP="008B2F73">
                        <w:pPr>
                          <w:rPr>
                            <w:rFonts w:ascii="Arial" w:hAnsi="Arial" w:cs="Arial"/>
                            <w:color w:val="000000"/>
                            <w:sz w:val="13"/>
                            <w:szCs w:val="16"/>
                          </w:rPr>
                        </w:pPr>
                        <w:r>
                          <w:rPr>
                            <w:rFonts w:ascii="Arial" w:hAnsi="Arial" w:cs="Arial"/>
                            <w:color w:val="000000"/>
                            <w:sz w:val="13"/>
                            <w:szCs w:val="16"/>
                          </w:rPr>
                          <w:t>TDD</w:t>
                        </w:r>
                      </w:p>
                    </w:txbxContent>
                  </v:textbox>
                </v:rect>
                <v:rect id="Rectangle 359" o:spid="_x0000_s1035"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txMUA&#10;AADcAAAADwAAAGRycy9kb3ducmV2LnhtbESPwWrDMBBE74X8g9hAb42c0LqJGyUkgYAP9aFOPmCx&#10;tpaJtTKWYrv9+qpQ6HGYmTfMdj/ZVgzU+8axguUiAUFcOd1wreB6OT+tQfiArLF1TAq+yMN+N3vY&#10;YqbdyB80lKEWEcI+QwUmhC6T0leGLPqF64ij9+l6iyHKvpa6xzHCbStXSZJKiw3HBYMdnQxVt/Ju&#10;FTyfy/S1fC9y0xbH5lB/UzitSKnH+XR4AxFoCv/hv3auFaSb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63ExQAAANwAAAAPAAAAAAAAAAAAAAAAAJgCAABkcnMv&#10;ZG93bnJldi54bWxQSwUGAAAAAAQABAD1AAAAigMAAAAA&#10;">
                  <v:textbox inset="2.08281mm,1.0414mm,2.08281mm,1.0414mm">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BS Tx</w:t>
                        </w:r>
                      </w:p>
                    </w:txbxContent>
                  </v:textbox>
                </v:rect>
              </v:group>
            </w:pict>
          </mc:Fallback>
        </mc:AlternateContent>
      </w:r>
    </w:p>
    <w:p w:rsidR="008B2F73" w:rsidRPr="000759A1" w:rsidRDefault="008B2F73" w:rsidP="008B2F73">
      <w:pPr>
        <w:keepNext/>
        <w:keepLines/>
        <w:suppressAutoHyphens/>
        <w:jc w:val="center"/>
        <w:rPr>
          <w:lang w:eastAsia="zh-CN"/>
        </w:rPr>
      </w:pPr>
    </w:p>
    <w:p w:rsidR="008B2F73" w:rsidRPr="000759A1" w:rsidRDefault="008B2F73" w:rsidP="008B2F73">
      <w:pPr>
        <w:keepNext/>
        <w:keepLines/>
        <w:suppressAutoHyphens/>
        <w:jc w:val="center"/>
        <w:rPr>
          <w:lang w:eastAsia="zh-CN"/>
        </w:rPr>
      </w:pPr>
      <w:r w:rsidRPr="000759A1">
        <w:rPr>
          <w:noProof/>
          <w:lang w:val="en-US" w:eastAsia="zh-CN"/>
        </w:rPr>
        <mc:AlternateContent>
          <mc:Choice Requires="wps">
            <w:drawing>
              <wp:anchor distT="0" distB="0" distL="114300" distR="114300" simplePos="0" relativeHeight="251674624" behindDoc="0" locked="0" layoutInCell="1" allowOverlap="1" wp14:anchorId="3A3E14AA" wp14:editId="7AAB86E2">
                <wp:simplePos x="0" y="0"/>
                <wp:positionH relativeFrom="column">
                  <wp:posOffset>3274060</wp:posOffset>
                </wp:positionH>
                <wp:positionV relativeFrom="paragraph">
                  <wp:posOffset>187325</wp:posOffset>
                </wp:positionV>
                <wp:extent cx="480695" cy="309880"/>
                <wp:effectExtent l="0" t="0" r="0" b="0"/>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Default="008B2F73" w:rsidP="008B2F73">
                            <w:r>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E14AA" id="_x0000_t202" coordsize="21600,21600" o:spt="202" path="m,l,21600r21600,l21600,xe">
                <v:stroke joinstyle="miter"/>
                <v:path gradientshapeok="t" o:connecttype="rect"/>
              </v:shapetype>
              <v:shape id="Text Box 687" o:spid="_x0000_s1036" type="#_x0000_t202" style="position:absolute;left:0;text-align:left;margin-left:257.8pt;margin-top:14.75pt;width:37.85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5z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" filled="f" stroked="f">
                <v:textbox>
                  <w:txbxContent>
                    <w:p w:rsidR="008B2F73" w:rsidRDefault="008B2F73" w:rsidP="008B2F73">
                      <w:r>
                        <w:rPr>
                          <w:sz w:val="16"/>
                          <w:szCs w:val="16"/>
                        </w:rPr>
                        <w:t>1930</w:t>
                      </w:r>
                    </w:p>
                  </w:txbxContent>
                </v:textbox>
              </v:shape>
            </w:pict>
          </mc:Fallback>
        </mc:AlternateContent>
      </w:r>
      <w:r w:rsidRPr="000759A1">
        <w:rPr>
          <w:noProof/>
          <w:lang w:val="en-US" w:eastAsia="zh-CN"/>
        </w:rPr>
        <mc:AlternateContent>
          <mc:Choice Requires="wps">
            <w:drawing>
              <wp:anchor distT="0" distB="0" distL="114300" distR="114300" simplePos="0" relativeHeight="251672576" behindDoc="0" locked="0" layoutInCell="1" allowOverlap="1" wp14:anchorId="21629719" wp14:editId="5E4B4B75">
                <wp:simplePos x="0" y="0"/>
                <wp:positionH relativeFrom="column">
                  <wp:posOffset>2015490</wp:posOffset>
                </wp:positionH>
                <wp:positionV relativeFrom="paragraph">
                  <wp:posOffset>187325</wp:posOffset>
                </wp:positionV>
                <wp:extent cx="546100" cy="262255"/>
                <wp:effectExtent l="0" t="0" r="0" b="4445"/>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sidRPr="008578BF">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29719" id="Text Box 686" o:spid="_x0000_s1037" type="#_x0000_t202" style="position:absolute;left:0;text-align:left;margin-left:158.7pt;margin-top:14.75pt;width:43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ubug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" filled="f" stroked="f">
                <v:textbox>
                  <w:txbxContent>
                    <w:p w:rsidR="008B2F73" w:rsidRPr="008578BF" w:rsidRDefault="008B2F73" w:rsidP="008B2F73">
                      <w:pPr>
                        <w:rPr>
                          <w:sz w:val="16"/>
                          <w:szCs w:val="16"/>
                        </w:rPr>
                      </w:pPr>
                      <w:r w:rsidRPr="008578BF">
                        <w:rPr>
                          <w:sz w:val="16"/>
                          <w:szCs w:val="16"/>
                        </w:rPr>
                        <w:t>1850</w:t>
                      </w:r>
                    </w:p>
                  </w:txbxContent>
                </v:textbox>
              </v:shape>
            </w:pict>
          </mc:Fallback>
        </mc:AlternateContent>
      </w:r>
      <w:r w:rsidRPr="000759A1">
        <w:rPr>
          <w:noProof/>
          <w:lang w:val="en-US" w:eastAsia="zh-CN"/>
        </w:rPr>
        <mc:AlternateContent>
          <mc:Choice Requires="wps">
            <w:drawing>
              <wp:anchor distT="0" distB="0" distL="114300" distR="114300" simplePos="0" relativeHeight="251673600" behindDoc="0" locked="0" layoutInCell="1" allowOverlap="1" wp14:anchorId="099ABC3F" wp14:editId="10347037">
                <wp:simplePos x="0" y="0"/>
                <wp:positionH relativeFrom="column">
                  <wp:posOffset>2770505</wp:posOffset>
                </wp:positionH>
                <wp:positionV relativeFrom="paragraph">
                  <wp:posOffset>187325</wp:posOffset>
                </wp:positionV>
                <wp:extent cx="453390" cy="357505"/>
                <wp:effectExtent l="0" t="0" r="0" b="444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ABC3F" id="Text Box 685" o:spid="_x0000_s1038" type="#_x0000_t202" style="position:absolute;left:0;text-align:left;margin-left:218.15pt;margin-top:14.75pt;width:35.7pt;height:2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PtvQIAAMQ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" filled="f" stroked="f">
                <v:textbox>
                  <w:txbxContent>
                    <w:p w:rsidR="008B2F73" w:rsidRPr="008578BF" w:rsidRDefault="008B2F73" w:rsidP="008B2F73">
                      <w:pPr>
                        <w:rPr>
                          <w:sz w:val="16"/>
                          <w:szCs w:val="16"/>
                        </w:rPr>
                      </w:pPr>
                      <w:r>
                        <w:rPr>
                          <w:sz w:val="16"/>
                          <w:szCs w:val="16"/>
                        </w:rPr>
                        <w:t>1920</w:t>
                      </w:r>
                    </w:p>
                  </w:txbxContent>
                </v:textbox>
              </v:shape>
            </w:pict>
          </mc:Fallback>
        </mc:AlternateContent>
      </w:r>
      <w:r w:rsidRPr="000759A1">
        <w:rPr>
          <w:noProof/>
          <w:lang w:val="en-US" w:eastAsia="zh-CN"/>
        </w:rPr>
        <mc:AlternateContent>
          <mc:Choice Requires="wps">
            <w:drawing>
              <wp:anchor distT="0" distB="0" distL="114300" distR="114300" simplePos="0" relativeHeight="251675648" behindDoc="0" locked="0" layoutInCell="1" allowOverlap="1" wp14:anchorId="46C1B1B7" wp14:editId="0FCB9B1E">
                <wp:simplePos x="0" y="0"/>
                <wp:positionH relativeFrom="column">
                  <wp:posOffset>4058920</wp:posOffset>
                </wp:positionH>
                <wp:positionV relativeFrom="paragraph">
                  <wp:posOffset>187325</wp:posOffset>
                </wp:positionV>
                <wp:extent cx="516255" cy="309880"/>
                <wp:effectExtent l="0"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1B1B7" id="Text Box 684" o:spid="_x0000_s1039" type="#_x0000_t202" style="position:absolute;left:0;text-align:left;margin-left:319.6pt;margin-top:14.75pt;width:40.6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C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ZN8jQOOgMFB8GUDV7EEClXbR6uJfVN42EXLZUbNitUnJsGa3Bw9D+9C++&#10;TjjagqzHj7IGQ3RrpAPaN6q36YOEIECHSj2dqmOdqeAxDmdRHGNUgehdkCaJ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" filled="f" stroked="f">
                <v:textbox>
                  <w:txbxContent>
                    <w:p w:rsidR="008B2F73" w:rsidRPr="008578BF" w:rsidRDefault="008B2F73" w:rsidP="008B2F73">
                      <w:pPr>
                        <w:rPr>
                          <w:sz w:val="16"/>
                          <w:szCs w:val="16"/>
                        </w:rPr>
                      </w:pPr>
                      <w:r>
                        <w:rPr>
                          <w:sz w:val="16"/>
                          <w:szCs w:val="16"/>
                        </w:rPr>
                        <w:t>2000</w:t>
                      </w:r>
                    </w:p>
                  </w:txbxContent>
                </v:textbox>
              </v:shape>
            </w:pict>
          </mc:Fallback>
        </mc:AlternateContent>
      </w:r>
    </w:p>
    <w:p w:rsidR="008B2F73" w:rsidRPr="000759A1" w:rsidRDefault="008B2F73" w:rsidP="008B2F73">
      <w:pPr>
        <w:keepNext/>
        <w:keepLines/>
        <w:suppressAutoHyphens/>
        <w:jc w:val="center"/>
        <w:rPr>
          <w:lang w:eastAsia="zh-CN"/>
        </w:rPr>
      </w:pPr>
    </w:p>
    <w:p w:rsidR="008B2F73" w:rsidRPr="000759A1" w:rsidRDefault="008B2F73" w:rsidP="008B2F73">
      <w:pPr>
        <w:keepNext/>
        <w:keepLines/>
        <w:suppressAutoHyphens/>
        <w:jc w:val="center"/>
        <w:rPr>
          <w:lang w:eastAsia="zh-CN"/>
        </w:rPr>
      </w:pPr>
      <w:r w:rsidRPr="000759A1">
        <w:rPr>
          <w:noProof/>
          <w:lang w:val="en-US" w:eastAsia="zh-CN"/>
        </w:rPr>
        <mc:AlternateContent>
          <mc:Choice Requires="wpg">
            <w:drawing>
              <wp:anchor distT="0" distB="0" distL="114300" distR="114300" simplePos="0" relativeHeight="251666432" behindDoc="0" locked="0" layoutInCell="1" allowOverlap="1" wp14:anchorId="110A7504" wp14:editId="5937C6E2">
                <wp:simplePos x="0" y="0"/>
                <wp:positionH relativeFrom="column">
                  <wp:posOffset>5080</wp:posOffset>
                </wp:positionH>
                <wp:positionV relativeFrom="paragraph">
                  <wp:posOffset>88900</wp:posOffset>
                </wp:positionV>
                <wp:extent cx="6003925" cy="1236980"/>
                <wp:effectExtent l="0" t="0" r="15875" b="2032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1236980"/>
                          <a:chOff x="0" y="14116"/>
                          <a:chExt cx="60039" cy="12369"/>
                        </a:xfrm>
                      </wpg:grpSpPr>
                      <wps:wsp>
                        <wps:cNvPr id="682" name="Rectangle 336"/>
                        <wps:cNvSpPr>
                          <a:spLocks noChangeArrowheads="1"/>
                        </wps:cNvSpPr>
                        <wps:spPr bwMode="auto">
                          <a:xfrm>
                            <a:off x="0" y="14116"/>
                            <a:ext cx="10591" cy="12369"/>
                          </a:xfrm>
                          <a:prstGeom prst="rect">
                            <a:avLst/>
                          </a:prstGeom>
                          <a:solidFill>
                            <a:srgbClr val="FFFF99"/>
                          </a:solidFill>
                          <a:ln w="9525">
                            <a:solidFill>
                              <a:srgbClr val="000000"/>
                            </a:solidFill>
                            <a:miter lim="800000"/>
                            <a:headEnd/>
                            <a:tailEnd/>
                          </a:ln>
                        </wps:spPr>
                        <wps:txbx>
                          <w:txbxContent>
                            <w:p w:rsidR="008B2F73" w:rsidRDefault="008B2F73" w:rsidP="008B2F73">
                              <w:pPr>
                                <w:jc w:val="center"/>
                                <w:rPr>
                                  <w:rFonts w:ascii="Arial" w:hAnsi="Arial" w:cs="Arial"/>
                                  <w:color w:val="000000"/>
                                  <w:sz w:val="30"/>
                                  <w:szCs w:val="36"/>
                                </w:rPr>
                              </w:pPr>
                            </w:p>
                            <w:p w:rsidR="008B2F73" w:rsidRDefault="008B2F73" w:rsidP="008B2F73">
                              <w:pPr>
                                <w:jc w:val="center"/>
                                <w:rPr>
                                  <w:rFonts w:ascii="Arial" w:hAnsi="Arial" w:cs="Arial"/>
                                  <w:color w:val="000000"/>
                                  <w:sz w:val="30"/>
                                  <w:szCs w:val="36"/>
                                </w:rPr>
                              </w:pPr>
                              <w:r>
                                <w:rPr>
                                  <w:rFonts w:ascii="Arial" w:hAnsi="Arial" w:cs="Arial"/>
                                  <w:color w:val="000000"/>
                                  <w:sz w:val="30"/>
                                  <w:szCs w:val="36"/>
                                </w:rPr>
                                <w:t>B5rev</w:t>
                              </w:r>
                            </w:p>
                          </w:txbxContent>
                        </wps:txbx>
                        <wps:bodyPr rot="0" vert="horz" wrap="square" lIns="74981" tIns="37490" rIns="74981" bIns="37490" anchor="ctr" anchorCtr="0" upright="1">
                          <a:noAutofit/>
                        </wps:bodyPr>
                      </wps:wsp>
                      <wps:wsp>
                        <wps:cNvPr id="683" name="Rectangle 337"/>
                        <wps:cNvSpPr>
                          <a:spLocks noChangeArrowheads="1"/>
                        </wps:cNvSpPr>
                        <wps:spPr bwMode="auto">
                          <a:xfrm>
                            <a:off x="10591" y="14116"/>
                            <a:ext cx="49448" cy="12369"/>
                          </a:xfrm>
                          <a:prstGeom prst="rect">
                            <a:avLst/>
                          </a:prstGeom>
                          <a:solidFill>
                            <a:srgbClr val="C0C0C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A7504" id="Group 681" o:spid="_x0000_s1040" style="position:absolute;left:0;text-align:left;margin-left:.4pt;margin-top:7pt;width:472.75pt;height:97.4pt;z-index:251666432" coordorigin=",14116" coordsize="60039,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">
                <v:rect id="Rectangle 336" o:spid="_x0000_s1041" style="position:absolute;top:14116;width:10591;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Y0sQA&#10;AADcAAAADwAAAGRycy9kb3ducmV2LnhtbESPQWsCMRSE74X+h/AEbzWrgpXVKFJoFQqCa5EeH5vn&#10;ZnHzEpKo23/fFIQeh5n5hlmue9uJG4XYOlYwHhUgiGunW24UfB3fX+YgYkLW2DkmBT8UYb16flpi&#10;qd2dD3SrUiMyhGOJCkxKvpQy1oYsxpHzxNk7u2AxZRkaqQPeM9x2clIUM2mx5bxg0NObofpSXa2C&#10;zffr1u/8tLp+Hk7mbLYfex1OSg0H/WYBIlGf/sOP9k4rmM0n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GNLEAAAA3AAAAA8AAAAAAAAAAAAAAAAAmAIAAGRycy9k&#10;b3ducmV2LnhtbFBLBQYAAAAABAAEAPUAAACJAwAAAAA=&#10;" fillcolor="#ff9">
                  <v:textbox inset="2.08281mm,1.0414mm,2.08281mm,1.0414mm">
                    <w:txbxContent>
                      <w:p w:rsidR="008B2F73" w:rsidRDefault="008B2F73" w:rsidP="008B2F73">
                        <w:pPr>
                          <w:jc w:val="center"/>
                          <w:rPr>
                            <w:rFonts w:ascii="Arial" w:hAnsi="Arial" w:cs="Arial"/>
                            <w:color w:val="000000"/>
                            <w:sz w:val="30"/>
                            <w:szCs w:val="36"/>
                          </w:rPr>
                        </w:pPr>
                      </w:p>
                      <w:p w:rsidR="008B2F73" w:rsidRDefault="008B2F73" w:rsidP="008B2F73">
                        <w:pPr>
                          <w:jc w:val="center"/>
                          <w:rPr>
                            <w:rFonts w:ascii="Arial" w:hAnsi="Arial" w:cs="Arial"/>
                            <w:color w:val="000000"/>
                            <w:sz w:val="30"/>
                            <w:szCs w:val="36"/>
                          </w:rPr>
                        </w:pPr>
                        <w:r>
                          <w:rPr>
                            <w:rFonts w:ascii="Arial" w:hAnsi="Arial" w:cs="Arial"/>
                            <w:color w:val="000000"/>
                            <w:sz w:val="30"/>
                            <w:szCs w:val="36"/>
                          </w:rPr>
                          <w:t>B5rev</w:t>
                        </w:r>
                      </w:p>
                    </w:txbxContent>
                  </v:textbox>
                </v:rect>
                <v:rect id="Rectangle 337" o:spid="_x0000_s1042" style="position:absolute;left:10591;top:14116;width:49448;height:1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B8cUA&#10;AADcAAAADwAAAGRycy9kb3ducmV2LnhtbESP0WrCQBRE3wv9h+UW+lY3tRgkdZVQkLYBC8Z8wG32&#10;mg1m74bs1sS/dwWhj8PMnGFWm8l24kyDbx0reJ0lIIhrp1tuFFSH7csShA/IGjvHpOBCHjbrx4cV&#10;ZtqNvKdzGRoRIewzVGBC6DMpfW3Iop+5njh6RzdYDFEOjdQDjhFuOzlPklRabDkuGOzpw1B9Kv+s&#10;gqLaFb95W9Y/6eJzNN9Vsc8NKvX8NOXvIAJN4T98b39pBenyD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kHxxQAAANwAAAAPAAAAAAAAAAAAAAAAAJgCAABkcnMv&#10;ZG93bnJldi54bWxQSwUGAAAAAAQABAD1AAAAigMAAAAA&#10;" fillcolor="silver"/>
              </v:group>
            </w:pict>
          </mc:Fallback>
        </mc:AlternateContent>
      </w:r>
    </w:p>
    <w:p w:rsidR="008B2F73" w:rsidRPr="000759A1" w:rsidRDefault="008B2F73" w:rsidP="008B2F73">
      <w:pPr>
        <w:keepNext/>
        <w:keepLines/>
        <w:suppressAutoHyphens/>
        <w:jc w:val="center"/>
        <w:rPr>
          <w:lang w:eastAsia="zh-CN"/>
        </w:rPr>
      </w:pPr>
      <w:r w:rsidRPr="000759A1">
        <w:rPr>
          <w:noProof/>
          <w:lang w:val="en-US" w:eastAsia="zh-CN"/>
        </w:rPr>
        <mc:AlternateContent>
          <mc:Choice Requires="wpg">
            <w:drawing>
              <wp:anchor distT="0" distB="0" distL="114300" distR="114300" simplePos="0" relativeHeight="251669504" behindDoc="0" locked="0" layoutInCell="1" allowOverlap="1" wp14:anchorId="4BD5C14A" wp14:editId="62651104">
                <wp:simplePos x="0" y="0"/>
                <wp:positionH relativeFrom="column">
                  <wp:posOffset>1386840</wp:posOffset>
                </wp:positionH>
                <wp:positionV relativeFrom="paragraph">
                  <wp:posOffset>18415</wp:posOffset>
                </wp:positionV>
                <wp:extent cx="4178935" cy="273685"/>
                <wp:effectExtent l="76200" t="0" r="69215" b="50165"/>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273685"/>
                          <a:chOff x="1519" y="1026"/>
                          <a:chExt cx="3221" cy="181"/>
                        </a:xfrm>
                      </wpg:grpSpPr>
                      <wps:wsp>
                        <wps:cNvPr id="678" name="Line 343"/>
                        <wps:cNvCnPr/>
                        <wps:spPr bwMode="auto">
                          <a:xfrm flipH="1" flipV="1">
                            <a:off x="1519" y="1026"/>
                            <a:ext cx="32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44"/>
                        <wps:cNvCnPr/>
                        <wps:spPr bwMode="auto">
                          <a:xfrm>
                            <a:off x="1519"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Line 345"/>
                        <wps:cNvCnPr/>
                        <wps:spPr bwMode="auto">
                          <a:xfrm>
                            <a:off x="4740" y="1026"/>
                            <a:ext cx="0" cy="1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C0706" id="Group 677" o:spid="_x0000_s1026" style="position:absolute;margin-left:109.2pt;margin-top:1.45pt;width:329.05pt;height:21.55pt;z-index:251669504" coordorigin="1519,1026" coordsize="322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">
                <v:line id="Line 343" o:spid="_x0000_s1027" style="position:absolute;flip:x y;visibility:visible;mso-wrap-style:square" from="1519,1026" to="4740,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LOcMAAADcAAAADwAAAGRycy9kb3ducmV2LnhtbERPTWvCQBC9F/oflil4KbpJLFbSbEQK&#10;FU8paqXXITsmodnZkN0m0V/fPRQ8Pt53tplMKwbqXWNZQbyIQBCXVjdcKfg6fczXIJxH1thaJgVX&#10;crDJHx8yTLUd+UDD0VcihLBLUUHtfZdK6cqaDLqF7YgDd7G9QR9gX0nd4xjCTSuTKFpJgw2Hhho7&#10;eq+p/Dn+GgXIxW25HmN6kTv6dknx+bw9X5SaPU3bNxCeJn8X/7v3WsHqNawNZ8IR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3CznDAAAA3AAAAA8AAAAAAAAAAAAA&#10;AAAAoQIAAGRycy9kb3ducmV2LnhtbFBLBQYAAAAABAAEAPkAAACRAwAAAAA=&#10;"/>
                <v:line id="Line 344" o:spid="_x0000_s1028" style="position:absolute;visibility:visible;mso-wrap-style:square" from="1519,1026" to="151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Hz8UAAADcAAAADwAAAGRycy9kb3ducmV2LnhtbESPQWvCQBSE70L/w/IK3nSjB9OkrlIa&#10;hB5sQS09v2af2WD2bchu4/rv3UKhx2FmvmHW22g7MdLgW8cKFvMMBHHtdMuNgs/TbvYEwgdkjZ1j&#10;UnAjD9vNw2SNpXZXPtB4DI1IEPYlKjAh9KWUvjZk0c9dT5y8sxsshiSHRuoBrwluO7nMspW02HJa&#10;MNjTq6H6cvyxCnJTHWQuq/3poxrbRRHf49d3odT0Mb48gwgUw3/4r/2mFazyA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Hz8UAAADcAAAADwAAAAAAAAAA&#10;AAAAAAChAgAAZHJzL2Rvd25yZXYueG1sUEsFBgAAAAAEAAQA+QAAAJMDAAAAAA==&#10;">
                  <v:stroke endarrow="block"/>
                </v:line>
                <v:line id="Line 345" o:spid="_x0000_s1029" style="position:absolute;visibility:visible;mso-wrap-style:square" from="4740,1026" to="4740,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edcEAAADcAAAADwAAAGRycy9kb3ducmV2LnhtbERPy4rCMBTdD/gP4QqzG1Nn4aMaRSwD&#10;LsYBH7i+Ntem2NyUJtbM308WwiwP571cR9uInjpfO1YwHmUgiEuna64UnE9fHzMQPiBrbByTgl/y&#10;sF4N3paYa/fkA/XHUIkUwj5HBSaENpfSl4Ys+pFriRN3c53FkGBXSd3hM4XbRn5m2URarDk1GGxp&#10;a6i8Hx9WwdQUBzmVxffpp+jr8Tzu4+U6V+p9GDcLEIFi+Be/3DutYDJL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uB51wQAAANwAAAAPAAAAAAAAAAAAAAAA&#10;AKECAABkcnMvZG93bnJldi54bWxQSwUGAAAAAAQABAD5AAAAjwMAAAAA&#10;">
                  <v:stroke endarrow="block"/>
                </v:line>
              </v:group>
            </w:pict>
          </mc:Fallback>
        </mc:AlternateContent>
      </w:r>
      <w:r w:rsidRPr="000759A1">
        <w:rPr>
          <w:noProof/>
          <w:lang w:val="en-US" w:eastAsia="zh-CN"/>
        </w:rPr>
        <mc:AlternateContent>
          <mc:Choice Requires="wps">
            <w:drawing>
              <wp:anchor distT="0" distB="0" distL="114300" distR="114300" simplePos="0" relativeHeight="251670528" behindDoc="0" locked="0" layoutInCell="1" allowOverlap="1" wp14:anchorId="5A4ABE30" wp14:editId="006F1B52">
                <wp:simplePos x="0" y="0"/>
                <wp:positionH relativeFrom="column">
                  <wp:posOffset>1136015</wp:posOffset>
                </wp:positionH>
                <wp:positionV relativeFrom="paragraph">
                  <wp:posOffset>292100</wp:posOffset>
                </wp:positionV>
                <wp:extent cx="544830" cy="345440"/>
                <wp:effectExtent l="0" t="0" r="26670" b="1651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45440"/>
                        </a:xfrm>
                        <a:prstGeom prst="rect">
                          <a:avLst/>
                        </a:prstGeom>
                        <a:solidFill>
                          <a:srgbClr val="FFFFFF"/>
                        </a:solidFill>
                        <a:ln w="9525">
                          <a:solidFill>
                            <a:srgbClr val="000000"/>
                          </a:solidFill>
                          <a:miter lim="800000"/>
                          <a:headEnd/>
                          <a:tailEnd/>
                        </a:ln>
                      </wps:spPr>
                      <wps:txbx>
                        <w:txbxContent>
                          <w:p w:rsidR="008B2F73" w:rsidRDefault="008B2F73" w:rsidP="008B2F73">
                            <w:pPr>
                              <w:jc w:val="center"/>
                              <w:rPr>
                                <w:rFonts w:ascii="Arial" w:hAnsi="Arial" w:cs="Arial"/>
                                <w:color w:val="000000"/>
                                <w:sz w:val="20"/>
                                <w:szCs w:val="24"/>
                              </w:rPr>
                            </w:pPr>
                            <w:r>
                              <w:rPr>
                                <w:rFonts w:ascii="Arial" w:hAnsi="Arial" w:cs="Arial"/>
                                <w:color w:val="000000"/>
                                <w:sz w:val="20"/>
                                <w:szCs w:val="24"/>
                              </w:rPr>
                              <w:t>MS Tx</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ABE30" id="Rectangle 676" o:spid="_x0000_s1043" style="position:absolute;left:0;text-align:left;margin-left:89.45pt;margin-top:23pt;width:42.9pt;height:2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">
                <v:textbox inset="2.08281mm,1.0414mm,2.08281mm,1.0414mm">
                  <w:txbxContent>
                    <w:p w:rsidR="008B2F73" w:rsidRDefault="008B2F73" w:rsidP="008B2F73">
                      <w:pPr>
                        <w:jc w:val="center"/>
                        <w:rPr>
                          <w:rFonts w:ascii="Arial" w:hAnsi="Arial" w:cs="Arial"/>
                          <w:color w:val="000000"/>
                          <w:sz w:val="20"/>
                          <w:szCs w:val="24"/>
                        </w:rPr>
                      </w:pPr>
                      <w:r>
                        <w:rPr>
                          <w:rFonts w:ascii="Arial" w:hAnsi="Arial" w:cs="Arial"/>
                          <w:color w:val="000000"/>
                          <w:sz w:val="20"/>
                          <w:szCs w:val="24"/>
                        </w:rPr>
                        <w:t>MS Tx</w:t>
                      </w:r>
                    </w:p>
                  </w:txbxContent>
                </v:textbox>
              </v:rect>
            </w:pict>
          </mc:Fallback>
        </mc:AlternateContent>
      </w:r>
      <w:r w:rsidRPr="000759A1">
        <w:rPr>
          <w:noProof/>
          <w:lang w:val="en-US" w:eastAsia="zh-CN"/>
        </w:rPr>
        <mc:AlternateContent>
          <mc:Choice Requires="wps">
            <w:drawing>
              <wp:anchor distT="0" distB="0" distL="114300" distR="114300" simplePos="0" relativeHeight="251671552" behindDoc="0" locked="0" layoutInCell="1" allowOverlap="1" wp14:anchorId="4177D123" wp14:editId="2C9EF5F9">
                <wp:simplePos x="0" y="0"/>
                <wp:positionH relativeFrom="column">
                  <wp:posOffset>5373370</wp:posOffset>
                </wp:positionH>
                <wp:positionV relativeFrom="paragraph">
                  <wp:posOffset>292100</wp:posOffset>
                </wp:positionV>
                <wp:extent cx="545465" cy="345440"/>
                <wp:effectExtent l="0" t="0" r="26035" b="1651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5440"/>
                        </a:xfrm>
                        <a:prstGeom prst="rect">
                          <a:avLst/>
                        </a:prstGeom>
                        <a:solidFill>
                          <a:srgbClr val="FFFFFF"/>
                        </a:solidFill>
                        <a:ln w="9525">
                          <a:solidFill>
                            <a:srgbClr val="000000"/>
                          </a:solidFill>
                          <a:miter lim="800000"/>
                          <a:headEnd/>
                          <a:tailEnd/>
                        </a:ln>
                      </wps:spPr>
                      <wps:txbx>
                        <w:txbxContent>
                          <w:p w:rsidR="008B2F73" w:rsidRDefault="008B2F73" w:rsidP="008B2F73">
                            <w:pPr>
                              <w:jc w:val="center"/>
                              <w:rPr>
                                <w:rFonts w:ascii="Arial" w:hAnsi="Arial" w:cs="Arial"/>
                                <w:color w:val="000000"/>
                                <w:sz w:val="20"/>
                                <w:szCs w:val="24"/>
                              </w:rPr>
                            </w:pPr>
                            <w:r>
                              <w:rPr>
                                <w:rFonts w:ascii="Arial" w:hAnsi="Arial" w:cs="Arial"/>
                                <w:color w:val="000000"/>
                                <w:sz w:val="20"/>
                                <w:szCs w:val="24"/>
                              </w:rPr>
                              <w:t>BS Tx</w:t>
                            </w:r>
                          </w:p>
                        </w:txbxContent>
                      </wps:txbx>
                      <wps:bodyPr rot="0" vert="horz" wrap="square" lIns="74981" tIns="37490" rIns="74981" bIns="374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7D123" id="Rectangle 675" o:spid="_x0000_s1044" style="position:absolute;left:0;text-align:left;margin-left:423.1pt;margin-top:23pt;width:42.95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">
                <v:textbox inset="2.08281mm,1.0414mm,2.08281mm,1.0414mm">
                  <w:txbxContent>
                    <w:p w:rsidR="008B2F73" w:rsidRDefault="008B2F73" w:rsidP="008B2F73">
                      <w:pPr>
                        <w:jc w:val="center"/>
                        <w:rPr>
                          <w:rFonts w:ascii="Arial" w:hAnsi="Arial" w:cs="Arial"/>
                          <w:color w:val="000000"/>
                          <w:sz w:val="20"/>
                          <w:szCs w:val="24"/>
                        </w:rPr>
                      </w:pPr>
                      <w:r>
                        <w:rPr>
                          <w:rFonts w:ascii="Arial" w:hAnsi="Arial" w:cs="Arial"/>
                          <w:color w:val="000000"/>
                          <w:sz w:val="20"/>
                          <w:szCs w:val="24"/>
                        </w:rPr>
                        <w:t>BS Tx</w:t>
                      </w:r>
                    </w:p>
                  </w:txbxContent>
                </v:textbox>
              </v:rect>
            </w:pict>
          </mc:Fallback>
        </mc:AlternateContent>
      </w:r>
      <w:r w:rsidRPr="000759A1">
        <w:rPr>
          <w:noProof/>
          <w:lang w:val="en-US" w:eastAsia="zh-CN"/>
        </w:rPr>
        <mc:AlternateContent>
          <mc:Choice Requires="wpg">
            <w:drawing>
              <wp:anchor distT="0" distB="0" distL="114300" distR="114300" simplePos="0" relativeHeight="251667456" behindDoc="0" locked="0" layoutInCell="1" allowOverlap="1" wp14:anchorId="694F109F" wp14:editId="193D8253">
                <wp:simplePos x="0" y="0"/>
                <wp:positionH relativeFrom="column">
                  <wp:posOffset>2270125</wp:posOffset>
                </wp:positionH>
                <wp:positionV relativeFrom="paragraph">
                  <wp:posOffset>100330</wp:posOffset>
                </wp:positionV>
                <wp:extent cx="1906270" cy="540385"/>
                <wp:effectExtent l="0" t="0" r="17780" b="12065"/>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270" cy="540385"/>
                          <a:chOff x="5010" y="6760"/>
                          <a:chExt cx="3002" cy="851"/>
                        </a:xfrm>
                      </wpg:grpSpPr>
                      <wpg:grpSp>
                        <wpg:cNvPr id="668" name="Group 353"/>
                        <wpg:cNvGrpSpPr>
                          <a:grpSpLocks/>
                        </wpg:cNvGrpSpPr>
                        <wpg:grpSpPr bwMode="auto">
                          <a:xfrm>
                            <a:off x="5469" y="6760"/>
                            <a:ext cx="1975" cy="235"/>
                            <a:chOff x="3900" y="8340"/>
                            <a:chExt cx="6030" cy="195"/>
                          </a:xfrm>
                        </wpg:grpSpPr>
                        <wps:wsp>
                          <wps:cNvPr id="669" name="Line 354"/>
                          <wps:cNvCnPr/>
                          <wps:spPr bwMode="auto">
                            <a:xfrm flipH="1" flipV="1">
                              <a:off x="3915" y="8340"/>
                              <a:ext cx="6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355"/>
                          <wps:cNvCnPr/>
                          <wps:spPr bwMode="auto">
                            <a:xfrm>
                              <a:off x="390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Line 356"/>
                          <wps:cNvCnPr/>
                          <wps:spPr bwMode="auto">
                            <a:xfrm>
                              <a:off x="9930" y="8340"/>
                              <a:ext cx="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2" name="Rectangle 357"/>
                        <wps:cNvSpPr>
                          <a:spLocks noChangeArrowheads="1"/>
                        </wps:cNvSpPr>
                        <wps:spPr bwMode="auto">
                          <a:xfrm>
                            <a:off x="5010" y="7038"/>
                            <a:ext cx="1231" cy="568"/>
                          </a:xfrm>
                          <a:prstGeom prst="rect">
                            <a:avLst/>
                          </a:prstGeom>
                          <a:solidFill>
                            <a:srgbClr val="FFFFFF"/>
                          </a:solidFill>
                          <a:ln w="9525">
                            <a:solidFill>
                              <a:srgbClr val="000000"/>
                            </a:solidFill>
                            <a:miter lim="800000"/>
                            <a:headEnd/>
                            <a:tailEnd/>
                          </a:ln>
                        </wps:spPr>
                        <wps:txbx>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MS Tx</w:t>
                              </w:r>
                            </w:p>
                          </w:txbxContent>
                        </wps:txbx>
                        <wps:bodyPr rot="0" vert="horz" wrap="square" lIns="74981" tIns="37490" rIns="74981" bIns="37490" anchor="t" anchorCtr="0" upright="1">
                          <a:noAutofit/>
                        </wps:bodyPr>
                      </wps:wsp>
                      <wps:wsp>
                        <wps:cNvPr id="673" name="Rectangle 358"/>
                        <wps:cNvSpPr>
                          <a:spLocks noChangeArrowheads="1"/>
                        </wps:cNvSpPr>
                        <wps:spPr bwMode="auto">
                          <a:xfrm>
                            <a:off x="6241" y="7038"/>
                            <a:ext cx="555" cy="568"/>
                          </a:xfrm>
                          <a:prstGeom prst="rect">
                            <a:avLst/>
                          </a:prstGeom>
                          <a:solidFill>
                            <a:srgbClr val="FFFFFF"/>
                          </a:solidFill>
                          <a:ln w="9525">
                            <a:solidFill>
                              <a:srgbClr val="000000"/>
                            </a:solidFill>
                            <a:miter lim="800000"/>
                            <a:headEnd/>
                            <a:tailEnd/>
                          </a:ln>
                        </wps:spPr>
                        <wps:txbx>
                          <w:txbxContent>
                            <w:p w:rsidR="008B2F73" w:rsidRDefault="008B2F73" w:rsidP="008B2F73">
                              <w:pPr>
                                <w:rPr>
                                  <w:rFonts w:ascii="Arial" w:hAnsi="Arial" w:cs="Arial"/>
                                  <w:color w:val="000000"/>
                                  <w:sz w:val="13"/>
                                  <w:szCs w:val="16"/>
                                </w:rPr>
                              </w:pPr>
                              <w:r>
                                <w:rPr>
                                  <w:rFonts w:ascii="Arial" w:hAnsi="Arial" w:cs="Arial"/>
                                  <w:color w:val="000000"/>
                                  <w:sz w:val="13"/>
                                  <w:szCs w:val="16"/>
                                </w:rPr>
                                <w:t>TDD</w:t>
                              </w:r>
                            </w:p>
                          </w:txbxContent>
                        </wps:txbx>
                        <wps:bodyPr rot="0" vert="horz" wrap="square" lIns="74981" tIns="37490" rIns="74981" bIns="37490" anchor="t" anchorCtr="0" upright="1">
                          <a:noAutofit/>
                        </wps:bodyPr>
                      </wps:wsp>
                      <wps:wsp>
                        <wps:cNvPr id="674" name="Rectangle 359"/>
                        <wps:cNvSpPr>
                          <a:spLocks noChangeArrowheads="1"/>
                        </wps:cNvSpPr>
                        <wps:spPr bwMode="auto">
                          <a:xfrm>
                            <a:off x="6796" y="7038"/>
                            <a:ext cx="1216" cy="573"/>
                          </a:xfrm>
                          <a:prstGeom prst="rect">
                            <a:avLst/>
                          </a:prstGeom>
                          <a:solidFill>
                            <a:srgbClr val="FFFFFF"/>
                          </a:solidFill>
                          <a:ln w="9525">
                            <a:solidFill>
                              <a:srgbClr val="000000"/>
                            </a:solidFill>
                            <a:miter lim="800000"/>
                            <a:headEnd/>
                            <a:tailEnd/>
                          </a:ln>
                        </wps:spPr>
                        <wps:txbx>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BS Tx</w:t>
                              </w:r>
                            </w:p>
                          </w:txbxContent>
                        </wps:txbx>
                        <wps:bodyPr rot="0" vert="horz" wrap="square" lIns="74981" tIns="37490" rIns="74981" bIns="374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F109F" id="Group 667" o:spid="_x0000_s1045" style="position:absolute;left:0;text-align:left;margin-left:178.75pt;margin-top:7.9pt;width:150.1pt;height:42.55pt;z-index:251667456" coordorigin="5010,6760" coordsize="30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">
                <v:group id="Group 353" o:spid="_x0000_s1046" style="position:absolute;left:5469;top:6760;width:1975;height:235" coordorigin="3900,8340" coordsize="6030,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354" o:spid="_x0000_s1047" style="position:absolute;flip:x y;visibility:visible;mso-wrap-style:square" from="3915,8340" to="993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4f8UAAADcAAAADwAAAGRycy9kb3ducmV2LnhtbESPQWvCQBSE74L/YXlCL1I3SUuw0VVE&#10;qPSUUrX0+sg+k2D2bciuSeyv7xYKPQ4z8w2z3o6mET11rrasIF5EIIgLq2suFZxPr49LEM4ja2ws&#10;k4I7OdhuppM1ZtoO/EH90ZciQNhlqKDyvs2kdEVFBt3CtsTBu9jOoA+yK6XucAhw08gkilJpsOaw&#10;UGFL+4qK6/FmFCDn30/LIaZneaAvl+Tv893nRamH2bhbgfA0+v/wX/tNK0jTF/g9E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I4f8UAAADcAAAADwAAAAAAAAAA&#10;AAAAAAChAgAAZHJzL2Rvd25yZXYueG1sUEsFBgAAAAAEAAQA+QAAAJMDAAAAAA==&#10;"/>
                  <v:line id="Line 355" o:spid="_x0000_s1048" style="position:absolute;visibility:visible;mso-wrap-style:square" from="3900,8340" to="390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uUsIAAADcAAAADwAAAGRycy9kb3ducmV2LnhtbERPu2rDMBTdA/0HcQvZEtkd4saNYkpN&#10;IUNTyIPMN9atZWpdGUt11L+PhkLHw3lvqmh7MdHoO8cK8mUGgrhxuuNWwfn0vngG4QOyxt4xKfgl&#10;D9X2YbbBUrsbH2g6hlakEPYlKjAhDKWUvjFk0S/dQJy4LzdaDAmOrdQj3lK47eVTlq2kxY5Tg8GB&#10;3gw138cfq6Aw9UEWsv44fdZTl6/jPl6ua6Xmj/H1BUSgGP7Ff+6dVrAq0vx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1uUsIAAADcAAAADwAAAAAAAAAAAAAA&#10;AAChAgAAZHJzL2Rvd25yZXYueG1sUEsFBgAAAAAEAAQA+QAAAJADAAAAAA==&#10;">
                    <v:stroke endarrow="block"/>
                  </v:line>
                  <v:line id="Line 356" o:spid="_x0000_s1049" style="position:absolute;visibility:visible;mso-wrap-style:square" from="9930,8340" to="9930,8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LycUAAADcAAAADwAAAGRycy9kb3ducmV2LnhtbESPzWrDMBCE74W+g9hCb43sHuLEjRJK&#10;TaGHJpAfct5aG8vEWhlLddS3rwKBHIeZ+YZZrKLtxEiDbx0ryCcZCOLa6ZYbBYf958sMhA/IGjvH&#10;pOCPPKyWjw8LLLW78JbGXWhEgrAvUYEJoS+l9LUhi37ieuLkndxgMSQ5NFIPeElw28nXLJt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HLycUAAADcAAAADwAAAAAAAAAA&#10;AAAAAAChAgAAZHJzL2Rvd25yZXYueG1sUEsFBgAAAAAEAAQA+QAAAJMDAAAAAA==&#10;">
                    <v:stroke endarrow="block"/>
                  </v:line>
                </v:group>
                <v:rect id="Rectangle 357" o:spid="_x0000_s1050" style="position:absolute;left:5010;top:7038;width:123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TSsIA&#10;AADcAAAADwAAAGRycy9kb3ducmV2LnhtbESPQYvCMBSE7wv+h/AEb2u6Rap0jaKC4EEPVn/Ao3nb&#10;lG1eShO1+uuNIHgcZuYbZr7sbSOu1PnasYKfcQKCuHS65krB+bT9noHwAVlj45gU3MnDcjH4mmOu&#10;3Y2PdC1CJSKEfY4KTAhtLqUvDVn0Y9cSR+/PdRZDlF0ldYe3CLeNTJMkkxZrjgsGW9oYKv+Li1Uw&#10;2RbZtNgfdqY5rOtV9aCwSUmp0bBf/YII1IdP+N3eaQXZNIXXmX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tNKwgAAANwAAAAPAAAAAAAAAAAAAAAAAJgCAABkcnMvZG93&#10;bnJldi54bWxQSwUGAAAAAAQABAD1AAAAhwMAAAAA&#10;">
                  <v:textbox inset="2.08281mm,1.0414mm,2.08281mm,1.0414mm">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MS Tx</w:t>
                        </w:r>
                      </w:p>
                    </w:txbxContent>
                  </v:textbox>
                </v:rect>
                <v:rect id="Rectangle 358" o:spid="_x0000_s1051" style="position:absolute;left:6241;top:7038;width:55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20cMA&#10;AADcAAAADwAAAGRycy9kb3ducmV2LnhtbESPQYvCMBSE78L+h/AW9qbpqrRSjeIKggc9WP0Bj+bZ&#10;FJuX0kTt+uvNwoLHYWa+YRar3jbiTp2vHSv4HiUgiEuna64UnE/b4QyED8gaG8ek4Jc8rJYfgwXm&#10;2j34SPciVCJC2OeowITQ5lL60pBFP3ItcfQurrMYouwqqTt8RLht5DhJUmmx5rhgsKWNofJa3KyC&#10;6bZIs2J/2Jnm8FOvqyeFzZiU+vrs13MQgfrwDv+3d1pBmk3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20cMAAADcAAAADwAAAAAAAAAAAAAAAACYAgAAZHJzL2Rv&#10;d25yZXYueG1sUEsFBgAAAAAEAAQA9QAAAIgDAAAAAA==&#10;">
                  <v:textbox inset="2.08281mm,1.0414mm,2.08281mm,1.0414mm">
                    <w:txbxContent>
                      <w:p w:rsidR="008B2F73" w:rsidRDefault="008B2F73" w:rsidP="008B2F73">
                        <w:pPr>
                          <w:rPr>
                            <w:rFonts w:ascii="Arial" w:hAnsi="Arial" w:cs="Arial"/>
                            <w:color w:val="000000"/>
                            <w:sz w:val="13"/>
                            <w:szCs w:val="16"/>
                          </w:rPr>
                        </w:pPr>
                        <w:r>
                          <w:rPr>
                            <w:rFonts w:ascii="Arial" w:hAnsi="Arial" w:cs="Arial"/>
                            <w:color w:val="000000"/>
                            <w:sz w:val="13"/>
                            <w:szCs w:val="16"/>
                          </w:rPr>
                          <w:t>TDD</w:t>
                        </w:r>
                      </w:p>
                    </w:txbxContent>
                  </v:textbox>
                </v:rect>
                <v:rect id="Rectangle 359" o:spid="_x0000_s1052" style="position:absolute;left:6796;top:7038;width:1216;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upcIA&#10;AADcAAAADwAAAGRycy9kb3ducmV2LnhtbESPwarCMBRE9w/8h3AFd89UkSrVKCoILnRh3/uAS3Nt&#10;is1NaaJWv94IgsthZs4wi1Vna3Gj1leOFYyGCQjiwumKSwX/f7vfGQgfkDXWjknBgzyslr2fBWba&#10;3flEtzyUIkLYZ6jAhNBkUvrCkEU/dA1x9M6utRiibEupW7xHuK3lOElSabHiuGCwoa2h4pJfrYLJ&#10;Lk+n+eG4N/VxU63LJ4XtmJQa9Lv1HESgLnzDn/ZeK0inE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6lwgAAANwAAAAPAAAAAAAAAAAAAAAAAJgCAABkcnMvZG93&#10;bnJldi54bWxQSwUGAAAAAAQABAD1AAAAhwMAAAAA&#10;">
                  <v:textbox inset="2.08281mm,1.0414mm,2.08281mm,1.0414mm">
                    <w:txbxContent>
                      <w:p w:rsidR="008B2F73" w:rsidRDefault="008B2F73" w:rsidP="008B2F73">
                        <w:pPr>
                          <w:jc w:val="center"/>
                          <w:rPr>
                            <w:rFonts w:ascii="Arial" w:hAnsi="Arial" w:cs="Arial"/>
                            <w:color w:val="000000"/>
                            <w:sz w:val="23"/>
                            <w:szCs w:val="28"/>
                          </w:rPr>
                        </w:pPr>
                        <w:r>
                          <w:rPr>
                            <w:rFonts w:ascii="Arial" w:hAnsi="Arial" w:cs="Arial"/>
                            <w:color w:val="000000"/>
                            <w:sz w:val="23"/>
                            <w:szCs w:val="28"/>
                          </w:rPr>
                          <w:t>BS Tx</w:t>
                        </w:r>
                      </w:p>
                    </w:txbxContent>
                  </v:textbox>
                </v:rect>
              </v:group>
            </w:pict>
          </mc:Fallback>
        </mc:AlternateContent>
      </w:r>
    </w:p>
    <w:p w:rsidR="008B2F73" w:rsidRPr="000759A1" w:rsidRDefault="008B2F73" w:rsidP="008B2F73">
      <w:pPr>
        <w:keepNext/>
        <w:keepLines/>
        <w:suppressAutoHyphens/>
        <w:jc w:val="center"/>
        <w:rPr>
          <w:lang w:eastAsia="zh-CN"/>
        </w:rPr>
      </w:pPr>
    </w:p>
    <w:p w:rsidR="008B2F73" w:rsidRPr="000759A1" w:rsidRDefault="008B2F73" w:rsidP="008B2F73">
      <w:pPr>
        <w:keepNext/>
        <w:keepLines/>
        <w:suppressAutoHyphens/>
        <w:jc w:val="center"/>
        <w:rPr>
          <w:lang w:eastAsia="zh-CN"/>
        </w:rPr>
      </w:pPr>
      <w:r w:rsidRPr="000759A1">
        <w:rPr>
          <w:noProof/>
          <w:lang w:val="en-US" w:eastAsia="zh-CN"/>
        </w:rPr>
        <mc:AlternateContent>
          <mc:Choice Requires="wps">
            <w:drawing>
              <wp:anchor distT="0" distB="0" distL="114300" distR="114300" simplePos="0" relativeHeight="251680768" behindDoc="0" locked="0" layoutInCell="1" allowOverlap="1" wp14:anchorId="67BD6678" wp14:editId="6810EBE6">
                <wp:simplePos x="0" y="0"/>
                <wp:positionH relativeFrom="column">
                  <wp:posOffset>5700395</wp:posOffset>
                </wp:positionH>
                <wp:positionV relativeFrom="paragraph">
                  <wp:posOffset>57150</wp:posOffset>
                </wp:positionV>
                <wp:extent cx="516255" cy="309880"/>
                <wp:effectExtent l="0" t="0"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2180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6678" id="Text Box 666" o:spid="_x0000_s1053" type="#_x0000_t202" style="position:absolute;left:0;text-align:left;margin-left:448.85pt;margin-top:4.5pt;width:40.65pt;height:2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1cuw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" filled="f" stroked="f">
                <v:textbox>
                  <w:txbxContent>
                    <w:p w:rsidR="008B2F73" w:rsidRPr="008578BF" w:rsidRDefault="008B2F73" w:rsidP="008B2F73">
                      <w:pPr>
                        <w:rPr>
                          <w:sz w:val="16"/>
                          <w:szCs w:val="16"/>
                        </w:rPr>
                      </w:pPr>
                      <w:r>
                        <w:rPr>
                          <w:sz w:val="16"/>
                          <w:szCs w:val="16"/>
                        </w:rPr>
                        <w:t>2180</w:t>
                      </w:r>
                    </w:p>
                  </w:txbxContent>
                </v:textbox>
              </v:shape>
            </w:pict>
          </mc:Fallback>
        </mc:AlternateContent>
      </w:r>
      <w:r w:rsidRPr="000759A1">
        <w:rPr>
          <w:noProof/>
          <w:lang w:val="en-US" w:eastAsia="zh-CN"/>
        </w:rPr>
        <mc:AlternateContent>
          <mc:Choice Requires="wps">
            <w:drawing>
              <wp:anchor distT="0" distB="0" distL="114300" distR="114300" simplePos="0" relativeHeight="251683840" behindDoc="0" locked="0" layoutInCell="1" allowOverlap="1" wp14:anchorId="6C36BC61" wp14:editId="0AE5CFAD">
                <wp:simplePos x="0" y="0"/>
                <wp:positionH relativeFrom="column">
                  <wp:posOffset>1442720</wp:posOffset>
                </wp:positionH>
                <wp:positionV relativeFrom="paragraph">
                  <wp:posOffset>57150</wp:posOffset>
                </wp:positionV>
                <wp:extent cx="516255" cy="309880"/>
                <wp:effectExtent l="0" t="0" r="0" b="0"/>
                <wp:wrapNone/>
                <wp:docPr id="66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1780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6BC61" id="Text Box 665" o:spid="_x0000_s1054" type="#_x0000_t202" style="position:absolute;left:0;text-align:left;margin-left:113.6pt;margin-top:4.5pt;width:40.65pt;height: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4VvQ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" filled="f" stroked="f">
                <v:textbox>
                  <w:txbxContent>
                    <w:p w:rsidR="008B2F73" w:rsidRPr="008578BF" w:rsidRDefault="008B2F73" w:rsidP="008B2F73">
                      <w:pPr>
                        <w:rPr>
                          <w:sz w:val="16"/>
                          <w:szCs w:val="16"/>
                        </w:rPr>
                      </w:pPr>
                      <w:r>
                        <w:rPr>
                          <w:sz w:val="16"/>
                          <w:szCs w:val="16"/>
                        </w:rPr>
                        <w:t>1780</w:t>
                      </w:r>
                    </w:p>
                  </w:txbxContent>
                </v:textbox>
              </v:shape>
            </w:pict>
          </mc:Fallback>
        </mc:AlternateContent>
      </w:r>
      <w:r w:rsidRPr="000759A1">
        <w:rPr>
          <w:noProof/>
          <w:lang w:val="en-US" w:eastAsia="zh-CN"/>
        </w:rPr>
        <mc:AlternateContent>
          <mc:Choice Requires="wps">
            <w:drawing>
              <wp:anchor distT="0" distB="0" distL="114300" distR="114300" simplePos="0" relativeHeight="251682816" behindDoc="0" locked="0" layoutInCell="1" allowOverlap="1" wp14:anchorId="2D5CCBD5" wp14:editId="5C0475C1">
                <wp:simplePos x="0" y="0"/>
                <wp:positionH relativeFrom="column">
                  <wp:posOffset>982980</wp:posOffset>
                </wp:positionH>
                <wp:positionV relativeFrom="paragraph">
                  <wp:posOffset>57150</wp:posOffset>
                </wp:positionV>
                <wp:extent cx="516255" cy="309880"/>
                <wp:effectExtent l="0" t="0" r="0" b="0"/>
                <wp:wrapNone/>
                <wp:docPr id="66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1710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CBD5" id="Text Box 664" o:spid="_x0000_s1055" type="#_x0000_t202" style="position:absolute;left:0;text-align:left;margin-left:77.4pt;margin-top:4.5pt;width:40.65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uX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" filled="f" stroked="f">
                <v:textbox>
                  <w:txbxContent>
                    <w:p w:rsidR="008B2F73" w:rsidRPr="008578BF" w:rsidRDefault="008B2F73" w:rsidP="008B2F73">
                      <w:pPr>
                        <w:rPr>
                          <w:sz w:val="16"/>
                          <w:szCs w:val="16"/>
                        </w:rPr>
                      </w:pPr>
                      <w:r>
                        <w:rPr>
                          <w:sz w:val="16"/>
                          <w:szCs w:val="16"/>
                        </w:rPr>
                        <w:t>1710</w:t>
                      </w:r>
                    </w:p>
                  </w:txbxContent>
                </v:textbox>
              </v:shape>
            </w:pict>
          </mc:Fallback>
        </mc:AlternateContent>
      </w:r>
      <w:r w:rsidRPr="000759A1">
        <w:rPr>
          <w:noProof/>
          <w:lang w:val="en-US" w:eastAsia="zh-CN"/>
        </w:rPr>
        <mc:AlternateContent>
          <mc:Choice Requires="wps">
            <w:drawing>
              <wp:anchor distT="0" distB="0" distL="114300" distR="114300" simplePos="0" relativeHeight="251681792" behindDoc="0" locked="0" layoutInCell="1" allowOverlap="1" wp14:anchorId="322662FA" wp14:editId="05AFDFF3">
                <wp:simplePos x="0" y="0"/>
                <wp:positionH relativeFrom="column">
                  <wp:posOffset>5240020</wp:posOffset>
                </wp:positionH>
                <wp:positionV relativeFrom="paragraph">
                  <wp:posOffset>57150</wp:posOffset>
                </wp:positionV>
                <wp:extent cx="516255" cy="309880"/>
                <wp:effectExtent l="0" t="0" r="0" b="0"/>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2110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662FA" id="Text Box 663" o:spid="_x0000_s1056" type="#_x0000_t202" style="position:absolute;left:0;text-align:left;margin-left:412.6pt;margin-top:4.5pt;width:40.65pt;height:2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GI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" filled="f" stroked="f">
                <v:textbox>
                  <w:txbxContent>
                    <w:p w:rsidR="008B2F73" w:rsidRPr="008578BF" w:rsidRDefault="008B2F73" w:rsidP="008B2F73">
                      <w:pPr>
                        <w:rPr>
                          <w:sz w:val="16"/>
                          <w:szCs w:val="16"/>
                        </w:rPr>
                      </w:pPr>
                      <w:r>
                        <w:rPr>
                          <w:sz w:val="16"/>
                          <w:szCs w:val="16"/>
                        </w:rPr>
                        <w:t>2110</w:t>
                      </w:r>
                    </w:p>
                  </w:txbxContent>
                </v:textbox>
              </v:shape>
            </w:pict>
          </mc:Fallback>
        </mc:AlternateContent>
      </w:r>
      <w:r w:rsidRPr="000759A1">
        <w:rPr>
          <w:noProof/>
          <w:lang w:val="en-US" w:eastAsia="zh-CN"/>
        </w:rPr>
        <mc:AlternateContent>
          <mc:Choice Requires="wps">
            <w:drawing>
              <wp:anchor distT="0" distB="0" distL="114300" distR="114300" simplePos="0" relativeHeight="251679744" behindDoc="0" locked="0" layoutInCell="1" allowOverlap="1" wp14:anchorId="472F198F" wp14:editId="74F46A33">
                <wp:simplePos x="0" y="0"/>
                <wp:positionH relativeFrom="column">
                  <wp:posOffset>4058920</wp:posOffset>
                </wp:positionH>
                <wp:positionV relativeFrom="paragraph">
                  <wp:posOffset>57150</wp:posOffset>
                </wp:positionV>
                <wp:extent cx="516255" cy="309880"/>
                <wp:effectExtent l="0" t="0" r="0" b="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F198F" id="Text Box 662" o:spid="_x0000_s1057" type="#_x0000_t202" style="position:absolute;left:0;text-align:left;margin-left:319.6pt;margin-top:4.5pt;width:40.65pt;height:2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CuwIAAMQ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" filled="f" stroked="f">
                <v:textbox>
                  <w:txbxContent>
                    <w:p w:rsidR="008B2F73" w:rsidRPr="008578BF" w:rsidRDefault="008B2F73" w:rsidP="008B2F73">
                      <w:pPr>
                        <w:rPr>
                          <w:sz w:val="16"/>
                          <w:szCs w:val="16"/>
                        </w:rPr>
                      </w:pPr>
                      <w:r>
                        <w:rPr>
                          <w:sz w:val="16"/>
                          <w:szCs w:val="16"/>
                        </w:rPr>
                        <w:t>2000</w:t>
                      </w:r>
                    </w:p>
                  </w:txbxContent>
                </v:textbox>
              </v:shape>
            </w:pict>
          </mc:Fallback>
        </mc:AlternateContent>
      </w:r>
      <w:r w:rsidRPr="000759A1">
        <w:rPr>
          <w:noProof/>
          <w:lang w:val="en-US" w:eastAsia="zh-CN"/>
        </w:rPr>
        <mc:AlternateContent>
          <mc:Choice Requires="wps">
            <w:drawing>
              <wp:anchor distT="0" distB="0" distL="114300" distR="114300" simplePos="0" relativeHeight="251678720" behindDoc="0" locked="0" layoutInCell="1" allowOverlap="1" wp14:anchorId="5F9B0BE7" wp14:editId="5A2493FA">
                <wp:simplePos x="0" y="0"/>
                <wp:positionH relativeFrom="column">
                  <wp:posOffset>3274060</wp:posOffset>
                </wp:positionH>
                <wp:positionV relativeFrom="paragraph">
                  <wp:posOffset>57150</wp:posOffset>
                </wp:positionV>
                <wp:extent cx="480695" cy="309880"/>
                <wp:effectExtent l="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Default="008B2F73" w:rsidP="008B2F73">
                            <w:r>
                              <w:rPr>
                                <w:sz w:val="16"/>
                                <w:szCs w:val="16"/>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B0BE7" id="Text Box 661" o:spid="_x0000_s1058" type="#_x0000_t202" style="position:absolute;left:0;text-align:left;margin-left:257.8pt;margin-top:4.5pt;width:37.85pt;height:2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x+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" filled="f" stroked="f">
                <v:textbox>
                  <w:txbxContent>
                    <w:p w:rsidR="008B2F73" w:rsidRDefault="008B2F73" w:rsidP="008B2F73">
                      <w:r>
                        <w:rPr>
                          <w:sz w:val="16"/>
                          <w:szCs w:val="16"/>
                        </w:rPr>
                        <w:t>1930</w:t>
                      </w:r>
                    </w:p>
                  </w:txbxContent>
                </v:textbox>
              </v:shape>
            </w:pict>
          </mc:Fallback>
        </mc:AlternateContent>
      </w:r>
      <w:r w:rsidRPr="000759A1">
        <w:rPr>
          <w:noProof/>
          <w:lang w:val="en-US" w:eastAsia="zh-CN"/>
        </w:rPr>
        <mc:AlternateContent>
          <mc:Choice Requires="wps">
            <w:drawing>
              <wp:anchor distT="0" distB="0" distL="114300" distR="114300" simplePos="0" relativeHeight="251677696" behindDoc="0" locked="0" layoutInCell="1" allowOverlap="1" wp14:anchorId="484DCFB6" wp14:editId="6C26568D">
                <wp:simplePos x="0" y="0"/>
                <wp:positionH relativeFrom="column">
                  <wp:posOffset>2770505</wp:posOffset>
                </wp:positionH>
                <wp:positionV relativeFrom="paragraph">
                  <wp:posOffset>57150</wp:posOffset>
                </wp:positionV>
                <wp:extent cx="453390" cy="357505"/>
                <wp:effectExtent l="0" t="0" r="0" b="4445"/>
                <wp:wrapNone/>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Pr>
                                <w:sz w:val="16"/>
                                <w:szCs w:val="1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CFB6" id="Text Box 660" o:spid="_x0000_s1059" type="#_x0000_t202" style="position:absolute;left:0;text-align:left;margin-left:218.15pt;margin-top:4.5pt;width:35.7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OumugIAAMQ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" filled="f" stroked="f">
                <v:textbox>
                  <w:txbxContent>
                    <w:p w:rsidR="008B2F73" w:rsidRPr="008578BF" w:rsidRDefault="008B2F73" w:rsidP="008B2F73">
                      <w:pPr>
                        <w:rPr>
                          <w:sz w:val="16"/>
                          <w:szCs w:val="16"/>
                        </w:rPr>
                      </w:pPr>
                      <w:r>
                        <w:rPr>
                          <w:sz w:val="16"/>
                          <w:szCs w:val="16"/>
                        </w:rPr>
                        <w:t>1920</w:t>
                      </w:r>
                    </w:p>
                  </w:txbxContent>
                </v:textbox>
              </v:shape>
            </w:pict>
          </mc:Fallback>
        </mc:AlternateContent>
      </w:r>
      <w:r w:rsidRPr="000759A1">
        <w:rPr>
          <w:noProof/>
          <w:lang w:val="en-US" w:eastAsia="zh-CN"/>
        </w:rPr>
        <mc:AlternateContent>
          <mc:Choice Requires="wps">
            <w:drawing>
              <wp:anchor distT="0" distB="0" distL="114300" distR="114300" simplePos="0" relativeHeight="251676672" behindDoc="0" locked="0" layoutInCell="1" allowOverlap="1" wp14:anchorId="15D34C79" wp14:editId="66296B23">
                <wp:simplePos x="0" y="0"/>
                <wp:positionH relativeFrom="column">
                  <wp:posOffset>2065020</wp:posOffset>
                </wp:positionH>
                <wp:positionV relativeFrom="paragraph">
                  <wp:posOffset>57150</wp:posOffset>
                </wp:positionV>
                <wp:extent cx="546100" cy="262255"/>
                <wp:effectExtent l="0" t="0" r="0" b="4445"/>
                <wp:wrapNone/>
                <wp:docPr id="65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73" w:rsidRPr="008578BF" w:rsidRDefault="008B2F73" w:rsidP="008B2F73">
                            <w:pPr>
                              <w:rPr>
                                <w:sz w:val="16"/>
                                <w:szCs w:val="16"/>
                              </w:rPr>
                            </w:pPr>
                            <w:r w:rsidRPr="008578BF">
                              <w:rPr>
                                <w:sz w:val="16"/>
                                <w:szCs w:val="16"/>
                              </w:rPr>
                              <w:t>1850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34C79" id="Text Box 659" o:spid="_x0000_s1060" type="#_x0000_t202" style="position:absolute;left:0;text-align:left;margin-left:162.6pt;margin-top:4.5pt;width:43pt;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A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" filled="f" stroked="f">
                <v:textbox>
                  <w:txbxContent>
                    <w:p w:rsidR="008B2F73" w:rsidRPr="008578BF" w:rsidRDefault="008B2F73" w:rsidP="008B2F73">
                      <w:pPr>
                        <w:rPr>
                          <w:sz w:val="16"/>
                          <w:szCs w:val="16"/>
                        </w:rPr>
                      </w:pPr>
                      <w:r w:rsidRPr="008578BF">
                        <w:rPr>
                          <w:sz w:val="16"/>
                          <w:szCs w:val="16"/>
                        </w:rPr>
                        <w:t>1850</w:t>
                      </w:r>
                    </w:p>
                  </w:txbxContent>
                </v:textbox>
              </v:shape>
            </w:pict>
          </mc:Fallback>
        </mc:AlternateContent>
      </w:r>
    </w:p>
    <w:p w:rsidR="008B2F73" w:rsidRPr="000759A1" w:rsidRDefault="008B2F73" w:rsidP="008B2F73">
      <w:pPr>
        <w:keepNext/>
        <w:keepLines/>
        <w:suppressAutoHyphens/>
        <w:jc w:val="center"/>
        <w:rPr>
          <w:lang w:eastAsia="zh-CN"/>
        </w:rPr>
      </w:pPr>
    </w:p>
    <w:p w:rsidR="008B2F73" w:rsidRPr="000759A1" w:rsidRDefault="008B2F73" w:rsidP="008B2F73">
      <w:pPr>
        <w:suppressAutoHyphens/>
        <w:rPr>
          <w:lang w:eastAsia="zh-CN"/>
        </w:rPr>
      </w:pPr>
      <w:r w:rsidRPr="000759A1">
        <w:rPr>
          <w:noProof/>
          <w:lang w:val="en-US" w:eastAsia="zh-CN"/>
        </w:rPr>
        <w:drawing>
          <wp:inline distT="0" distB="0" distL="0" distR="0" wp14:anchorId="5E000BDC" wp14:editId="42D3D136">
            <wp:extent cx="5981700" cy="914400"/>
            <wp:effectExtent l="0" t="0" r="0" b="0"/>
            <wp:docPr id="16"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1700" cy="914400"/>
                    </a:xfrm>
                    <a:prstGeom prst="rect">
                      <a:avLst/>
                    </a:prstGeom>
                    <a:noFill/>
                    <a:ln>
                      <a:noFill/>
                    </a:ln>
                  </pic:spPr>
                </pic:pic>
              </a:graphicData>
            </a:graphic>
          </wp:inline>
        </w:drawing>
      </w:r>
      <w:r w:rsidRPr="000759A1">
        <w:rPr>
          <w:noProof/>
          <w:lang w:val="en-US" w:eastAsia="zh-CN"/>
        </w:rPr>
        <w:drawing>
          <wp:inline distT="0" distB="0" distL="0" distR="0" wp14:anchorId="530DD9BC" wp14:editId="5566E853">
            <wp:extent cx="5923280" cy="839470"/>
            <wp:effectExtent l="1905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923280" cy="839470"/>
                    </a:xfrm>
                    <a:prstGeom prst="rect">
                      <a:avLst/>
                    </a:prstGeom>
                    <a:noFill/>
                    <a:ln w="9525">
                      <a:noFill/>
                      <a:miter lim="800000"/>
                      <a:headEnd/>
                      <a:tailEnd/>
                    </a:ln>
                  </pic:spPr>
                </pic:pic>
              </a:graphicData>
            </a:graphic>
          </wp:inline>
        </w:drawing>
      </w:r>
    </w:p>
    <w:p w:rsidR="008B2F73" w:rsidRPr="000759A1" w:rsidRDefault="008B2F73" w:rsidP="008B2F73">
      <w:pPr>
        <w:suppressAutoHyphens/>
        <w:rPr>
          <w:lang w:eastAsia="zh-CN"/>
        </w:rPr>
      </w:pPr>
    </w:p>
    <w:p w:rsidR="00473BC0" w:rsidRDefault="00473BC0" w:rsidP="008B2F73">
      <w:pPr>
        <w:pStyle w:val="SectionNo"/>
        <w:rPr>
          <w:rFonts w:eastAsia="MS Mincho"/>
          <w:lang w:val="es-ES_tradnl"/>
        </w:rPr>
      </w:pPr>
      <w:r>
        <w:rPr>
          <w:rFonts w:eastAsia="MS Mincho"/>
          <w:lang w:val="es-ES_tradnl"/>
        </w:rPr>
        <w:br w:type="page"/>
      </w:r>
    </w:p>
    <w:p w:rsidR="008B2F73" w:rsidRPr="00473BC0" w:rsidRDefault="00473BC0" w:rsidP="00473BC0">
      <w:pPr>
        <w:pStyle w:val="SectionNo"/>
        <w:jc w:val="center"/>
        <w:rPr>
          <w:rFonts w:eastAsia="MS Mincho"/>
          <w:sz w:val="28"/>
          <w:szCs w:val="28"/>
          <w:lang w:val="es-ES_tradnl"/>
        </w:rPr>
      </w:pPr>
      <w:r w:rsidRPr="00473BC0">
        <w:rPr>
          <w:rFonts w:eastAsia="MS Mincho"/>
          <w:sz w:val="28"/>
          <w:szCs w:val="28"/>
          <w:lang w:val="es-ES_tradnl"/>
        </w:rPr>
        <w:lastRenderedPageBreak/>
        <w:t>SECCIÓN 4</w:t>
      </w:r>
    </w:p>
    <w:p w:rsidR="008B2F73" w:rsidRPr="008B2F73" w:rsidRDefault="008B2F73" w:rsidP="008B2F73">
      <w:pPr>
        <w:pStyle w:val="Sectiontitle"/>
        <w:rPr>
          <w:lang w:val="es-ES_tradnl"/>
        </w:rPr>
      </w:pPr>
      <w:r w:rsidRPr="008B2F73">
        <w:rPr>
          <w:rFonts w:eastAsia="MS Mincho"/>
          <w:lang w:val="es-ES_tradnl"/>
        </w:rPr>
        <w:t>Disposiciones de frecuencias en la banda 2 300-2 400 MHz</w:t>
      </w:r>
    </w:p>
    <w:p w:rsidR="008B2F73" w:rsidRPr="000759A1" w:rsidRDefault="008B2F73" w:rsidP="008B2F73">
      <w:pPr>
        <w:pStyle w:val="Normalaftertitle"/>
        <w:rPr>
          <w:lang w:val="es-ES_tradnl" w:eastAsia="zh-CN"/>
        </w:rPr>
      </w:pPr>
      <w:r w:rsidRPr="000759A1">
        <w:rPr>
          <w:lang w:val="es-ES_tradnl"/>
        </w:rPr>
        <w:t>Las disposiciones de frecuencias recomendadas para la implantación de las IMT en la banda 2 300</w:t>
      </w:r>
      <w:r w:rsidRPr="000759A1">
        <w:rPr>
          <w:lang w:val="es-ES_tradnl"/>
        </w:rPr>
        <w:noBreakHyphen/>
        <w:t>2 400 MHz se resumen en el Cuadro 5 y en la Fig. 5, considerando las directrices del Anexo 1.</w:t>
      </w:r>
    </w:p>
    <w:p w:rsidR="008B2F73" w:rsidRPr="008B2F73" w:rsidRDefault="008B2F73" w:rsidP="008B2F73">
      <w:pPr>
        <w:pStyle w:val="TableNo"/>
        <w:rPr>
          <w:lang w:val="es-ES_tradnl" w:eastAsia="zh-CN"/>
        </w:rPr>
      </w:pPr>
      <w:r w:rsidRPr="008B2F73">
        <w:rPr>
          <w:lang w:val="es-ES_tradnl"/>
        </w:rPr>
        <w:t>CUADRO 5</w:t>
      </w:r>
    </w:p>
    <w:p w:rsidR="008B2F73" w:rsidRPr="008B2F73" w:rsidRDefault="008B2F73" w:rsidP="008B2F73">
      <w:pPr>
        <w:pStyle w:val="Tabletitle"/>
        <w:rPr>
          <w:lang w:val="es-ES_tradnl" w:eastAsia="zh-CN"/>
        </w:rPr>
      </w:pPr>
      <w:r w:rsidRPr="008B2F73">
        <w:rPr>
          <w:lang w:val="es-ES_tradnl"/>
        </w:rPr>
        <w:t>Disposiciones de frecuencias en la banda 2 300-2 400 MHz</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50"/>
        <w:gridCol w:w="1492"/>
        <w:gridCol w:w="1189"/>
        <w:gridCol w:w="1399"/>
        <w:gridCol w:w="1479"/>
        <w:gridCol w:w="2230"/>
      </w:tblGrid>
      <w:tr w:rsidR="008B2F73" w:rsidRPr="008B2F73" w:rsidTr="00CF26FE">
        <w:trPr>
          <w:jc w:val="center"/>
        </w:trPr>
        <w:tc>
          <w:tcPr>
            <w:tcW w:w="1850" w:type="dxa"/>
            <w:vMerge w:val="restart"/>
            <w:tcBorders>
              <w:top w:val="single" w:sz="4" w:space="0" w:color="auto"/>
            </w:tcBorders>
            <w:vAlign w:val="center"/>
          </w:tcPr>
          <w:p w:rsidR="008B2F73" w:rsidRPr="000759A1" w:rsidRDefault="008B2F73" w:rsidP="00CF26FE">
            <w:pPr>
              <w:pStyle w:val="Tablehead"/>
            </w:pPr>
            <w:r w:rsidRPr="000759A1">
              <w:t>Disposiciones de frecuencias</w:t>
            </w:r>
          </w:p>
        </w:tc>
        <w:tc>
          <w:tcPr>
            <w:tcW w:w="5559" w:type="dxa"/>
            <w:gridSpan w:val="4"/>
            <w:tcBorders>
              <w:top w:val="single" w:sz="4" w:space="0" w:color="auto"/>
            </w:tcBorders>
            <w:vAlign w:val="center"/>
          </w:tcPr>
          <w:p w:rsidR="008B2F73" w:rsidRPr="000759A1" w:rsidRDefault="008B2F73" w:rsidP="00CF26FE">
            <w:pPr>
              <w:pStyle w:val="Tablehead"/>
              <w:rPr>
                <w:bCs/>
              </w:rPr>
            </w:pPr>
            <w:r w:rsidRPr="000759A1">
              <w:rPr>
                <w:bCs/>
              </w:rPr>
              <w:t>Disposiciones apareadas</w:t>
            </w:r>
          </w:p>
        </w:tc>
        <w:tc>
          <w:tcPr>
            <w:tcW w:w="2230" w:type="dxa"/>
            <w:vMerge w:val="restart"/>
            <w:tcBorders>
              <w:top w:val="single" w:sz="4" w:space="0" w:color="auto"/>
            </w:tcBorders>
            <w:vAlign w:val="center"/>
          </w:tcPr>
          <w:p w:rsidR="008B2F73" w:rsidRPr="008B2F73" w:rsidRDefault="008B2F73" w:rsidP="00CF26FE">
            <w:pPr>
              <w:pStyle w:val="Tablehead"/>
              <w:rPr>
                <w:lang w:val="es-ES_tradnl"/>
              </w:rPr>
            </w:pPr>
            <w:r w:rsidRPr="008B2F73">
              <w:rPr>
                <w:lang w:val="es-ES_tradnl"/>
              </w:rPr>
              <w:t>Disposiciones no apareadas (por ejemplo para TDD)</w:t>
            </w:r>
            <w:r w:rsidRPr="008B2F73">
              <w:rPr>
                <w:lang w:val="es-ES_tradnl"/>
              </w:rPr>
              <w:br/>
              <w:t>(MHz)</w:t>
            </w:r>
          </w:p>
        </w:tc>
      </w:tr>
      <w:tr w:rsidR="008B2F73" w:rsidRPr="000759A1" w:rsidTr="00CF26FE">
        <w:trPr>
          <w:jc w:val="center"/>
        </w:trPr>
        <w:tc>
          <w:tcPr>
            <w:tcW w:w="1850" w:type="dxa"/>
            <w:vMerge/>
            <w:vAlign w:val="center"/>
          </w:tcPr>
          <w:p w:rsidR="008B2F73" w:rsidRPr="008B2F73" w:rsidRDefault="008B2F73" w:rsidP="00CF26FE">
            <w:pPr>
              <w:pStyle w:val="Tablehead"/>
              <w:rPr>
                <w:lang w:val="es-ES_tradnl"/>
              </w:rPr>
            </w:pPr>
          </w:p>
        </w:tc>
        <w:tc>
          <w:tcPr>
            <w:tcW w:w="1492" w:type="dxa"/>
            <w:vAlign w:val="center"/>
          </w:tcPr>
          <w:p w:rsidR="008B2F73" w:rsidRPr="000759A1" w:rsidRDefault="008B2F73" w:rsidP="00CF26FE">
            <w:pPr>
              <w:pStyle w:val="Tablehead"/>
              <w:rPr>
                <w:caps/>
              </w:rPr>
            </w:pPr>
            <w:r w:rsidRPr="000759A1">
              <w:t xml:space="preserve">Estación móvil transmisora </w:t>
            </w:r>
            <w:r w:rsidRPr="000759A1">
              <w:br/>
              <w:t>(MHz)</w:t>
            </w:r>
          </w:p>
        </w:tc>
        <w:tc>
          <w:tcPr>
            <w:tcW w:w="1189" w:type="dxa"/>
            <w:vAlign w:val="center"/>
          </w:tcPr>
          <w:p w:rsidR="008B2F73" w:rsidRPr="000759A1" w:rsidRDefault="008B2F73" w:rsidP="00CF26FE">
            <w:pPr>
              <w:pStyle w:val="Tablehead"/>
              <w:rPr>
                <w:caps/>
              </w:rPr>
            </w:pPr>
            <w:r w:rsidRPr="000759A1">
              <w:t xml:space="preserve">Separación central </w:t>
            </w:r>
            <w:r w:rsidRPr="000759A1">
              <w:br/>
              <w:t>(MHz)</w:t>
            </w:r>
          </w:p>
        </w:tc>
        <w:tc>
          <w:tcPr>
            <w:tcW w:w="1399" w:type="dxa"/>
            <w:vAlign w:val="center"/>
          </w:tcPr>
          <w:p w:rsidR="008B2F73" w:rsidRPr="008B2F73" w:rsidRDefault="008B2F73" w:rsidP="00CF26FE">
            <w:pPr>
              <w:pStyle w:val="Tablehead"/>
              <w:rPr>
                <w:caps/>
                <w:lang w:val="es-ES_tradnl"/>
              </w:rPr>
            </w:pPr>
            <w:r w:rsidRPr="008B2F73">
              <w:rPr>
                <w:lang w:val="es-ES_tradnl"/>
              </w:rPr>
              <w:t>Estación de base transmisora</w:t>
            </w:r>
            <w:r w:rsidRPr="008B2F73">
              <w:rPr>
                <w:lang w:val="es-ES_tradnl"/>
              </w:rPr>
              <w:br/>
              <w:t>(MHz)</w:t>
            </w:r>
          </w:p>
        </w:tc>
        <w:tc>
          <w:tcPr>
            <w:tcW w:w="1479" w:type="dxa"/>
            <w:vAlign w:val="center"/>
          </w:tcPr>
          <w:p w:rsidR="008B2F73" w:rsidRPr="000759A1" w:rsidRDefault="008B2F73" w:rsidP="00CF26FE">
            <w:pPr>
              <w:pStyle w:val="Tablehead"/>
            </w:pPr>
            <w:r w:rsidRPr="000759A1">
              <w:t>Separación dúplex</w:t>
            </w:r>
            <w:r w:rsidRPr="000759A1">
              <w:br/>
              <w:t>(MHz)</w:t>
            </w:r>
          </w:p>
        </w:tc>
        <w:tc>
          <w:tcPr>
            <w:tcW w:w="2230" w:type="dxa"/>
            <w:vMerge/>
            <w:vAlign w:val="center"/>
          </w:tcPr>
          <w:p w:rsidR="008B2F73" w:rsidRPr="000759A1" w:rsidRDefault="008B2F73" w:rsidP="00CF26FE">
            <w:pPr>
              <w:pStyle w:val="Tablehead"/>
            </w:pPr>
          </w:p>
        </w:tc>
      </w:tr>
      <w:tr w:rsidR="008B2F73" w:rsidRPr="000759A1" w:rsidTr="00CF26FE">
        <w:trPr>
          <w:jc w:val="center"/>
        </w:trPr>
        <w:tc>
          <w:tcPr>
            <w:tcW w:w="1850" w:type="dxa"/>
            <w:tcBorders>
              <w:bottom w:val="single" w:sz="4" w:space="0" w:color="auto"/>
            </w:tcBorders>
          </w:tcPr>
          <w:p w:rsidR="008B2F73" w:rsidRPr="000759A1" w:rsidDel="00ED5309" w:rsidRDefault="008B2F73" w:rsidP="00CF26FE">
            <w:pPr>
              <w:pStyle w:val="Tabletext"/>
              <w:jc w:val="center"/>
            </w:pPr>
            <w:r w:rsidRPr="000759A1">
              <w:t>E1</w:t>
            </w:r>
          </w:p>
        </w:tc>
        <w:tc>
          <w:tcPr>
            <w:tcW w:w="1492" w:type="dxa"/>
            <w:tcBorders>
              <w:bottom w:val="single" w:sz="4" w:space="0" w:color="auto"/>
            </w:tcBorders>
          </w:tcPr>
          <w:p w:rsidR="008B2F73" w:rsidRPr="000759A1" w:rsidRDefault="008B2F73" w:rsidP="00CF26FE">
            <w:pPr>
              <w:pStyle w:val="Tabletext"/>
              <w:jc w:val="center"/>
            </w:pPr>
          </w:p>
        </w:tc>
        <w:tc>
          <w:tcPr>
            <w:tcW w:w="1189" w:type="dxa"/>
            <w:tcBorders>
              <w:bottom w:val="single" w:sz="4" w:space="0" w:color="auto"/>
            </w:tcBorders>
          </w:tcPr>
          <w:p w:rsidR="008B2F73" w:rsidRPr="000759A1" w:rsidRDefault="008B2F73" w:rsidP="00CF26FE">
            <w:pPr>
              <w:pStyle w:val="Tabletext"/>
              <w:jc w:val="center"/>
            </w:pPr>
          </w:p>
        </w:tc>
        <w:tc>
          <w:tcPr>
            <w:tcW w:w="1399" w:type="dxa"/>
            <w:tcBorders>
              <w:bottom w:val="single" w:sz="4" w:space="0" w:color="auto"/>
            </w:tcBorders>
          </w:tcPr>
          <w:p w:rsidR="008B2F73" w:rsidRPr="000759A1" w:rsidRDefault="008B2F73" w:rsidP="00CF26FE">
            <w:pPr>
              <w:pStyle w:val="Tabletext"/>
              <w:jc w:val="center"/>
            </w:pPr>
          </w:p>
        </w:tc>
        <w:tc>
          <w:tcPr>
            <w:tcW w:w="1479" w:type="dxa"/>
            <w:tcBorders>
              <w:bottom w:val="single" w:sz="4" w:space="0" w:color="auto"/>
            </w:tcBorders>
          </w:tcPr>
          <w:p w:rsidR="008B2F73" w:rsidRPr="000759A1" w:rsidRDefault="008B2F73" w:rsidP="00CF26FE">
            <w:pPr>
              <w:pStyle w:val="Tabletext"/>
              <w:jc w:val="center"/>
            </w:pPr>
          </w:p>
        </w:tc>
        <w:tc>
          <w:tcPr>
            <w:tcW w:w="2230" w:type="dxa"/>
            <w:tcBorders>
              <w:bottom w:val="single" w:sz="4" w:space="0" w:color="auto"/>
            </w:tcBorders>
          </w:tcPr>
          <w:p w:rsidR="008B2F73" w:rsidRPr="000759A1" w:rsidRDefault="008B2F73" w:rsidP="00CF26FE">
            <w:pPr>
              <w:pStyle w:val="Tabletext"/>
              <w:jc w:val="center"/>
            </w:pPr>
            <w:r w:rsidRPr="000759A1">
              <w:t>2 300-2 400 TDD</w:t>
            </w:r>
          </w:p>
        </w:tc>
      </w:tr>
    </w:tbl>
    <w:p w:rsidR="008B2F73" w:rsidRPr="000759A1" w:rsidRDefault="008B2F73" w:rsidP="008B2F73">
      <w:pPr>
        <w:pStyle w:val="FigureNo"/>
        <w:rPr>
          <w:lang w:eastAsia="zh-CN"/>
        </w:rPr>
      </w:pPr>
      <w:r w:rsidRPr="000759A1">
        <w:t>FIGURA 5</w:t>
      </w:r>
    </w:p>
    <w:p w:rsidR="008B2F73" w:rsidRPr="000759A1" w:rsidRDefault="008B2F73" w:rsidP="008B2F73">
      <w:pPr>
        <w:pStyle w:val="Figure"/>
        <w:rPr>
          <w:lang w:eastAsia="zh-CN"/>
        </w:rPr>
      </w:pPr>
      <w:r w:rsidRPr="000759A1">
        <w:rPr>
          <w:noProof/>
          <w:lang w:val="en-US" w:eastAsia="zh-CN"/>
        </w:rPr>
        <w:drawing>
          <wp:inline distT="0" distB="0" distL="0" distR="0" wp14:anchorId="5B75AEA8" wp14:editId="4CBA3FA5">
            <wp:extent cx="2743200" cy="1143000"/>
            <wp:effectExtent l="0" t="0" r="0" b="0"/>
            <wp:docPr id="17"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p w:rsidR="008B2F73" w:rsidRPr="000759A1" w:rsidRDefault="008B2F73" w:rsidP="008B2F73">
      <w:pPr>
        <w:suppressAutoHyphens/>
        <w:spacing w:before="0"/>
        <w:rPr>
          <w:lang w:eastAsia="zh-CN"/>
        </w:rPr>
      </w:pPr>
      <w:r w:rsidRPr="000759A1">
        <w:rPr>
          <w:lang w:eastAsia="zh-CN"/>
        </w:rPr>
        <w:br w:type="page"/>
      </w:r>
    </w:p>
    <w:p w:rsidR="008B2F73" w:rsidRPr="002C31F2" w:rsidRDefault="002C31F2" w:rsidP="002C31F2">
      <w:pPr>
        <w:pStyle w:val="SectionNo"/>
        <w:jc w:val="center"/>
        <w:rPr>
          <w:rFonts w:eastAsia="MS Mincho"/>
          <w:sz w:val="28"/>
          <w:szCs w:val="28"/>
          <w:lang w:val="es-ES_tradnl"/>
        </w:rPr>
      </w:pPr>
      <w:r w:rsidRPr="002C31F2">
        <w:rPr>
          <w:rFonts w:eastAsia="MS Mincho"/>
          <w:sz w:val="28"/>
          <w:szCs w:val="28"/>
          <w:lang w:val="es-ES_tradnl"/>
        </w:rPr>
        <w:lastRenderedPageBreak/>
        <w:t>SECCIÓN 5</w:t>
      </w:r>
    </w:p>
    <w:p w:rsidR="008B2F73" w:rsidRPr="008B2F73" w:rsidRDefault="008B2F73" w:rsidP="008B2F73">
      <w:pPr>
        <w:pStyle w:val="Sectiontitle"/>
        <w:rPr>
          <w:lang w:val="es-ES_tradnl"/>
        </w:rPr>
      </w:pPr>
      <w:r w:rsidRPr="008B2F73">
        <w:rPr>
          <w:rFonts w:eastAsia="MS Mincho"/>
          <w:lang w:val="es-ES_tradnl"/>
        </w:rPr>
        <w:t>Disposiciones de frecuencias en la banda 2 500-2 690 MHz</w:t>
      </w:r>
    </w:p>
    <w:p w:rsidR="008B2F73" w:rsidRPr="008B2F73" w:rsidRDefault="008B2F73" w:rsidP="002C31F2">
      <w:pPr>
        <w:pStyle w:val="Normalaftertitle0"/>
        <w:rPr>
          <w:lang w:eastAsia="zh-CN"/>
        </w:rPr>
      </w:pPr>
      <w:r w:rsidRPr="008B2F73">
        <w:t>Las disposiciones de frecuencias recomendadas para la implantación de las IMT en la banda 2</w:t>
      </w:r>
      <w:r w:rsidR="002C31F2">
        <w:t> </w:t>
      </w:r>
      <w:r w:rsidRPr="008B2F73">
        <w:t>500</w:t>
      </w:r>
      <w:r w:rsidR="002C31F2">
        <w:noBreakHyphen/>
      </w:r>
      <w:r w:rsidRPr="008B2F73">
        <w:t>2 690 MHz se resumen en el Cuadro 6 y en la Fig. 6, considerando las directrices</w:t>
      </w:r>
      <w:r w:rsidR="002C31F2">
        <w:t xml:space="preserve"> del Anexo </w:t>
      </w:r>
      <w:r w:rsidRPr="008B2F73">
        <w:t>1.</w:t>
      </w:r>
    </w:p>
    <w:p w:rsidR="008B2F73" w:rsidRPr="008B2F73" w:rsidRDefault="008B2F73" w:rsidP="008B2F73">
      <w:pPr>
        <w:pStyle w:val="TableNo"/>
        <w:rPr>
          <w:lang w:val="es-ES_tradnl" w:eastAsia="zh-CN"/>
        </w:rPr>
      </w:pPr>
      <w:r w:rsidRPr="008B2F73">
        <w:rPr>
          <w:lang w:val="es-ES_tradnl"/>
        </w:rPr>
        <w:t>CUADRO 6</w:t>
      </w:r>
    </w:p>
    <w:p w:rsidR="008B2F73" w:rsidRPr="008B2F73" w:rsidRDefault="008B2F73" w:rsidP="008B2F73">
      <w:pPr>
        <w:pStyle w:val="Tabletitle"/>
        <w:rPr>
          <w:lang w:val="es-ES_tradnl" w:eastAsia="zh-CN"/>
        </w:rPr>
      </w:pPr>
      <w:r w:rsidRPr="008B2F73">
        <w:rPr>
          <w:lang w:val="es-ES_tradnl"/>
        </w:rPr>
        <w:t xml:space="preserve">Disposiciones de frecuencias en la banda 2 500-2 690 MHz </w:t>
      </w:r>
      <w:r w:rsidRPr="008B2F73">
        <w:rPr>
          <w:lang w:val="es-ES_tradnl"/>
        </w:rPr>
        <w:br/>
        <w:t>(excluida la componente de satélite)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363"/>
        <w:gridCol w:w="1247"/>
        <w:gridCol w:w="1386"/>
        <w:gridCol w:w="1144"/>
        <w:gridCol w:w="1233"/>
        <w:gridCol w:w="1706"/>
      </w:tblGrid>
      <w:tr w:rsidR="008B2F73" w:rsidRPr="008B2F73" w:rsidTr="00CF26FE">
        <w:trPr>
          <w:jc w:val="center"/>
        </w:trPr>
        <w:tc>
          <w:tcPr>
            <w:tcW w:w="1560" w:type="dxa"/>
            <w:vMerge w:val="restart"/>
            <w:vAlign w:val="center"/>
          </w:tcPr>
          <w:p w:rsidR="008B2F73" w:rsidRPr="000759A1" w:rsidRDefault="008B2F73" w:rsidP="00CF26FE">
            <w:pPr>
              <w:pStyle w:val="Tablehead"/>
              <w:rPr>
                <w:szCs w:val="22"/>
              </w:rPr>
            </w:pPr>
            <w:r w:rsidRPr="000759A1">
              <w:rPr>
                <w:szCs w:val="22"/>
              </w:rPr>
              <w:t>Disposiciones de frecuencias</w:t>
            </w:r>
          </w:p>
        </w:tc>
        <w:tc>
          <w:tcPr>
            <w:tcW w:w="6373" w:type="dxa"/>
            <w:gridSpan w:val="5"/>
            <w:vAlign w:val="center"/>
          </w:tcPr>
          <w:p w:rsidR="008B2F73" w:rsidRPr="000759A1" w:rsidRDefault="008B2F73" w:rsidP="00CF26FE">
            <w:pPr>
              <w:pStyle w:val="Tablehead"/>
              <w:rPr>
                <w:szCs w:val="22"/>
              </w:rPr>
            </w:pPr>
            <w:r w:rsidRPr="000759A1">
              <w:rPr>
                <w:szCs w:val="22"/>
              </w:rPr>
              <w:t>Disposiciones apareadas</w:t>
            </w:r>
          </w:p>
        </w:tc>
        <w:tc>
          <w:tcPr>
            <w:tcW w:w="1706" w:type="dxa"/>
            <w:vMerge w:val="restart"/>
            <w:vAlign w:val="center"/>
          </w:tcPr>
          <w:p w:rsidR="008B2F73" w:rsidRPr="008B2F73" w:rsidRDefault="008B2F73" w:rsidP="00CF26FE">
            <w:pPr>
              <w:pStyle w:val="Tablehead"/>
              <w:rPr>
                <w:szCs w:val="22"/>
                <w:lang w:val="es-ES_tradnl"/>
              </w:rPr>
            </w:pPr>
            <w:r w:rsidRPr="008B2F73">
              <w:rPr>
                <w:szCs w:val="22"/>
                <w:lang w:val="es-ES_tradnl"/>
              </w:rPr>
              <w:t>Disposiciones no apareadas (por ejemplo, para TDD)</w:t>
            </w:r>
            <w:r w:rsidRPr="008B2F73">
              <w:rPr>
                <w:szCs w:val="22"/>
                <w:lang w:val="es-ES_tradnl"/>
              </w:rPr>
              <w:br/>
              <w:t>(MHz)</w:t>
            </w:r>
          </w:p>
        </w:tc>
      </w:tr>
      <w:tr w:rsidR="008B2F73" w:rsidRPr="000759A1" w:rsidTr="00CF26FE">
        <w:trPr>
          <w:jc w:val="center"/>
        </w:trPr>
        <w:tc>
          <w:tcPr>
            <w:tcW w:w="1560" w:type="dxa"/>
            <w:vMerge/>
            <w:vAlign w:val="center"/>
          </w:tcPr>
          <w:p w:rsidR="008B2F73" w:rsidRPr="008B2F73" w:rsidRDefault="008B2F73" w:rsidP="00CF26FE">
            <w:pPr>
              <w:pStyle w:val="Tablehead"/>
              <w:rPr>
                <w:lang w:val="es-ES_tradnl"/>
              </w:rPr>
            </w:pPr>
          </w:p>
        </w:tc>
        <w:tc>
          <w:tcPr>
            <w:tcW w:w="1363" w:type="dxa"/>
            <w:vAlign w:val="center"/>
          </w:tcPr>
          <w:p w:rsidR="008B2F73" w:rsidRPr="000759A1" w:rsidRDefault="008B2F73" w:rsidP="00CF26FE">
            <w:pPr>
              <w:pStyle w:val="Tablehead"/>
              <w:rPr>
                <w:szCs w:val="22"/>
              </w:rPr>
            </w:pPr>
            <w:r w:rsidRPr="000759A1">
              <w:rPr>
                <w:szCs w:val="22"/>
              </w:rPr>
              <w:t>Estación móvil transmisora (MHz)</w:t>
            </w:r>
          </w:p>
        </w:tc>
        <w:tc>
          <w:tcPr>
            <w:tcW w:w="1247" w:type="dxa"/>
            <w:vAlign w:val="center"/>
          </w:tcPr>
          <w:p w:rsidR="008B2F73" w:rsidRPr="000759A1" w:rsidRDefault="008B2F73" w:rsidP="00CF26FE">
            <w:pPr>
              <w:pStyle w:val="Tablehead"/>
              <w:ind w:left="-57" w:right="-57"/>
              <w:rPr>
                <w:szCs w:val="22"/>
              </w:rPr>
            </w:pPr>
            <w:r w:rsidRPr="000759A1">
              <w:rPr>
                <w:szCs w:val="22"/>
              </w:rPr>
              <w:t>Separación central (MHz)</w:t>
            </w:r>
          </w:p>
        </w:tc>
        <w:tc>
          <w:tcPr>
            <w:tcW w:w="1386" w:type="dxa"/>
            <w:vAlign w:val="center"/>
          </w:tcPr>
          <w:p w:rsidR="008B2F73" w:rsidRPr="008B2F73" w:rsidRDefault="008B2F73" w:rsidP="00CF26FE">
            <w:pPr>
              <w:pStyle w:val="Tablehead"/>
              <w:rPr>
                <w:szCs w:val="22"/>
                <w:lang w:val="es-ES_tradnl"/>
              </w:rPr>
            </w:pPr>
            <w:r w:rsidRPr="008B2F73">
              <w:rPr>
                <w:szCs w:val="22"/>
                <w:lang w:val="es-ES_tradnl"/>
              </w:rPr>
              <w:t xml:space="preserve">Estación </w:t>
            </w:r>
            <w:r w:rsidRPr="008B2F73">
              <w:rPr>
                <w:szCs w:val="22"/>
                <w:lang w:val="es-ES_tradnl"/>
              </w:rPr>
              <w:br/>
              <w:t>de base transmisora (MHz)</w:t>
            </w:r>
          </w:p>
        </w:tc>
        <w:tc>
          <w:tcPr>
            <w:tcW w:w="1144" w:type="dxa"/>
            <w:vAlign w:val="center"/>
          </w:tcPr>
          <w:p w:rsidR="008B2F73" w:rsidRPr="000759A1" w:rsidRDefault="008B2F73" w:rsidP="00CF26FE">
            <w:pPr>
              <w:pStyle w:val="Tablehead"/>
              <w:ind w:left="-57"/>
              <w:rPr>
                <w:szCs w:val="22"/>
              </w:rPr>
            </w:pPr>
            <w:r w:rsidRPr="000759A1">
              <w:rPr>
                <w:szCs w:val="22"/>
              </w:rPr>
              <w:t>Separación dúplex (MHz)</w:t>
            </w:r>
          </w:p>
        </w:tc>
        <w:tc>
          <w:tcPr>
            <w:tcW w:w="1233" w:type="dxa"/>
            <w:vAlign w:val="center"/>
          </w:tcPr>
          <w:p w:rsidR="008B2F73" w:rsidRPr="000759A1" w:rsidRDefault="008B2F73" w:rsidP="00CF26FE">
            <w:pPr>
              <w:pStyle w:val="Tablehead"/>
              <w:rPr>
                <w:szCs w:val="22"/>
              </w:rPr>
            </w:pPr>
            <w:r w:rsidRPr="000759A1">
              <w:rPr>
                <w:szCs w:val="22"/>
              </w:rPr>
              <w:t>Uso de separación central</w:t>
            </w:r>
          </w:p>
        </w:tc>
        <w:tc>
          <w:tcPr>
            <w:tcW w:w="1706" w:type="dxa"/>
            <w:vMerge/>
            <w:vAlign w:val="center"/>
          </w:tcPr>
          <w:p w:rsidR="008B2F73" w:rsidRPr="000759A1" w:rsidRDefault="008B2F73" w:rsidP="00CF26FE">
            <w:pPr>
              <w:pStyle w:val="Tablehead"/>
            </w:pPr>
          </w:p>
        </w:tc>
      </w:tr>
      <w:tr w:rsidR="008B2F73" w:rsidRPr="000759A1" w:rsidTr="00CF26FE">
        <w:trPr>
          <w:jc w:val="center"/>
        </w:trPr>
        <w:tc>
          <w:tcPr>
            <w:tcW w:w="1560" w:type="dxa"/>
            <w:tcBorders>
              <w:top w:val="single" w:sz="4" w:space="0" w:color="auto"/>
              <w:left w:val="single" w:sz="4" w:space="0" w:color="auto"/>
              <w:bottom w:val="single" w:sz="4" w:space="0" w:color="auto"/>
              <w:right w:val="single" w:sz="6" w:space="0" w:color="auto"/>
            </w:tcBorders>
          </w:tcPr>
          <w:p w:rsidR="008B2F73" w:rsidRPr="000759A1" w:rsidRDefault="008B2F73" w:rsidP="00CF26FE">
            <w:pPr>
              <w:pStyle w:val="Tabletext"/>
              <w:keepNext/>
              <w:keepLines/>
              <w:jc w:val="center"/>
              <w:rPr>
                <w:szCs w:val="22"/>
              </w:rPr>
            </w:pPr>
            <w:r w:rsidRPr="000759A1">
              <w:rPr>
                <w:szCs w:val="22"/>
              </w:rPr>
              <w:t>C1</w:t>
            </w:r>
          </w:p>
        </w:tc>
        <w:tc>
          <w:tcPr>
            <w:tcW w:w="1363" w:type="dxa"/>
            <w:tcBorders>
              <w:top w:val="single" w:sz="4" w:space="0" w:color="auto"/>
              <w:left w:val="single" w:sz="6" w:space="0" w:color="auto"/>
              <w:bottom w:val="single" w:sz="4" w:space="0" w:color="auto"/>
              <w:right w:val="single" w:sz="6" w:space="0" w:color="auto"/>
            </w:tcBorders>
          </w:tcPr>
          <w:p w:rsidR="008B2F73" w:rsidRPr="000759A1" w:rsidRDefault="008B2F73" w:rsidP="00CF26FE">
            <w:pPr>
              <w:pStyle w:val="Tabletext"/>
              <w:keepNext/>
              <w:keepLines/>
              <w:jc w:val="center"/>
              <w:rPr>
                <w:szCs w:val="22"/>
              </w:rPr>
            </w:pPr>
            <w:r w:rsidRPr="000759A1">
              <w:rPr>
                <w:szCs w:val="22"/>
              </w:rPr>
              <w:t>2 500-2 570</w:t>
            </w:r>
          </w:p>
        </w:tc>
        <w:tc>
          <w:tcPr>
            <w:tcW w:w="1247" w:type="dxa"/>
            <w:tcBorders>
              <w:top w:val="single" w:sz="4" w:space="0" w:color="auto"/>
              <w:left w:val="single" w:sz="6" w:space="0" w:color="auto"/>
              <w:bottom w:val="single" w:sz="4" w:space="0" w:color="auto"/>
              <w:right w:val="single" w:sz="6" w:space="0" w:color="auto"/>
            </w:tcBorders>
          </w:tcPr>
          <w:p w:rsidR="008B2F73" w:rsidRPr="000759A1" w:rsidRDefault="008B2F73" w:rsidP="00CF26FE">
            <w:pPr>
              <w:pStyle w:val="Tabletext"/>
              <w:keepNext/>
              <w:keepLines/>
              <w:jc w:val="center"/>
              <w:rPr>
                <w:szCs w:val="22"/>
              </w:rPr>
            </w:pPr>
            <w:r w:rsidRPr="000759A1">
              <w:rPr>
                <w:szCs w:val="22"/>
              </w:rPr>
              <w:t>50</w:t>
            </w:r>
          </w:p>
        </w:tc>
        <w:tc>
          <w:tcPr>
            <w:tcW w:w="1386" w:type="dxa"/>
            <w:tcBorders>
              <w:top w:val="single" w:sz="4" w:space="0" w:color="auto"/>
              <w:left w:val="single" w:sz="6" w:space="0" w:color="auto"/>
              <w:bottom w:val="single" w:sz="4" w:space="0" w:color="auto"/>
              <w:right w:val="single" w:sz="6" w:space="0" w:color="auto"/>
            </w:tcBorders>
          </w:tcPr>
          <w:p w:rsidR="008B2F73" w:rsidRPr="000759A1" w:rsidRDefault="008B2F73" w:rsidP="00CF26FE">
            <w:pPr>
              <w:pStyle w:val="Tabletext"/>
              <w:keepNext/>
              <w:keepLines/>
              <w:jc w:val="center"/>
              <w:rPr>
                <w:szCs w:val="22"/>
              </w:rPr>
            </w:pPr>
            <w:r w:rsidRPr="000759A1">
              <w:rPr>
                <w:szCs w:val="22"/>
              </w:rPr>
              <w:t>2 620-2 690</w:t>
            </w:r>
          </w:p>
        </w:tc>
        <w:tc>
          <w:tcPr>
            <w:tcW w:w="1144" w:type="dxa"/>
            <w:tcBorders>
              <w:top w:val="single" w:sz="4" w:space="0" w:color="auto"/>
              <w:left w:val="single" w:sz="6" w:space="0" w:color="auto"/>
              <w:bottom w:val="single" w:sz="4" w:space="0" w:color="auto"/>
              <w:right w:val="single" w:sz="6" w:space="0" w:color="auto"/>
            </w:tcBorders>
          </w:tcPr>
          <w:p w:rsidR="008B2F73" w:rsidRPr="000759A1" w:rsidRDefault="008B2F73" w:rsidP="00CF26FE">
            <w:pPr>
              <w:pStyle w:val="Tabletext"/>
              <w:keepNext/>
              <w:keepLines/>
              <w:jc w:val="center"/>
              <w:rPr>
                <w:szCs w:val="22"/>
              </w:rPr>
            </w:pPr>
            <w:r w:rsidRPr="000759A1">
              <w:rPr>
                <w:szCs w:val="22"/>
              </w:rPr>
              <w:t>120</w:t>
            </w:r>
          </w:p>
        </w:tc>
        <w:tc>
          <w:tcPr>
            <w:tcW w:w="1233" w:type="dxa"/>
            <w:tcBorders>
              <w:top w:val="single" w:sz="4" w:space="0" w:color="auto"/>
              <w:left w:val="single" w:sz="6" w:space="0" w:color="auto"/>
              <w:bottom w:val="single" w:sz="4" w:space="0" w:color="auto"/>
              <w:right w:val="single" w:sz="6" w:space="0" w:color="auto"/>
            </w:tcBorders>
          </w:tcPr>
          <w:p w:rsidR="008B2F73" w:rsidRPr="000759A1" w:rsidRDefault="008B2F73" w:rsidP="00CF26FE">
            <w:pPr>
              <w:pStyle w:val="Tabletext"/>
              <w:keepNext/>
              <w:keepLines/>
              <w:jc w:val="center"/>
              <w:rPr>
                <w:szCs w:val="22"/>
              </w:rPr>
            </w:pPr>
            <w:r w:rsidRPr="000759A1">
              <w:rPr>
                <w:szCs w:val="22"/>
              </w:rPr>
              <w:t>TDD</w:t>
            </w:r>
          </w:p>
        </w:tc>
        <w:tc>
          <w:tcPr>
            <w:tcW w:w="1706" w:type="dxa"/>
            <w:tcBorders>
              <w:top w:val="single" w:sz="4" w:space="0" w:color="auto"/>
              <w:left w:val="single" w:sz="6" w:space="0" w:color="auto"/>
              <w:bottom w:val="single" w:sz="4" w:space="0" w:color="auto"/>
              <w:right w:val="single" w:sz="4" w:space="0" w:color="auto"/>
            </w:tcBorders>
          </w:tcPr>
          <w:p w:rsidR="008B2F73" w:rsidRPr="000759A1" w:rsidRDefault="008B2F73" w:rsidP="00CF26FE">
            <w:pPr>
              <w:pStyle w:val="Tabletext"/>
              <w:keepNext/>
              <w:keepLines/>
              <w:jc w:val="center"/>
              <w:rPr>
                <w:szCs w:val="22"/>
              </w:rPr>
            </w:pPr>
            <w:r w:rsidRPr="000759A1">
              <w:rPr>
                <w:szCs w:val="22"/>
              </w:rPr>
              <w:t>2 570-2 620 TDD</w:t>
            </w:r>
          </w:p>
        </w:tc>
      </w:tr>
      <w:tr w:rsidR="008B2F73" w:rsidRPr="000759A1" w:rsidTr="00CF26FE">
        <w:trPr>
          <w:jc w:val="center"/>
        </w:trPr>
        <w:tc>
          <w:tcPr>
            <w:tcW w:w="1560" w:type="dxa"/>
            <w:tcBorders>
              <w:top w:val="single" w:sz="4" w:space="0" w:color="auto"/>
              <w:left w:val="single" w:sz="4" w:space="0" w:color="auto"/>
              <w:bottom w:val="single" w:sz="6" w:space="0" w:color="auto"/>
              <w:right w:val="single" w:sz="6" w:space="0" w:color="auto"/>
            </w:tcBorders>
          </w:tcPr>
          <w:p w:rsidR="008B2F73" w:rsidRPr="000759A1" w:rsidRDefault="008B2F73" w:rsidP="00CF26FE">
            <w:pPr>
              <w:pStyle w:val="Tabletext"/>
              <w:jc w:val="center"/>
              <w:rPr>
                <w:szCs w:val="22"/>
              </w:rPr>
            </w:pPr>
            <w:r w:rsidRPr="000759A1">
              <w:rPr>
                <w:szCs w:val="22"/>
              </w:rPr>
              <w:t>C2</w:t>
            </w:r>
          </w:p>
        </w:tc>
        <w:tc>
          <w:tcPr>
            <w:tcW w:w="1363" w:type="dxa"/>
            <w:tcBorders>
              <w:top w:val="single" w:sz="4" w:space="0" w:color="auto"/>
              <w:left w:val="single" w:sz="6" w:space="0" w:color="auto"/>
              <w:bottom w:val="single" w:sz="6" w:space="0" w:color="auto"/>
              <w:right w:val="single" w:sz="6" w:space="0" w:color="auto"/>
            </w:tcBorders>
          </w:tcPr>
          <w:p w:rsidR="008B2F73" w:rsidRPr="000759A1" w:rsidRDefault="008B2F73" w:rsidP="00CF26FE">
            <w:pPr>
              <w:pStyle w:val="Tabletext"/>
              <w:jc w:val="center"/>
              <w:rPr>
                <w:szCs w:val="22"/>
              </w:rPr>
            </w:pPr>
            <w:r w:rsidRPr="000759A1">
              <w:rPr>
                <w:szCs w:val="22"/>
              </w:rPr>
              <w:t>2 500-2 570</w:t>
            </w:r>
          </w:p>
        </w:tc>
        <w:tc>
          <w:tcPr>
            <w:tcW w:w="1247" w:type="dxa"/>
            <w:tcBorders>
              <w:top w:val="single" w:sz="4" w:space="0" w:color="auto"/>
              <w:left w:val="single" w:sz="6" w:space="0" w:color="auto"/>
              <w:bottom w:val="single" w:sz="6" w:space="0" w:color="auto"/>
              <w:right w:val="single" w:sz="6" w:space="0" w:color="auto"/>
            </w:tcBorders>
          </w:tcPr>
          <w:p w:rsidR="008B2F73" w:rsidRPr="000759A1" w:rsidRDefault="008B2F73" w:rsidP="00CF26FE">
            <w:pPr>
              <w:pStyle w:val="Tabletext"/>
              <w:jc w:val="center"/>
              <w:rPr>
                <w:szCs w:val="22"/>
              </w:rPr>
            </w:pPr>
            <w:r w:rsidRPr="000759A1">
              <w:rPr>
                <w:szCs w:val="22"/>
              </w:rPr>
              <w:t>50</w:t>
            </w:r>
          </w:p>
        </w:tc>
        <w:tc>
          <w:tcPr>
            <w:tcW w:w="1386" w:type="dxa"/>
            <w:tcBorders>
              <w:top w:val="single" w:sz="4" w:space="0" w:color="auto"/>
              <w:left w:val="single" w:sz="6" w:space="0" w:color="auto"/>
              <w:bottom w:val="single" w:sz="6" w:space="0" w:color="auto"/>
              <w:right w:val="single" w:sz="6" w:space="0" w:color="auto"/>
            </w:tcBorders>
          </w:tcPr>
          <w:p w:rsidR="008B2F73" w:rsidRPr="000759A1" w:rsidRDefault="008B2F73" w:rsidP="00CF26FE">
            <w:pPr>
              <w:pStyle w:val="Tabletext"/>
              <w:jc w:val="center"/>
              <w:rPr>
                <w:szCs w:val="22"/>
              </w:rPr>
            </w:pPr>
            <w:r w:rsidRPr="000759A1">
              <w:rPr>
                <w:szCs w:val="22"/>
              </w:rPr>
              <w:t>2 620-2 690</w:t>
            </w:r>
          </w:p>
        </w:tc>
        <w:tc>
          <w:tcPr>
            <w:tcW w:w="1144" w:type="dxa"/>
            <w:tcBorders>
              <w:top w:val="single" w:sz="4" w:space="0" w:color="auto"/>
              <w:left w:val="single" w:sz="6" w:space="0" w:color="auto"/>
              <w:bottom w:val="single" w:sz="6" w:space="0" w:color="auto"/>
              <w:right w:val="single" w:sz="6" w:space="0" w:color="auto"/>
            </w:tcBorders>
          </w:tcPr>
          <w:p w:rsidR="008B2F73" w:rsidRPr="000759A1" w:rsidRDefault="008B2F73" w:rsidP="00CF26FE">
            <w:pPr>
              <w:pStyle w:val="Tabletext"/>
              <w:jc w:val="center"/>
              <w:rPr>
                <w:szCs w:val="22"/>
              </w:rPr>
            </w:pPr>
            <w:r w:rsidRPr="000759A1">
              <w:rPr>
                <w:szCs w:val="22"/>
              </w:rPr>
              <w:t>120</w:t>
            </w:r>
          </w:p>
        </w:tc>
        <w:tc>
          <w:tcPr>
            <w:tcW w:w="1233" w:type="dxa"/>
            <w:tcBorders>
              <w:top w:val="single" w:sz="4" w:space="0" w:color="auto"/>
              <w:left w:val="single" w:sz="6" w:space="0" w:color="auto"/>
              <w:bottom w:val="single" w:sz="6" w:space="0" w:color="auto"/>
              <w:right w:val="single" w:sz="6" w:space="0" w:color="auto"/>
            </w:tcBorders>
          </w:tcPr>
          <w:p w:rsidR="008B2F73" w:rsidRPr="000759A1" w:rsidRDefault="008B2F73" w:rsidP="00CF26FE">
            <w:pPr>
              <w:pStyle w:val="Tabletext"/>
              <w:jc w:val="center"/>
              <w:rPr>
                <w:szCs w:val="22"/>
              </w:rPr>
            </w:pPr>
            <w:r w:rsidRPr="000759A1">
              <w:rPr>
                <w:szCs w:val="22"/>
              </w:rPr>
              <w:t>FDD</w:t>
            </w:r>
          </w:p>
        </w:tc>
        <w:tc>
          <w:tcPr>
            <w:tcW w:w="1706" w:type="dxa"/>
            <w:tcBorders>
              <w:top w:val="single" w:sz="4" w:space="0" w:color="auto"/>
              <w:left w:val="single" w:sz="6" w:space="0" w:color="auto"/>
              <w:bottom w:val="single" w:sz="6" w:space="0" w:color="auto"/>
              <w:right w:val="single" w:sz="4" w:space="0" w:color="auto"/>
            </w:tcBorders>
          </w:tcPr>
          <w:p w:rsidR="008B2F73" w:rsidRPr="000759A1" w:rsidRDefault="008B2F73" w:rsidP="00CF26FE">
            <w:pPr>
              <w:pStyle w:val="Tabletext"/>
              <w:jc w:val="center"/>
              <w:rPr>
                <w:szCs w:val="22"/>
              </w:rPr>
            </w:pPr>
            <w:r w:rsidRPr="000759A1">
              <w:rPr>
                <w:szCs w:val="22"/>
              </w:rPr>
              <w:t>2 570-2 620</w:t>
            </w:r>
            <w:r w:rsidRPr="000759A1">
              <w:rPr>
                <w:szCs w:val="22"/>
              </w:rPr>
              <w:br/>
              <w:t>FDD DL externo</w:t>
            </w:r>
          </w:p>
        </w:tc>
      </w:tr>
      <w:tr w:rsidR="008B2F73" w:rsidRPr="000759A1" w:rsidTr="00CF26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60" w:type="dxa"/>
            <w:tcBorders>
              <w:top w:val="single" w:sz="6" w:space="0" w:color="auto"/>
              <w:left w:val="single" w:sz="4" w:space="0" w:color="auto"/>
              <w:bottom w:val="single" w:sz="4" w:space="0" w:color="auto"/>
              <w:right w:val="single" w:sz="6" w:space="0" w:color="auto"/>
            </w:tcBorders>
          </w:tcPr>
          <w:p w:rsidR="008B2F73" w:rsidRPr="000759A1" w:rsidRDefault="008B2F73" w:rsidP="00CF26FE">
            <w:pPr>
              <w:pStyle w:val="Tabletext"/>
              <w:jc w:val="center"/>
              <w:rPr>
                <w:szCs w:val="22"/>
              </w:rPr>
            </w:pPr>
            <w:r w:rsidRPr="000759A1">
              <w:rPr>
                <w:szCs w:val="22"/>
              </w:rPr>
              <w:t>C3</w:t>
            </w:r>
          </w:p>
        </w:tc>
        <w:tc>
          <w:tcPr>
            <w:tcW w:w="8079" w:type="dxa"/>
            <w:gridSpan w:val="6"/>
            <w:tcBorders>
              <w:top w:val="single" w:sz="6" w:space="0" w:color="auto"/>
              <w:left w:val="single" w:sz="6" w:space="0" w:color="auto"/>
              <w:bottom w:val="single" w:sz="4" w:space="0" w:color="auto"/>
              <w:right w:val="single" w:sz="4" w:space="0" w:color="auto"/>
            </w:tcBorders>
          </w:tcPr>
          <w:p w:rsidR="008B2F73" w:rsidRPr="000759A1" w:rsidRDefault="008B2F73" w:rsidP="00CF26FE">
            <w:pPr>
              <w:pStyle w:val="Tabletext"/>
              <w:jc w:val="center"/>
              <w:rPr>
                <w:szCs w:val="22"/>
                <w:highlight w:val="cyan"/>
              </w:rPr>
            </w:pPr>
            <w:r w:rsidRPr="000759A1">
              <w:rPr>
                <w:szCs w:val="22"/>
              </w:rPr>
              <w:t>Flexible FDD/TDD</w:t>
            </w:r>
          </w:p>
        </w:tc>
      </w:tr>
    </w:tbl>
    <w:p w:rsidR="008B2F73" w:rsidRPr="000759A1" w:rsidRDefault="008B2F73" w:rsidP="00D66227">
      <w:pPr>
        <w:pStyle w:val="Headingi"/>
      </w:pPr>
      <w:r w:rsidRPr="000759A1">
        <w:t xml:space="preserve">Notas </w:t>
      </w:r>
      <w:r w:rsidR="00D66227">
        <w:t xml:space="preserve">al </w:t>
      </w:r>
      <w:r w:rsidRPr="000759A1">
        <w:t>Cuadro 6:</w:t>
      </w:r>
    </w:p>
    <w:p w:rsidR="008B2F73" w:rsidRPr="008B2F73" w:rsidRDefault="008B2F73" w:rsidP="008B2F73">
      <w:pPr>
        <w:pStyle w:val="Note"/>
        <w:rPr>
          <w:lang w:val="es-ES_tradnl"/>
        </w:rPr>
      </w:pPr>
      <w:r w:rsidRPr="008B2F73">
        <w:rPr>
          <w:lang w:val="es-ES_tradnl"/>
        </w:rPr>
        <w:t>NOTA 1 – En C1, para facilitar la instalación de equipos FDD, las bandas de guarda necesarias para garantizar compatibilidad con las bandas adyacentes en las frecuencias límite 2 570 MHz y 2 620 MHz se determinarán a nivel nacional y se encontrarán en el interior de la banda 2 570</w:t>
      </w:r>
      <w:r w:rsidRPr="008B2F73">
        <w:rPr>
          <w:lang w:val="es-ES_tradnl"/>
        </w:rPr>
        <w:noBreakHyphen/>
        <w:t>2 620 MHz. Las bandas de guarda se mantendrán lo más pequeñas posible, basándose en el proyecto de nuevo Informe UIT-R M.2045.</w:t>
      </w:r>
    </w:p>
    <w:p w:rsidR="008B2F73" w:rsidRPr="008B2F73" w:rsidRDefault="008B2F73" w:rsidP="008B2F73">
      <w:pPr>
        <w:pStyle w:val="Note"/>
        <w:rPr>
          <w:lang w:val="es-ES_tradnl" w:eastAsia="zh-CN"/>
        </w:rPr>
      </w:pPr>
      <w:r w:rsidRPr="008B2F73">
        <w:rPr>
          <w:lang w:val="es-ES_tradnl"/>
        </w:rPr>
        <w:t>NOTA 2 – En C3, las administraciones pueden utilizar la banda únicamente para TDD o combinaciones de TDD y FDD. Las administraciones pueden utilizar cualquier separación dúplex FDD y cualquier sentido dúplex FDD. No obstante, si las administraciones eligen utilizar canales mixtos TDD/FDD con separación dúplex fija para el FDD, es preferible que utilicen la separación dúplex y el sentido dúplex mostrados en C1.</w:t>
      </w:r>
    </w:p>
    <w:p w:rsidR="008B2F73" w:rsidRPr="008B2F73" w:rsidRDefault="008B2F73" w:rsidP="008B2F73">
      <w:pPr>
        <w:pStyle w:val="FigureNo"/>
        <w:rPr>
          <w:lang w:val="es-ES_tradnl" w:eastAsia="zh-CN"/>
        </w:rPr>
      </w:pPr>
      <w:r w:rsidRPr="008B2F73">
        <w:rPr>
          <w:lang w:val="es-ES_tradnl"/>
        </w:rPr>
        <w:t xml:space="preserve">FIGURA 6 </w:t>
      </w:r>
      <w:r w:rsidRPr="008B2F73">
        <w:rPr>
          <w:lang w:val="es-ES_tradnl"/>
        </w:rPr>
        <w:br/>
        <w:t>(</w:t>
      </w:r>
      <w:r w:rsidRPr="008B2F73">
        <w:rPr>
          <w:caps w:val="0"/>
          <w:lang w:val="es-ES_tradnl"/>
        </w:rPr>
        <w:t>Véanse las Notas al Cuadro 6</w:t>
      </w:r>
      <w:r w:rsidRPr="008B2F73">
        <w:rPr>
          <w:lang w:val="es-ES_tradnl"/>
        </w:rPr>
        <w:t>)</w:t>
      </w:r>
    </w:p>
    <w:p w:rsidR="008B2F73" w:rsidRPr="000759A1" w:rsidRDefault="008B2F73" w:rsidP="008B2F73">
      <w:pPr>
        <w:pStyle w:val="Figure"/>
        <w:rPr>
          <w:rFonts w:eastAsia="MS Mincho"/>
        </w:rPr>
      </w:pPr>
      <w:r w:rsidRPr="000759A1">
        <w:rPr>
          <w:noProof/>
          <w:lang w:eastAsia="zh-CN"/>
        </w:rPr>
        <w:object w:dxaOrig="6592" w:dyaOrig="2800">
          <v:shape id="_x0000_i1028" type="#_x0000_t75" style="width:446.5pt;height:187.5pt" o:ole="">
            <v:imagedata r:id="rId32" o:title=""/>
          </v:shape>
          <o:OLEObject Type="Embed" ProgID="CorelDRAW.Graphic.14" ShapeID="_x0000_i1028" DrawAspect="Content" ObjectID="_1508224661" r:id="rId33"/>
        </w:object>
      </w:r>
    </w:p>
    <w:p w:rsidR="008B2F73" w:rsidRPr="000E5A3D" w:rsidRDefault="008B2F73" w:rsidP="000E5A3D">
      <w:pPr>
        <w:pStyle w:val="SectionNo"/>
        <w:jc w:val="center"/>
        <w:rPr>
          <w:rFonts w:eastAsia="MS Mincho"/>
          <w:sz w:val="28"/>
          <w:szCs w:val="28"/>
          <w:lang w:val="es-ES_tradnl"/>
        </w:rPr>
      </w:pPr>
      <w:r w:rsidRPr="008B2F73">
        <w:rPr>
          <w:rFonts w:eastAsia="MS Mincho"/>
          <w:lang w:val="es-ES_tradnl"/>
        </w:rPr>
        <w:br w:type="page"/>
      </w:r>
      <w:r w:rsidR="000E5A3D" w:rsidRPr="000E5A3D">
        <w:rPr>
          <w:rFonts w:eastAsia="MS Mincho"/>
          <w:sz w:val="28"/>
          <w:szCs w:val="28"/>
          <w:lang w:val="es-ES_tradnl"/>
        </w:rPr>
        <w:lastRenderedPageBreak/>
        <w:t>SECCIÓN 6</w:t>
      </w:r>
    </w:p>
    <w:p w:rsidR="008B2F73" w:rsidRPr="008B2F73" w:rsidRDefault="008B2F73" w:rsidP="008B2F73">
      <w:pPr>
        <w:pStyle w:val="Sectiontitle"/>
        <w:rPr>
          <w:lang w:val="es-ES_tradnl"/>
        </w:rPr>
      </w:pPr>
      <w:r w:rsidRPr="008B2F73">
        <w:rPr>
          <w:rFonts w:eastAsia="MS Mincho"/>
          <w:lang w:val="es-ES_tradnl"/>
        </w:rPr>
        <w:t>Disposiciones de frecuencias en la banda 3 400-3 600 MHz</w:t>
      </w:r>
    </w:p>
    <w:p w:rsidR="008B2F73" w:rsidRPr="000759A1" w:rsidRDefault="008B2F73" w:rsidP="008B2F73">
      <w:pPr>
        <w:pStyle w:val="Normalaftertitle"/>
        <w:rPr>
          <w:lang w:val="es-ES_tradnl" w:eastAsia="zh-CN"/>
        </w:rPr>
      </w:pPr>
      <w:r w:rsidRPr="000759A1">
        <w:rPr>
          <w:lang w:val="es-ES_tradnl"/>
        </w:rPr>
        <w:t>Las disposiciones de frecuencias recomendadas para la implantación</w:t>
      </w:r>
      <w:r w:rsidR="000E5A3D">
        <w:rPr>
          <w:lang w:val="es-ES_tradnl"/>
        </w:rPr>
        <w:t xml:space="preserve"> de las IMT en la banda 3 400</w:t>
      </w:r>
      <w:r w:rsidR="000E5A3D">
        <w:rPr>
          <w:lang w:val="es-ES_tradnl"/>
        </w:rPr>
        <w:noBreakHyphen/>
        <w:t>3 </w:t>
      </w:r>
      <w:r w:rsidRPr="000759A1">
        <w:rPr>
          <w:lang w:val="es-ES_tradnl"/>
        </w:rPr>
        <w:t>600 MHz se resumen en el Cuadro 7 y en la Fig. 7, considerando las directrices del Anexo 1.</w:t>
      </w:r>
    </w:p>
    <w:p w:rsidR="008B2F73" w:rsidRPr="000759A1" w:rsidRDefault="008B2F73" w:rsidP="008B2F73">
      <w:pPr>
        <w:pStyle w:val="TableNo"/>
        <w:rPr>
          <w:lang w:eastAsia="zh-CN"/>
        </w:rPr>
      </w:pPr>
      <w:r w:rsidRPr="000759A1">
        <w:t>CUADRO 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1"/>
        <w:gridCol w:w="1783"/>
        <w:gridCol w:w="1336"/>
        <w:gridCol w:w="1545"/>
        <w:gridCol w:w="1277"/>
        <w:gridCol w:w="1829"/>
        <w:gridCol w:w="8"/>
      </w:tblGrid>
      <w:tr w:rsidR="008B2F73" w:rsidRPr="008B2F73" w:rsidTr="00CF26FE">
        <w:trPr>
          <w:jc w:val="center"/>
        </w:trPr>
        <w:tc>
          <w:tcPr>
            <w:tcW w:w="1861" w:type="dxa"/>
            <w:vMerge w:val="restart"/>
            <w:vAlign w:val="center"/>
          </w:tcPr>
          <w:p w:rsidR="008B2F73" w:rsidRPr="000759A1" w:rsidRDefault="008B2F73" w:rsidP="00CF26FE">
            <w:pPr>
              <w:pStyle w:val="Tablehead"/>
            </w:pPr>
            <w:r w:rsidRPr="000759A1">
              <w:t>Disposiciones de frecuencias</w:t>
            </w:r>
          </w:p>
        </w:tc>
        <w:tc>
          <w:tcPr>
            <w:tcW w:w="5941" w:type="dxa"/>
            <w:gridSpan w:val="4"/>
            <w:vAlign w:val="center"/>
          </w:tcPr>
          <w:p w:rsidR="008B2F73" w:rsidRPr="000759A1" w:rsidRDefault="008B2F73" w:rsidP="00CF26FE">
            <w:pPr>
              <w:pStyle w:val="Tablehead"/>
            </w:pPr>
            <w:r w:rsidRPr="000759A1">
              <w:rPr>
                <w:bCs/>
              </w:rPr>
              <w:t>Disposiciones apareadas</w:t>
            </w:r>
          </w:p>
        </w:tc>
        <w:tc>
          <w:tcPr>
            <w:tcW w:w="1837" w:type="dxa"/>
            <w:gridSpan w:val="2"/>
            <w:vMerge w:val="restart"/>
            <w:vAlign w:val="center"/>
          </w:tcPr>
          <w:p w:rsidR="008B2F73" w:rsidRPr="008B2F73" w:rsidRDefault="008B2F73" w:rsidP="00CF26FE">
            <w:pPr>
              <w:pStyle w:val="Tablehead"/>
              <w:rPr>
                <w:lang w:val="es-ES_tradnl"/>
              </w:rPr>
            </w:pPr>
            <w:r w:rsidRPr="008B2F73">
              <w:rPr>
                <w:lang w:val="es-ES_tradnl"/>
              </w:rPr>
              <w:t>Disposiciones</w:t>
            </w:r>
            <w:r w:rsidRPr="008B2F73">
              <w:rPr>
                <w:lang w:val="es-ES_tradnl"/>
              </w:rPr>
              <w:br/>
              <w:t>no apareadas (por ejemplo para TDD)</w:t>
            </w:r>
            <w:r w:rsidRPr="008B2F73">
              <w:rPr>
                <w:lang w:val="es-ES_tradnl"/>
              </w:rPr>
              <w:br/>
              <w:t>(MHz)</w:t>
            </w:r>
          </w:p>
        </w:tc>
      </w:tr>
      <w:tr w:rsidR="008B2F73" w:rsidRPr="000759A1" w:rsidTr="00CF26FE">
        <w:trPr>
          <w:jc w:val="center"/>
        </w:trPr>
        <w:tc>
          <w:tcPr>
            <w:tcW w:w="1861" w:type="dxa"/>
            <w:vMerge/>
            <w:vAlign w:val="center"/>
          </w:tcPr>
          <w:p w:rsidR="008B2F73" w:rsidRPr="008B2F73" w:rsidRDefault="008B2F73" w:rsidP="00CF26FE">
            <w:pPr>
              <w:pStyle w:val="Tablehead"/>
              <w:rPr>
                <w:lang w:val="es-ES_tradnl"/>
              </w:rPr>
            </w:pPr>
          </w:p>
        </w:tc>
        <w:tc>
          <w:tcPr>
            <w:tcW w:w="1783" w:type="dxa"/>
            <w:vAlign w:val="center"/>
          </w:tcPr>
          <w:p w:rsidR="008B2F73" w:rsidRPr="000759A1" w:rsidRDefault="008B2F73" w:rsidP="00CF26FE">
            <w:pPr>
              <w:pStyle w:val="Tablehead"/>
            </w:pPr>
            <w:r w:rsidRPr="000759A1">
              <w:t xml:space="preserve">Estación móvil transmisora </w:t>
            </w:r>
            <w:r w:rsidRPr="000759A1">
              <w:br/>
              <w:t>(MHz)</w:t>
            </w:r>
          </w:p>
        </w:tc>
        <w:tc>
          <w:tcPr>
            <w:tcW w:w="1336" w:type="dxa"/>
            <w:vAlign w:val="center"/>
          </w:tcPr>
          <w:p w:rsidR="008B2F73" w:rsidRPr="000759A1" w:rsidRDefault="008B2F73" w:rsidP="00CF26FE">
            <w:pPr>
              <w:pStyle w:val="Tablehead"/>
            </w:pPr>
            <w:r w:rsidRPr="000759A1">
              <w:t>Separación central (MHz)</w:t>
            </w:r>
          </w:p>
        </w:tc>
        <w:tc>
          <w:tcPr>
            <w:tcW w:w="1545" w:type="dxa"/>
            <w:vAlign w:val="center"/>
          </w:tcPr>
          <w:p w:rsidR="008B2F73" w:rsidRPr="008B2F73" w:rsidRDefault="008B2F73" w:rsidP="00CF26FE">
            <w:pPr>
              <w:pStyle w:val="Tablehead"/>
              <w:rPr>
                <w:lang w:val="es-ES_tradnl"/>
              </w:rPr>
            </w:pPr>
            <w:r w:rsidRPr="008B2F73">
              <w:rPr>
                <w:lang w:val="es-ES_tradnl"/>
              </w:rPr>
              <w:t>Estación de base transmisora</w:t>
            </w:r>
            <w:r w:rsidRPr="008B2F73">
              <w:rPr>
                <w:lang w:val="es-ES_tradnl"/>
              </w:rPr>
              <w:br/>
              <w:t>(MHz)</w:t>
            </w:r>
          </w:p>
        </w:tc>
        <w:tc>
          <w:tcPr>
            <w:tcW w:w="1277" w:type="dxa"/>
            <w:vAlign w:val="center"/>
          </w:tcPr>
          <w:p w:rsidR="008B2F73" w:rsidRPr="000759A1" w:rsidRDefault="008B2F73" w:rsidP="00CF26FE">
            <w:pPr>
              <w:pStyle w:val="Tablehead"/>
            </w:pPr>
            <w:r w:rsidRPr="000759A1">
              <w:t>Separación dúplex</w:t>
            </w:r>
            <w:r w:rsidRPr="000759A1">
              <w:br/>
              <w:t>(MHz)</w:t>
            </w:r>
          </w:p>
        </w:tc>
        <w:tc>
          <w:tcPr>
            <w:tcW w:w="1837" w:type="dxa"/>
            <w:gridSpan w:val="2"/>
            <w:vMerge/>
            <w:vAlign w:val="center"/>
          </w:tcPr>
          <w:p w:rsidR="008B2F73" w:rsidRPr="000759A1" w:rsidRDefault="008B2F73" w:rsidP="00CF26FE">
            <w:pPr>
              <w:pStyle w:val="Tablehead"/>
            </w:pPr>
          </w:p>
        </w:tc>
      </w:tr>
      <w:tr w:rsidR="008B2F73" w:rsidRPr="000759A1" w:rsidTr="00CF26FE">
        <w:trPr>
          <w:gridAfter w:val="1"/>
          <w:wAfter w:w="8" w:type="dxa"/>
          <w:jc w:val="center"/>
        </w:trPr>
        <w:tc>
          <w:tcPr>
            <w:tcW w:w="1861" w:type="dxa"/>
          </w:tcPr>
          <w:p w:rsidR="008B2F73" w:rsidRPr="000759A1" w:rsidRDefault="008B2F73" w:rsidP="00CF26FE">
            <w:pPr>
              <w:pStyle w:val="Tabletext"/>
              <w:jc w:val="center"/>
            </w:pPr>
            <w:r w:rsidRPr="000759A1">
              <w:t>F1</w:t>
            </w:r>
          </w:p>
        </w:tc>
        <w:tc>
          <w:tcPr>
            <w:tcW w:w="1783" w:type="dxa"/>
          </w:tcPr>
          <w:p w:rsidR="008B2F73" w:rsidRPr="000759A1" w:rsidRDefault="008B2F73" w:rsidP="00CF26FE">
            <w:pPr>
              <w:pStyle w:val="Tabletext"/>
              <w:jc w:val="center"/>
            </w:pPr>
          </w:p>
        </w:tc>
        <w:tc>
          <w:tcPr>
            <w:tcW w:w="1336" w:type="dxa"/>
          </w:tcPr>
          <w:p w:rsidR="008B2F73" w:rsidRPr="000759A1" w:rsidRDefault="008B2F73" w:rsidP="00CF26FE">
            <w:pPr>
              <w:pStyle w:val="Tabletext"/>
              <w:jc w:val="center"/>
            </w:pPr>
          </w:p>
        </w:tc>
        <w:tc>
          <w:tcPr>
            <w:tcW w:w="1545" w:type="dxa"/>
          </w:tcPr>
          <w:p w:rsidR="008B2F73" w:rsidRPr="000759A1" w:rsidRDefault="008B2F73" w:rsidP="00CF26FE">
            <w:pPr>
              <w:pStyle w:val="Tabletext"/>
              <w:jc w:val="center"/>
            </w:pPr>
          </w:p>
        </w:tc>
        <w:tc>
          <w:tcPr>
            <w:tcW w:w="1277" w:type="dxa"/>
          </w:tcPr>
          <w:p w:rsidR="008B2F73" w:rsidRPr="000759A1" w:rsidRDefault="008B2F73" w:rsidP="00CF26FE">
            <w:pPr>
              <w:pStyle w:val="Tabletext"/>
              <w:jc w:val="center"/>
            </w:pPr>
          </w:p>
        </w:tc>
        <w:tc>
          <w:tcPr>
            <w:tcW w:w="1829" w:type="dxa"/>
          </w:tcPr>
          <w:p w:rsidR="008B2F73" w:rsidRPr="000759A1" w:rsidRDefault="008B2F73" w:rsidP="00CF26FE">
            <w:pPr>
              <w:pStyle w:val="Tabletext"/>
              <w:jc w:val="center"/>
            </w:pPr>
            <w:r w:rsidRPr="000759A1">
              <w:t>3 400-3 600</w:t>
            </w:r>
          </w:p>
        </w:tc>
      </w:tr>
      <w:tr w:rsidR="008B2F73" w:rsidRPr="000759A1" w:rsidTr="00CF26FE">
        <w:trPr>
          <w:gridAfter w:val="1"/>
          <w:wAfter w:w="8" w:type="dxa"/>
          <w:jc w:val="center"/>
        </w:trPr>
        <w:tc>
          <w:tcPr>
            <w:tcW w:w="1861" w:type="dxa"/>
          </w:tcPr>
          <w:p w:rsidR="008B2F73" w:rsidRPr="000759A1" w:rsidRDefault="008B2F73" w:rsidP="00CF26FE">
            <w:pPr>
              <w:pStyle w:val="Tabletext"/>
              <w:jc w:val="center"/>
            </w:pPr>
            <w:r w:rsidRPr="000759A1">
              <w:t>F2</w:t>
            </w:r>
          </w:p>
        </w:tc>
        <w:tc>
          <w:tcPr>
            <w:tcW w:w="1783" w:type="dxa"/>
          </w:tcPr>
          <w:p w:rsidR="008B2F73" w:rsidRPr="000759A1" w:rsidRDefault="008B2F73" w:rsidP="00CF26FE">
            <w:pPr>
              <w:pStyle w:val="Tabletext"/>
              <w:jc w:val="center"/>
            </w:pPr>
            <w:r w:rsidRPr="000759A1">
              <w:t>3 410-3 490</w:t>
            </w:r>
          </w:p>
        </w:tc>
        <w:tc>
          <w:tcPr>
            <w:tcW w:w="1336" w:type="dxa"/>
          </w:tcPr>
          <w:p w:rsidR="008B2F73" w:rsidRPr="000759A1" w:rsidRDefault="008B2F73" w:rsidP="00CF26FE">
            <w:pPr>
              <w:pStyle w:val="Tabletext"/>
              <w:jc w:val="center"/>
            </w:pPr>
            <w:r w:rsidRPr="000759A1">
              <w:t>20</w:t>
            </w:r>
          </w:p>
        </w:tc>
        <w:tc>
          <w:tcPr>
            <w:tcW w:w="1545" w:type="dxa"/>
          </w:tcPr>
          <w:p w:rsidR="008B2F73" w:rsidRPr="000759A1" w:rsidRDefault="008B2F73" w:rsidP="00CF26FE">
            <w:pPr>
              <w:pStyle w:val="Tabletext"/>
              <w:jc w:val="center"/>
            </w:pPr>
            <w:r w:rsidRPr="000759A1">
              <w:t>3 510-3 590</w:t>
            </w:r>
          </w:p>
        </w:tc>
        <w:tc>
          <w:tcPr>
            <w:tcW w:w="1277" w:type="dxa"/>
          </w:tcPr>
          <w:p w:rsidR="008B2F73" w:rsidRPr="000759A1" w:rsidRDefault="008B2F73" w:rsidP="00CF26FE">
            <w:pPr>
              <w:pStyle w:val="Tabletext"/>
              <w:jc w:val="center"/>
            </w:pPr>
            <w:r w:rsidRPr="000759A1">
              <w:t>100</w:t>
            </w:r>
          </w:p>
        </w:tc>
        <w:tc>
          <w:tcPr>
            <w:tcW w:w="1829" w:type="dxa"/>
          </w:tcPr>
          <w:p w:rsidR="008B2F73" w:rsidRPr="000759A1" w:rsidRDefault="008B2F73" w:rsidP="00CF26FE">
            <w:pPr>
              <w:pStyle w:val="Tabletext"/>
              <w:jc w:val="center"/>
            </w:pPr>
            <w:r w:rsidRPr="000759A1">
              <w:t>Ninguna</w:t>
            </w:r>
          </w:p>
        </w:tc>
      </w:tr>
    </w:tbl>
    <w:p w:rsidR="008B2F73" w:rsidRPr="000759A1" w:rsidRDefault="008B2F73" w:rsidP="008B2F73">
      <w:pPr>
        <w:pStyle w:val="FigureNo"/>
        <w:rPr>
          <w:lang w:eastAsia="zh-CN"/>
        </w:rPr>
      </w:pPr>
      <w:r w:rsidRPr="000759A1">
        <w:rPr>
          <w:rFonts w:eastAsia="Batang"/>
          <w:lang w:eastAsia="fr-FR"/>
        </w:rPr>
        <w:t>FIGURA 7</w:t>
      </w:r>
    </w:p>
    <w:p w:rsidR="008B2F73" w:rsidRPr="000759A1" w:rsidRDefault="000E5A3D" w:rsidP="008B2F73">
      <w:pPr>
        <w:pStyle w:val="Figure"/>
      </w:pPr>
      <w:r w:rsidRPr="000759A1">
        <w:rPr>
          <w:noProof/>
          <w:lang w:eastAsia="zh-CN"/>
        </w:rPr>
        <w:object w:dxaOrig="7837" w:dyaOrig="3301">
          <v:shape id="_x0000_i1029" type="#_x0000_t75" style="width:361.05pt;height:152.05pt;mso-position-horizontal:absolute" o:ole="">
            <v:imagedata r:id="rId34" o:title=""/>
          </v:shape>
          <o:OLEObject Type="Embed" ProgID="CorelDRAW.Graphic.14" ShapeID="_x0000_i1029" DrawAspect="Content" ObjectID="_1508224662" r:id="rId35"/>
        </w:object>
      </w:r>
    </w:p>
    <w:p w:rsidR="008B2F73" w:rsidRPr="000759A1" w:rsidRDefault="008B2F73" w:rsidP="008B2F73">
      <w:pPr>
        <w:suppressAutoHyphens/>
        <w:spacing w:before="0"/>
        <w:rPr>
          <w:lang w:eastAsia="zh-CN"/>
        </w:rPr>
      </w:pPr>
      <w:r w:rsidRPr="000759A1">
        <w:rPr>
          <w:lang w:eastAsia="zh-CN"/>
        </w:rPr>
        <w:br w:type="page"/>
      </w:r>
    </w:p>
    <w:p w:rsidR="008B2F73" w:rsidRPr="000759A1" w:rsidRDefault="008B2F73" w:rsidP="00696D5D">
      <w:pPr>
        <w:pStyle w:val="AnnexNoTitle"/>
        <w:rPr>
          <w:rFonts w:eastAsia="SimSun"/>
        </w:rPr>
      </w:pPr>
      <w:r w:rsidRPr="000759A1">
        <w:rPr>
          <w:rFonts w:eastAsia="MS Mincho"/>
        </w:rPr>
        <w:lastRenderedPageBreak/>
        <w:t>Adjunto 1</w:t>
      </w:r>
      <w:r w:rsidR="00696D5D">
        <w:rPr>
          <w:rFonts w:eastAsia="MS Mincho"/>
        </w:rPr>
        <w:br/>
      </w:r>
      <w:r w:rsidR="00696D5D">
        <w:rPr>
          <w:rFonts w:eastAsia="MS Mincho"/>
        </w:rPr>
        <w:br/>
      </w:r>
      <w:r w:rsidRPr="000759A1">
        <w:rPr>
          <w:rFonts w:eastAsia="SimSun"/>
        </w:rPr>
        <w:t>Vocabulario de términos</w:t>
      </w:r>
    </w:p>
    <w:p w:rsidR="008B2F73" w:rsidRPr="000759A1" w:rsidRDefault="008B2F73" w:rsidP="008B2F73">
      <w:pPr>
        <w:pStyle w:val="Normalaftertitle"/>
        <w:keepNext/>
        <w:keepLines/>
        <w:rPr>
          <w:lang w:val="es-ES_tradnl"/>
        </w:rPr>
      </w:pPr>
      <w:r w:rsidRPr="000759A1">
        <w:rPr>
          <w:i/>
          <w:iCs/>
          <w:lang w:val="es-ES_tradnl"/>
        </w:rPr>
        <w:t>Intervalo central</w:t>
      </w:r>
      <w:r w:rsidRPr="000759A1">
        <w:rPr>
          <w:lang w:val="es-ES_tradnl"/>
        </w:rPr>
        <w:t xml:space="preserve"> – Separación de frecuencia entre el límite superior de la banda inferior y el límite inferior de la banda superior en disposiciones de frecuencias apareadas FDD.</w:t>
      </w:r>
    </w:p>
    <w:p w:rsidR="008B2F73" w:rsidRPr="008B2F73" w:rsidRDefault="008B2F73" w:rsidP="008B2F73">
      <w:pPr>
        <w:keepNext/>
        <w:keepLines/>
        <w:rPr>
          <w:lang w:val="es-ES_tradnl"/>
        </w:rPr>
      </w:pPr>
      <w:r w:rsidRPr="008B2F73">
        <w:rPr>
          <w:i/>
          <w:iCs/>
          <w:lang w:val="es-ES_tradnl"/>
        </w:rPr>
        <w:t>Separación de frecuencia en banda dúplex</w:t>
      </w:r>
      <w:r w:rsidRPr="008B2F73">
        <w:rPr>
          <w:lang w:val="es-ES_tradnl"/>
        </w:rPr>
        <w:t xml:space="preserve"> – Separación de frecuencia entre un punto de referencia en la banda inferior y el correspondiente punto en la banda superior de una disposición FDD.</w:t>
      </w:r>
    </w:p>
    <w:p w:rsidR="008B2F73" w:rsidRPr="008B2F73" w:rsidRDefault="008B2F73" w:rsidP="008B2F73">
      <w:pPr>
        <w:keepNext/>
        <w:keepLines/>
        <w:rPr>
          <w:lang w:val="es-ES_tradnl"/>
        </w:rPr>
      </w:pPr>
      <w:r w:rsidRPr="008B2F73">
        <w:rPr>
          <w:i/>
          <w:iCs/>
          <w:lang w:val="es-ES_tradnl"/>
        </w:rPr>
        <w:t>Separación de frecuencia en canal dúplex</w:t>
      </w:r>
      <w:r w:rsidRPr="008B2F73">
        <w:rPr>
          <w:lang w:val="es-ES_tradnl"/>
        </w:rPr>
        <w:t xml:space="preserve"> – La separación de frecuencias de los canales dúplex es la separación en frecuencia entre la portadora de un canal en la banda inferior y la portadora de canal emparejado con aquél en la banda superior de una disposición FDD.</w:t>
      </w:r>
    </w:p>
    <w:p w:rsidR="008B2F73" w:rsidRPr="008B2F73" w:rsidRDefault="008B2F73" w:rsidP="008B2F73">
      <w:pPr>
        <w:rPr>
          <w:lang w:val="es-ES_tradnl"/>
        </w:rPr>
      </w:pPr>
      <w:r w:rsidRPr="008B2F73">
        <w:rPr>
          <w:i/>
          <w:lang w:val="es-ES_tradnl"/>
        </w:rPr>
        <w:t>Disposición dúplex convencional</w:t>
      </w:r>
      <w:r w:rsidRPr="008B2F73">
        <w:rPr>
          <w:lang w:val="es-ES_tradnl"/>
        </w:rPr>
        <w:t xml:space="preserve"> – Disposición dúplex donde el terminal móvil transmite en la banda inferior y la estación base transmite en la banda superior.</w:t>
      </w:r>
    </w:p>
    <w:p w:rsidR="008B2F73" w:rsidRPr="008B2F73" w:rsidRDefault="008B2F73" w:rsidP="008B2F73">
      <w:pPr>
        <w:rPr>
          <w:lang w:val="es-ES_tradnl"/>
        </w:rPr>
      </w:pPr>
      <w:r w:rsidRPr="008B2F73">
        <w:rPr>
          <w:i/>
          <w:lang w:val="es-ES_tradnl"/>
        </w:rPr>
        <w:t>Disposición dúplex inverso</w:t>
      </w:r>
      <w:r w:rsidRPr="008B2F73">
        <w:rPr>
          <w:lang w:val="es-ES_tradnl"/>
        </w:rPr>
        <w:t xml:space="preserve"> – Disposición dúplex donde el terminal móvil transmite en la banda superior y la estación base transmite en la banda inferior.</w:t>
      </w:r>
    </w:p>
    <w:p w:rsidR="008B2F73" w:rsidRPr="008B2F73" w:rsidRDefault="008B2F73" w:rsidP="008B2F73">
      <w:pPr>
        <w:pStyle w:val="Headingb"/>
        <w:rPr>
          <w:rFonts w:eastAsia="MS Mincho"/>
          <w:lang w:val="es-ES_tradnl"/>
        </w:rPr>
      </w:pPr>
      <w:r w:rsidRPr="008B2F73">
        <w:rPr>
          <w:rFonts w:eastAsia="MS Mincho"/>
          <w:lang w:val="es-ES_tradnl"/>
        </w:rPr>
        <w:t>Acrónimos y abreviaturas</w:t>
      </w:r>
    </w:p>
    <w:p w:rsidR="008B2F73" w:rsidRPr="008B2F73" w:rsidRDefault="008B2F73" w:rsidP="008B2F73">
      <w:pPr>
        <w:tabs>
          <w:tab w:val="left" w:pos="2127"/>
          <w:tab w:val="left" w:pos="3402"/>
        </w:tabs>
        <w:rPr>
          <w:lang w:val="es-ES_tradnl"/>
        </w:rPr>
      </w:pPr>
      <w:r w:rsidRPr="008B2F73">
        <w:rPr>
          <w:lang w:val="es-ES_tradnl"/>
        </w:rPr>
        <w:t>DL</w:t>
      </w:r>
      <w:r w:rsidRPr="008B2F73">
        <w:rPr>
          <w:lang w:val="es-ES_tradnl"/>
        </w:rPr>
        <w:tab/>
        <w:t>Enlace descendente (</w:t>
      </w:r>
      <w:r w:rsidRPr="008B2F73">
        <w:rPr>
          <w:i/>
          <w:iCs/>
          <w:lang w:val="es-ES_tradnl"/>
        </w:rPr>
        <w:t>downlink</w:t>
      </w:r>
      <w:r w:rsidRPr="008B2F73">
        <w:rPr>
          <w:lang w:val="es-ES_tradnl"/>
        </w:rPr>
        <w:t>)</w:t>
      </w:r>
    </w:p>
    <w:p w:rsidR="008B2F73" w:rsidRPr="008B2F73" w:rsidRDefault="008B2F73" w:rsidP="008B2F73">
      <w:pPr>
        <w:rPr>
          <w:lang w:val="es-ES_tradnl"/>
        </w:rPr>
      </w:pPr>
      <w:r w:rsidRPr="008B2F73">
        <w:rPr>
          <w:lang w:val="es-ES_tradnl"/>
        </w:rPr>
        <w:t>FDD</w:t>
      </w:r>
      <w:r w:rsidRPr="008B2F73">
        <w:rPr>
          <w:lang w:val="es-ES_tradnl"/>
        </w:rPr>
        <w:tab/>
        <w:t>Dúplex por división de frecuencia (</w:t>
      </w:r>
      <w:r w:rsidRPr="008B2F73">
        <w:rPr>
          <w:i/>
          <w:iCs/>
          <w:lang w:val="es-ES_tradnl"/>
        </w:rPr>
        <w:t>frequency division duplex</w:t>
      </w:r>
      <w:r w:rsidRPr="008B2F73">
        <w:rPr>
          <w:lang w:val="es-ES_tradnl"/>
        </w:rPr>
        <w:t>)</w:t>
      </w:r>
    </w:p>
    <w:p w:rsidR="008B2F73" w:rsidRPr="008B2F73" w:rsidRDefault="008B2F73" w:rsidP="008B2F73">
      <w:pPr>
        <w:rPr>
          <w:lang w:val="es-ES_tradnl"/>
        </w:rPr>
      </w:pPr>
      <w:r w:rsidRPr="008B2F73">
        <w:rPr>
          <w:lang w:val="es-ES_tradnl"/>
        </w:rPr>
        <w:t>IMT</w:t>
      </w:r>
      <w:r w:rsidRPr="008B2F73">
        <w:rPr>
          <w:lang w:val="es-ES_tradnl"/>
        </w:rPr>
        <w:tab/>
        <w:t>Telecomunicaciones móviles internacionales (</w:t>
      </w:r>
      <w:r w:rsidRPr="008B2F73">
        <w:rPr>
          <w:i/>
          <w:iCs/>
          <w:lang w:val="es-ES_tradnl"/>
        </w:rPr>
        <w:t>international mobile telecommunications</w:t>
      </w:r>
      <w:r w:rsidRPr="008B2F73">
        <w:rPr>
          <w:lang w:val="es-ES_tradnl"/>
        </w:rPr>
        <w:t>)</w:t>
      </w:r>
    </w:p>
    <w:p w:rsidR="008B2F73" w:rsidRPr="008B2F73" w:rsidRDefault="008B2F73" w:rsidP="008B2F73">
      <w:pPr>
        <w:suppressAutoHyphens/>
        <w:rPr>
          <w:lang w:val="es-ES_tradnl" w:eastAsia="zh-CN"/>
        </w:rPr>
      </w:pPr>
      <w:r w:rsidRPr="008B2F73">
        <w:rPr>
          <w:lang w:val="es-ES_tradnl"/>
        </w:rPr>
        <w:t>TDD</w:t>
      </w:r>
      <w:r w:rsidRPr="008B2F73">
        <w:rPr>
          <w:lang w:val="es-ES_tradnl"/>
        </w:rPr>
        <w:tab/>
        <w:t>Dúplex por división en el tiempo (</w:t>
      </w:r>
      <w:r w:rsidRPr="008B2F73">
        <w:rPr>
          <w:i/>
          <w:iCs/>
          <w:lang w:val="es-ES_tradnl"/>
        </w:rPr>
        <w:t>time division duplex</w:t>
      </w:r>
      <w:r w:rsidRPr="008B2F73">
        <w:rPr>
          <w:lang w:val="es-ES_tradnl"/>
        </w:rPr>
        <w:t>)</w:t>
      </w:r>
    </w:p>
    <w:p w:rsidR="008B2F73" w:rsidRDefault="008B2F73" w:rsidP="008B2F73">
      <w:pPr>
        <w:suppressAutoHyphens/>
        <w:spacing w:before="0"/>
        <w:rPr>
          <w:lang w:val="es-ES_tradnl" w:eastAsia="zh-CN"/>
        </w:rPr>
      </w:pPr>
    </w:p>
    <w:p w:rsidR="00696D5D" w:rsidRPr="008B2F73" w:rsidRDefault="00696D5D" w:rsidP="008B2F73">
      <w:pPr>
        <w:suppressAutoHyphens/>
        <w:spacing w:before="0"/>
        <w:rPr>
          <w:lang w:val="es-ES_tradnl" w:eastAsia="zh-CN"/>
        </w:rPr>
      </w:pPr>
    </w:p>
    <w:p w:rsidR="008B2F73" w:rsidRPr="000759A1" w:rsidRDefault="008B2F73" w:rsidP="00696D5D">
      <w:pPr>
        <w:pStyle w:val="AnnexNoTitle"/>
      </w:pPr>
      <w:r w:rsidRPr="000759A1">
        <w:rPr>
          <w:rFonts w:eastAsia="MS Mincho"/>
        </w:rPr>
        <w:t>Adjunto 2</w:t>
      </w:r>
      <w:r w:rsidR="00696D5D">
        <w:rPr>
          <w:rFonts w:eastAsia="SimSun"/>
        </w:rPr>
        <w:br/>
      </w:r>
      <w:r w:rsidR="00696D5D">
        <w:rPr>
          <w:rFonts w:eastAsia="SimSun"/>
        </w:rPr>
        <w:br/>
      </w:r>
      <w:r w:rsidRPr="000759A1">
        <w:t>Objetivos</w:t>
      </w:r>
    </w:p>
    <w:p w:rsidR="008B2F73" w:rsidRPr="008B2F73" w:rsidRDefault="008B2F73" w:rsidP="00696D5D">
      <w:pPr>
        <w:pStyle w:val="Normalaftertitle0"/>
      </w:pPr>
      <w:r w:rsidRPr="008B2F73">
        <w:t>En la planificación de los sistemas IMT es deseable:</w:t>
      </w:r>
    </w:p>
    <w:p w:rsidR="008B2F73" w:rsidRPr="008B2F73" w:rsidRDefault="008B2F73" w:rsidP="008B2F73">
      <w:pPr>
        <w:pStyle w:val="enumlev1"/>
        <w:rPr>
          <w:lang w:val="es-ES_tradnl"/>
        </w:rPr>
      </w:pPr>
      <w:r w:rsidRPr="008B2F73">
        <w:rPr>
          <w:lang w:val="es-ES_tradnl"/>
        </w:rPr>
        <w:t>–</w:t>
      </w:r>
      <w:r w:rsidRPr="008B2F73">
        <w:rPr>
          <w:lang w:val="es-ES_tradnl"/>
        </w:rPr>
        <w:tab/>
        <w:t>asegurar que las disposiciones de frecuencia destinadas a las IMT sean duraderas, pero que al mismo tiempo permitan la evolución de la tecnología;</w:t>
      </w:r>
    </w:p>
    <w:p w:rsidR="008B2F73" w:rsidRPr="008B2F73" w:rsidRDefault="008B2F73" w:rsidP="008B2F73">
      <w:pPr>
        <w:pStyle w:val="enumlev1"/>
        <w:rPr>
          <w:lang w:val="es-ES_tradnl"/>
        </w:rPr>
      </w:pPr>
      <w:r w:rsidRPr="008B2F73">
        <w:rPr>
          <w:lang w:val="es-ES_tradnl"/>
        </w:rPr>
        <w:t>–</w:t>
      </w:r>
      <w:r w:rsidRPr="008B2F73">
        <w:rPr>
          <w:lang w:val="es-ES_tradnl"/>
        </w:rPr>
        <w:tab/>
        <w:t>facilitar la introducción de IMT, sujeta a consideraciones de mercado, y facilitar su desarrollo y crecimiento;</w:t>
      </w:r>
    </w:p>
    <w:p w:rsidR="008B2F73" w:rsidRPr="008B2F73" w:rsidRDefault="008B2F73" w:rsidP="008B2F73">
      <w:pPr>
        <w:pStyle w:val="enumlev1"/>
        <w:rPr>
          <w:lang w:val="es-ES_tradnl"/>
        </w:rPr>
      </w:pPr>
      <w:r w:rsidRPr="008B2F73">
        <w:rPr>
          <w:lang w:val="es-ES_tradnl"/>
        </w:rPr>
        <w:t>–</w:t>
      </w:r>
      <w:r w:rsidRPr="008B2F73">
        <w:rPr>
          <w:lang w:val="es-ES_tradnl"/>
        </w:rPr>
        <w:tab/>
        <w:t>minimizar la repercusión en otros sistemas y servicios que utilicen las bandas de IMT o bandas adyacentes a las mismas;</w:t>
      </w:r>
    </w:p>
    <w:p w:rsidR="008B2F73" w:rsidRPr="008B2F73" w:rsidRDefault="008B2F73" w:rsidP="008B2F73">
      <w:pPr>
        <w:pStyle w:val="enumlev1"/>
        <w:rPr>
          <w:lang w:val="es-ES_tradnl"/>
        </w:rPr>
      </w:pPr>
      <w:r w:rsidRPr="008B2F73">
        <w:rPr>
          <w:lang w:val="es-ES_tradnl"/>
        </w:rPr>
        <w:t>–</w:t>
      </w:r>
      <w:r w:rsidRPr="008B2F73">
        <w:rPr>
          <w:lang w:val="es-ES_tradnl"/>
        </w:rPr>
        <w:tab/>
        <w:t>facilitar la itinerancia a nivel mundial de los terminales IMT;</w:t>
      </w:r>
    </w:p>
    <w:p w:rsidR="008B2F73" w:rsidRPr="008B2F73" w:rsidRDefault="008B2F73" w:rsidP="008B2F73">
      <w:pPr>
        <w:pStyle w:val="enumlev1"/>
        <w:rPr>
          <w:lang w:val="es-ES_tradnl"/>
        </w:rPr>
      </w:pPr>
      <w:r w:rsidRPr="008B2F73">
        <w:rPr>
          <w:lang w:val="es-ES_tradnl"/>
        </w:rPr>
        <w:t>–</w:t>
      </w:r>
      <w:r w:rsidRPr="008B2F73">
        <w:rPr>
          <w:lang w:val="es-ES_tradnl"/>
        </w:rPr>
        <w:tab/>
        <w:t>integrar eficazmente las componentes terrenal y de satélite de los sistemas IMT;</w:t>
      </w:r>
    </w:p>
    <w:p w:rsidR="008B2F73" w:rsidRPr="008B2F73" w:rsidRDefault="008B2F73" w:rsidP="008B2F73">
      <w:pPr>
        <w:pStyle w:val="enumlev1"/>
        <w:rPr>
          <w:lang w:val="es-ES_tradnl"/>
        </w:rPr>
      </w:pPr>
      <w:r w:rsidRPr="008B2F73">
        <w:rPr>
          <w:lang w:val="es-ES_tradnl"/>
        </w:rPr>
        <w:t>–</w:t>
      </w:r>
      <w:r w:rsidRPr="008B2F73">
        <w:rPr>
          <w:lang w:val="es-ES_tradnl"/>
        </w:rPr>
        <w:tab/>
        <w:t>optimizar la utilización eficiente del espectro en las bandas identificadas para los sistemas IMT;</w:t>
      </w:r>
    </w:p>
    <w:p w:rsidR="008B2F73" w:rsidRPr="008B2F73" w:rsidRDefault="008B2F73" w:rsidP="008B2F73">
      <w:pPr>
        <w:pStyle w:val="enumlev1"/>
        <w:rPr>
          <w:lang w:val="es-ES_tradnl"/>
        </w:rPr>
      </w:pPr>
      <w:r w:rsidRPr="008B2F73">
        <w:rPr>
          <w:lang w:val="es-ES_tradnl"/>
        </w:rPr>
        <w:t>–</w:t>
      </w:r>
      <w:r w:rsidRPr="008B2F73">
        <w:rPr>
          <w:lang w:val="es-ES_tradnl"/>
        </w:rPr>
        <w:tab/>
        <w:t>permitir la competencia;</w:t>
      </w:r>
    </w:p>
    <w:p w:rsidR="008B2F73" w:rsidRPr="008B2F73" w:rsidRDefault="008B2F73" w:rsidP="008B2F73">
      <w:pPr>
        <w:pStyle w:val="enumlev1"/>
        <w:rPr>
          <w:lang w:val="es-ES_tradnl"/>
        </w:rPr>
      </w:pPr>
      <w:r w:rsidRPr="008B2F73">
        <w:rPr>
          <w:lang w:val="es-ES_tradnl"/>
        </w:rPr>
        <w:t>–</w:t>
      </w:r>
      <w:r w:rsidRPr="008B2F73">
        <w:rPr>
          <w:lang w:val="es-ES_tradnl"/>
        </w:rPr>
        <w:tab/>
        <w:t>facilitar el despliegue y utilización de sistemas IMT, para aplicaciones fijas y otras aplicaciones en países en desarrollo y en zonas con población dispersa;</w:t>
      </w:r>
    </w:p>
    <w:p w:rsidR="008B2F73" w:rsidRPr="008B2F73" w:rsidRDefault="008B2F73" w:rsidP="008B2F73">
      <w:pPr>
        <w:pStyle w:val="enumlev1"/>
        <w:rPr>
          <w:lang w:val="es-ES_tradnl"/>
        </w:rPr>
      </w:pPr>
      <w:r w:rsidRPr="008B2F73">
        <w:rPr>
          <w:lang w:val="es-ES_tradnl"/>
        </w:rPr>
        <w:t>–</w:t>
      </w:r>
      <w:r w:rsidRPr="008B2F73">
        <w:rPr>
          <w:lang w:val="es-ES_tradnl"/>
        </w:rPr>
        <w:tab/>
        <w:t>dar cabida a los diversos tipos de tráfico y combinaciones de tráfico;</w:t>
      </w:r>
    </w:p>
    <w:p w:rsidR="008B2F73" w:rsidRPr="008B2F73" w:rsidRDefault="008B2F73" w:rsidP="008B2F73">
      <w:pPr>
        <w:pStyle w:val="enumlev1"/>
        <w:rPr>
          <w:lang w:val="es-ES_tradnl"/>
        </w:rPr>
      </w:pPr>
      <w:r w:rsidRPr="008B2F73">
        <w:rPr>
          <w:lang w:val="es-ES_tradnl"/>
        </w:rPr>
        <w:lastRenderedPageBreak/>
        <w:t>–</w:t>
      </w:r>
      <w:r w:rsidRPr="008B2F73">
        <w:rPr>
          <w:lang w:val="es-ES_tradnl"/>
        </w:rPr>
        <w:tab/>
        <w:t>facilitar el desarrollo de normativa de equipos a nivel mundial;</w:t>
      </w:r>
    </w:p>
    <w:p w:rsidR="008B2F73" w:rsidRPr="008B2F73" w:rsidRDefault="008B2F73" w:rsidP="008B2F73">
      <w:pPr>
        <w:pStyle w:val="enumlev1"/>
        <w:rPr>
          <w:lang w:val="es-ES_tradnl"/>
        </w:rPr>
      </w:pPr>
      <w:r w:rsidRPr="008B2F73">
        <w:rPr>
          <w:lang w:val="es-ES_tradnl"/>
        </w:rPr>
        <w:t>–</w:t>
      </w:r>
      <w:r w:rsidRPr="008B2F73">
        <w:rPr>
          <w:lang w:val="es-ES_tradnl"/>
        </w:rPr>
        <w:tab/>
        <w:t>facilitar el acceso a los servicios en todo el mundo en el marco de las IMT</w:t>
      </w:r>
      <w:r w:rsidRPr="008B2F73">
        <w:rPr>
          <w:lang w:val="es-ES_tradnl"/>
        </w:rPr>
        <w:noBreakHyphen/>
        <w:t>2000;</w:t>
      </w:r>
    </w:p>
    <w:p w:rsidR="008B2F73" w:rsidRPr="008B2F73" w:rsidRDefault="008B2F73" w:rsidP="008B2F73">
      <w:pPr>
        <w:pStyle w:val="enumlev1"/>
        <w:rPr>
          <w:lang w:val="es-ES_tradnl"/>
        </w:rPr>
      </w:pPr>
      <w:r w:rsidRPr="008B2F73">
        <w:rPr>
          <w:lang w:val="es-ES_tradnl"/>
        </w:rPr>
        <w:t>–</w:t>
      </w:r>
      <w:r w:rsidRPr="008B2F73">
        <w:rPr>
          <w:lang w:val="es-ES_tradnl"/>
        </w:rPr>
        <w:tab/>
        <w:t>minimizar los costes, tamaño y consumo de potencia de los terminales cuando convenga y sea consistente con otros requisitos;</w:t>
      </w:r>
    </w:p>
    <w:p w:rsidR="008B2F73" w:rsidRPr="008B2F73" w:rsidRDefault="008B2F73" w:rsidP="008B2F73">
      <w:pPr>
        <w:pStyle w:val="enumlev1"/>
        <w:rPr>
          <w:lang w:val="es-ES_tradnl"/>
        </w:rPr>
      </w:pPr>
      <w:r w:rsidRPr="008B2F73">
        <w:rPr>
          <w:lang w:val="es-ES_tradnl"/>
        </w:rPr>
        <w:t>–</w:t>
      </w:r>
      <w:r w:rsidRPr="008B2F73">
        <w:rPr>
          <w:lang w:val="es-ES_tradnl"/>
        </w:rPr>
        <w:tab/>
        <w:t xml:space="preserve">facilitar la evolución de los sistemas anteriores a las IMT-2000 hacia cualquiera de las interfaces radioeléctricas terrenales de las IMT y facilitar la constante evolución de los sistemas IMT mismos; </w:t>
      </w:r>
    </w:p>
    <w:p w:rsidR="008B2F73" w:rsidRPr="008B2F73" w:rsidRDefault="008B2F73" w:rsidP="008B2F73">
      <w:pPr>
        <w:pStyle w:val="enumlev1"/>
        <w:rPr>
          <w:lang w:val="es-ES_tradnl"/>
        </w:rPr>
      </w:pPr>
      <w:r w:rsidRPr="008B2F73">
        <w:rPr>
          <w:lang w:val="es-ES_tradnl"/>
        </w:rPr>
        <w:t>–</w:t>
      </w:r>
      <w:r w:rsidRPr="008B2F73">
        <w:rPr>
          <w:lang w:val="es-ES_tradnl"/>
        </w:rPr>
        <w:tab/>
        <w:t xml:space="preserve">conceder flexibilidad a las administraciones, pues </w:t>
      </w:r>
      <w:r w:rsidRPr="008B2F73">
        <w:rPr>
          <w:rFonts w:eastAsia="???"/>
          <w:lang w:val="es-ES_tradnl"/>
        </w:rPr>
        <w:t>la identificación de varias bandas para las IMT permite a las administraciones escoger la mejor banda, o partes de bandas, en función de sus propias circunstancias</w:t>
      </w:r>
      <w:r w:rsidRPr="008B2F73">
        <w:rPr>
          <w:lang w:val="es-ES_tradnl"/>
        </w:rPr>
        <w:t>;</w:t>
      </w:r>
    </w:p>
    <w:p w:rsidR="008B2F73" w:rsidRPr="008B2F73" w:rsidRDefault="008B2F73" w:rsidP="008B2F73">
      <w:pPr>
        <w:pStyle w:val="enumlev1"/>
        <w:rPr>
          <w:lang w:val="es-ES_tradnl"/>
        </w:rPr>
      </w:pPr>
      <w:r w:rsidRPr="008B2F73">
        <w:rPr>
          <w:lang w:val="es-ES_tradnl"/>
        </w:rPr>
        <w:t>–</w:t>
      </w:r>
      <w:r w:rsidRPr="008B2F73">
        <w:rPr>
          <w:lang w:val="es-ES_tradnl"/>
        </w:rPr>
        <w:tab/>
        <w:t>determinar, a nivel nacional, la cantidad de espectro que se destinará a las IMT, en las bandas identificadas;</w:t>
      </w:r>
    </w:p>
    <w:p w:rsidR="008B2F73" w:rsidRPr="008B2F73" w:rsidRDefault="008B2F73" w:rsidP="008B2F73">
      <w:pPr>
        <w:pStyle w:val="enumlev1"/>
        <w:rPr>
          <w:lang w:val="es-ES_tradnl"/>
        </w:rPr>
      </w:pPr>
      <w:r w:rsidRPr="008B2F73">
        <w:rPr>
          <w:lang w:val="es-ES_tradnl"/>
        </w:rPr>
        <w:t>–</w:t>
      </w:r>
      <w:r w:rsidRPr="008B2F73">
        <w:rPr>
          <w:lang w:val="es-ES_tradnl"/>
        </w:rPr>
        <w:tab/>
        <w:t>determinar en qué momento las bandas identificadas se deberán poner a disposición de las IMT y podrán ser utilizadas por las mismas, a fin de atender a la demanda específica de los usuarios y a otras consideraciones nacionales;</w:t>
      </w:r>
    </w:p>
    <w:p w:rsidR="008B2F73" w:rsidRPr="008B2F73" w:rsidRDefault="008B2F73" w:rsidP="008B2F73">
      <w:pPr>
        <w:pStyle w:val="enumlev1"/>
        <w:rPr>
          <w:lang w:val="es-ES_tradnl"/>
        </w:rPr>
      </w:pPr>
      <w:r w:rsidRPr="008B2F73">
        <w:rPr>
          <w:lang w:val="es-ES_tradnl"/>
        </w:rPr>
        <w:t>–</w:t>
      </w:r>
      <w:r w:rsidRPr="008B2F73">
        <w:rPr>
          <w:lang w:val="es-ES_tradnl"/>
        </w:rPr>
        <w:tab/>
        <w:t>elaborar planes de transición adaptados para atender al desarrollo específico de los sistemas existentes;</w:t>
      </w:r>
    </w:p>
    <w:p w:rsidR="008B2F73" w:rsidRPr="008B2F73" w:rsidRDefault="008B2F73" w:rsidP="008B2F73">
      <w:pPr>
        <w:pStyle w:val="enumlev1"/>
        <w:rPr>
          <w:lang w:val="es-ES_tradnl"/>
        </w:rPr>
      </w:pPr>
      <w:r w:rsidRPr="008B2F73">
        <w:rPr>
          <w:lang w:val="es-ES_tradnl"/>
        </w:rPr>
        <w:t>–</w:t>
      </w:r>
      <w:r w:rsidRPr="008B2F73">
        <w:rPr>
          <w:lang w:val="es-ES_tradnl"/>
        </w:rPr>
        <w:tab/>
        <w:t>permitir que las bandas identificadas puedan ser utilizadas por todos los servicios a los que se han atribuido esas bandas, de acuerdo con los planes nacionales de utilización.</w:t>
      </w:r>
    </w:p>
    <w:p w:rsidR="008B2F73" w:rsidRPr="008B2F73" w:rsidRDefault="008B2F73" w:rsidP="008B2F73">
      <w:pPr>
        <w:rPr>
          <w:rFonts w:cs="Arial"/>
          <w:szCs w:val="22"/>
          <w:lang w:val="es-ES_tradnl"/>
        </w:rPr>
      </w:pPr>
      <w:r w:rsidRPr="008B2F73">
        <w:rPr>
          <w:rFonts w:cs="Arial"/>
          <w:szCs w:val="22"/>
          <w:lang w:val="es-ES_tradnl"/>
        </w:rPr>
        <w:t>Al determinar las disposiciones de frecuencias, se tuvieron en cuenta los siguientes principios rectores:</w:t>
      </w:r>
    </w:p>
    <w:p w:rsidR="008B2F73" w:rsidRPr="008B2F73" w:rsidRDefault="008B2F73" w:rsidP="008B2F73">
      <w:pPr>
        <w:pStyle w:val="enumlev1"/>
        <w:rPr>
          <w:lang w:val="es-ES_tradnl"/>
        </w:rPr>
      </w:pPr>
      <w:r w:rsidRPr="008B2F73">
        <w:rPr>
          <w:lang w:val="es-ES_tradnl"/>
        </w:rPr>
        <w:t>–</w:t>
      </w:r>
      <w:r w:rsidRPr="008B2F73">
        <w:rPr>
          <w:lang w:val="es-ES_tradnl"/>
        </w:rPr>
        <w:tab/>
        <w:t>armonización;</w:t>
      </w:r>
    </w:p>
    <w:p w:rsidR="008B2F73" w:rsidRPr="008B2F73" w:rsidRDefault="008B2F73" w:rsidP="008B2F73">
      <w:pPr>
        <w:pStyle w:val="enumlev1"/>
        <w:rPr>
          <w:lang w:val="es-ES_tradnl"/>
        </w:rPr>
      </w:pPr>
      <w:r w:rsidRPr="008B2F73">
        <w:rPr>
          <w:lang w:val="es-ES_tradnl"/>
        </w:rPr>
        <w:t>–</w:t>
      </w:r>
      <w:r w:rsidRPr="008B2F73">
        <w:rPr>
          <w:lang w:val="es-ES_tradnl"/>
        </w:rPr>
        <w:tab/>
        <w:t>aspectos técnicos;</w:t>
      </w:r>
    </w:p>
    <w:p w:rsidR="008B2F73" w:rsidRPr="008B2F73" w:rsidRDefault="008B2F73" w:rsidP="008B2F73">
      <w:pPr>
        <w:pStyle w:val="enumlev1"/>
        <w:rPr>
          <w:lang w:val="es-ES_tradnl"/>
        </w:rPr>
      </w:pPr>
      <w:r w:rsidRPr="008B2F73">
        <w:rPr>
          <w:lang w:val="es-ES_tradnl"/>
        </w:rPr>
        <w:t>–</w:t>
      </w:r>
      <w:r w:rsidRPr="008B2F73">
        <w:rPr>
          <w:lang w:val="es-ES_tradnl"/>
        </w:rPr>
        <w:tab/>
        <w:t>eficacia espectral.</w:t>
      </w:r>
    </w:p>
    <w:p w:rsidR="008B2F73" w:rsidRDefault="008B2F73" w:rsidP="008B2F73">
      <w:pPr>
        <w:suppressAutoHyphens/>
        <w:spacing w:before="0"/>
        <w:rPr>
          <w:lang w:val="es-ES_tradnl" w:eastAsia="zh-CN"/>
        </w:rPr>
      </w:pPr>
    </w:p>
    <w:p w:rsidR="006402B8" w:rsidRPr="008B2F73" w:rsidRDefault="006402B8" w:rsidP="008B2F73">
      <w:pPr>
        <w:suppressAutoHyphens/>
        <w:spacing w:before="0"/>
        <w:rPr>
          <w:lang w:val="es-ES_tradnl" w:eastAsia="zh-CN"/>
        </w:rPr>
      </w:pPr>
    </w:p>
    <w:p w:rsidR="008B2F73" w:rsidRPr="006402B8" w:rsidRDefault="008B2F73" w:rsidP="006402B8">
      <w:pPr>
        <w:pStyle w:val="AnnexNoTitle"/>
        <w:rPr>
          <w:rFonts w:eastAsia="MS Mincho"/>
          <w:lang w:val="es-ES_tradnl"/>
        </w:rPr>
      </w:pPr>
      <w:r w:rsidRPr="006402B8">
        <w:rPr>
          <w:rFonts w:eastAsia="MS Mincho"/>
          <w:lang w:val="es-ES_tradnl"/>
        </w:rPr>
        <w:t>Adjunto 3</w:t>
      </w:r>
      <w:r w:rsidR="006402B8" w:rsidRPr="006402B8">
        <w:rPr>
          <w:rFonts w:eastAsia="MS Mincho"/>
          <w:lang w:val="es-ES_tradnl"/>
        </w:rPr>
        <w:br/>
      </w:r>
      <w:r w:rsidR="006402B8" w:rsidRPr="006402B8">
        <w:rPr>
          <w:rFonts w:eastAsia="MS Mincho"/>
          <w:lang w:val="es-ES_tradnl"/>
        </w:rPr>
        <w:br/>
      </w:r>
      <w:r w:rsidRPr="006402B8">
        <w:rPr>
          <w:rFonts w:eastAsia="MS Mincho"/>
          <w:lang w:val="es-ES_tradnl"/>
        </w:rPr>
        <w:t>Recomendaciones e Informes conexos</w:t>
      </w:r>
    </w:p>
    <w:p w:rsidR="008B2F73" w:rsidRPr="008B2F73" w:rsidRDefault="008B2F73" w:rsidP="006402B8">
      <w:pPr>
        <w:pStyle w:val="Normalaftertitle0"/>
        <w:ind w:left="3600" w:hanging="3600"/>
      </w:pPr>
      <w:r w:rsidRPr="008B2F73">
        <w:t>Recomendación UIT-R M.687:</w:t>
      </w:r>
      <w:r w:rsidRPr="008B2F73">
        <w:tab/>
        <w:t>Telecomunicaciones móviles internacionales-2000 (IMT</w:t>
      </w:r>
      <w:r w:rsidRPr="008B2F73">
        <w:noBreakHyphen/>
        <w:t>2000).</w:t>
      </w:r>
    </w:p>
    <w:p w:rsidR="008B2F73" w:rsidRPr="008B2F73" w:rsidRDefault="008B2F73" w:rsidP="008B2F73">
      <w:pPr>
        <w:ind w:left="3544" w:hanging="3544"/>
        <w:rPr>
          <w:lang w:val="es-ES_tradnl"/>
        </w:rPr>
      </w:pPr>
      <w:r w:rsidRPr="008B2F73">
        <w:rPr>
          <w:lang w:val="es-ES_tradnl"/>
        </w:rPr>
        <w:t>Recomendación UIT-R M.816:</w:t>
      </w:r>
      <w:r w:rsidRPr="008B2F73">
        <w:rPr>
          <w:lang w:val="es-ES_tradnl"/>
        </w:rPr>
        <w:tab/>
        <w:t>Marco para los servicios que prestarán las telecomunicaciones móviles internacionales</w:t>
      </w:r>
      <w:r w:rsidRPr="008B2F73">
        <w:rPr>
          <w:lang w:val="es-ES_tradnl"/>
        </w:rPr>
        <w:noBreakHyphen/>
        <w:t>2000 (IMT-2000).</w:t>
      </w:r>
    </w:p>
    <w:p w:rsidR="008B2F73" w:rsidRPr="008B2F73" w:rsidRDefault="008B2F73" w:rsidP="008B2F73">
      <w:pPr>
        <w:ind w:left="3544" w:hanging="3544"/>
        <w:rPr>
          <w:lang w:val="es-ES_tradnl"/>
        </w:rPr>
      </w:pPr>
      <w:r w:rsidRPr="008B2F73">
        <w:rPr>
          <w:lang w:val="es-ES_tradnl"/>
        </w:rPr>
        <w:t>Recomendación UIT-R M.818:</w:t>
      </w:r>
      <w:r w:rsidRPr="008B2F73">
        <w:rPr>
          <w:lang w:val="es-ES_tradnl"/>
        </w:rPr>
        <w:tab/>
      </w:r>
      <w:r w:rsidRPr="008B2F73">
        <w:rPr>
          <w:bCs/>
          <w:lang w:val="es-ES_tradnl"/>
        </w:rPr>
        <w:t>Funcionamiento por satélite en las telecomunicaciones móviles internacionales</w:t>
      </w:r>
      <w:r w:rsidRPr="008B2F73">
        <w:rPr>
          <w:bCs/>
          <w:lang w:val="es-ES_tradnl"/>
        </w:rPr>
        <w:noBreakHyphen/>
        <w:t xml:space="preserve">2000 </w:t>
      </w:r>
      <w:r w:rsidRPr="008B2F73">
        <w:rPr>
          <w:bCs/>
          <w:caps/>
          <w:lang w:val="es-ES_tradnl"/>
        </w:rPr>
        <w:t>(IMT-2000</w:t>
      </w:r>
      <w:r w:rsidRPr="008B2F73">
        <w:rPr>
          <w:bCs/>
          <w:lang w:val="es-ES_tradnl"/>
        </w:rPr>
        <w:t>).</w:t>
      </w:r>
    </w:p>
    <w:p w:rsidR="008B2F73" w:rsidRPr="008B2F73" w:rsidRDefault="008B2F73" w:rsidP="008B2F73">
      <w:pPr>
        <w:ind w:left="3544" w:hanging="3544"/>
        <w:rPr>
          <w:lang w:val="es-ES_tradnl"/>
        </w:rPr>
      </w:pPr>
      <w:r w:rsidRPr="008B2F73">
        <w:rPr>
          <w:lang w:val="es-ES_tradnl"/>
        </w:rPr>
        <w:t>Recomendación UIT-R M.819:</w:t>
      </w:r>
      <w:r w:rsidRPr="008B2F73">
        <w:rPr>
          <w:lang w:val="es-ES_tradnl"/>
        </w:rPr>
        <w:tab/>
        <w:t>Telecomunicaciones móviles internacionales-2000 (IMT</w:t>
      </w:r>
      <w:r w:rsidRPr="008B2F73">
        <w:rPr>
          <w:lang w:val="es-ES_tradnl"/>
        </w:rPr>
        <w:noBreakHyphen/>
        <w:t>2000) para los países en desarrollo.</w:t>
      </w:r>
    </w:p>
    <w:p w:rsidR="008B2F73" w:rsidRPr="008B2F73" w:rsidRDefault="008B2F73" w:rsidP="008B2F73">
      <w:pPr>
        <w:ind w:left="3544" w:hanging="3544"/>
        <w:rPr>
          <w:lang w:val="es-ES_tradnl"/>
        </w:rPr>
      </w:pPr>
      <w:r w:rsidRPr="008B2F73">
        <w:rPr>
          <w:lang w:val="es-ES_tradnl"/>
        </w:rPr>
        <w:t>Recomendación UIT-R M.1033:</w:t>
      </w:r>
      <w:r w:rsidRPr="008B2F73">
        <w:rPr>
          <w:lang w:val="es-ES_tradnl"/>
        </w:rPr>
        <w:tab/>
        <w:t>Características técnicas y de explotación de los teléfonos sin cordón y sistemas de telecomunicaciones sin hilos.</w:t>
      </w:r>
    </w:p>
    <w:p w:rsidR="008B2F73" w:rsidRPr="008B2F73" w:rsidRDefault="008B2F73" w:rsidP="008B2F73">
      <w:pPr>
        <w:ind w:left="3544" w:hanging="3544"/>
        <w:rPr>
          <w:lang w:val="es-ES_tradnl"/>
        </w:rPr>
      </w:pPr>
      <w:r w:rsidRPr="008B2F73">
        <w:rPr>
          <w:lang w:val="es-ES_tradnl"/>
        </w:rPr>
        <w:t>Recomendación UIT-R M.1034:</w:t>
      </w:r>
      <w:r w:rsidRPr="008B2F73">
        <w:rPr>
          <w:lang w:val="es-ES_tradnl"/>
        </w:rPr>
        <w:tab/>
        <w:t>Requisitos de las interfaces radioeléctricas para las telecomunicaciones móviles internacionales</w:t>
      </w:r>
      <w:r w:rsidRPr="008B2F73">
        <w:rPr>
          <w:lang w:val="es-ES_tradnl"/>
        </w:rPr>
        <w:noBreakHyphen/>
        <w:t>2000 (IMT</w:t>
      </w:r>
      <w:r w:rsidRPr="008B2F73">
        <w:rPr>
          <w:lang w:val="es-ES_tradnl"/>
        </w:rPr>
        <w:noBreakHyphen/>
        <w:t>2000).</w:t>
      </w:r>
    </w:p>
    <w:p w:rsidR="008B2F73" w:rsidRPr="008B2F73" w:rsidRDefault="008B2F73" w:rsidP="008B2F73">
      <w:pPr>
        <w:ind w:left="3544" w:hanging="3544"/>
        <w:rPr>
          <w:lang w:val="es-ES_tradnl"/>
        </w:rPr>
      </w:pPr>
      <w:r w:rsidRPr="008B2F73">
        <w:rPr>
          <w:lang w:val="es-ES_tradnl"/>
        </w:rPr>
        <w:lastRenderedPageBreak/>
        <w:t>Recomendación UIT-R M.1035:</w:t>
      </w:r>
      <w:r w:rsidRPr="008B2F73">
        <w:rPr>
          <w:lang w:val="es-ES_tradnl"/>
        </w:rPr>
        <w:tab/>
        <w:t>Marco general para el estudio de la funcionalidad de las interfaces radioeléctrica y del subsistema radioeléctrico en las telecomunicaciones móviles internacionales</w:t>
      </w:r>
      <w:r w:rsidRPr="008B2F73">
        <w:rPr>
          <w:lang w:val="es-ES_tradnl"/>
        </w:rPr>
        <w:noBreakHyphen/>
        <w:t>2000 (IMT</w:t>
      </w:r>
      <w:r w:rsidRPr="008B2F73">
        <w:rPr>
          <w:lang w:val="es-ES_tradnl"/>
        </w:rPr>
        <w:noBreakHyphen/>
        <w:t>2000).</w:t>
      </w:r>
    </w:p>
    <w:p w:rsidR="008B2F73" w:rsidRPr="008B2F73" w:rsidRDefault="008B2F73" w:rsidP="008B2F73">
      <w:pPr>
        <w:ind w:left="3544" w:hanging="3544"/>
        <w:rPr>
          <w:lang w:val="es-ES_tradnl"/>
        </w:rPr>
      </w:pPr>
      <w:r w:rsidRPr="008B2F73">
        <w:rPr>
          <w:lang w:val="es-ES_tradnl"/>
        </w:rPr>
        <w:t>Recomendación UIT-R M.1073:</w:t>
      </w:r>
      <w:r w:rsidRPr="008B2F73">
        <w:rPr>
          <w:lang w:val="es-ES_tradnl"/>
        </w:rPr>
        <w:tab/>
        <w:t>Sistemas celulares digitales de telecomunicaciones móviles terrestres.</w:t>
      </w:r>
    </w:p>
    <w:p w:rsidR="008B2F73" w:rsidRPr="008B2F73" w:rsidRDefault="008B2F73" w:rsidP="008B2F73">
      <w:pPr>
        <w:ind w:left="3544" w:hanging="3544"/>
        <w:rPr>
          <w:lang w:val="es-ES_tradnl"/>
        </w:rPr>
      </w:pPr>
      <w:r w:rsidRPr="008B2F73">
        <w:rPr>
          <w:lang w:val="es-ES_tradnl"/>
        </w:rPr>
        <w:t>Recomendación UIT-R M.1167:</w:t>
      </w:r>
      <w:r w:rsidRPr="008B2F73">
        <w:rPr>
          <w:lang w:val="es-ES_tradnl"/>
        </w:rPr>
        <w:tab/>
        <w:t>Marco general sobre la componente de satélite de las telecomunicaciones móviles internacionales-2000 (IMT</w:t>
      </w:r>
      <w:r w:rsidRPr="008B2F73">
        <w:rPr>
          <w:lang w:val="es-ES_tradnl"/>
        </w:rPr>
        <w:noBreakHyphen/>
        <w:t>2000).</w:t>
      </w:r>
    </w:p>
    <w:p w:rsidR="008B2F73" w:rsidRPr="008B2F73" w:rsidRDefault="008B2F73" w:rsidP="008B2F73">
      <w:pPr>
        <w:ind w:left="3544" w:hanging="3544"/>
        <w:rPr>
          <w:lang w:val="es-ES_tradnl"/>
        </w:rPr>
      </w:pPr>
      <w:r w:rsidRPr="008B2F73">
        <w:rPr>
          <w:lang w:val="es-ES_tradnl"/>
        </w:rPr>
        <w:t>Recomendación UIT-R M.1224:</w:t>
      </w:r>
      <w:r w:rsidRPr="008B2F73">
        <w:rPr>
          <w:lang w:val="es-ES_tradnl"/>
        </w:rPr>
        <w:tab/>
        <w:t>Vocabulario de términos de las telecomunicaciones móviles internacionales-2000 (IMT</w:t>
      </w:r>
      <w:r w:rsidRPr="008B2F73">
        <w:rPr>
          <w:lang w:val="es-ES_tradnl"/>
        </w:rPr>
        <w:noBreakHyphen/>
        <w:t>2000).</w:t>
      </w:r>
    </w:p>
    <w:p w:rsidR="008B2F73" w:rsidRPr="008B2F73" w:rsidRDefault="008B2F73" w:rsidP="008B2F73">
      <w:pPr>
        <w:ind w:left="3544" w:hanging="3544"/>
        <w:rPr>
          <w:lang w:val="es-ES_tradnl"/>
        </w:rPr>
      </w:pPr>
      <w:r w:rsidRPr="008B2F73">
        <w:rPr>
          <w:lang w:val="es-ES_tradnl"/>
        </w:rPr>
        <w:t>Recomendación UIT-R M.1308:</w:t>
      </w:r>
      <w:r w:rsidRPr="008B2F73">
        <w:rPr>
          <w:lang w:val="es-ES_tradnl"/>
        </w:rPr>
        <w:tab/>
        <w:t>Evolución de los sistemas móviles terrestres hacia las IMT</w:t>
      </w:r>
      <w:r w:rsidRPr="008B2F73">
        <w:rPr>
          <w:lang w:val="es-ES_tradnl"/>
        </w:rPr>
        <w:noBreakHyphen/>
        <w:t>2000.</w:t>
      </w:r>
    </w:p>
    <w:p w:rsidR="008B2F73" w:rsidRPr="008B2F73" w:rsidRDefault="008B2F73" w:rsidP="008B2F73">
      <w:pPr>
        <w:ind w:left="3544" w:hanging="3544"/>
        <w:rPr>
          <w:lang w:val="es-ES_tradnl"/>
        </w:rPr>
      </w:pPr>
      <w:r w:rsidRPr="008B2F73">
        <w:rPr>
          <w:lang w:val="es-ES_tradnl"/>
        </w:rPr>
        <w:t>Recomendación UIT-R M.1390:</w:t>
      </w:r>
      <w:r w:rsidRPr="008B2F73">
        <w:rPr>
          <w:lang w:val="es-ES_tradnl"/>
        </w:rPr>
        <w:tab/>
        <w:t xml:space="preserve">Metodología para el cálculo de las necesidades de </w:t>
      </w:r>
      <w:r w:rsidR="00127E19">
        <w:rPr>
          <w:lang w:val="es-ES_tradnl"/>
        </w:rPr>
        <w:br/>
      </w:r>
      <w:r w:rsidRPr="008B2F73">
        <w:rPr>
          <w:lang w:val="es-ES_tradnl"/>
        </w:rPr>
        <w:t>espectro terrenal de las telecomunicaciones móviles internacionales</w:t>
      </w:r>
      <w:r w:rsidRPr="008B2F73">
        <w:rPr>
          <w:lang w:val="es-ES_tradnl"/>
        </w:rPr>
        <w:noBreakHyphen/>
        <w:t>2000 (IMT</w:t>
      </w:r>
      <w:r w:rsidRPr="008B2F73">
        <w:rPr>
          <w:lang w:val="es-ES_tradnl"/>
        </w:rPr>
        <w:noBreakHyphen/>
        <w:t>2000).</w:t>
      </w:r>
    </w:p>
    <w:p w:rsidR="008B2F73" w:rsidRPr="008B2F73" w:rsidRDefault="008B2F73" w:rsidP="00127E19">
      <w:pPr>
        <w:ind w:left="3544" w:hanging="3544"/>
        <w:rPr>
          <w:lang w:val="es-ES_tradnl"/>
        </w:rPr>
      </w:pPr>
      <w:r w:rsidRPr="008B2F73">
        <w:rPr>
          <w:lang w:val="es-ES_tradnl"/>
        </w:rPr>
        <w:t>Recomendación UIT-R M.1457:</w:t>
      </w:r>
      <w:r w:rsidRPr="008B2F73">
        <w:rPr>
          <w:lang w:val="es-ES_tradnl"/>
        </w:rPr>
        <w:tab/>
        <w:t>Especificaciones detalladas de las interfaces radioeléctricas de</w:t>
      </w:r>
      <w:r w:rsidR="00127E19">
        <w:rPr>
          <w:lang w:val="es-ES_tradnl"/>
        </w:rPr>
        <w:t> </w:t>
      </w:r>
      <w:r w:rsidRPr="008B2F73">
        <w:rPr>
          <w:lang w:val="es-ES_tradnl"/>
        </w:rPr>
        <w:t>las telecomunicaciones móviles internacionales-2000 (IMT</w:t>
      </w:r>
      <w:r w:rsidRPr="008B2F73">
        <w:rPr>
          <w:lang w:val="es-ES_tradnl"/>
        </w:rPr>
        <w:noBreakHyphen/>
        <w:t>2000).</w:t>
      </w:r>
    </w:p>
    <w:p w:rsidR="008B2F73" w:rsidRPr="008B2F73" w:rsidRDefault="008B2F73" w:rsidP="008B2F73">
      <w:pPr>
        <w:ind w:left="3600" w:hanging="3600"/>
        <w:rPr>
          <w:lang w:val="es-ES_tradnl"/>
        </w:rPr>
      </w:pPr>
      <w:r w:rsidRPr="008B2F73">
        <w:rPr>
          <w:lang w:val="es-ES_tradnl"/>
        </w:rPr>
        <w:t>Recomendación UIT-R M.1579:</w:t>
      </w:r>
      <w:r w:rsidRPr="008B2F73">
        <w:rPr>
          <w:lang w:val="es-ES_tradnl"/>
        </w:rPr>
        <w:tab/>
        <w:t>Circulación a nivel mundial de los terminales IMT-2000.</w:t>
      </w:r>
    </w:p>
    <w:p w:rsidR="008B2F73" w:rsidRPr="008B2F73" w:rsidRDefault="008B2F73" w:rsidP="008B2F73">
      <w:pPr>
        <w:ind w:left="3600" w:hanging="3600"/>
        <w:rPr>
          <w:lang w:val="es-ES_tradnl"/>
        </w:rPr>
      </w:pPr>
      <w:r w:rsidRPr="008B2F73">
        <w:rPr>
          <w:lang w:val="es-ES_tradnl"/>
        </w:rPr>
        <w:t>Recomendación UIT-R M.1580:</w:t>
      </w:r>
      <w:r w:rsidRPr="008B2F73">
        <w:rPr>
          <w:lang w:val="es-ES_tradnl"/>
        </w:rPr>
        <w:tab/>
        <w:t>Características genéricas de las emisiones no deseadas procedentes de estaciones de base que utilizan las interfaces radioeléctricas terrenales de las IMT-2000.</w:t>
      </w:r>
    </w:p>
    <w:p w:rsidR="008B2F73" w:rsidRPr="008B2F73" w:rsidRDefault="008B2F73" w:rsidP="008B2F73">
      <w:pPr>
        <w:ind w:left="3600" w:hanging="3600"/>
        <w:rPr>
          <w:lang w:val="es-ES_tradnl"/>
        </w:rPr>
      </w:pPr>
      <w:r w:rsidRPr="008B2F73">
        <w:rPr>
          <w:lang w:val="es-ES_tradnl"/>
        </w:rPr>
        <w:t>Recomendación UIT-R M.1581:</w:t>
      </w:r>
      <w:r w:rsidRPr="008B2F73">
        <w:rPr>
          <w:lang w:val="es-ES_tradnl"/>
        </w:rPr>
        <w:tab/>
        <w:t>Características genéricas de las emisiones no deseadas procedentes de estaciones móviles que utilizan las interfaces radioeléctricas terrenales de las IMT-2000.</w:t>
      </w:r>
    </w:p>
    <w:p w:rsidR="008B2F73" w:rsidRPr="008B2F73" w:rsidRDefault="008B2F73" w:rsidP="008B2F73">
      <w:pPr>
        <w:ind w:left="3600" w:hanging="3600"/>
        <w:rPr>
          <w:lang w:val="es-ES_tradnl"/>
        </w:rPr>
      </w:pPr>
      <w:r w:rsidRPr="008B2F73">
        <w:rPr>
          <w:lang w:val="es-ES_tradnl"/>
        </w:rPr>
        <w:t>Recomendación UIT-R M.1645:</w:t>
      </w:r>
      <w:r w:rsidRPr="008B2F73">
        <w:rPr>
          <w:lang w:val="es-ES_tradnl"/>
        </w:rPr>
        <w:tab/>
        <w:t>Marco y objetivos generales del desarrollo futuro de las IMT</w:t>
      </w:r>
      <w:r w:rsidRPr="008B2F73">
        <w:rPr>
          <w:lang w:val="es-ES_tradnl"/>
        </w:rPr>
        <w:noBreakHyphen/>
        <w:t>2000 y de los sistemas posteriores.</w:t>
      </w:r>
    </w:p>
    <w:p w:rsidR="008B2F73" w:rsidRPr="008B2F73" w:rsidRDefault="008B2F73" w:rsidP="008B2F73">
      <w:pPr>
        <w:ind w:left="3600" w:hanging="3600"/>
        <w:rPr>
          <w:lang w:val="es-ES_tradnl"/>
        </w:rPr>
      </w:pPr>
      <w:r w:rsidRPr="008B2F73">
        <w:rPr>
          <w:lang w:val="es-ES_tradnl"/>
        </w:rPr>
        <w:t>Recomendación UIT-R M.1768:</w:t>
      </w:r>
      <w:r w:rsidRPr="008B2F73">
        <w:rPr>
          <w:lang w:val="es-ES_tradnl"/>
        </w:rPr>
        <w:tab/>
        <w:t>Metodología de cálculo de las necesidades de espectro para el futuro desarrollo del componente terrenal de IMT-2000 y sistemas posteriores.</w:t>
      </w:r>
    </w:p>
    <w:p w:rsidR="008B2F73" w:rsidRPr="008B2F73" w:rsidRDefault="008B2F73" w:rsidP="008B2F73">
      <w:pPr>
        <w:ind w:left="3600" w:hanging="3600"/>
        <w:rPr>
          <w:lang w:val="es-ES_tradnl"/>
        </w:rPr>
      </w:pPr>
      <w:r w:rsidRPr="008B2F73">
        <w:rPr>
          <w:lang w:val="es-ES_tradnl"/>
        </w:rPr>
        <w:t>Recomendación UIT-R M.1797:</w:t>
      </w:r>
      <w:r w:rsidRPr="008B2F73">
        <w:rPr>
          <w:lang w:val="es-ES_tradnl"/>
        </w:rPr>
        <w:tab/>
        <w:t>Vocabulario de términos relativos al servicio móvil terrestre.</w:t>
      </w:r>
    </w:p>
    <w:p w:rsidR="008B2F73" w:rsidRPr="008B2F73" w:rsidRDefault="008B2F73" w:rsidP="008B2F73">
      <w:pPr>
        <w:ind w:left="3600" w:hanging="3600"/>
        <w:rPr>
          <w:lang w:val="es-ES_tradnl"/>
        </w:rPr>
      </w:pPr>
      <w:r w:rsidRPr="008B2F73">
        <w:rPr>
          <w:lang w:val="es-ES_tradnl"/>
        </w:rPr>
        <w:t>Recomendación UIT-R M.1822:</w:t>
      </w:r>
      <w:r w:rsidRPr="008B2F73">
        <w:rPr>
          <w:lang w:val="es-ES_tradnl"/>
        </w:rPr>
        <w:tab/>
        <w:t>Marco para los servicios soportados por las IMT.</w:t>
      </w:r>
    </w:p>
    <w:p w:rsidR="008B2F73" w:rsidRPr="008B2F73" w:rsidRDefault="008B2F73" w:rsidP="008B2F73">
      <w:pPr>
        <w:ind w:left="3600" w:hanging="3600"/>
        <w:rPr>
          <w:lang w:val="es-ES_tradnl"/>
        </w:rPr>
      </w:pPr>
      <w:r w:rsidRPr="008B2F73">
        <w:rPr>
          <w:lang w:val="es-ES_tradnl"/>
        </w:rPr>
        <w:t xml:space="preserve">Recomendación UIT-R M.2012: </w:t>
      </w:r>
      <w:r w:rsidRPr="008B2F73">
        <w:rPr>
          <w:lang w:val="es-ES_tradnl"/>
        </w:rPr>
        <w:tab/>
        <w:t>Especificaciones detalladas de las interfaces radioeléctricas terrenales de las telecomunicaciones móviles internacionales-avanzadas (IMT-Avanzadas).</w:t>
      </w:r>
    </w:p>
    <w:p w:rsidR="008B2F73" w:rsidRPr="008B2F73" w:rsidRDefault="008B2F73" w:rsidP="008B2F73">
      <w:pPr>
        <w:ind w:left="3600" w:hanging="3600"/>
        <w:rPr>
          <w:lang w:val="es-ES_tradnl"/>
        </w:rPr>
      </w:pPr>
      <w:r w:rsidRPr="008B2F73">
        <w:rPr>
          <w:lang w:val="es-ES_tradnl"/>
        </w:rPr>
        <w:t>Recomendación UIT-R M.2070:</w:t>
      </w:r>
      <w:r w:rsidRPr="008B2F73">
        <w:rPr>
          <w:lang w:val="es-ES_tradnl"/>
        </w:rPr>
        <w:tab/>
        <w:t>Características genéricas de las emisiones no deseadas procedentes de estaciones de base que utilizan las interfaces radioeléctricas terrenales de las IMT-Avanzadas.</w:t>
      </w:r>
    </w:p>
    <w:p w:rsidR="008B2F73" w:rsidRPr="008B2F73" w:rsidRDefault="008B2F73" w:rsidP="008B2F73">
      <w:pPr>
        <w:ind w:left="3600" w:hanging="3600"/>
        <w:rPr>
          <w:lang w:val="es-ES_tradnl"/>
        </w:rPr>
      </w:pPr>
      <w:r w:rsidRPr="008B2F73">
        <w:rPr>
          <w:lang w:val="es-ES_tradnl"/>
        </w:rPr>
        <w:t>Recomendación UIT-R M.2071:</w:t>
      </w:r>
      <w:r w:rsidRPr="008B2F73">
        <w:rPr>
          <w:lang w:val="es-ES_tradnl"/>
        </w:rPr>
        <w:tab/>
        <w:t>Características genéricas de las emisiones no deseadas procedentes de estaciones móviles que utilizan las interfaces radioeléctricas terrenales de las IMT-Avanzadas.</w:t>
      </w:r>
    </w:p>
    <w:p w:rsidR="008B2F73" w:rsidRPr="008B2F73" w:rsidRDefault="008B2F73" w:rsidP="008B2F73">
      <w:pPr>
        <w:ind w:left="3289" w:hanging="3289"/>
        <w:rPr>
          <w:lang w:val="es-ES_tradnl"/>
        </w:rPr>
      </w:pPr>
      <w:r w:rsidRPr="008B2F73">
        <w:rPr>
          <w:lang w:val="es-ES_tradnl"/>
        </w:rPr>
        <w:t>Recomendación UIT-R SM.329:</w:t>
      </w:r>
      <w:r w:rsidRPr="008B2F73">
        <w:rPr>
          <w:lang w:val="es-ES_tradnl"/>
        </w:rPr>
        <w:tab/>
      </w:r>
      <w:r w:rsidRPr="008B2F73">
        <w:rPr>
          <w:lang w:val="es-ES_tradnl"/>
        </w:rPr>
        <w:tab/>
        <w:t>Emisiones no deseadas en el dominio no esencial.</w:t>
      </w:r>
    </w:p>
    <w:p w:rsidR="008B2F73" w:rsidRPr="008B2F73" w:rsidRDefault="008B2F73" w:rsidP="00127E19">
      <w:pPr>
        <w:keepNext/>
        <w:keepLines/>
        <w:ind w:left="3600" w:hanging="3600"/>
        <w:rPr>
          <w:lang w:val="es-ES_tradnl"/>
        </w:rPr>
      </w:pPr>
      <w:r w:rsidRPr="008B2F73">
        <w:rPr>
          <w:lang w:val="es-ES_tradnl"/>
        </w:rPr>
        <w:lastRenderedPageBreak/>
        <w:t>Informe UIT-R M.2030:</w:t>
      </w:r>
      <w:r w:rsidRPr="008B2F73">
        <w:rPr>
          <w:lang w:val="es-ES_tradnl"/>
        </w:rPr>
        <w:tab/>
        <w:t>Coexistencia de las tecnologías terrenales de las interfaces radioeléctricas dúplex por división en el tiempo y dúplex por división en frecuencia de las IMT-2000 alrededor de 2 600 MHz y que utilizan bandas adyacentes en la misma zona geográfica.</w:t>
      </w:r>
    </w:p>
    <w:p w:rsidR="008B2F73" w:rsidRPr="008B2F73" w:rsidRDefault="008B2F73" w:rsidP="008B2F73">
      <w:pPr>
        <w:ind w:left="3600" w:hanging="3600"/>
        <w:rPr>
          <w:lang w:val="es-ES_tradnl"/>
        </w:rPr>
      </w:pPr>
      <w:r w:rsidRPr="008B2F73">
        <w:rPr>
          <w:lang w:val="es-ES_tradnl"/>
        </w:rPr>
        <w:t>Informe UIT-R M.2031:</w:t>
      </w:r>
      <w:r w:rsidRPr="008B2F73">
        <w:rPr>
          <w:lang w:val="es-ES_tradnl"/>
        </w:rPr>
        <w:tab/>
        <w:t>Compatibilidad entre enlaces descendentes del sistema WCDMA 1800 y enlaces ascendentes del sistema GSM 1900.</w:t>
      </w:r>
    </w:p>
    <w:p w:rsidR="008B2F73" w:rsidRPr="008B2F73" w:rsidRDefault="008B2F73" w:rsidP="008B2F73">
      <w:pPr>
        <w:ind w:left="3600" w:hanging="3600"/>
        <w:rPr>
          <w:lang w:val="es-ES_tradnl"/>
        </w:rPr>
      </w:pPr>
      <w:r w:rsidRPr="008B2F73">
        <w:rPr>
          <w:lang w:val="es-ES_tradnl"/>
        </w:rPr>
        <w:t>Informe UIT-R M.2038:</w:t>
      </w:r>
      <w:r w:rsidRPr="008B2F73">
        <w:rPr>
          <w:lang w:val="es-ES_tradnl"/>
        </w:rPr>
        <w:tab/>
        <w:t>Tendencias de la tecnología.</w:t>
      </w:r>
    </w:p>
    <w:p w:rsidR="008B2F73" w:rsidRPr="008B2F73" w:rsidRDefault="008B2F73" w:rsidP="008B2F73">
      <w:pPr>
        <w:ind w:left="3600" w:hanging="3600"/>
        <w:rPr>
          <w:lang w:val="es-ES_tradnl"/>
        </w:rPr>
      </w:pPr>
      <w:r w:rsidRPr="008B2F73">
        <w:rPr>
          <w:lang w:val="es-ES_tradnl"/>
        </w:rPr>
        <w:t>Informe UIT-R M.2045:</w:t>
      </w:r>
      <w:r w:rsidRPr="008B2F73">
        <w:rPr>
          <w:lang w:val="es-ES_tradnl"/>
        </w:rPr>
        <w:tab/>
        <w:t>Técnicas de reducción de la interferencia para considerar la coexistencia entre las tecnologías de las interfaces radioeléctricas dúplex por división en el tiempo y dúplex por división de frecuencia de las IMT-2000 en la gama de frecuencias 2 500-2 690 MHz y que utilizan bandas adyacentes en la misma zona geográfica.</w:t>
      </w:r>
    </w:p>
    <w:p w:rsidR="008B2F73" w:rsidRPr="00BA26F9" w:rsidRDefault="008B2F73" w:rsidP="008B2F73">
      <w:pPr>
        <w:keepNext/>
        <w:keepLines/>
        <w:ind w:left="3600" w:hanging="3600"/>
        <w:rPr>
          <w:lang w:val="en-US"/>
        </w:rPr>
      </w:pPr>
      <w:r w:rsidRPr="00BA26F9">
        <w:rPr>
          <w:lang w:val="en-US"/>
        </w:rPr>
        <w:t>Informe UIT</w:t>
      </w:r>
      <w:r w:rsidRPr="00BA26F9">
        <w:rPr>
          <w:lang w:val="en-US"/>
        </w:rPr>
        <w:noBreakHyphen/>
        <w:t>R M.2072:</w:t>
      </w:r>
      <w:r w:rsidRPr="00BA26F9">
        <w:rPr>
          <w:lang w:val="en-US"/>
        </w:rPr>
        <w:tab/>
      </w:r>
      <w:r w:rsidRPr="00BA26F9">
        <w:rPr>
          <w:i/>
          <w:iCs/>
          <w:lang w:val="en-US"/>
        </w:rPr>
        <w:t>World mobile telecommunication market forecast</w:t>
      </w:r>
      <w:r w:rsidRPr="00BA26F9">
        <w:rPr>
          <w:lang w:val="en-US"/>
        </w:rPr>
        <w:t>.</w:t>
      </w:r>
    </w:p>
    <w:p w:rsidR="008B2F73" w:rsidRPr="00BA26F9" w:rsidRDefault="008B2F73" w:rsidP="008B2F73">
      <w:pPr>
        <w:ind w:left="3600" w:hanging="3600"/>
        <w:rPr>
          <w:lang w:val="en-US"/>
        </w:rPr>
      </w:pPr>
      <w:r w:rsidRPr="00BA26F9">
        <w:rPr>
          <w:lang w:val="en-US"/>
        </w:rPr>
        <w:t>Informe UIT-R M.2078:</w:t>
      </w:r>
      <w:r w:rsidRPr="00BA26F9">
        <w:rPr>
          <w:lang w:val="en-US"/>
        </w:rPr>
        <w:tab/>
      </w:r>
      <w:r w:rsidRPr="00BA26F9">
        <w:rPr>
          <w:i/>
          <w:iCs/>
          <w:lang w:val="en-US"/>
        </w:rPr>
        <w:t>Estimated spectrum bandwidth requirements for the future development of IMT-2000 and IMT-Advanced</w:t>
      </w:r>
      <w:r w:rsidRPr="00BA26F9">
        <w:rPr>
          <w:lang w:val="en-US"/>
        </w:rPr>
        <w:t>.</w:t>
      </w:r>
    </w:p>
    <w:p w:rsidR="008B2F73" w:rsidRPr="00BA26F9" w:rsidRDefault="008B2F73" w:rsidP="008B2F73">
      <w:pPr>
        <w:ind w:left="3600" w:hanging="3600"/>
        <w:rPr>
          <w:lang w:val="en-US"/>
        </w:rPr>
      </w:pPr>
      <w:r w:rsidRPr="00BA26F9">
        <w:rPr>
          <w:lang w:val="en-US"/>
        </w:rPr>
        <w:t>Informe UIT-R M.2109:</w:t>
      </w:r>
      <w:r w:rsidRPr="00BA26F9">
        <w:rPr>
          <w:rFonts w:eastAsia="SimSun"/>
          <w:lang w:val="en-US"/>
        </w:rPr>
        <w:tab/>
      </w:r>
      <w:r w:rsidRPr="00BA26F9">
        <w:rPr>
          <w:rFonts w:eastAsia="SimSun"/>
          <w:i/>
          <w:iCs/>
          <w:lang w:val="en-US"/>
        </w:rPr>
        <w:t>Sharing studies between IMT-Advanced systems and geostationary satellite networks in the fixed-satellite service in the 3 400-4 20 0 MHz</w:t>
      </w:r>
      <w:r w:rsidRPr="00BA26F9">
        <w:rPr>
          <w:i/>
          <w:iCs/>
          <w:lang w:val="en-US"/>
        </w:rPr>
        <w:t xml:space="preserve"> </w:t>
      </w:r>
      <w:r w:rsidRPr="00BA26F9">
        <w:rPr>
          <w:rFonts w:eastAsia="SimSun"/>
          <w:i/>
          <w:iCs/>
          <w:lang w:val="en-US"/>
        </w:rPr>
        <w:t>and 4 500-4 800 MHz frequency bands</w:t>
      </w:r>
      <w:r w:rsidRPr="00BA26F9">
        <w:rPr>
          <w:rFonts w:eastAsia="SimSun"/>
          <w:lang w:val="en-US"/>
        </w:rPr>
        <w:t>.</w:t>
      </w:r>
    </w:p>
    <w:p w:rsidR="008B2F73" w:rsidRPr="00BA26F9" w:rsidRDefault="008B2F73" w:rsidP="008B2F73">
      <w:pPr>
        <w:ind w:left="3600" w:hanging="3600"/>
        <w:rPr>
          <w:lang w:val="en-US"/>
        </w:rPr>
      </w:pPr>
      <w:r w:rsidRPr="00BA26F9">
        <w:rPr>
          <w:lang w:val="en-US"/>
        </w:rPr>
        <w:t>Informe UIT-R M.2110:</w:t>
      </w:r>
      <w:r w:rsidRPr="00BA26F9">
        <w:rPr>
          <w:lang w:val="en-US"/>
        </w:rPr>
        <w:tab/>
      </w:r>
      <w:r w:rsidRPr="00BA26F9">
        <w:rPr>
          <w:i/>
          <w:iCs/>
          <w:lang w:val="en-US"/>
        </w:rPr>
        <w:t>Sharing studies between radiocommunication services and IMT systems operating in the 450-470 MHz band</w:t>
      </w:r>
      <w:r w:rsidRPr="00BA26F9">
        <w:rPr>
          <w:lang w:val="en-US"/>
        </w:rPr>
        <w:t>.</w:t>
      </w:r>
    </w:p>
    <w:p w:rsidR="008B2F73" w:rsidRPr="00BA26F9" w:rsidRDefault="008B2F73" w:rsidP="008B2F73">
      <w:pPr>
        <w:ind w:left="3600" w:hanging="3600"/>
        <w:rPr>
          <w:lang w:val="en-US"/>
        </w:rPr>
      </w:pPr>
      <w:r w:rsidRPr="00BA26F9">
        <w:rPr>
          <w:lang w:val="en-US"/>
        </w:rPr>
        <w:t>Informe UIT-R M.2113:</w:t>
      </w:r>
      <w:r w:rsidRPr="00BA26F9">
        <w:rPr>
          <w:lang w:val="en-US"/>
        </w:rPr>
        <w:tab/>
      </w:r>
      <w:r w:rsidRPr="00BA26F9">
        <w:rPr>
          <w:i/>
          <w:iCs/>
          <w:lang w:val="en-US"/>
        </w:rPr>
        <w:t>Report on sharing studies in the 2 500-2 690 MHz band between IMT-2000 and fixed broadband wireless access systems including nomadic applications in the same geographical area</w:t>
      </w:r>
      <w:r w:rsidRPr="00BA26F9">
        <w:rPr>
          <w:lang w:val="en-US"/>
        </w:rPr>
        <w:t>.</w:t>
      </w:r>
    </w:p>
    <w:p w:rsidR="008B2F73" w:rsidRPr="00BA26F9" w:rsidRDefault="008B2F73" w:rsidP="008B2F73">
      <w:pPr>
        <w:pStyle w:val="Reasons"/>
        <w:rPr>
          <w:lang w:val="en-US"/>
        </w:rPr>
      </w:pPr>
    </w:p>
    <w:p w:rsidR="008B2F73" w:rsidRPr="000759A1" w:rsidRDefault="008B2F73" w:rsidP="008B2F73">
      <w:pPr>
        <w:jc w:val="center"/>
      </w:pPr>
      <w:r w:rsidRPr="000759A1">
        <w:t>______________</w:t>
      </w:r>
    </w:p>
    <w:p w:rsidR="008B2F73" w:rsidRPr="00A6617B" w:rsidRDefault="008B2F73" w:rsidP="008B2F73">
      <w:bookmarkStart w:id="4" w:name="_GoBack"/>
      <w:bookmarkEnd w:id="4"/>
    </w:p>
    <w:sectPr w:rsidR="008B2F73" w:rsidRPr="00A6617B" w:rsidSect="005F2C03">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571" w:rsidRDefault="00E12571">
      <w:r>
        <w:separator/>
      </w:r>
    </w:p>
  </w:endnote>
  <w:endnote w:type="continuationSeparator" w:id="0">
    <w:p w:rsidR="00E12571" w:rsidRDefault="00E12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571" w:rsidRDefault="00E12571">
      <w:r>
        <w:separator/>
      </w:r>
    </w:p>
  </w:footnote>
  <w:footnote w:type="continuationSeparator" w:id="0">
    <w:p w:rsidR="00E12571" w:rsidRDefault="00E12571">
      <w:r>
        <w:continuationSeparator/>
      </w:r>
    </w:p>
  </w:footnote>
  <w:footnote w:id="1">
    <w:p w:rsidR="008B2F73" w:rsidRPr="008B2F73" w:rsidRDefault="008B2F73" w:rsidP="008B2F73">
      <w:pPr>
        <w:pStyle w:val="FootnoteText"/>
        <w:rPr>
          <w:lang w:val="es-ES_tradnl"/>
        </w:rPr>
      </w:pPr>
      <w:r>
        <w:rPr>
          <w:rStyle w:val="FootnoteReference"/>
        </w:rPr>
        <w:footnoteRef/>
      </w:r>
      <w:r w:rsidRPr="008B2F73">
        <w:rPr>
          <w:lang w:val="es-ES_tradnl"/>
        </w:rPr>
        <w:tab/>
        <w:t>Algunos países de la Región 3 también han identificado las bandas 380-400 MHz y 746</w:t>
      </w:r>
      <w:r w:rsidRPr="008B2F73">
        <w:rPr>
          <w:lang w:val="es-ES_tradnl"/>
        </w:rPr>
        <w:noBreakHyphen/>
        <w:t>806 MHz para las aplicaciones de protección pública y operaciones de socorro.</w:t>
      </w:r>
    </w:p>
  </w:footnote>
  <w:footnote w:id="2">
    <w:p w:rsidR="008B2F73" w:rsidRPr="008B2F73" w:rsidRDefault="008B2F73" w:rsidP="008B2F73">
      <w:pPr>
        <w:pStyle w:val="FootnoteText"/>
        <w:rPr>
          <w:lang w:val="es-ES_tradnl"/>
        </w:rPr>
      </w:pPr>
      <w:r>
        <w:rPr>
          <w:rStyle w:val="FootnoteReference"/>
        </w:rPr>
        <w:footnoteRef/>
      </w:r>
      <w:r w:rsidRPr="008B2F73">
        <w:rPr>
          <w:lang w:val="es-ES_tradnl"/>
        </w:rPr>
        <w:tab/>
        <w:t>La banda 2 025-2 110 MHz no forma parte de esta disposición de frecuencias.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571" w:rsidRDefault="00E1257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571" w:rsidRDefault="00E12571" w:rsidP="00CB1354">
    <w:pPr>
      <w:ind w:right="360" w:firstLine="360"/>
    </w:pPr>
    <w:r>
      <w:rPr>
        <w:noProof/>
        <w:lang w:val="en-US" w:eastAsia="zh-CN"/>
      </w:rPr>
      <w:drawing>
        <wp:anchor distT="0" distB="0" distL="114300" distR="114300" simplePos="0" relativeHeight="251660288" behindDoc="0" locked="0" layoutInCell="1" allowOverlap="1" wp14:anchorId="71A1D774" wp14:editId="68D3661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1015E59" wp14:editId="7C8D40D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571" w:rsidRDefault="00E12571"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875859">
      <w:rPr>
        <w:rStyle w:val="PageNumber"/>
        <w:b/>
        <w:bCs/>
        <w:noProof/>
      </w:rPr>
      <w:t>ii</w:t>
    </w:r>
    <w:r>
      <w:rPr>
        <w:rStyle w:val="PageNumber"/>
        <w:b/>
        <w:bCs/>
      </w:rPr>
      <w:fldChar w:fldCharType="end"/>
    </w:r>
    <w:r>
      <w:tab/>
    </w:r>
    <w:fldSimple w:instr=" DOCPROPERTY &quot;Header&quot; \* MERGEFORMAT ">
      <w:r w:rsidR="00875859" w:rsidRPr="00875859">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875859">
      <w:rPr>
        <w:b/>
        <w:bCs/>
        <w:noProof/>
      </w:rPr>
      <w:t>UIT-R  M.1036-5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571" w:rsidRDefault="00E12571">
    <w:r>
      <w:tab/>
    </w:r>
    <w:fldSimple w:instr=" DOCPROPERTY &quot;Header&quot; \* MERGEFORMAT ">
      <w:r w:rsidR="00875859" w:rsidRPr="008758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75859">
      <w:rPr>
        <w:b/>
        <w:bCs/>
        <w:noProof/>
      </w:rPr>
      <w:t>UIT-R  M.1036-5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5859">
      <w:rPr>
        <w:rStyle w:val="PageNumber"/>
        <w:b/>
        <w:bCs/>
        <w:noProof/>
        <w:lang w:val="en-US"/>
      </w:rPr>
      <w:t>22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75859" w:rsidRPr="0087585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75859">
      <w:rPr>
        <w:b/>
        <w:bCs/>
        <w:noProof/>
      </w:rPr>
      <w:t>UIT-R  M.1036-5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875859" w:rsidRPr="0087585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75859">
      <w:rPr>
        <w:b/>
        <w:bCs/>
        <w:noProof/>
      </w:rPr>
      <w:t>UIT-R  M.1036-5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75859">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7CAA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1424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24A5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78C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78C4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B64E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0824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184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4E99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4811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71"/>
    <w:rsid w:val="000C244A"/>
    <w:rsid w:val="000E5A3D"/>
    <w:rsid w:val="000F393D"/>
    <w:rsid w:val="0010128A"/>
    <w:rsid w:val="00127E19"/>
    <w:rsid w:val="001B13B9"/>
    <w:rsid w:val="001E12AD"/>
    <w:rsid w:val="001F4FB5"/>
    <w:rsid w:val="0020614A"/>
    <w:rsid w:val="00217EBF"/>
    <w:rsid w:val="00242AEE"/>
    <w:rsid w:val="00270316"/>
    <w:rsid w:val="002767B6"/>
    <w:rsid w:val="002A50AB"/>
    <w:rsid w:val="002C31F2"/>
    <w:rsid w:val="002D76C4"/>
    <w:rsid w:val="0043725C"/>
    <w:rsid w:val="00473BC0"/>
    <w:rsid w:val="0052529D"/>
    <w:rsid w:val="0053190C"/>
    <w:rsid w:val="0053355A"/>
    <w:rsid w:val="00536BCE"/>
    <w:rsid w:val="00544E24"/>
    <w:rsid w:val="005648D5"/>
    <w:rsid w:val="00567601"/>
    <w:rsid w:val="005F2C03"/>
    <w:rsid w:val="00607D68"/>
    <w:rsid w:val="006402B8"/>
    <w:rsid w:val="00696D5D"/>
    <w:rsid w:val="007468DA"/>
    <w:rsid w:val="00875859"/>
    <w:rsid w:val="008B2F73"/>
    <w:rsid w:val="009A5409"/>
    <w:rsid w:val="009E00A8"/>
    <w:rsid w:val="00A4359F"/>
    <w:rsid w:val="00A6617B"/>
    <w:rsid w:val="00AB0DC8"/>
    <w:rsid w:val="00AD7C06"/>
    <w:rsid w:val="00B44E24"/>
    <w:rsid w:val="00BB0CB4"/>
    <w:rsid w:val="00C820DF"/>
    <w:rsid w:val="00D32EAC"/>
    <w:rsid w:val="00D346A6"/>
    <w:rsid w:val="00D66227"/>
    <w:rsid w:val="00D666CC"/>
    <w:rsid w:val="00DC6E39"/>
    <w:rsid w:val="00DE7308"/>
    <w:rsid w:val="00DF4176"/>
    <w:rsid w:val="00E12571"/>
    <w:rsid w:val="00E62A7E"/>
    <w:rsid w:val="00EC455D"/>
    <w:rsid w:val="00EC63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72CC5B5F-4EF2-4727-91F9-FC871B0BE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57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 (Asian) Si..."/>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0F393D"/>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E12571"/>
    <w:rPr>
      <w:color w:val="0000FF"/>
      <w:u w:val="single"/>
    </w:rPr>
  </w:style>
  <w:style w:type="character" w:customStyle="1" w:styleId="TableheadChar">
    <w:name w:val="Table_head Char"/>
    <w:basedOn w:val="DefaultParagraphFont"/>
    <w:link w:val="Tablehead"/>
    <w:locked/>
    <w:rsid w:val="00E12571"/>
    <w:rPr>
      <w:b/>
      <w:sz w:val="22"/>
      <w:lang w:val="fr-FR" w:eastAsia="en-US"/>
    </w:rPr>
  </w:style>
  <w:style w:type="character" w:customStyle="1" w:styleId="TabletextChar">
    <w:name w:val="Table_text Char"/>
    <w:basedOn w:val="DefaultParagraphFont"/>
    <w:link w:val="Tabletext"/>
    <w:locked/>
    <w:rsid w:val="00E12571"/>
    <w:rPr>
      <w:sz w:val="22"/>
      <w:lang w:val="fr-FR" w:eastAsia="en-US"/>
    </w:rPr>
  </w:style>
  <w:style w:type="character" w:customStyle="1" w:styleId="Heading1Char">
    <w:name w:val="Heading 1 Char"/>
    <w:basedOn w:val="DefaultParagraphFont"/>
    <w:link w:val="Heading1"/>
    <w:rsid w:val="00E12571"/>
    <w:rPr>
      <w:b/>
      <w:sz w:val="24"/>
      <w:lang w:val="fr-FR" w:eastAsia="en-US"/>
    </w:rPr>
  </w:style>
  <w:style w:type="character" w:customStyle="1" w:styleId="FooterChar">
    <w:name w:val="Footer Char"/>
    <w:link w:val="Footer"/>
    <w:rsid w:val="00E12571"/>
    <w:rPr>
      <w:noProof/>
      <w:sz w:val="18"/>
      <w:lang w:val="fr-FR" w:eastAsia="en-US"/>
    </w:rPr>
  </w:style>
  <w:style w:type="character" w:customStyle="1" w:styleId="HeaderChar">
    <w:name w:val="Header Char"/>
    <w:basedOn w:val="DefaultParagraphFont"/>
    <w:link w:val="Header"/>
    <w:uiPriority w:val="99"/>
    <w:rsid w:val="00E12571"/>
    <w:rPr>
      <w:sz w:val="24"/>
      <w:lang w:val="fr-FR" w:eastAsia="en-US"/>
    </w:rPr>
  </w:style>
  <w:style w:type="paragraph" w:customStyle="1" w:styleId="AnnexNo">
    <w:name w:val="Annex_No"/>
    <w:basedOn w:val="Normal"/>
    <w:next w:val="Normal"/>
    <w:rsid w:val="008B2F7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8B2F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Appdef">
    <w:name w:val="App_def"/>
    <w:basedOn w:val="DefaultParagraphFont"/>
    <w:rsid w:val="008B2F73"/>
    <w:rPr>
      <w:rFonts w:ascii="Times New Roman" w:hAnsi="Times New Roman"/>
      <w:b/>
    </w:rPr>
  </w:style>
  <w:style w:type="character" w:customStyle="1" w:styleId="Appref">
    <w:name w:val="App_ref"/>
    <w:basedOn w:val="DefaultParagraphFont"/>
    <w:rsid w:val="008B2F73"/>
  </w:style>
  <w:style w:type="paragraph" w:customStyle="1" w:styleId="AppendixNo">
    <w:name w:val="Appendix_No"/>
    <w:basedOn w:val="AnnexNo"/>
    <w:next w:val="Annexref"/>
    <w:rsid w:val="008B2F73"/>
  </w:style>
  <w:style w:type="paragraph" w:customStyle="1" w:styleId="Appendixtitle">
    <w:name w:val="Appendix_title"/>
    <w:basedOn w:val="Annextitle"/>
    <w:next w:val="Normal"/>
    <w:rsid w:val="008B2F73"/>
  </w:style>
  <w:style w:type="character" w:customStyle="1" w:styleId="Artdef">
    <w:name w:val="Art_def"/>
    <w:basedOn w:val="DefaultParagraphFont"/>
    <w:rsid w:val="008B2F73"/>
    <w:rPr>
      <w:rFonts w:ascii="Times New Roman" w:hAnsi="Times New Roman"/>
      <w:b/>
    </w:rPr>
  </w:style>
  <w:style w:type="paragraph" w:customStyle="1" w:styleId="Artheading">
    <w:name w:val="Art_heading"/>
    <w:basedOn w:val="Normal"/>
    <w:next w:val="Normal"/>
    <w:rsid w:val="008B2F7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s-ES_tradnl"/>
    </w:rPr>
  </w:style>
  <w:style w:type="character" w:customStyle="1" w:styleId="Artref">
    <w:name w:val="Art_ref"/>
    <w:basedOn w:val="DefaultParagraphFont"/>
    <w:rsid w:val="008B2F73"/>
  </w:style>
  <w:style w:type="paragraph" w:customStyle="1" w:styleId="Border">
    <w:name w:val="Border"/>
    <w:basedOn w:val="Tabletext"/>
    <w:rsid w:val="008B2F7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8B2F73"/>
    <w:rPr>
      <w:sz w:val="16"/>
      <w:szCs w:val="16"/>
    </w:rPr>
  </w:style>
  <w:style w:type="paragraph" w:styleId="CommentText">
    <w:name w:val="annotation text"/>
    <w:basedOn w:val="Normal"/>
    <w:link w:val="CommentTextChar"/>
    <w:rsid w:val="008B2F73"/>
    <w:pPr>
      <w:tabs>
        <w:tab w:val="clear" w:pos="794"/>
        <w:tab w:val="clear" w:pos="1191"/>
        <w:tab w:val="clear" w:pos="1588"/>
        <w:tab w:val="clear" w:pos="1985"/>
        <w:tab w:val="left" w:pos="1134"/>
        <w:tab w:val="left" w:pos="1871"/>
        <w:tab w:val="left" w:pos="2268"/>
      </w:tabs>
      <w:jc w:val="left"/>
    </w:pPr>
    <w:rPr>
      <w:sz w:val="20"/>
      <w:lang w:val="es-ES_tradnl"/>
    </w:rPr>
  </w:style>
  <w:style w:type="character" w:customStyle="1" w:styleId="CommentTextChar">
    <w:name w:val="Comment Text Char"/>
    <w:basedOn w:val="DefaultParagraphFont"/>
    <w:link w:val="CommentText"/>
    <w:rsid w:val="008B2F73"/>
    <w:rPr>
      <w:lang w:val="es-ES_tradnl" w:eastAsia="en-US"/>
    </w:rPr>
  </w:style>
  <w:style w:type="paragraph" w:customStyle="1" w:styleId="ddate">
    <w:name w:val="ddate"/>
    <w:basedOn w:val="Normal"/>
    <w:rsid w:val="008B2F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paragraph" w:customStyle="1" w:styleId="dnum">
    <w:name w:val="dnum"/>
    <w:basedOn w:val="Normal"/>
    <w:rsid w:val="008B2F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es-ES_tradnl"/>
    </w:rPr>
  </w:style>
  <w:style w:type="paragraph" w:customStyle="1" w:styleId="dorlang">
    <w:name w:val="dorlang"/>
    <w:basedOn w:val="Normal"/>
    <w:rsid w:val="008B2F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character" w:styleId="EndnoteReference">
    <w:name w:val="endnote reference"/>
    <w:basedOn w:val="DefaultParagraphFont"/>
    <w:rsid w:val="008B2F73"/>
    <w:rPr>
      <w:vertAlign w:val="superscript"/>
    </w:rPr>
  </w:style>
  <w:style w:type="paragraph" w:customStyle="1" w:styleId="Figurewithouttitle">
    <w:name w:val="Figure_without_title"/>
    <w:basedOn w:val="FigureNo"/>
    <w:next w:val="Normal"/>
    <w:rsid w:val="008B2F73"/>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paragraph" w:customStyle="1" w:styleId="FirstFooter">
    <w:name w:val="FirstFooter"/>
    <w:basedOn w:val="Footer"/>
    <w:rsid w:val="008B2F73"/>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B2F73"/>
    <w:rPr>
      <w:sz w:val="22"/>
      <w:lang w:val="fr-FR" w:eastAsia="en-US"/>
    </w:rPr>
  </w:style>
  <w:style w:type="paragraph" w:styleId="Index4">
    <w:name w:val="index 4"/>
    <w:basedOn w:val="Normal"/>
    <w:next w:val="Normal"/>
    <w:rsid w:val="008B2F73"/>
    <w:pPr>
      <w:tabs>
        <w:tab w:val="clear" w:pos="794"/>
        <w:tab w:val="clear" w:pos="1191"/>
        <w:tab w:val="clear" w:pos="1588"/>
        <w:tab w:val="clear" w:pos="1985"/>
        <w:tab w:val="left" w:pos="1134"/>
        <w:tab w:val="left" w:pos="1871"/>
        <w:tab w:val="left" w:pos="2268"/>
      </w:tabs>
      <w:ind w:left="849"/>
      <w:jc w:val="left"/>
    </w:pPr>
    <w:rPr>
      <w:lang w:val="es-ES_tradnl"/>
    </w:rPr>
  </w:style>
  <w:style w:type="paragraph" w:styleId="Index5">
    <w:name w:val="index 5"/>
    <w:basedOn w:val="Normal"/>
    <w:next w:val="Normal"/>
    <w:rsid w:val="008B2F73"/>
    <w:pPr>
      <w:tabs>
        <w:tab w:val="clear" w:pos="794"/>
        <w:tab w:val="clear" w:pos="1191"/>
        <w:tab w:val="clear" w:pos="1588"/>
        <w:tab w:val="clear" w:pos="1985"/>
        <w:tab w:val="left" w:pos="1134"/>
        <w:tab w:val="left" w:pos="1871"/>
        <w:tab w:val="left" w:pos="2268"/>
      </w:tabs>
      <w:ind w:left="1132"/>
      <w:jc w:val="left"/>
    </w:pPr>
    <w:rPr>
      <w:lang w:val="es-ES_tradnl"/>
    </w:rPr>
  </w:style>
  <w:style w:type="paragraph" w:styleId="Index6">
    <w:name w:val="index 6"/>
    <w:basedOn w:val="Normal"/>
    <w:next w:val="Normal"/>
    <w:rsid w:val="008B2F73"/>
    <w:pPr>
      <w:tabs>
        <w:tab w:val="clear" w:pos="794"/>
        <w:tab w:val="clear" w:pos="1191"/>
        <w:tab w:val="clear" w:pos="1588"/>
        <w:tab w:val="clear" w:pos="1985"/>
        <w:tab w:val="left" w:pos="1134"/>
        <w:tab w:val="left" w:pos="1871"/>
        <w:tab w:val="left" w:pos="2268"/>
      </w:tabs>
      <w:ind w:left="1415"/>
      <w:jc w:val="left"/>
    </w:pPr>
    <w:rPr>
      <w:lang w:val="es-ES_tradnl"/>
    </w:rPr>
  </w:style>
  <w:style w:type="paragraph" w:styleId="Index7">
    <w:name w:val="index 7"/>
    <w:basedOn w:val="Normal"/>
    <w:next w:val="Normal"/>
    <w:rsid w:val="008B2F73"/>
    <w:pPr>
      <w:tabs>
        <w:tab w:val="clear" w:pos="794"/>
        <w:tab w:val="clear" w:pos="1191"/>
        <w:tab w:val="clear" w:pos="1588"/>
        <w:tab w:val="clear" w:pos="1985"/>
        <w:tab w:val="left" w:pos="1134"/>
        <w:tab w:val="left" w:pos="1871"/>
        <w:tab w:val="left" w:pos="2268"/>
      </w:tabs>
      <w:ind w:left="1698"/>
      <w:jc w:val="left"/>
    </w:pPr>
    <w:rPr>
      <w:lang w:val="es-ES_tradnl"/>
    </w:rPr>
  </w:style>
  <w:style w:type="character" w:styleId="LineNumber">
    <w:name w:val="line number"/>
    <w:basedOn w:val="DefaultParagraphFont"/>
    <w:rsid w:val="008B2F73"/>
  </w:style>
  <w:style w:type="paragraph" w:customStyle="1" w:styleId="Normalaftertitle0">
    <w:name w:val="Normal after title"/>
    <w:basedOn w:val="Normal"/>
    <w:next w:val="Normal"/>
    <w:rsid w:val="008B2F73"/>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Proposal">
    <w:name w:val="Proposal"/>
    <w:basedOn w:val="Normal"/>
    <w:next w:val="Normal"/>
    <w:rsid w:val="008B2F7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s-ES_tradnl"/>
    </w:rPr>
  </w:style>
  <w:style w:type="paragraph" w:customStyle="1" w:styleId="Reasons">
    <w:name w:val="Reasons"/>
    <w:basedOn w:val="Normal"/>
    <w:qFormat/>
    <w:rsid w:val="008B2F73"/>
    <w:pPr>
      <w:tabs>
        <w:tab w:val="clear" w:pos="794"/>
        <w:tab w:val="clear" w:pos="1191"/>
        <w:tab w:val="left" w:pos="1134"/>
      </w:tabs>
      <w:jc w:val="left"/>
    </w:pPr>
    <w:rPr>
      <w:lang w:val="es-ES_tradnl"/>
    </w:rPr>
  </w:style>
  <w:style w:type="character" w:customStyle="1" w:styleId="Recdef">
    <w:name w:val="Rec_def"/>
    <w:basedOn w:val="DefaultParagraphFont"/>
    <w:rsid w:val="008B2F73"/>
    <w:rPr>
      <w:b/>
    </w:rPr>
  </w:style>
  <w:style w:type="character" w:customStyle="1" w:styleId="Resdef">
    <w:name w:val="Res_def"/>
    <w:basedOn w:val="DefaultParagraphFont"/>
    <w:rsid w:val="008B2F73"/>
    <w:rPr>
      <w:rFonts w:ascii="Times New Roman" w:hAnsi="Times New Roman"/>
      <w:b/>
    </w:rPr>
  </w:style>
  <w:style w:type="paragraph" w:customStyle="1" w:styleId="Section1">
    <w:name w:val="Section_1"/>
    <w:basedOn w:val="Normal"/>
    <w:rsid w:val="008B2F73"/>
    <w:pPr>
      <w:tabs>
        <w:tab w:val="clear" w:pos="794"/>
        <w:tab w:val="clear" w:pos="1191"/>
        <w:tab w:val="clear" w:pos="1588"/>
        <w:tab w:val="clear" w:pos="1985"/>
        <w:tab w:val="center" w:pos="4820"/>
      </w:tabs>
      <w:spacing w:before="360"/>
      <w:jc w:val="center"/>
    </w:pPr>
    <w:rPr>
      <w:b/>
      <w:lang w:val="es-ES_tradnl"/>
    </w:rPr>
  </w:style>
  <w:style w:type="paragraph" w:customStyle="1" w:styleId="Section2">
    <w:name w:val="Section_2"/>
    <w:basedOn w:val="Section1"/>
    <w:rsid w:val="008B2F73"/>
    <w:rPr>
      <w:b w:val="0"/>
      <w:i/>
    </w:rPr>
  </w:style>
  <w:style w:type="paragraph" w:customStyle="1" w:styleId="Section3">
    <w:name w:val="Section_3"/>
    <w:basedOn w:val="Section1"/>
    <w:rsid w:val="008B2F73"/>
    <w:rPr>
      <w:b w:val="0"/>
    </w:rPr>
  </w:style>
  <w:style w:type="paragraph" w:customStyle="1" w:styleId="Source">
    <w:name w:val="Source"/>
    <w:basedOn w:val="Normal"/>
    <w:next w:val="Normal"/>
    <w:rsid w:val="008B2F73"/>
    <w:pPr>
      <w:tabs>
        <w:tab w:val="clear" w:pos="794"/>
        <w:tab w:val="clear" w:pos="1191"/>
        <w:tab w:val="clear" w:pos="1588"/>
        <w:tab w:val="clear" w:pos="1985"/>
        <w:tab w:val="left" w:pos="1134"/>
        <w:tab w:val="left" w:pos="1871"/>
        <w:tab w:val="left" w:pos="2268"/>
      </w:tabs>
      <w:spacing w:before="840"/>
      <w:jc w:val="center"/>
    </w:pPr>
    <w:rPr>
      <w:b/>
      <w:sz w:val="28"/>
      <w:lang w:val="es-ES_tradnl"/>
    </w:rPr>
  </w:style>
  <w:style w:type="paragraph" w:customStyle="1" w:styleId="SpecialFooter">
    <w:name w:val="Special Footer"/>
    <w:basedOn w:val="Footer"/>
    <w:rsid w:val="008B2F73"/>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8B2F73"/>
    <w:rPr>
      <w:b/>
      <w:color w:val="auto"/>
      <w:sz w:val="20"/>
    </w:rPr>
  </w:style>
  <w:style w:type="paragraph" w:customStyle="1" w:styleId="Tableref">
    <w:name w:val="Table_ref"/>
    <w:basedOn w:val="Normal"/>
    <w:next w:val="Tabletitle"/>
    <w:rsid w:val="008B2F73"/>
    <w:pPr>
      <w:keepNext/>
      <w:tabs>
        <w:tab w:val="clear" w:pos="794"/>
        <w:tab w:val="clear" w:pos="1191"/>
        <w:tab w:val="clear" w:pos="1588"/>
        <w:tab w:val="clear" w:pos="1985"/>
        <w:tab w:val="left" w:pos="1134"/>
        <w:tab w:val="left" w:pos="1871"/>
        <w:tab w:val="left" w:pos="2268"/>
      </w:tabs>
      <w:spacing w:before="560"/>
      <w:jc w:val="center"/>
    </w:pPr>
    <w:rPr>
      <w:sz w:val="20"/>
      <w:lang w:val="es-ES_tradnl"/>
    </w:rPr>
  </w:style>
  <w:style w:type="paragraph" w:customStyle="1" w:styleId="TableTextS5">
    <w:name w:val="Table_TextS5"/>
    <w:basedOn w:val="Normal"/>
    <w:rsid w:val="008B2F7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s-ES_tradnl"/>
    </w:rPr>
  </w:style>
  <w:style w:type="paragraph" w:customStyle="1" w:styleId="Title1">
    <w:name w:val="Title 1"/>
    <w:basedOn w:val="Source"/>
    <w:next w:val="Normal"/>
    <w:rsid w:val="008B2F73"/>
    <w:pPr>
      <w:tabs>
        <w:tab w:val="left" w:pos="567"/>
        <w:tab w:val="left" w:pos="1701"/>
        <w:tab w:val="left" w:pos="2835"/>
      </w:tabs>
      <w:spacing w:before="240"/>
    </w:pPr>
    <w:rPr>
      <w:b w:val="0"/>
      <w:caps/>
    </w:rPr>
  </w:style>
  <w:style w:type="paragraph" w:customStyle="1" w:styleId="Title2">
    <w:name w:val="Title 2"/>
    <w:basedOn w:val="Source"/>
    <w:next w:val="Normal"/>
    <w:rsid w:val="008B2F73"/>
    <w:pPr>
      <w:overflowPunct/>
      <w:autoSpaceDE/>
      <w:autoSpaceDN/>
      <w:adjustRightInd/>
      <w:spacing w:before="480"/>
      <w:textAlignment w:val="auto"/>
    </w:pPr>
    <w:rPr>
      <w:b w:val="0"/>
      <w:caps/>
    </w:rPr>
  </w:style>
  <w:style w:type="paragraph" w:customStyle="1" w:styleId="Title3">
    <w:name w:val="Title 3"/>
    <w:basedOn w:val="Title2"/>
    <w:next w:val="Normal"/>
    <w:rsid w:val="008B2F73"/>
    <w:pPr>
      <w:spacing w:before="240"/>
    </w:pPr>
    <w:rPr>
      <w:caps w:val="0"/>
    </w:rPr>
  </w:style>
  <w:style w:type="paragraph" w:customStyle="1" w:styleId="Title4">
    <w:name w:val="Title 4"/>
    <w:basedOn w:val="Title3"/>
    <w:next w:val="Heading1"/>
    <w:rsid w:val="008B2F73"/>
    <w:rPr>
      <w:b/>
    </w:rPr>
  </w:style>
  <w:style w:type="paragraph" w:customStyle="1" w:styleId="RectitleAfter6pt">
    <w:name w:val="Rec_title + After:  6 pt"/>
    <w:basedOn w:val="Title2"/>
    <w:rsid w:val="008B2F73"/>
  </w:style>
  <w:style w:type="character" w:customStyle="1" w:styleId="HeadingbChar">
    <w:name w:val="Heading_b Char"/>
    <w:basedOn w:val="DefaultParagraphFont"/>
    <w:link w:val="Headingb"/>
    <w:locked/>
    <w:rsid w:val="008B2F73"/>
    <w:rPr>
      <w:b/>
      <w:sz w:val="24"/>
      <w:lang w:val="fr-FR" w:eastAsia="en-US"/>
    </w:rPr>
  </w:style>
  <w:style w:type="character" w:customStyle="1" w:styleId="FigureNoChar">
    <w:name w:val="Figure_No Char"/>
    <w:basedOn w:val="DefaultParagraphFont"/>
    <w:link w:val="FigureNo"/>
    <w:locked/>
    <w:rsid w:val="008B2F73"/>
    <w:rPr>
      <w:caps/>
      <w:sz w:val="18"/>
      <w:lang w:val="fr-FR" w:eastAsia="en-US"/>
    </w:rPr>
  </w:style>
  <w:style w:type="paragraph" w:styleId="BalloonText">
    <w:name w:val="Balloon Text"/>
    <w:basedOn w:val="Normal"/>
    <w:link w:val="BalloonTextChar"/>
    <w:semiHidden/>
    <w:unhideWhenUsed/>
    <w:rsid w:val="008B2F73"/>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s-ES_tradnl"/>
    </w:rPr>
  </w:style>
  <w:style w:type="character" w:customStyle="1" w:styleId="BalloonTextChar">
    <w:name w:val="Balloon Text Char"/>
    <w:basedOn w:val="DefaultParagraphFont"/>
    <w:link w:val="BalloonText"/>
    <w:semiHidden/>
    <w:rsid w:val="008B2F73"/>
    <w:rPr>
      <w:rFonts w:ascii="Segoe UI" w:hAnsi="Segoe UI" w:cs="Segoe UI"/>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20.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oleObject" Target="embeddings/oleObject3.bin"/><Relationship Id="rId36"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47</TotalTime>
  <Pages>24</Pages>
  <Words>6540</Words>
  <Characters>37022</Characters>
  <Application>Microsoft Office Word</Application>
  <DocSecurity>0</DocSecurity>
  <Lines>1682</Lines>
  <Paragraphs>302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42</cp:revision>
  <cp:lastPrinted>2015-11-05T09:18:00Z</cp:lastPrinted>
  <dcterms:created xsi:type="dcterms:W3CDTF">2015-11-05T08:13:00Z</dcterms:created>
  <dcterms:modified xsi:type="dcterms:W3CDTF">2015-11-05T09:18:00Z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