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FE79FE" w:rsidRDefault="00FE79FE"/>
    <w:p w:rsidR="00397AD0" w:rsidRDefault="00397AD0"/>
    <w:p w:rsidR="00397AD0" w:rsidRDefault="00397AD0"/>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CA5F3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CA5F37">
              <w:rPr>
                <w:rFonts w:ascii="Tahoma" w:hAnsi="Tahoma" w:cs="Tahoma"/>
                <w:b/>
                <w:bCs/>
                <w:iCs/>
                <w:color w:val="243285"/>
                <w:sz w:val="36"/>
                <w:szCs w:val="36"/>
              </w:rPr>
              <w:t>1036-5</w:t>
            </w:r>
          </w:p>
          <w:p w:rsidR="00FE79FE" w:rsidRPr="00A443C2" w:rsidRDefault="00FE79FE" w:rsidP="00CA5F3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CA5F37">
              <w:rPr>
                <w:rFonts w:ascii="Tahoma" w:hAnsi="Tahoma" w:cs="Tahoma"/>
                <w:b/>
                <w:bCs/>
                <w:iCs/>
                <w:color w:val="243285"/>
                <w:szCs w:val="24"/>
              </w:rPr>
              <w:t>1</w:t>
            </w:r>
            <w:r w:rsidR="00A163D3">
              <w:rPr>
                <w:rFonts w:ascii="Tahoma" w:hAnsi="Tahoma" w:cs="Tahoma"/>
                <w:b/>
                <w:bCs/>
                <w:iCs/>
                <w:color w:val="243285"/>
                <w:szCs w:val="24"/>
              </w:rPr>
              <w:t>0</w:t>
            </w:r>
            <w:r w:rsidR="00397AD0">
              <w:rPr>
                <w:rFonts w:ascii="Tahoma" w:hAnsi="Tahoma" w:cs="Tahoma"/>
                <w:b/>
                <w:bCs/>
                <w:iCs/>
                <w:color w:val="243285"/>
                <w:szCs w:val="24"/>
              </w:rPr>
              <w:t>/</w:t>
            </w:r>
            <w:r w:rsidR="00CA5F37">
              <w:rPr>
                <w:rFonts w:ascii="Tahoma" w:hAnsi="Tahoma" w:cs="Tahoma"/>
                <w:b/>
                <w:bCs/>
                <w:iCs/>
                <w:color w:val="243285"/>
                <w:szCs w:val="24"/>
              </w:rPr>
              <w:t>2015</w:t>
            </w:r>
            <w:r w:rsidRPr="00A443C2">
              <w:rPr>
                <w:rFonts w:ascii="Tahoma" w:hAnsi="Tahoma" w:cs="Tahoma"/>
                <w:b/>
                <w:bCs/>
                <w:iCs/>
                <w:color w:val="243285"/>
                <w:szCs w:val="24"/>
              </w:rPr>
              <w:t>)</w:t>
            </w:r>
          </w:p>
        </w:tc>
      </w:tr>
      <w:tr w:rsidR="00FE79FE" w:rsidRPr="00F54FBD" w:rsidTr="00397AD0">
        <w:trPr>
          <w:trHeight w:val="4629"/>
        </w:trPr>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Default="00FE0992" w:rsidP="00FE0992">
            <w:pPr>
              <w:spacing w:before="80" w:line="500" w:lineRule="exact"/>
              <w:jc w:val="right"/>
              <w:rPr>
                <w:rFonts w:ascii="Tahoma" w:hAnsi="Tahoma" w:cs="Tahoma"/>
                <w:b/>
                <w:bCs/>
                <w:iCs/>
                <w:color w:val="243285"/>
                <w:sz w:val="44"/>
                <w:szCs w:val="44"/>
              </w:rPr>
            </w:pPr>
            <w:r w:rsidRPr="00FE0992">
              <w:rPr>
                <w:rFonts w:ascii="Tahoma" w:hAnsi="Tahoma" w:cs="Tahoma"/>
                <w:b/>
                <w:bCs/>
                <w:iCs/>
                <w:color w:val="243285"/>
                <w:sz w:val="44"/>
                <w:szCs w:val="44"/>
              </w:rPr>
              <w:t>Dispositions de fréquences applicables à la mise en œuvre de la composante de Terre des Télécommunications mobiles internationales (IMT)</w:t>
            </w:r>
            <w:r>
              <w:rPr>
                <w:rFonts w:ascii="Tahoma" w:hAnsi="Tahoma" w:cs="Tahoma"/>
                <w:b/>
                <w:bCs/>
                <w:iCs/>
                <w:color w:val="243285"/>
                <w:sz w:val="44"/>
                <w:szCs w:val="44"/>
              </w:rPr>
              <w:t xml:space="preserve"> </w:t>
            </w:r>
            <w:r w:rsidRPr="00FE0992">
              <w:rPr>
                <w:rFonts w:ascii="Tahoma" w:hAnsi="Tahoma" w:cs="Tahoma"/>
                <w:b/>
                <w:bCs/>
                <w:iCs/>
                <w:color w:val="243285"/>
                <w:sz w:val="44"/>
                <w:szCs w:val="44"/>
              </w:rPr>
              <w:t>dans les bandes identifiées pour les IMT dans le Règlement</w:t>
            </w:r>
            <w:r>
              <w:rPr>
                <w:rFonts w:ascii="Tahoma" w:hAnsi="Tahoma" w:cs="Tahoma"/>
                <w:b/>
                <w:bCs/>
                <w:iCs/>
                <w:color w:val="243285"/>
                <w:sz w:val="44"/>
                <w:szCs w:val="44"/>
              </w:rPr>
              <w:t xml:space="preserve"> </w:t>
            </w:r>
            <w:r w:rsidRPr="00FE0992">
              <w:rPr>
                <w:rFonts w:ascii="Tahoma" w:hAnsi="Tahoma" w:cs="Tahoma"/>
                <w:b/>
                <w:bCs/>
                <w:iCs/>
                <w:color w:val="243285"/>
                <w:sz w:val="44"/>
                <w:szCs w:val="44"/>
              </w:rPr>
              <w:t>des radiocommunications (RR)</w:t>
            </w:r>
          </w:p>
          <w:p w:rsidR="00A163D3" w:rsidRPr="00F54FBD" w:rsidRDefault="00A163D3" w:rsidP="00A163D3">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505840">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776953">
        <w:rPr>
          <w:sz w:val="20"/>
        </w:rPr>
        <w:t>5</w:t>
      </w:r>
    </w:p>
    <w:p w:rsidR="00F54FBD" w:rsidRPr="00614CC6" w:rsidRDefault="00F54FBD" w:rsidP="00505840">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3E0582">
        <w:rPr>
          <w:sz w:val="20"/>
        </w:rPr>
        <w:t>1</w:t>
      </w:r>
      <w:r w:rsidR="00776953">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812C4" w:rsidRPr="00776953" w:rsidRDefault="00756B4D" w:rsidP="00776953">
      <w:pPr>
        <w:pStyle w:val="RecNo"/>
        <w:spacing w:before="0"/>
      </w:pPr>
      <w:bookmarkStart w:id="2" w:name="irecnoe"/>
      <w:bookmarkEnd w:id="2"/>
      <w:r w:rsidRPr="00756B4D">
        <w:lastRenderedPageBreak/>
        <w:t>RECOMMA</w:t>
      </w:r>
      <w:r w:rsidR="00934ED7" w:rsidRPr="00756B4D">
        <w:t xml:space="preserve">NDATION  </w:t>
      </w:r>
      <w:r w:rsidR="00530208">
        <w:rPr>
          <w:rStyle w:val="href"/>
        </w:rPr>
        <w:t>UIT</w:t>
      </w:r>
      <w:r w:rsidR="00934ED7" w:rsidRPr="00756B4D">
        <w:rPr>
          <w:rStyle w:val="href"/>
        </w:rPr>
        <w:t>-R  M.</w:t>
      </w:r>
      <w:r w:rsidR="00776953">
        <w:rPr>
          <w:rStyle w:val="href"/>
        </w:rPr>
        <w:t>1036-5</w:t>
      </w:r>
    </w:p>
    <w:p w:rsidR="00776953" w:rsidRDefault="00D826A3" w:rsidP="00D826A3">
      <w:pPr>
        <w:pStyle w:val="Rectitle"/>
      </w:pPr>
      <w:r w:rsidRPr="00D826A3">
        <w:t xml:space="preserve">Dispositions de fréquences applicables à la mise en œuvre de la composante de Terre des Télécommunications mobiles internationales (IMT) </w:t>
      </w:r>
      <w:r w:rsidRPr="00D826A3">
        <w:br/>
        <w:t xml:space="preserve">dans les bandes identifiées pour les IMT dans le Règlement </w:t>
      </w:r>
      <w:r w:rsidRPr="00D826A3">
        <w:br/>
        <w:t>des radiocommunications (RR)</w:t>
      </w:r>
    </w:p>
    <w:p w:rsidR="00D826A3" w:rsidRDefault="00D826A3" w:rsidP="00D826A3">
      <w:pPr>
        <w:pStyle w:val="Recref"/>
      </w:pPr>
      <w:r w:rsidRPr="00D826A3">
        <w:t>(Question UIT-R 229-2/5)</w:t>
      </w:r>
    </w:p>
    <w:p w:rsidR="00D826A3" w:rsidRDefault="00D826A3" w:rsidP="00D826A3">
      <w:pPr>
        <w:pStyle w:val="Recdate"/>
        <w:rPr>
          <w:bCs/>
        </w:rPr>
      </w:pPr>
      <w:r w:rsidRPr="00D826A3">
        <w:rPr>
          <w:bCs/>
        </w:rPr>
        <w:t>(1994-1999-2003-2007-2012</w:t>
      </w:r>
      <w:r w:rsidR="003713D1">
        <w:rPr>
          <w:bCs/>
        </w:rPr>
        <w:t>-2015</w:t>
      </w:r>
      <w:r w:rsidRPr="00D826A3">
        <w:rPr>
          <w:bCs/>
        </w:rPr>
        <w:t>)</w:t>
      </w:r>
    </w:p>
    <w:p w:rsidR="006C61B6" w:rsidRPr="003713D1" w:rsidRDefault="006C61B6" w:rsidP="006C61B6">
      <w:pPr>
        <w:pStyle w:val="HeadingSum"/>
        <w:rPr>
          <w:szCs w:val="22"/>
          <w:lang w:val="fr-FR"/>
        </w:rPr>
      </w:pPr>
      <w:r w:rsidRPr="003713D1">
        <w:rPr>
          <w:szCs w:val="22"/>
          <w:lang w:val="fr-FR"/>
        </w:rPr>
        <w:t>Domaine d'application</w:t>
      </w:r>
    </w:p>
    <w:p w:rsidR="006C61B6" w:rsidRPr="003713D1" w:rsidRDefault="006C61B6" w:rsidP="00086A7D">
      <w:pPr>
        <w:pStyle w:val="Summary"/>
        <w:spacing w:after="0"/>
        <w:rPr>
          <w:szCs w:val="22"/>
          <w:lang w:val="fr-FR"/>
        </w:rPr>
      </w:pPr>
      <w:r w:rsidRPr="003713D1">
        <w:rPr>
          <w:szCs w:val="22"/>
          <w:lang w:val="fr-FR"/>
        </w:rPr>
        <w:t>La présente Recommandation énonce les principes directeurs relatifs au choix des dispositions de fréquences d'émission et de réception pour la composante de Terre des IMT ainsi que les dispositions elles</w:t>
      </w:r>
      <w:r w:rsidRPr="003713D1">
        <w:rPr>
          <w:szCs w:val="22"/>
          <w:lang w:val="fr-FR"/>
        </w:rPr>
        <w:noBreakHyphen/>
        <w:t>mêmes, dans le but d'apporter une aide aux administrations sur les questions techniques liées aux fréquences et concernant la mise en œuvre et l'utilisation de la composante de Terre des IMT dans les bandes identifiées dans le RR. Les dispositions de fréquences sont recommandées car elles permettent une utilisation rationnelle et efficace du spectre pour la fourniture des services IMT – tout en minimisant les incidences sur les autres systèmes ou services dans ces bandes – et facilitent le développement des systèmes IMT.</w:t>
      </w:r>
    </w:p>
    <w:p w:rsidR="006C61B6" w:rsidRPr="003713D1" w:rsidRDefault="006C61B6" w:rsidP="00086A7D">
      <w:pPr>
        <w:pStyle w:val="Summary"/>
        <w:spacing w:after="0"/>
        <w:rPr>
          <w:szCs w:val="22"/>
          <w:lang w:val="fr-FR"/>
        </w:rPr>
      </w:pPr>
      <w:r w:rsidRPr="003713D1">
        <w:rPr>
          <w:szCs w:val="22"/>
          <w:lang w:val="fr-FR"/>
        </w:rPr>
        <w:t>Autres Recommandations et Rapports UIT-R apportant des précisions supplémentaires sur un certain nombre d'aspects, y compris les caractéristiques des rayonnements non désirés et les interfaces radioélectriques.</w:t>
      </w:r>
    </w:p>
    <w:p w:rsidR="00086A7D" w:rsidRPr="007430C6" w:rsidRDefault="00086A7D" w:rsidP="00086A7D">
      <w:pPr>
        <w:pStyle w:val="Headingb"/>
        <w:rPr>
          <w:lang w:val="fr-CH"/>
        </w:rPr>
      </w:pPr>
      <w:r w:rsidRPr="00BB1A07">
        <w:t>Mots clés</w:t>
      </w:r>
    </w:p>
    <w:p w:rsidR="00086A7D" w:rsidRPr="00086A7D" w:rsidRDefault="00086A7D" w:rsidP="00086A7D">
      <w:pPr>
        <w:rPr>
          <w:lang w:val="fr-CH"/>
        </w:rPr>
      </w:pPr>
      <w:r w:rsidRPr="00086A7D">
        <w:rPr>
          <w:lang w:val="fr-CH"/>
        </w:rPr>
        <w:t>IMT, dispositions de fréquences, composante de Terre des IMT</w:t>
      </w:r>
    </w:p>
    <w:p w:rsidR="006C61B6" w:rsidRPr="00BB1A07" w:rsidRDefault="006C61B6" w:rsidP="006C61B6">
      <w:pPr>
        <w:pStyle w:val="Headingb"/>
      </w:pPr>
      <w:r w:rsidRPr="00BB1A07">
        <w:t>Introduction</w:t>
      </w:r>
    </w:p>
    <w:p w:rsidR="006C61B6" w:rsidRPr="00BB1A07" w:rsidRDefault="006C61B6" w:rsidP="006C61B6">
      <w:r w:rsidRPr="00BB1A07">
        <w:t>Les IMT-2000, systèmes mobiles de troisième génération, sont entrés en service vers l'an 2000 et permettent d'accéder au moyen d'une ou de plusieurs liaisons radioélectriques à une vaste gamme de services de télécommunication assurés par les réseaux fixes de télécommunication (par exemple RTPC/RNIS/protocole Internet (IP)) ainsi qu'à divers autres services réservés aux usagers mobiles. Depuis lors, les IMT-2000 ont été améliorées de façon continue.</w:t>
      </w:r>
    </w:p>
    <w:p w:rsidR="006C61B6" w:rsidRPr="00BB1A07" w:rsidRDefault="006C61B6" w:rsidP="006C61B6">
      <w:r w:rsidRPr="00BB1A07">
        <w:t>Ces systèmes utilisent différents types de terminaux mobiles, reliés à des réseaux terrestres ou des réseaux à satellite, conçus en fonction d'une utilisation dans le service fixe ou dans le service mobile.</w:t>
      </w:r>
    </w:p>
    <w:p w:rsidR="006C61B6" w:rsidRPr="00BB1A07" w:rsidRDefault="006C61B6" w:rsidP="006C61B6">
      <w:r w:rsidRPr="00BB1A07">
        <w:t>Les systèmes de télécommunications mobiles internationales (IMT évoluées) sont des systèmes mobiles intégrant les nouvelles fonctionnalités des IMT qui vont au-delà de celles des IMT-2000. Ces systèmes donnent accès à un vaste éventail de services de télécommunication, y compris les services mobiles évolués assurés par les réseaux mobiles et les réseaux fixes, qui sont de plus en plus fondés sur la transmission par paquets.</w:t>
      </w:r>
    </w:p>
    <w:p w:rsidR="006C61B6" w:rsidRPr="00BB1A07" w:rsidRDefault="006C61B6" w:rsidP="006C61B6">
      <w:r w:rsidRPr="00BB1A07">
        <w:t>Les systèmes IMT prennent en charge des applications de mobilité faible à élevée et une large gamme de débits de données, conformément aux demandes des utilisateurs et des services dans des environnements multi-utilisateurs. Ils peuvent aussi prendre en charge des applications multimédias de haute qualité dans une large gamme de services et de plates-formes, ce qui leur permet d'offrir une qualité de fonctionnement et une qualité de service nettement meilleures.</w:t>
      </w:r>
    </w:p>
    <w:p w:rsidR="006C61B6" w:rsidRPr="00BB1A07" w:rsidRDefault="006C61B6" w:rsidP="006C61B6">
      <w:r w:rsidRPr="00BB1A07">
        <w:t>Les systèmes de télécommunications mobiles internationales (IMT) englobent à la fois les IMT</w:t>
      </w:r>
      <w:r w:rsidRPr="00BB1A07">
        <w:noBreakHyphen/>
        <w:t>2000 et les IMT évoluées.</w:t>
      </w:r>
    </w:p>
    <w:p w:rsidR="006C61B6" w:rsidRPr="00BB1A07" w:rsidRDefault="006C61B6" w:rsidP="00086A7D">
      <w:r w:rsidRPr="00BB1A07">
        <w:t>Les principales caractéristiques des IMT-2000 et des IMT évoluées sont données dans les Recommandations UIT-R M.1645 et UIT-R M.1822. Les aspects relatifs aux fréquences et les paramètres des rayonnements non désirés font l'objet des Recommandations UIT-R M.1580, UIT</w:t>
      </w:r>
      <w:r w:rsidRPr="00BB1A07">
        <w:noBreakHyphen/>
        <w:t>R</w:t>
      </w:r>
      <w:r w:rsidR="00086A7D">
        <w:t> </w:t>
      </w:r>
      <w:r w:rsidRPr="00BB1A07">
        <w:t xml:space="preserve">M.1581, UIT-R M.2070 et UIT-R M.2071. Des dispositions de fréquences peuvent être incluses dans la Recommandation UIT-R M.1036 avant que les Recommandations associées ne soient </w:t>
      </w:r>
      <w:r w:rsidRPr="00BB1A07">
        <w:lastRenderedPageBreak/>
        <w:t>mises à jour pour spécifier les caractéristiques génériques des rayonnements non désirés des stations mobiles et des stations de base qui utilisent les interfaces radioélectriques de Terre des IMT.</w:t>
      </w:r>
    </w:p>
    <w:p w:rsidR="006C61B6" w:rsidRPr="00BB1A07" w:rsidRDefault="006C61B6" w:rsidP="006C61B6">
      <w:r w:rsidRPr="00BB1A07">
        <w:t>Il est nécessaire de définir des limites concernant les niveaux maximaux de rayonnements non désirés, afin de protéger les autres systèmes radioélectriques, notamment ceux qui fonctionnent dans les bandes adjacentes, et de faciliter la coexistence de différentes technologies dans les bandes visées dans la présente Recommandation.</w:t>
      </w:r>
    </w:p>
    <w:p w:rsidR="006C61B6" w:rsidRPr="00BB1A07" w:rsidRDefault="006C61B6" w:rsidP="006C61B6">
      <w:r w:rsidRPr="00BB1A07">
        <w:t>Les fonctionnalités des systèmes IMT sont sans cesse améliorées en fonction des besoins des utilisateurs et de l'évolution des technologies.</w:t>
      </w:r>
    </w:p>
    <w:p w:rsidR="006C61B6" w:rsidRPr="00BB1A07" w:rsidRDefault="006C61B6" w:rsidP="006C61B6">
      <w:r w:rsidRPr="00BB1A07">
        <w:t>Les bandes ci-après ont été identifiées pour les IMT dans le Règlement des radiocommunications (RR), édition de 2012. Cette identification n'exclut pas l'utilisation de ces bandes par toute application des services auxquels elles sont attribuées ou pour lesquels elles ont été identifiées et n'établit pas de priorité dans le Règlement des radiocommunications. Il convient de noter que des dispositions réglementaires différentes s'appliquent pour chaque bande. Les différences selon les régions pour chaque bande sont décrites dans les renvois correspondants, comme indiqué dans le Tableau 1.</w:t>
      </w:r>
    </w:p>
    <w:p w:rsidR="006C61B6" w:rsidRPr="00BB1A07" w:rsidRDefault="006C61B6" w:rsidP="006C61B6">
      <w:pPr>
        <w:pStyle w:val="TableNo"/>
        <w:keepLines/>
      </w:pPr>
      <w:r w:rsidRPr="00BB1A07">
        <w:t>TABLEAU 1</w:t>
      </w:r>
    </w:p>
    <w:tbl>
      <w:tblPr>
        <w:tblW w:w="0" w:type="auto"/>
        <w:jc w:val="center"/>
        <w:tblLayout w:type="fixed"/>
        <w:tblLook w:val="0000" w:firstRow="0" w:lastRow="0" w:firstColumn="0" w:lastColumn="0" w:noHBand="0" w:noVBand="0"/>
      </w:tblPr>
      <w:tblGrid>
        <w:gridCol w:w="1972"/>
        <w:gridCol w:w="4111"/>
      </w:tblGrid>
      <w:tr w:rsidR="006C61B6" w:rsidRPr="00BB1A07" w:rsidTr="00D16BCE">
        <w:trPr>
          <w:jc w:val="center"/>
        </w:trPr>
        <w:tc>
          <w:tcPr>
            <w:tcW w:w="1972" w:type="dxa"/>
            <w:tcBorders>
              <w:top w:val="single" w:sz="4" w:space="0" w:color="000000"/>
              <w:left w:val="single" w:sz="4" w:space="0" w:color="000000"/>
              <w:bottom w:val="single" w:sz="4" w:space="0" w:color="000000"/>
            </w:tcBorders>
          </w:tcPr>
          <w:p w:rsidR="006C61B6" w:rsidRPr="00BB1A07" w:rsidRDefault="006C61B6" w:rsidP="00D16BCE">
            <w:pPr>
              <w:pStyle w:val="Tablehead"/>
              <w:keepLines/>
            </w:pPr>
            <w:r w:rsidRPr="00BB1A07">
              <w:t>Bande (MHz)</w:t>
            </w:r>
          </w:p>
        </w:tc>
        <w:tc>
          <w:tcPr>
            <w:tcW w:w="4111" w:type="dxa"/>
            <w:tcBorders>
              <w:top w:val="single" w:sz="4" w:space="0" w:color="000000"/>
              <w:left w:val="single" w:sz="4" w:space="0" w:color="000000"/>
              <w:bottom w:val="single" w:sz="4" w:space="0" w:color="000000"/>
              <w:right w:val="single" w:sz="4" w:space="0" w:color="000000"/>
            </w:tcBorders>
          </w:tcPr>
          <w:p w:rsidR="006C61B6" w:rsidRPr="00BB1A07" w:rsidRDefault="006C61B6" w:rsidP="00D16BCE">
            <w:pPr>
              <w:pStyle w:val="Tablehead"/>
              <w:keepLines/>
            </w:pPr>
            <w:r w:rsidRPr="00BB1A07">
              <w:t>Renvois dans lesquels la bande est identifiée pour les IMT</w:t>
            </w:r>
          </w:p>
        </w:tc>
      </w:tr>
      <w:tr w:rsidR="006C61B6" w:rsidRPr="00BB1A07" w:rsidTr="00D16BCE">
        <w:trPr>
          <w:jc w:val="center"/>
        </w:trPr>
        <w:tc>
          <w:tcPr>
            <w:tcW w:w="1972" w:type="dxa"/>
            <w:tcBorders>
              <w:top w:val="single" w:sz="4" w:space="0" w:color="000000"/>
              <w:left w:val="single" w:sz="4" w:space="0" w:color="000000"/>
              <w:bottom w:val="single" w:sz="4" w:space="0" w:color="000000"/>
            </w:tcBorders>
          </w:tcPr>
          <w:p w:rsidR="006C61B6" w:rsidRPr="00BB1A07" w:rsidRDefault="006C61B6" w:rsidP="00D16BCE">
            <w:pPr>
              <w:pStyle w:val="Tabletext"/>
              <w:keepNext/>
              <w:keepLines/>
              <w:jc w:val="center"/>
              <w:rPr>
                <w:rFonts w:eastAsia="SimSun"/>
                <w:lang w:eastAsia="zh-CN"/>
              </w:rPr>
            </w:pPr>
            <w:r w:rsidRPr="00BB1A07">
              <w:t>450-470</w:t>
            </w:r>
          </w:p>
        </w:tc>
        <w:tc>
          <w:tcPr>
            <w:tcW w:w="4111" w:type="dxa"/>
            <w:tcBorders>
              <w:top w:val="single" w:sz="4" w:space="0" w:color="000000"/>
              <w:left w:val="single" w:sz="4" w:space="0" w:color="000000"/>
              <w:bottom w:val="single" w:sz="4" w:space="0" w:color="000000"/>
              <w:right w:val="single" w:sz="4" w:space="0" w:color="000000"/>
            </w:tcBorders>
          </w:tcPr>
          <w:p w:rsidR="006C61B6" w:rsidRPr="00BB1A07" w:rsidRDefault="006C61B6" w:rsidP="00D16BCE">
            <w:pPr>
              <w:pStyle w:val="Tabletext"/>
              <w:keepNext/>
              <w:keepLines/>
              <w:jc w:val="center"/>
            </w:pPr>
            <w:r w:rsidRPr="00BB1A07">
              <w:t>5.286AA</w:t>
            </w:r>
          </w:p>
        </w:tc>
      </w:tr>
      <w:tr w:rsidR="006C61B6" w:rsidRPr="00BB1A07" w:rsidTr="00D16BCE">
        <w:trPr>
          <w:jc w:val="center"/>
        </w:trPr>
        <w:tc>
          <w:tcPr>
            <w:tcW w:w="1972" w:type="dxa"/>
            <w:tcBorders>
              <w:top w:val="single" w:sz="4" w:space="0" w:color="000000"/>
              <w:left w:val="single" w:sz="4" w:space="0" w:color="000000"/>
              <w:bottom w:val="single" w:sz="4" w:space="0" w:color="000000"/>
            </w:tcBorders>
          </w:tcPr>
          <w:p w:rsidR="006C61B6" w:rsidRPr="00BB1A07" w:rsidRDefault="006C61B6" w:rsidP="00D16BCE">
            <w:pPr>
              <w:pStyle w:val="Tabletext"/>
              <w:keepNext/>
              <w:keepLines/>
              <w:jc w:val="center"/>
              <w:rPr>
                <w:rFonts w:eastAsia="SimSun"/>
                <w:lang w:eastAsia="zh-CN"/>
              </w:rPr>
            </w:pPr>
            <w:r w:rsidRPr="00BB1A07">
              <w:t>698-960</w:t>
            </w:r>
          </w:p>
        </w:tc>
        <w:tc>
          <w:tcPr>
            <w:tcW w:w="4111" w:type="dxa"/>
            <w:tcBorders>
              <w:top w:val="single" w:sz="4" w:space="0" w:color="000000"/>
              <w:left w:val="single" w:sz="4" w:space="0" w:color="000000"/>
              <w:bottom w:val="single" w:sz="4" w:space="0" w:color="000000"/>
              <w:right w:val="single" w:sz="4" w:space="0" w:color="000000"/>
            </w:tcBorders>
          </w:tcPr>
          <w:p w:rsidR="006C61B6" w:rsidRPr="00BB1A07" w:rsidRDefault="006C61B6" w:rsidP="00D16BCE">
            <w:pPr>
              <w:pStyle w:val="Tabletext"/>
              <w:keepNext/>
              <w:keepLines/>
              <w:jc w:val="center"/>
            </w:pPr>
            <w:r w:rsidRPr="00BB1A07">
              <w:t>5.313A, 5.317A</w:t>
            </w:r>
          </w:p>
        </w:tc>
      </w:tr>
      <w:tr w:rsidR="006C61B6" w:rsidRPr="00BB1A07" w:rsidTr="00D16BCE">
        <w:trPr>
          <w:jc w:val="center"/>
        </w:trPr>
        <w:tc>
          <w:tcPr>
            <w:tcW w:w="1972" w:type="dxa"/>
            <w:tcBorders>
              <w:top w:val="single" w:sz="4" w:space="0" w:color="000000"/>
              <w:left w:val="single" w:sz="4" w:space="0" w:color="000000"/>
              <w:bottom w:val="single" w:sz="4" w:space="0" w:color="000000"/>
            </w:tcBorders>
          </w:tcPr>
          <w:p w:rsidR="006C61B6" w:rsidRPr="00BB1A07" w:rsidRDefault="006C61B6" w:rsidP="00D16BCE">
            <w:pPr>
              <w:pStyle w:val="Tabletext"/>
              <w:keepNext/>
              <w:keepLines/>
              <w:jc w:val="center"/>
              <w:rPr>
                <w:rFonts w:eastAsia="SimSun"/>
                <w:lang w:eastAsia="zh-CN"/>
              </w:rPr>
            </w:pPr>
            <w:r w:rsidRPr="00BB1A07">
              <w:t>1 710-2 025</w:t>
            </w:r>
          </w:p>
        </w:tc>
        <w:tc>
          <w:tcPr>
            <w:tcW w:w="4111" w:type="dxa"/>
            <w:tcBorders>
              <w:top w:val="single" w:sz="4" w:space="0" w:color="000000"/>
              <w:left w:val="single" w:sz="4" w:space="0" w:color="000000"/>
              <w:bottom w:val="single" w:sz="4" w:space="0" w:color="000000"/>
              <w:right w:val="single" w:sz="4" w:space="0" w:color="000000"/>
            </w:tcBorders>
          </w:tcPr>
          <w:p w:rsidR="006C61B6" w:rsidRPr="00BB1A07" w:rsidRDefault="006C61B6" w:rsidP="00D16BCE">
            <w:pPr>
              <w:pStyle w:val="Tabletext"/>
              <w:keepNext/>
              <w:keepLines/>
              <w:jc w:val="center"/>
            </w:pPr>
            <w:r w:rsidRPr="00BB1A07">
              <w:t>5.384A, 5.388</w:t>
            </w:r>
          </w:p>
        </w:tc>
      </w:tr>
      <w:tr w:rsidR="006C61B6" w:rsidRPr="00BB1A07" w:rsidTr="00D16BCE">
        <w:trPr>
          <w:jc w:val="center"/>
        </w:trPr>
        <w:tc>
          <w:tcPr>
            <w:tcW w:w="1972" w:type="dxa"/>
            <w:tcBorders>
              <w:top w:val="single" w:sz="4" w:space="0" w:color="000000"/>
              <w:left w:val="single" w:sz="4" w:space="0" w:color="000000"/>
              <w:bottom w:val="single" w:sz="4" w:space="0" w:color="000000"/>
            </w:tcBorders>
          </w:tcPr>
          <w:p w:rsidR="006C61B6" w:rsidRPr="00BB1A07" w:rsidRDefault="006C61B6" w:rsidP="00D16BCE">
            <w:pPr>
              <w:pStyle w:val="Tabletext"/>
              <w:keepNext/>
              <w:keepLines/>
              <w:jc w:val="center"/>
              <w:rPr>
                <w:rFonts w:eastAsia="SimSun"/>
                <w:lang w:eastAsia="zh-CN"/>
              </w:rPr>
            </w:pPr>
            <w:r w:rsidRPr="00BB1A07">
              <w:t>2 110-2 200</w:t>
            </w:r>
          </w:p>
        </w:tc>
        <w:tc>
          <w:tcPr>
            <w:tcW w:w="4111" w:type="dxa"/>
            <w:tcBorders>
              <w:top w:val="single" w:sz="4" w:space="0" w:color="000000"/>
              <w:left w:val="single" w:sz="4" w:space="0" w:color="000000"/>
              <w:bottom w:val="single" w:sz="4" w:space="0" w:color="000000"/>
              <w:right w:val="single" w:sz="4" w:space="0" w:color="000000"/>
            </w:tcBorders>
          </w:tcPr>
          <w:p w:rsidR="006C61B6" w:rsidRPr="00BB1A07" w:rsidRDefault="006C61B6" w:rsidP="00D16BCE">
            <w:pPr>
              <w:pStyle w:val="Tabletext"/>
              <w:keepNext/>
              <w:keepLines/>
              <w:jc w:val="center"/>
            </w:pPr>
            <w:r w:rsidRPr="00BB1A07">
              <w:t>5.388</w:t>
            </w:r>
          </w:p>
        </w:tc>
      </w:tr>
      <w:tr w:rsidR="006C61B6" w:rsidRPr="00BB1A07" w:rsidTr="00D16BCE">
        <w:trPr>
          <w:jc w:val="center"/>
        </w:trPr>
        <w:tc>
          <w:tcPr>
            <w:tcW w:w="1972" w:type="dxa"/>
            <w:tcBorders>
              <w:top w:val="single" w:sz="4" w:space="0" w:color="000000"/>
              <w:left w:val="single" w:sz="4" w:space="0" w:color="000000"/>
              <w:bottom w:val="single" w:sz="4" w:space="0" w:color="000000"/>
            </w:tcBorders>
          </w:tcPr>
          <w:p w:rsidR="006C61B6" w:rsidRPr="00BB1A07" w:rsidRDefault="006C61B6" w:rsidP="00D16BCE">
            <w:pPr>
              <w:pStyle w:val="Tabletext"/>
              <w:keepNext/>
              <w:keepLines/>
              <w:jc w:val="center"/>
              <w:rPr>
                <w:rFonts w:eastAsia="SimSun"/>
                <w:lang w:eastAsia="zh-CN"/>
              </w:rPr>
            </w:pPr>
            <w:r w:rsidRPr="00BB1A07">
              <w:t>2 300-2 400</w:t>
            </w:r>
          </w:p>
        </w:tc>
        <w:tc>
          <w:tcPr>
            <w:tcW w:w="4111" w:type="dxa"/>
            <w:tcBorders>
              <w:top w:val="single" w:sz="4" w:space="0" w:color="000000"/>
              <w:left w:val="single" w:sz="4" w:space="0" w:color="000000"/>
              <w:bottom w:val="single" w:sz="4" w:space="0" w:color="000000"/>
              <w:right w:val="single" w:sz="4" w:space="0" w:color="000000"/>
            </w:tcBorders>
          </w:tcPr>
          <w:p w:rsidR="006C61B6" w:rsidRPr="00BB1A07" w:rsidRDefault="006C61B6" w:rsidP="00D16BCE">
            <w:pPr>
              <w:pStyle w:val="Tabletext"/>
              <w:keepNext/>
              <w:keepLines/>
              <w:jc w:val="center"/>
            </w:pPr>
            <w:r w:rsidRPr="00BB1A07">
              <w:t>5.384A</w:t>
            </w:r>
          </w:p>
        </w:tc>
      </w:tr>
      <w:tr w:rsidR="006C61B6" w:rsidRPr="00BB1A07" w:rsidTr="00D16BCE">
        <w:trPr>
          <w:jc w:val="center"/>
        </w:trPr>
        <w:tc>
          <w:tcPr>
            <w:tcW w:w="1972" w:type="dxa"/>
            <w:tcBorders>
              <w:top w:val="single" w:sz="4" w:space="0" w:color="000000"/>
              <w:left w:val="single" w:sz="4" w:space="0" w:color="000000"/>
              <w:bottom w:val="single" w:sz="4" w:space="0" w:color="000000"/>
            </w:tcBorders>
          </w:tcPr>
          <w:p w:rsidR="006C61B6" w:rsidRPr="00BB1A07" w:rsidRDefault="006C61B6" w:rsidP="00D16BCE">
            <w:pPr>
              <w:pStyle w:val="Tabletext"/>
              <w:keepNext/>
              <w:keepLines/>
              <w:jc w:val="center"/>
              <w:rPr>
                <w:rFonts w:eastAsia="SimSun"/>
                <w:lang w:eastAsia="zh-CN"/>
              </w:rPr>
            </w:pPr>
            <w:r w:rsidRPr="00BB1A07">
              <w:t>2 500-2 690</w:t>
            </w:r>
          </w:p>
        </w:tc>
        <w:tc>
          <w:tcPr>
            <w:tcW w:w="4111" w:type="dxa"/>
            <w:tcBorders>
              <w:top w:val="single" w:sz="4" w:space="0" w:color="000000"/>
              <w:left w:val="single" w:sz="4" w:space="0" w:color="000000"/>
              <w:bottom w:val="single" w:sz="4" w:space="0" w:color="000000"/>
              <w:right w:val="single" w:sz="4" w:space="0" w:color="000000"/>
            </w:tcBorders>
          </w:tcPr>
          <w:p w:rsidR="006C61B6" w:rsidRPr="00BB1A07" w:rsidRDefault="006C61B6" w:rsidP="00D16BCE">
            <w:pPr>
              <w:pStyle w:val="Tabletext"/>
              <w:keepNext/>
              <w:keepLines/>
              <w:jc w:val="center"/>
            </w:pPr>
            <w:r w:rsidRPr="00BB1A07">
              <w:t>5.384A</w:t>
            </w:r>
          </w:p>
        </w:tc>
      </w:tr>
      <w:tr w:rsidR="006C61B6" w:rsidRPr="00BB1A07" w:rsidTr="00D16BCE">
        <w:trPr>
          <w:jc w:val="center"/>
        </w:trPr>
        <w:tc>
          <w:tcPr>
            <w:tcW w:w="1972" w:type="dxa"/>
            <w:tcBorders>
              <w:top w:val="single" w:sz="4" w:space="0" w:color="000000"/>
              <w:left w:val="single" w:sz="4" w:space="0" w:color="000000"/>
              <w:bottom w:val="single" w:sz="4" w:space="0" w:color="000000"/>
            </w:tcBorders>
          </w:tcPr>
          <w:p w:rsidR="006C61B6" w:rsidRPr="00BB1A07" w:rsidRDefault="006C61B6" w:rsidP="00D16BCE">
            <w:pPr>
              <w:pStyle w:val="Tabletext"/>
              <w:keepNext/>
              <w:keepLines/>
              <w:jc w:val="center"/>
              <w:rPr>
                <w:rFonts w:eastAsia="SimSun"/>
                <w:lang w:eastAsia="zh-CN"/>
              </w:rPr>
            </w:pPr>
            <w:r w:rsidRPr="00BB1A07">
              <w:t>3 400-3 600</w:t>
            </w:r>
          </w:p>
        </w:tc>
        <w:tc>
          <w:tcPr>
            <w:tcW w:w="4111" w:type="dxa"/>
            <w:tcBorders>
              <w:top w:val="single" w:sz="4" w:space="0" w:color="000000"/>
              <w:left w:val="single" w:sz="4" w:space="0" w:color="000000"/>
              <w:bottom w:val="single" w:sz="4" w:space="0" w:color="000000"/>
              <w:right w:val="single" w:sz="4" w:space="0" w:color="000000"/>
            </w:tcBorders>
          </w:tcPr>
          <w:p w:rsidR="006C61B6" w:rsidRPr="00BB1A07" w:rsidRDefault="006C61B6" w:rsidP="00D16BCE">
            <w:pPr>
              <w:pStyle w:val="Tabletext"/>
              <w:keepNext/>
              <w:keepLines/>
              <w:jc w:val="center"/>
            </w:pPr>
            <w:r w:rsidRPr="00BB1A07">
              <w:t>5.430A, 5.432A, 5.432B, 5.433A</w:t>
            </w:r>
          </w:p>
        </w:tc>
      </w:tr>
    </w:tbl>
    <w:p w:rsidR="006C61B6" w:rsidRPr="00BB1A07" w:rsidRDefault="006C61B6" w:rsidP="006C61B6">
      <w:pPr>
        <w:pStyle w:val="Tablefin"/>
        <w:rPr>
          <w:rFonts w:eastAsia="SimSun"/>
          <w:lang w:val="fr-FR" w:eastAsia="zh-CN"/>
        </w:rPr>
      </w:pPr>
    </w:p>
    <w:p w:rsidR="006C61B6" w:rsidRPr="00BB1A07" w:rsidRDefault="006C61B6" w:rsidP="003713D1">
      <w:r w:rsidRPr="00BB1A07">
        <w:t>Par ailleurs, les administrations déploieront peut-être des systèmes IMT dans des bandes</w:t>
      </w:r>
      <w:r w:rsidR="003713D1">
        <w:t xml:space="preserve"> attribuées au service mobile</w:t>
      </w:r>
      <w:r w:rsidRPr="00BB1A07">
        <w:t xml:space="preserve"> autres que celles identifiées dans le RR, ou seulement dans certaines ou dans des parties des bandes identifiées pour les IMT dans le RR.</w:t>
      </w:r>
    </w:p>
    <w:p w:rsidR="006C61B6" w:rsidRPr="00BB1A07" w:rsidRDefault="006C61B6" w:rsidP="006C61B6">
      <w:r w:rsidRPr="00BB1A07">
        <w:t>L'Assemblée des radiocommunications de l'UIT,</w:t>
      </w:r>
    </w:p>
    <w:p w:rsidR="006C61B6" w:rsidRPr="00BB1A07" w:rsidRDefault="006C61B6" w:rsidP="006C61B6">
      <w:pPr>
        <w:pStyle w:val="Call"/>
      </w:pPr>
      <w:r w:rsidRPr="00BB1A07">
        <w:t>considérant</w:t>
      </w:r>
    </w:p>
    <w:p w:rsidR="006C61B6" w:rsidRPr="00BB1A07" w:rsidRDefault="006C61B6" w:rsidP="006C61B6">
      <w:r w:rsidRPr="00BB1A07">
        <w:rPr>
          <w:i/>
          <w:iCs/>
        </w:rPr>
        <w:t>a)</w:t>
      </w:r>
      <w:r w:rsidRPr="00BB1A07">
        <w:tab/>
        <w:t>que l'UIT est l'entité reconnue au niveau international comme étant la seule habilitée à définir et à recommander les normes et les dispositions de fréquences harmonisées à l'échelle mondiale pour les systèmes IMT, en collaboration avec d'autres organisations compétentes;</w:t>
      </w:r>
    </w:p>
    <w:p w:rsidR="006C61B6" w:rsidRPr="00BB1A07" w:rsidRDefault="006C61B6" w:rsidP="006C61B6">
      <w:r w:rsidRPr="00BB1A07">
        <w:rPr>
          <w:i/>
          <w:iCs/>
        </w:rPr>
        <w:t>b)</w:t>
      </w:r>
      <w:r w:rsidRPr="00BB1A07">
        <w:tab/>
        <w:t>qu'il est souhaitable de disposer de fréquences et de dispositions de fréquences harmonisées à l'échelle mondiale pour les IMT;</w:t>
      </w:r>
    </w:p>
    <w:p w:rsidR="006C61B6" w:rsidRPr="00BB1A07" w:rsidRDefault="006C61B6" w:rsidP="006C61B6">
      <w:r w:rsidRPr="00BB1A07">
        <w:rPr>
          <w:i/>
          <w:iCs/>
        </w:rPr>
        <w:t>c)</w:t>
      </w:r>
      <w:r w:rsidRPr="00BB1A07">
        <w:tab/>
        <w:t>qu'un nombre minimal de dispositions de fréquences harmonisées à l'échelle mondiale dans les bandes identifiées pour les IMT permettra de réduire le coût global des réseaux et terminaux IMT grâce aux économies d'échelle ainsi réalisées et facilitera le déploiement et la coordination transfrontière;</w:t>
      </w:r>
    </w:p>
    <w:p w:rsidR="006C61B6" w:rsidRPr="00BB1A07" w:rsidRDefault="006C61B6" w:rsidP="006C61B6">
      <w:r w:rsidRPr="00BB1A07">
        <w:rPr>
          <w:i/>
          <w:iCs/>
        </w:rPr>
        <w:t>d)</w:t>
      </w:r>
      <w:r w:rsidRPr="00BB1A07">
        <w:tab/>
        <w:t xml:space="preserve">que, lorsque les dispositions de fréquences ne peuvent pas être harmonisées à l'échelle mondiale, une base commune et/ou une bande d'émission commune pour les services mobiles permettrait de faciliter le déploiement des terminaux pour l'itinérance mondiale. En particulier, une </w:t>
      </w:r>
      <w:r w:rsidRPr="00BB1A07">
        <w:lastRenderedPageBreak/>
        <w:t>bande d'émission commune permettrait de communiquer aux utilisateurs en itinérance toutes les informations nécessaires à l'établissement des communications;</w:t>
      </w:r>
    </w:p>
    <w:p w:rsidR="006C61B6" w:rsidRPr="00BB1A07" w:rsidRDefault="006C61B6" w:rsidP="006C61B6">
      <w:r w:rsidRPr="00BB1A07">
        <w:rPr>
          <w:i/>
          <w:iCs/>
        </w:rPr>
        <w:t>e)</w:t>
      </w:r>
      <w:r w:rsidRPr="00BB1A07">
        <w:tab/>
        <w:t>qu'il conviendrait de tenir compte, lors de l'élaboration des dispositions de fréquences, d'éventuelles contraintes technologiques (par exemple, rapport coût/efficacité, taille et complexité des terminaux, traitement des signaux numériques haut débit/de faible puissance, compacité des accumulateurs);</w:t>
      </w:r>
    </w:p>
    <w:p w:rsidR="006C61B6" w:rsidRPr="00BB1A07" w:rsidRDefault="006C61B6" w:rsidP="006C61B6">
      <w:r w:rsidRPr="00BB1A07">
        <w:rPr>
          <w:i/>
          <w:iCs/>
        </w:rPr>
        <w:t>f)</w:t>
      </w:r>
      <w:r w:rsidRPr="00BB1A07">
        <w:tab/>
        <w:t>que les bandes de garde pour les systèmes IMT devraient être aussi réduites que possible afin d'éviter de «gaspiller» des fréquences;</w:t>
      </w:r>
    </w:p>
    <w:p w:rsidR="006C61B6" w:rsidRPr="00BB1A07" w:rsidRDefault="006C61B6" w:rsidP="006C61B6">
      <w:r w:rsidRPr="00BB1A07">
        <w:rPr>
          <w:i/>
          <w:iCs/>
        </w:rPr>
        <w:t>g)</w:t>
      </w:r>
      <w:r w:rsidRPr="00BB1A07">
        <w:tab/>
        <w:t>que, lors de l'élaboration des dispositions de fréquences, les progrès actuels et futurs en ce qui concerne les IMT (par exemple terminaux multimode/multibande, technologie des filtres améliorés, antennes adaptatives, techniques de pointe de traitement du signal, techniques associées aux systèmes de radiocommunication cognitifs, technologie duplex variable et périphériques de connectivité hertzienne) peuvent faciliter une utilisation plus efficace du spectre et accroître l'utilisation générale du spectre des fréquences radioélectriques;</w:t>
      </w:r>
    </w:p>
    <w:p w:rsidR="006C61B6" w:rsidRPr="00BB1A07" w:rsidRDefault="006C61B6" w:rsidP="006C61B6">
      <w:r w:rsidRPr="00BB1A07">
        <w:rPr>
          <w:i/>
          <w:iCs/>
        </w:rPr>
        <w:t>h)</w:t>
      </w:r>
      <w:r w:rsidRPr="00BB1A07">
        <w:tab/>
        <w:t>que le trafic de chaque abonné utilisant des systèmes IMT devrait être dynamiquement asymétrique, le sens de l'asymétrie pouvant varier rapidement pendant de brefs intervalles de temps (ms);</w:t>
      </w:r>
    </w:p>
    <w:p w:rsidR="006C61B6" w:rsidRPr="00BB1A07" w:rsidRDefault="006C61B6" w:rsidP="006C61B6">
      <w:r w:rsidRPr="00BB1A07">
        <w:rPr>
          <w:i/>
          <w:iCs/>
        </w:rPr>
        <w:t>i)</w:t>
      </w:r>
      <w:r w:rsidRPr="00BB1A07">
        <w:tab/>
        <w:t>que le trafic par cellule pour les systèmes IMT devrait être dynamiquement asymétrique et que le sens de l'asymétrie variera en fonction du volume total du trafic d'abonné;</w:t>
      </w:r>
    </w:p>
    <w:p w:rsidR="006C61B6" w:rsidRPr="00BB1A07" w:rsidRDefault="006C61B6" w:rsidP="006C61B6">
      <w:r w:rsidRPr="00BB1A07">
        <w:rPr>
          <w:i/>
          <w:iCs/>
        </w:rPr>
        <w:t>j)</w:t>
      </w:r>
      <w:r w:rsidRPr="00BB1A07">
        <w:tab/>
        <w:t>que l'asymétrie du trafic dans les réseaux IMT pourra évoluer sur le long terme;</w:t>
      </w:r>
    </w:p>
    <w:p w:rsidR="006C61B6" w:rsidRPr="00BB1A07" w:rsidRDefault="006C61B6" w:rsidP="006C61B6">
      <w:r w:rsidRPr="00BB1A07">
        <w:rPr>
          <w:i/>
          <w:iCs/>
        </w:rPr>
        <w:t>k)</w:t>
      </w:r>
      <w:r w:rsidRPr="00BB1A07">
        <w:tab/>
        <w:t>que les interfaces radioélectriques des IMT-2000 sont spécifiées dans le détail dans la Recommandation UIT</w:t>
      </w:r>
      <w:r w:rsidRPr="00BB1A07">
        <w:noBreakHyphen/>
        <w:t>R M.1457 et couvrent actuellement deux modes de fonctionnement, le mode DRF (duplex à répartition en fréquence) et DRT (duplex à répartition dans le temps);</w:t>
      </w:r>
    </w:p>
    <w:p w:rsidR="006C61B6" w:rsidRPr="00BB1A07" w:rsidRDefault="006C61B6" w:rsidP="006C61B6">
      <w:pPr>
        <w:rPr>
          <w:snapToGrid w:val="0"/>
        </w:rPr>
      </w:pPr>
      <w:r w:rsidRPr="00BB1A07">
        <w:rPr>
          <w:i/>
          <w:iCs/>
        </w:rPr>
        <w:t>l)</w:t>
      </w:r>
      <w:r w:rsidRPr="00BB1A07">
        <w:tab/>
        <w:t>que les interfaces radioélectriques des IMT évoluées sont définies en détail dans la Recommandation UIT-R M.2012 et concernent à la fois le mode DRF et le mode DRT;</w:t>
      </w:r>
    </w:p>
    <w:p w:rsidR="006C61B6" w:rsidRPr="00BB1A07" w:rsidRDefault="006C61B6" w:rsidP="006C61B6">
      <w:r w:rsidRPr="00BB1A07">
        <w:rPr>
          <w:i/>
          <w:iCs/>
        </w:rPr>
        <w:t>m)</w:t>
      </w:r>
      <w:r w:rsidRPr="00BB1A07">
        <w:tab/>
        <w:t xml:space="preserve">que l'utilisation des modes DRF et DRT dans la même bande offre des avantages; toutefois, il faut faire preuve de prudence afin de réduire au minimum les brouillages entre les systèmes et tenir compte des indications données au point </w:t>
      </w:r>
      <w:r w:rsidRPr="00BB1A07">
        <w:rPr>
          <w:i/>
          <w:iCs/>
        </w:rPr>
        <w:t>o)</w:t>
      </w:r>
      <w:r w:rsidRPr="00BB1A07">
        <w:t xml:space="preserve"> du </w:t>
      </w:r>
      <w:r w:rsidRPr="00BB1A07">
        <w:rPr>
          <w:i/>
          <w:iCs/>
        </w:rPr>
        <w:t>considéran</w:t>
      </w:r>
      <w:r w:rsidRPr="00BB1A07">
        <w:t>t; en particulier si l'on retient des limites DRF/DRT souples, il faudra peut</w:t>
      </w:r>
      <w:r w:rsidRPr="00BB1A07">
        <w:noBreakHyphen/>
        <w:t>être équiper les émetteurs et les récepteurs de filtres supplémentaires, prévoir des bandes de garde qui risquent d'avoir une incidence sur l'utilisation du spectre et utiliser diverses techniques d'atténuation des brouillages en fonction des situations particulières;</w:t>
      </w:r>
    </w:p>
    <w:p w:rsidR="006C61B6" w:rsidRPr="00BB1A07" w:rsidRDefault="006C61B6" w:rsidP="006C61B6">
      <w:r w:rsidRPr="00BB1A07">
        <w:rPr>
          <w:i/>
          <w:iCs/>
        </w:rPr>
        <w:t>n)</w:t>
      </w:r>
      <w:r w:rsidRPr="00BB1A07">
        <w:tab/>
        <w:t>que la technologie duplex sélectionnable/variable est considérée comme l'une des techniques propres à faciliter l'utilisation de plusieurs bandes de fréquences favorisant ainsi l'élaboration de solutions mondiales et convergentes. Une telle technologie permettrait de ménager une plus grande souplesse grâce à laquelle les terminaux IMT pourraient prendre en charge plusieurs dispositions de fréquences;</w:t>
      </w:r>
    </w:p>
    <w:p w:rsidR="006C61B6" w:rsidRPr="00BB1A07" w:rsidRDefault="006C61B6" w:rsidP="008A53B8">
      <w:r w:rsidRPr="00BB1A07">
        <w:rPr>
          <w:i/>
          <w:iCs/>
        </w:rPr>
        <w:t>o)</w:t>
      </w:r>
      <w:r w:rsidRPr="00BB1A07">
        <w:tab/>
        <w:t>que les Rapports UIT-R M.2030, UIT-R M.2031, UIT-R M.2045, UIT-R M.2109</w:t>
      </w:r>
      <w:r>
        <w:t>,</w:t>
      </w:r>
      <w:r w:rsidRPr="00BB1A07">
        <w:t xml:space="preserve"> UIT</w:t>
      </w:r>
      <w:r w:rsidRPr="00BB1A07">
        <w:noBreakHyphen/>
        <w:t>R</w:t>
      </w:r>
      <w:r w:rsidR="008A53B8">
        <w:t> </w:t>
      </w:r>
      <w:r w:rsidRPr="00BB1A07">
        <w:t>M.2110 et UIT-R M.2041 peuvent aider à déterminer les moyens permettant d'assurer la coexistence</w:t>
      </w:r>
      <w:r>
        <w:t xml:space="preserve"> (</w:t>
      </w:r>
      <w:r w:rsidRPr="00BB1A07">
        <w:t xml:space="preserve">par exemple, </w:t>
      </w:r>
      <w:r>
        <w:t>l</w:t>
      </w:r>
      <w:r w:rsidRPr="00BB1A07">
        <w:t>es prescriptions relatives aux bandes de garde entre les systèmes DRF et DRT</w:t>
      </w:r>
      <w:r>
        <w:t>)</w:t>
      </w:r>
      <w:r w:rsidRPr="00BB1A07">
        <w:t xml:space="preserve"> et</w:t>
      </w:r>
      <w:r>
        <w:t xml:space="preserve"> </w:t>
      </w:r>
      <w:r w:rsidRPr="00BB1A07">
        <w:t>la compatibilité entre la composante satellite et la composante de Terre des IMT,</w:t>
      </w:r>
    </w:p>
    <w:p w:rsidR="006C61B6" w:rsidRPr="00BB1A07" w:rsidRDefault="006C61B6" w:rsidP="006C61B6">
      <w:pPr>
        <w:pStyle w:val="Call"/>
      </w:pPr>
      <w:r w:rsidRPr="00BB1A07">
        <w:t>notant</w:t>
      </w:r>
    </w:p>
    <w:p w:rsidR="006C61B6" w:rsidRPr="00BB1A07" w:rsidRDefault="006C61B6" w:rsidP="006C61B6">
      <w:r w:rsidRPr="00BB1A07">
        <w:t>que les Pièces jointes 1 à 3 donnent des informations sur le vocabulaire et la terminologie spécifiques utilisés dans la présente Recommandation ainsi qu'une liste de Recommandations et de Rapports connexes,</w:t>
      </w:r>
    </w:p>
    <w:p w:rsidR="006C61B6" w:rsidRPr="00BB1A07" w:rsidRDefault="006C61B6" w:rsidP="006C61B6">
      <w:pPr>
        <w:pStyle w:val="Call"/>
      </w:pPr>
      <w:r w:rsidRPr="00BB1A07">
        <w:lastRenderedPageBreak/>
        <w:t>reconnaissant</w:t>
      </w:r>
    </w:p>
    <w:p w:rsidR="006C61B6" w:rsidRPr="00BB1A07" w:rsidRDefault="006C61B6" w:rsidP="006C61B6">
      <w:r w:rsidRPr="00BB1A07">
        <w:rPr>
          <w:i/>
          <w:iCs/>
        </w:rPr>
        <w:t>a)</w:t>
      </w:r>
      <w:r w:rsidRPr="00BB1A07">
        <w:tab/>
        <w:t xml:space="preserve">que, aux termes de la Résolution </w:t>
      </w:r>
      <w:r w:rsidRPr="00B62231">
        <w:rPr>
          <w:b/>
          <w:bCs/>
        </w:rPr>
        <w:t>646 (Rév.CMR-12)</w:t>
      </w:r>
      <w:r w:rsidRPr="00BB1A07">
        <w:t>, les administrations sont invitées, lorsqu'elles effectuent la planification au niveau national, à examiner entre autres les bandes de fréquences suivantes identifiées pour la protection du public et les opérations de secours en cas de catastrophe:</w:t>
      </w:r>
    </w:p>
    <w:p w:rsidR="006C61B6" w:rsidRPr="00BB1A07" w:rsidRDefault="006C61B6" w:rsidP="006C61B6">
      <w:pPr>
        <w:pStyle w:val="enumlev1"/>
      </w:pPr>
      <w:r w:rsidRPr="00BB1A07">
        <w:t>–</w:t>
      </w:r>
      <w:r w:rsidRPr="00BB1A07">
        <w:tab/>
        <w:t>dans la Région 2: 746-806 MHz, 806-869 MHz;</w:t>
      </w:r>
    </w:p>
    <w:p w:rsidR="006C61B6" w:rsidRPr="00BB1A07" w:rsidRDefault="006C61B6" w:rsidP="006C61B6">
      <w:pPr>
        <w:pStyle w:val="enumlev1"/>
      </w:pPr>
      <w:r w:rsidRPr="00BB1A07">
        <w:t>–</w:t>
      </w:r>
      <w:r w:rsidRPr="00BB1A07">
        <w:tab/>
        <w:t>dans la Région 3</w:t>
      </w:r>
      <w:r w:rsidRPr="00BB1A07">
        <w:rPr>
          <w:position w:val="6"/>
          <w:sz w:val="18"/>
        </w:rPr>
        <w:footnoteReference w:id="1"/>
      </w:r>
      <w:r w:rsidRPr="00BB1A07">
        <w:t>: 806-824/851-869 MHz;</w:t>
      </w:r>
    </w:p>
    <w:p w:rsidR="006C61B6" w:rsidRPr="00BB1A07" w:rsidRDefault="006C61B6" w:rsidP="006C61B6">
      <w:r w:rsidRPr="00BB1A07">
        <w:rPr>
          <w:i/>
          <w:iCs/>
        </w:rPr>
        <w:t>b)</w:t>
      </w:r>
      <w:r w:rsidRPr="00BB1A07">
        <w:tab/>
        <w:t>que l'identification des bandes/gammes de fréquences ci-dessus pour la protection du public et les secours en cas de catastrophe n'exclut pas l'utilisation de ces bandes/fréquences par des applications dans les services auxquels elles sont attribuées, et n'exclut pas non plus l'utilisation d'autres fréquences, ni n'établit de priorité par rapport à ces fréquences, pour la protection du public et les secours en cas de catastrophe conformément au Règlement des radiocommunications;</w:t>
      </w:r>
    </w:p>
    <w:p w:rsidR="006C61B6" w:rsidRPr="00BB1A07" w:rsidRDefault="006C61B6" w:rsidP="009579E1">
      <w:r w:rsidRPr="006C61B6">
        <w:rPr>
          <w:i/>
          <w:iCs/>
        </w:rPr>
        <w:t>c)</w:t>
      </w:r>
      <w:r w:rsidRPr="00BB1A07">
        <w:tab/>
        <w:t xml:space="preserve">qu'à la CAMR-92, </w:t>
      </w:r>
      <w:r w:rsidRPr="006C61B6">
        <w:t>une portion de spectre de 230 MHz a été identifiée pour les</w:t>
      </w:r>
      <w:r w:rsidRPr="00BB1A07">
        <w:t> </w:t>
      </w:r>
      <w:r w:rsidRPr="006C61B6">
        <w:t>IMT</w:t>
      </w:r>
      <w:r w:rsidRPr="00BB1A07">
        <w:noBreakHyphen/>
      </w:r>
      <w:r w:rsidRPr="006C61B6">
        <w:t xml:space="preserve">2000 dans les bandes 1 885-2 025 MHz et 2 110-2 200 MHz, dont </w:t>
      </w:r>
      <w:r w:rsidRPr="00BB1A07">
        <w:t>les bandes 1 980-2</w:t>
      </w:r>
      <w:r>
        <w:t> </w:t>
      </w:r>
      <w:r w:rsidRPr="00BB1A07">
        <w:t>010</w:t>
      </w:r>
      <w:r>
        <w:t> </w:t>
      </w:r>
      <w:r w:rsidRPr="00BB1A07">
        <w:t>MHz et 2 </w:t>
      </w:r>
      <w:r w:rsidRPr="006C61B6">
        <w:t>170</w:t>
      </w:r>
      <w:r w:rsidR="009579E1">
        <w:noBreakHyphen/>
      </w:r>
      <w:r w:rsidRPr="006C61B6">
        <w:t>2</w:t>
      </w:r>
      <w:r w:rsidR="008A53B8">
        <w:t> </w:t>
      </w:r>
      <w:r w:rsidRPr="006C61B6">
        <w:t xml:space="preserve">200 MHz pour la composante satellite des IMT-2000, au numéro </w:t>
      </w:r>
      <w:r w:rsidRPr="009579E1">
        <w:rPr>
          <w:b/>
          <w:bCs/>
        </w:rPr>
        <w:t>5.388</w:t>
      </w:r>
      <w:r w:rsidRPr="006C61B6">
        <w:t xml:space="preserve"> et </w:t>
      </w:r>
      <w:r w:rsidRPr="00BB1A07">
        <w:t xml:space="preserve">conformément </w:t>
      </w:r>
      <w:r w:rsidRPr="006C61B6">
        <w:t xml:space="preserve">aux dispositions de la Résolution </w:t>
      </w:r>
      <w:r w:rsidRPr="009579E1">
        <w:rPr>
          <w:b/>
          <w:bCs/>
        </w:rPr>
        <w:t>212 (Rév.CMR-07)</w:t>
      </w:r>
      <w:r w:rsidRPr="006C61B6">
        <w:t>;</w:t>
      </w:r>
    </w:p>
    <w:p w:rsidR="006C61B6" w:rsidRPr="00BB1A07" w:rsidRDefault="006C61B6" w:rsidP="006C61B6">
      <w:r w:rsidRPr="006C61B6">
        <w:rPr>
          <w:i/>
          <w:iCs/>
        </w:rPr>
        <w:t>d)</w:t>
      </w:r>
      <w:r w:rsidRPr="00BB1A07">
        <w:tab/>
        <w:t xml:space="preserve">que, dans la Résolution </w:t>
      </w:r>
      <w:r w:rsidRPr="009579E1">
        <w:rPr>
          <w:b/>
          <w:bCs/>
        </w:rPr>
        <w:t>212 (Rév.CMR-07)</w:t>
      </w:r>
      <w:r w:rsidRPr="00BB1A07">
        <w:t xml:space="preserve">, il est noté que la disponibilité simultanée de la composante satellite des IMT dans les bandes 1 980-2 010 MHz et 2 170-2 200 MHz et de la composante de Terre des IMT dans les bandes indiquées dans le numéro </w:t>
      </w:r>
      <w:r w:rsidRPr="009579E1">
        <w:rPr>
          <w:b/>
          <w:bCs/>
        </w:rPr>
        <w:t>5.388</w:t>
      </w:r>
      <w:r w:rsidRPr="00BB1A07">
        <w:t xml:space="preserve"> faciliterait la mise en œuvre générale et augmenterait l'attrait des IMT,</w:t>
      </w:r>
    </w:p>
    <w:p w:rsidR="006C61B6" w:rsidRPr="00BB1A07" w:rsidRDefault="006C61B6" w:rsidP="006C61B6">
      <w:pPr>
        <w:pStyle w:val="Call"/>
      </w:pPr>
      <w:r w:rsidRPr="00BB1A07">
        <w:t>recommande</w:t>
      </w:r>
    </w:p>
    <w:p w:rsidR="006C61B6" w:rsidRPr="00BB1A07" w:rsidRDefault="006C61B6" w:rsidP="006C61B6">
      <w:r w:rsidRPr="007D1269">
        <w:rPr>
          <w:b/>
          <w:bCs/>
        </w:rPr>
        <w:t>1</w:t>
      </w:r>
      <w:r w:rsidRPr="00BB1A07">
        <w:tab/>
        <w:t>d'utiliser les dispositions de fréquences indiquées dans les § 1 à 6 pour mettre en œuvre les IMT dans les bandes identifiées pour les IMT dans le Règlement des radiocommunications (RR); et</w:t>
      </w:r>
    </w:p>
    <w:p w:rsidR="006C61B6" w:rsidRPr="00BB1A07" w:rsidRDefault="006C61B6" w:rsidP="006C61B6">
      <w:r w:rsidRPr="007D1269">
        <w:rPr>
          <w:b/>
          <w:bCs/>
        </w:rPr>
        <w:t>2</w:t>
      </w:r>
      <w:r w:rsidRPr="00BB1A07">
        <w:tab/>
        <w:t>de tenir compte des aspects liés à la mise en œuvre exposés en détail dans l'Annexe 1 pour mettre en œuvre les dispositions de fréquences indiquées dans les § 1 à 6.</w:t>
      </w:r>
    </w:p>
    <w:p w:rsidR="00D52C97" w:rsidRDefault="00D52C97" w:rsidP="006C61B6"/>
    <w:p w:rsidR="00D52C97" w:rsidRPr="00BB1A07" w:rsidRDefault="00D52C97" w:rsidP="006C61B6"/>
    <w:p w:rsidR="006C61B6" w:rsidRPr="007D1269" w:rsidRDefault="006C61B6" w:rsidP="007D1269">
      <w:pPr>
        <w:pStyle w:val="AnnexNoTitle"/>
        <w:rPr>
          <w:rFonts w:eastAsia="Batang"/>
        </w:rPr>
      </w:pPr>
      <w:r w:rsidRPr="00D53131">
        <w:rPr>
          <w:rFonts w:eastAsia="Batang"/>
          <w:caps/>
          <w:lang w:val="fr-CH"/>
        </w:rPr>
        <w:t>A</w:t>
      </w:r>
      <w:r w:rsidR="007D1269" w:rsidRPr="00D53131">
        <w:rPr>
          <w:rFonts w:eastAsia="Batang"/>
          <w:lang w:val="fr-CH"/>
        </w:rPr>
        <w:t>nnexe</w:t>
      </w:r>
      <w:r w:rsidRPr="00D53131">
        <w:rPr>
          <w:rFonts w:eastAsia="Batang"/>
          <w:caps/>
          <w:lang w:val="fr-CH"/>
        </w:rPr>
        <w:t xml:space="preserve"> 1</w:t>
      </w:r>
    </w:p>
    <w:p w:rsidR="006C61B6" w:rsidRPr="00A2163C" w:rsidRDefault="006C61B6" w:rsidP="006C61B6">
      <w:pPr>
        <w:pStyle w:val="Annextitle"/>
        <w:rPr>
          <w:rFonts w:eastAsia="Batang"/>
          <w:lang w:val="fr-CH"/>
        </w:rPr>
      </w:pPr>
      <w:r w:rsidRPr="00A2163C">
        <w:rPr>
          <w:rFonts w:eastAsia="Batang"/>
          <w:lang w:val="fr-CH"/>
        </w:rPr>
        <w:t xml:space="preserve">Aspects liés à la mise en œuvre applicables aux dispositions </w:t>
      </w:r>
      <w:r w:rsidRPr="00A2163C">
        <w:rPr>
          <w:rFonts w:eastAsia="Batang"/>
          <w:lang w:val="fr-CH"/>
        </w:rPr>
        <w:br/>
        <w:t>de fréquences indiquées dans les § 1 à 6</w:t>
      </w:r>
    </w:p>
    <w:p w:rsidR="006C61B6" w:rsidRPr="00BB1A07" w:rsidRDefault="006C61B6" w:rsidP="006C61B6">
      <w:r w:rsidRPr="00BB1A07">
        <w:t>L'ordre des dispositions de fréquences dans chaque paragraphe n'établit aucune priorité. Les administrations peuvent mettre en œuvre n'importe laquelle des dispositions de fréquences recommandées en fonction des conditions propres à leur pays. Les administrations peuvent mettre en œuvre tout ou partie de chaque disposition de fréquences.</w:t>
      </w:r>
    </w:p>
    <w:p w:rsidR="006C61B6" w:rsidRPr="00BB1A07" w:rsidRDefault="006C61B6" w:rsidP="006C61B6">
      <w:r w:rsidRPr="00BB1A07">
        <w:t xml:space="preserve">Il est à noter que les administrations peuvent mettre en œuvre d'autres dispositions de fréquences (par exemple des dispositions qui prévoient différents schémas duplex, différentes limites DRF/DRT, etc.) pour satisfaire leurs besoins. Ces administrations devraient prendre en considération les déploiements </w:t>
      </w:r>
      <w:r w:rsidRPr="00BB1A07">
        <w:lastRenderedPageBreak/>
        <w:t>géographiques voisins ainsi que les questions liées à la réalisation d'économies d'échelle, à l'itinérance et les mesures pour réduire au minimum les brouillages.</w:t>
      </w:r>
    </w:p>
    <w:p w:rsidR="006C61B6" w:rsidRPr="00BB1A07" w:rsidRDefault="006C61B6" w:rsidP="006C61B6">
      <w:r w:rsidRPr="00BB1A07">
        <w:t xml:space="preserve">Les administrations devraient tenir compte du fait que, pour certaines des différentes dispositions de fréquences dans la même bande, il y a chevauchement entre les bandes de l'émetteur de la station de base et les bandes de l'émetteur de la station mobile. Il peut en résulter des problèmes de brouillage si des administrations voisines mettent en œuvre différentes dispositions de fréquences où il existe de tels chevauchements. </w:t>
      </w:r>
    </w:p>
    <w:p w:rsidR="006C61B6" w:rsidRPr="00BB1A07" w:rsidRDefault="006C61B6" w:rsidP="006C61B6">
      <w:r w:rsidRPr="00BB1A07">
        <w:t>Les § 1 à 6 font partie intégrante de la présente Recommandation et devraient être pris en compte dans leur intégralité lors de la mise en œuvre des dispositions de fréquences.</w:t>
      </w:r>
    </w:p>
    <w:p w:rsidR="006C61B6" w:rsidRPr="00BB1A07" w:rsidRDefault="006C61B6" w:rsidP="006C61B6">
      <w:pPr>
        <w:pStyle w:val="Headingb"/>
      </w:pPr>
      <w:r w:rsidRPr="00BB1A07">
        <w:t>Incidences de l'asymétrie du trafic</w:t>
      </w:r>
    </w:p>
    <w:p w:rsidR="006C61B6" w:rsidRPr="00BB1A07" w:rsidRDefault="006C61B6" w:rsidP="006C61B6">
      <w:r w:rsidRPr="00BB1A07">
        <w:t xml:space="preserve">Il est recommandé aux administrations et aux opérateurs de tenir compte de l'asymétrie du trafic lorsqu'ils assignent des fréquences ou mettent en œuvre des systèmes. Les applications prises en charge par les IMT peuvent présenter divers degrés d'asymétrie. Le Rapport UIT-R M.2072 décrit non seulement les principales applications de téléchargement telles que les journaux électroniques, mais aussi les principales applications de téléchargement en amont, telles que l'observation (caméra-réseau) et le transfert de fichiers en amont. Par ailleurs, le degré d'asymétrie d'autres applications, téléphonie vidéo haute qualité, radiodiffusion mobile et visioconférence, par exemple, dépend des exigences propres à ces applications. </w:t>
      </w:r>
    </w:p>
    <w:p w:rsidR="006C61B6" w:rsidRPr="00BB1A07" w:rsidRDefault="006C61B6" w:rsidP="006C61B6">
      <w:r w:rsidRPr="00BB1A07">
        <w:t>Dans ce contexte, on entend par asymétrie la différence qu'il peut y avoir entre la liaison montante et la liaison descendante pour ce qui est du volume de trafic de base. Une conséquence possible est que la quantité de ressources nécessaire pour la liaison descendante peut différer de celle pour la liaison montante. Des évaluations pour un trafic mixte sont décrites dans le Rapport UIT-R M.2023, le Rapport UIT-R M.2078 et la Recommandation UIT-R M.1822. Des techniques appropriées permettant de prendre en charge un trafic asymétrique sont décrites dans le Rapport UIT-R M.2038.</w:t>
      </w:r>
    </w:p>
    <w:p w:rsidR="006C61B6" w:rsidRPr="00BB1A07" w:rsidRDefault="006C61B6" w:rsidP="006C61B6">
      <w:r w:rsidRPr="00BB1A07">
        <w:t>Il convient de noter que l'asymétrie du trafic peut être prise en compte au moyen de diverses techniques, y compris l'affectation d'intervalles de temps souples, les formats différents de modulation et les codages différents pour les liaisons montantes et les liaisons descendantes. Avec un appariement égal du mode DRF pour les liaisons montantes et descendantes, ou du mode DRT, il est possible de prendre en charge différents degrés d'asymétrie de trafic.</w:t>
      </w:r>
    </w:p>
    <w:p w:rsidR="006C61B6" w:rsidRPr="00BB1A07" w:rsidRDefault="006C61B6" w:rsidP="006C61B6">
      <w:pPr>
        <w:pStyle w:val="Headingb"/>
      </w:pPr>
      <w:r w:rsidRPr="00BB1A07">
        <w:t>Segmentation du spectre</w:t>
      </w:r>
    </w:p>
    <w:p w:rsidR="006C61B6" w:rsidRPr="00BB1A07" w:rsidRDefault="006C61B6" w:rsidP="006C61B6">
      <w:r w:rsidRPr="00BB1A07">
        <w:t>Il est recommandé de ne pas segmenter les dispositions de fréquences pour différentes interfaces radioélectriques ou services IMT sauf lorsque cela est nécessaire pour des raisons techniques ou réglementaires.</w:t>
      </w:r>
    </w:p>
    <w:p w:rsidR="006C61B6" w:rsidRPr="00BB1A07" w:rsidRDefault="006C61B6" w:rsidP="006C61B6">
      <w:r w:rsidRPr="00BB1A07">
        <w:t>Pour conserver une certaine souplesse de mise en œuvre, il est recommandé de choisir des dispositions de fréquences pouvant être utilisées dans le mode DRF, dans le mode DRT ou dans les deux modes et de ne pas, en principe, procéder à une segmentation entre les modes DRF et DRT en cas de fréquences appariées, sauf lorsque cela est nécessaire pour des raisons techniques ou réglementaires.</w:t>
      </w:r>
    </w:p>
    <w:p w:rsidR="006C61B6" w:rsidRPr="00BB1A07" w:rsidRDefault="006C61B6" w:rsidP="006C61B6">
      <w:pPr>
        <w:pStyle w:val="Headingb"/>
      </w:pPr>
      <w:r w:rsidRPr="00BB1A07">
        <w:t>Arrangement et espacement dans le mode duplex</w:t>
      </w:r>
    </w:p>
    <w:p w:rsidR="006C61B6" w:rsidRPr="00BB1A07" w:rsidRDefault="006C61B6" w:rsidP="006C61B6">
      <w:r w:rsidRPr="00BB1A07">
        <w:t>Il est recommandé, pour les bandes identifiées pour les systèmes IMT fonctionnant en mode DRF de conserver le sens duplex classique, le terminal mobile émettant dans la bande inférieure et la station de base dans la bande supérieure.</w:t>
      </w:r>
    </w:p>
    <w:p w:rsidR="006C61B6" w:rsidRPr="00BB1A07" w:rsidRDefault="006C61B6" w:rsidP="006C61B6">
      <w:r w:rsidRPr="00BB1A07">
        <w:t>Dans le sens duplex classique, pour les systèmes mobiles de Terre DRF, le terminal mobile émet dans les bandes de fréquences inférieures et la station de base dans les bandes de fréquences supérieures car la qualité de fonctionnement du système est généralement limitée par le bilan de la liaison montante, la puissance de transmission des terminaux étant restreinte.</w:t>
      </w:r>
    </w:p>
    <w:p w:rsidR="006C61B6" w:rsidRPr="00BB1A07" w:rsidRDefault="006C61B6" w:rsidP="006C61B6">
      <w:r w:rsidRPr="00BB1A07">
        <w:lastRenderedPageBreak/>
        <w:t>Pour faciliter la coexistence avec les services adjacents, il peut être souhaitable dans certains cas d'inverser le sens duplex, le terminal mobile émettant dans la bande de fréquences supérieures et la station de base dans la bande de fréquences inférieures. Ces cas sont précisés dans les paragraphes correspondants.</w:t>
      </w:r>
    </w:p>
    <w:p w:rsidR="006C61B6" w:rsidRPr="00BB1A07" w:rsidRDefault="006C61B6" w:rsidP="006C61B6">
      <w:r w:rsidRPr="00BB1A07">
        <w:t>Il est recommandé aux administrations qui souhaitent mettre en œuvre partiellement une disposition de fréquences IMT de choisir un appariement des canaux homogène avec les espacements de fréquences duplex de l'arrangement complet de fréquences.</w:t>
      </w:r>
    </w:p>
    <w:p w:rsidR="006C61B6" w:rsidRPr="00BB1A07" w:rsidRDefault="006C61B6" w:rsidP="006C61B6">
      <w:pPr>
        <w:pStyle w:val="Headingb"/>
      </w:pPr>
      <w:r w:rsidRPr="00BB1A07">
        <w:t>Duplexeur double</w:t>
      </w:r>
    </w:p>
    <w:p w:rsidR="006C61B6" w:rsidRPr="00BB1A07" w:rsidRDefault="006C61B6" w:rsidP="006C61B6">
      <w:r w:rsidRPr="00BB1A07">
        <w:t>L'espacement duplex, la largeur de bande du duplexeur et l'intervalle central dans une disposition de fréquences DRF influent sur la qualité de fonctionnement du duplexeur.</w:t>
      </w:r>
    </w:p>
    <w:p w:rsidR="006C61B6" w:rsidRPr="00BB1A07" w:rsidRDefault="006C61B6" w:rsidP="006C61B6">
      <w:pPr>
        <w:pStyle w:val="enumlev1"/>
      </w:pPr>
      <w:r w:rsidRPr="00BB1A07">
        <w:t>–</w:t>
      </w:r>
      <w:r w:rsidRPr="00BB1A07">
        <w:tab/>
        <w:t>un espacement important permet d'avoir une meilleure isolation entre la liaison descendante et la liaison montante (moins d'autodésensibilisation);</w:t>
      </w:r>
    </w:p>
    <w:p w:rsidR="006C61B6" w:rsidRPr="00BB1A07" w:rsidRDefault="006C61B6" w:rsidP="006C61B6">
      <w:pPr>
        <w:pStyle w:val="enumlev1"/>
      </w:pPr>
      <w:r w:rsidRPr="00BB1A07">
        <w:t>–</w:t>
      </w:r>
      <w:r w:rsidRPr="00BB1A07">
        <w:tab/>
        <w:t>une largeur de bande plus importante du duplexeur réduit la qualité de fonctionnement globale du duplexeur, ce qui se traduit par une autodésensibilisation plus grande et des brouillages plus importants entre stations mobiles ou entre stations de base;</w:t>
      </w:r>
    </w:p>
    <w:p w:rsidR="006C61B6" w:rsidRPr="00BB1A07" w:rsidRDefault="006C61B6" w:rsidP="006C61B6">
      <w:pPr>
        <w:pStyle w:val="enumlev1"/>
      </w:pPr>
      <w:r w:rsidRPr="00BB1A07">
        <w:t>–</w:t>
      </w:r>
      <w:r w:rsidRPr="00BB1A07">
        <w:tab/>
        <w:t>un intervalle central plus petit peut se traduire par des brouillages plus importants entre stations mobiles ou entre stations de base.</w:t>
      </w:r>
    </w:p>
    <w:p w:rsidR="006C61B6" w:rsidRPr="00BB1A07" w:rsidRDefault="006C61B6" w:rsidP="006C61B6">
      <w:r w:rsidRPr="00BB1A07">
        <w:t>Dans un système DRF, une façon de réduire la largeur de bande du duplexeur tout en conservant un espacement duplex important et une largeur de bande totale consiste à utiliser un duplexeur double. Un duplexeur double peut être mis en œuvre conformément à la Fig. 1 ci-après.</w:t>
      </w:r>
    </w:p>
    <w:p w:rsidR="006C61B6" w:rsidRPr="00BB1A07" w:rsidRDefault="006C61B6" w:rsidP="006C61B6">
      <w:pPr>
        <w:pStyle w:val="FigureNo"/>
      </w:pPr>
      <w:r w:rsidRPr="00BB1A07">
        <w:rPr>
          <w:lang w:eastAsia="zh-CN"/>
        </w:rPr>
        <w:t>Figure</w:t>
      </w:r>
      <w:r w:rsidRPr="00BB1A07">
        <w:t xml:space="preserve"> 1 </w:t>
      </w:r>
    </w:p>
    <w:p w:rsidR="006C61B6" w:rsidRPr="00BB1A07" w:rsidRDefault="006C61B6" w:rsidP="006C61B6">
      <w:pPr>
        <w:pStyle w:val="Figuretitle"/>
      </w:pPr>
      <w:r w:rsidRPr="00BB1A07">
        <w:t xml:space="preserve">Configurations du </w:t>
      </w:r>
      <w:r w:rsidRPr="00BB1A07">
        <w:rPr>
          <w:lang w:eastAsia="zh-CN"/>
        </w:rPr>
        <w:t>duplexeur</w:t>
      </w:r>
      <w:r w:rsidRPr="00BB1A07">
        <w:t xml:space="preserve"> dans une disposition de fréquences DRF</w:t>
      </w:r>
    </w:p>
    <w:p w:rsidR="006C61B6" w:rsidRPr="00BB1A07" w:rsidRDefault="006C61B6" w:rsidP="006C61B6">
      <w:pPr>
        <w:pStyle w:val="Figure"/>
      </w:pPr>
      <w:r w:rsidRPr="00BB1A07">
        <w:rPr>
          <w:noProof/>
          <w:lang w:eastAsia="zh-CN"/>
        </w:rPr>
        <w:object w:dxaOrig="6206" w:dyaOrig="2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35pt;height:173.15pt" o:ole="">
            <v:imagedata r:id="rId13" o:title=""/>
          </v:shape>
          <o:OLEObject Type="Embed" ProgID="CorelDRAW.Graphic.14" ShapeID="_x0000_i1025" DrawAspect="Content" ObjectID="_1508231738" r:id="rId14"/>
        </w:object>
      </w:r>
    </w:p>
    <w:p w:rsidR="006C61B6" w:rsidRPr="00BB1A07" w:rsidRDefault="006C61B6" w:rsidP="006C61B6">
      <w:r w:rsidRPr="00BB1A07">
        <w:t>Un chevauchement fixe entre les configurations duplex 1 et 2 permet d'utiliser le même équipement pour respecter les exigences opérationnelles des déploiements. L'ampleur du chevauchement devrait vraisemblablement être la même pour toutes les mises en œuvre et elle serait fixée en fonction de la conception du filtre lors de l'établissement du plan de fréquences.</w:t>
      </w:r>
    </w:p>
    <w:p w:rsidR="006C61B6" w:rsidRPr="00BB1A07" w:rsidRDefault="006C61B6" w:rsidP="006C61B6">
      <w:r w:rsidRPr="00BB1A07">
        <w:t>En raison des deux configurations duplex adjacentes, l'intervalle entre le bloc liaison descendante et le bloc liaison montante peut être plus petit que l'intervalle duplex dans une configuration où il n'y a qu'un seul duplexeur DRF. Un filtre classique permet de mettre en œuvre une configuration où il y a deux duplexeurs. Ainsi, on réduirait le coût et la complexité de l'équipement.</w:t>
      </w:r>
    </w:p>
    <w:p w:rsidR="006C61B6" w:rsidRPr="00BB1A07" w:rsidRDefault="006C61B6" w:rsidP="006C61B6">
      <w:r w:rsidRPr="00BB1A07">
        <w:t xml:space="preserve">Toutefois, un petit intervalle entre le bloc liaison descendante et le bloc liaison montante imposera d'autres contraintes aux terminaux pour ce qui est du filtrage afin d'éviter les brouillages entre stations </w:t>
      </w:r>
      <w:r w:rsidRPr="00BB1A07">
        <w:lastRenderedPageBreak/>
        <w:t>mobiles. Pour les brouillages entre stations de base, on peut utiliser les techniques classiques et prévoir un filtrage supplémentaire.</w:t>
      </w:r>
    </w:p>
    <w:p w:rsidR="006C61B6" w:rsidRPr="00BB1A07" w:rsidRDefault="006C61B6" w:rsidP="006C61B6">
      <w:pPr>
        <w:pStyle w:val="Headingb"/>
      </w:pPr>
      <w:r w:rsidRPr="00BB1A07">
        <w:t>Disponibilité des fréquences</w:t>
      </w:r>
    </w:p>
    <w:p w:rsidR="006C61B6" w:rsidRPr="00BB1A07" w:rsidRDefault="006C61B6" w:rsidP="006C61B6">
      <w:r w:rsidRPr="00BB1A07">
        <w:t>Il est recommandé aux administrations de dégager les fréquences nécessaires pour le développement des systèmes IMT et ceci de façon coordonnée dans le temps.</w:t>
      </w:r>
    </w:p>
    <w:p w:rsidR="006C61B6" w:rsidRPr="00BB1A07" w:rsidRDefault="006C61B6" w:rsidP="006C61B6"/>
    <w:p w:rsidR="006C61B6" w:rsidRPr="00BB1A07" w:rsidRDefault="006C61B6" w:rsidP="006C61B6">
      <w:pPr>
        <w:overflowPunct/>
        <w:autoSpaceDE/>
        <w:autoSpaceDN/>
        <w:adjustRightInd/>
        <w:spacing w:before="0"/>
        <w:textAlignment w:val="auto"/>
      </w:pPr>
      <w:r w:rsidRPr="00BB1A07">
        <w:br w:type="page"/>
      </w:r>
    </w:p>
    <w:p w:rsidR="006C61B6" w:rsidRPr="009579E1" w:rsidRDefault="006C61B6" w:rsidP="008A53B8">
      <w:pPr>
        <w:pStyle w:val="SectionNo"/>
        <w:jc w:val="center"/>
        <w:rPr>
          <w:rFonts w:eastAsia="MS Mincho"/>
          <w:sz w:val="28"/>
          <w:szCs w:val="28"/>
          <w:lang w:val="fr-CH"/>
        </w:rPr>
      </w:pPr>
      <w:r w:rsidRPr="009579E1">
        <w:rPr>
          <w:rFonts w:eastAsia="MS Mincho"/>
          <w:sz w:val="28"/>
          <w:szCs w:val="28"/>
          <w:lang w:val="fr-CH"/>
        </w:rPr>
        <w:lastRenderedPageBreak/>
        <w:t>S</w:t>
      </w:r>
      <w:r w:rsidR="008A53B8" w:rsidRPr="009579E1">
        <w:rPr>
          <w:rFonts w:eastAsia="MS Mincho"/>
          <w:sz w:val="28"/>
          <w:szCs w:val="28"/>
          <w:lang w:val="fr-CH"/>
        </w:rPr>
        <w:t>ECTION</w:t>
      </w:r>
      <w:r w:rsidRPr="009579E1">
        <w:rPr>
          <w:rFonts w:eastAsia="MS Mincho"/>
          <w:sz w:val="28"/>
          <w:szCs w:val="28"/>
          <w:lang w:val="fr-CH"/>
        </w:rPr>
        <w:t xml:space="preserve"> 1</w:t>
      </w:r>
    </w:p>
    <w:p w:rsidR="006C61B6" w:rsidRPr="006C61B6" w:rsidRDefault="006C61B6" w:rsidP="006C61B6">
      <w:pPr>
        <w:pStyle w:val="Sectiontitle"/>
        <w:rPr>
          <w:rFonts w:eastAsia="MS Mincho"/>
          <w:lang w:val="fr-CH"/>
        </w:rPr>
      </w:pPr>
      <w:r w:rsidRPr="006C61B6">
        <w:rPr>
          <w:rFonts w:eastAsia="MS Mincho"/>
          <w:lang w:val="fr-CH"/>
        </w:rPr>
        <w:t>Dispositions de fréquences dans la bande 450</w:t>
      </w:r>
      <w:r w:rsidRPr="006C61B6">
        <w:rPr>
          <w:rFonts w:eastAsia="MS Mincho"/>
          <w:lang w:val="fr-CH"/>
        </w:rPr>
        <w:noBreakHyphen/>
        <w:t>470 MHz</w:t>
      </w:r>
    </w:p>
    <w:p w:rsidR="006C61B6" w:rsidRPr="00BB1A07" w:rsidRDefault="006C61B6" w:rsidP="00F65C26">
      <w:pPr>
        <w:pStyle w:val="Normalaftertitle"/>
      </w:pPr>
      <w:r w:rsidRPr="00BB1A07">
        <w:t>Les dispositions de fréquences recommandées pour la mise en oeuvre des IMT dans la bande 450</w:t>
      </w:r>
      <w:r w:rsidRPr="00BB1A07">
        <w:noBreakHyphen/>
        <w:t>470</w:t>
      </w:r>
      <w:r w:rsidR="00F65C26">
        <w:t> </w:t>
      </w:r>
      <w:r w:rsidRPr="00BB1A07">
        <w:t xml:space="preserve">MHz sont récapitulées au Tableau 2 et à la Fig. 2, en tenant compte des lignes directrices figurant à l'Annexe 1 ci-dessus. </w:t>
      </w:r>
    </w:p>
    <w:p w:rsidR="006C61B6" w:rsidRPr="00BB1A07" w:rsidRDefault="006C61B6" w:rsidP="006C61B6">
      <w:pPr>
        <w:pStyle w:val="TableNo"/>
      </w:pPr>
      <w:r w:rsidRPr="00BB1A07">
        <w:t>TABLEAU 2</w:t>
      </w:r>
    </w:p>
    <w:p w:rsidR="006C61B6" w:rsidRPr="00BB1A07" w:rsidRDefault="006C61B6" w:rsidP="006C61B6">
      <w:pPr>
        <w:pStyle w:val="Tabletitle"/>
      </w:pPr>
      <w:r w:rsidRPr="00BB1A07">
        <w:t>Dispositions de fréquences dans la bande 450-470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4"/>
        <w:gridCol w:w="1785"/>
        <w:gridCol w:w="1250"/>
        <w:gridCol w:w="1863"/>
        <w:gridCol w:w="1372"/>
        <w:gridCol w:w="1615"/>
      </w:tblGrid>
      <w:tr w:rsidR="006C61B6" w:rsidRPr="00BB1A07" w:rsidTr="00D16BCE">
        <w:trPr>
          <w:jc w:val="center"/>
        </w:trPr>
        <w:tc>
          <w:tcPr>
            <w:tcW w:w="1754" w:type="dxa"/>
            <w:vMerge w:val="restart"/>
            <w:shd w:val="clear" w:color="auto" w:fill="auto"/>
            <w:vAlign w:val="center"/>
          </w:tcPr>
          <w:p w:rsidR="006C61B6" w:rsidRPr="00BB1A07" w:rsidRDefault="006C61B6" w:rsidP="00D16BCE">
            <w:pPr>
              <w:pStyle w:val="Tablehead"/>
            </w:pPr>
            <w:r w:rsidRPr="00BB1A07">
              <w:t>Dispositions de fréquences</w:t>
            </w:r>
          </w:p>
        </w:tc>
        <w:tc>
          <w:tcPr>
            <w:tcW w:w="6270" w:type="dxa"/>
            <w:gridSpan w:val="4"/>
            <w:shd w:val="clear" w:color="auto" w:fill="auto"/>
            <w:vAlign w:val="center"/>
          </w:tcPr>
          <w:p w:rsidR="006C61B6" w:rsidRPr="00BB1A07" w:rsidRDefault="006C61B6" w:rsidP="00D16BCE">
            <w:pPr>
              <w:pStyle w:val="Tablehead"/>
              <w:rPr>
                <w:bCs/>
              </w:rPr>
            </w:pPr>
            <w:r w:rsidRPr="00BB1A07">
              <w:t>Dispositions appariées</w:t>
            </w:r>
          </w:p>
        </w:tc>
        <w:tc>
          <w:tcPr>
            <w:tcW w:w="1615" w:type="dxa"/>
            <w:vMerge w:val="restart"/>
            <w:shd w:val="clear" w:color="auto" w:fill="auto"/>
            <w:vAlign w:val="center"/>
          </w:tcPr>
          <w:p w:rsidR="006C61B6" w:rsidRPr="00BB1A07" w:rsidRDefault="006C61B6" w:rsidP="00D16BCE">
            <w:pPr>
              <w:pStyle w:val="Tablehead"/>
            </w:pPr>
            <w:r w:rsidRPr="00BB1A07">
              <w:t xml:space="preserve">Dispositions non appariées </w:t>
            </w:r>
            <w:r w:rsidRPr="00BB1A07">
              <w:br/>
              <w:t>(pour le mode DRT par ex.)</w:t>
            </w:r>
            <w:r w:rsidRPr="00BB1A07">
              <w:br/>
              <w:t>(MHz)</w:t>
            </w:r>
          </w:p>
        </w:tc>
      </w:tr>
      <w:tr w:rsidR="006C61B6" w:rsidRPr="00BB1A07" w:rsidTr="00D16BCE">
        <w:trPr>
          <w:jc w:val="center"/>
        </w:trPr>
        <w:tc>
          <w:tcPr>
            <w:tcW w:w="1754" w:type="dxa"/>
            <w:vMerge/>
            <w:shd w:val="clear" w:color="auto" w:fill="auto"/>
            <w:vAlign w:val="center"/>
          </w:tcPr>
          <w:p w:rsidR="006C61B6" w:rsidRPr="00BB1A07" w:rsidRDefault="006C61B6" w:rsidP="00D16BCE">
            <w:pPr>
              <w:pStyle w:val="Tablehead"/>
              <w:rPr>
                <w:rFonts w:ascii="Times New Roman Bold" w:hAnsi="Times New Roman Bold"/>
              </w:rPr>
            </w:pPr>
          </w:p>
        </w:tc>
        <w:tc>
          <w:tcPr>
            <w:tcW w:w="1785" w:type="dxa"/>
            <w:shd w:val="clear" w:color="auto" w:fill="auto"/>
          </w:tcPr>
          <w:p w:rsidR="006C61B6" w:rsidRPr="00BB1A07" w:rsidRDefault="006C61B6" w:rsidP="00D16BCE">
            <w:pPr>
              <w:pStyle w:val="Tablehead"/>
            </w:pPr>
            <w:r w:rsidRPr="00BB1A07">
              <w:t>Emetteur de la</w:t>
            </w:r>
            <w:r w:rsidRPr="00BB1A07">
              <w:br/>
              <w:t>station mobile</w:t>
            </w:r>
            <w:r w:rsidRPr="00BB1A07">
              <w:br/>
              <w:t>(MHz)</w:t>
            </w:r>
          </w:p>
        </w:tc>
        <w:tc>
          <w:tcPr>
            <w:tcW w:w="1250" w:type="dxa"/>
            <w:shd w:val="clear" w:color="auto" w:fill="auto"/>
          </w:tcPr>
          <w:p w:rsidR="006C61B6" w:rsidRPr="00BB1A07" w:rsidRDefault="006C61B6" w:rsidP="00D16BCE">
            <w:pPr>
              <w:pStyle w:val="Tablehead"/>
            </w:pPr>
            <w:r w:rsidRPr="00BB1A07">
              <w:t>Intervalle central</w:t>
            </w:r>
            <w:r w:rsidRPr="00BB1A07">
              <w:br/>
              <w:t>(MHz)</w:t>
            </w:r>
          </w:p>
        </w:tc>
        <w:tc>
          <w:tcPr>
            <w:tcW w:w="1863" w:type="dxa"/>
            <w:shd w:val="clear" w:color="auto" w:fill="auto"/>
          </w:tcPr>
          <w:p w:rsidR="006C61B6" w:rsidRPr="00BB1A07" w:rsidRDefault="006C61B6" w:rsidP="00D16BCE">
            <w:pPr>
              <w:pStyle w:val="Tablehead"/>
            </w:pPr>
            <w:r w:rsidRPr="00BB1A07">
              <w:t>Emetteur de la station de base</w:t>
            </w:r>
            <w:r w:rsidRPr="00BB1A07">
              <w:br/>
              <w:t>(MHz)</w:t>
            </w:r>
          </w:p>
        </w:tc>
        <w:tc>
          <w:tcPr>
            <w:tcW w:w="1372" w:type="dxa"/>
            <w:shd w:val="clear" w:color="auto" w:fill="auto"/>
          </w:tcPr>
          <w:p w:rsidR="006C61B6" w:rsidRPr="00BB1A07" w:rsidRDefault="006C61B6" w:rsidP="00D16BCE">
            <w:pPr>
              <w:pStyle w:val="Tablehead"/>
            </w:pPr>
            <w:r w:rsidRPr="00BB1A07">
              <w:t>Espacement duplex</w:t>
            </w:r>
            <w:r w:rsidRPr="00BB1A07">
              <w:br/>
              <w:t>(MHz)</w:t>
            </w:r>
          </w:p>
        </w:tc>
        <w:tc>
          <w:tcPr>
            <w:tcW w:w="1615" w:type="dxa"/>
            <w:vMerge/>
            <w:shd w:val="clear" w:color="auto" w:fill="auto"/>
            <w:vAlign w:val="center"/>
          </w:tcPr>
          <w:p w:rsidR="006C61B6" w:rsidRPr="00BB1A07" w:rsidRDefault="006C61B6" w:rsidP="00D16BCE">
            <w:pPr>
              <w:pStyle w:val="Tablehead"/>
              <w:rPr>
                <w:rFonts w:ascii="Times New Roman Bold" w:hAnsi="Times New Roman Bold"/>
                <w:highlight w:val="yellow"/>
              </w:rPr>
            </w:pPr>
          </w:p>
        </w:tc>
      </w:tr>
      <w:tr w:rsidR="006C61B6" w:rsidRPr="00BB1A07" w:rsidTr="00D16BCE">
        <w:trPr>
          <w:jc w:val="center"/>
        </w:trPr>
        <w:tc>
          <w:tcPr>
            <w:tcW w:w="1754" w:type="dxa"/>
            <w:shd w:val="clear" w:color="auto" w:fill="auto"/>
          </w:tcPr>
          <w:p w:rsidR="006C61B6" w:rsidRPr="00BB1A07" w:rsidRDefault="006C61B6" w:rsidP="00D16BCE">
            <w:pPr>
              <w:pStyle w:val="Tabletext"/>
              <w:jc w:val="center"/>
              <w:rPr>
                <w:rFonts w:eastAsia="Batang"/>
              </w:rPr>
            </w:pPr>
            <w:r w:rsidRPr="00BB1A07">
              <w:t>D1</w:t>
            </w:r>
          </w:p>
        </w:tc>
        <w:tc>
          <w:tcPr>
            <w:tcW w:w="1785" w:type="dxa"/>
            <w:shd w:val="clear" w:color="auto" w:fill="auto"/>
          </w:tcPr>
          <w:p w:rsidR="006C61B6" w:rsidRPr="00BB1A07" w:rsidRDefault="006C61B6" w:rsidP="00D16BCE">
            <w:pPr>
              <w:pStyle w:val="Tabletext"/>
              <w:jc w:val="center"/>
              <w:rPr>
                <w:rFonts w:eastAsia="Batang"/>
                <w:caps/>
              </w:rPr>
            </w:pPr>
            <w:r w:rsidRPr="00BB1A07">
              <w:t>450,000-454,800</w:t>
            </w:r>
          </w:p>
        </w:tc>
        <w:tc>
          <w:tcPr>
            <w:tcW w:w="1250" w:type="dxa"/>
            <w:shd w:val="clear" w:color="auto" w:fill="auto"/>
          </w:tcPr>
          <w:p w:rsidR="006C61B6" w:rsidRPr="00BB1A07" w:rsidRDefault="006C61B6" w:rsidP="00D16BCE">
            <w:pPr>
              <w:pStyle w:val="Tabletext"/>
              <w:jc w:val="center"/>
              <w:rPr>
                <w:rFonts w:eastAsia="Batang"/>
                <w:caps/>
              </w:rPr>
            </w:pPr>
            <w:r w:rsidRPr="00BB1A07">
              <w:t>5,2</w:t>
            </w:r>
          </w:p>
        </w:tc>
        <w:tc>
          <w:tcPr>
            <w:tcW w:w="1863" w:type="dxa"/>
            <w:shd w:val="clear" w:color="auto" w:fill="auto"/>
          </w:tcPr>
          <w:p w:rsidR="006C61B6" w:rsidRPr="00BB1A07" w:rsidRDefault="006C61B6" w:rsidP="00D16BCE">
            <w:pPr>
              <w:pStyle w:val="Tabletext"/>
              <w:jc w:val="center"/>
              <w:rPr>
                <w:rFonts w:eastAsia="Batang"/>
                <w:caps/>
              </w:rPr>
            </w:pPr>
            <w:r w:rsidRPr="00BB1A07">
              <w:t>460,000-464,800</w:t>
            </w:r>
          </w:p>
        </w:tc>
        <w:tc>
          <w:tcPr>
            <w:tcW w:w="1372" w:type="dxa"/>
            <w:shd w:val="clear" w:color="auto" w:fill="auto"/>
          </w:tcPr>
          <w:p w:rsidR="006C61B6" w:rsidRPr="00BB1A07" w:rsidRDefault="006C61B6" w:rsidP="00D16BCE">
            <w:pPr>
              <w:pStyle w:val="Tabletext"/>
              <w:jc w:val="center"/>
              <w:rPr>
                <w:rFonts w:eastAsia="Batang"/>
                <w:caps/>
              </w:rPr>
            </w:pPr>
            <w:r w:rsidRPr="00BB1A07">
              <w:t>10</w:t>
            </w:r>
          </w:p>
        </w:tc>
        <w:tc>
          <w:tcPr>
            <w:tcW w:w="1615" w:type="dxa"/>
            <w:shd w:val="clear" w:color="auto" w:fill="auto"/>
          </w:tcPr>
          <w:p w:rsidR="006C61B6" w:rsidRPr="00BB1A07" w:rsidRDefault="006C61B6" w:rsidP="00D16BCE">
            <w:pPr>
              <w:pStyle w:val="Tabletext"/>
              <w:jc w:val="center"/>
            </w:pPr>
            <w:r w:rsidRPr="00BB1A07">
              <w:t>Aucune</w:t>
            </w:r>
          </w:p>
        </w:tc>
      </w:tr>
      <w:tr w:rsidR="006C61B6" w:rsidRPr="00BB1A07" w:rsidTr="00D16BCE">
        <w:trPr>
          <w:jc w:val="center"/>
        </w:trPr>
        <w:tc>
          <w:tcPr>
            <w:tcW w:w="1754" w:type="dxa"/>
            <w:shd w:val="clear" w:color="auto" w:fill="auto"/>
          </w:tcPr>
          <w:p w:rsidR="006C61B6" w:rsidRPr="00BB1A07" w:rsidRDefault="006C61B6" w:rsidP="00D16BCE">
            <w:pPr>
              <w:pStyle w:val="Tabletext"/>
              <w:jc w:val="center"/>
              <w:rPr>
                <w:rFonts w:eastAsia="Batang"/>
                <w:caps/>
              </w:rPr>
            </w:pPr>
            <w:r w:rsidRPr="00BB1A07">
              <w:t>D2</w:t>
            </w:r>
          </w:p>
        </w:tc>
        <w:tc>
          <w:tcPr>
            <w:tcW w:w="1785" w:type="dxa"/>
            <w:shd w:val="clear" w:color="auto" w:fill="auto"/>
          </w:tcPr>
          <w:p w:rsidR="006C61B6" w:rsidRPr="00BB1A07" w:rsidRDefault="006C61B6" w:rsidP="00D16BCE">
            <w:pPr>
              <w:pStyle w:val="Tabletext"/>
              <w:jc w:val="center"/>
              <w:rPr>
                <w:rFonts w:eastAsia="Batang"/>
                <w:caps/>
              </w:rPr>
            </w:pPr>
            <w:r w:rsidRPr="00BB1A07">
              <w:t>451,325-455,725</w:t>
            </w:r>
          </w:p>
        </w:tc>
        <w:tc>
          <w:tcPr>
            <w:tcW w:w="1250" w:type="dxa"/>
            <w:shd w:val="clear" w:color="auto" w:fill="auto"/>
          </w:tcPr>
          <w:p w:rsidR="006C61B6" w:rsidRPr="00BB1A07" w:rsidRDefault="006C61B6" w:rsidP="00D16BCE">
            <w:pPr>
              <w:pStyle w:val="Tabletext"/>
              <w:jc w:val="center"/>
              <w:rPr>
                <w:rFonts w:eastAsia="Batang"/>
                <w:caps/>
              </w:rPr>
            </w:pPr>
            <w:r w:rsidRPr="00BB1A07">
              <w:t>5,6</w:t>
            </w:r>
          </w:p>
        </w:tc>
        <w:tc>
          <w:tcPr>
            <w:tcW w:w="1863" w:type="dxa"/>
            <w:shd w:val="clear" w:color="auto" w:fill="auto"/>
          </w:tcPr>
          <w:p w:rsidR="006C61B6" w:rsidRPr="00BB1A07" w:rsidRDefault="006C61B6" w:rsidP="00D16BCE">
            <w:pPr>
              <w:pStyle w:val="Tabletext"/>
              <w:jc w:val="center"/>
              <w:rPr>
                <w:rFonts w:eastAsia="Batang"/>
                <w:caps/>
              </w:rPr>
            </w:pPr>
            <w:r w:rsidRPr="00BB1A07">
              <w:t>461,325-465,725</w:t>
            </w:r>
          </w:p>
        </w:tc>
        <w:tc>
          <w:tcPr>
            <w:tcW w:w="1372" w:type="dxa"/>
            <w:shd w:val="clear" w:color="auto" w:fill="auto"/>
          </w:tcPr>
          <w:p w:rsidR="006C61B6" w:rsidRPr="00BB1A07" w:rsidRDefault="006C61B6" w:rsidP="00D16BCE">
            <w:pPr>
              <w:pStyle w:val="Tabletext"/>
              <w:jc w:val="center"/>
              <w:rPr>
                <w:rFonts w:eastAsia="Batang"/>
                <w:caps/>
              </w:rPr>
            </w:pPr>
            <w:r w:rsidRPr="00BB1A07">
              <w:t>10</w:t>
            </w:r>
          </w:p>
        </w:tc>
        <w:tc>
          <w:tcPr>
            <w:tcW w:w="1615" w:type="dxa"/>
            <w:shd w:val="clear" w:color="auto" w:fill="auto"/>
          </w:tcPr>
          <w:p w:rsidR="006C61B6" w:rsidRPr="00BB1A07" w:rsidRDefault="006C61B6" w:rsidP="00D16BCE">
            <w:pPr>
              <w:pStyle w:val="Tabletext"/>
              <w:jc w:val="center"/>
            </w:pPr>
            <w:r w:rsidRPr="00BB1A07">
              <w:t>Aucune</w:t>
            </w:r>
          </w:p>
        </w:tc>
      </w:tr>
      <w:tr w:rsidR="006C61B6" w:rsidRPr="00BB1A07" w:rsidTr="00D16BCE">
        <w:trPr>
          <w:jc w:val="center"/>
        </w:trPr>
        <w:tc>
          <w:tcPr>
            <w:tcW w:w="1754" w:type="dxa"/>
            <w:shd w:val="clear" w:color="auto" w:fill="auto"/>
          </w:tcPr>
          <w:p w:rsidR="006C61B6" w:rsidRPr="00BB1A07" w:rsidRDefault="006C61B6" w:rsidP="00D16BCE">
            <w:pPr>
              <w:pStyle w:val="Tabletext"/>
              <w:jc w:val="center"/>
              <w:rPr>
                <w:rFonts w:eastAsia="Batang"/>
                <w:caps/>
              </w:rPr>
            </w:pPr>
            <w:r w:rsidRPr="00BB1A07">
              <w:t>D3</w:t>
            </w:r>
          </w:p>
        </w:tc>
        <w:tc>
          <w:tcPr>
            <w:tcW w:w="1785" w:type="dxa"/>
            <w:shd w:val="clear" w:color="auto" w:fill="auto"/>
          </w:tcPr>
          <w:p w:rsidR="006C61B6" w:rsidRPr="00BB1A07" w:rsidRDefault="006C61B6" w:rsidP="00D16BCE">
            <w:pPr>
              <w:pStyle w:val="Tabletext"/>
              <w:jc w:val="center"/>
              <w:rPr>
                <w:rFonts w:eastAsia="Batang"/>
                <w:caps/>
              </w:rPr>
            </w:pPr>
            <w:r w:rsidRPr="00BB1A07">
              <w:t>452,000-456,475</w:t>
            </w:r>
          </w:p>
        </w:tc>
        <w:tc>
          <w:tcPr>
            <w:tcW w:w="1250" w:type="dxa"/>
            <w:shd w:val="clear" w:color="auto" w:fill="auto"/>
          </w:tcPr>
          <w:p w:rsidR="006C61B6" w:rsidRPr="00BB1A07" w:rsidRDefault="006C61B6" w:rsidP="00D16BCE">
            <w:pPr>
              <w:pStyle w:val="Tabletext"/>
              <w:jc w:val="center"/>
              <w:rPr>
                <w:rFonts w:eastAsia="Batang"/>
                <w:caps/>
              </w:rPr>
            </w:pPr>
            <w:r w:rsidRPr="00BB1A07">
              <w:t>5,525</w:t>
            </w:r>
          </w:p>
        </w:tc>
        <w:tc>
          <w:tcPr>
            <w:tcW w:w="1863" w:type="dxa"/>
            <w:shd w:val="clear" w:color="auto" w:fill="auto"/>
          </w:tcPr>
          <w:p w:rsidR="006C61B6" w:rsidRPr="00BB1A07" w:rsidRDefault="006C61B6" w:rsidP="00D16BCE">
            <w:pPr>
              <w:pStyle w:val="Tabletext"/>
              <w:jc w:val="center"/>
              <w:rPr>
                <w:rFonts w:eastAsia="Batang"/>
                <w:caps/>
              </w:rPr>
            </w:pPr>
            <w:r w:rsidRPr="00BB1A07">
              <w:t>462,000-466,475</w:t>
            </w:r>
          </w:p>
        </w:tc>
        <w:tc>
          <w:tcPr>
            <w:tcW w:w="1372" w:type="dxa"/>
            <w:shd w:val="clear" w:color="auto" w:fill="auto"/>
          </w:tcPr>
          <w:p w:rsidR="006C61B6" w:rsidRPr="00BB1A07" w:rsidRDefault="006C61B6" w:rsidP="00D16BCE">
            <w:pPr>
              <w:pStyle w:val="Tabletext"/>
              <w:jc w:val="center"/>
              <w:rPr>
                <w:rFonts w:eastAsia="Batang"/>
                <w:caps/>
              </w:rPr>
            </w:pPr>
            <w:r w:rsidRPr="00BB1A07">
              <w:t>10</w:t>
            </w:r>
          </w:p>
        </w:tc>
        <w:tc>
          <w:tcPr>
            <w:tcW w:w="1615" w:type="dxa"/>
            <w:shd w:val="clear" w:color="auto" w:fill="auto"/>
          </w:tcPr>
          <w:p w:rsidR="006C61B6" w:rsidRPr="00BB1A07" w:rsidRDefault="006C61B6" w:rsidP="00D16BCE">
            <w:pPr>
              <w:pStyle w:val="Tabletext"/>
              <w:jc w:val="center"/>
            </w:pPr>
            <w:r w:rsidRPr="00BB1A07">
              <w:t>Aucune</w:t>
            </w:r>
          </w:p>
        </w:tc>
      </w:tr>
      <w:tr w:rsidR="006C61B6" w:rsidRPr="00BB1A07" w:rsidTr="00D16BCE">
        <w:trPr>
          <w:jc w:val="center"/>
        </w:trPr>
        <w:tc>
          <w:tcPr>
            <w:tcW w:w="1754" w:type="dxa"/>
            <w:shd w:val="clear" w:color="auto" w:fill="auto"/>
          </w:tcPr>
          <w:p w:rsidR="006C61B6" w:rsidRPr="00BB1A07" w:rsidRDefault="006C61B6" w:rsidP="00D16BCE">
            <w:pPr>
              <w:pStyle w:val="Tabletext"/>
              <w:jc w:val="center"/>
              <w:rPr>
                <w:rFonts w:eastAsia="Batang"/>
                <w:caps/>
              </w:rPr>
            </w:pPr>
            <w:r w:rsidRPr="00BB1A07">
              <w:t>D4</w:t>
            </w:r>
          </w:p>
        </w:tc>
        <w:tc>
          <w:tcPr>
            <w:tcW w:w="1785" w:type="dxa"/>
            <w:shd w:val="clear" w:color="auto" w:fill="auto"/>
          </w:tcPr>
          <w:p w:rsidR="006C61B6" w:rsidRPr="00BB1A07" w:rsidRDefault="006C61B6" w:rsidP="00D16BCE">
            <w:pPr>
              <w:pStyle w:val="Tabletext"/>
              <w:jc w:val="center"/>
              <w:rPr>
                <w:rFonts w:eastAsia="Batang"/>
                <w:caps/>
              </w:rPr>
            </w:pPr>
            <w:r w:rsidRPr="00BB1A07">
              <w:t>452,500-457,475</w:t>
            </w:r>
          </w:p>
        </w:tc>
        <w:tc>
          <w:tcPr>
            <w:tcW w:w="1250" w:type="dxa"/>
            <w:shd w:val="clear" w:color="auto" w:fill="auto"/>
          </w:tcPr>
          <w:p w:rsidR="006C61B6" w:rsidRPr="00BB1A07" w:rsidRDefault="006C61B6" w:rsidP="00D16BCE">
            <w:pPr>
              <w:pStyle w:val="Tabletext"/>
              <w:jc w:val="center"/>
              <w:rPr>
                <w:rFonts w:eastAsia="Batang"/>
                <w:caps/>
              </w:rPr>
            </w:pPr>
            <w:r w:rsidRPr="00BB1A07">
              <w:t>5,025</w:t>
            </w:r>
          </w:p>
        </w:tc>
        <w:tc>
          <w:tcPr>
            <w:tcW w:w="1863" w:type="dxa"/>
            <w:shd w:val="clear" w:color="auto" w:fill="auto"/>
          </w:tcPr>
          <w:p w:rsidR="006C61B6" w:rsidRPr="00BB1A07" w:rsidRDefault="006C61B6" w:rsidP="00D16BCE">
            <w:pPr>
              <w:pStyle w:val="Tabletext"/>
              <w:jc w:val="center"/>
              <w:rPr>
                <w:rFonts w:eastAsia="Batang"/>
                <w:caps/>
              </w:rPr>
            </w:pPr>
            <w:r w:rsidRPr="00BB1A07">
              <w:t>462,500-467,475</w:t>
            </w:r>
          </w:p>
        </w:tc>
        <w:tc>
          <w:tcPr>
            <w:tcW w:w="1372" w:type="dxa"/>
            <w:shd w:val="clear" w:color="auto" w:fill="auto"/>
          </w:tcPr>
          <w:p w:rsidR="006C61B6" w:rsidRPr="00BB1A07" w:rsidRDefault="006C61B6" w:rsidP="00D16BCE">
            <w:pPr>
              <w:pStyle w:val="Tabletext"/>
              <w:jc w:val="center"/>
              <w:rPr>
                <w:rFonts w:eastAsia="Batang"/>
                <w:caps/>
              </w:rPr>
            </w:pPr>
            <w:r w:rsidRPr="00BB1A07">
              <w:t>10</w:t>
            </w:r>
          </w:p>
        </w:tc>
        <w:tc>
          <w:tcPr>
            <w:tcW w:w="1615" w:type="dxa"/>
            <w:shd w:val="clear" w:color="auto" w:fill="auto"/>
          </w:tcPr>
          <w:p w:rsidR="006C61B6" w:rsidRPr="00BB1A07" w:rsidRDefault="006C61B6" w:rsidP="00D16BCE">
            <w:pPr>
              <w:pStyle w:val="Tabletext"/>
              <w:jc w:val="center"/>
              <w:rPr>
                <w:rFonts w:eastAsia="Batang"/>
                <w:caps/>
              </w:rPr>
            </w:pPr>
            <w:r w:rsidRPr="00BB1A07">
              <w:t>Aucune</w:t>
            </w:r>
          </w:p>
        </w:tc>
      </w:tr>
      <w:tr w:rsidR="006C61B6" w:rsidRPr="00BB1A07" w:rsidTr="00D16BCE">
        <w:trPr>
          <w:jc w:val="center"/>
        </w:trPr>
        <w:tc>
          <w:tcPr>
            <w:tcW w:w="1754" w:type="dxa"/>
            <w:shd w:val="clear" w:color="auto" w:fill="auto"/>
          </w:tcPr>
          <w:p w:rsidR="006C61B6" w:rsidRPr="00BB1A07" w:rsidRDefault="006C61B6" w:rsidP="00D16BCE">
            <w:pPr>
              <w:pStyle w:val="Tabletext"/>
              <w:jc w:val="center"/>
              <w:rPr>
                <w:rFonts w:eastAsia="Batang"/>
                <w:caps/>
              </w:rPr>
            </w:pPr>
            <w:r w:rsidRPr="00BB1A07">
              <w:t>D5</w:t>
            </w:r>
          </w:p>
        </w:tc>
        <w:tc>
          <w:tcPr>
            <w:tcW w:w="1785" w:type="dxa"/>
            <w:shd w:val="clear" w:color="auto" w:fill="auto"/>
          </w:tcPr>
          <w:p w:rsidR="006C61B6" w:rsidRPr="00BB1A07" w:rsidRDefault="006C61B6" w:rsidP="00D16BCE">
            <w:pPr>
              <w:pStyle w:val="Tabletext"/>
              <w:jc w:val="center"/>
              <w:rPr>
                <w:rFonts w:eastAsia="Batang"/>
                <w:caps/>
              </w:rPr>
            </w:pPr>
            <w:r w:rsidRPr="00BB1A07">
              <w:t>453,000-457,500</w:t>
            </w:r>
          </w:p>
        </w:tc>
        <w:tc>
          <w:tcPr>
            <w:tcW w:w="1250" w:type="dxa"/>
            <w:shd w:val="clear" w:color="auto" w:fill="auto"/>
          </w:tcPr>
          <w:p w:rsidR="006C61B6" w:rsidRPr="00BB1A07" w:rsidRDefault="006C61B6" w:rsidP="00D16BCE">
            <w:pPr>
              <w:pStyle w:val="Tabletext"/>
              <w:jc w:val="center"/>
              <w:rPr>
                <w:rFonts w:eastAsia="Batang"/>
                <w:caps/>
              </w:rPr>
            </w:pPr>
            <w:r w:rsidRPr="00BB1A07">
              <w:t>5,5</w:t>
            </w:r>
          </w:p>
        </w:tc>
        <w:tc>
          <w:tcPr>
            <w:tcW w:w="1863" w:type="dxa"/>
            <w:shd w:val="clear" w:color="auto" w:fill="auto"/>
          </w:tcPr>
          <w:p w:rsidR="006C61B6" w:rsidRPr="00BB1A07" w:rsidRDefault="006C61B6" w:rsidP="00D16BCE">
            <w:pPr>
              <w:pStyle w:val="Tabletext"/>
              <w:jc w:val="center"/>
              <w:rPr>
                <w:rFonts w:eastAsia="Batang"/>
                <w:caps/>
              </w:rPr>
            </w:pPr>
            <w:r w:rsidRPr="00BB1A07">
              <w:t>463,000-467,500</w:t>
            </w:r>
          </w:p>
        </w:tc>
        <w:tc>
          <w:tcPr>
            <w:tcW w:w="1372" w:type="dxa"/>
            <w:shd w:val="clear" w:color="auto" w:fill="auto"/>
          </w:tcPr>
          <w:p w:rsidR="006C61B6" w:rsidRPr="00BB1A07" w:rsidRDefault="006C61B6" w:rsidP="00D16BCE">
            <w:pPr>
              <w:pStyle w:val="Tabletext"/>
              <w:jc w:val="center"/>
              <w:rPr>
                <w:rFonts w:eastAsia="Batang"/>
                <w:caps/>
              </w:rPr>
            </w:pPr>
            <w:r w:rsidRPr="00BB1A07">
              <w:t>10</w:t>
            </w:r>
          </w:p>
        </w:tc>
        <w:tc>
          <w:tcPr>
            <w:tcW w:w="1615" w:type="dxa"/>
            <w:shd w:val="clear" w:color="auto" w:fill="auto"/>
          </w:tcPr>
          <w:p w:rsidR="006C61B6" w:rsidRPr="00BB1A07" w:rsidRDefault="006C61B6" w:rsidP="00D16BCE">
            <w:pPr>
              <w:pStyle w:val="Tabletext"/>
              <w:jc w:val="center"/>
              <w:rPr>
                <w:rFonts w:eastAsia="Batang"/>
                <w:caps/>
              </w:rPr>
            </w:pPr>
            <w:r w:rsidRPr="00BB1A07">
              <w:t>Aucune</w:t>
            </w:r>
          </w:p>
        </w:tc>
      </w:tr>
      <w:tr w:rsidR="006C61B6" w:rsidRPr="00BB1A07" w:rsidTr="00D16BCE">
        <w:trPr>
          <w:jc w:val="center"/>
        </w:trPr>
        <w:tc>
          <w:tcPr>
            <w:tcW w:w="1754" w:type="dxa"/>
            <w:shd w:val="clear" w:color="auto" w:fill="auto"/>
          </w:tcPr>
          <w:p w:rsidR="006C61B6" w:rsidRPr="00BB1A07" w:rsidRDefault="006C61B6" w:rsidP="00D16BCE">
            <w:pPr>
              <w:pStyle w:val="Tabletext"/>
              <w:jc w:val="center"/>
              <w:rPr>
                <w:rFonts w:eastAsia="Batang"/>
                <w:caps/>
              </w:rPr>
            </w:pPr>
            <w:r w:rsidRPr="00BB1A07">
              <w:t>D6</w:t>
            </w:r>
          </w:p>
        </w:tc>
        <w:tc>
          <w:tcPr>
            <w:tcW w:w="1785" w:type="dxa"/>
            <w:shd w:val="clear" w:color="auto" w:fill="auto"/>
          </w:tcPr>
          <w:p w:rsidR="006C61B6" w:rsidRPr="00BB1A07" w:rsidRDefault="006C61B6" w:rsidP="00D16BCE">
            <w:pPr>
              <w:pStyle w:val="Tabletext"/>
              <w:jc w:val="center"/>
              <w:rPr>
                <w:rFonts w:eastAsia="Batang"/>
                <w:caps/>
              </w:rPr>
            </w:pPr>
            <w:r w:rsidRPr="00BB1A07">
              <w:t>455,250-459,975</w:t>
            </w:r>
          </w:p>
        </w:tc>
        <w:tc>
          <w:tcPr>
            <w:tcW w:w="1250" w:type="dxa"/>
            <w:shd w:val="clear" w:color="auto" w:fill="auto"/>
          </w:tcPr>
          <w:p w:rsidR="006C61B6" w:rsidRPr="00BB1A07" w:rsidRDefault="006C61B6" w:rsidP="00D16BCE">
            <w:pPr>
              <w:pStyle w:val="Tabletext"/>
              <w:jc w:val="center"/>
              <w:rPr>
                <w:rFonts w:eastAsia="Batang"/>
                <w:caps/>
              </w:rPr>
            </w:pPr>
            <w:r w:rsidRPr="00BB1A07">
              <w:t>5,275</w:t>
            </w:r>
          </w:p>
        </w:tc>
        <w:tc>
          <w:tcPr>
            <w:tcW w:w="1863" w:type="dxa"/>
            <w:shd w:val="clear" w:color="auto" w:fill="auto"/>
          </w:tcPr>
          <w:p w:rsidR="006C61B6" w:rsidRPr="00BB1A07" w:rsidRDefault="006C61B6" w:rsidP="00D16BCE">
            <w:pPr>
              <w:pStyle w:val="Tabletext"/>
              <w:jc w:val="center"/>
              <w:rPr>
                <w:rFonts w:eastAsia="Batang"/>
                <w:caps/>
              </w:rPr>
            </w:pPr>
            <w:r w:rsidRPr="00BB1A07">
              <w:t>465,250-469,975</w:t>
            </w:r>
          </w:p>
        </w:tc>
        <w:tc>
          <w:tcPr>
            <w:tcW w:w="1372" w:type="dxa"/>
            <w:shd w:val="clear" w:color="auto" w:fill="auto"/>
          </w:tcPr>
          <w:p w:rsidR="006C61B6" w:rsidRPr="00BB1A07" w:rsidRDefault="006C61B6" w:rsidP="00D16BCE">
            <w:pPr>
              <w:pStyle w:val="Tabletext"/>
              <w:jc w:val="center"/>
              <w:rPr>
                <w:rFonts w:eastAsia="Batang"/>
                <w:caps/>
              </w:rPr>
            </w:pPr>
            <w:r w:rsidRPr="00BB1A07">
              <w:t>10</w:t>
            </w:r>
          </w:p>
        </w:tc>
        <w:tc>
          <w:tcPr>
            <w:tcW w:w="1615" w:type="dxa"/>
            <w:shd w:val="clear" w:color="auto" w:fill="auto"/>
          </w:tcPr>
          <w:p w:rsidR="006C61B6" w:rsidRPr="00BB1A07" w:rsidRDefault="006C61B6" w:rsidP="00D16BCE">
            <w:pPr>
              <w:pStyle w:val="Tabletext"/>
              <w:jc w:val="center"/>
              <w:rPr>
                <w:rFonts w:eastAsia="Batang"/>
                <w:caps/>
              </w:rPr>
            </w:pPr>
            <w:r w:rsidRPr="00BB1A07">
              <w:t>Aucune</w:t>
            </w:r>
          </w:p>
        </w:tc>
      </w:tr>
      <w:tr w:rsidR="006C61B6" w:rsidRPr="00BB1A07" w:rsidTr="00D16BCE">
        <w:trPr>
          <w:jc w:val="center"/>
        </w:trPr>
        <w:tc>
          <w:tcPr>
            <w:tcW w:w="1754" w:type="dxa"/>
            <w:shd w:val="clear" w:color="auto" w:fill="auto"/>
          </w:tcPr>
          <w:p w:rsidR="006C61B6" w:rsidRPr="00BB1A07" w:rsidRDefault="006C61B6" w:rsidP="00D16BCE">
            <w:pPr>
              <w:pStyle w:val="Tabletext"/>
              <w:jc w:val="center"/>
              <w:rPr>
                <w:rFonts w:eastAsia="Batang"/>
                <w:caps/>
              </w:rPr>
            </w:pPr>
            <w:r w:rsidRPr="00BB1A07">
              <w:t>D7</w:t>
            </w:r>
          </w:p>
        </w:tc>
        <w:tc>
          <w:tcPr>
            <w:tcW w:w="1785" w:type="dxa"/>
            <w:shd w:val="clear" w:color="auto" w:fill="auto"/>
          </w:tcPr>
          <w:p w:rsidR="006C61B6" w:rsidRPr="00BB1A07" w:rsidRDefault="006C61B6" w:rsidP="00D16BCE">
            <w:pPr>
              <w:pStyle w:val="Tabletext"/>
              <w:jc w:val="center"/>
              <w:rPr>
                <w:rFonts w:eastAsia="Batang"/>
                <w:caps/>
              </w:rPr>
            </w:pPr>
            <w:r w:rsidRPr="00BB1A07">
              <w:t>450,000-457,500</w:t>
            </w:r>
          </w:p>
        </w:tc>
        <w:tc>
          <w:tcPr>
            <w:tcW w:w="1250" w:type="dxa"/>
            <w:shd w:val="clear" w:color="auto" w:fill="auto"/>
          </w:tcPr>
          <w:p w:rsidR="006C61B6" w:rsidRPr="00BB1A07" w:rsidRDefault="006C61B6" w:rsidP="00D16BCE">
            <w:pPr>
              <w:pStyle w:val="Tabletext"/>
              <w:jc w:val="center"/>
              <w:rPr>
                <w:rFonts w:eastAsia="Batang"/>
                <w:caps/>
              </w:rPr>
            </w:pPr>
            <w:r w:rsidRPr="00BB1A07">
              <w:t>5,0</w:t>
            </w:r>
          </w:p>
        </w:tc>
        <w:tc>
          <w:tcPr>
            <w:tcW w:w="1863" w:type="dxa"/>
            <w:shd w:val="clear" w:color="auto" w:fill="auto"/>
          </w:tcPr>
          <w:p w:rsidR="006C61B6" w:rsidRPr="00BB1A07" w:rsidRDefault="006C61B6" w:rsidP="00D16BCE">
            <w:pPr>
              <w:pStyle w:val="Tabletext"/>
              <w:jc w:val="center"/>
              <w:rPr>
                <w:rFonts w:eastAsia="Batang"/>
                <w:caps/>
              </w:rPr>
            </w:pPr>
            <w:r w:rsidRPr="00BB1A07">
              <w:t>462,500-470,000</w:t>
            </w:r>
          </w:p>
        </w:tc>
        <w:tc>
          <w:tcPr>
            <w:tcW w:w="1372" w:type="dxa"/>
            <w:shd w:val="clear" w:color="auto" w:fill="auto"/>
          </w:tcPr>
          <w:p w:rsidR="006C61B6" w:rsidRPr="00BB1A07" w:rsidRDefault="006C61B6" w:rsidP="00D16BCE">
            <w:pPr>
              <w:pStyle w:val="Tabletext"/>
              <w:jc w:val="center"/>
              <w:rPr>
                <w:rFonts w:eastAsia="Batang"/>
                <w:caps/>
              </w:rPr>
            </w:pPr>
            <w:r w:rsidRPr="00BB1A07">
              <w:t>12,5</w:t>
            </w:r>
          </w:p>
        </w:tc>
        <w:tc>
          <w:tcPr>
            <w:tcW w:w="1615" w:type="dxa"/>
            <w:shd w:val="clear" w:color="auto" w:fill="auto"/>
          </w:tcPr>
          <w:p w:rsidR="006C61B6" w:rsidRPr="00BB1A07" w:rsidRDefault="006C61B6" w:rsidP="00D16BCE">
            <w:pPr>
              <w:pStyle w:val="Tabletext"/>
              <w:jc w:val="center"/>
              <w:rPr>
                <w:rFonts w:eastAsia="Batang"/>
                <w:caps/>
              </w:rPr>
            </w:pPr>
            <w:r w:rsidRPr="00BB1A07">
              <w:t>Aucune</w:t>
            </w:r>
          </w:p>
        </w:tc>
      </w:tr>
      <w:tr w:rsidR="006C61B6" w:rsidRPr="00BB1A07" w:rsidTr="00D16BCE">
        <w:trPr>
          <w:jc w:val="center"/>
        </w:trPr>
        <w:tc>
          <w:tcPr>
            <w:tcW w:w="1754" w:type="dxa"/>
            <w:shd w:val="clear" w:color="auto" w:fill="auto"/>
          </w:tcPr>
          <w:p w:rsidR="006C61B6" w:rsidRPr="00BB1A07" w:rsidRDefault="006C61B6" w:rsidP="00D16BCE">
            <w:pPr>
              <w:pStyle w:val="Tabletext"/>
              <w:jc w:val="center"/>
              <w:rPr>
                <w:rFonts w:eastAsia="Batang"/>
                <w:caps/>
                <w:lang w:eastAsia="zh-CN"/>
              </w:rPr>
            </w:pPr>
            <w:r w:rsidRPr="00BB1A07">
              <w:rPr>
                <w:lang w:eastAsia="zh-CN"/>
              </w:rPr>
              <w:t>D8</w:t>
            </w:r>
          </w:p>
        </w:tc>
        <w:tc>
          <w:tcPr>
            <w:tcW w:w="1785" w:type="dxa"/>
            <w:shd w:val="clear" w:color="auto" w:fill="auto"/>
          </w:tcPr>
          <w:p w:rsidR="006C61B6" w:rsidRPr="00BB1A07" w:rsidRDefault="006C61B6" w:rsidP="00D16BCE">
            <w:pPr>
              <w:pStyle w:val="Tabletext"/>
              <w:jc w:val="center"/>
              <w:rPr>
                <w:lang w:eastAsia="zh-CN"/>
              </w:rPr>
            </w:pPr>
          </w:p>
        </w:tc>
        <w:tc>
          <w:tcPr>
            <w:tcW w:w="1250" w:type="dxa"/>
            <w:shd w:val="clear" w:color="auto" w:fill="auto"/>
          </w:tcPr>
          <w:p w:rsidR="006C61B6" w:rsidRPr="00BB1A07" w:rsidRDefault="006C61B6" w:rsidP="00D16BCE">
            <w:pPr>
              <w:pStyle w:val="Tabletext"/>
              <w:jc w:val="center"/>
            </w:pPr>
          </w:p>
        </w:tc>
        <w:tc>
          <w:tcPr>
            <w:tcW w:w="1863" w:type="dxa"/>
            <w:shd w:val="clear" w:color="auto" w:fill="auto"/>
          </w:tcPr>
          <w:p w:rsidR="006C61B6" w:rsidRPr="00BB1A07" w:rsidRDefault="006C61B6" w:rsidP="00D16BCE">
            <w:pPr>
              <w:pStyle w:val="Tabletext"/>
              <w:jc w:val="center"/>
              <w:rPr>
                <w:lang w:eastAsia="zh-CN"/>
              </w:rPr>
            </w:pPr>
          </w:p>
        </w:tc>
        <w:tc>
          <w:tcPr>
            <w:tcW w:w="1372" w:type="dxa"/>
            <w:shd w:val="clear" w:color="auto" w:fill="auto"/>
          </w:tcPr>
          <w:p w:rsidR="006C61B6" w:rsidRPr="00BB1A07" w:rsidRDefault="006C61B6" w:rsidP="00D16BCE">
            <w:pPr>
              <w:pStyle w:val="Tabletext"/>
              <w:jc w:val="center"/>
            </w:pPr>
          </w:p>
        </w:tc>
        <w:tc>
          <w:tcPr>
            <w:tcW w:w="1615" w:type="dxa"/>
            <w:shd w:val="clear" w:color="auto" w:fill="auto"/>
          </w:tcPr>
          <w:p w:rsidR="006C61B6" w:rsidRPr="00BB1A07" w:rsidRDefault="006C61B6" w:rsidP="00D16BCE">
            <w:pPr>
              <w:pStyle w:val="Tabletext"/>
              <w:jc w:val="center"/>
              <w:rPr>
                <w:caps/>
              </w:rPr>
            </w:pPr>
            <w:r w:rsidRPr="00BB1A07">
              <w:t>450-470 DRT</w:t>
            </w:r>
          </w:p>
        </w:tc>
      </w:tr>
      <w:tr w:rsidR="006C61B6" w:rsidRPr="00BB1A07" w:rsidTr="00D16BCE">
        <w:trPr>
          <w:jc w:val="center"/>
        </w:trPr>
        <w:tc>
          <w:tcPr>
            <w:tcW w:w="1754" w:type="dxa"/>
            <w:shd w:val="clear" w:color="auto" w:fill="auto"/>
          </w:tcPr>
          <w:p w:rsidR="006C61B6" w:rsidRPr="00BB1A07" w:rsidRDefault="006C61B6" w:rsidP="00D16BCE">
            <w:pPr>
              <w:pStyle w:val="Tabletext"/>
              <w:jc w:val="center"/>
              <w:rPr>
                <w:rFonts w:eastAsia="Batang"/>
                <w:caps/>
                <w:lang w:eastAsia="zh-CN"/>
              </w:rPr>
            </w:pPr>
            <w:r w:rsidRPr="00BB1A07">
              <w:t>D</w:t>
            </w:r>
            <w:r w:rsidRPr="00BB1A07">
              <w:rPr>
                <w:lang w:eastAsia="zh-CN"/>
              </w:rPr>
              <w:t>9</w:t>
            </w:r>
          </w:p>
        </w:tc>
        <w:tc>
          <w:tcPr>
            <w:tcW w:w="1785" w:type="dxa"/>
            <w:shd w:val="clear" w:color="auto" w:fill="auto"/>
          </w:tcPr>
          <w:p w:rsidR="006C61B6" w:rsidRPr="00BB1A07" w:rsidRDefault="006C61B6" w:rsidP="00D16BCE">
            <w:pPr>
              <w:pStyle w:val="Tabletext"/>
              <w:jc w:val="center"/>
              <w:rPr>
                <w:rFonts w:eastAsia="Batang"/>
                <w:caps/>
                <w:lang w:eastAsia="zh-CN"/>
              </w:rPr>
            </w:pPr>
            <w:r w:rsidRPr="00BB1A07">
              <w:rPr>
                <w:lang w:eastAsia="zh-CN"/>
              </w:rPr>
              <w:t>450,000</w:t>
            </w:r>
            <w:r w:rsidRPr="00BB1A07">
              <w:t>-</w:t>
            </w:r>
            <w:r w:rsidRPr="00BB1A07">
              <w:rPr>
                <w:lang w:eastAsia="zh-CN"/>
              </w:rPr>
              <w:t>455,000</w:t>
            </w:r>
          </w:p>
        </w:tc>
        <w:tc>
          <w:tcPr>
            <w:tcW w:w="1250" w:type="dxa"/>
            <w:shd w:val="clear" w:color="auto" w:fill="auto"/>
          </w:tcPr>
          <w:p w:rsidR="006C61B6" w:rsidRPr="00BB1A07" w:rsidRDefault="006C61B6" w:rsidP="00D16BCE">
            <w:pPr>
              <w:pStyle w:val="Tabletext"/>
              <w:jc w:val="center"/>
              <w:rPr>
                <w:rFonts w:eastAsia="Batang"/>
                <w:caps/>
                <w:lang w:eastAsia="zh-CN"/>
              </w:rPr>
            </w:pPr>
            <w:r w:rsidRPr="00BB1A07">
              <w:rPr>
                <w:lang w:eastAsia="zh-CN"/>
              </w:rPr>
              <w:t>10,0</w:t>
            </w:r>
          </w:p>
        </w:tc>
        <w:tc>
          <w:tcPr>
            <w:tcW w:w="1863" w:type="dxa"/>
            <w:shd w:val="clear" w:color="auto" w:fill="auto"/>
          </w:tcPr>
          <w:p w:rsidR="006C61B6" w:rsidRPr="00BB1A07" w:rsidRDefault="006C61B6" w:rsidP="00D16BCE">
            <w:pPr>
              <w:pStyle w:val="Tabletext"/>
              <w:jc w:val="center"/>
              <w:rPr>
                <w:rFonts w:eastAsia="Batang"/>
                <w:caps/>
                <w:lang w:eastAsia="zh-CN"/>
              </w:rPr>
            </w:pPr>
            <w:r w:rsidRPr="00BB1A07">
              <w:rPr>
                <w:lang w:eastAsia="zh-CN"/>
              </w:rPr>
              <w:t>465,000</w:t>
            </w:r>
            <w:r w:rsidRPr="00BB1A07">
              <w:t>-</w:t>
            </w:r>
            <w:r w:rsidRPr="00BB1A07">
              <w:rPr>
                <w:lang w:eastAsia="zh-CN"/>
              </w:rPr>
              <w:t>47</w:t>
            </w:r>
            <w:r w:rsidRPr="00BB1A07">
              <w:t>0</w:t>
            </w:r>
            <w:r w:rsidRPr="00BB1A07">
              <w:rPr>
                <w:lang w:eastAsia="zh-CN"/>
              </w:rPr>
              <w:t>,000</w:t>
            </w:r>
          </w:p>
        </w:tc>
        <w:tc>
          <w:tcPr>
            <w:tcW w:w="1372" w:type="dxa"/>
            <w:shd w:val="clear" w:color="auto" w:fill="auto"/>
          </w:tcPr>
          <w:p w:rsidR="006C61B6" w:rsidRPr="00BB1A07" w:rsidRDefault="006C61B6" w:rsidP="00D16BCE">
            <w:pPr>
              <w:pStyle w:val="Tabletext"/>
              <w:jc w:val="center"/>
              <w:rPr>
                <w:rFonts w:eastAsia="Batang"/>
                <w:caps/>
                <w:lang w:eastAsia="zh-CN"/>
              </w:rPr>
            </w:pPr>
            <w:r w:rsidRPr="00BB1A07">
              <w:rPr>
                <w:lang w:eastAsia="zh-CN"/>
              </w:rPr>
              <w:t>15</w:t>
            </w:r>
          </w:p>
        </w:tc>
        <w:tc>
          <w:tcPr>
            <w:tcW w:w="1615" w:type="dxa"/>
            <w:shd w:val="clear" w:color="auto" w:fill="auto"/>
          </w:tcPr>
          <w:p w:rsidR="006C61B6" w:rsidRPr="00BB1A07" w:rsidRDefault="006C61B6" w:rsidP="00D16BCE">
            <w:pPr>
              <w:pStyle w:val="Tabletext"/>
              <w:jc w:val="center"/>
              <w:rPr>
                <w:rFonts w:eastAsia="Batang"/>
                <w:caps/>
              </w:rPr>
            </w:pPr>
            <w:r w:rsidRPr="00BB1A07">
              <w:rPr>
                <w:lang w:eastAsia="zh-CN"/>
              </w:rPr>
              <w:t>457,500</w:t>
            </w:r>
            <w:r w:rsidRPr="00BB1A07">
              <w:t>-</w:t>
            </w:r>
            <w:r w:rsidRPr="00BB1A07">
              <w:rPr>
                <w:lang w:eastAsia="zh-CN"/>
              </w:rPr>
              <w:t>462,500 DRT</w:t>
            </w:r>
          </w:p>
        </w:tc>
      </w:tr>
      <w:tr w:rsidR="006C61B6" w:rsidRPr="00BB1A07" w:rsidTr="00D16BCE">
        <w:trPr>
          <w:jc w:val="center"/>
        </w:trPr>
        <w:tc>
          <w:tcPr>
            <w:tcW w:w="1754" w:type="dxa"/>
            <w:tcBorders>
              <w:bottom w:val="single" w:sz="6" w:space="0" w:color="auto"/>
            </w:tcBorders>
            <w:shd w:val="clear" w:color="auto" w:fill="auto"/>
          </w:tcPr>
          <w:p w:rsidR="006C61B6" w:rsidRPr="00BB1A07" w:rsidRDefault="006C61B6" w:rsidP="00D16BCE">
            <w:pPr>
              <w:pStyle w:val="Tabletext"/>
              <w:jc w:val="center"/>
            </w:pPr>
            <w:r w:rsidRPr="00BB1A07">
              <w:t>D10</w:t>
            </w:r>
          </w:p>
        </w:tc>
        <w:tc>
          <w:tcPr>
            <w:tcW w:w="1785" w:type="dxa"/>
            <w:tcBorders>
              <w:bottom w:val="single" w:sz="6" w:space="0" w:color="auto"/>
            </w:tcBorders>
            <w:shd w:val="clear" w:color="auto" w:fill="auto"/>
          </w:tcPr>
          <w:p w:rsidR="006C61B6" w:rsidRPr="00BB1A07" w:rsidRDefault="006C61B6" w:rsidP="00D16BCE">
            <w:pPr>
              <w:pStyle w:val="Tabletext"/>
              <w:jc w:val="center"/>
              <w:rPr>
                <w:lang w:eastAsia="zh-CN"/>
              </w:rPr>
            </w:pPr>
            <w:r w:rsidRPr="00BB1A07">
              <w:rPr>
                <w:lang w:eastAsia="zh-CN"/>
              </w:rPr>
              <w:t>451,000-458,000</w:t>
            </w:r>
          </w:p>
        </w:tc>
        <w:tc>
          <w:tcPr>
            <w:tcW w:w="1250" w:type="dxa"/>
            <w:tcBorders>
              <w:bottom w:val="single" w:sz="6" w:space="0" w:color="auto"/>
            </w:tcBorders>
            <w:shd w:val="clear" w:color="auto" w:fill="auto"/>
          </w:tcPr>
          <w:p w:rsidR="006C61B6" w:rsidRPr="00BB1A07" w:rsidRDefault="006C61B6" w:rsidP="00D16BCE">
            <w:pPr>
              <w:pStyle w:val="Tabletext"/>
              <w:jc w:val="center"/>
              <w:rPr>
                <w:lang w:eastAsia="zh-CN"/>
              </w:rPr>
            </w:pPr>
            <w:r w:rsidRPr="00BB1A07">
              <w:rPr>
                <w:lang w:eastAsia="zh-CN"/>
              </w:rPr>
              <w:t>3,0</w:t>
            </w:r>
          </w:p>
        </w:tc>
        <w:tc>
          <w:tcPr>
            <w:tcW w:w="1863" w:type="dxa"/>
            <w:tcBorders>
              <w:bottom w:val="single" w:sz="6" w:space="0" w:color="auto"/>
            </w:tcBorders>
            <w:shd w:val="clear" w:color="auto" w:fill="auto"/>
          </w:tcPr>
          <w:p w:rsidR="006C61B6" w:rsidRPr="00BB1A07" w:rsidRDefault="006C61B6" w:rsidP="00D16BCE">
            <w:pPr>
              <w:pStyle w:val="Tabletext"/>
              <w:jc w:val="center"/>
              <w:rPr>
                <w:lang w:eastAsia="zh-CN"/>
              </w:rPr>
            </w:pPr>
            <w:r w:rsidRPr="00BB1A07">
              <w:rPr>
                <w:lang w:eastAsia="zh-CN"/>
              </w:rPr>
              <w:t>461,000-468,000</w:t>
            </w:r>
          </w:p>
        </w:tc>
        <w:tc>
          <w:tcPr>
            <w:tcW w:w="1372" w:type="dxa"/>
            <w:tcBorders>
              <w:bottom w:val="single" w:sz="6" w:space="0" w:color="auto"/>
            </w:tcBorders>
            <w:shd w:val="clear" w:color="auto" w:fill="auto"/>
          </w:tcPr>
          <w:p w:rsidR="006C61B6" w:rsidRPr="00BB1A07" w:rsidRDefault="006C61B6" w:rsidP="00D16BCE">
            <w:pPr>
              <w:pStyle w:val="Tabletext"/>
              <w:jc w:val="center"/>
              <w:rPr>
                <w:lang w:eastAsia="zh-CN"/>
              </w:rPr>
            </w:pPr>
            <w:r w:rsidRPr="00BB1A07">
              <w:rPr>
                <w:lang w:eastAsia="zh-CN"/>
              </w:rPr>
              <w:t>10</w:t>
            </w:r>
          </w:p>
        </w:tc>
        <w:tc>
          <w:tcPr>
            <w:tcW w:w="1615" w:type="dxa"/>
            <w:tcBorders>
              <w:bottom w:val="single" w:sz="6" w:space="0" w:color="auto"/>
            </w:tcBorders>
            <w:shd w:val="clear" w:color="auto" w:fill="auto"/>
          </w:tcPr>
          <w:p w:rsidR="006C61B6" w:rsidRPr="00BB1A07" w:rsidRDefault="006C61B6" w:rsidP="00D16BCE">
            <w:pPr>
              <w:pStyle w:val="Tabletext"/>
              <w:jc w:val="center"/>
              <w:rPr>
                <w:lang w:eastAsia="zh-CN"/>
              </w:rPr>
            </w:pPr>
            <w:r w:rsidRPr="00BB1A07">
              <w:t>Aucune</w:t>
            </w:r>
          </w:p>
        </w:tc>
      </w:tr>
      <w:tr w:rsidR="006C61B6" w:rsidRPr="00BB1A07" w:rsidTr="00D16BCE">
        <w:trPr>
          <w:jc w:val="center"/>
        </w:trPr>
        <w:tc>
          <w:tcPr>
            <w:tcW w:w="1754" w:type="dxa"/>
            <w:tcBorders>
              <w:bottom w:val="single" w:sz="6" w:space="0" w:color="auto"/>
            </w:tcBorders>
            <w:shd w:val="clear" w:color="auto" w:fill="auto"/>
          </w:tcPr>
          <w:p w:rsidR="006C61B6" w:rsidRPr="00BB1A07" w:rsidRDefault="006C61B6" w:rsidP="00D16BCE">
            <w:pPr>
              <w:pStyle w:val="Tabletext"/>
              <w:jc w:val="center"/>
            </w:pPr>
            <w:r w:rsidRPr="00BB1A07">
              <w:t>D11</w:t>
            </w:r>
          </w:p>
        </w:tc>
        <w:tc>
          <w:tcPr>
            <w:tcW w:w="1785" w:type="dxa"/>
            <w:tcBorders>
              <w:bottom w:val="single" w:sz="6" w:space="0" w:color="auto"/>
            </w:tcBorders>
            <w:shd w:val="clear" w:color="auto" w:fill="auto"/>
          </w:tcPr>
          <w:p w:rsidR="006C61B6" w:rsidRPr="00BB1A07" w:rsidRDefault="006C61B6" w:rsidP="00D16BCE">
            <w:pPr>
              <w:pStyle w:val="Tabletext"/>
              <w:jc w:val="center"/>
              <w:rPr>
                <w:lang w:eastAsia="zh-CN"/>
              </w:rPr>
            </w:pPr>
            <w:r w:rsidRPr="00BB1A07">
              <w:rPr>
                <w:lang w:eastAsia="zh-CN"/>
              </w:rPr>
              <w:t>450,500-457,500</w:t>
            </w:r>
          </w:p>
        </w:tc>
        <w:tc>
          <w:tcPr>
            <w:tcW w:w="1250" w:type="dxa"/>
            <w:tcBorders>
              <w:bottom w:val="single" w:sz="6" w:space="0" w:color="auto"/>
            </w:tcBorders>
            <w:shd w:val="clear" w:color="auto" w:fill="auto"/>
          </w:tcPr>
          <w:p w:rsidR="006C61B6" w:rsidRPr="00BB1A07" w:rsidRDefault="006C61B6" w:rsidP="00D16BCE">
            <w:pPr>
              <w:pStyle w:val="Tabletext"/>
              <w:jc w:val="center"/>
              <w:rPr>
                <w:lang w:eastAsia="zh-CN"/>
              </w:rPr>
            </w:pPr>
            <w:r w:rsidRPr="00BB1A07">
              <w:rPr>
                <w:lang w:eastAsia="zh-CN"/>
              </w:rPr>
              <w:t>3,0</w:t>
            </w:r>
          </w:p>
        </w:tc>
        <w:tc>
          <w:tcPr>
            <w:tcW w:w="1863" w:type="dxa"/>
            <w:tcBorders>
              <w:bottom w:val="single" w:sz="6" w:space="0" w:color="auto"/>
            </w:tcBorders>
            <w:shd w:val="clear" w:color="auto" w:fill="auto"/>
          </w:tcPr>
          <w:p w:rsidR="006C61B6" w:rsidRPr="00BB1A07" w:rsidRDefault="006C61B6" w:rsidP="00D16BCE">
            <w:pPr>
              <w:pStyle w:val="Tabletext"/>
              <w:jc w:val="center"/>
              <w:rPr>
                <w:lang w:eastAsia="zh-CN"/>
              </w:rPr>
            </w:pPr>
            <w:r w:rsidRPr="00BB1A07">
              <w:rPr>
                <w:lang w:eastAsia="zh-CN"/>
              </w:rPr>
              <w:t>460,500-467,500</w:t>
            </w:r>
          </w:p>
        </w:tc>
        <w:tc>
          <w:tcPr>
            <w:tcW w:w="1372" w:type="dxa"/>
            <w:tcBorders>
              <w:bottom w:val="single" w:sz="6" w:space="0" w:color="auto"/>
            </w:tcBorders>
            <w:shd w:val="clear" w:color="auto" w:fill="auto"/>
          </w:tcPr>
          <w:p w:rsidR="006C61B6" w:rsidRPr="00BB1A07" w:rsidRDefault="006C61B6" w:rsidP="00D16BCE">
            <w:pPr>
              <w:pStyle w:val="Tabletext"/>
              <w:jc w:val="center"/>
              <w:rPr>
                <w:lang w:eastAsia="zh-CN"/>
              </w:rPr>
            </w:pPr>
            <w:r w:rsidRPr="00BB1A07">
              <w:rPr>
                <w:lang w:eastAsia="zh-CN"/>
              </w:rPr>
              <w:t>10</w:t>
            </w:r>
          </w:p>
        </w:tc>
        <w:tc>
          <w:tcPr>
            <w:tcW w:w="1615" w:type="dxa"/>
            <w:tcBorders>
              <w:bottom w:val="single" w:sz="6" w:space="0" w:color="auto"/>
            </w:tcBorders>
            <w:shd w:val="clear" w:color="auto" w:fill="auto"/>
          </w:tcPr>
          <w:p w:rsidR="006C61B6" w:rsidRPr="00BB1A07" w:rsidRDefault="006C61B6" w:rsidP="00D16BCE">
            <w:pPr>
              <w:pStyle w:val="Tabletext"/>
              <w:jc w:val="center"/>
            </w:pPr>
            <w:r w:rsidRPr="00BB1A07">
              <w:t>Aucune</w:t>
            </w:r>
          </w:p>
        </w:tc>
      </w:tr>
      <w:tr w:rsidR="006C61B6" w:rsidRPr="00BB1A07" w:rsidTr="00D16BCE">
        <w:trPr>
          <w:jc w:val="center"/>
        </w:trPr>
        <w:tc>
          <w:tcPr>
            <w:tcW w:w="9639" w:type="dxa"/>
            <w:gridSpan w:val="6"/>
            <w:tcBorders>
              <w:top w:val="single" w:sz="6" w:space="0" w:color="auto"/>
              <w:left w:val="nil"/>
              <w:bottom w:val="nil"/>
              <w:right w:val="nil"/>
            </w:tcBorders>
            <w:shd w:val="clear" w:color="auto" w:fill="auto"/>
          </w:tcPr>
          <w:p w:rsidR="006C61B6" w:rsidRPr="00BB1A07" w:rsidRDefault="006C61B6" w:rsidP="00D16BCE">
            <w:pPr>
              <w:pStyle w:val="Tabletext"/>
            </w:pPr>
          </w:p>
          <w:p w:rsidR="006C61B6" w:rsidRPr="00BB1A07" w:rsidRDefault="006C61B6" w:rsidP="00D16BCE">
            <w:pPr>
              <w:pStyle w:val="Tabletext"/>
              <w:rPr>
                <w:i/>
                <w:iCs/>
              </w:rPr>
            </w:pPr>
            <w:r w:rsidRPr="00BB1A07">
              <w:rPr>
                <w:i/>
                <w:iCs/>
              </w:rPr>
              <w:t>Notes concernant le Tableau 2:</w:t>
            </w:r>
          </w:p>
          <w:p w:rsidR="006C61B6" w:rsidRPr="00BB1A07" w:rsidRDefault="006C61B6" w:rsidP="00D16BCE">
            <w:pPr>
              <w:pStyle w:val="Tabletext"/>
            </w:pPr>
            <w:r w:rsidRPr="00BB1A07">
              <w:t xml:space="preserve">NOTE 1 – Le nombre de dispositions de fréquences indiquées dans le Tableau 2 tient compte du fait que les administrations ont dû prendre en charge des opérations existantes tout en maintenant par exemple une structure commune pour les liaisons montantes (liaison montante dans les 10 MHz inférieurs, liaison descendante dans les 10 MHz supérieurs) pour les dispositions de fréquences DRF. </w:t>
            </w:r>
          </w:p>
          <w:p w:rsidR="006C61B6" w:rsidRPr="00BB1A07" w:rsidRDefault="006C61B6" w:rsidP="00D16BCE">
            <w:pPr>
              <w:pStyle w:val="Tabletext"/>
            </w:pPr>
            <w:r w:rsidRPr="00BB1A07">
              <w:t>NOTE 2 – Les dispositions de fréquences D7, D8 et D9 peuvent être mis en œuvre par les administrations pour lesquelles la totalité de la bande 450</w:t>
            </w:r>
            <w:r w:rsidRPr="00BB1A07">
              <w:noBreakHyphen/>
              <w:t>470 MHz est disponible pour les IMT. La disposition D8 peut</w:t>
            </w:r>
            <w:r w:rsidRPr="00BB1A07">
              <w:rPr>
                <w:rFonts w:cs="Calibri"/>
                <w:szCs w:val="24"/>
              </w:rPr>
              <w:t xml:space="preserve"> aussi être mise en œuvre par les administrations pour lesquelles seule une partie de la bande est disponible pour les IMT.</w:t>
            </w:r>
          </w:p>
        </w:tc>
      </w:tr>
    </w:tbl>
    <w:p w:rsidR="006C61B6" w:rsidRPr="00BB1A07" w:rsidRDefault="006C61B6" w:rsidP="006C61B6">
      <w:pPr>
        <w:pStyle w:val="Tablefin"/>
        <w:rPr>
          <w:lang w:val="fr-FR"/>
        </w:rPr>
      </w:pPr>
    </w:p>
    <w:p w:rsidR="006C61B6" w:rsidRPr="00BB1A07" w:rsidRDefault="006C61B6" w:rsidP="006C61B6">
      <w:pPr>
        <w:pStyle w:val="FigureNo"/>
      </w:pPr>
      <w:r w:rsidRPr="00BB1A07">
        <w:lastRenderedPageBreak/>
        <w:t xml:space="preserve">FIGURE 2 </w:t>
      </w:r>
      <w:r w:rsidRPr="00BB1A07">
        <w:br/>
        <w:t>(</w:t>
      </w:r>
      <w:r w:rsidRPr="00BB1A07">
        <w:rPr>
          <w:rFonts w:cs="Calibri"/>
          <w:caps w:val="0"/>
          <w:szCs w:val="24"/>
        </w:rPr>
        <w:t>Voir les notes concernant le Tableau 2</w:t>
      </w:r>
      <w:r w:rsidRPr="00BB1A07">
        <w:t>)</w:t>
      </w:r>
    </w:p>
    <w:p w:rsidR="006C61B6" w:rsidRDefault="006C61B6" w:rsidP="006C61B6">
      <w:pPr>
        <w:pStyle w:val="Figure"/>
        <w:rPr>
          <w:noProof/>
          <w:lang w:eastAsia="zh-CN"/>
        </w:rPr>
      </w:pPr>
      <w:r w:rsidRPr="00BB1A07">
        <w:rPr>
          <w:noProof/>
          <w:lang w:eastAsia="zh-CN"/>
        </w:rPr>
        <w:object w:dxaOrig="6905" w:dyaOrig="7715">
          <v:shape id="_x0000_i1026" type="#_x0000_t75" style="width:424.5pt;height:467.8pt" o:ole="">
            <v:imagedata r:id="rId15" o:title=""/>
          </v:shape>
          <o:OLEObject Type="Embed" ProgID="CorelDRAW.Graphic.14" ShapeID="_x0000_i1026" DrawAspect="Content" ObjectID="_1508231739" r:id="rId16"/>
        </w:object>
      </w:r>
    </w:p>
    <w:p w:rsidR="006C61B6" w:rsidRDefault="006C61B6" w:rsidP="006C61B6">
      <w:pPr>
        <w:rPr>
          <w:lang w:eastAsia="zh-CN"/>
        </w:rPr>
      </w:pPr>
    </w:p>
    <w:p w:rsidR="006C61B6" w:rsidRPr="00BB1A07" w:rsidRDefault="006C61B6" w:rsidP="006C61B6">
      <w:pPr>
        <w:overflowPunct/>
        <w:autoSpaceDE/>
        <w:autoSpaceDN/>
        <w:adjustRightInd/>
        <w:spacing w:before="0"/>
        <w:textAlignment w:val="auto"/>
        <w:rPr>
          <w:b/>
          <w:sz w:val="28"/>
        </w:rPr>
      </w:pPr>
      <w:r w:rsidRPr="00BB1A07">
        <w:br w:type="page"/>
      </w:r>
    </w:p>
    <w:p w:rsidR="006C61B6" w:rsidRPr="00A106B8" w:rsidRDefault="006C61B6" w:rsidP="00F65C26">
      <w:pPr>
        <w:pStyle w:val="SectionNo"/>
        <w:jc w:val="center"/>
        <w:rPr>
          <w:rFonts w:eastAsia="MS Mincho"/>
          <w:sz w:val="28"/>
          <w:szCs w:val="28"/>
          <w:lang w:val="fr-CH"/>
        </w:rPr>
      </w:pPr>
      <w:r w:rsidRPr="00A106B8">
        <w:rPr>
          <w:rFonts w:eastAsia="MS Mincho"/>
          <w:sz w:val="28"/>
          <w:szCs w:val="28"/>
          <w:lang w:val="fr-CH"/>
        </w:rPr>
        <w:lastRenderedPageBreak/>
        <w:t>S</w:t>
      </w:r>
      <w:r w:rsidR="00F65C26" w:rsidRPr="00A106B8">
        <w:rPr>
          <w:rFonts w:eastAsia="MS Mincho"/>
          <w:sz w:val="28"/>
          <w:szCs w:val="28"/>
          <w:lang w:val="fr-CH"/>
        </w:rPr>
        <w:t>ECTION</w:t>
      </w:r>
      <w:r w:rsidRPr="00A106B8">
        <w:rPr>
          <w:rFonts w:eastAsia="MS Mincho"/>
          <w:sz w:val="28"/>
          <w:szCs w:val="28"/>
          <w:lang w:val="fr-CH"/>
        </w:rPr>
        <w:t xml:space="preserve"> 2</w:t>
      </w:r>
    </w:p>
    <w:p w:rsidR="006C61B6" w:rsidRPr="00BB1A07" w:rsidRDefault="006C61B6" w:rsidP="006C61B6">
      <w:pPr>
        <w:pStyle w:val="Sectiontitle"/>
      </w:pPr>
      <w:r w:rsidRPr="00BB1A07">
        <w:t>Dispositions de fréquences dans la bande 694-960 MHz</w:t>
      </w:r>
    </w:p>
    <w:p w:rsidR="006C61B6" w:rsidRPr="00BB1A07" w:rsidRDefault="006C61B6" w:rsidP="00F65C26">
      <w:pPr>
        <w:pStyle w:val="Normalaftertitle"/>
      </w:pPr>
      <w:r w:rsidRPr="00BB1A07">
        <w:t>Les dispositions de fréquences recommandées pour la mise en oeuvre des IMT dans la bande 694</w:t>
      </w:r>
      <w:r w:rsidR="009C6B95">
        <w:noBreakHyphen/>
      </w:r>
      <w:r w:rsidRPr="00BB1A07">
        <w:t>960</w:t>
      </w:r>
      <w:r w:rsidR="009C6B95">
        <w:t> </w:t>
      </w:r>
      <w:r w:rsidRPr="00BB1A07">
        <w:t xml:space="preserve">MHz sont récapitulées au Tableau 3 et à la Fig. 3, en tenant compte des lignes directrices figurant à l'Annexe 1 ci-dessus. </w:t>
      </w:r>
    </w:p>
    <w:p w:rsidR="006C61B6" w:rsidRPr="00BB1A07" w:rsidRDefault="006C61B6" w:rsidP="006C61B6">
      <w:pPr>
        <w:pStyle w:val="TableNo"/>
      </w:pPr>
      <w:r w:rsidRPr="00BB1A07">
        <w:t>TABLEAU 3</w:t>
      </w:r>
    </w:p>
    <w:p w:rsidR="006C61B6" w:rsidRPr="00BB1A07" w:rsidRDefault="006C61B6" w:rsidP="006C61B6">
      <w:pPr>
        <w:pStyle w:val="Tabletitle"/>
      </w:pPr>
      <w:r w:rsidRPr="00BB1A07">
        <w:t>Dispositions de fréquences appariées dans la bande 694-960 MHz</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91"/>
        <w:gridCol w:w="1517"/>
        <w:gridCol w:w="1381"/>
        <w:gridCol w:w="1517"/>
        <w:gridCol w:w="1654"/>
      </w:tblGrid>
      <w:tr w:rsidR="006C61B6" w:rsidRPr="00BB1A07" w:rsidTr="00D16BCE">
        <w:trPr>
          <w:jc w:val="center"/>
        </w:trPr>
        <w:tc>
          <w:tcPr>
            <w:tcW w:w="1789" w:type="dxa"/>
            <w:vMerge w:val="restart"/>
            <w:vAlign w:val="center"/>
          </w:tcPr>
          <w:p w:rsidR="006C61B6" w:rsidRPr="00BB1A07" w:rsidRDefault="006C61B6" w:rsidP="00D16BCE">
            <w:pPr>
              <w:pStyle w:val="Tablehead"/>
            </w:pPr>
            <w:r w:rsidRPr="00BB1A07">
              <w:t>Dispositions de fréquences</w:t>
            </w:r>
          </w:p>
        </w:tc>
        <w:tc>
          <w:tcPr>
            <w:tcW w:w="6202" w:type="dxa"/>
            <w:gridSpan w:val="4"/>
          </w:tcPr>
          <w:p w:rsidR="006C61B6" w:rsidRPr="00BB1A07" w:rsidRDefault="006C61B6" w:rsidP="00D16BCE">
            <w:pPr>
              <w:pStyle w:val="Tablehead"/>
            </w:pPr>
            <w:r w:rsidRPr="00BB1A07">
              <w:t>Dispositions appariées</w:t>
            </w:r>
          </w:p>
        </w:tc>
        <w:tc>
          <w:tcPr>
            <w:tcW w:w="1653" w:type="dxa"/>
            <w:vMerge w:val="restart"/>
          </w:tcPr>
          <w:p w:rsidR="006C61B6" w:rsidRPr="00BB1A07" w:rsidRDefault="006C61B6" w:rsidP="00D16BCE">
            <w:pPr>
              <w:pStyle w:val="Tablehead"/>
            </w:pPr>
            <w:r w:rsidRPr="00BB1A07">
              <w:t xml:space="preserve">Dispositions non appariées </w:t>
            </w:r>
            <w:r w:rsidRPr="00BB1A07">
              <w:br/>
              <w:t>(pour le mode DRT par ex.)</w:t>
            </w:r>
            <w:r w:rsidRPr="00BB1A07">
              <w:br/>
              <w:t>(MHz)</w:t>
            </w:r>
          </w:p>
        </w:tc>
      </w:tr>
      <w:tr w:rsidR="006C61B6" w:rsidRPr="00BB1A07" w:rsidTr="00D16BCE">
        <w:trPr>
          <w:jc w:val="center"/>
        </w:trPr>
        <w:tc>
          <w:tcPr>
            <w:tcW w:w="1789" w:type="dxa"/>
            <w:vMerge/>
          </w:tcPr>
          <w:p w:rsidR="006C61B6" w:rsidRPr="00BB1A07" w:rsidRDefault="006C61B6" w:rsidP="00D16BCE">
            <w:pPr>
              <w:pStyle w:val="Tablehead"/>
              <w:rPr>
                <w:rFonts w:cs="Calibri"/>
                <w:szCs w:val="24"/>
              </w:rPr>
            </w:pPr>
          </w:p>
        </w:tc>
        <w:tc>
          <w:tcPr>
            <w:tcW w:w="1790" w:type="dxa"/>
          </w:tcPr>
          <w:p w:rsidR="006C61B6" w:rsidRPr="00BB1A07" w:rsidRDefault="006C61B6" w:rsidP="00D16BCE">
            <w:pPr>
              <w:pStyle w:val="Tablehead"/>
            </w:pPr>
            <w:r w:rsidRPr="00BB1A07">
              <w:t>Emetteur de la</w:t>
            </w:r>
            <w:r w:rsidRPr="00BB1A07">
              <w:br/>
              <w:t>station mobile</w:t>
            </w:r>
            <w:r w:rsidRPr="00BB1A07">
              <w:br/>
              <w:t>(MHz)</w:t>
            </w:r>
          </w:p>
        </w:tc>
        <w:tc>
          <w:tcPr>
            <w:tcW w:w="1516" w:type="dxa"/>
          </w:tcPr>
          <w:p w:rsidR="006C61B6" w:rsidRPr="00BB1A07" w:rsidRDefault="006C61B6" w:rsidP="00D16BCE">
            <w:pPr>
              <w:pStyle w:val="Tablehead"/>
            </w:pPr>
            <w:r w:rsidRPr="00BB1A07">
              <w:t>Intervalle central</w:t>
            </w:r>
            <w:r w:rsidRPr="00BB1A07">
              <w:br/>
              <w:t>(MHz)</w:t>
            </w:r>
          </w:p>
        </w:tc>
        <w:tc>
          <w:tcPr>
            <w:tcW w:w="1380" w:type="dxa"/>
          </w:tcPr>
          <w:p w:rsidR="006C61B6" w:rsidRPr="00BB1A07" w:rsidRDefault="006C61B6" w:rsidP="00D16BCE">
            <w:pPr>
              <w:pStyle w:val="Tablehead"/>
            </w:pPr>
            <w:r w:rsidRPr="00BB1A07">
              <w:t>Emetteur de la station de base</w:t>
            </w:r>
            <w:r w:rsidRPr="00BB1A07">
              <w:br/>
              <w:t>(MHz)</w:t>
            </w:r>
          </w:p>
        </w:tc>
        <w:tc>
          <w:tcPr>
            <w:tcW w:w="1516" w:type="dxa"/>
          </w:tcPr>
          <w:p w:rsidR="006C61B6" w:rsidRPr="00BB1A07" w:rsidRDefault="006C61B6" w:rsidP="00D16BCE">
            <w:pPr>
              <w:pStyle w:val="Tablehead"/>
            </w:pPr>
            <w:r w:rsidRPr="00BB1A07">
              <w:t>Espacement duplex</w:t>
            </w:r>
            <w:r w:rsidRPr="00BB1A07">
              <w:br/>
              <w:t>(MHz)</w:t>
            </w:r>
          </w:p>
        </w:tc>
        <w:tc>
          <w:tcPr>
            <w:tcW w:w="1653" w:type="dxa"/>
            <w:vMerge/>
          </w:tcPr>
          <w:p w:rsidR="006C61B6" w:rsidRPr="00BB1A07" w:rsidRDefault="006C61B6" w:rsidP="00D16BCE">
            <w:pPr>
              <w:pStyle w:val="Tablehead"/>
              <w:rPr>
                <w:rFonts w:cs="Calibri"/>
                <w:szCs w:val="24"/>
              </w:rPr>
            </w:pPr>
          </w:p>
        </w:tc>
      </w:tr>
      <w:tr w:rsidR="006C61B6" w:rsidRPr="00BB1A07" w:rsidTr="00D16BCE">
        <w:trPr>
          <w:jc w:val="center"/>
        </w:trPr>
        <w:tc>
          <w:tcPr>
            <w:tcW w:w="1789" w:type="dxa"/>
          </w:tcPr>
          <w:p w:rsidR="006C61B6" w:rsidRPr="00BB1A07" w:rsidRDefault="006C61B6" w:rsidP="00D16BCE">
            <w:pPr>
              <w:pStyle w:val="Tabletext"/>
              <w:jc w:val="center"/>
            </w:pPr>
            <w:r w:rsidRPr="00BB1A07">
              <w:t>A1</w:t>
            </w:r>
          </w:p>
        </w:tc>
        <w:tc>
          <w:tcPr>
            <w:tcW w:w="1790" w:type="dxa"/>
          </w:tcPr>
          <w:p w:rsidR="006C61B6" w:rsidRPr="00BB1A07" w:rsidRDefault="006C61B6" w:rsidP="00D16BCE">
            <w:pPr>
              <w:pStyle w:val="Tabletext"/>
              <w:jc w:val="center"/>
            </w:pPr>
            <w:r w:rsidRPr="00BB1A07">
              <w:t>824-849</w:t>
            </w:r>
          </w:p>
        </w:tc>
        <w:tc>
          <w:tcPr>
            <w:tcW w:w="1516" w:type="dxa"/>
          </w:tcPr>
          <w:p w:rsidR="006C61B6" w:rsidRPr="00BB1A07" w:rsidRDefault="006C61B6" w:rsidP="00D16BCE">
            <w:pPr>
              <w:pStyle w:val="Tabletext"/>
              <w:jc w:val="center"/>
            </w:pPr>
            <w:r w:rsidRPr="00BB1A07">
              <w:t>20</w:t>
            </w:r>
          </w:p>
        </w:tc>
        <w:tc>
          <w:tcPr>
            <w:tcW w:w="1380" w:type="dxa"/>
          </w:tcPr>
          <w:p w:rsidR="006C61B6" w:rsidRPr="00BB1A07" w:rsidRDefault="006C61B6" w:rsidP="00D16BCE">
            <w:pPr>
              <w:pStyle w:val="Tabletext"/>
              <w:jc w:val="center"/>
            </w:pPr>
            <w:r w:rsidRPr="00BB1A07">
              <w:t>869-894</w:t>
            </w:r>
          </w:p>
        </w:tc>
        <w:tc>
          <w:tcPr>
            <w:tcW w:w="1516" w:type="dxa"/>
          </w:tcPr>
          <w:p w:rsidR="006C61B6" w:rsidRPr="00BB1A07" w:rsidRDefault="006C61B6" w:rsidP="00D16BCE">
            <w:pPr>
              <w:pStyle w:val="Tabletext"/>
              <w:jc w:val="center"/>
            </w:pPr>
            <w:r w:rsidRPr="00BB1A07">
              <w:t>45</w:t>
            </w:r>
          </w:p>
        </w:tc>
        <w:tc>
          <w:tcPr>
            <w:tcW w:w="1653" w:type="dxa"/>
          </w:tcPr>
          <w:p w:rsidR="006C61B6" w:rsidRPr="00BB1A07" w:rsidRDefault="006C61B6" w:rsidP="00D16BCE">
            <w:pPr>
              <w:pStyle w:val="Tabletext"/>
              <w:jc w:val="center"/>
            </w:pPr>
            <w:r w:rsidRPr="00BB1A07">
              <w:t>Aucune</w:t>
            </w:r>
          </w:p>
        </w:tc>
      </w:tr>
      <w:tr w:rsidR="006C61B6" w:rsidRPr="00BB1A07" w:rsidTr="00D16BCE">
        <w:trPr>
          <w:jc w:val="center"/>
        </w:trPr>
        <w:tc>
          <w:tcPr>
            <w:tcW w:w="1789" w:type="dxa"/>
          </w:tcPr>
          <w:p w:rsidR="006C61B6" w:rsidRPr="00BB1A07" w:rsidRDefault="006C61B6" w:rsidP="00D16BCE">
            <w:pPr>
              <w:pStyle w:val="Tabletext"/>
              <w:jc w:val="center"/>
            </w:pPr>
            <w:r w:rsidRPr="00BB1A07">
              <w:t>A2</w:t>
            </w:r>
          </w:p>
        </w:tc>
        <w:tc>
          <w:tcPr>
            <w:tcW w:w="1790" w:type="dxa"/>
          </w:tcPr>
          <w:p w:rsidR="006C61B6" w:rsidRPr="00BB1A07" w:rsidRDefault="006C61B6" w:rsidP="00D16BCE">
            <w:pPr>
              <w:pStyle w:val="Tabletext"/>
              <w:jc w:val="center"/>
            </w:pPr>
            <w:r w:rsidRPr="00BB1A07">
              <w:t>880-915</w:t>
            </w:r>
          </w:p>
        </w:tc>
        <w:tc>
          <w:tcPr>
            <w:tcW w:w="1516" w:type="dxa"/>
          </w:tcPr>
          <w:p w:rsidR="006C61B6" w:rsidRPr="00BB1A07" w:rsidRDefault="006C61B6" w:rsidP="00D16BCE">
            <w:pPr>
              <w:pStyle w:val="Tabletext"/>
              <w:jc w:val="center"/>
            </w:pPr>
            <w:r w:rsidRPr="00BB1A07">
              <w:t>10</w:t>
            </w:r>
          </w:p>
        </w:tc>
        <w:tc>
          <w:tcPr>
            <w:tcW w:w="1380" w:type="dxa"/>
          </w:tcPr>
          <w:p w:rsidR="006C61B6" w:rsidRPr="00BB1A07" w:rsidRDefault="006C61B6" w:rsidP="00D16BCE">
            <w:pPr>
              <w:pStyle w:val="Tabletext"/>
              <w:jc w:val="center"/>
            </w:pPr>
            <w:r w:rsidRPr="00BB1A07">
              <w:t>925-960</w:t>
            </w:r>
          </w:p>
        </w:tc>
        <w:tc>
          <w:tcPr>
            <w:tcW w:w="1516" w:type="dxa"/>
          </w:tcPr>
          <w:p w:rsidR="006C61B6" w:rsidRPr="00BB1A07" w:rsidRDefault="006C61B6" w:rsidP="00D16BCE">
            <w:pPr>
              <w:pStyle w:val="Tabletext"/>
              <w:jc w:val="center"/>
            </w:pPr>
            <w:r w:rsidRPr="00BB1A07">
              <w:t>45</w:t>
            </w:r>
          </w:p>
        </w:tc>
        <w:tc>
          <w:tcPr>
            <w:tcW w:w="1653" w:type="dxa"/>
          </w:tcPr>
          <w:p w:rsidR="006C61B6" w:rsidRPr="00BB1A07" w:rsidRDefault="006C61B6" w:rsidP="00D16BCE">
            <w:pPr>
              <w:pStyle w:val="Tabletext"/>
              <w:jc w:val="center"/>
            </w:pPr>
            <w:r w:rsidRPr="00BB1A07">
              <w:t>Aucune</w:t>
            </w:r>
          </w:p>
        </w:tc>
      </w:tr>
      <w:tr w:rsidR="006C61B6" w:rsidRPr="00BB1A07" w:rsidTr="00D16BCE">
        <w:trPr>
          <w:jc w:val="center"/>
        </w:trPr>
        <w:tc>
          <w:tcPr>
            <w:tcW w:w="1789" w:type="dxa"/>
          </w:tcPr>
          <w:p w:rsidR="006C61B6" w:rsidRPr="00BB1A07" w:rsidRDefault="006C61B6" w:rsidP="00D16BCE">
            <w:pPr>
              <w:pStyle w:val="Tabletext"/>
              <w:jc w:val="center"/>
            </w:pPr>
            <w:r w:rsidRPr="00BB1A07">
              <w:t>A3</w:t>
            </w:r>
          </w:p>
        </w:tc>
        <w:tc>
          <w:tcPr>
            <w:tcW w:w="1790" w:type="dxa"/>
          </w:tcPr>
          <w:p w:rsidR="006C61B6" w:rsidRPr="00BB1A07" w:rsidRDefault="006C61B6" w:rsidP="00D16BCE">
            <w:pPr>
              <w:pStyle w:val="Tabletext"/>
              <w:jc w:val="center"/>
            </w:pPr>
            <w:r w:rsidRPr="00BB1A07">
              <w:t>832-862</w:t>
            </w:r>
          </w:p>
        </w:tc>
        <w:tc>
          <w:tcPr>
            <w:tcW w:w="1516" w:type="dxa"/>
          </w:tcPr>
          <w:p w:rsidR="006C61B6" w:rsidRPr="00BB1A07" w:rsidRDefault="006C61B6" w:rsidP="00D16BCE">
            <w:pPr>
              <w:pStyle w:val="Tabletext"/>
              <w:jc w:val="center"/>
            </w:pPr>
            <w:r w:rsidRPr="00BB1A07">
              <w:t>11</w:t>
            </w:r>
          </w:p>
        </w:tc>
        <w:tc>
          <w:tcPr>
            <w:tcW w:w="1380" w:type="dxa"/>
          </w:tcPr>
          <w:p w:rsidR="006C61B6" w:rsidRPr="00BB1A07" w:rsidRDefault="006C61B6" w:rsidP="00D16BCE">
            <w:pPr>
              <w:pStyle w:val="Tabletext"/>
              <w:jc w:val="center"/>
            </w:pPr>
            <w:r w:rsidRPr="00BB1A07">
              <w:t>791-821</w:t>
            </w:r>
          </w:p>
        </w:tc>
        <w:tc>
          <w:tcPr>
            <w:tcW w:w="1516" w:type="dxa"/>
          </w:tcPr>
          <w:p w:rsidR="006C61B6" w:rsidRPr="00BB1A07" w:rsidRDefault="006C61B6" w:rsidP="00D16BCE">
            <w:pPr>
              <w:pStyle w:val="Tabletext"/>
              <w:jc w:val="center"/>
            </w:pPr>
            <w:r w:rsidRPr="00BB1A07">
              <w:t>41</w:t>
            </w:r>
          </w:p>
        </w:tc>
        <w:tc>
          <w:tcPr>
            <w:tcW w:w="1653" w:type="dxa"/>
          </w:tcPr>
          <w:p w:rsidR="006C61B6" w:rsidRPr="00BB1A07" w:rsidRDefault="006C61B6" w:rsidP="00D16BCE">
            <w:pPr>
              <w:pStyle w:val="Tabletext"/>
              <w:jc w:val="center"/>
            </w:pPr>
            <w:r w:rsidRPr="00BB1A07">
              <w:t>Aucune</w:t>
            </w:r>
          </w:p>
        </w:tc>
      </w:tr>
      <w:tr w:rsidR="006C61B6" w:rsidRPr="00BB1A07" w:rsidTr="00D16BCE">
        <w:trPr>
          <w:jc w:val="center"/>
        </w:trPr>
        <w:tc>
          <w:tcPr>
            <w:tcW w:w="1789" w:type="dxa"/>
          </w:tcPr>
          <w:p w:rsidR="006C61B6" w:rsidRPr="00BB1A07" w:rsidRDefault="006C61B6" w:rsidP="00D16BCE">
            <w:pPr>
              <w:pStyle w:val="Tabletext"/>
              <w:jc w:val="center"/>
            </w:pPr>
            <w:r w:rsidRPr="00BB1A07">
              <w:t>A4</w:t>
            </w:r>
          </w:p>
        </w:tc>
        <w:tc>
          <w:tcPr>
            <w:tcW w:w="1790" w:type="dxa"/>
          </w:tcPr>
          <w:p w:rsidR="006C61B6" w:rsidRPr="00BB1A07" w:rsidRDefault="006C61B6" w:rsidP="00D16BCE">
            <w:pPr>
              <w:pStyle w:val="Tabletext"/>
              <w:jc w:val="center"/>
            </w:pPr>
            <w:r w:rsidRPr="00BB1A07">
              <w:t>698-716</w:t>
            </w:r>
          </w:p>
          <w:p w:rsidR="006C61B6" w:rsidRPr="00BB1A07" w:rsidRDefault="006C61B6" w:rsidP="00D16BCE">
            <w:pPr>
              <w:pStyle w:val="Tabletext"/>
              <w:jc w:val="center"/>
            </w:pPr>
            <w:r w:rsidRPr="00BB1A07">
              <w:t>776-793</w:t>
            </w:r>
          </w:p>
        </w:tc>
        <w:tc>
          <w:tcPr>
            <w:tcW w:w="1516" w:type="dxa"/>
          </w:tcPr>
          <w:p w:rsidR="006C61B6" w:rsidRPr="00BB1A07" w:rsidRDefault="006C61B6" w:rsidP="00D16BCE">
            <w:pPr>
              <w:pStyle w:val="Tabletext"/>
              <w:jc w:val="center"/>
            </w:pPr>
            <w:r w:rsidRPr="00BB1A07">
              <w:t>12</w:t>
            </w:r>
          </w:p>
          <w:p w:rsidR="006C61B6" w:rsidRPr="00BB1A07" w:rsidRDefault="006C61B6" w:rsidP="00D16BCE">
            <w:pPr>
              <w:pStyle w:val="Tabletext"/>
              <w:jc w:val="center"/>
            </w:pPr>
            <w:r w:rsidRPr="00BB1A07">
              <w:t>13</w:t>
            </w:r>
          </w:p>
        </w:tc>
        <w:tc>
          <w:tcPr>
            <w:tcW w:w="1380" w:type="dxa"/>
          </w:tcPr>
          <w:p w:rsidR="006C61B6" w:rsidRPr="00BB1A07" w:rsidRDefault="006C61B6" w:rsidP="00D16BCE">
            <w:pPr>
              <w:pStyle w:val="Tabletext"/>
              <w:jc w:val="center"/>
            </w:pPr>
            <w:r w:rsidRPr="00BB1A07">
              <w:t>728-746</w:t>
            </w:r>
          </w:p>
          <w:p w:rsidR="006C61B6" w:rsidRPr="00BB1A07" w:rsidRDefault="006C61B6" w:rsidP="00D16BCE">
            <w:pPr>
              <w:pStyle w:val="Tabletext"/>
              <w:jc w:val="center"/>
            </w:pPr>
            <w:r w:rsidRPr="00BB1A07">
              <w:t>746-763</w:t>
            </w:r>
          </w:p>
        </w:tc>
        <w:tc>
          <w:tcPr>
            <w:tcW w:w="1516" w:type="dxa"/>
          </w:tcPr>
          <w:p w:rsidR="006C61B6" w:rsidRPr="00BB1A07" w:rsidRDefault="006C61B6" w:rsidP="00D16BCE">
            <w:pPr>
              <w:pStyle w:val="Tabletext"/>
              <w:jc w:val="center"/>
            </w:pPr>
            <w:r w:rsidRPr="00BB1A07">
              <w:t>30</w:t>
            </w:r>
          </w:p>
          <w:p w:rsidR="006C61B6" w:rsidRPr="00BB1A07" w:rsidRDefault="006C61B6" w:rsidP="00D16BCE">
            <w:pPr>
              <w:pStyle w:val="Tabletext"/>
              <w:jc w:val="center"/>
            </w:pPr>
            <w:r w:rsidRPr="00BB1A07">
              <w:t>30</w:t>
            </w:r>
          </w:p>
        </w:tc>
        <w:tc>
          <w:tcPr>
            <w:tcW w:w="1653" w:type="dxa"/>
          </w:tcPr>
          <w:p w:rsidR="006C61B6" w:rsidRPr="00BB1A07" w:rsidRDefault="006C61B6" w:rsidP="00D16BCE">
            <w:pPr>
              <w:pStyle w:val="Tabletext"/>
              <w:jc w:val="center"/>
            </w:pPr>
            <w:r w:rsidRPr="00BB1A07">
              <w:t>716-728</w:t>
            </w:r>
          </w:p>
        </w:tc>
      </w:tr>
      <w:tr w:rsidR="006C61B6" w:rsidRPr="00BB1A07" w:rsidTr="00D16BCE">
        <w:trPr>
          <w:jc w:val="center"/>
        </w:trPr>
        <w:tc>
          <w:tcPr>
            <w:tcW w:w="1789" w:type="dxa"/>
            <w:tcBorders>
              <w:bottom w:val="single" w:sz="4" w:space="0" w:color="auto"/>
            </w:tcBorders>
          </w:tcPr>
          <w:p w:rsidR="006C61B6" w:rsidRPr="00BB1A07" w:rsidRDefault="006C61B6" w:rsidP="00D16BCE">
            <w:pPr>
              <w:pStyle w:val="Tabletext"/>
              <w:jc w:val="center"/>
            </w:pPr>
            <w:r w:rsidRPr="00BB1A07">
              <w:t>A5</w:t>
            </w:r>
          </w:p>
        </w:tc>
        <w:tc>
          <w:tcPr>
            <w:tcW w:w="1790" w:type="dxa"/>
            <w:tcBorders>
              <w:bottom w:val="single" w:sz="4" w:space="0" w:color="auto"/>
            </w:tcBorders>
          </w:tcPr>
          <w:p w:rsidR="006C61B6" w:rsidRPr="00BB1A07" w:rsidRDefault="006C61B6" w:rsidP="00D16BCE">
            <w:pPr>
              <w:pStyle w:val="Tabletext"/>
              <w:jc w:val="center"/>
            </w:pPr>
            <w:r w:rsidRPr="00BB1A07">
              <w:t>703-748</w:t>
            </w:r>
          </w:p>
        </w:tc>
        <w:tc>
          <w:tcPr>
            <w:tcW w:w="1516" w:type="dxa"/>
            <w:tcBorders>
              <w:bottom w:val="single" w:sz="4" w:space="0" w:color="auto"/>
            </w:tcBorders>
          </w:tcPr>
          <w:p w:rsidR="006C61B6" w:rsidRPr="00BB1A07" w:rsidRDefault="006C61B6" w:rsidP="00D16BCE">
            <w:pPr>
              <w:pStyle w:val="Tabletext"/>
              <w:jc w:val="center"/>
            </w:pPr>
            <w:r w:rsidRPr="00BB1A07">
              <w:t>10</w:t>
            </w:r>
          </w:p>
        </w:tc>
        <w:tc>
          <w:tcPr>
            <w:tcW w:w="1380" w:type="dxa"/>
            <w:tcBorders>
              <w:bottom w:val="single" w:sz="4" w:space="0" w:color="auto"/>
            </w:tcBorders>
          </w:tcPr>
          <w:p w:rsidR="006C61B6" w:rsidRPr="00BB1A07" w:rsidRDefault="006C61B6" w:rsidP="00D16BCE">
            <w:pPr>
              <w:pStyle w:val="Tabletext"/>
              <w:jc w:val="center"/>
            </w:pPr>
            <w:r w:rsidRPr="00BB1A07">
              <w:t>758-803</w:t>
            </w:r>
          </w:p>
        </w:tc>
        <w:tc>
          <w:tcPr>
            <w:tcW w:w="1516" w:type="dxa"/>
            <w:tcBorders>
              <w:bottom w:val="single" w:sz="4" w:space="0" w:color="auto"/>
            </w:tcBorders>
          </w:tcPr>
          <w:p w:rsidR="006C61B6" w:rsidRPr="00BB1A07" w:rsidRDefault="006C61B6" w:rsidP="00D16BCE">
            <w:pPr>
              <w:pStyle w:val="Tabletext"/>
              <w:jc w:val="center"/>
            </w:pPr>
            <w:r w:rsidRPr="00BB1A07">
              <w:t>55</w:t>
            </w:r>
          </w:p>
        </w:tc>
        <w:tc>
          <w:tcPr>
            <w:tcW w:w="1653" w:type="dxa"/>
            <w:tcBorders>
              <w:bottom w:val="single" w:sz="4" w:space="0" w:color="auto"/>
            </w:tcBorders>
          </w:tcPr>
          <w:p w:rsidR="006C61B6" w:rsidRPr="00BB1A07" w:rsidRDefault="006C61B6" w:rsidP="00D16BCE">
            <w:pPr>
              <w:pStyle w:val="Tabletext"/>
              <w:jc w:val="center"/>
            </w:pPr>
            <w:r w:rsidRPr="00BB1A07">
              <w:t>Aucune</w:t>
            </w:r>
          </w:p>
        </w:tc>
      </w:tr>
      <w:tr w:rsidR="006C61B6" w:rsidRPr="00BB1A07" w:rsidTr="00D16BCE">
        <w:trPr>
          <w:jc w:val="center"/>
        </w:trPr>
        <w:tc>
          <w:tcPr>
            <w:tcW w:w="1789" w:type="dxa"/>
            <w:tcBorders>
              <w:bottom w:val="single" w:sz="4" w:space="0" w:color="auto"/>
            </w:tcBorders>
          </w:tcPr>
          <w:p w:rsidR="006C61B6" w:rsidRPr="00BB1A07" w:rsidRDefault="006C61B6" w:rsidP="00D16BCE">
            <w:pPr>
              <w:pStyle w:val="Tabletext"/>
              <w:jc w:val="center"/>
            </w:pPr>
            <w:r w:rsidRPr="00BB1A07">
              <w:t>A6</w:t>
            </w:r>
          </w:p>
        </w:tc>
        <w:tc>
          <w:tcPr>
            <w:tcW w:w="1790" w:type="dxa"/>
            <w:tcBorders>
              <w:bottom w:val="single" w:sz="4" w:space="0" w:color="auto"/>
            </w:tcBorders>
          </w:tcPr>
          <w:p w:rsidR="006C61B6" w:rsidRPr="00BB1A07" w:rsidRDefault="006C61B6" w:rsidP="00D16BCE">
            <w:pPr>
              <w:pStyle w:val="Tabletext"/>
              <w:jc w:val="center"/>
            </w:pPr>
            <w:r w:rsidRPr="00BB1A07">
              <w:t>Aucun</w:t>
            </w:r>
          </w:p>
        </w:tc>
        <w:tc>
          <w:tcPr>
            <w:tcW w:w="1516" w:type="dxa"/>
            <w:tcBorders>
              <w:bottom w:val="single" w:sz="4" w:space="0" w:color="auto"/>
            </w:tcBorders>
          </w:tcPr>
          <w:p w:rsidR="006C61B6" w:rsidRPr="00BB1A07" w:rsidRDefault="006C61B6" w:rsidP="00D16BCE">
            <w:pPr>
              <w:pStyle w:val="Tabletext"/>
              <w:jc w:val="center"/>
            </w:pPr>
            <w:r w:rsidRPr="00BB1A07">
              <w:t>Aucun</w:t>
            </w:r>
          </w:p>
        </w:tc>
        <w:tc>
          <w:tcPr>
            <w:tcW w:w="1380" w:type="dxa"/>
            <w:tcBorders>
              <w:bottom w:val="single" w:sz="4" w:space="0" w:color="auto"/>
            </w:tcBorders>
          </w:tcPr>
          <w:p w:rsidR="006C61B6" w:rsidRPr="00BB1A07" w:rsidRDefault="006C61B6" w:rsidP="00D16BCE">
            <w:pPr>
              <w:pStyle w:val="Tabletext"/>
              <w:jc w:val="center"/>
            </w:pPr>
            <w:r w:rsidRPr="00BB1A07">
              <w:t>Aucun</w:t>
            </w:r>
          </w:p>
        </w:tc>
        <w:tc>
          <w:tcPr>
            <w:tcW w:w="1516" w:type="dxa"/>
            <w:tcBorders>
              <w:bottom w:val="single" w:sz="4" w:space="0" w:color="auto"/>
            </w:tcBorders>
          </w:tcPr>
          <w:p w:rsidR="006C61B6" w:rsidRPr="00BB1A07" w:rsidRDefault="006C61B6" w:rsidP="00D16BCE">
            <w:pPr>
              <w:pStyle w:val="Tabletext"/>
              <w:jc w:val="center"/>
            </w:pPr>
          </w:p>
        </w:tc>
        <w:tc>
          <w:tcPr>
            <w:tcW w:w="1653" w:type="dxa"/>
            <w:tcBorders>
              <w:bottom w:val="single" w:sz="4" w:space="0" w:color="auto"/>
            </w:tcBorders>
          </w:tcPr>
          <w:p w:rsidR="006C61B6" w:rsidRPr="00BB1A07" w:rsidRDefault="006C61B6" w:rsidP="00D16BCE">
            <w:pPr>
              <w:pStyle w:val="Tabletext"/>
              <w:jc w:val="center"/>
            </w:pPr>
            <w:r w:rsidRPr="00BB1A07">
              <w:t>698-806</w:t>
            </w:r>
          </w:p>
        </w:tc>
      </w:tr>
      <w:tr w:rsidR="006C61B6" w:rsidRPr="00BB1A07" w:rsidTr="00D16BCE">
        <w:trPr>
          <w:jc w:val="center"/>
        </w:trPr>
        <w:tc>
          <w:tcPr>
            <w:tcW w:w="1789" w:type="dxa"/>
            <w:tcBorders>
              <w:bottom w:val="single" w:sz="4" w:space="0" w:color="auto"/>
            </w:tcBorders>
          </w:tcPr>
          <w:p w:rsidR="006C61B6" w:rsidRPr="007430C6" w:rsidRDefault="006C61B6" w:rsidP="00D16BCE">
            <w:pPr>
              <w:pStyle w:val="Tabletext"/>
              <w:jc w:val="center"/>
              <w:rPr>
                <w:lang w:val="ru-RU"/>
              </w:rPr>
            </w:pPr>
            <w:r w:rsidRPr="007430C6">
              <w:rPr>
                <w:lang w:val="ru-RU"/>
              </w:rPr>
              <w:t>A7</w:t>
            </w:r>
          </w:p>
        </w:tc>
        <w:tc>
          <w:tcPr>
            <w:tcW w:w="1790" w:type="dxa"/>
            <w:tcBorders>
              <w:bottom w:val="single" w:sz="4" w:space="0" w:color="auto"/>
            </w:tcBorders>
          </w:tcPr>
          <w:p w:rsidR="006C61B6" w:rsidRPr="00BB1A07" w:rsidRDefault="006C61B6" w:rsidP="00D16BCE">
            <w:pPr>
              <w:pStyle w:val="Tabletext"/>
              <w:jc w:val="center"/>
            </w:pPr>
            <w:r w:rsidRPr="00BB1A07">
              <w:t>703-733</w:t>
            </w:r>
          </w:p>
        </w:tc>
        <w:tc>
          <w:tcPr>
            <w:tcW w:w="1516" w:type="dxa"/>
            <w:tcBorders>
              <w:bottom w:val="single" w:sz="4" w:space="0" w:color="auto"/>
            </w:tcBorders>
          </w:tcPr>
          <w:p w:rsidR="006C61B6" w:rsidRPr="00BB1A07" w:rsidRDefault="006C61B6" w:rsidP="00D16BCE">
            <w:pPr>
              <w:pStyle w:val="Tabletext"/>
              <w:jc w:val="center"/>
            </w:pPr>
            <w:r w:rsidRPr="00BB1A07">
              <w:t>25</w:t>
            </w:r>
          </w:p>
        </w:tc>
        <w:tc>
          <w:tcPr>
            <w:tcW w:w="1380" w:type="dxa"/>
            <w:tcBorders>
              <w:bottom w:val="single" w:sz="4" w:space="0" w:color="auto"/>
            </w:tcBorders>
          </w:tcPr>
          <w:p w:rsidR="006C61B6" w:rsidRPr="00BB1A07" w:rsidRDefault="006C61B6" w:rsidP="00D16BCE">
            <w:pPr>
              <w:pStyle w:val="Tabletext"/>
              <w:jc w:val="center"/>
            </w:pPr>
            <w:r w:rsidRPr="00BB1A07">
              <w:t>758-788</w:t>
            </w:r>
          </w:p>
        </w:tc>
        <w:tc>
          <w:tcPr>
            <w:tcW w:w="1516" w:type="dxa"/>
            <w:tcBorders>
              <w:bottom w:val="single" w:sz="4" w:space="0" w:color="auto"/>
            </w:tcBorders>
          </w:tcPr>
          <w:p w:rsidR="006C61B6" w:rsidRPr="00BB1A07" w:rsidRDefault="006C61B6" w:rsidP="00D16BCE">
            <w:pPr>
              <w:pStyle w:val="Tabletext"/>
              <w:jc w:val="center"/>
            </w:pPr>
            <w:r w:rsidRPr="00BB1A07">
              <w:t>55</w:t>
            </w:r>
          </w:p>
        </w:tc>
        <w:tc>
          <w:tcPr>
            <w:tcW w:w="1653" w:type="dxa"/>
            <w:tcBorders>
              <w:bottom w:val="single" w:sz="4" w:space="0" w:color="auto"/>
            </w:tcBorders>
          </w:tcPr>
          <w:p w:rsidR="006C61B6" w:rsidRPr="00BB1A07" w:rsidRDefault="006C61B6" w:rsidP="00D16BCE">
            <w:pPr>
              <w:pStyle w:val="Tabletext"/>
              <w:jc w:val="center"/>
            </w:pPr>
            <w:r w:rsidRPr="00BB1A07">
              <w:t>Aucune</w:t>
            </w:r>
          </w:p>
        </w:tc>
      </w:tr>
      <w:tr w:rsidR="006C61B6" w:rsidRPr="00BB1A07" w:rsidTr="00D16BCE">
        <w:trPr>
          <w:jc w:val="center"/>
        </w:trPr>
        <w:tc>
          <w:tcPr>
            <w:tcW w:w="1789" w:type="dxa"/>
            <w:tcBorders>
              <w:bottom w:val="single" w:sz="4" w:space="0" w:color="auto"/>
            </w:tcBorders>
          </w:tcPr>
          <w:p w:rsidR="006C61B6" w:rsidRPr="00BB1A07" w:rsidRDefault="006C61B6" w:rsidP="00D16BCE">
            <w:pPr>
              <w:pStyle w:val="Tabletext"/>
              <w:jc w:val="center"/>
            </w:pPr>
            <w:r w:rsidRPr="00BB1A07">
              <w:t>A8</w:t>
            </w:r>
          </w:p>
        </w:tc>
        <w:tc>
          <w:tcPr>
            <w:tcW w:w="1790" w:type="dxa"/>
            <w:tcBorders>
              <w:bottom w:val="single" w:sz="4" w:space="0" w:color="auto"/>
            </w:tcBorders>
          </w:tcPr>
          <w:p w:rsidR="006C61B6" w:rsidRPr="00BB1A07" w:rsidRDefault="006C61B6" w:rsidP="00D16BCE">
            <w:pPr>
              <w:pStyle w:val="Tabletext"/>
              <w:jc w:val="center"/>
            </w:pPr>
            <w:r w:rsidRPr="00BB1A07">
              <w:t>698-703</w:t>
            </w:r>
          </w:p>
        </w:tc>
        <w:tc>
          <w:tcPr>
            <w:tcW w:w="1516" w:type="dxa"/>
            <w:tcBorders>
              <w:bottom w:val="single" w:sz="4" w:space="0" w:color="auto"/>
            </w:tcBorders>
          </w:tcPr>
          <w:p w:rsidR="006C61B6" w:rsidRPr="00BB1A07" w:rsidRDefault="006C61B6" w:rsidP="00D16BCE">
            <w:pPr>
              <w:pStyle w:val="Tabletext"/>
              <w:jc w:val="center"/>
            </w:pPr>
            <w:r w:rsidRPr="00BB1A07">
              <w:t>50</w:t>
            </w:r>
          </w:p>
        </w:tc>
        <w:tc>
          <w:tcPr>
            <w:tcW w:w="1380" w:type="dxa"/>
            <w:tcBorders>
              <w:bottom w:val="single" w:sz="4" w:space="0" w:color="auto"/>
            </w:tcBorders>
          </w:tcPr>
          <w:p w:rsidR="006C61B6" w:rsidRPr="00BB1A07" w:rsidRDefault="006C61B6" w:rsidP="00D16BCE">
            <w:pPr>
              <w:pStyle w:val="Tabletext"/>
              <w:jc w:val="center"/>
            </w:pPr>
            <w:r w:rsidRPr="00BB1A07">
              <w:t>753-758</w:t>
            </w:r>
          </w:p>
        </w:tc>
        <w:tc>
          <w:tcPr>
            <w:tcW w:w="1516" w:type="dxa"/>
            <w:tcBorders>
              <w:bottom w:val="single" w:sz="4" w:space="0" w:color="auto"/>
            </w:tcBorders>
          </w:tcPr>
          <w:p w:rsidR="006C61B6" w:rsidRPr="00BB1A07" w:rsidRDefault="006C61B6" w:rsidP="00D16BCE">
            <w:pPr>
              <w:pStyle w:val="Tabletext"/>
              <w:jc w:val="center"/>
            </w:pPr>
            <w:r w:rsidRPr="00BB1A07">
              <w:t>55</w:t>
            </w:r>
          </w:p>
        </w:tc>
        <w:tc>
          <w:tcPr>
            <w:tcW w:w="1653" w:type="dxa"/>
            <w:tcBorders>
              <w:bottom w:val="single" w:sz="4" w:space="0" w:color="auto"/>
            </w:tcBorders>
          </w:tcPr>
          <w:p w:rsidR="006C61B6" w:rsidRPr="00BB1A07" w:rsidRDefault="006C61B6" w:rsidP="00D16BCE">
            <w:pPr>
              <w:pStyle w:val="Tabletext"/>
              <w:jc w:val="center"/>
            </w:pPr>
            <w:r w:rsidRPr="00BB1A07">
              <w:t>Aucune</w:t>
            </w:r>
          </w:p>
        </w:tc>
      </w:tr>
      <w:tr w:rsidR="006C61B6" w:rsidRPr="00BB1A07" w:rsidTr="00D16BCE">
        <w:trPr>
          <w:jc w:val="center"/>
        </w:trPr>
        <w:tc>
          <w:tcPr>
            <w:tcW w:w="1789" w:type="dxa"/>
            <w:tcBorders>
              <w:bottom w:val="single" w:sz="4" w:space="0" w:color="auto"/>
            </w:tcBorders>
          </w:tcPr>
          <w:p w:rsidR="006C61B6" w:rsidRPr="00BB1A07" w:rsidRDefault="006C61B6" w:rsidP="00D16BCE">
            <w:pPr>
              <w:pStyle w:val="Tabletext"/>
              <w:jc w:val="center"/>
            </w:pPr>
            <w:r w:rsidRPr="00BB1A07">
              <w:t>A9</w:t>
            </w:r>
          </w:p>
        </w:tc>
        <w:tc>
          <w:tcPr>
            <w:tcW w:w="1790" w:type="dxa"/>
            <w:tcBorders>
              <w:bottom w:val="single" w:sz="4" w:space="0" w:color="auto"/>
            </w:tcBorders>
          </w:tcPr>
          <w:p w:rsidR="006C61B6" w:rsidRPr="00BB1A07" w:rsidRDefault="006C61B6" w:rsidP="00D16BCE">
            <w:pPr>
              <w:pStyle w:val="Tabletext"/>
              <w:jc w:val="center"/>
            </w:pPr>
            <w:r w:rsidRPr="00BB1A07">
              <w:t>733-736</w:t>
            </w:r>
          </w:p>
        </w:tc>
        <w:tc>
          <w:tcPr>
            <w:tcW w:w="1516" w:type="dxa"/>
            <w:tcBorders>
              <w:bottom w:val="single" w:sz="4" w:space="0" w:color="auto"/>
            </w:tcBorders>
          </w:tcPr>
          <w:p w:rsidR="006C61B6" w:rsidRPr="00BB1A07" w:rsidRDefault="006C61B6" w:rsidP="00D16BCE">
            <w:pPr>
              <w:pStyle w:val="Tabletext"/>
              <w:jc w:val="center"/>
            </w:pPr>
            <w:r w:rsidRPr="00BB1A07">
              <w:t>52</w:t>
            </w:r>
          </w:p>
        </w:tc>
        <w:tc>
          <w:tcPr>
            <w:tcW w:w="1380" w:type="dxa"/>
            <w:tcBorders>
              <w:bottom w:val="single" w:sz="4" w:space="0" w:color="auto"/>
            </w:tcBorders>
          </w:tcPr>
          <w:p w:rsidR="006C61B6" w:rsidRPr="00BB1A07" w:rsidRDefault="006C61B6" w:rsidP="00D16BCE">
            <w:pPr>
              <w:pStyle w:val="Tabletext"/>
              <w:jc w:val="center"/>
            </w:pPr>
            <w:r w:rsidRPr="00BB1A07">
              <w:t>788-791</w:t>
            </w:r>
          </w:p>
        </w:tc>
        <w:tc>
          <w:tcPr>
            <w:tcW w:w="1516" w:type="dxa"/>
            <w:tcBorders>
              <w:bottom w:val="single" w:sz="4" w:space="0" w:color="auto"/>
            </w:tcBorders>
          </w:tcPr>
          <w:p w:rsidR="006C61B6" w:rsidRPr="00BB1A07" w:rsidRDefault="006C61B6" w:rsidP="00D16BCE">
            <w:pPr>
              <w:pStyle w:val="Tabletext"/>
              <w:jc w:val="center"/>
            </w:pPr>
            <w:r w:rsidRPr="00BB1A07">
              <w:t>55</w:t>
            </w:r>
          </w:p>
        </w:tc>
        <w:tc>
          <w:tcPr>
            <w:tcW w:w="1653" w:type="dxa"/>
            <w:tcBorders>
              <w:bottom w:val="single" w:sz="4" w:space="0" w:color="auto"/>
            </w:tcBorders>
          </w:tcPr>
          <w:p w:rsidR="006C61B6" w:rsidRPr="00BB1A07" w:rsidRDefault="006C61B6" w:rsidP="00D16BCE">
            <w:pPr>
              <w:pStyle w:val="Tabletext"/>
              <w:jc w:val="center"/>
            </w:pPr>
            <w:r w:rsidRPr="00BB1A07">
              <w:t>Aucune</w:t>
            </w:r>
          </w:p>
        </w:tc>
      </w:tr>
      <w:tr w:rsidR="006C61B6" w:rsidRPr="00BB1A07" w:rsidTr="00D16BCE">
        <w:trPr>
          <w:jc w:val="center"/>
        </w:trPr>
        <w:tc>
          <w:tcPr>
            <w:tcW w:w="1789" w:type="dxa"/>
            <w:tcBorders>
              <w:bottom w:val="single" w:sz="4" w:space="0" w:color="auto"/>
            </w:tcBorders>
          </w:tcPr>
          <w:p w:rsidR="006C61B6" w:rsidRPr="00BB1A07" w:rsidRDefault="006C61B6" w:rsidP="00D16BCE">
            <w:pPr>
              <w:pStyle w:val="Tabletext"/>
              <w:jc w:val="center"/>
            </w:pPr>
            <w:r w:rsidRPr="00BB1A07">
              <w:t>A10</w:t>
            </w:r>
          </w:p>
        </w:tc>
        <w:tc>
          <w:tcPr>
            <w:tcW w:w="1790" w:type="dxa"/>
            <w:tcBorders>
              <w:bottom w:val="single" w:sz="4" w:space="0" w:color="auto"/>
            </w:tcBorders>
          </w:tcPr>
          <w:p w:rsidR="006C61B6" w:rsidRPr="00BB1A07" w:rsidRDefault="006C61B6" w:rsidP="00D16BCE">
            <w:pPr>
              <w:pStyle w:val="Tabletext"/>
              <w:jc w:val="center"/>
            </w:pPr>
            <w:r w:rsidRPr="00BB1A07">
              <w:t>Externe</w:t>
            </w:r>
          </w:p>
        </w:tc>
        <w:tc>
          <w:tcPr>
            <w:tcW w:w="1516" w:type="dxa"/>
            <w:tcBorders>
              <w:bottom w:val="single" w:sz="4" w:space="0" w:color="auto"/>
            </w:tcBorders>
          </w:tcPr>
          <w:p w:rsidR="006C61B6" w:rsidRPr="00BB1A07" w:rsidRDefault="006C61B6" w:rsidP="00D16BCE">
            <w:pPr>
              <w:pStyle w:val="Tabletext"/>
              <w:jc w:val="center"/>
            </w:pPr>
            <w:r w:rsidRPr="00BB1A07">
              <w:t>‒</w:t>
            </w:r>
          </w:p>
        </w:tc>
        <w:tc>
          <w:tcPr>
            <w:tcW w:w="1380" w:type="dxa"/>
            <w:tcBorders>
              <w:bottom w:val="single" w:sz="4" w:space="0" w:color="auto"/>
            </w:tcBorders>
          </w:tcPr>
          <w:p w:rsidR="006C61B6" w:rsidRPr="00BB1A07" w:rsidRDefault="006C61B6" w:rsidP="00D16BCE">
            <w:pPr>
              <w:pStyle w:val="Tabletext"/>
              <w:jc w:val="center"/>
            </w:pPr>
            <w:r w:rsidRPr="00BB1A07">
              <w:t>738-758</w:t>
            </w:r>
          </w:p>
        </w:tc>
        <w:tc>
          <w:tcPr>
            <w:tcW w:w="1516" w:type="dxa"/>
            <w:tcBorders>
              <w:bottom w:val="single" w:sz="4" w:space="0" w:color="auto"/>
            </w:tcBorders>
          </w:tcPr>
          <w:p w:rsidR="006C61B6" w:rsidRPr="00BB1A07" w:rsidRDefault="006C61B6" w:rsidP="00D16BCE">
            <w:pPr>
              <w:pStyle w:val="Tabletext"/>
              <w:jc w:val="center"/>
            </w:pPr>
            <w:r w:rsidRPr="00BB1A07">
              <w:t>‒</w:t>
            </w:r>
          </w:p>
        </w:tc>
        <w:tc>
          <w:tcPr>
            <w:tcW w:w="1653" w:type="dxa"/>
            <w:tcBorders>
              <w:bottom w:val="single" w:sz="4" w:space="0" w:color="auto"/>
            </w:tcBorders>
          </w:tcPr>
          <w:p w:rsidR="006C61B6" w:rsidRPr="00BB1A07" w:rsidRDefault="006C61B6" w:rsidP="00D16BCE">
            <w:pPr>
              <w:pStyle w:val="Tabletext"/>
              <w:jc w:val="center"/>
            </w:pPr>
            <w:r w:rsidRPr="00BB1A07">
              <w:t>Aucune</w:t>
            </w:r>
          </w:p>
        </w:tc>
      </w:tr>
      <w:tr w:rsidR="006C61B6" w:rsidRPr="00BB1A07" w:rsidTr="00D16BCE">
        <w:trPr>
          <w:jc w:val="center"/>
        </w:trPr>
        <w:tc>
          <w:tcPr>
            <w:tcW w:w="1789" w:type="dxa"/>
            <w:tcBorders>
              <w:bottom w:val="single" w:sz="4" w:space="0" w:color="auto"/>
            </w:tcBorders>
          </w:tcPr>
          <w:p w:rsidR="006C61B6" w:rsidRPr="00BB1A07" w:rsidRDefault="006C61B6" w:rsidP="00D16BCE">
            <w:pPr>
              <w:pStyle w:val="Tabletext"/>
              <w:jc w:val="center"/>
            </w:pPr>
            <w:r w:rsidRPr="00BB1A07">
              <w:t>A11 (harmonisée avec A7 et A10)</w:t>
            </w:r>
          </w:p>
        </w:tc>
        <w:tc>
          <w:tcPr>
            <w:tcW w:w="1790" w:type="dxa"/>
            <w:tcBorders>
              <w:bottom w:val="single" w:sz="4" w:space="0" w:color="auto"/>
            </w:tcBorders>
          </w:tcPr>
          <w:p w:rsidR="006C61B6" w:rsidRPr="00BB1A07" w:rsidRDefault="006C61B6" w:rsidP="00D16BCE">
            <w:pPr>
              <w:pStyle w:val="Tabletext"/>
              <w:jc w:val="center"/>
            </w:pPr>
            <w:r w:rsidRPr="00BB1A07">
              <w:t>703-733</w:t>
            </w:r>
          </w:p>
          <w:p w:rsidR="006C61B6" w:rsidRPr="00BB1A07" w:rsidRDefault="006C61B6" w:rsidP="00D16BCE">
            <w:pPr>
              <w:pStyle w:val="Tabletext"/>
              <w:jc w:val="center"/>
            </w:pPr>
            <w:r w:rsidRPr="00BB1A07">
              <w:t>Externe</w:t>
            </w:r>
          </w:p>
        </w:tc>
        <w:tc>
          <w:tcPr>
            <w:tcW w:w="1516" w:type="dxa"/>
            <w:tcBorders>
              <w:bottom w:val="single" w:sz="4" w:space="0" w:color="auto"/>
            </w:tcBorders>
          </w:tcPr>
          <w:p w:rsidR="006C61B6" w:rsidRPr="00BB1A07" w:rsidRDefault="006C61B6" w:rsidP="00D16BCE">
            <w:pPr>
              <w:pStyle w:val="Tabletext"/>
              <w:jc w:val="center"/>
            </w:pPr>
            <w:r w:rsidRPr="00BB1A07">
              <w:t>25</w:t>
            </w:r>
          </w:p>
          <w:p w:rsidR="006C61B6" w:rsidRPr="00BB1A07" w:rsidRDefault="006C61B6" w:rsidP="00D16BCE">
            <w:pPr>
              <w:pStyle w:val="Tabletext"/>
              <w:jc w:val="center"/>
            </w:pPr>
            <w:r w:rsidRPr="00BB1A07">
              <w:t>‒</w:t>
            </w:r>
          </w:p>
        </w:tc>
        <w:tc>
          <w:tcPr>
            <w:tcW w:w="1380" w:type="dxa"/>
            <w:tcBorders>
              <w:bottom w:val="single" w:sz="4" w:space="0" w:color="auto"/>
            </w:tcBorders>
          </w:tcPr>
          <w:p w:rsidR="006C61B6" w:rsidRPr="00BB1A07" w:rsidRDefault="006C61B6" w:rsidP="00D16BCE">
            <w:pPr>
              <w:pStyle w:val="Tabletext"/>
              <w:jc w:val="center"/>
            </w:pPr>
            <w:r w:rsidRPr="00BB1A07">
              <w:t>758-788</w:t>
            </w:r>
          </w:p>
          <w:p w:rsidR="006C61B6" w:rsidRPr="00BB1A07" w:rsidRDefault="006C61B6" w:rsidP="00D16BCE">
            <w:pPr>
              <w:pStyle w:val="Tabletext"/>
              <w:jc w:val="center"/>
            </w:pPr>
            <w:r w:rsidRPr="00BB1A07">
              <w:t>738-758</w:t>
            </w:r>
          </w:p>
        </w:tc>
        <w:tc>
          <w:tcPr>
            <w:tcW w:w="1516" w:type="dxa"/>
            <w:tcBorders>
              <w:bottom w:val="single" w:sz="4" w:space="0" w:color="auto"/>
            </w:tcBorders>
          </w:tcPr>
          <w:p w:rsidR="006C61B6" w:rsidRPr="00BB1A07" w:rsidRDefault="006C61B6" w:rsidP="00D16BCE">
            <w:pPr>
              <w:pStyle w:val="Tabletext"/>
              <w:jc w:val="center"/>
            </w:pPr>
            <w:r w:rsidRPr="00BB1A07">
              <w:t>55</w:t>
            </w:r>
          </w:p>
          <w:p w:rsidR="006C61B6" w:rsidRPr="00BB1A07" w:rsidRDefault="006C61B6" w:rsidP="00D16BCE">
            <w:pPr>
              <w:pStyle w:val="Tabletext"/>
              <w:jc w:val="center"/>
            </w:pPr>
            <w:r w:rsidRPr="00BB1A07">
              <w:t>‒</w:t>
            </w:r>
          </w:p>
        </w:tc>
        <w:tc>
          <w:tcPr>
            <w:tcW w:w="1653" w:type="dxa"/>
            <w:tcBorders>
              <w:bottom w:val="single" w:sz="4" w:space="0" w:color="auto"/>
            </w:tcBorders>
          </w:tcPr>
          <w:p w:rsidR="006C61B6" w:rsidRPr="00BB1A07" w:rsidRDefault="006C61B6" w:rsidP="00D16BCE">
            <w:pPr>
              <w:pStyle w:val="Tabletext"/>
              <w:jc w:val="center"/>
            </w:pPr>
            <w:r w:rsidRPr="00BB1A07">
              <w:t>Aucune</w:t>
            </w:r>
          </w:p>
        </w:tc>
      </w:tr>
      <w:tr w:rsidR="006C61B6" w:rsidRPr="00BB1A07" w:rsidTr="00D16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6"/>
          </w:tcPr>
          <w:p w:rsidR="006C61B6" w:rsidRPr="00BB1A07" w:rsidRDefault="006C61B6" w:rsidP="00D16BCE">
            <w:pPr>
              <w:pStyle w:val="Tabletext"/>
            </w:pPr>
          </w:p>
          <w:p w:rsidR="006C61B6" w:rsidRPr="007430C6" w:rsidRDefault="006C61B6" w:rsidP="00D16BCE">
            <w:pPr>
              <w:pStyle w:val="Tabletext"/>
              <w:rPr>
                <w:szCs w:val="22"/>
              </w:rPr>
            </w:pPr>
            <w:r w:rsidRPr="007430C6">
              <w:rPr>
                <w:i/>
                <w:iCs/>
                <w:szCs w:val="22"/>
              </w:rPr>
              <w:t>Notes concernant le Tableau 3</w:t>
            </w:r>
            <w:r w:rsidRPr="007430C6">
              <w:rPr>
                <w:szCs w:val="22"/>
              </w:rPr>
              <w:t>:</w:t>
            </w:r>
          </w:p>
          <w:p w:rsidR="006C61B6" w:rsidRPr="007430C6" w:rsidRDefault="006C61B6" w:rsidP="00D16BCE">
            <w:pPr>
              <w:pStyle w:val="Tabletext"/>
              <w:rPr>
                <w:szCs w:val="22"/>
              </w:rPr>
            </w:pPr>
            <w:r w:rsidRPr="007430C6">
              <w:rPr>
                <w:szCs w:val="22"/>
              </w:rPr>
              <w:t>NOTE 1 – Etant donné que la bande 698-960 MHz est utilisée différemment selon les Régions, il n'est pas possible de définir une solution commune à ce stade.</w:t>
            </w:r>
          </w:p>
          <w:p w:rsidR="006C61B6" w:rsidRPr="007430C6" w:rsidRDefault="006C61B6" w:rsidP="00D16BCE">
            <w:pPr>
              <w:pStyle w:val="Tabletext"/>
              <w:rPr>
                <w:rFonts w:cs="Calibri"/>
                <w:szCs w:val="22"/>
              </w:rPr>
            </w:pPr>
            <w:r w:rsidRPr="007430C6">
              <w:rPr>
                <w:rFonts w:cs="Calibri"/>
                <w:szCs w:val="22"/>
              </w:rPr>
              <w:t>NOTE 2 – En A3, les systèmes IMT fonctionnent en mode DRF et utilisent un sens duplex inversé, le terminal mobile émettant dans la bande supérieure et la station de base dans la bande inférieure. Cette disposition offre de meilleures conditions de coexistence avec le service de radiodiffusion fonctionnant dans la bande adjacente inférieure.</w:t>
            </w:r>
          </w:p>
          <w:p w:rsidR="006C61B6" w:rsidRPr="007430C6" w:rsidRDefault="006C61B6" w:rsidP="00D16BCE">
            <w:pPr>
              <w:pStyle w:val="Tabletext"/>
              <w:rPr>
                <w:szCs w:val="22"/>
              </w:rPr>
            </w:pPr>
            <w:r w:rsidRPr="007430C6">
              <w:rPr>
                <w:szCs w:val="22"/>
              </w:rPr>
              <w:t>Il est à noter que les administrations, qui ne souhaitent pas utiliser ce plan ou pour lesquelles la bande 790</w:t>
            </w:r>
            <w:r w:rsidRPr="007430C6">
              <w:rPr>
                <w:szCs w:val="22"/>
              </w:rPr>
              <w:noBreakHyphen/>
              <w:t>862 MHz n'est pas entièrement disponible, peuvent envisager d'autres dispositions de fréquences, notamment une mise en œuvre partielle de la disposition décrite en A3, une disposition de fréquences DRT (avec une bande de garde d'au moins 7 MHz au-dessus de 790 MHz) ou la mise en place conjointe de dispositions de fréquences DRT et DRF.</w:t>
            </w:r>
          </w:p>
          <w:p w:rsidR="006C61B6" w:rsidRPr="007430C6" w:rsidRDefault="006C61B6" w:rsidP="00D16BCE">
            <w:pPr>
              <w:pStyle w:val="Tabletext"/>
              <w:rPr>
                <w:szCs w:val="22"/>
              </w:rPr>
            </w:pPr>
            <w:r w:rsidRPr="007430C6">
              <w:rPr>
                <w:szCs w:val="22"/>
              </w:rPr>
              <w:t xml:space="preserve">NOTE 3 – En A4, les administrations peuvent utiliser la bande uniquement pour le mode DRF ou le mode DRT, ou pour une combinaison de ces deux modes. Elles peuvent utiliser n'importe quel espacement duplex DRF ou sens duplex DRF. Cela étant, les administrations qui choisissent de déployer des canaux mixtes DRF/DRT avec un espacement duplex fixe pour le mode DRF doivent privilégier l'espacement duplex et le </w:t>
            </w:r>
            <w:r w:rsidRPr="007430C6">
              <w:rPr>
                <w:szCs w:val="22"/>
              </w:rPr>
              <w:lastRenderedPageBreak/>
              <w:t>sens duplex indiqués dans l'arrangement A4. Chaque bloc de bandes de fréquences de l'arrangement à canaux mixtes peut être subdivisé pour permettre l'utilisation des deux méthodes duplex.</w:t>
            </w:r>
          </w:p>
          <w:p w:rsidR="006C61B6" w:rsidRPr="007430C6" w:rsidRDefault="006C61B6" w:rsidP="00D16BCE">
            <w:pPr>
              <w:pStyle w:val="Tabletext"/>
              <w:rPr>
                <w:szCs w:val="22"/>
              </w:rPr>
            </w:pPr>
            <w:r w:rsidRPr="007430C6">
              <w:rPr>
                <w:szCs w:val="22"/>
              </w:rPr>
              <w:t xml:space="preserve">NOTE 4 – Les dispositions de fréquences dans la bande 698-960 MHz ont été définies en tenant compte du </w:t>
            </w:r>
            <w:r w:rsidRPr="006C61B6">
              <w:rPr>
                <w:i/>
                <w:iCs/>
                <w:szCs w:val="22"/>
              </w:rPr>
              <w:t>reconnaissant</w:t>
            </w:r>
            <w:r w:rsidRPr="007430C6">
              <w:rPr>
                <w:szCs w:val="22"/>
              </w:rPr>
              <w:t xml:space="preserve"> ci-dessus.</w:t>
            </w:r>
          </w:p>
          <w:p w:rsidR="006C61B6" w:rsidRPr="007430C6" w:rsidRDefault="006C61B6" w:rsidP="00A106B8">
            <w:pPr>
              <w:pStyle w:val="Tabletext"/>
              <w:rPr>
                <w:szCs w:val="22"/>
              </w:rPr>
            </w:pPr>
            <w:r w:rsidRPr="007430C6">
              <w:rPr>
                <w:szCs w:val="22"/>
              </w:rPr>
              <w:t xml:space="preserve">Les dispositions de fréquences pour les systèmes de protection du public et de secours en cas de catastrophe utilisant les technologies IMT dans les bandes identifiées dans la </w:t>
            </w:r>
            <w:hyperlink r:id="rId17" w:history="1">
              <w:r w:rsidRPr="00A106B8">
                <w:rPr>
                  <w:rStyle w:val="Hyperlink"/>
                  <w:color w:val="auto"/>
                  <w:szCs w:val="22"/>
                  <w:u w:val="none"/>
                </w:rPr>
                <w:t>Résolution 646 (CMR-03)</w:t>
              </w:r>
            </w:hyperlink>
            <w:r w:rsidRPr="00A106B8">
              <w:rPr>
                <w:szCs w:val="22"/>
              </w:rPr>
              <w:t xml:space="preserve">, </w:t>
            </w:r>
            <w:r w:rsidRPr="007430C6">
              <w:rPr>
                <w:szCs w:val="22"/>
              </w:rPr>
              <w:t>en vertu du point </w:t>
            </w:r>
            <w:r w:rsidRPr="009579E1">
              <w:rPr>
                <w:i/>
                <w:iCs/>
                <w:szCs w:val="22"/>
              </w:rPr>
              <w:t xml:space="preserve">h) </w:t>
            </w:r>
            <w:r w:rsidRPr="007430C6">
              <w:rPr>
                <w:szCs w:val="22"/>
              </w:rPr>
              <w:t xml:space="preserve">du </w:t>
            </w:r>
            <w:r w:rsidRPr="006C61B6">
              <w:rPr>
                <w:i/>
                <w:iCs/>
                <w:szCs w:val="22"/>
              </w:rPr>
              <w:t>considérant</w:t>
            </w:r>
            <w:r w:rsidRPr="007430C6">
              <w:rPr>
                <w:szCs w:val="22"/>
              </w:rPr>
              <w:t xml:space="preserve"> et du point 6 du </w:t>
            </w:r>
            <w:r w:rsidRPr="006C61B6">
              <w:rPr>
                <w:i/>
                <w:iCs/>
                <w:szCs w:val="22"/>
              </w:rPr>
              <w:t>décide</w:t>
            </w:r>
            <w:r w:rsidRPr="007430C6">
              <w:rPr>
                <w:szCs w:val="22"/>
              </w:rPr>
              <w:t xml:space="preserve"> de cette Résolution, n'entrent pas dans le champ d'application de la présente Recommandation. La mise en place des technologies IMT pour les applications de protection du public et de secours en cas de catastrophe dans cette bande présentent intrinsèquement plusieurs avantages, notamment la vaste zone de couverture et l'interopérabilité possible sur l'ensemble des bandes des 700 MHz et des 800 MHz, compte tenu des différences en termes de besoins et de mise en oeuvre sur le plan opérationnel.</w:t>
            </w:r>
          </w:p>
          <w:p w:rsidR="006C61B6" w:rsidRPr="007430C6" w:rsidRDefault="006C61B6" w:rsidP="00D16BCE">
            <w:pPr>
              <w:pStyle w:val="Tabletext"/>
              <w:rPr>
                <w:szCs w:val="22"/>
              </w:rPr>
            </w:pPr>
            <w:r w:rsidRPr="007430C6">
              <w:rPr>
                <w:szCs w:val="22"/>
              </w:rPr>
              <w:t xml:space="preserve">NOTE 5 – La disposition A5 constituée de 2 </w:t>
            </w:r>
            <w:r w:rsidRPr="007430C6">
              <w:rPr>
                <w:szCs w:val="22"/>
                <w:lang w:eastAsia="zh-CN"/>
              </w:rPr>
              <w:t>×</w:t>
            </w:r>
            <w:r w:rsidRPr="007430C6">
              <w:rPr>
                <w:szCs w:val="22"/>
              </w:rPr>
              <w:t xml:space="preserve"> 45 MHz en mode DRF est mise en oeuvre en utilisant des sous</w:t>
            </w:r>
            <w:r w:rsidRPr="007430C6">
              <w:rPr>
                <w:szCs w:val="22"/>
              </w:rPr>
              <w:noBreakHyphen/>
              <w:t>blocs avec un double duplexeur et un arrangement duplex conventionnel. Des bandes de garde internes de 5 MHz et 3 MHz sont prévues à la limite inférieure et à la limite supérieure de la bande pour faciliter la coexistence avec les services de radiocommunication adjacents.</w:t>
            </w:r>
          </w:p>
          <w:p w:rsidR="006C61B6" w:rsidRDefault="006C61B6" w:rsidP="00D16BCE">
            <w:pPr>
              <w:pStyle w:val="Tabletext"/>
              <w:rPr>
                <w:szCs w:val="22"/>
              </w:rPr>
            </w:pPr>
            <w:r w:rsidRPr="007430C6">
              <w:rPr>
                <w:szCs w:val="22"/>
              </w:rPr>
              <w:t>NOTE 6 – S'agissant de la disposition A6, compte tenu de la bande de garde externe de 4 MHz (694</w:t>
            </w:r>
            <w:r w:rsidRPr="007430C6">
              <w:rPr>
                <w:szCs w:val="22"/>
              </w:rPr>
              <w:noBreakHyphen/>
              <w:t>698 MHz), il faut envisager une bande de garde interne minimale de 5 MHz à la limite inférieure (698 MHz) et de 3 MHz à la limite supérieure (806 MHz).</w:t>
            </w:r>
          </w:p>
          <w:p w:rsidR="006C61B6" w:rsidRPr="007430C6" w:rsidRDefault="006C61B6" w:rsidP="00D16BCE">
            <w:pPr>
              <w:pStyle w:val="Tabletext"/>
              <w:rPr>
                <w:szCs w:val="22"/>
              </w:rPr>
            </w:pPr>
            <w:r w:rsidRPr="007430C6">
              <w:rPr>
                <w:szCs w:val="22"/>
              </w:rPr>
              <w:t>NOTE 7 ‒ La disposition A7 correspond au duplexeur inférieur de la disposition A5.</w:t>
            </w:r>
          </w:p>
          <w:p w:rsidR="006C61B6" w:rsidRPr="007430C6" w:rsidRDefault="006C61B6" w:rsidP="00D16BCE">
            <w:pPr>
              <w:pStyle w:val="Tabletext"/>
              <w:rPr>
                <w:szCs w:val="22"/>
              </w:rPr>
            </w:pPr>
            <w:r w:rsidRPr="007430C6">
              <w:rPr>
                <w:szCs w:val="22"/>
              </w:rPr>
              <w:t>NOTE 8 ‒ Les administrations peuvent mettre en oeuvre la disposition A8 seule ou en association avec certaines parties de la disposition A7 (par exemple, UL: 698-718 MHz/DL: 753-773 MHz), à condition que la coexistence avec les services fonctionnant en dessous de 694 MHz soit garantie.</w:t>
            </w:r>
          </w:p>
          <w:p w:rsidR="006C61B6" w:rsidRPr="007430C6" w:rsidRDefault="006C61B6" w:rsidP="00D16BCE">
            <w:pPr>
              <w:pStyle w:val="Tabletext"/>
              <w:rPr>
                <w:szCs w:val="22"/>
              </w:rPr>
            </w:pPr>
            <w:r w:rsidRPr="007430C6">
              <w:rPr>
                <w:szCs w:val="22"/>
              </w:rPr>
              <w:t>NOTE 9 ‒ La disposition A9 correspond à une partie du duplexeur supérieur de la disposition A5.</w:t>
            </w:r>
          </w:p>
          <w:p w:rsidR="006C61B6" w:rsidRPr="007430C6" w:rsidRDefault="006C61B6" w:rsidP="00D16BCE">
            <w:pPr>
              <w:pStyle w:val="Tabletext"/>
              <w:rPr>
                <w:szCs w:val="22"/>
              </w:rPr>
            </w:pPr>
            <w:r w:rsidRPr="007430C6">
              <w:rPr>
                <w:szCs w:val="22"/>
              </w:rPr>
              <w:t>NOTE 10 ‒ Dans le cas des dispositions A10 et A11, zéro à quatre blocs de fréquences de 5 MHz compris dans la bande 738</w:t>
            </w:r>
            <w:r w:rsidRPr="007430C6">
              <w:rPr>
                <w:szCs w:val="22"/>
              </w:rPr>
              <w:noBreakHyphen/>
              <w:t xml:space="preserve">758 MHz pourraient être utilisés afin d'augmenter la capacité de la disposition de fréquences en liaison descendante, dans cette bande de fréquences ou dans d'autres bandes. </w:t>
            </w:r>
          </w:p>
          <w:p w:rsidR="006C61B6" w:rsidRPr="00BB1A07" w:rsidRDefault="006C61B6" w:rsidP="00D16BCE">
            <w:pPr>
              <w:pStyle w:val="Tabletext"/>
            </w:pPr>
            <w:r w:rsidRPr="007430C6">
              <w:rPr>
                <w:szCs w:val="22"/>
              </w:rPr>
              <w:t>NOTE 11 ‒ Les administrations qui ont mis en oeuvre la disposition A7 peuvent l'associer avec la disposition A10, configuration qui correspond à la disposition A11.</w:t>
            </w:r>
          </w:p>
        </w:tc>
      </w:tr>
    </w:tbl>
    <w:p w:rsidR="006C61B6" w:rsidRPr="00BB1A07" w:rsidRDefault="006C61B6" w:rsidP="006C61B6">
      <w:pPr>
        <w:pStyle w:val="Tablefin"/>
        <w:rPr>
          <w:lang w:val="fr-FR"/>
        </w:rPr>
      </w:pPr>
    </w:p>
    <w:p w:rsidR="006C61B6" w:rsidRPr="00BB1A07" w:rsidRDefault="006C61B6" w:rsidP="006C61B6">
      <w:pPr>
        <w:pStyle w:val="FigureNo"/>
      </w:pPr>
      <w:r w:rsidRPr="00BB1A07">
        <w:t xml:space="preserve">FIGURES 3A1 et 3a2 </w:t>
      </w:r>
      <w:r w:rsidRPr="00BB1A07">
        <w:br/>
        <w:t>(</w:t>
      </w:r>
      <w:r w:rsidRPr="00BB1A07">
        <w:rPr>
          <w:caps w:val="0"/>
        </w:rPr>
        <w:t>voir les notes concernant le Tableau 3</w:t>
      </w:r>
      <w:r w:rsidRPr="00BB1A07">
        <w:t>)</w:t>
      </w:r>
    </w:p>
    <w:p w:rsidR="006C61B6" w:rsidRPr="00BB1A07" w:rsidRDefault="006C61B6" w:rsidP="006C61B6">
      <w:pPr>
        <w:pStyle w:val="Figure"/>
      </w:pPr>
      <w:r w:rsidRPr="00BB1A07">
        <w:rPr>
          <w:noProof/>
          <w:lang w:eastAsia="zh-CN"/>
        </w:rPr>
        <w:object w:dxaOrig="6929" w:dyaOrig="1963">
          <v:shape id="_x0000_i1027" type="#_x0000_t75" style="width:417.4pt;height:114.85pt" o:ole="">
            <v:imagedata r:id="rId18" o:title=""/>
          </v:shape>
          <o:OLEObject Type="Embed" ProgID="CorelDRAW.Graphic.14" ShapeID="_x0000_i1027" DrawAspect="Content" ObjectID="_1508231740" r:id="rId19"/>
        </w:object>
      </w:r>
    </w:p>
    <w:p w:rsidR="006C61B6" w:rsidRPr="00BB1A07" w:rsidRDefault="006C61B6" w:rsidP="006C61B6">
      <w:pPr>
        <w:pStyle w:val="FigureNo"/>
      </w:pPr>
      <w:r w:rsidRPr="00BB1A07">
        <w:t>FIGURE 3a3</w:t>
      </w:r>
    </w:p>
    <w:p w:rsidR="006C61B6" w:rsidRPr="00BB1A07" w:rsidRDefault="006C61B6" w:rsidP="006C61B6">
      <w:pPr>
        <w:pStyle w:val="Figure"/>
      </w:pPr>
      <w:r w:rsidRPr="00BB1A07">
        <w:object w:dxaOrig="6831" w:dyaOrig="1305">
          <v:shape id="_x0000_i1028" type="#_x0000_t75" style="width:424.95pt;height:79.05pt" o:ole="">
            <v:imagedata r:id="rId20" o:title=""/>
          </v:shape>
          <o:OLEObject Type="Embed" ProgID="CorelDRAW.Graphic.14" ShapeID="_x0000_i1028" DrawAspect="Content" ObjectID="_1508231741" r:id="rId21"/>
        </w:object>
      </w:r>
    </w:p>
    <w:p w:rsidR="006C61B6" w:rsidRPr="00BB1A07" w:rsidRDefault="006C61B6" w:rsidP="006C61B6">
      <w:pPr>
        <w:pStyle w:val="FigureNo"/>
      </w:pPr>
      <w:r w:rsidRPr="00BB1A07">
        <w:lastRenderedPageBreak/>
        <w:t>FIGURE 3a4</w:t>
      </w:r>
    </w:p>
    <w:p w:rsidR="006C61B6" w:rsidRPr="00BB1A07" w:rsidRDefault="006C61B6" w:rsidP="006C61B6">
      <w:pPr>
        <w:pStyle w:val="Figure"/>
      </w:pPr>
      <w:r w:rsidRPr="00BB1A07">
        <w:rPr>
          <w:noProof/>
          <w:lang w:eastAsia="zh-CN"/>
        </w:rPr>
        <w:object w:dxaOrig="7035" w:dyaOrig="1453">
          <v:shape id="_x0000_i1029" type="#_x0000_t75" style="width:417.4pt;height:86.6pt" o:ole="">
            <v:imagedata r:id="rId22" o:title=""/>
          </v:shape>
          <o:OLEObject Type="Embed" ProgID="CorelDRAW.Graphic.14" ShapeID="_x0000_i1029" DrawAspect="Content" ObjectID="_1508231742" r:id="rId23"/>
        </w:object>
      </w:r>
    </w:p>
    <w:p w:rsidR="006C61B6" w:rsidRPr="00BB1A07" w:rsidRDefault="006C61B6" w:rsidP="006C61B6">
      <w:pPr>
        <w:pStyle w:val="FigureNo"/>
        <w:rPr>
          <w:lang w:eastAsia="zh-CN"/>
        </w:rPr>
      </w:pPr>
      <w:r w:rsidRPr="00BB1A07">
        <w:rPr>
          <w:lang w:eastAsia="zh-CN"/>
        </w:rPr>
        <w:t>FIGURE 3a5</w:t>
      </w:r>
    </w:p>
    <w:p w:rsidR="006C61B6" w:rsidRPr="00BB1A07" w:rsidRDefault="006C61B6" w:rsidP="006C61B6">
      <w:pPr>
        <w:pStyle w:val="Figure"/>
        <w:keepLines w:val="0"/>
      </w:pPr>
      <w:r w:rsidRPr="00BB1A07">
        <w:rPr>
          <w:noProof/>
          <w:lang w:eastAsia="zh-CN"/>
        </w:rPr>
        <w:object w:dxaOrig="9323" w:dyaOrig="2565">
          <v:shape id="_x0000_i1030" type="#_x0000_t75" style="width:424.5pt;height:114.85pt" o:ole="">
            <v:imagedata r:id="rId24" o:title=""/>
          </v:shape>
          <o:OLEObject Type="Embed" ProgID="CorelDRAW.Graphic.14" ShapeID="_x0000_i1030" DrawAspect="Content" ObjectID="_1508231743" r:id="rId25"/>
        </w:object>
      </w:r>
    </w:p>
    <w:p w:rsidR="006C61B6" w:rsidRPr="00BB1A07" w:rsidRDefault="006C61B6" w:rsidP="006C61B6">
      <w:pPr>
        <w:pStyle w:val="FigureNo"/>
        <w:rPr>
          <w:lang w:eastAsia="zh-CN"/>
        </w:rPr>
      </w:pPr>
      <w:r w:rsidRPr="00BB1A07">
        <w:rPr>
          <w:lang w:eastAsia="zh-CN"/>
        </w:rPr>
        <w:t>FIGURE 3a6</w:t>
      </w:r>
    </w:p>
    <w:p w:rsidR="006C61B6" w:rsidRPr="00BB1A07" w:rsidRDefault="006C61B6" w:rsidP="006C61B6">
      <w:pPr>
        <w:pStyle w:val="Figure"/>
        <w:keepLines w:val="0"/>
        <w:rPr>
          <w:noProof/>
          <w:lang w:eastAsia="zh-CN"/>
        </w:rPr>
      </w:pPr>
      <w:r w:rsidRPr="00BB1A07">
        <w:rPr>
          <w:noProof/>
          <w:lang w:eastAsia="zh-CN"/>
        </w:rPr>
        <w:object w:dxaOrig="7014" w:dyaOrig="2588">
          <v:shape id="_x0000_i1031" type="#_x0000_t75" style="width:439.05pt;height:158.6pt" o:ole="">
            <v:imagedata r:id="rId26" o:title=""/>
          </v:shape>
          <o:OLEObject Type="Embed" ProgID="CorelDRAW.Graphic.14" ShapeID="_x0000_i1031" DrawAspect="Content" ObjectID="_1508231744" r:id="rId27"/>
        </w:object>
      </w:r>
    </w:p>
    <w:p w:rsidR="006C61B6" w:rsidRPr="00173231" w:rsidRDefault="006C61B6" w:rsidP="006C61B6">
      <w:pPr>
        <w:pStyle w:val="FigureNo"/>
        <w:keepNext w:val="0"/>
        <w:keepLines w:val="0"/>
        <w:rPr>
          <w:lang w:val="en-US"/>
        </w:rPr>
      </w:pPr>
      <w:r w:rsidRPr="006C61B6">
        <w:rPr>
          <w:lang w:val="en-US"/>
        </w:rPr>
        <w:t>FIGURE 3A7</w:t>
      </w:r>
    </w:p>
    <w:p w:rsidR="006C61B6" w:rsidRPr="00173231" w:rsidRDefault="006C61B6" w:rsidP="006C61B6">
      <w:pPr>
        <w:pStyle w:val="Figure"/>
        <w:keepLines w:val="0"/>
        <w:rPr>
          <w:lang w:val="en-US"/>
        </w:rPr>
      </w:pPr>
      <w:r w:rsidRPr="006C61B6">
        <w:rPr>
          <w:noProof/>
          <w:lang w:val="en-US" w:eastAsia="zh-CN"/>
        </w:rPr>
        <w:drawing>
          <wp:inline distT="0" distB="0" distL="0" distR="0" wp14:anchorId="3C3D19D2" wp14:editId="0F147298">
            <wp:extent cx="5486400" cy="1047750"/>
            <wp:effectExtent l="0" t="0" r="0" b="0"/>
            <wp:docPr id="10"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6C61B6" w:rsidRPr="00173231" w:rsidRDefault="006C61B6" w:rsidP="006C61B6">
      <w:pPr>
        <w:pStyle w:val="FigureNo"/>
        <w:keepNext w:val="0"/>
        <w:keepLines w:val="0"/>
        <w:rPr>
          <w:lang w:val="en-US"/>
        </w:rPr>
      </w:pPr>
      <w:r w:rsidRPr="00173231">
        <w:rPr>
          <w:lang w:val="en-US"/>
        </w:rPr>
        <w:t>FIGURE 3A8</w:t>
      </w:r>
    </w:p>
    <w:p w:rsidR="006C61B6" w:rsidRPr="00173231" w:rsidRDefault="006C61B6" w:rsidP="006C61B6">
      <w:pPr>
        <w:pStyle w:val="Figure"/>
        <w:keepLines w:val="0"/>
        <w:rPr>
          <w:lang w:val="en-US"/>
        </w:rPr>
      </w:pPr>
      <w:r w:rsidRPr="006C61B6">
        <w:rPr>
          <w:noProof/>
          <w:lang w:val="en-US" w:eastAsia="zh-CN"/>
        </w:rPr>
        <w:drawing>
          <wp:inline distT="0" distB="0" distL="0" distR="0" wp14:anchorId="1E7CFAE0" wp14:editId="3BB12C0E">
            <wp:extent cx="5486400" cy="1123950"/>
            <wp:effectExtent l="0" t="0" r="0" b="0"/>
            <wp:docPr id="1"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noFill/>
                    </a:ln>
                  </pic:spPr>
                </pic:pic>
              </a:graphicData>
            </a:graphic>
          </wp:inline>
        </w:drawing>
      </w:r>
    </w:p>
    <w:p w:rsidR="006C61B6" w:rsidRPr="00173231" w:rsidRDefault="006C61B6" w:rsidP="006C61B6">
      <w:pPr>
        <w:pStyle w:val="FigureNo"/>
        <w:keepNext w:val="0"/>
        <w:keepLines w:val="0"/>
        <w:rPr>
          <w:lang w:val="en-US"/>
        </w:rPr>
      </w:pPr>
      <w:r w:rsidRPr="00173231">
        <w:rPr>
          <w:lang w:val="en-US"/>
        </w:rPr>
        <w:lastRenderedPageBreak/>
        <w:t>FIGURE 3A9</w:t>
      </w:r>
    </w:p>
    <w:p w:rsidR="006C61B6" w:rsidRPr="00173231" w:rsidRDefault="006C61B6" w:rsidP="006C61B6">
      <w:pPr>
        <w:pStyle w:val="Figure"/>
        <w:keepLines w:val="0"/>
        <w:rPr>
          <w:lang w:val="en-US"/>
        </w:rPr>
      </w:pPr>
      <w:r w:rsidRPr="006C61B6">
        <w:rPr>
          <w:noProof/>
          <w:lang w:val="en-US" w:eastAsia="zh-CN"/>
        </w:rPr>
        <w:drawing>
          <wp:inline distT="0" distB="0" distL="0" distR="0" wp14:anchorId="16F3F645" wp14:editId="283B7F19">
            <wp:extent cx="5486400" cy="1114425"/>
            <wp:effectExtent l="0" t="0" r="0" b="9525"/>
            <wp:docPr id="12"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1114425"/>
                    </a:xfrm>
                    <a:prstGeom prst="rect">
                      <a:avLst/>
                    </a:prstGeom>
                    <a:noFill/>
                    <a:ln>
                      <a:noFill/>
                    </a:ln>
                  </pic:spPr>
                </pic:pic>
              </a:graphicData>
            </a:graphic>
          </wp:inline>
        </w:drawing>
      </w:r>
    </w:p>
    <w:p w:rsidR="006C61B6" w:rsidRPr="00173231" w:rsidRDefault="006C61B6" w:rsidP="006C61B6">
      <w:pPr>
        <w:pStyle w:val="FigureNo"/>
        <w:keepLines w:val="0"/>
        <w:rPr>
          <w:lang w:val="en-US"/>
        </w:rPr>
      </w:pPr>
      <w:r w:rsidRPr="00173231">
        <w:rPr>
          <w:lang w:val="en-US"/>
        </w:rPr>
        <w:t>FIGURE 3A10</w:t>
      </w:r>
    </w:p>
    <w:p w:rsidR="006C61B6" w:rsidRPr="00173231" w:rsidRDefault="006C61B6" w:rsidP="006C61B6">
      <w:pPr>
        <w:pStyle w:val="Figure"/>
        <w:keepLines w:val="0"/>
        <w:rPr>
          <w:lang w:val="en-US"/>
        </w:rPr>
      </w:pPr>
      <w:r w:rsidRPr="006C61B6">
        <w:rPr>
          <w:noProof/>
          <w:lang w:val="en-US" w:eastAsia="zh-CN"/>
        </w:rPr>
        <w:drawing>
          <wp:inline distT="0" distB="0" distL="0" distR="0" wp14:anchorId="0D87A73F" wp14:editId="2827C21A">
            <wp:extent cx="5486400" cy="1047750"/>
            <wp:effectExtent l="0" t="0" r="0" b="0"/>
            <wp:docPr id="13"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6C61B6" w:rsidRPr="00173231" w:rsidRDefault="006C61B6" w:rsidP="006C61B6">
      <w:pPr>
        <w:suppressAutoHyphens/>
        <w:spacing w:before="480" w:after="120"/>
        <w:jc w:val="center"/>
        <w:rPr>
          <w:rFonts w:cs="Arial"/>
          <w:caps/>
          <w:sz w:val="20"/>
          <w:lang w:val="en-US"/>
        </w:rPr>
      </w:pPr>
      <w:r w:rsidRPr="00173231">
        <w:rPr>
          <w:caps/>
          <w:sz w:val="20"/>
          <w:lang w:val="en-US"/>
        </w:rPr>
        <w:t>FIGURE 3A11</w:t>
      </w:r>
    </w:p>
    <w:p w:rsidR="006C61B6" w:rsidRPr="00173231" w:rsidRDefault="006C61B6" w:rsidP="006C61B6">
      <w:pPr>
        <w:pStyle w:val="Figure"/>
        <w:keepLines w:val="0"/>
        <w:rPr>
          <w:lang w:val="en-US"/>
        </w:rPr>
      </w:pPr>
      <w:r w:rsidRPr="006C61B6">
        <w:rPr>
          <w:noProof/>
          <w:lang w:val="en-US" w:eastAsia="zh-CN"/>
        </w:rPr>
        <w:drawing>
          <wp:inline distT="0" distB="0" distL="0" distR="0" wp14:anchorId="184E2B5A" wp14:editId="09E1CF40">
            <wp:extent cx="5486400" cy="1047750"/>
            <wp:effectExtent l="0" t="0" r="0" b="0"/>
            <wp:docPr id="14"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8446E0" w:rsidRPr="008446E0" w:rsidRDefault="008446E0" w:rsidP="008446E0"/>
    <w:p w:rsidR="008446E0" w:rsidRDefault="008446E0">
      <w:pPr>
        <w:tabs>
          <w:tab w:val="clear" w:pos="794"/>
          <w:tab w:val="clear" w:pos="1191"/>
          <w:tab w:val="clear" w:pos="1588"/>
          <w:tab w:val="clear" w:pos="1985"/>
        </w:tabs>
        <w:overflowPunct/>
        <w:autoSpaceDE/>
        <w:autoSpaceDN/>
        <w:adjustRightInd/>
        <w:spacing w:before="0"/>
        <w:jc w:val="left"/>
        <w:textAlignment w:val="auto"/>
      </w:pPr>
      <w:r>
        <w:br w:type="page"/>
      </w:r>
    </w:p>
    <w:p w:rsidR="006C61B6" w:rsidRPr="001C551F" w:rsidRDefault="006C61B6" w:rsidP="008446E0">
      <w:pPr>
        <w:pStyle w:val="SectionNo"/>
        <w:jc w:val="center"/>
        <w:rPr>
          <w:sz w:val="28"/>
          <w:szCs w:val="28"/>
        </w:rPr>
      </w:pPr>
      <w:r w:rsidRPr="001C551F">
        <w:rPr>
          <w:sz w:val="28"/>
          <w:szCs w:val="28"/>
        </w:rPr>
        <w:lastRenderedPageBreak/>
        <w:t>S</w:t>
      </w:r>
      <w:r w:rsidR="008446E0" w:rsidRPr="001C551F">
        <w:rPr>
          <w:sz w:val="28"/>
          <w:szCs w:val="28"/>
        </w:rPr>
        <w:t>ECTION</w:t>
      </w:r>
      <w:r w:rsidRPr="001C551F">
        <w:rPr>
          <w:sz w:val="28"/>
          <w:szCs w:val="28"/>
        </w:rPr>
        <w:t xml:space="preserve"> 3</w:t>
      </w:r>
    </w:p>
    <w:p w:rsidR="006C61B6" w:rsidRPr="00BB1A07" w:rsidRDefault="006C61B6" w:rsidP="006C61B6">
      <w:pPr>
        <w:pStyle w:val="Sectiontitle"/>
      </w:pPr>
      <w:r w:rsidRPr="00BB1A07">
        <w:t>Dispositions de fréquences dans la bande 1 710</w:t>
      </w:r>
      <w:r w:rsidRPr="00BB1A07">
        <w:noBreakHyphen/>
        <w:t>2 200 MHz</w:t>
      </w:r>
      <w:r w:rsidRPr="00BB1A07">
        <w:rPr>
          <w:position w:val="6"/>
          <w:sz w:val="18"/>
        </w:rPr>
        <w:footnoteReference w:id="2"/>
      </w:r>
    </w:p>
    <w:p w:rsidR="006C61B6" w:rsidRPr="00BB1A07" w:rsidRDefault="006C61B6" w:rsidP="008446E0">
      <w:pPr>
        <w:pStyle w:val="Normalaftertitle"/>
      </w:pPr>
      <w:r w:rsidRPr="00BB1A07">
        <w:t>Les dispositions de fréquences recommandées pour la mise en oeuvre des IMT dans la bande 1 710</w:t>
      </w:r>
      <w:r w:rsidR="006D1FA3">
        <w:noBreakHyphen/>
      </w:r>
      <w:r w:rsidRPr="00BB1A07">
        <w:t>2 200 MHz sont récapitulées au Tableau 4 et à la Fig. 4, en tenant compte des lignes directrices figurant à l'Annexe 1 ci-dessus.</w:t>
      </w:r>
    </w:p>
    <w:p w:rsidR="006C61B6" w:rsidRPr="00BB1A07" w:rsidRDefault="006C61B6" w:rsidP="006C61B6">
      <w:pPr>
        <w:pStyle w:val="TableNo"/>
      </w:pPr>
      <w:r w:rsidRPr="00BB1A07">
        <w:t>TABLEAU 4</w:t>
      </w:r>
    </w:p>
    <w:p w:rsidR="006C61B6" w:rsidRPr="00BB1A07" w:rsidRDefault="006C61B6" w:rsidP="006C61B6">
      <w:pPr>
        <w:pStyle w:val="Tabletitle"/>
      </w:pPr>
      <w:r w:rsidRPr="00BB1A07">
        <w:t>Dispositions de fréquences dans la bande 1 710-2 200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1479"/>
        <w:gridCol w:w="1119"/>
        <w:gridCol w:w="1480"/>
        <w:gridCol w:w="1119"/>
        <w:gridCol w:w="1243"/>
        <w:gridCol w:w="1243"/>
      </w:tblGrid>
      <w:tr w:rsidR="006C61B6" w:rsidRPr="00BB1A07" w:rsidTr="006D1FA3">
        <w:trPr>
          <w:jc w:val="center"/>
        </w:trPr>
        <w:tc>
          <w:tcPr>
            <w:tcW w:w="2263" w:type="dxa"/>
            <w:vMerge w:val="restart"/>
            <w:vAlign w:val="center"/>
          </w:tcPr>
          <w:p w:rsidR="006C61B6" w:rsidRPr="006D1FA3" w:rsidRDefault="006C61B6" w:rsidP="00D16BCE">
            <w:pPr>
              <w:pStyle w:val="Tablehead"/>
              <w:rPr>
                <w:sz w:val="20"/>
              </w:rPr>
            </w:pPr>
            <w:r w:rsidRPr="006D1FA3">
              <w:rPr>
                <w:sz w:val="20"/>
              </w:rPr>
              <w:t>Dispositions de</w:t>
            </w:r>
            <w:r w:rsidRPr="006D1FA3">
              <w:rPr>
                <w:sz w:val="20"/>
              </w:rPr>
              <w:br/>
              <w:t>fréquences</w:t>
            </w:r>
          </w:p>
        </w:tc>
        <w:tc>
          <w:tcPr>
            <w:tcW w:w="5954" w:type="dxa"/>
            <w:gridSpan w:val="4"/>
            <w:vAlign w:val="center"/>
          </w:tcPr>
          <w:p w:rsidR="006C61B6" w:rsidRPr="006D1FA3" w:rsidRDefault="006C61B6" w:rsidP="00D16BCE">
            <w:pPr>
              <w:pStyle w:val="Tablehead"/>
              <w:rPr>
                <w:sz w:val="20"/>
              </w:rPr>
            </w:pPr>
            <w:r w:rsidRPr="006D1FA3">
              <w:rPr>
                <w:sz w:val="20"/>
              </w:rPr>
              <w:t>Dispositions appariées</w:t>
            </w:r>
          </w:p>
        </w:tc>
        <w:tc>
          <w:tcPr>
            <w:tcW w:w="1422" w:type="dxa"/>
            <w:vMerge w:val="restart"/>
            <w:vAlign w:val="center"/>
          </w:tcPr>
          <w:p w:rsidR="006C61B6" w:rsidRPr="006D1FA3" w:rsidRDefault="006C61B6" w:rsidP="00D16BCE">
            <w:pPr>
              <w:pStyle w:val="Tablehead"/>
              <w:rPr>
                <w:sz w:val="20"/>
              </w:rPr>
            </w:pPr>
            <w:r w:rsidRPr="006D1FA3">
              <w:rPr>
                <w:sz w:val="20"/>
              </w:rPr>
              <w:t xml:space="preserve">Spectre non apparié </w:t>
            </w:r>
            <w:r w:rsidRPr="006D1FA3">
              <w:rPr>
                <w:sz w:val="20"/>
              </w:rPr>
              <w:br/>
              <w:t>(exemple pour le DRT)</w:t>
            </w:r>
            <w:r w:rsidRPr="006D1FA3">
              <w:rPr>
                <w:sz w:val="20"/>
              </w:rPr>
              <w:br/>
              <w:t>(MHz)</w:t>
            </w:r>
          </w:p>
        </w:tc>
        <w:tc>
          <w:tcPr>
            <w:tcW w:w="1422" w:type="dxa"/>
            <w:vMerge w:val="restart"/>
            <w:vAlign w:val="center"/>
          </w:tcPr>
          <w:p w:rsidR="006C61B6" w:rsidRPr="006D1FA3" w:rsidRDefault="006C61B6" w:rsidP="00D16BCE">
            <w:pPr>
              <w:pStyle w:val="Tablehead"/>
              <w:rPr>
                <w:sz w:val="20"/>
              </w:rPr>
            </w:pPr>
            <w:r w:rsidRPr="006D1FA3">
              <w:rPr>
                <w:sz w:val="20"/>
              </w:rPr>
              <w:t>Notes pertinentes</w:t>
            </w:r>
          </w:p>
        </w:tc>
      </w:tr>
      <w:tr w:rsidR="006C61B6" w:rsidRPr="00BB1A07" w:rsidTr="006D1FA3">
        <w:trPr>
          <w:jc w:val="center"/>
        </w:trPr>
        <w:tc>
          <w:tcPr>
            <w:tcW w:w="2263" w:type="dxa"/>
            <w:vMerge/>
            <w:vAlign w:val="center"/>
          </w:tcPr>
          <w:p w:rsidR="006C61B6" w:rsidRPr="006D1FA3" w:rsidRDefault="006C61B6" w:rsidP="00D16BCE">
            <w:pPr>
              <w:pStyle w:val="Tablehead"/>
              <w:rPr>
                <w:rFonts w:ascii="Times New Roman Bold" w:hAnsi="Times New Roman Bold"/>
                <w:sz w:val="20"/>
              </w:rPr>
            </w:pPr>
          </w:p>
        </w:tc>
        <w:tc>
          <w:tcPr>
            <w:tcW w:w="1701" w:type="dxa"/>
            <w:vAlign w:val="center"/>
          </w:tcPr>
          <w:p w:rsidR="006C61B6" w:rsidRPr="006D1FA3" w:rsidRDefault="006C61B6" w:rsidP="00D16BCE">
            <w:pPr>
              <w:pStyle w:val="Tablehead"/>
              <w:rPr>
                <w:sz w:val="20"/>
              </w:rPr>
            </w:pPr>
            <w:r w:rsidRPr="006D1FA3">
              <w:rPr>
                <w:sz w:val="20"/>
              </w:rPr>
              <w:t>Emetteur de la station mobile</w:t>
            </w:r>
            <w:r w:rsidRPr="006D1FA3">
              <w:rPr>
                <w:sz w:val="20"/>
              </w:rPr>
              <w:br/>
              <w:t>(MHz)</w:t>
            </w:r>
          </w:p>
        </w:tc>
        <w:tc>
          <w:tcPr>
            <w:tcW w:w="1276" w:type="dxa"/>
            <w:vAlign w:val="center"/>
          </w:tcPr>
          <w:p w:rsidR="006C61B6" w:rsidRPr="006D1FA3" w:rsidRDefault="006C61B6" w:rsidP="00D16BCE">
            <w:pPr>
              <w:pStyle w:val="Tablehead"/>
              <w:rPr>
                <w:sz w:val="20"/>
              </w:rPr>
            </w:pPr>
            <w:r w:rsidRPr="006D1FA3">
              <w:rPr>
                <w:sz w:val="20"/>
              </w:rPr>
              <w:t>Intervalle</w:t>
            </w:r>
            <w:r w:rsidRPr="006D1FA3">
              <w:rPr>
                <w:sz w:val="20"/>
              </w:rPr>
              <w:br/>
              <w:t>central</w:t>
            </w:r>
            <w:r w:rsidRPr="006D1FA3">
              <w:rPr>
                <w:sz w:val="20"/>
              </w:rPr>
              <w:br/>
              <w:t>(MHz)</w:t>
            </w:r>
          </w:p>
        </w:tc>
        <w:tc>
          <w:tcPr>
            <w:tcW w:w="1701" w:type="dxa"/>
            <w:vAlign w:val="center"/>
          </w:tcPr>
          <w:p w:rsidR="006C61B6" w:rsidRPr="006D1FA3" w:rsidRDefault="006C61B6" w:rsidP="00D16BCE">
            <w:pPr>
              <w:pStyle w:val="Tablehead"/>
              <w:rPr>
                <w:sz w:val="20"/>
              </w:rPr>
            </w:pPr>
            <w:r w:rsidRPr="006D1FA3">
              <w:rPr>
                <w:sz w:val="20"/>
              </w:rPr>
              <w:t>Emetteur de la station de base</w:t>
            </w:r>
            <w:r w:rsidRPr="006D1FA3">
              <w:rPr>
                <w:sz w:val="20"/>
              </w:rPr>
              <w:br/>
              <w:t>(MHz)</w:t>
            </w:r>
          </w:p>
        </w:tc>
        <w:tc>
          <w:tcPr>
            <w:tcW w:w="1276" w:type="dxa"/>
            <w:vAlign w:val="center"/>
          </w:tcPr>
          <w:p w:rsidR="006C61B6" w:rsidRPr="006D1FA3" w:rsidRDefault="006C61B6" w:rsidP="00D16BCE">
            <w:pPr>
              <w:pStyle w:val="Tablehead"/>
              <w:rPr>
                <w:sz w:val="20"/>
              </w:rPr>
            </w:pPr>
            <w:r w:rsidRPr="006D1FA3">
              <w:rPr>
                <w:sz w:val="20"/>
              </w:rPr>
              <w:t xml:space="preserve">Espacement duplex </w:t>
            </w:r>
            <w:r w:rsidRPr="006D1FA3">
              <w:rPr>
                <w:sz w:val="20"/>
              </w:rPr>
              <w:br/>
              <w:t>(MHz)</w:t>
            </w:r>
          </w:p>
        </w:tc>
        <w:tc>
          <w:tcPr>
            <w:tcW w:w="1422" w:type="dxa"/>
            <w:vMerge/>
            <w:vAlign w:val="center"/>
          </w:tcPr>
          <w:p w:rsidR="006C61B6" w:rsidRPr="006D1FA3" w:rsidRDefault="006C61B6" w:rsidP="00D16BCE">
            <w:pPr>
              <w:pStyle w:val="Tablehead"/>
              <w:rPr>
                <w:rFonts w:ascii="Times New Roman Bold" w:hAnsi="Times New Roman Bold"/>
                <w:sz w:val="20"/>
              </w:rPr>
            </w:pPr>
          </w:p>
        </w:tc>
        <w:tc>
          <w:tcPr>
            <w:tcW w:w="1422" w:type="dxa"/>
            <w:vMerge/>
          </w:tcPr>
          <w:p w:rsidR="006C61B6" w:rsidRPr="006D1FA3" w:rsidRDefault="006C61B6" w:rsidP="00D16BCE">
            <w:pPr>
              <w:pStyle w:val="Tablehead"/>
              <w:rPr>
                <w:rFonts w:ascii="Times New Roman Bold" w:hAnsi="Times New Roman Bold"/>
                <w:sz w:val="20"/>
              </w:rPr>
            </w:pPr>
          </w:p>
        </w:tc>
      </w:tr>
      <w:tr w:rsidR="006C61B6" w:rsidRPr="00BB1A07" w:rsidTr="006D1FA3">
        <w:trPr>
          <w:jc w:val="center"/>
        </w:trPr>
        <w:tc>
          <w:tcPr>
            <w:tcW w:w="2263" w:type="dxa"/>
          </w:tcPr>
          <w:p w:rsidR="006C61B6" w:rsidRPr="006D1FA3" w:rsidRDefault="006C61B6" w:rsidP="00D16BCE">
            <w:pPr>
              <w:pStyle w:val="Tabletext"/>
              <w:jc w:val="center"/>
              <w:rPr>
                <w:sz w:val="20"/>
              </w:rPr>
            </w:pPr>
            <w:r w:rsidRPr="006D1FA3">
              <w:rPr>
                <w:sz w:val="20"/>
              </w:rPr>
              <w:t>B1</w:t>
            </w:r>
          </w:p>
        </w:tc>
        <w:tc>
          <w:tcPr>
            <w:tcW w:w="1701" w:type="dxa"/>
          </w:tcPr>
          <w:p w:rsidR="006C61B6" w:rsidRPr="006D1FA3" w:rsidRDefault="006C61B6" w:rsidP="00D16BCE">
            <w:pPr>
              <w:pStyle w:val="Tabletext"/>
              <w:jc w:val="center"/>
              <w:rPr>
                <w:sz w:val="20"/>
              </w:rPr>
            </w:pPr>
            <w:r w:rsidRPr="006D1FA3">
              <w:rPr>
                <w:sz w:val="20"/>
              </w:rPr>
              <w:t>1 920-1 980</w:t>
            </w:r>
          </w:p>
        </w:tc>
        <w:tc>
          <w:tcPr>
            <w:tcW w:w="1276" w:type="dxa"/>
          </w:tcPr>
          <w:p w:rsidR="006C61B6" w:rsidRPr="006D1FA3" w:rsidRDefault="006C61B6" w:rsidP="00D16BCE">
            <w:pPr>
              <w:pStyle w:val="Tabletext"/>
              <w:jc w:val="center"/>
              <w:rPr>
                <w:sz w:val="20"/>
              </w:rPr>
            </w:pPr>
            <w:r w:rsidRPr="006D1FA3">
              <w:rPr>
                <w:sz w:val="20"/>
              </w:rPr>
              <w:t>130</w:t>
            </w:r>
          </w:p>
        </w:tc>
        <w:tc>
          <w:tcPr>
            <w:tcW w:w="1701" w:type="dxa"/>
          </w:tcPr>
          <w:p w:rsidR="006C61B6" w:rsidRPr="006D1FA3" w:rsidRDefault="006C61B6" w:rsidP="00D16BCE">
            <w:pPr>
              <w:pStyle w:val="Tabletext"/>
              <w:jc w:val="center"/>
              <w:rPr>
                <w:sz w:val="20"/>
              </w:rPr>
            </w:pPr>
            <w:r w:rsidRPr="006D1FA3">
              <w:rPr>
                <w:sz w:val="20"/>
              </w:rPr>
              <w:t>2 110-2 170</w:t>
            </w:r>
          </w:p>
        </w:tc>
        <w:tc>
          <w:tcPr>
            <w:tcW w:w="1276" w:type="dxa"/>
          </w:tcPr>
          <w:p w:rsidR="006C61B6" w:rsidRPr="006D1FA3" w:rsidRDefault="006C61B6" w:rsidP="00D16BCE">
            <w:pPr>
              <w:pStyle w:val="Tabletext"/>
              <w:jc w:val="center"/>
              <w:rPr>
                <w:sz w:val="20"/>
              </w:rPr>
            </w:pPr>
            <w:r w:rsidRPr="006D1FA3">
              <w:rPr>
                <w:sz w:val="20"/>
              </w:rPr>
              <w:t>190</w:t>
            </w:r>
          </w:p>
        </w:tc>
        <w:tc>
          <w:tcPr>
            <w:tcW w:w="1422" w:type="dxa"/>
          </w:tcPr>
          <w:p w:rsidR="006C61B6" w:rsidRPr="006D1FA3" w:rsidRDefault="006C61B6" w:rsidP="00D16BCE">
            <w:pPr>
              <w:pStyle w:val="Tabletext"/>
              <w:jc w:val="center"/>
              <w:rPr>
                <w:sz w:val="20"/>
              </w:rPr>
            </w:pPr>
            <w:r w:rsidRPr="006D1FA3">
              <w:rPr>
                <w:sz w:val="20"/>
              </w:rPr>
              <w:t>1 880-1 920;</w:t>
            </w:r>
            <w:r w:rsidRPr="006D1FA3">
              <w:rPr>
                <w:sz w:val="20"/>
              </w:rPr>
              <w:br/>
              <w:t>2 010-2 025</w:t>
            </w:r>
          </w:p>
        </w:tc>
        <w:tc>
          <w:tcPr>
            <w:tcW w:w="1422" w:type="dxa"/>
          </w:tcPr>
          <w:p w:rsidR="006C61B6" w:rsidRPr="006D1FA3" w:rsidRDefault="006C61B6" w:rsidP="00D16BCE">
            <w:pPr>
              <w:pStyle w:val="Tabletext"/>
              <w:jc w:val="center"/>
              <w:rPr>
                <w:sz w:val="20"/>
              </w:rPr>
            </w:pPr>
            <w:r w:rsidRPr="006D1FA3">
              <w:rPr>
                <w:sz w:val="20"/>
              </w:rPr>
              <w:t>1, 2 , 4</w:t>
            </w:r>
          </w:p>
        </w:tc>
      </w:tr>
      <w:tr w:rsidR="006C61B6" w:rsidRPr="00BB1A07" w:rsidTr="006D1FA3">
        <w:trPr>
          <w:jc w:val="center"/>
        </w:trPr>
        <w:tc>
          <w:tcPr>
            <w:tcW w:w="2263" w:type="dxa"/>
          </w:tcPr>
          <w:p w:rsidR="006C61B6" w:rsidRPr="006D1FA3" w:rsidRDefault="006C61B6" w:rsidP="00D16BCE">
            <w:pPr>
              <w:pStyle w:val="Tabletext"/>
              <w:jc w:val="center"/>
              <w:rPr>
                <w:sz w:val="20"/>
              </w:rPr>
            </w:pPr>
            <w:r w:rsidRPr="006D1FA3">
              <w:rPr>
                <w:sz w:val="20"/>
              </w:rPr>
              <w:t>B2</w:t>
            </w:r>
          </w:p>
        </w:tc>
        <w:tc>
          <w:tcPr>
            <w:tcW w:w="1701" w:type="dxa"/>
          </w:tcPr>
          <w:p w:rsidR="006C61B6" w:rsidRPr="006D1FA3" w:rsidRDefault="006C61B6" w:rsidP="00D16BCE">
            <w:pPr>
              <w:pStyle w:val="Tabletext"/>
              <w:jc w:val="center"/>
              <w:rPr>
                <w:sz w:val="20"/>
              </w:rPr>
            </w:pPr>
            <w:r w:rsidRPr="006D1FA3">
              <w:rPr>
                <w:sz w:val="20"/>
              </w:rPr>
              <w:t>1 710-1 785</w:t>
            </w:r>
          </w:p>
        </w:tc>
        <w:tc>
          <w:tcPr>
            <w:tcW w:w="1276" w:type="dxa"/>
          </w:tcPr>
          <w:p w:rsidR="006C61B6" w:rsidRPr="006D1FA3" w:rsidRDefault="006C61B6" w:rsidP="00D16BCE">
            <w:pPr>
              <w:pStyle w:val="Tabletext"/>
              <w:jc w:val="center"/>
              <w:rPr>
                <w:sz w:val="20"/>
              </w:rPr>
            </w:pPr>
            <w:r w:rsidRPr="006D1FA3">
              <w:rPr>
                <w:sz w:val="20"/>
              </w:rPr>
              <w:t>20</w:t>
            </w:r>
          </w:p>
        </w:tc>
        <w:tc>
          <w:tcPr>
            <w:tcW w:w="1701" w:type="dxa"/>
          </w:tcPr>
          <w:p w:rsidR="006C61B6" w:rsidRPr="006D1FA3" w:rsidRDefault="006C61B6" w:rsidP="00D16BCE">
            <w:pPr>
              <w:pStyle w:val="Tabletext"/>
              <w:jc w:val="center"/>
              <w:rPr>
                <w:sz w:val="20"/>
              </w:rPr>
            </w:pPr>
            <w:r w:rsidRPr="006D1FA3">
              <w:rPr>
                <w:sz w:val="20"/>
              </w:rPr>
              <w:t>1 805-1 880</w:t>
            </w:r>
          </w:p>
        </w:tc>
        <w:tc>
          <w:tcPr>
            <w:tcW w:w="1276" w:type="dxa"/>
          </w:tcPr>
          <w:p w:rsidR="006C61B6" w:rsidRPr="006D1FA3" w:rsidRDefault="006C61B6" w:rsidP="00D16BCE">
            <w:pPr>
              <w:pStyle w:val="Tabletext"/>
              <w:jc w:val="center"/>
              <w:rPr>
                <w:sz w:val="20"/>
              </w:rPr>
            </w:pPr>
            <w:r w:rsidRPr="006D1FA3">
              <w:rPr>
                <w:sz w:val="20"/>
              </w:rPr>
              <w:t>95</w:t>
            </w:r>
          </w:p>
        </w:tc>
        <w:tc>
          <w:tcPr>
            <w:tcW w:w="1422" w:type="dxa"/>
          </w:tcPr>
          <w:p w:rsidR="006C61B6" w:rsidRPr="006D1FA3" w:rsidRDefault="006C61B6" w:rsidP="00D16BCE">
            <w:pPr>
              <w:pStyle w:val="Tabletext"/>
              <w:jc w:val="center"/>
              <w:rPr>
                <w:sz w:val="20"/>
              </w:rPr>
            </w:pPr>
            <w:r w:rsidRPr="006D1FA3">
              <w:rPr>
                <w:sz w:val="20"/>
              </w:rPr>
              <w:t>Néant</w:t>
            </w:r>
          </w:p>
        </w:tc>
        <w:tc>
          <w:tcPr>
            <w:tcW w:w="1422" w:type="dxa"/>
          </w:tcPr>
          <w:p w:rsidR="006C61B6" w:rsidRPr="006D1FA3" w:rsidRDefault="006C61B6" w:rsidP="00D16BCE">
            <w:pPr>
              <w:pStyle w:val="Tabletext"/>
              <w:jc w:val="center"/>
              <w:rPr>
                <w:sz w:val="20"/>
              </w:rPr>
            </w:pPr>
            <w:r w:rsidRPr="006D1FA3">
              <w:rPr>
                <w:sz w:val="20"/>
              </w:rPr>
              <w:t>1</w:t>
            </w:r>
          </w:p>
        </w:tc>
      </w:tr>
      <w:tr w:rsidR="006C61B6" w:rsidRPr="00BB1A07" w:rsidTr="006D1FA3">
        <w:trPr>
          <w:jc w:val="center"/>
        </w:trPr>
        <w:tc>
          <w:tcPr>
            <w:tcW w:w="2263" w:type="dxa"/>
          </w:tcPr>
          <w:p w:rsidR="006C61B6" w:rsidRPr="006D1FA3" w:rsidRDefault="006C61B6" w:rsidP="00D16BCE">
            <w:pPr>
              <w:pStyle w:val="Tabletext"/>
              <w:jc w:val="center"/>
              <w:rPr>
                <w:sz w:val="20"/>
              </w:rPr>
            </w:pPr>
            <w:r w:rsidRPr="006D1FA3">
              <w:rPr>
                <w:sz w:val="20"/>
              </w:rPr>
              <w:t>B3</w:t>
            </w:r>
          </w:p>
        </w:tc>
        <w:tc>
          <w:tcPr>
            <w:tcW w:w="1701" w:type="dxa"/>
          </w:tcPr>
          <w:p w:rsidR="006C61B6" w:rsidRPr="006D1FA3" w:rsidRDefault="006C61B6" w:rsidP="00D16BCE">
            <w:pPr>
              <w:pStyle w:val="Tabletext"/>
              <w:jc w:val="center"/>
              <w:rPr>
                <w:sz w:val="20"/>
              </w:rPr>
            </w:pPr>
            <w:r w:rsidRPr="006D1FA3">
              <w:rPr>
                <w:sz w:val="20"/>
              </w:rPr>
              <w:t>1 850-1 920</w:t>
            </w:r>
          </w:p>
        </w:tc>
        <w:tc>
          <w:tcPr>
            <w:tcW w:w="1276" w:type="dxa"/>
          </w:tcPr>
          <w:p w:rsidR="006C61B6" w:rsidRPr="006D1FA3" w:rsidRDefault="006C61B6" w:rsidP="00D16BCE">
            <w:pPr>
              <w:pStyle w:val="Tabletext"/>
              <w:jc w:val="center"/>
              <w:rPr>
                <w:sz w:val="20"/>
              </w:rPr>
            </w:pPr>
            <w:r w:rsidRPr="006D1FA3">
              <w:rPr>
                <w:sz w:val="20"/>
              </w:rPr>
              <w:t>20</w:t>
            </w:r>
          </w:p>
        </w:tc>
        <w:tc>
          <w:tcPr>
            <w:tcW w:w="1701" w:type="dxa"/>
          </w:tcPr>
          <w:p w:rsidR="006C61B6" w:rsidRPr="006D1FA3" w:rsidRDefault="006C61B6" w:rsidP="00D16BCE">
            <w:pPr>
              <w:pStyle w:val="Tabletext"/>
              <w:jc w:val="center"/>
              <w:rPr>
                <w:sz w:val="20"/>
              </w:rPr>
            </w:pPr>
            <w:r w:rsidRPr="006D1FA3">
              <w:rPr>
                <w:sz w:val="20"/>
              </w:rPr>
              <w:t>1 930-2 000</w:t>
            </w:r>
          </w:p>
        </w:tc>
        <w:tc>
          <w:tcPr>
            <w:tcW w:w="1276" w:type="dxa"/>
          </w:tcPr>
          <w:p w:rsidR="006C61B6" w:rsidRPr="006D1FA3" w:rsidRDefault="006C61B6" w:rsidP="00D16BCE">
            <w:pPr>
              <w:pStyle w:val="Tabletext"/>
              <w:jc w:val="center"/>
              <w:rPr>
                <w:sz w:val="20"/>
              </w:rPr>
            </w:pPr>
            <w:r w:rsidRPr="006D1FA3">
              <w:rPr>
                <w:sz w:val="20"/>
              </w:rPr>
              <w:t>80</w:t>
            </w:r>
          </w:p>
        </w:tc>
        <w:tc>
          <w:tcPr>
            <w:tcW w:w="1422" w:type="dxa"/>
          </w:tcPr>
          <w:p w:rsidR="006C61B6" w:rsidRPr="006D1FA3" w:rsidRDefault="006C61B6" w:rsidP="00D16BCE">
            <w:pPr>
              <w:pStyle w:val="Tabletext"/>
              <w:jc w:val="center"/>
              <w:rPr>
                <w:sz w:val="20"/>
              </w:rPr>
            </w:pPr>
            <w:r w:rsidRPr="006D1FA3">
              <w:rPr>
                <w:sz w:val="20"/>
              </w:rPr>
              <w:t>1 920-1 930</w:t>
            </w:r>
          </w:p>
        </w:tc>
        <w:tc>
          <w:tcPr>
            <w:tcW w:w="1422" w:type="dxa"/>
          </w:tcPr>
          <w:p w:rsidR="006C61B6" w:rsidRPr="006D1FA3" w:rsidDel="0066627E" w:rsidRDefault="006C61B6" w:rsidP="00D16BCE">
            <w:pPr>
              <w:pStyle w:val="Tabletext"/>
              <w:jc w:val="center"/>
              <w:rPr>
                <w:sz w:val="20"/>
              </w:rPr>
            </w:pPr>
            <w:r w:rsidRPr="006D1FA3">
              <w:rPr>
                <w:sz w:val="20"/>
              </w:rPr>
              <w:t>1, 2, 5</w:t>
            </w:r>
          </w:p>
        </w:tc>
      </w:tr>
      <w:tr w:rsidR="006C61B6" w:rsidRPr="00BB1A07" w:rsidTr="006D1FA3">
        <w:trPr>
          <w:jc w:val="center"/>
        </w:trPr>
        <w:tc>
          <w:tcPr>
            <w:tcW w:w="2263" w:type="dxa"/>
          </w:tcPr>
          <w:p w:rsidR="006C61B6" w:rsidRPr="006D1FA3" w:rsidRDefault="006C61B6" w:rsidP="00D16BCE">
            <w:pPr>
              <w:pStyle w:val="Tabletext"/>
              <w:jc w:val="center"/>
              <w:rPr>
                <w:sz w:val="20"/>
              </w:rPr>
            </w:pPr>
            <w:r w:rsidRPr="006D1FA3">
              <w:rPr>
                <w:sz w:val="20"/>
              </w:rPr>
              <w:t>B4 (harmonisée avec</w:t>
            </w:r>
            <w:r w:rsidRPr="006D1FA3">
              <w:rPr>
                <w:sz w:val="20"/>
              </w:rPr>
              <w:br/>
              <w:t>B1 et B2)</w:t>
            </w:r>
          </w:p>
        </w:tc>
        <w:tc>
          <w:tcPr>
            <w:tcW w:w="1701" w:type="dxa"/>
          </w:tcPr>
          <w:p w:rsidR="006C61B6" w:rsidRPr="006D1FA3" w:rsidRDefault="006C61B6" w:rsidP="00D16BCE">
            <w:pPr>
              <w:pStyle w:val="Tabletext"/>
              <w:jc w:val="center"/>
              <w:rPr>
                <w:sz w:val="20"/>
              </w:rPr>
            </w:pPr>
            <w:r w:rsidRPr="006D1FA3">
              <w:rPr>
                <w:sz w:val="20"/>
              </w:rPr>
              <w:t>1 710-1 785</w:t>
            </w:r>
            <w:r w:rsidRPr="006D1FA3">
              <w:rPr>
                <w:sz w:val="20"/>
              </w:rPr>
              <w:br/>
              <w:t>1 920-1 980</w:t>
            </w:r>
          </w:p>
        </w:tc>
        <w:tc>
          <w:tcPr>
            <w:tcW w:w="1276" w:type="dxa"/>
          </w:tcPr>
          <w:p w:rsidR="006C61B6" w:rsidRPr="006D1FA3" w:rsidRDefault="006C61B6" w:rsidP="00D16BCE">
            <w:pPr>
              <w:pStyle w:val="Tabletext"/>
              <w:jc w:val="center"/>
              <w:rPr>
                <w:sz w:val="20"/>
              </w:rPr>
            </w:pPr>
            <w:r w:rsidRPr="006D1FA3">
              <w:rPr>
                <w:sz w:val="20"/>
              </w:rPr>
              <w:t>20</w:t>
            </w:r>
            <w:r w:rsidRPr="006D1FA3">
              <w:rPr>
                <w:sz w:val="20"/>
              </w:rPr>
              <w:br/>
              <w:t>130</w:t>
            </w:r>
          </w:p>
        </w:tc>
        <w:tc>
          <w:tcPr>
            <w:tcW w:w="1701" w:type="dxa"/>
          </w:tcPr>
          <w:p w:rsidR="006C61B6" w:rsidRPr="006D1FA3" w:rsidRDefault="006C61B6" w:rsidP="00D16BCE">
            <w:pPr>
              <w:pStyle w:val="Tabletext"/>
              <w:jc w:val="center"/>
              <w:rPr>
                <w:sz w:val="20"/>
              </w:rPr>
            </w:pPr>
            <w:r w:rsidRPr="006D1FA3">
              <w:rPr>
                <w:sz w:val="20"/>
              </w:rPr>
              <w:t>1 805-1 880</w:t>
            </w:r>
            <w:r w:rsidRPr="006D1FA3">
              <w:rPr>
                <w:sz w:val="20"/>
              </w:rPr>
              <w:br/>
              <w:t>2 110-2 170</w:t>
            </w:r>
          </w:p>
        </w:tc>
        <w:tc>
          <w:tcPr>
            <w:tcW w:w="1276" w:type="dxa"/>
          </w:tcPr>
          <w:p w:rsidR="006C61B6" w:rsidRPr="006D1FA3" w:rsidRDefault="006C61B6" w:rsidP="00D16BCE">
            <w:pPr>
              <w:pStyle w:val="Tabletext"/>
              <w:jc w:val="center"/>
              <w:rPr>
                <w:sz w:val="20"/>
              </w:rPr>
            </w:pPr>
            <w:r w:rsidRPr="006D1FA3">
              <w:rPr>
                <w:sz w:val="20"/>
              </w:rPr>
              <w:t>95</w:t>
            </w:r>
            <w:r w:rsidRPr="006D1FA3">
              <w:rPr>
                <w:sz w:val="20"/>
              </w:rPr>
              <w:br/>
              <w:t>190</w:t>
            </w:r>
          </w:p>
        </w:tc>
        <w:tc>
          <w:tcPr>
            <w:tcW w:w="1422" w:type="dxa"/>
          </w:tcPr>
          <w:p w:rsidR="006C61B6" w:rsidRPr="006D1FA3" w:rsidRDefault="006C61B6" w:rsidP="00D16BCE">
            <w:pPr>
              <w:pStyle w:val="Tabletext"/>
              <w:jc w:val="center"/>
              <w:rPr>
                <w:sz w:val="20"/>
              </w:rPr>
            </w:pPr>
            <w:r w:rsidRPr="006D1FA3">
              <w:rPr>
                <w:sz w:val="20"/>
              </w:rPr>
              <w:t>1 880-1 920;</w:t>
            </w:r>
            <w:r w:rsidRPr="006D1FA3">
              <w:rPr>
                <w:sz w:val="20"/>
              </w:rPr>
              <w:br/>
              <w:t>2 010-2 025</w:t>
            </w:r>
          </w:p>
        </w:tc>
        <w:tc>
          <w:tcPr>
            <w:tcW w:w="1422" w:type="dxa"/>
          </w:tcPr>
          <w:p w:rsidR="006C61B6" w:rsidRPr="006D1FA3" w:rsidRDefault="006C61B6" w:rsidP="00D16BCE">
            <w:pPr>
              <w:pStyle w:val="Tabletext"/>
              <w:jc w:val="center"/>
              <w:rPr>
                <w:sz w:val="20"/>
              </w:rPr>
            </w:pPr>
            <w:r w:rsidRPr="006D1FA3">
              <w:rPr>
                <w:sz w:val="20"/>
              </w:rPr>
              <w:t>1, 2, 4</w:t>
            </w:r>
          </w:p>
        </w:tc>
      </w:tr>
      <w:tr w:rsidR="006C61B6" w:rsidRPr="00BB1A07" w:rsidTr="006D1FA3">
        <w:trPr>
          <w:jc w:val="center"/>
        </w:trPr>
        <w:tc>
          <w:tcPr>
            <w:tcW w:w="2263" w:type="dxa"/>
          </w:tcPr>
          <w:p w:rsidR="006C61B6" w:rsidRPr="006D1FA3" w:rsidRDefault="006C61B6" w:rsidP="00D16BCE">
            <w:pPr>
              <w:pStyle w:val="Tabletext"/>
              <w:jc w:val="center"/>
              <w:rPr>
                <w:sz w:val="20"/>
              </w:rPr>
            </w:pPr>
            <w:r w:rsidRPr="006D1FA3">
              <w:rPr>
                <w:sz w:val="20"/>
              </w:rPr>
              <w:t>B5 (harmonisée avec B3 et en partie harmonisée avec la liaison descendante de B1 et la liaison montante de</w:t>
            </w:r>
            <w:r w:rsidRPr="006D1FA3">
              <w:rPr>
                <w:sz w:val="20"/>
              </w:rPr>
              <w:br/>
              <w:t>B2)</w:t>
            </w:r>
          </w:p>
        </w:tc>
        <w:tc>
          <w:tcPr>
            <w:tcW w:w="1701" w:type="dxa"/>
          </w:tcPr>
          <w:p w:rsidR="006C61B6" w:rsidRPr="006D1FA3" w:rsidRDefault="006C61B6" w:rsidP="00D16BCE">
            <w:pPr>
              <w:pStyle w:val="Tabletext"/>
              <w:jc w:val="center"/>
              <w:rPr>
                <w:sz w:val="20"/>
              </w:rPr>
            </w:pPr>
            <w:r w:rsidRPr="006D1FA3">
              <w:rPr>
                <w:sz w:val="20"/>
              </w:rPr>
              <w:t>1 850-1 920</w:t>
            </w:r>
            <w:r w:rsidRPr="006D1FA3">
              <w:rPr>
                <w:sz w:val="20"/>
              </w:rPr>
              <w:br/>
              <w:t>1 710-1 780</w:t>
            </w:r>
          </w:p>
        </w:tc>
        <w:tc>
          <w:tcPr>
            <w:tcW w:w="1276" w:type="dxa"/>
          </w:tcPr>
          <w:p w:rsidR="006C61B6" w:rsidRPr="006D1FA3" w:rsidRDefault="006C61B6" w:rsidP="00D16BCE">
            <w:pPr>
              <w:pStyle w:val="Tabletext"/>
              <w:jc w:val="center"/>
              <w:rPr>
                <w:sz w:val="20"/>
              </w:rPr>
            </w:pPr>
            <w:r w:rsidRPr="006D1FA3">
              <w:rPr>
                <w:sz w:val="20"/>
              </w:rPr>
              <w:t>210</w:t>
            </w:r>
            <w:r w:rsidRPr="006D1FA3">
              <w:rPr>
                <w:sz w:val="20"/>
              </w:rPr>
              <w:br/>
              <w:t>3340</w:t>
            </w:r>
          </w:p>
        </w:tc>
        <w:tc>
          <w:tcPr>
            <w:tcW w:w="1701" w:type="dxa"/>
          </w:tcPr>
          <w:p w:rsidR="006C61B6" w:rsidRPr="006D1FA3" w:rsidRDefault="006C61B6" w:rsidP="00D16BCE">
            <w:pPr>
              <w:pStyle w:val="Tabletext"/>
              <w:jc w:val="center"/>
              <w:rPr>
                <w:sz w:val="20"/>
              </w:rPr>
            </w:pPr>
            <w:r w:rsidRPr="006D1FA3">
              <w:rPr>
                <w:sz w:val="20"/>
              </w:rPr>
              <w:t>1 930-2 000</w:t>
            </w:r>
            <w:r w:rsidRPr="006D1FA3">
              <w:rPr>
                <w:sz w:val="20"/>
              </w:rPr>
              <w:br/>
              <w:t>2 110-2 180</w:t>
            </w:r>
          </w:p>
        </w:tc>
        <w:tc>
          <w:tcPr>
            <w:tcW w:w="1276" w:type="dxa"/>
          </w:tcPr>
          <w:p w:rsidR="006C61B6" w:rsidRPr="006D1FA3" w:rsidRDefault="006C61B6" w:rsidP="00D16BCE">
            <w:pPr>
              <w:pStyle w:val="Tabletext"/>
              <w:jc w:val="center"/>
              <w:rPr>
                <w:sz w:val="20"/>
              </w:rPr>
            </w:pPr>
            <w:r w:rsidRPr="006D1FA3">
              <w:rPr>
                <w:sz w:val="20"/>
              </w:rPr>
              <w:t>80</w:t>
            </w:r>
            <w:r w:rsidRPr="006D1FA3">
              <w:rPr>
                <w:sz w:val="20"/>
              </w:rPr>
              <w:br/>
              <w:t>400</w:t>
            </w:r>
          </w:p>
        </w:tc>
        <w:tc>
          <w:tcPr>
            <w:tcW w:w="1422" w:type="dxa"/>
          </w:tcPr>
          <w:p w:rsidR="006C61B6" w:rsidRPr="006D1FA3" w:rsidRDefault="006C61B6" w:rsidP="00D16BCE">
            <w:pPr>
              <w:pStyle w:val="Tabletext"/>
              <w:jc w:val="center"/>
              <w:rPr>
                <w:sz w:val="20"/>
              </w:rPr>
            </w:pPr>
            <w:r w:rsidRPr="006D1FA3">
              <w:rPr>
                <w:sz w:val="20"/>
              </w:rPr>
              <w:t>1 920-1 930</w:t>
            </w:r>
          </w:p>
        </w:tc>
        <w:tc>
          <w:tcPr>
            <w:tcW w:w="1422" w:type="dxa"/>
          </w:tcPr>
          <w:p w:rsidR="006C61B6" w:rsidRPr="006D1FA3" w:rsidDel="00FD2787" w:rsidRDefault="006C61B6" w:rsidP="00D16BCE">
            <w:pPr>
              <w:pStyle w:val="Tabletext"/>
              <w:jc w:val="center"/>
              <w:rPr>
                <w:sz w:val="20"/>
              </w:rPr>
            </w:pPr>
            <w:r w:rsidRPr="006D1FA3">
              <w:rPr>
                <w:sz w:val="20"/>
              </w:rPr>
              <w:t>1, 2, 3, 5</w:t>
            </w:r>
          </w:p>
        </w:tc>
      </w:tr>
      <w:tr w:rsidR="006C61B6" w:rsidRPr="00BB1A07" w:rsidTr="006D1FA3">
        <w:trPr>
          <w:jc w:val="center"/>
        </w:trPr>
        <w:tc>
          <w:tcPr>
            <w:tcW w:w="2263" w:type="dxa"/>
          </w:tcPr>
          <w:p w:rsidR="006C61B6" w:rsidRPr="006D1FA3" w:rsidRDefault="006C61B6" w:rsidP="00D16BCE">
            <w:pPr>
              <w:pStyle w:val="Tabletext"/>
              <w:jc w:val="center"/>
              <w:rPr>
                <w:sz w:val="20"/>
              </w:rPr>
            </w:pPr>
            <w:r w:rsidRPr="006D1FA3">
              <w:rPr>
                <w:sz w:val="20"/>
              </w:rPr>
              <w:t>B6</w:t>
            </w:r>
          </w:p>
        </w:tc>
        <w:tc>
          <w:tcPr>
            <w:tcW w:w="1701" w:type="dxa"/>
          </w:tcPr>
          <w:p w:rsidR="006C61B6" w:rsidRPr="006D1FA3" w:rsidRDefault="006C61B6" w:rsidP="00D16BCE">
            <w:pPr>
              <w:pStyle w:val="Tabletext"/>
              <w:jc w:val="center"/>
              <w:rPr>
                <w:sz w:val="20"/>
              </w:rPr>
            </w:pPr>
            <w:r w:rsidRPr="006D1FA3">
              <w:rPr>
                <w:sz w:val="20"/>
              </w:rPr>
              <w:t>1 980-2 010</w:t>
            </w:r>
          </w:p>
        </w:tc>
        <w:tc>
          <w:tcPr>
            <w:tcW w:w="1276" w:type="dxa"/>
          </w:tcPr>
          <w:p w:rsidR="006C61B6" w:rsidRPr="006D1FA3" w:rsidRDefault="006C61B6" w:rsidP="00D16BCE">
            <w:pPr>
              <w:pStyle w:val="Tabletext"/>
              <w:jc w:val="center"/>
              <w:rPr>
                <w:sz w:val="20"/>
              </w:rPr>
            </w:pPr>
            <w:r w:rsidRPr="006D1FA3">
              <w:rPr>
                <w:sz w:val="20"/>
              </w:rPr>
              <w:t>160</w:t>
            </w:r>
          </w:p>
        </w:tc>
        <w:tc>
          <w:tcPr>
            <w:tcW w:w="1701" w:type="dxa"/>
          </w:tcPr>
          <w:p w:rsidR="006C61B6" w:rsidRPr="006D1FA3" w:rsidRDefault="006C61B6" w:rsidP="00D16BCE">
            <w:pPr>
              <w:pStyle w:val="Tabletext"/>
              <w:jc w:val="center"/>
              <w:rPr>
                <w:sz w:val="20"/>
              </w:rPr>
            </w:pPr>
            <w:r w:rsidRPr="006D1FA3">
              <w:rPr>
                <w:sz w:val="20"/>
              </w:rPr>
              <w:t>2 170-2 200</w:t>
            </w:r>
          </w:p>
        </w:tc>
        <w:tc>
          <w:tcPr>
            <w:tcW w:w="1276" w:type="dxa"/>
          </w:tcPr>
          <w:p w:rsidR="006C61B6" w:rsidRPr="006D1FA3" w:rsidRDefault="006C61B6" w:rsidP="00D16BCE">
            <w:pPr>
              <w:pStyle w:val="Tabletext"/>
              <w:jc w:val="center"/>
              <w:rPr>
                <w:sz w:val="20"/>
              </w:rPr>
            </w:pPr>
            <w:r w:rsidRPr="006D1FA3">
              <w:rPr>
                <w:sz w:val="20"/>
              </w:rPr>
              <w:t>190</w:t>
            </w:r>
          </w:p>
        </w:tc>
        <w:tc>
          <w:tcPr>
            <w:tcW w:w="1422" w:type="dxa"/>
          </w:tcPr>
          <w:p w:rsidR="006C61B6" w:rsidRPr="006D1FA3" w:rsidRDefault="006C61B6" w:rsidP="00D16BCE">
            <w:pPr>
              <w:pStyle w:val="Tabletext"/>
              <w:jc w:val="center"/>
              <w:rPr>
                <w:sz w:val="20"/>
              </w:rPr>
            </w:pPr>
            <w:r w:rsidRPr="006D1FA3">
              <w:rPr>
                <w:sz w:val="20"/>
              </w:rPr>
              <w:t>Néant</w:t>
            </w:r>
          </w:p>
        </w:tc>
        <w:tc>
          <w:tcPr>
            <w:tcW w:w="1422" w:type="dxa"/>
          </w:tcPr>
          <w:p w:rsidR="006C61B6" w:rsidRPr="006D1FA3" w:rsidRDefault="006C61B6" w:rsidP="00D16BCE">
            <w:pPr>
              <w:pStyle w:val="Tabletext"/>
              <w:jc w:val="center"/>
              <w:rPr>
                <w:sz w:val="20"/>
              </w:rPr>
            </w:pPr>
            <w:r w:rsidRPr="006D1FA3">
              <w:rPr>
                <w:sz w:val="20"/>
              </w:rPr>
              <w:t>4, 5</w:t>
            </w:r>
          </w:p>
        </w:tc>
      </w:tr>
      <w:tr w:rsidR="006C61B6" w:rsidRPr="00BB1A07" w:rsidTr="006D1FA3">
        <w:trPr>
          <w:jc w:val="center"/>
        </w:trPr>
        <w:tc>
          <w:tcPr>
            <w:tcW w:w="2263" w:type="dxa"/>
          </w:tcPr>
          <w:p w:rsidR="006C61B6" w:rsidRPr="006D1FA3" w:rsidRDefault="006C61B6" w:rsidP="00D16BCE">
            <w:pPr>
              <w:pStyle w:val="Tabletext"/>
              <w:jc w:val="center"/>
              <w:rPr>
                <w:sz w:val="20"/>
              </w:rPr>
            </w:pPr>
            <w:r w:rsidRPr="006D1FA3">
              <w:rPr>
                <w:sz w:val="20"/>
              </w:rPr>
              <w:t>B7</w:t>
            </w:r>
          </w:p>
        </w:tc>
        <w:tc>
          <w:tcPr>
            <w:tcW w:w="1701" w:type="dxa"/>
          </w:tcPr>
          <w:p w:rsidR="006C61B6" w:rsidRPr="006D1FA3" w:rsidRDefault="006C61B6" w:rsidP="00D16BCE">
            <w:pPr>
              <w:pStyle w:val="Tabletext"/>
              <w:jc w:val="center"/>
              <w:rPr>
                <w:sz w:val="20"/>
              </w:rPr>
            </w:pPr>
            <w:r w:rsidRPr="006D1FA3">
              <w:rPr>
                <w:sz w:val="20"/>
              </w:rPr>
              <w:t>2 000-2 020</w:t>
            </w:r>
          </w:p>
        </w:tc>
        <w:tc>
          <w:tcPr>
            <w:tcW w:w="1276" w:type="dxa"/>
          </w:tcPr>
          <w:p w:rsidR="006C61B6" w:rsidRPr="006D1FA3" w:rsidRDefault="006C61B6" w:rsidP="00D16BCE">
            <w:pPr>
              <w:pStyle w:val="Tabletext"/>
              <w:jc w:val="center"/>
              <w:rPr>
                <w:sz w:val="20"/>
              </w:rPr>
            </w:pPr>
            <w:r w:rsidRPr="006D1FA3">
              <w:rPr>
                <w:sz w:val="20"/>
              </w:rPr>
              <w:t>160</w:t>
            </w:r>
          </w:p>
        </w:tc>
        <w:tc>
          <w:tcPr>
            <w:tcW w:w="1701" w:type="dxa"/>
          </w:tcPr>
          <w:p w:rsidR="006C61B6" w:rsidRPr="006D1FA3" w:rsidRDefault="006C61B6" w:rsidP="00D16BCE">
            <w:pPr>
              <w:pStyle w:val="Tabletext"/>
              <w:jc w:val="center"/>
              <w:rPr>
                <w:sz w:val="20"/>
              </w:rPr>
            </w:pPr>
            <w:r w:rsidRPr="006D1FA3">
              <w:rPr>
                <w:sz w:val="20"/>
              </w:rPr>
              <w:t>2 180-2 200</w:t>
            </w:r>
          </w:p>
        </w:tc>
        <w:tc>
          <w:tcPr>
            <w:tcW w:w="1276" w:type="dxa"/>
          </w:tcPr>
          <w:p w:rsidR="006C61B6" w:rsidRPr="006D1FA3" w:rsidRDefault="006C61B6" w:rsidP="00D16BCE">
            <w:pPr>
              <w:pStyle w:val="Tabletext"/>
              <w:jc w:val="center"/>
              <w:rPr>
                <w:sz w:val="20"/>
              </w:rPr>
            </w:pPr>
            <w:r w:rsidRPr="006D1FA3">
              <w:rPr>
                <w:sz w:val="20"/>
              </w:rPr>
              <w:t>180</w:t>
            </w:r>
          </w:p>
        </w:tc>
        <w:tc>
          <w:tcPr>
            <w:tcW w:w="1422" w:type="dxa"/>
          </w:tcPr>
          <w:p w:rsidR="006C61B6" w:rsidRPr="006D1FA3" w:rsidRDefault="006C61B6" w:rsidP="00D16BCE">
            <w:pPr>
              <w:pStyle w:val="Tabletext"/>
              <w:jc w:val="center"/>
              <w:rPr>
                <w:sz w:val="20"/>
              </w:rPr>
            </w:pPr>
            <w:r w:rsidRPr="006D1FA3">
              <w:rPr>
                <w:sz w:val="20"/>
              </w:rPr>
              <w:t>Néant</w:t>
            </w:r>
          </w:p>
        </w:tc>
        <w:tc>
          <w:tcPr>
            <w:tcW w:w="1422" w:type="dxa"/>
          </w:tcPr>
          <w:p w:rsidR="006C61B6" w:rsidRPr="006D1FA3" w:rsidRDefault="006C61B6" w:rsidP="00D16BCE">
            <w:pPr>
              <w:pStyle w:val="Tabletext"/>
              <w:jc w:val="center"/>
              <w:rPr>
                <w:sz w:val="20"/>
              </w:rPr>
            </w:pPr>
            <w:r w:rsidRPr="006D1FA3">
              <w:rPr>
                <w:sz w:val="20"/>
              </w:rPr>
              <w:t>5</w:t>
            </w:r>
          </w:p>
        </w:tc>
      </w:tr>
    </w:tbl>
    <w:p w:rsidR="006D1FA3" w:rsidRDefault="006D1FA3" w:rsidP="006D1FA3">
      <w:pPr>
        <w:pStyle w:val="Tablefin"/>
      </w:pPr>
    </w:p>
    <w:p w:rsidR="006C61B6" w:rsidRPr="00BB1A07" w:rsidRDefault="006C61B6" w:rsidP="006C61B6">
      <w:pPr>
        <w:pStyle w:val="Headingi"/>
      </w:pPr>
      <w:r w:rsidRPr="00BB1A07">
        <w:t>Notes concernant le Tableau 4:</w:t>
      </w:r>
    </w:p>
    <w:p w:rsidR="006C61B6" w:rsidRPr="00BB1A07" w:rsidRDefault="006C61B6" w:rsidP="001C551F">
      <w:pPr>
        <w:pStyle w:val="Note"/>
      </w:pPr>
      <w:r w:rsidRPr="00BB1A07">
        <w:t>NOTE 1 – Dans les bandes 1</w:t>
      </w:r>
      <w:r w:rsidRPr="00BB1A07">
        <w:rPr>
          <w:rFonts w:ascii="Tms Rmn" w:hAnsi="Tms Rmn"/>
          <w:sz w:val="12"/>
        </w:rPr>
        <w:t> </w:t>
      </w:r>
      <w:r w:rsidRPr="00BB1A07">
        <w:t>710-2</w:t>
      </w:r>
      <w:r w:rsidRPr="00BB1A07">
        <w:rPr>
          <w:rFonts w:ascii="Tms Rmn" w:hAnsi="Tms Rmn"/>
          <w:sz w:val="12"/>
        </w:rPr>
        <w:t> </w:t>
      </w:r>
      <w:r w:rsidRPr="00BB1A07">
        <w:t>025 et 2</w:t>
      </w:r>
      <w:r w:rsidRPr="00BB1A07">
        <w:rPr>
          <w:rFonts w:ascii="Tms Rmn" w:hAnsi="Tms Rmn"/>
          <w:sz w:val="12"/>
        </w:rPr>
        <w:t> </w:t>
      </w:r>
      <w:r w:rsidRPr="00BB1A07">
        <w:t>110-2</w:t>
      </w:r>
      <w:r w:rsidRPr="00BB1A07">
        <w:rPr>
          <w:rFonts w:ascii="Tms Rmn" w:hAnsi="Tms Rmn"/>
          <w:sz w:val="12"/>
        </w:rPr>
        <w:t> </w:t>
      </w:r>
      <w:r w:rsidRPr="00BB1A07">
        <w:t xml:space="preserve">200 MHz, </w:t>
      </w:r>
      <w:r w:rsidR="001C551F">
        <w:t xml:space="preserve">on utilise déjà ou il est prévu d'utiliser </w:t>
      </w:r>
      <w:r w:rsidRPr="00BB1A07">
        <w:t>trois dispositions de fréquences de base (B1, B2 et B3) dans les systèmes mobiles cellulaires publics, y compris les IMT. Sur la base de ces trois dispositions, différentes combinaisons de dispositions sont recommandées (voir B4 et B5). Les dispositions B1 et B2 sont parfaitement complémentaires, tandis que la disposition B3 recoupe en partie les dispositions B1 et B2.</w:t>
      </w:r>
    </w:p>
    <w:p w:rsidR="006C61B6" w:rsidRPr="00BB1A07" w:rsidRDefault="006C61B6" w:rsidP="006C61B6">
      <w:pPr>
        <w:pStyle w:val="Note"/>
      </w:pPr>
      <w:r w:rsidRPr="00BB1A07">
        <w:t>Pour les pays ayant mis en œuvre la disposition B1, la disposition B4 permet d'optimiser l'utilisation du spectre dans le cas d'un fonctionnement en bandes appariées des IMT.</w:t>
      </w:r>
    </w:p>
    <w:p w:rsidR="006C61B6" w:rsidRPr="00BB1A07" w:rsidRDefault="006C61B6" w:rsidP="006C61B6">
      <w:pPr>
        <w:pStyle w:val="Note"/>
      </w:pPr>
      <w:r w:rsidRPr="00BB1A07">
        <w:t>Pour les pays ayant mis en œuvre la disposition B3, la disposition B1 peut être combinée avec la disposition B2. La disposition B5 est par conséquent recommandée afin d'optimiser l'utilisation du spectre:</w:t>
      </w:r>
    </w:p>
    <w:p w:rsidR="006C61B6" w:rsidRPr="001C551F" w:rsidRDefault="006C61B6" w:rsidP="006C61B6">
      <w:pPr>
        <w:pStyle w:val="enumlev1"/>
        <w:rPr>
          <w:sz w:val="22"/>
          <w:szCs w:val="22"/>
        </w:rPr>
      </w:pPr>
      <w:r w:rsidRPr="001C551F">
        <w:rPr>
          <w:sz w:val="22"/>
          <w:szCs w:val="22"/>
        </w:rPr>
        <w:t>–</w:t>
      </w:r>
      <w:r w:rsidRPr="001C551F">
        <w:rPr>
          <w:sz w:val="22"/>
          <w:szCs w:val="22"/>
        </w:rPr>
        <w:tab/>
        <w:t>la disposition B5 permet d'optimiser l'utilisation du spectre pour les IMT dans les pays ayant mis en œuvre la disposition B3 et où la bande 1</w:t>
      </w:r>
      <w:r w:rsidRPr="001C551F">
        <w:rPr>
          <w:rFonts w:ascii="Tms Rmn" w:hAnsi="Tms Rmn"/>
          <w:sz w:val="22"/>
          <w:szCs w:val="22"/>
        </w:rPr>
        <w:t> </w:t>
      </w:r>
      <w:r w:rsidRPr="001C551F">
        <w:rPr>
          <w:sz w:val="22"/>
          <w:szCs w:val="22"/>
        </w:rPr>
        <w:t>770-1</w:t>
      </w:r>
      <w:r w:rsidRPr="001C551F">
        <w:rPr>
          <w:rFonts w:ascii="Tms Rmn" w:hAnsi="Tms Rmn"/>
          <w:sz w:val="22"/>
          <w:szCs w:val="22"/>
        </w:rPr>
        <w:t> </w:t>
      </w:r>
      <w:r w:rsidRPr="001C551F">
        <w:rPr>
          <w:sz w:val="22"/>
          <w:szCs w:val="22"/>
        </w:rPr>
        <w:t>850 MHz n'est pas disponible pendant la phase initiale de mise en œuvre des IMT dans cette bande de fréquences.</w:t>
      </w:r>
    </w:p>
    <w:p w:rsidR="006C61B6" w:rsidRPr="00BB1A07" w:rsidRDefault="006C61B6" w:rsidP="006C61B6">
      <w:pPr>
        <w:pStyle w:val="Note"/>
      </w:pPr>
      <w:r w:rsidRPr="00BB1A07">
        <w:lastRenderedPageBreak/>
        <w:t>NOTE 2 – Le duplexage DRT peut être mis en place dans les bandes non appariées et également, sous certaines conditions, dans les bandes attribuées aux liaisons montantes pour les dispositions de fréquences appariées et/ou dans l'intervalle central entre bandes appariées.</w:t>
      </w:r>
    </w:p>
    <w:p w:rsidR="006C61B6" w:rsidRPr="00BB1A07" w:rsidRDefault="006C61B6" w:rsidP="006C61B6">
      <w:pPr>
        <w:pStyle w:val="Note"/>
      </w:pPr>
      <w:r w:rsidRPr="00BB1A07">
        <w:t>NOTE 3 – Lorsque la technologie duplex sélectionnable/variable est mise en œuvre à l'intérieur des terminaux et qu'elle est considérée comme la façon la plus efficace de gérer différentes dispositions de fréquences, le fait que les pays voisins puissent choisir la disposition B5 n'aura pas d'effet sur la complexité du terminal. Un complément d'étude est nécessaire.</w:t>
      </w:r>
    </w:p>
    <w:p w:rsidR="006C61B6" w:rsidRDefault="006C61B6" w:rsidP="006C61B6">
      <w:pPr>
        <w:pStyle w:val="Note"/>
      </w:pPr>
      <w:r w:rsidRPr="00BB1A07">
        <w:t>NOTE 4 ‒ Dans la disposition B6, les bandes de fréquences 1 980-2 010 MHz et 2 170-2 200 MHz sont destinées à être utilisées en association avec les dispositions B1 et B4, ce qui permet d'optimiser encore l'utilisation du spectre dans le cas d'une exploitation des IMT avec appariement (voir la Note 1).</w:t>
      </w:r>
    </w:p>
    <w:p w:rsidR="006D1FA3" w:rsidRDefault="006C61B6" w:rsidP="006D1FA3">
      <w:pPr>
        <w:pStyle w:val="Note"/>
      </w:pPr>
      <w:r>
        <w:t xml:space="preserve">NOTE 5 – Comme indiqué aux </w:t>
      </w:r>
      <w:r>
        <w:rPr>
          <w:i/>
          <w:iCs/>
        </w:rPr>
        <w:t xml:space="preserve">c) </w:t>
      </w:r>
      <w:r>
        <w:t xml:space="preserve">et </w:t>
      </w:r>
      <w:r>
        <w:rPr>
          <w:i/>
          <w:iCs/>
        </w:rPr>
        <w:t>d)</w:t>
      </w:r>
      <w:r>
        <w:t xml:space="preserve"> du </w:t>
      </w:r>
      <w:r>
        <w:rPr>
          <w:i/>
          <w:iCs/>
        </w:rPr>
        <w:t>reconnaissant</w:t>
      </w:r>
      <w:r>
        <w:t>, la situation relative aux dispositions de fréquences B6 et B7 et à des parties des dispositions B3 et B5 dans les bandes 1 980-2 010 MHz et 2 170-2 200 MHz est particulière. Le déploiement sur les mêmes fréquences avec couverture commune des composantes indépendantes de Terre et satellite des IMT n'est pas possible, sauf si des techniques telles que l'utilisation d'une bande de garde appropriée, ou d'autres techniques de limitation des brouillages, sont appliquées pour assurer la coexistence et la compatibilité entre la composante de Terre et la composante satellite des IMT. Lorsque ces composantes sont déployées dans des zones géographiques adjacentes dans les mêmes bandes de fréquences, des mesures techniques ou opérationnelles doivent être mises en œuvre si des brouillages préjudiciables sont signalés. D'autres études de l'UIT-R sont nécessaires à cet égard.</w:t>
      </w:r>
    </w:p>
    <w:p w:rsidR="006C61B6" w:rsidRPr="00BB1A07" w:rsidRDefault="006C61B6" w:rsidP="00007176">
      <w:pPr>
        <w:pStyle w:val="FigureNo"/>
      </w:pPr>
      <w:r w:rsidRPr="00BB1A07">
        <w:lastRenderedPageBreak/>
        <w:t>F</w:t>
      </w:r>
      <w:r w:rsidR="006D1FA3">
        <w:t>IGURE 4</w:t>
      </w:r>
      <w:r w:rsidR="00007176">
        <w:br/>
      </w:r>
      <w:r w:rsidRPr="00BB1A07">
        <w:t>(</w:t>
      </w:r>
      <w:r w:rsidR="00007176" w:rsidRPr="00BB1A07">
        <w:rPr>
          <w:caps w:val="0"/>
        </w:rPr>
        <w:t>Voir les notes concernant le Tableau</w:t>
      </w:r>
      <w:r w:rsidRPr="00BB1A07">
        <w:t xml:space="preserve"> 4)</w:t>
      </w:r>
    </w:p>
    <w:p w:rsidR="006C61B6" w:rsidRPr="00BB1A07" w:rsidRDefault="006C61B6" w:rsidP="008446E0">
      <w:pPr>
        <w:pStyle w:val="Figure"/>
        <w:keepNext/>
      </w:pPr>
      <w:r w:rsidRPr="00BB1A07">
        <w:rPr>
          <w:noProof/>
          <w:lang w:eastAsia="zh-CN"/>
        </w:rPr>
        <w:object w:dxaOrig="6948" w:dyaOrig="4192">
          <v:shape id="_x0000_i1032" type="#_x0000_t75" style="width:424.95pt;height:251.8pt" o:ole="">
            <v:imagedata r:id="rId33" o:title=""/>
          </v:shape>
          <o:OLEObject Type="Embed" ProgID="CorelDRAW.Graphic.14" ShapeID="_x0000_i1032" DrawAspect="Content" ObjectID="_1508231745" r:id="rId34"/>
        </w:object>
      </w:r>
    </w:p>
    <w:p w:rsidR="006C61B6" w:rsidRPr="00BB1A07" w:rsidRDefault="006C61B6" w:rsidP="006C61B6">
      <w:pPr>
        <w:keepNext/>
        <w:keepLines/>
        <w:suppressAutoHyphens/>
        <w:spacing w:before="60"/>
        <w:jc w:val="center"/>
        <w:rPr>
          <w:lang w:eastAsia="zh-CN"/>
        </w:rPr>
      </w:pPr>
      <w:r w:rsidRPr="00BB1A07">
        <w:rPr>
          <w:noProof/>
          <w:lang w:val="en-US" w:eastAsia="zh-CN"/>
        </w:rPr>
        <mc:AlternateContent>
          <mc:Choice Requires="wps">
            <w:drawing>
              <wp:anchor distT="0" distB="0" distL="114300" distR="114300" simplePos="0" relativeHeight="251659264" behindDoc="0" locked="0" layoutInCell="1" allowOverlap="1" wp14:anchorId="36D87C87" wp14:editId="2A2E1C50">
                <wp:simplePos x="0" y="0"/>
                <wp:positionH relativeFrom="column">
                  <wp:posOffset>5080</wp:posOffset>
                </wp:positionH>
                <wp:positionV relativeFrom="paragraph">
                  <wp:posOffset>133985</wp:posOffset>
                </wp:positionV>
                <wp:extent cx="1059180" cy="818515"/>
                <wp:effectExtent l="0" t="0" r="26670" b="19685"/>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818515"/>
                        </a:xfrm>
                        <a:prstGeom prst="rect">
                          <a:avLst/>
                        </a:prstGeom>
                        <a:solidFill>
                          <a:srgbClr val="FFFF99"/>
                        </a:solidFill>
                        <a:ln w="9525">
                          <a:solidFill>
                            <a:srgbClr val="000000"/>
                          </a:solidFill>
                          <a:miter lim="800000"/>
                          <a:headEnd/>
                          <a:tailEnd/>
                        </a:ln>
                      </wps:spPr>
                      <wps:txbx>
                        <w:txbxContent>
                          <w:p w:rsidR="006C61B6" w:rsidRDefault="006C61B6" w:rsidP="006C61B6">
                            <w:pPr>
                              <w:jc w:val="center"/>
                              <w:rPr>
                                <w:rFonts w:ascii="Arial" w:hAnsi="Arial" w:cs="Arial"/>
                                <w:color w:val="000000"/>
                                <w:sz w:val="30"/>
                                <w:szCs w:val="36"/>
                              </w:rPr>
                            </w:pPr>
                            <w:r>
                              <w:rPr>
                                <w:rFonts w:ascii="Arial" w:hAnsi="Arial" w:cs="Arial"/>
                                <w:color w:val="000000"/>
                                <w:sz w:val="30"/>
                                <w:szCs w:val="36"/>
                              </w:rPr>
                              <w:t>B3rev</w:t>
                            </w:r>
                          </w:p>
                        </w:txbxContent>
                      </wps:txbx>
                      <wps:bodyPr rot="0" vert="horz" wrap="square" lIns="74981" tIns="37490" rIns="74981" bIns="374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D87C87" id="Rectangle 697" o:spid="_x0000_s1026" style="position:absolute;left:0;text-align:left;margin-left:.4pt;margin-top:10.55pt;width:83.4pt;height:6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" fillcolor="#ff9">
                <v:textbox inset="2.08281mm,1.0414mm,2.08281mm,1.0414mm">
                  <w:txbxContent>
                    <w:p w:rsidR="006C61B6" w:rsidRDefault="006C61B6" w:rsidP="006C61B6">
                      <w:pPr>
                        <w:jc w:val="center"/>
                        <w:rPr>
                          <w:rFonts w:ascii="Arial" w:hAnsi="Arial" w:cs="Arial"/>
                          <w:color w:val="000000"/>
                          <w:sz w:val="30"/>
                          <w:szCs w:val="36"/>
                        </w:rPr>
                      </w:pPr>
                      <w:r>
                        <w:rPr>
                          <w:rFonts w:ascii="Arial" w:hAnsi="Arial" w:cs="Arial"/>
                          <w:color w:val="000000"/>
                          <w:sz w:val="30"/>
                          <w:szCs w:val="36"/>
                        </w:rPr>
                        <w:t>B3rev</w:t>
                      </w:r>
                    </w:p>
                  </w:txbxContent>
                </v:textbox>
              </v:rect>
            </w:pict>
          </mc:Fallback>
        </mc:AlternateContent>
      </w:r>
      <w:r w:rsidRPr="00BB1A07">
        <w:rPr>
          <w:noProof/>
          <w:lang w:val="en-US" w:eastAsia="zh-CN"/>
        </w:rPr>
        <mc:AlternateContent>
          <mc:Choice Requires="wps">
            <w:drawing>
              <wp:anchor distT="0" distB="0" distL="114300" distR="114300" simplePos="0" relativeHeight="251660288" behindDoc="0" locked="0" layoutInCell="1" allowOverlap="1" wp14:anchorId="4600F7AA" wp14:editId="2E29FCFD">
                <wp:simplePos x="0" y="0"/>
                <wp:positionH relativeFrom="column">
                  <wp:posOffset>1064260</wp:posOffset>
                </wp:positionH>
                <wp:positionV relativeFrom="paragraph">
                  <wp:posOffset>133985</wp:posOffset>
                </wp:positionV>
                <wp:extent cx="4944745" cy="818515"/>
                <wp:effectExtent l="0" t="0" r="27305" b="1968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745" cy="818515"/>
                        </a:xfrm>
                        <a:prstGeom prst="rect">
                          <a:avLst/>
                        </a:prstGeom>
                        <a:solidFill>
                          <a:srgbClr val="C0C0C0"/>
                        </a:solidFill>
                        <a:ln w="9525">
                          <a:solidFill>
                            <a:srgbClr val="000000"/>
                          </a:solidFill>
                          <a:miter lim="800000"/>
                          <a:headEnd/>
                          <a:tailEnd/>
                        </a:ln>
                      </wps:spPr>
                      <wps:txbx>
                        <w:txbxContent>
                          <w:p w:rsidR="006C61B6" w:rsidRDefault="006C61B6" w:rsidP="006C61B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00F7AA" id="Rectangle 696" o:spid="_x0000_s1027" style="position:absolute;left:0;text-align:left;margin-left:83.8pt;margin-top:10.55pt;width:389.35pt;height:6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" fillcolor="silver">
                <v:textbox>
                  <w:txbxContent>
                    <w:p w:rsidR="006C61B6" w:rsidRDefault="006C61B6" w:rsidP="006C61B6"/>
                  </w:txbxContent>
                </v:textbox>
              </v:rect>
            </w:pict>
          </mc:Fallback>
        </mc:AlternateContent>
      </w:r>
      <w:r w:rsidRPr="00BB1A07">
        <w:rPr>
          <w:noProof/>
          <w:lang w:val="en-US" w:eastAsia="zh-CN"/>
        </w:rPr>
        <mc:AlternateContent>
          <mc:Choice Requires="wpg">
            <w:drawing>
              <wp:anchor distT="0" distB="0" distL="114300" distR="114300" simplePos="0" relativeHeight="251663360" behindDoc="0" locked="0" layoutInCell="1" allowOverlap="1" wp14:anchorId="1BDB53A6" wp14:editId="4824C3B2">
                <wp:simplePos x="0" y="0"/>
                <wp:positionH relativeFrom="column">
                  <wp:posOffset>2270125</wp:posOffset>
                </wp:positionH>
                <wp:positionV relativeFrom="paragraph">
                  <wp:posOffset>203200</wp:posOffset>
                </wp:positionV>
                <wp:extent cx="1906270" cy="540385"/>
                <wp:effectExtent l="0" t="0" r="17780" b="12065"/>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540385"/>
                          <a:chOff x="5010" y="6760"/>
                          <a:chExt cx="3002" cy="851"/>
                        </a:xfrm>
                      </wpg:grpSpPr>
                      <wpg:grpSp>
                        <wpg:cNvPr id="689" name="Group 353"/>
                        <wpg:cNvGrpSpPr>
                          <a:grpSpLocks/>
                        </wpg:cNvGrpSpPr>
                        <wpg:grpSpPr bwMode="auto">
                          <a:xfrm>
                            <a:off x="5469" y="6760"/>
                            <a:ext cx="1975" cy="235"/>
                            <a:chOff x="3900" y="8340"/>
                            <a:chExt cx="6030" cy="195"/>
                          </a:xfrm>
                        </wpg:grpSpPr>
                        <wps:wsp>
                          <wps:cNvPr id="690" name="Line 354"/>
                          <wps:cNvCnPr/>
                          <wps:spPr bwMode="auto">
                            <a:xfrm flipH="1" flipV="1">
                              <a:off x="3915" y="8340"/>
                              <a:ext cx="6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355"/>
                          <wps:cNvCnPr/>
                          <wps:spPr bwMode="auto">
                            <a:xfrm>
                              <a:off x="390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Line 356"/>
                          <wps:cNvCnPr/>
                          <wps:spPr bwMode="auto">
                            <a:xfrm>
                              <a:off x="993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93" name="Rectangle 357"/>
                        <wps:cNvSpPr>
                          <a:spLocks noChangeArrowheads="1"/>
                        </wps:cNvSpPr>
                        <wps:spPr bwMode="auto">
                          <a:xfrm>
                            <a:off x="5010" y="7038"/>
                            <a:ext cx="1231" cy="568"/>
                          </a:xfrm>
                          <a:prstGeom prst="rect">
                            <a:avLst/>
                          </a:prstGeom>
                          <a:solidFill>
                            <a:srgbClr val="FFFFFF"/>
                          </a:solidFill>
                          <a:ln w="9525">
                            <a:solidFill>
                              <a:srgbClr val="000000"/>
                            </a:solidFill>
                            <a:miter lim="800000"/>
                            <a:headEnd/>
                            <a:tailEnd/>
                          </a:ln>
                        </wps:spPr>
                        <wps:txbx>
                          <w:txbxContent>
                            <w:p w:rsidR="006C61B6" w:rsidRDefault="006C61B6" w:rsidP="006C61B6">
                              <w:pPr>
                                <w:jc w:val="center"/>
                                <w:rPr>
                                  <w:rFonts w:ascii="Arial" w:hAnsi="Arial" w:cs="Arial"/>
                                  <w:color w:val="000000"/>
                                  <w:sz w:val="23"/>
                                  <w:szCs w:val="28"/>
                                </w:rPr>
                              </w:pPr>
                              <w:r>
                                <w:rPr>
                                  <w:rFonts w:ascii="Arial" w:hAnsi="Arial" w:cs="Arial"/>
                                  <w:color w:val="000000"/>
                                  <w:sz w:val="23"/>
                                  <w:szCs w:val="28"/>
                                </w:rPr>
                                <w:t>MS Tx</w:t>
                              </w:r>
                            </w:p>
                          </w:txbxContent>
                        </wps:txbx>
                        <wps:bodyPr rot="0" vert="horz" wrap="square" lIns="74981" tIns="37490" rIns="74981" bIns="37490" anchor="t" anchorCtr="0" upright="1">
                          <a:noAutofit/>
                        </wps:bodyPr>
                      </wps:wsp>
                      <wps:wsp>
                        <wps:cNvPr id="694" name="Rectangle 358"/>
                        <wps:cNvSpPr>
                          <a:spLocks noChangeArrowheads="1"/>
                        </wps:cNvSpPr>
                        <wps:spPr bwMode="auto">
                          <a:xfrm>
                            <a:off x="6241" y="7038"/>
                            <a:ext cx="555" cy="568"/>
                          </a:xfrm>
                          <a:prstGeom prst="rect">
                            <a:avLst/>
                          </a:prstGeom>
                          <a:solidFill>
                            <a:srgbClr val="FFFFFF"/>
                          </a:solidFill>
                          <a:ln w="9525">
                            <a:solidFill>
                              <a:srgbClr val="000000"/>
                            </a:solidFill>
                            <a:miter lim="800000"/>
                            <a:headEnd/>
                            <a:tailEnd/>
                          </a:ln>
                        </wps:spPr>
                        <wps:txbx>
                          <w:txbxContent>
                            <w:p w:rsidR="006C61B6" w:rsidRDefault="006C61B6" w:rsidP="006C61B6">
                              <w:pPr>
                                <w:rPr>
                                  <w:rFonts w:ascii="Arial" w:hAnsi="Arial" w:cs="Arial"/>
                                  <w:color w:val="000000"/>
                                  <w:sz w:val="13"/>
                                  <w:szCs w:val="16"/>
                                </w:rPr>
                              </w:pPr>
                              <w:r>
                                <w:rPr>
                                  <w:rFonts w:ascii="Arial" w:hAnsi="Arial" w:cs="Arial"/>
                                  <w:color w:val="000000"/>
                                  <w:sz w:val="13"/>
                                  <w:szCs w:val="16"/>
                                </w:rPr>
                                <w:t>TDD</w:t>
                              </w:r>
                            </w:p>
                          </w:txbxContent>
                        </wps:txbx>
                        <wps:bodyPr rot="0" vert="horz" wrap="square" lIns="74981" tIns="37490" rIns="74981" bIns="37490" anchor="t" anchorCtr="0" upright="1">
                          <a:noAutofit/>
                        </wps:bodyPr>
                      </wps:wsp>
                      <wps:wsp>
                        <wps:cNvPr id="695" name="Rectangle 359"/>
                        <wps:cNvSpPr>
                          <a:spLocks noChangeArrowheads="1"/>
                        </wps:cNvSpPr>
                        <wps:spPr bwMode="auto">
                          <a:xfrm>
                            <a:off x="6796" y="7038"/>
                            <a:ext cx="1216" cy="573"/>
                          </a:xfrm>
                          <a:prstGeom prst="rect">
                            <a:avLst/>
                          </a:prstGeom>
                          <a:solidFill>
                            <a:srgbClr val="FFFFFF"/>
                          </a:solidFill>
                          <a:ln w="9525">
                            <a:solidFill>
                              <a:srgbClr val="000000"/>
                            </a:solidFill>
                            <a:miter lim="800000"/>
                            <a:headEnd/>
                            <a:tailEnd/>
                          </a:ln>
                        </wps:spPr>
                        <wps:txbx>
                          <w:txbxContent>
                            <w:p w:rsidR="006C61B6" w:rsidRDefault="006C61B6" w:rsidP="006C61B6">
                              <w:pPr>
                                <w:jc w:val="center"/>
                                <w:rPr>
                                  <w:rFonts w:ascii="Arial" w:hAnsi="Arial" w:cs="Arial"/>
                                  <w:color w:val="000000"/>
                                  <w:sz w:val="23"/>
                                  <w:szCs w:val="28"/>
                                </w:rPr>
                              </w:pPr>
                              <w:r>
                                <w:rPr>
                                  <w:rFonts w:ascii="Arial" w:hAnsi="Arial" w:cs="Arial"/>
                                  <w:color w:val="000000"/>
                                  <w:sz w:val="23"/>
                                  <w:szCs w:val="28"/>
                                </w:rPr>
                                <w:t>BS Tx</w:t>
                              </w:r>
                            </w:p>
                          </w:txbxContent>
                        </wps:txbx>
                        <wps:bodyPr rot="0" vert="horz" wrap="square" lIns="74981" tIns="37490" rIns="74981" bIns="374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B53A6" id="Group 688" o:spid="_x0000_s1028" style="position:absolute;left:0;text-align:left;margin-left:178.75pt;margin-top:16pt;width:150.1pt;height:42.55pt;z-index:251663360" coordorigin="5010,6760" coordsize="30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">
                <v:group id="Group 353" o:spid="_x0000_s1029" style="position:absolute;left:5469;top:6760;width:1975;height:235" coordorigin="3900,8340" coordsize="603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Line 354" o:spid="_x0000_s1030" style="position:absolute;flip:x y;visibility:visible;mso-wrap-style:square" from="3915,8340" to="993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hxcEAAADcAAAADwAAAGRycy9kb3ducmV2LnhtbERPy4rCMBTdD/gP4QpuBk3VQbQ2FRFG&#10;XDn4wu2lubbF5qY0GVv9+sliwOXhvJNVZyrxoMaVlhWMRxEI4szqknMF59P3cA7CeWSNlWVS8CQH&#10;q7T3kWCsbcsHehx9LkIIuxgVFN7XsZQuK8igG9maOHA32xj0ATa51A22IdxUchJFM2mw5NBQYE2b&#10;grL78dcoQN6/pvN2TF9yS1c32f98ri83pQb9br0E4anzb/G/e6cVzBZhfjgTjo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eHFwQAAANwAAAAPAAAAAAAAAAAAAAAA&#10;AKECAABkcnMvZG93bnJldi54bWxQSwUGAAAAAAQABAD5AAAAjwMAAAAA&#10;"/>
                  <v:line id="Line 355" o:spid="_x0000_s1031" style="position:absolute;visibility:visible;mso-wrap-style:square" from="3900,8340" to="390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tM8UAAADcAAAADwAAAGRycy9kb3ducmV2LnhtbESPzWrDMBCE74G+g9hCbonsHpLajRJK&#10;TaGHtJAfct5aG8vEWhlLdZS3jwqFHoeZ+YZZbaLtxEiDbx0ryOcZCOLa6ZYbBcfD++wZhA/IGjvH&#10;pOBGHjbrh8kKS+2uvKNxHxqRIOxLVGBC6EspfW3Iop+7njh5ZzdYDEkOjdQDXhPcdvIpyxbSYstp&#10;wWBPb4bqy/7HKliaaieXstoevqqxzYv4GU/fhVLTx/j6AiJQDP/hv/aHVrAocv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0tM8UAAADcAAAADwAAAAAAAAAA&#10;AAAAAAChAgAAZHJzL2Rvd25yZXYueG1sUEsFBgAAAAAEAAQA+QAAAJMDAAAAAA==&#10;">
                    <v:stroke endarrow="block"/>
                  </v:line>
                  <v:line id="Line 356" o:spid="_x0000_s1032" style="position:absolute;visibility:visible;mso-wrap-style:square" from="9930,8340" to="993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RMUAAADcAAAADwAAAGRycy9kb3ducmV2LnhtbESPQWvCQBSE70L/w/IKvelGD2qiq5SG&#10;Qg+tYJSeX7PPbGj2bchu4/bfdwuCx2FmvmG2+2g7MdLgW8cK5rMMBHHtdMuNgvPpdboG4QOyxs4x&#10;KfglD/vdw2SLhXZXPtJYhUYkCPsCFZgQ+kJKXxuy6GeuJ07exQ0WQ5JDI/WA1wS3nVxk2VJabDkt&#10;GOzpxVD9Xf1YBStTHuVKlu+nQzm28zx+xM+vXKmnx/i8AREohnv41n7TCpb5A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zRMUAAADcAAAADwAAAAAAAAAA&#10;AAAAAAChAgAAZHJzL2Rvd25yZXYueG1sUEsFBgAAAAAEAAQA+QAAAJMDAAAAAA==&#10;">
                    <v:stroke endarrow="block"/>
                  </v:line>
                </v:group>
                <v:rect id="Rectangle 357" o:spid="_x0000_s1033" style="position:absolute;left:5010;top:7038;width:123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QK8UA&#10;AADcAAAADwAAAGRycy9kb3ducmV2LnhtbESPwWrDMBBE74X8g9hAb42ctLiJGyUkgYAP9aFOPmCx&#10;tpaJtTKWYrv9+qpQ6HGYmTfMdj/ZVgzU+8axguUiAUFcOd1wreB6OT+tQfiArLF1TAq+yMN+N3vY&#10;YqbdyB80lKEWEcI+QwUmhC6T0leGLPqF64ij9+l6iyHKvpa6xzHCbStXSZJKiw3HBYMdnQxVt/Ju&#10;Fbycy/S1fC9y0xbH5lB/UzitSKnH+XR4AxFoCv/hv3auFaSb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pArxQAAANwAAAAPAAAAAAAAAAAAAAAAAJgCAABkcnMv&#10;ZG93bnJldi54bWxQSwUGAAAAAAQABAD1AAAAigMAAAAA&#10;">
                  <v:textbox inset="2.08281mm,1.0414mm,2.08281mm,1.0414mm">
                    <w:txbxContent>
                      <w:p w:rsidR="006C61B6" w:rsidRDefault="006C61B6" w:rsidP="006C61B6">
                        <w:pPr>
                          <w:jc w:val="center"/>
                          <w:rPr>
                            <w:rFonts w:ascii="Arial" w:hAnsi="Arial" w:cs="Arial"/>
                            <w:color w:val="000000"/>
                            <w:sz w:val="23"/>
                            <w:szCs w:val="28"/>
                          </w:rPr>
                        </w:pPr>
                        <w:r>
                          <w:rPr>
                            <w:rFonts w:ascii="Arial" w:hAnsi="Arial" w:cs="Arial"/>
                            <w:color w:val="000000"/>
                            <w:sz w:val="23"/>
                            <w:szCs w:val="28"/>
                          </w:rPr>
                          <w:t>MS Tx</w:t>
                        </w:r>
                      </w:p>
                    </w:txbxContent>
                  </v:textbox>
                </v:rect>
                <v:rect id="Rectangle 358" o:spid="_x0000_s1034" style="position:absolute;left:6241;top:7038;width:55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IX8MA&#10;AADcAAAADwAAAGRycy9kb3ducmV2LnhtbESPQYvCMBSE7wv+h/AEb2uqSFerUVQQPKyHrf6AR/Ns&#10;is1LaWKt/nqzsLDHYWa+YVab3taio9ZXjhVMxgkI4sLpiksFl/Phcw7CB2SNtWNS8CQPm/XgY4WZ&#10;dg/+oS4PpYgQ9hkqMCE0mZS+MGTRj11DHL2ray2GKNtS6hYfEW5rOU2SVFqsOC4YbGhvqLjld6tg&#10;dsjTr/z7dDT1aVdtyxeF/ZSUGg377RJEoD78h//aR60gXcz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8IX8MAAADcAAAADwAAAAAAAAAAAAAAAACYAgAAZHJzL2Rv&#10;d25yZXYueG1sUEsFBgAAAAAEAAQA9QAAAIgDAAAAAA==&#10;">
                  <v:textbox inset="2.08281mm,1.0414mm,2.08281mm,1.0414mm">
                    <w:txbxContent>
                      <w:p w:rsidR="006C61B6" w:rsidRDefault="006C61B6" w:rsidP="006C61B6">
                        <w:pPr>
                          <w:rPr>
                            <w:rFonts w:ascii="Arial" w:hAnsi="Arial" w:cs="Arial"/>
                            <w:color w:val="000000"/>
                            <w:sz w:val="13"/>
                            <w:szCs w:val="16"/>
                          </w:rPr>
                        </w:pPr>
                        <w:r>
                          <w:rPr>
                            <w:rFonts w:ascii="Arial" w:hAnsi="Arial" w:cs="Arial"/>
                            <w:color w:val="000000"/>
                            <w:sz w:val="13"/>
                            <w:szCs w:val="16"/>
                          </w:rPr>
                          <w:t>TDD</w:t>
                        </w:r>
                      </w:p>
                    </w:txbxContent>
                  </v:textbox>
                </v:rect>
                <v:rect id="Rectangle 359" o:spid="_x0000_s1035" style="position:absolute;left:6796;top:7038;width:121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txMUA&#10;AADcAAAADwAAAGRycy9kb3ducmV2LnhtbESPwWrDMBBE74X8g9hAb42c0LqJGyUkgYAP9aFOPmCx&#10;tpaJtTKWYrv9+qpQ6HGYmTfMdj/ZVgzU+8axguUiAUFcOd1wreB6OT+tQfiArLF1TAq+yMN+N3vY&#10;YqbdyB80lKEWEcI+QwUmhC6T0leGLPqF64ij9+l6iyHKvpa6xzHCbStXSZJKiw3HBYMdnQxVt/Ju&#10;FTyfy/S1fC9y0xbH5lB/UzitSKnH+XR4AxFoCv/hv3auFaSbF/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63ExQAAANwAAAAPAAAAAAAAAAAAAAAAAJgCAABkcnMv&#10;ZG93bnJldi54bWxQSwUGAAAAAAQABAD1AAAAigMAAAAA&#10;">
                  <v:textbox inset="2.08281mm,1.0414mm,2.08281mm,1.0414mm">
                    <w:txbxContent>
                      <w:p w:rsidR="006C61B6" w:rsidRDefault="006C61B6" w:rsidP="006C61B6">
                        <w:pPr>
                          <w:jc w:val="center"/>
                          <w:rPr>
                            <w:rFonts w:ascii="Arial" w:hAnsi="Arial" w:cs="Arial"/>
                            <w:color w:val="000000"/>
                            <w:sz w:val="23"/>
                            <w:szCs w:val="28"/>
                          </w:rPr>
                        </w:pPr>
                        <w:r>
                          <w:rPr>
                            <w:rFonts w:ascii="Arial" w:hAnsi="Arial" w:cs="Arial"/>
                            <w:color w:val="000000"/>
                            <w:sz w:val="23"/>
                            <w:szCs w:val="28"/>
                          </w:rPr>
                          <w:t>BS Tx</w:t>
                        </w:r>
                      </w:p>
                    </w:txbxContent>
                  </v:textbox>
                </v:rect>
              </v:group>
            </w:pict>
          </mc:Fallback>
        </mc:AlternateContent>
      </w:r>
    </w:p>
    <w:p w:rsidR="006C61B6" w:rsidRPr="00BB1A07" w:rsidRDefault="006C61B6" w:rsidP="006C61B6">
      <w:pPr>
        <w:keepNext/>
        <w:keepLines/>
        <w:suppressAutoHyphens/>
        <w:jc w:val="center"/>
        <w:rPr>
          <w:lang w:eastAsia="zh-CN"/>
        </w:rPr>
      </w:pPr>
    </w:p>
    <w:p w:rsidR="006C61B6" w:rsidRPr="00BB1A07" w:rsidRDefault="006C61B6" w:rsidP="006C61B6">
      <w:pPr>
        <w:keepNext/>
        <w:keepLines/>
        <w:suppressAutoHyphens/>
        <w:jc w:val="center"/>
        <w:rPr>
          <w:lang w:eastAsia="zh-CN"/>
        </w:rPr>
      </w:pPr>
      <w:r w:rsidRPr="00BB1A07">
        <w:rPr>
          <w:noProof/>
          <w:lang w:val="en-US" w:eastAsia="zh-CN"/>
        </w:rPr>
        <mc:AlternateContent>
          <mc:Choice Requires="wps">
            <w:drawing>
              <wp:anchor distT="0" distB="0" distL="114300" distR="114300" simplePos="0" relativeHeight="251669504" behindDoc="0" locked="0" layoutInCell="1" allowOverlap="1" wp14:anchorId="45746CF0" wp14:editId="1E8414E5">
                <wp:simplePos x="0" y="0"/>
                <wp:positionH relativeFrom="column">
                  <wp:posOffset>3274060</wp:posOffset>
                </wp:positionH>
                <wp:positionV relativeFrom="paragraph">
                  <wp:posOffset>187325</wp:posOffset>
                </wp:positionV>
                <wp:extent cx="480695" cy="309880"/>
                <wp:effectExtent l="0" t="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Default="006C61B6" w:rsidP="006C61B6">
                            <w:r>
                              <w:rPr>
                                <w:sz w:val="16"/>
                                <w:szCs w:val="16"/>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46CF0" id="_x0000_t202" coordsize="21600,21600" o:spt="202" path="m,l,21600r21600,l21600,xe">
                <v:stroke joinstyle="miter"/>
                <v:path gradientshapeok="t" o:connecttype="rect"/>
              </v:shapetype>
              <v:shape id="Text Box 687" o:spid="_x0000_s1036" type="#_x0000_t202" style="position:absolute;left:0;text-align:left;margin-left:257.8pt;margin-top:14.75pt;width:37.85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quuw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" filled="f" stroked="f">
                <v:textbox>
                  <w:txbxContent>
                    <w:p w:rsidR="006C61B6" w:rsidRDefault="006C61B6" w:rsidP="006C61B6">
                      <w:r>
                        <w:rPr>
                          <w:sz w:val="16"/>
                          <w:szCs w:val="16"/>
                        </w:rPr>
                        <w:t>1930</w:t>
                      </w:r>
                    </w:p>
                  </w:txbxContent>
                </v:textbox>
              </v:shape>
            </w:pict>
          </mc:Fallback>
        </mc:AlternateContent>
      </w:r>
      <w:r w:rsidRPr="00BB1A07">
        <w:rPr>
          <w:noProof/>
          <w:lang w:val="en-US" w:eastAsia="zh-CN"/>
        </w:rPr>
        <mc:AlternateContent>
          <mc:Choice Requires="wps">
            <w:drawing>
              <wp:anchor distT="0" distB="0" distL="114300" distR="114300" simplePos="0" relativeHeight="251667456" behindDoc="0" locked="0" layoutInCell="1" allowOverlap="1" wp14:anchorId="4C2269A3" wp14:editId="5F3B60E3">
                <wp:simplePos x="0" y="0"/>
                <wp:positionH relativeFrom="column">
                  <wp:posOffset>2015490</wp:posOffset>
                </wp:positionH>
                <wp:positionV relativeFrom="paragraph">
                  <wp:posOffset>187325</wp:posOffset>
                </wp:positionV>
                <wp:extent cx="546100" cy="262255"/>
                <wp:effectExtent l="0" t="0" r="0" b="4445"/>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sidRPr="008578BF">
                              <w:rPr>
                                <w:sz w:val="16"/>
                                <w:szCs w:val="16"/>
                              </w:rPr>
                              <w:t>1850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269A3" id="Text Box 686" o:spid="_x0000_s1037" type="#_x0000_t202" style="position:absolute;left:0;text-align:left;margin-left:158.7pt;margin-top:14.75pt;width:43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w7uA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" filled="f" stroked="f">
                <v:textbox>
                  <w:txbxContent>
                    <w:p w:rsidR="006C61B6" w:rsidRPr="008578BF" w:rsidRDefault="006C61B6" w:rsidP="006C61B6">
                      <w:pPr>
                        <w:rPr>
                          <w:sz w:val="16"/>
                          <w:szCs w:val="16"/>
                        </w:rPr>
                      </w:pPr>
                      <w:r w:rsidRPr="008578BF">
                        <w:rPr>
                          <w:sz w:val="16"/>
                          <w:szCs w:val="16"/>
                        </w:rPr>
                        <w:t>1850</w:t>
                      </w:r>
                    </w:p>
                  </w:txbxContent>
                </v:textbox>
              </v:shape>
            </w:pict>
          </mc:Fallback>
        </mc:AlternateContent>
      </w:r>
      <w:r w:rsidRPr="00BB1A07">
        <w:rPr>
          <w:noProof/>
          <w:lang w:val="en-US" w:eastAsia="zh-CN"/>
        </w:rPr>
        <mc:AlternateContent>
          <mc:Choice Requires="wps">
            <w:drawing>
              <wp:anchor distT="0" distB="0" distL="114300" distR="114300" simplePos="0" relativeHeight="251668480" behindDoc="0" locked="0" layoutInCell="1" allowOverlap="1" wp14:anchorId="0400DA08" wp14:editId="2FB91829">
                <wp:simplePos x="0" y="0"/>
                <wp:positionH relativeFrom="column">
                  <wp:posOffset>2770505</wp:posOffset>
                </wp:positionH>
                <wp:positionV relativeFrom="paragraph">
                  <wp:posOffset>187325</wp:posOffset>
                </wp:positionV>
                <wp:extent cx="453390" cy="357505"/>
                <wp:effectExtent l="0" t="0" r="0" b="4445"/>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Pr>
                                <w:sz w:val="16"/>
                                <w:szCs w:val="1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DA08" id="Text Box 685" o:spid="_x0000_s1038" type="#_x0000_t202" style="position:absolute;left:0;text-align:left;margin-left:218.15pt;margin-top:14.75pt;width:35.7pt;height:2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AqvAIAAMM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" filled="f" stroked="f">
                <v:textbox>
                  <w:txbxContent>
                    <w:p w:rsidR="006C61B6" w:rsidRPr="008578BF" w:rsidRDefault="006C61B6" w:rsidP="006C61B6">
                      <w:pPr>
                        <w:rPr>
                          <w:sz w:val="16"/>
                          <w:szCs w:val="16"/>
                        </w:rPr>
                      </w:pPr>
                      <w:r>
                        <w:rPr>
                          <w:sz w:val="16"/>
                          <w:szCs w:val="16"/>
                        </w:rPr>
                        <w:t>1920</w:t>
                      </w:r>
                    </w:p>
                  </w:txbxContent>
                </v:textbox>
              </v:shape>
            </w:pict>
          </mc:Fallback>
        </mc:AlternateContent>
      </w:r>
      <w:r w:rsidRPr="00BB1A07">
        <w:rPr>
          <w:noProof/>
          <w:lang w:val="en-US" w:eastAsia="zh-CN"/>
        </w:rPr>
        <mc:AlternateContent>
          <mc:Choice Requires="wps">
            <w:drawing>
              <wp:anchor distT="0" distB="0" distL="114300" distR="114300" simplePos="0" relativeHeight="251670528" behindDoc="0" locked="0" layoutInCell="1" allowOverlap="1" wp14:anchorId="6AE099A9" wp14:editId="4573CE26">
                <wp:simplePos x="0" y="0"/>
                <wp:positionH relativeFrom="column">
                  <wp:posOffset>4058920</wp:posOffset>
                </wp:positionH>
                <wp:positionV relativeFrom="paragraph">
                  <wp:posOffset>187325</wp:posOffset>
                </wp:positionV>
                <wp:extent cx="516255" cy="309880"/>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Pr>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099A9" id="Text Box 684" o:spid="_x0000_s1039" type="#_x0000_t202" style="position:absolute;left:0;text-align:left;margin-left:319.6pt;margin-top:14.75pt;width:40.6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zY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4RgJGgPRXpke4Pu5B7ZN8jQOOgMFB8GUDV7EEClXbR6uJfVN42EXLZUbNitUnJsGa3Bw9D+9C++&#10;TjjagqzHj7IGQ3RrpAPaN6q36YOEIECHSj2dqmOdqeAxDmdRHGNUgehdkCaJ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" filled="f" stroked="f">
                <v:textbox>
                  <w:txbxContent>
                    <w:p w:rsidR="006C61B6" w:rsidRPr="008578BF" w:rsidRDefault="006C61B6" w:rsidP="006C61B6">
                      <w:pPr>
                        <w:rPr>
                          <w:sz w:val="16"/>
                          <w:szCs w:val="16"/>
                        </w:rPr>
                      </w:pPr>
                      <w:r>
                        <w:rPr>
                          <w:sz w:val="16"/>
                          <w:szCs w:val="16"/>
                        </w:rPr>
                        <w:t>2000</w:t>
                      </w:r>
                    </w:p>
                  </w:txbxContent>
                </v:textbox>
              </v:shape>
            </w:pict>
          </mc:Fallback>
        </mc:AlternateContent>
      </w:r>
    </w:p>
    <w:p w:rsidR="006C61B6" w:rsidRPr="00BB1A07" w:rsidRDefault="006C61B6" w:rsidP="006C61B6">
      <w:pPr>
        <w:keepNext/>
        <w:keepLines/>
        <w:suppressAutoHyphens/>
        <w:jc w:val="center"/>
        <w:rPr>
          <w:lang w:eastAsia="zh-CN"/>
        </w:rPr>
      </w:pPr>
    </w:p>
    <w:p w:rsidR="006C61B6" w:rsidRPr="00BB1A07" w:rsidRDefault="006C61B6" w:rsidP="006C61B6">
      <w:pPr>
        <w:keepNext/>
        <w:keepLines/>
        <w:suppressAutoHyphens/>
        <w:jc w:val="center"/>
        <w:rPr>
          <w:lang w:eastAsia="zh-CN"/>
        </w:rPr>
      </w:pPr>
      <w:r w:rsidRPr="00BB1A07">
        <w:rPr>
          <w:noProof/>
          <w:lang w:val="en-US" w:eastAsia="zh-CN"/>
        </w:rPr>
        <mc:AlternateContent>
          <mc:Choice Requires="wpg">
            <w:drawing>
              <wp:anchor distT="0" distB="0" distL="114300" distR="114300" simplePos="0" relativeHeight="251661312" behindDoc="0" locked="0" layoutInCell="1" allowOverlap="1" wp14:anchorId="06B8550F" wp14:editId="68A3DE56">
                <wp:simplePos x="0" y="0"/>
                <wp:positionH relativeFrom="column">
                  <wp:posOffset>5080</wp:posOffset>
                </wp:positionH>
                <wp:positionV relativeFrom="paragraph">
                  <wp:posOffset>88900</wp:posOffset>
                </wp:positionV>
                <wp:extent cx="6003925" cy="1236980"/>
                <wp:effectExtent l="0" t="0" r="15875" b="2032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1236980"/>
                          <a:chOff x="0" y="14116"/>
                          <a:chExt cx="60039" cy="12369"/>
                        </a:xfrm>
                      </wpg:grpSpPr>
                      <wps:wsp>
                        <wps:cNvPr id="682" name="Rectangle 336"/>
                        <wps:cNvSpPr>
                          <a:spLocks noChangeArrowheads="1"/>
                        </wps:cNvSpPr>
                        <wps:spPr bwMode="auto">
                          <a:xfrm>
                            <a:off x="0" y="14116"/>
                            <a:ext cx="10591" cy="12369"/>
                          </a:xfrm>
                          <a:prstGeom prst="rect">
                            <a:avLst/>
                          </a:prstGeom>
                          <a:solidFill>
                            <a:srgbClr val="FFFF99"/>
                          </a:solidFill>
                          <a:ln w="9525">
                            <a:solidFill>
                              <a:srgbClr val="000000"/>
                            </a:solidFill>
                            <a:miter lim="800000"/>
                            <a:headEnd/>
                            <a:tailEnd/>
                          </a:ln>
                        </wps:spPr>
                        <wps:txbx>
                          <w:txbxContent>
                            <w:p w:rsidR="006C61B6" w:rsidRDefault="006C61B6" w:rsidP="006C61B6">
                              <w:pPr>
                                <w:jc w:val="center"/>
                                <w:rPr>
                                  <w:rFonts w:ascii="Arial" w:hAnsi="Arial" w:cs="Arial"/>
                                  <w:color w:val="000000"/>
                                  <w:sz w:val="30"/>
                                  <w:szCs w:val="36"/>
                                </w:rPr>
                              </w:pPr>
                              <w:r>
                                <w:rPr>
                                  <w:rFonts w:ascii="Arial" w:hAnsi="Arial" w:cs="Arial"/>
                                  <w:color w:val="000000"/>
                                  <w:sz w:val="30"/>
                                  <w:szCs w:val="36"/>
                                </w:rPr>
                                <w:t>B5rev</w:t>
                              </w:r>
                            </w:p>
                          </w:txbxContent>
                        </wps:txbx>
                        <wps:bodyPr rot="0" vert="horz" wrap="square" lIns="74981" tIns="37490" rIns="74981" bIns="37490" anchor="ctr" anchorCtr="0" upright="1">
                          <a:noAutofit/>
                        </wps:bodyPr>
                      </wps:wsp>
                      <wps:wsp>
                        <wps:cNvPr id="683" name="Rectangle 337"/>
                        <wps:cNvSpPr>
                          <a:spLocks noChangeArrowheads="1"/>
                        </wps:cNvSpPr>
                        <wps:spPr bwMode="auto">
                          <a:xfrm>
                            <a:off x="10591" y="14116"/>
                            <a:ext cx="49448" cy="12369"/>
                          </a:xfrm>
                          <a:prstGeom prst="rect">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8550F" id="Group 681" o:spid="_x0000_s1040" style="position:absolute;left:0;text-align:left;margin-left:.4pt;margin-top:7pt;width:472.75pt;height:97.4pt;z-index:251661312" coordorigin=",14116" coordsize="60039,1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">
                <v:rect id="Rectangle 336" o:spid="_x0000_s1041" style="position:absolute;top:14116;width:10591;height:1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Y0sQA&#10;AADcAAAADwAAAGRycy9kb3ducmV2LnhtbESPQWsCMRSE74X+h/AEbzWrgpXVKFJoFQqCa5EeH5vn&#10;ZnHzEpKo23/fFIQeh5n5hlmue9uJG4XYOlYwHhUgiGunW24UfB3fX+YgYkLW2DkmBT8UYb16flpi&#10;qd2dD3SrUiMyhGOJCkxKvpQy1oYsxpHzxNk7u2AxZRkaqQPeM9x2clIUM2mx5bxg0NObofpSXa2C&#10;zffr1u/8tLp+Hk7mbLYfex1OSg0H/WYBIlGf/sOP9k4rmM0n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GNLEAAAA3AAAAA8AAAAAAAAAAAAAAAAAmAIAAGRycy9k&#10;b3ducmV2LnhtbFBLBQYAAAAABAAEAPUAAACJAwAAAAA=&#10;" fillcolor="#ff9">
                  <v:textbox inset="2.08281mm,1.0414mm,2.08281mm,1.0414mm">
                    <w:txbxContent>
                      <w:p w:rsidR="006C61B6" w:rsidRDefault="006C61B6" w:rsidP="006C61B6">
                        <w:pPr>
                          <w:jc w:val="center"/>
                          <w:rPr>
                            <w:rFonts w:ascii="Arial" w:hAnsi="Arial" w:cs="Arial"/>
                            <w:color w:val="000000"/>
                            <w:sz w:val="30"/>
                            <w:szCs w:val="36"/>
                          </w:rPr>
                        </w:pPr>
                        <w:r>
                          <w:rPr>
                            <w:rFonts w:ascii="Arial" w:hAnsi="Arial" w:cs="Arial"/>
                            <w:color w:val="000000"/>
                            <w:sz w:val="30"/>
                            <w:szCs w:val="36"/>
                          </w:rPr>
                          <w:t>B5rev</w:t>
                        </w:r>
                      </w:p>
                    </w:txbxContent>
                  </v:textbox>
                </v:rect>
                <v:rect id="Rectangle 337" o:spid="_x0000_s1042" style="position:absolute;left:10591;top:14116;width:49448;height:1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B8cUA&#10;AADcAAAADwAAAGRycy9kb3ducmV2LnhtbESP0WrCQBRE3wv9h+UW+lY3tRgkdZVQkLYBC8Z8wG32&#10;mg1m74bs1sS/dwWhj8PMnGFWm8l24kyDbx0reJ0lIIhrp1tuFFSH7csShA/IGjvHpOBCHjbrx4cV&#10;ZtqNvKdzGRoRIewzVGBC6DMpfW3Iop+5njh6RzdYDFEOjdQDjhFuOzlPklRabDkuGOzpw1B9Kv+s&#10;gqLaFb95W9Y/6eJzNN9Vsc8NKvX8NOXvIAJN4T98b39pBenyDW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kHxxQAAANwAAAAPAAAAAAAAAAAAAAAAAJgCAABkcnMv&#10;ZG93bnJldi54bWxQSwUGAAAAAAQABAD1AAAAigMAAAAA&#10;" fillcolor="silver"/>
              </v:group>
            </w:pict>
          </mc:Fallback>
        </mc:AlternateContent>
      </w:r>
    </w:p>
    <w:p w:rsidR="006C61B6" w:rsidRPr="00BB1A07" w:rsidRDefault="006C61B6" w:rsidP="006C61B6">
      <w:pPr>
        <w:keepNext/>
        <w:keepLines/>
        <w:suppressAutoHyphens/>
        <w:jc w:val="center"/>
        <w:rPr>
          <w:lang w:eastAsia="zh-CN"/>
        </w:rPr>
      </w:pPr>
      <w:r w:rsidRPr="00BB1A07">
        <w:rPr>
          <w:noProof/>
          <w:lang w:val="en-US" w:eastAsia="zh-CN"/>
        </w:rPr>
        <mc:AlternateContent>
          <mc:Choice Requires="wpg">
            <w:drawing>
              <wp:anchor distT="0" distB="0" distL="114300" distR="114300" simplePos="0" relativeHeight="251664384" behindDoc="0" locked="0" layoutInCell="1" allowOverlap="1" wp14:anchorId="71958ACA" wp14:editId="10FA69C3">
                <wp:simplePos x="0" y="0"/>
                <wp:positionH relativeFrom="column">
                  <wp:posOffset>1386840</wp:posOffset>
                </wp:positionH>
                <wp:positionV relativeFrom="paragraph">
                  <wp:posOffset>18415</wp:posOffset>
                </wp:positionV>
                <wp:extent cx="4178935" cy="273685"/>
                <wp:effectExtent l="76200" t="0" r="69215" b="50165"/>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273685"/>
                          <a:chOff x="1519" y="1026"/>
                          <a:chExt cx="3221" cy="181"/>
                        </a:xfrm>
                      </wpg:grpSpPr>
                      <wps:wsp>
                        <wps:cNvPr id="678" name="Line 343"/>
                        <wps:cNvCnPr/>
                        <wps:spPr bwMode="auto">
                          <a:xfrm flipH="1" flipV="1">
                            <a:off x="1519" y="1026"/>
                            <a:ext cx="32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344"/>
                        <wps:cNvCnPr/>
                        <wps:spPr bwMode="auto">
                          <a:xfrm>
                            <a:off x="1519" y="1026"/>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Line 345"/>
                        <wps:cNvCnPr/>
                        <wps:spPr bwMode="auto">
                          <a:xfrm>
                            <a:off x="4740" y="1026"/>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819B9B" id="Group 677" o:spid="_x0000_s1026" style="position:absolute;margin-left:109.2pt;margin-top:1.45pt;width:329.05pt;height:21.55pt;z-index:251664384" coordorigin="1519,1026" coordsize="322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">
                <v:line id="Line 343" o:spid="_x0000_s1027" style="position:absolute;flip:x y;visibility:visible;mso-wrap-style:square" from="1519,1026" to="4740,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cLOcMAAADcAAAADwAAAGRycy9kb3ducmV2LnhtbERPTWvCQBC9F/oflil4KbpJLFbSbEQK&#10;FU8paqXXITsmodnZkN0m0V/fPRQ8Pt53tplMKwbqXWNZQbyIQBCXVjdcKfg6fczXIJxH1thaJgVX&#10;crDJHx8yTLUd+UDD0VcihLBLUUHtfZdK6cqaDLqF7YgDd7G9QR9gX0nd4xjCTSuTKFpJgw2Hhho7&#10;eq+p/Dn+GgXIxW25HmN6kTv6dknx+bw9X5SaPU3bNxCeJn8X/7v3WsHqNawNZ8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3CznDAAAA3AAAAA8AAAAAAAAAAAAA&#10;AAAAoQIAAGRycy9kb3ducmV2LnhtbFBLBQYAAAAABAAEAPkAAACRAwAAAAA=&#10;"/>
                <v:line id="Line 344" o:spid="_x0000_s1028" style="position:absolute;visibility:visible;mso-wrap-style:square" from="1519,1026" to="151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Hz8UAAADcAAAADwAAAGRycy9kb3ducmV2LnhtbESPQWvCQBSE70L/w/IK3nSjB9OkrlIa&#10;hB5sQS09v2af2WD2bchu4/rv3UKhx2FmvmHW22g7MdLgW8cKFvMMBHHtdMuNgs/TbvYEwgdkjZ1j&#10;UnAjD9vNw2SNpXZXPtB4DI1IEPYlKjAh9KWUvjZk0c9dT5y8sxsshiSHRuoBrwluO7nMspW02HJa&#10;MNjTq6H6cvyxCnJTHWQuq/3poxrbRRHf49d3odT0Mb48gwgUw3/4r/2mFazyAn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Hz8UAAADcAAAADwAAAAAAAAAA&#10;AAAAAAChAgAAZHJzL2Rvd25yZXYueG1sUEsFBgAAAAAEAAQA+QAAAJMDAAAAAA==&#10;">
                  <v:stroke endarrow="block"/>
                </v:line>
                <v:line id="Line 345" o:spid="_x0000_s1029" style="position:absolute;visibility:visible;mso-wrap-style:square" from="4740,1026" to="4740,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edcEAAADcAAAADwAAAGRycy9kb3ducmV2LnhtbERPy4rCMBTdD/gP4QqzG1Nn4aMaRSwD&#10;LsYBH7i+Ntem2NyUJtbM308WwiwP571cR9uInjpfO1YwHmUgiEuna64UnE9fHzMQPiBrbByTgl/y&#10;sF4N3paYa/fkA/XHUIkUwj5HBSaENpfSl4Ys+pFriRN3c53FkGBXSd3hM4XbRn5m2URarDk1GGxp&#10;a6i8Hx9WwdQUBzmVxffpp+jr8Tzu4+U6V+p9GDcLEIFi+Be/3DutYDJL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uB51wQAAANwAAAAPAAAAAAAAAAAAAAAA&#10;AKECAABkcnMvZG93bnJldi54bWxQSwUGAAAAAAQABAD5AAAAjwMAAAAA&#10;">
                  <v:stroke endarrow="block"/>
                </v:line>
              </v:group>
            </w:pict>
          </mc:Fallback>
        </mc:AlternateContent>
      </w:r>
      <w:r w:rsidRPr="00BB1A07">
        <w:rPr>
          <w:noProof/>
          <w:lang w:val="en-US" w:eastAsia="zh-CN"/>
        </w:rPr>
        <mc:AlternateContent>
          <mc:Choice Requires="wps">
            <w:drawing>
              <wp:anchor distT="0" distB="0" distL="114300" distR="114300" simplePos="0" relativeHeight="251665408" behindDoc="0" locked="0" layoutInCell="1" allowOverlap="1" wp14:anchorId="71B81369" wp14:editId="3DCD9E7A">
                <wp:simplePos x="0" y="0"/>
                <wp:positionH relativeFrom="column">
                  <wp:posOffset>1136015</wp:posOffset>
                </wp:positionH>
                <wp:positionV relativeFrom="paragraph">
                  <wp:posOffset>292100</wp:posOffset>
                </wp:positionV>
                <wp:extent cx="544830" cy="345440"/>
                <wp:effectExtent l="0" t="0" r="26670" b="1651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45440"/>
                        </a:xfrm>
                        <a:prstGeom prst="rect">
                          <a:avLst/>
                        </a:prstGeom>
                        <a:solidFill>
                          <a:srgbClr val="FFFFFF"/>
                        </a:solidFill>
                        <a:ln w="9525">
                          <a:solidFill>
                            <a:srgbClr val="000000"/>
                          </a:solidFill>
                          <a:miter lim="800000"/>
                          <a:headEnd/>
                          <a:tailEnd/>
                        </a:ln>
                      </wps:spPr>
                      <wps:txbx>
                        <w:txbxContent>
                          <w:p w:rsidR="006C61B6" w:rsidRDefault="006C61B6" w:rsidP="006C61B6">
                            <w:pPr>
                              <w:jc w:val="center"/>
                              <w:rPr>
                                <w:rFonts w:ascii="Arial" w:hAnsi="Arial" w:cs="Arial"/>
                                <w:color w:val="000000"/>
                                <w:sz w:val="20"/>
                                <w:szCs w:val="24"/>
                              </w:rPr>
                            </w:pPr>
                            <w:r>
                              <w:rPr>
                                <w:rFonts w:ascii="Arial" w:hAnsi="Arial" w:cs="Arial"/>
                                <w:color w:val="000000"/>
                                <w:sz w:val="20"/>
                                <w:szCs w:val="24"/>
                              </w:rPr>
                              <w:t>MS Tx</w:t>
                            </w:r>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1369" id="Rectangle 676" o:spid="_x0000_s1043" style="position:absolute;left:0;text-align:left;margin-left:89.45pt;margin-top:23pt;width:42.9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">
                <v:textbox inset="2.08281mm,1.0414mm,2.08281mm,1.0414mm">
                  <w:txbxContent>
                    <w:p w:rsidR="006C61B6" w:rsidRDefault="006C61B6" w:rsidP="006C61B6">
                      <w:pPr>
                        <w:jc w:val="center"/>
                        <w:rPr>
                          <w:rFonts w:ascii="Arial" w:hAnsi="Arial" w:cs="Arial"/>
                          <w:color w:val="000000"/>
                          <w:sz w:val="20"/>
                          <w:szCs w:val="24"/>
                        </w:rPr>
                      </w:pPr>
                      <w:r>
                        <w:rPr>
                          <w:rFonts w:ascii="Arial" w:hAnsi="Arial" w:cs="Arial"/>
                          <w:color w:val="000000"/>
                          <w:sz w:val="20"/>
                          <w:szCs w:val="24"/>
                        </w:rPr>
                        <w:t>MS Tx</w:t>
                      </w:r>
                    </w:p>
                  </w:txbxContent>
                </v:textbox>
              </v:rect>
            </w:pict>
          </mc:Fallback>
        </mc:AlternateContent>
      </w:r>
      <w:r w:rsidRPr="00BB1A07">
        <w:rPr>
          <w:noProof/>
          <w:lang w:val="en-US" w:eastAsia="zh-CN"/>
        </w:rPr>
        <mc:AlternateContent>
          <mc:Choice Requires="wps">
            <w:drawing>
              <wp:anchor distT="0" distB="0" distL="114300" distR="114300" simplePos="0" relativeHeight="251666432" behindDoc="0" locked="0" layoutInCell="1" allowOverlap="1" wp14:anchorId="14458790" wp14:editId="4A6E5F9A">
                <wp:simplePos x="0" y="0"/>
                <wp:positionH relativeFrom="column">
                  <wp:posOffset>5373370</wp:posOffset>
                </wp:positionH>
                <wp:positionV relativeFrom="paragraph">
                  <wp:posOffset>292100</wp:posOffset>
                </wp:positionV>
                <wp:extent cx="545465" cy="345440"/>
                <wp:effectExtent l="0" t="0" r="26035" b="1651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5440"/>
                        </a:xfrm>
                        <a:prstGeom prst="rect">
                          <a:avLst/>
                        </a:prstGeom>
                        <a:solidFill>
                          <a:srgbClr val="FFFFFF"/>
                        </a:solidFill>
                        <a:ln w="9525">
                          <a:solidFill>
                            <a:srgbClr val="000000"/>
                          </a:solidFill>
                          <a:miter lim="800000"/>
                          <a:headEnd/>
                          <a:tailEnd/>
                        </a:ln>
                      </wps:spPr>
                      <wps:txbx>
                        <w:txbxContent>
                          <w:p w:rsidR="006C61B6" w:rsidRDefault="006C61B6" w:rsidP="006C61B6">
                            <w:pPr>
                              <w:jc w:val="center"/>
                              <w:rPr>
                                <w:rFonts w:ascii="Arial" w:hAnsi="Arial" w:cs="Arial"/>
                                <w:color w:val="000000"/>
                                <w:sz w:val="20"/>
                                <w:szCs w:val="24"/>
                              </w:rPr>
                            </w:pPr>
                            <w:r>
                              <w:rPr>
                                <w:rFonts w:ascii="Arial" w:hAnsi="Arial" w:cs="Arial"/>
                                <w:color w:val="000000"/>
                                <w:sz w:val="20"/>
                                <w:szCs w:val="24"/>
                              </w:rPr>
                              <w:t>BS Tx</w:t>
                            </w:r>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58790" id="Rectangle 675" o:spid="_x0000_s1044" style="position:absolute;left:0;text-align:left;margin-left:423.1pt;margin-top:23pt;width:42.95pt;height:2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">
                <v:textbox inset="2.08281mm,1.0414mm,2.08281mm,1.0414mm">
                  <w:txbxContent>
                    <w:p w:rsidR="006C61B6" w:rsidRDefault="006C61B6" w:rsidP="006C61B6">
                      <w:pPr>
                        <w:jc w:val="center"/>
                        <w:rPr>
                          <w:rFonts w:ascii="Arial" w:hAnsi="Arial" w:cs="Arial"/>
                          <w:color w:val="000000"/>
                          <w:sz w:val="20"/>
                          <w:szCs w:val="24"/>
                        </w:rPr>
                      </w:pPr>
                      <w:r>
                        <w:rPr>
                          <w:rFonts w:ascii="Arial" w:hAnsi="Arial" w:cs="Arial"/>
                          <w:color w:val="000000"/>
                          <w:sz w:val="20"/>
                          <w:szCs w:val="24"/>
                        </w:rPr>
                        <w:t>BS Tx</w:t>
                      </w:r>
                    </w:p>
                  </w:txbxContent>
                </v:textbox>
              </v:rect>
            </w:pict>
          </mc:Fallback>
        </mc:AlternateContent>
      </w:r>
      <w:r w:rsidRPr="00BB1A07">
        <w:rPr>
          <w:noProof/>
          <w:lang w:val="en-US" w:eastAsia="zh-CN"/>
        </w:rPr>
        <mc:AlternateContent>
          <mc:Choice Requires="wpg">
            <w:drawing>
              <wp:anchor distT="0" distB="0" distL="114300" distR="114300" simplePos="0" relativeHeight="251662336" behindDoc="0" locked="0" layoutInCell="1" allowOverlap="1" wp14:anchorId="07566AF2" wp14:editId="19516AC8">
                <wp:simplePos x="0" y="0"/>
                <wp:positionH relativeFrom="column">
                  <wp:posOffset>2270125</wp:posOffset>
                </wp:positionH>
                <wp:positionV relativeFrom="paragraph">
                  <wp:posOffset>100330</wp:posOffset>
                </wp:positionV>
                <wp:extent cx="1906270" cy="540385"/>
                <wp:effectExtent l="0" t="0" r="17780" b="12065"/>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540385"/>
                          <a:chOff x="5010" y="6760"/>
                          <a:chExt cx="3002" cy="851"/>
                        </a:xfrm>
                      </wpg:grpSpPr>
                      <wpg:grpSp>
                        <wpg:cNvPr id="668" name="Group 353"/>
                        <wpg:cNvGrpSpPr>
                          <a:grpSpLocks/>
                        </wpg:cNvGrpSpPr>
                        <wpg:grpSpPr bwMode="auto">
                          <a:xfrm>
                            <a:off x="5469" y="6760"/>
                            <a:ext cx="1975" cy="235"/>
                            <a:chOff x="3900" y="8340"/>
                            <a:chExt cx="6030" cy="195"/>
                          </a:xfrm>
                        </wpg:grpSpPr>
                        <wps:wsp>
                          <wps:cNvPr id="669" name="Line 354"/>
                          <wps:cNvCnPr/>
                          <wps:spPr bwMode="auto">
                            <a:xfrm flipH="1" flipV="1">
                              <a:off x="3915" y="8340"/>
                              <a:ext cx="6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355"/>
                          <wps:cNvCnPr/>
                          <wps:spPr bwMode="auto">
                            <a:xfrm>
                              <a:off x="390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Line 356"/>
                          <wps:cNvCnPr/>
                          <wps:spPr bwMode="auto">
                            <a:xfrm>
                              <a:off x="993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72" name="Rectangle 357"/>
                        <wps:cNvSpPr>
                          <a:spLocks noChangeArrowheads="1"/>
                        </wps:cNvSpPr>
                        <wps:spPr bwMode="auto">
                          <a:xfrm>
                            <a:off x="5010" y="7038"/>
                            <a:ext cx="1231" cy="568"/>
                          </a:xfrm>
                          <a:prstGeom prst="rect">
                            <a:avLst/>
                          </a:prstGeom>
                          <a:solidFill>
                            <a:srgbClr val="FFFFFF"/>
                          </a:solidFill>
                          <a:ln w="9525">
                            <a:solidFill>
                              <a:srgbClr val="000000"/>
                            </a:solidFill>
                            <a:miter lim="800000"/>
                            <a:headEnd/>
                            <a:tailEnd/>
                          </a:ln>
                        </wps:spPr>
                        <wps:txbx>
                          <w:txbxContent>
                            <w:p w:rsidR="006C61B6" w:rsidRDefault="006C61B6" w:rsidP="006C61B6">
                              <w:pPr>
                                <w:jc w:val="center"/>
                                <w:rPr>
                                  <w:rFonts w:ascii="Arial" w:hAnsi="Arial" w:cs="Arial"/>
                                  <w:color w:val="000000"/>
                                  <w:sz w:val="23"/>
                                  <w:szCs w:val="28"/>
                                </w:rPr>
                              </w:pPr>
                              <w:r>
                                <w:rPr>
                                  <w:rFonts w:ascii="Arial" w:hAnsi="Arial" w:cs="Arial"/>
                                  <w:color w:val="000000"/>
                                  <w:sz w:val="23"/>
                                  <w:szCs w:val="28"/>
                                </w:rPr>
                                <w:t>MS Tx</w:t>
                              </w:r>
                            </w:p>
                          </w:txbxContent>
                        </wps:txbx>
                        <wps:bodyPr rot="0" vert="horz" wrap="square" lIns="74981" tIns="37490" rIns="74981" bIns="37490" anchor="t" anchorCtr="0" upright="1">
                          <a:noAutofit/>
                        </wps:bodyPr>
                      </wps:wsp>
                      <wps:wsp>
                        <wps:cNvPr id="673" name="Rectangle 358"/>
                        <wps:cNvSpPr>
                          <a:spLocks noChangeArrowheads="1"/>
                        </wps:cNvSpPr>
                        <wps:spPr bwMode="auto">
                          <a:xfrm>
                            <a:off x="6241" y="7038"/>
                            <a:ext cx="555" cy="568"/>
                          </a:xfrm>
                          <a:prstGeom prst="rect">
                            <a:avLst/>
                          </a:prstGeom>
                          <a:solidFill>
                            <a:srgbClr val="FFFFFF"/>
                          </a:solidFill>
                          <a:ln w="9525">
                            <a:solidFill>
                              <a:srgbClr val="000000"/>
                            </a:solidFill>
                            <a:miter lim="800000"/>
                            <a:headEnd/>
                            <a:tailEnd/>
                          </a:ln>
                        </wps:spPr>
                        <wps:txbx>
                          <w:txbxContent>
                            <w:p w:rsidR="006C61B6" w:rsidRDefault="006C61B6" w:rsidP="006C61B6">
                              <w:pPr>
                                <w:rPr>
                                  <w:rFonts w:ascii="Arial" w:hAnsi="Arial" w:cs="Arial"/>
                                  <w:color w:val="000000"/>
                                  <w:sz w:val="13"/>
                                  <w:szCs w:val="16"/>
                                </w:rPr>
                              </w:pPr>
                              <w:r>
                                <w:rPr>
                                  <w:rFonts w:ascii="Arial" w:hAnsi="Arial" w:cs="Arial"/>
                                  <w:color w:val="000000"/>
                                  <w:sz w:val="13"/>
                                  <w:szCs w:val="16"/>
                                </w:rPr>
                                <w:t>TDD</w:t>
                              </w:r>
                            </w:p>
                          </w:txbxContent>
                        </wps:txbx>
                        <wps:bodyPr rot="0" vert="horz" wrap="square" lIns="74981" tIns="37490" rIns="74981" bIns="37490" anchor="t" anchorCtr="0" upright="1">
                          <a:noAutofit/>
                        </wps:bodyPr>
                      </wps:wsp>
                      <wps:wsp>
                        <wps:cNvPr id="674" name="Rectangle 359"/>
                        <wps:cNvSpPr>
                          <a:spLocks noChangeArrowheads="1"/>
                        </wps:cNvSpPr>
                        <wps:spPr bwMode="auto">
                          <a:xfrm>
                            <a:off x="6796" y="7038"/>
                            <a:ext cx="1216" cy="573"/>
                          </a:xfrm>
                          <a:prstGeom prst="rect">
                            <a:avLst/>
                          </a:prstGeom>
                          <a:solidFill>
                            <a:srgbClr val="FFFFFF"/>
                          </a:solidFill>
                          <a:ln w="9525">
                            <a:solidFill>
                              <a:srgbClr val="000000"/>
                            </a:solidFill>
                            <a:miter lim="800000"/>
                            <a:headEnd/>
                            <a:tailEnd/>
                          </a:ln>
                        </wps:spPr>
                        <wps:txbx>
                          <w:txbxContent>
                            <w:p w:rsidR="006C61B6" w:rsidRDefault="006C61B6" w:rsidP="006C61B6">
                              <w:pPr>
                                <w:jc w:val="center"/>
                                <w:rPr>
                                  <w:rFonts w:ascii="Arial" w:hAnsi="Arial" w:cs="Arial"/>
                                  <w:color w:val="000000"/>
                                  <w:sz w:val="23"/>
                                  <w:szCs w:val="28"/>
                                </w:rPr>
                              </w:pPr>
                              <w:r>
                                <w:rPr>
                                  <w:rFonts w:ascii="Arial" w:hAnsi="Arial" w:cs="Arial"/>
                                  <w:color w:val="000000"/>
                                  <w:sz w:val="23"/>
                                  <w:szCs w:val="28"/>
                                </w:rPr>
                                <w:t>BS Tx</w:t>
                              </w:r>
                            </w:p>
                          </w:txbxContent>
                        </wps:txbx>
                        <wps:bodyPr rot="0" vert="horz" wrap="square" lIns="74981" tIns="37490" rIns="74981" bIns="374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66AF2" id="Group 667" o:spid="_x0000_s1045" style="position:absolute;left:0;text-align:left;margin-left:178.75pt;margin-top:7.9pt;width:150.1pt;height:42.55pt;z-index:251662336" coordorigin="5010,6760" coordsize="30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">
                <v:group id="Group 353" o:spid="_x0000_s1046" style="position:absolute;left:5469;top:6760;width:1975;height:235" coordorigin="3900,8340" coordsize="603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Line 354" o:spid="_x0000_s1047" style="position:absolute;flip:x y;visibility:visible;mso-wrap-style:square" from="3915,8340" to="993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4f8UAAADcAAAADwAAAGRycy9kb3ducmV2LnhtbESPQWvCQBSE74L/YXlCL1I3SUuw0VVE&#10;qPSUUrX0+sg+k2D2bciuSeyv7xYKPQ4z8w2z3o6mET11rrasIF5EIIgLq2suFZxPr49LEM4ja2ws&#10;k4I7OdhuppM1ZtoO/EH90ZciQNhlqKDyvs2kdEVFBt3CtsTBu9jOoA+yK6XucAhw08gkilJpsOaw&#10;UGFL+4qK6/FmFCDn30/LIaZneaAvl+Tv893nRamH2bhbgfA0+v/wX/tNK0jTF/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I4f8UAAADcAAAADwAAAAAAAAAA&#10;AAAAAAChAgAAZHJzL2Rvd25yZXYueG1sUEsFBgAAAAAEAAQA+QAAAJMDAAAAAA==&#10;"/>
                  <v:line id="Line 355" o:spid="_x0000_s1048" style="position:absolute;visibility:visible;mso-wrap-style:square" from="3900,8340" to="390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uUsIAAADcAAAADwAAAGRycy9kb3ducmV2LnhtbERPu2rDMBTdA/0HcQvZEtkd4saNYkpN&#10;IUNTyIPMN9atZWpdGUt11L+PhkLHw3lvqmh7MdHoO8cK8mUGgrhxuuNWwfn0vngG4QOyxt4xKfgl&#10;D9X2YbbBUrsbH2g6hlakEPYlKjAhDKWUvjFk0S/dQJy4LzdaDAmOrdQj3lK47eVTlq2kxY5Tg8GB&#10;3gw138cfq6Aw9UEWsv44fdZTl6/jPl6ua6Xmj/H1BUSgGP7Ff+6dVrAq0vx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1uUsIAAADcAAAADwAAAAAAAAAAAAAA&#10;AAChAgAAZHJzL2Rvd25yZXYueG1sUEsFBgAAAAAEAAQA+QAAAJADAAAAAA==&#10;">
                    <v:stroke endarrow="block"/>
                  </v:line>
                  <v:line id="Line 356" o:spid="_x0000_s1049" style="position:absolute;visibility:visible;mso-wrap-style:square" from="9930,8340" to="993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ycUAAADcAAAADwAAAGRycy9kb3ducmV2LnhtbESPzWrDMBCE74W+g9hCb43sHuLEjRJK&#10;TaGHJpAfct5aG8vEWhlLddS3rwKBHIeZ+YZZrKLtxEiDbx0ryCcZCOLa6ZYbBYf958sMhA/IGjvH&#10;pOCPPKyWjw8LLLW78JbGXWhEgrAvUYEJoS+l9LUhi37ieuLkndxgMSQ5NFIPeElw28nXLJt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ycUAAADcAAAADwAAAAAAAAAA&#10;AAAAAAChAgAAZHJzL2Rvd25yZXYueG1sUEsFBgAAAAAEAAQA+QAAAJMDAAAAAA==&#10;">
                    <v:stroke endarrow="block"/>
                  </v:line>
                </v:group>
                <v:rect id="Rectangle 357" o:spid="_x0000_s1050" style="position:absolute;left:5010;top:7038;width:123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TSsIA&#10;AADcAAAADwAAAGRycy9kb3ducmV2LnhtbESPQYvCMBSE7wv+h/AEb2u6Rap0jaKC4EEPVn/Ao3nb&#10;lG1eShO1+uuNIHgcZuYbZr7sbSOu1PnasYKfcQKCuHS65krB+bT9noHwAVlj45gU3MnDcjH4mmOu&#10;3Y2PdC1CJSKEfY4KTAhtLqUvDVn0Y9cSR+/PdRZDlF0ldYe3CLeNTJMkkxZrjgsGW9oYKv+Li1Uw&#10;2RbZtNgfdqY5rOtV9aCwSUmp0bBf/YII1IdP+N3eaQXZNIX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tNKwgAAANwAAAAPAAAAAAAAAAAAAAAAAJgCAABkcnMvZG93&#10;bnJldi54bWxQSwUGAAAAAAQABAD1AAAAhwMAAAAA&#10;">
                  <v:textbox inset="2.08281mm,1.0414mm,2.08281mm,1.0414mm">
                    <w:txbxContent>
                      <w:p w:rsidR="006C61B6" w:rsidRDefault="006C61B6" w:rsidP="006C61B6">
                        <w:pPr>
                          <w:jc w:val="center"/>
                          <w:rPr>
                            <w:rFonts w:ascii="Arial" w:hAnsi="Arial" w:cs="Arial"/>
                            <w:color w:val="000000"/>
                            <w:sz w:val="23"/>
                            <w:szCs w:val="28"/>
                          </w:rPr>
                        </w:pPr>
                        <w:r>
                          <w:rPr>
                            <w:rFonts w:ascii="Arial" w:hAnsi="Arial" w:cs="Arial"/>
                            <w:color w:val="000000"/>
                            <w:sz w:val="23"/>
                            <w:szCs w:val="28"/>
                          </w:rPr>
                          <w:t>MS Tx</w:t>
                        </w:r>
                      </w:p>
                    </w:txbxContent>
                  </v:textbox>
                </v:rect>
                <v:rect id="Rectangle 358" o:spid="_x0000_s1051" style="position:absolute;left:6241;top:7038;width:55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20cMA&#10;AADcAAAADwAAAGRycy9kb3ducmV2LnhtbESPQYvCMBSE78L+h/AW9qbpqrRSjeIKggc9WP0Bj+bZ&#10;FJuX0kTt+uvNwoLHYWa+YRar3jbiTp2vHSv4HiUgiEuna64UnE/b4QyED8gaG8ek4Jc8rJYfgwXm&#10;2j34SPciVCJC2OeowITQ5lL60pBFP3ItcfQurrMYouwqqTt8RLht5DhJUmmx5rhgsKWNofJa3KyC&#10;6bZIs2J/2Jnm8FOvqyeFzZiU+vrs13MQgfrwDv+3d1pBmk3g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20cMAAADcAAAADwAAAAAAAAAAAAAAAACYAgAAZHJzL2Rv&#10;d25yZXYueG1sUEsFBgAAAAAEAAQA9QAAAIgDAAAAAA==&#10;">
                  <v:textbox inset="2.08281mm,1.0414mm,2.08281mm,1.0414mm">
                    <w:txbxContent>
                      <w:p w:rsidR="006C61B6" w:rsidRDefault="006C61B6" w:rsidP="006C61B6">
                        <w:pPr>
                          <w:rPr>
                            <w:rFonts w:ascii="Arial" w:hAnsi="Arial" w:cs="Arial"/>
                            <w:color w:val="000000"/>
                            <w:sz w:val="13"/>
                            <w:szCs w:val="16"/>
                          </w:rPr>
                        </w:pPr>
                        <w:r>
                          <w:rPr>
                            <w:rFonts w:ascii="Arial" w:hAnsi="Arial" w:cs="Arial"/>
                            <w:color w:val="000000"/>
                            <w:sz w:val="13"/>
                            <w:szCs w:val="16"/>
                          </w:rPr>
                          <w:t>TDD</w:t>
                        </w:r>
                      </w:p>
                    </w:txbxContent>
                  </v:textbox>
                </v:rect>
                <v:rect id="Rectangle 359" o:spid="_x0000_s1052" style="position:absolute;left:6796;top:7038;width:121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upcIA&#10;AADcAAAADwAAAGRycy9kb3ducmV2LnhtbESPwarCMBRE9w/8h3AFd89UkSrVKCoILnRh3/uAS3Nt&#10;is1NaaJWv94IgsthZs4wi1Vna3Gj1leOFYyGCQjiwumKSwX/f7vfGQgfkDXWjknBgzyslr2fBWba&#10;3flEtzyUIkLYZ6jAhNBkUvrCkEU/dA1x9M6utRiibEupW7xHuK3lOElSabHiuGCwoa2h4pJfrYLJ&#10;Lk+n+eG4N/VxU63LJ4XtmJQa9Lv1HESgLnzDn/ZeK0inE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6lwgAAANwAAAAPAAAAAAAAAAAAAAAAAJgCAABkcnMvZG93&#10;bnJldi54bWxQSwUGAAAAAAQABAD1AAAAhwMAAAAA&#10;">
                  <v:textbox inset="2.08281mm,1.0414mm,2.08281mm,1.0414mm">
                    <w:txbxContent>
                      <w:p w:rsidR="006C61B6" w:rsidRDefault="006C61B6" w:rsidP="006C61B6">
                        <w:pPr>
                          <w:jc w:val="center"/>
                          <w:rPr>
                            <w:rFonts w:ascii="Arial" w:hAnsi="Arial" w:cs="Arial"/>
                            <w:color w:val="000000"/>
                            <w:sz w:val="23"/>
                            <w:szCs w:val="28"/>
                          </w:rPr>
                        </w:pPr>
                        <w:r>
                          <w:rPr>
                            <w:rFonts w:ascii="Arial" w:hAnsi="Arial" w:cs="Arial"/>
                            <w:color w:val="000000"/>
                            <w:sz w:val="23"/>
                            <w:szCs w:val="28"/>
                          </w:rPr>
                          <w:t>BS Tx</w:t>
                        </w:r>
                      </w:p>
                    </w:txbxContent>
                  </v:textbox>
                </v:rect>
              </v:group>
            </w:pict>
          </mc:Fallback>
        </mc:AlternateContent>
      </w:r>
    </w:p>
    <w:p w:rsidR="006C61B6" w:rsidRPr="00BB1A07" w:rsidRDefault="006C61B6" w:rsidP="006C61B6">
      <w:pPr>
        <w:keepNext/>
        <w:keepLines/>
        <w:suppressAutoHyphens/>
        <w:jc w:val="center"/>
        <w:rPr>
          <w:lang w:eastAsia="zh-CN"/>
        </w:rPr>
      </w:pPr>
    </w:p>
    <w:p w:rsidR="006C61B6" w:rsidRPr="00BB1A07" w:rsidRDefault="006C61B6" w:rsidP="006C61B6">
      <w:pPr>
        <w:keepNext/>
        <w:keepLines/>
        <w:suppressAutoHyphens/>
        <w:jc w:val="center"/>
        <w:rPr>
          <w:lang w:eastAsia="zh-CN"/>
        </w:rPr>
      </w:pPr>
      <w:r w:rsidRPr="00BB1A07">
        <w:rPr>
          <w:noProof/>
          <w:lang w:val="en-US" w:eastAsia="zh-CN"/>
        </w:rPr>
        <mc:AlternateContent>
          <mc:Choice Requires="wps">
            <w:drawing>
              <wp:anchor distT="0" distB="0" distL="114300" distR="114300" simplePos="0" relativeHeight="251675648" behindDoc="0" locked="0" layoutInCell="1" allowOverlap="1" wp14:anchorId="637A3C37" wp14:editId="636507B5">
                <wp:simplePos x="0" y="0"/>
                <wp:positionH relativeFrom="column">
                  <wp:posOffset>5700395</wp:posOffset>
                </wp:positionH>
                <wp:positionV relativeFrom="paragraph">
                  <wp:posOffset>57150</wp:posOffset>
                </wp:positionV>
                <wp:extent cx="516255" cy="309880"/>
                <wp:effectExtent l="0" t="0"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Pr>
                                <w:sz w:val="16"/>
                                <w:szCs w:val="16"/>
                              </w:rPr>
                              <w:t>2180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A3C37" id="Text Box 666" o:spid="_x0000_s1053" type="#_x0000_t202" style="position:absolute;left:0;text-align:left;margin-left:448.85pt;margin-top:4.5pt;width:40.6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bF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" filled="f" stroked="f">
                <v:textbox>
                  <w:txbxContent>
                    <w:p w:rsidR="006C61B6" w:rsidRPr="008578BF" w:rsidRDefault="006C61B6" w:rsidP="006C61B6">
                      <w:pPr>
                        <w:rPr>
                          <w:sz w:val="16"/>
                          <w:szCs w:val="16"/>
                        </w:rPr>
                      </w:pPr>
                      <w:r>
                        <w:rPr>
                          <w:sz w:val="16"/>
                          <w:szCs w:val="16"/>
                        </w:rPr>
                        <w:t>2180</w:t>
                      </w:r>
                    </w:p>
                  </w:txbxContent>
                </v:textbox>
              </v:shape>
            </w:pict>
          </mc:Fallback>
        </mc:AlternateContent>
      </w:r>
      <w:r w:rsidRPr="00BB1A07">
        <w:rPr>
          <w:noProof/>
          <w:lang w:val="en-US" w:eastAsia="zh-CN"/>
        </w:rPr>
        <mc:AlternateContent>
          <mc:Choice Requires="wps">
            <w:drawing>
              <wp:anchor distT="0" distB="0" distL="114300" distR="114300" simplePos="0" relativeHeight="251678720" behindDoc="0" locked="0" layoutInCell="1" allowOverlap="1" wp14:anchorId="35E5A304" wp14:editId="45AB9862">
                <wp:simplePos x="0" y="0"/>
                <wp:positionH relativeFrom="column">
                  <wp:posOffset>1442720</wp:posOffset>
                </wp:positionH>
                <wp:positionV relativeFrom="paragraph">
                  <wp:posOffset>57150</wp:posOffset>
                </wp:positionV>
                <wp:extent cx="516255" cy="309880"/>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Pr>
                                <w:sz w:val="16"/>
                                <w:szCs w:val="16"/>
                              </w:rPr>
                              <w:t>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A304" id="Text Box 665" o:spid="_x0000_s1054" type="#_x0000_t202" style="position:absolute;left:0;text-align:left;margin-left:113.6pt;margin-top:4.5pt;width:40.65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6OvAIAAMQ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" filled="f" stroked="f">
                <v:textbox>
                  <w:txbxContent>
                    <w:p w:rsidR="006C61B6" w:rsidRPr="008578BF" w:rsidRDefault="006C61B6" w:rsidP="006C61B6">
                      <w:pPr>
                        <w:rPr>
                          <w:sz w:val="16"/>
                          <w:szCs w:val="16"/>
                        </w:rPr>
                      </w:pPr>
                      <w:r>
                        <w:rPr>
                          <w:sz w:val="16"/>
                          <w:szCs w:val="16"/>
                        </w:rPr>
                        <w:t>1780</w:t>
                      </w:r>
                    </w:p>
                  </w:txbxContent>
                </v:textbox>
              </v:shape>
            </w:pict>
          </mc:Fallback>
        </mc:AlternateContent>
      </w:r>
      <w:r w:rsidRPr="00BB1A07">
        <w:rPr>
          <w:noProof/>
          <w:lang w:val="en-US" w:eastAsia="zh-CN"/>
        </w:rPr>
        <mc:AlternateContent>
          <mc:Choice Requires="wps">
            <w:drawing>
              <wp:anchor distT="0" distB="0" distL="114300" distR="114300" simplePos="0" relativeHeight="251677696" behindDoc="0" locked="0" layoutInCell="1" allowOverlap="1" wp14:anchorId="6301CFD3" wp14:editId="578EC4E4">
                <wp:simplePos x="0" y="0"/>
                <wp:positionH relativeFrom="column">
                  <wp:posOffset>982980</wp:posOffset>
                </wp:positionH>
                <wp:positionV relativeFrom="paragraph">
                  <wp:posOffset>57150</wp:posOffset>
                </wp:positionV>
                <wp:extent cx="516255" cy="309880"/>
                <wp:effectExtent l="0" t="0" r="0"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Pr>
                                <w:sz w:val="16"/>
                                <w:szCs w:val="16"/>
                              </w:rPr>
                              <w:t>1710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CFD3" id="Text Box 664" o:spid="_x0000_s1055" type="#_x0000_t202" style="position:absolute;left:0;text-align:left;margin-left:77.4pt;margin-top:4.5pt;width:40.65pt;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kB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" filled="f" stroked="f">
                <v:textbox>
                  <w:txbxContent>
                    <w:p w:rsidR="006C61B6" w:rsidRPr="008578BF" w:rsidRDefault="006C61B6" w:rsidP="006C61B6">
                      <w:pPr>
                        <w:rPr>
                          <w:sz w:val="16"/>
                          <w:szCs w:val="16"/>
                        </w:rPr>
                      </w:pPr>
                      <w:r>
                        <w:rPr>
                          <w:sz w:val="16"/>
                          <w:szCs w:val="16"/>
                        </w:rPr>
                        <w:t>1710</w:t>
                      </w:r>
                    </w:p>
                  </w:txbxContent>
                </v:textbox>
              </v:shape>
            </w:pict>
          </mc:Fallback>
        </mc:AlternateContent>
      </w:r>
      <w:r w:rsidRPr="00BB1A07">
        <w:rPr>
          <w:noProof/>
          <w:lang w:val="en-US" w:eastAsia="zh-CN"/>
        </w:rPr>
        <mc:AlternateContent>
          <mc:Choice Requires="wps">
            <w:drawing>
              <wp:anchor distT="0" distB="0" distL="114300" distR="114300" simplePos="0" relativeHeight="251676672" behindDoc="0" locked="0" layoutInCell="1" allowOverlap="1" wp14:anchorId="1B24469B" wp14:editId="59B571BD">
                <wp:simplePos x="0" y="0"/>
                <wp:positionH relativeFrom="column">
                  <wp:posOffset>5240020</wp:posOffset>
                </wp:positionH>
                <wp:positionV relativeFrom="paragraph">
                  <wp:posOffset>57150</wp:posOffset>
                </wp:positionV>
                <wp:extent cx="516255" cy="309880"/>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Pr>
                                <w:sz w:val="16"/>
                                <w:szCs w:val="16"/>
                              </w:rPr>
                              <w:t>2110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4469B" id="Text Box 663" o:spid="_x0000_s1056" type="#_x0000_t202" style="position:absolute;left:0;text-align:left;margin-left:412.6pt;margin-top:4.5pt;width:40.6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ETvA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" filled="f" stroked="f">
                <v:textbox>
                  <w:txbxContent>
                    <w:p w:rsidR="006C61B6" w:rsidRPr="008578BF" w:rsidRDefault="006C61B6" w:rsidP="006C61B6">
                      <w:pPr>
                        <w:rPr>
                          <w:sz w:val="16"/>
                          <w:szCs w:val="16"/>
                        </w:rPr>
                      </w:pPr>
                      <w:r>
                        <w:rPr>
                          <w:sz w:val="16"/>
                          <w:szCs w:val="16"/>
                        </w:rPr>
                        <w:t>2110</w:t>
                      </w:r>
                    </w:p>
                  </w:txbxContent>
                </v:textbox>
              </v:shape>
            </w:pict>
          </mc:Fallback>
        </mc:AlternateContent>
      </w:r>
      <w:r w:rsidRPr="00BB1A07">
        <w:rPr>
          <w:noProof/>
          <w:lang w:val="en-US" w:eastAsia="zh-CN"/>
        </w:rPr>
        <mc:AlternateContent>
          <mc:Choice Requires="wps">
            <w:drawing>
              <wp:anchor distT="0" distB="0" distL="114300" distR="114300" simplePos="0" relativeHeight="251674624" behindDoc="0" locked="0" layoutInCell="1" allowOverlap="1" wp14:anchorId="20D939CD" wp14:editId="488B34A8">
                <wp:simplePos x="0" y="0"/>
                <wp:positionH relativeFrom="column">
                  <wp:posOffset>4058920</wp:posOffset>
                </wp:positionH>
                <wp:positionV relativeFrom="paragraph">
                  <wp:posOffset>57150</wp:posOffset>
                </wp:positionV>
                <wp:extent cx="516255" cy="309880"/>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Pr>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39CD" id="Text Box 662" o:spid="_x0000_s1057" type="#_x0000_t202" style="position:absolute;left:0;text-align:left;margin-left:319.6pt;margin-top:4.5pt;width:40.65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acvA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" filled="f" stroked="f">
                <v:textbox>
                  <w:txbxContent>
                    <w:p w:rsidR="006C61B6" w:rsidRPr="008578BF" w:rsidRDefault="006C61B6" w:rsidP="006C61B6">
                      <w:pPr>
                        <w:rPr>
                          <w:sz w:val="16"/>
                          <w:szCs w:val="16"/>
                        </w:rPr>
                      </w:pPr>
                      <w:r>
                        <w:rPr>
                          <w:sz w:val="16"/>
                          <w:szCs w:val="16"/>
                        </w:rPr>
                        <w:t>2000</w:t>
                      </w:r>
                    </w:p>
                  </w:txbxContent>
                </v:textbox>
              </v:shape>
            </w:pict>
          </mc:Fallback>
        </mc:AlternateContent>
      </w:r>
      <w:r w:rsidRPr="00BB1A07">
        <w:rPr>
          <w:noProof/>
          <w:lang w:val="en-US" w:eastAsia="zh-CN"/>
        </w:rPr>
        <mc:AlternateContent>
          <mc:Choice Requires="wps">
            <w:drawing>
              <wp:anchor distT="0" distB="0" distL="114300" distR="114300" simplePos="0" relativeHeight="251673600" behindDoc="0" locked="0" layoutInCell="1" allowOverlap="1" wp14:anchorId="1F6FD9F0" wp14:editId="21089BEA">
                <wp:simplePos x="0" y="0"/>
                <wp:positionH relativeFrom="column">
                  <wp:posOffset>3274060</wp:posOffset>
                </wp:positionH>
                <wp:positionV relativeFrom="paragraph">
                  <wp:posOffset>57150</wp:posOffset>
                </wp:positionV>
                <wp:extent cx="480695" cy="309880"/>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Default="006C61B6" w:rsidP="006C61B6">
                            <w:r>
                              <w:rPr>
                                <w:sz w:val="16"/>
                                <w:szCs w:val="16"/>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D9F0" id="Text Box 661" o:spid="_x0000_s1058" type="#_x0000_t202" style="position:absolute;left:0;text-align:left;margin-left:257.8pt;margin-top:4.5pt;width:37.85pt;height:2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cL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" filled="f" stroked="f">
                <v:textbox>
                  <w:txbxContent>
                    <w:p w:rsidR="006C61B6" w:rsidRDefault="006C61B6" w:rsidP="006C61B6">
                      <w:r>
                        <w:rPr>
                          <w:sz w:val="16"/>
                          <w:szCs w:val="16"/>
                        </w:rPr>
                        <w:t>1930</w:t>
                      </w:r>
                    </w:p>
                  </w:txbxContent>
                </v:textbox>
              </v:shape>
            </w:pict>
          </mc:Fallback>
        </mc:AlternateContent>
      </w:r>
      <w:r w:rsidRPr="00BB1A07">
        <w:rPr>
          <w:noProof/>
          <w:lang w:val="en-US" w:eastAsia="zh-CN"/>
        </w:rPr>
        <mc:AlternateContent>
          <mc:Choice Requires="wps">
            <w:drawing>
              <wp:anchor distT="0" distB="0" distL="114300" distR="114300" simplePos="0" relativeHeight="251672576" behindDoc="0" locked="0" layoutInCell="1" allowOverlap="1" wp14:anchorId="62521DAC" wp14:editId="03493C22">
                <wp:simplePos x="0" y="0"/>
                <wp:positionH relativeFrom="column">
                  <wp:posOffset>2770505</wp:posOffset>
                </wp:positionH>
                <wp:positionV relativeFrom="paragraph">
                  <wp:posOffset>57150</wp:posOffset>
                </wp:positionV>
                <wp:extent cx="453390" cy="357505"/>
                <wp:effectExtent l="0" t="0" r="0" b="4445"/>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Pr>
                                <w:sz w:val="16"/>
                                <w:szCs w:val="1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21DAC" id="Text Box 660" o:spid="_x0000_s1059" type="#_x0000_t202" style="position:absolute;left:0;text-align:left;margin-left:218.15pt;margin-top:4.5pt;width:35.7pt;height:2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vR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" filled="f" stroked="f">
                <v:textbox>
                  <w:txbxContent>
                    <w:p w:rsidR="006C61B6" w:rsidRPr="008578BF" w:rsidRDefault="006C61B6" w:rsidP="006C61B6">
                      <w:pPr>
                        <w:rPr>
                          <w:sz w:val="16"/>
                          <w:szCs w:val="16"/>
                        </w:rPr>
                      </w:pPr>
                      <w:r>
                        <w:rPr>
                          <w:sz w:val="16"/>
                          <w:szCs w:val="16"/>
                        </w:rPr>
                        <w:t>1920</w:t>
                      </w:r>
                    </w:p>
                  </w:txbxContent>
                </v:textbox>
              </v:shape>
            </w:pict>
          </mc:Fallback>
        </mc:AlternateContent>
      </w:r>
      <w:r w:rsidRPr="00BB1A07">
        <w:rPr>
          <w:noProof/>
          <w:lang w:val="en-US" w:eastAsia="zh-CN"/>
        </w:rPr>
        <mc:AlternateContent>
          <mc:Choice Requires="wps">
            <w:drawing>
              <wp:anchor distT="0" distB="0" distL="114300" distR="114300" simplePos="0" relativeHeight="251671552" behindDoc="0" locked="0" layoutInCell="1" allowOverlap="1" wp14:anchorId="2B94A65D" wp14:editId="00BF189B">
                <wp:simplePos x="0" y="0"/>
                <wp:positionH relativeFrom="column">
                  <wp:posOffset>2065020</wp:posOffset>
                </wp:positionH>
                <wp:positionV relativeFrom="paragraph">
                  <wp:posOffset>57150</wp:posOffset>
                </wp:positionV>
                <wp:extent cx="546100" cy="262255"/>
                <wp:effectExtent l="0" t="0" r="0" b="4445"/>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1B6" w:rsidRPr="008578BF" w:rsidRDefault="006C61B6" w:rsidP="006C61B6">
                            <w:pPr>
                              <w:rPr>
                                <w:sz w:val="16"/>
                                <w:szCs w:val="16"/>
                              </w:rPr>
                            </w:pPr>
                            <w:r w:rsidRPr="008578BF">
                              <w:rPr>
                                <w:sz w:val="16"/>
                                <w:szCs w:val="16"/>
                              </w:rPr>
                              <w:t>1850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4A65D" id="Text Box 659" o:spid="_x0000_s1060" type="#_x0000_t202" style="position:absolute;left:0;text-align:left;margin-left:162.6pt;margin-top:4.5pt;width:43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S1uQ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" filled="f" stroked="f">
                <v:textbox>
                  <w:txbxContent>
                    <w:p w:rsidR="006C61B6" w:rsidRPr="008578BF" w:rsidRDefault="006C61B6" w:rsidP="006C61B6">
                      <w:pPr>
                        <w:rPr>
                          <w:sz w:val="16"/>
                          <w:szCs w:val="16"/>
                        </w:rPr>
                      </w:pPr>
                      <w:r w:rsidRPr="008578BF">
                        <w:rPr>
                          <w:sz w:val="16"/>
                          <w:szCs w:val="16"/>
                        </w:rPr>
                        <w:t>1850</w:t>
                      </w:r>
                    </w:p>
                  </w:txbxContent>
                </v:textbox>
              </v:shape>
            </w:pict>
          </mc:Fallback>
        </mc:AlternateContent>
      </w:r>
    </w:p>
    <w:p w:rsidR="006C61B6" w:rsidRPr="00BB1A07" w:rsidRDefault="006C61B6" w:rsidP="006C61B6">
      <w:pPr>
        <w:keepNext/>
        <w:keepLines/>
        <w:suppressAutoHyphens/>
        <w:jc w:val="center"/>
        <w:rPr>
          <w:lang w:eastAsia="zh-CN"/>
        </w:rPr>
      </w:pPr>
    </w:p>
    <w:p w:rsidR="006C61B6" w:rsidRPr="00BB1A07" w:rsidRDefault="006C61B6" w:rsidP="006C61B6">
      <w:pPr>
        <w:suppressAutoHyphens/>
        <w:rPr>
          <w:lang w:eastAsia="zh-CN"/>
        </w:rPr>
      </w:pPr>
      <w:r w:rsidRPr="00BB1A07">
        <w:rPr>
          <w:noProof/>
          <w:lang w:val="en-US" w:eastAsia="zh-CN"/>
        </w:rPr>
        <w:drawing>
          <wp:inline distT="0" distB="0" distL="0" distR="0" wp14:anchorId="3E1F9C1E" wp14:editId="5DB51260">
            <wp:extent cx="5981700" cy="914400"/>
            <wp:effectExtent l="0" t="0" r="0" b="0"/>
            <wp:docPr id="16"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1700" cy="914400"/>
                    </a:xfrm>
                    <a:prstGeom prst="rect">
                      <a:avLst/>
                    </a:prstGeom>
                    <a:noFill/>
                    <a:ln>
                      <a:noFill/>
                    </a:ln>
                  </pic:spPr>
                </pic:pic>
              </a:graphicData>
            </a:graphic>
          </wp:inline>
        </w:drawing>
      </w:r>
      <w:r w:rsidRPr="00BB1A07">
        <w:rPr>
          <w:noProof/>
          <w:lang w:val="en-US" w:eastAsia="zh-CN"/>
        </w:rPr>
        <w:drawing>
          <wp:inline distT="0" distB="0" distL="0" distR="0" wp14:anchorId="068ECC43" wp14:editId="2F3EE295">
            <wp:extent cx="5923280" cy="839470"/>
            <wp:effectExtent l="1905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23280" cy="839470"/>
                    </a:xfrm>
                    <a:prstGeom prst="rect">
                      <a:avLst/>
                    </a:prstGeom>
                    <a:noFill/>
                    <a:ln w="9525">
                      <a:noFill/>
                      <a:miter lim="800000"/>
                      <a:headEnd/>
                      <a:tailEnd/>
                    </a:ln>
                  </pic:spPr>
                </pic:pic>
              </a:graphicData>
            </a:graphic>
          </wp:inline>
        </w:drawing>
      </w:r>
    </w:p>
    <w:p w:rsidR="006C61B6" w:rsidRPr="00BB1A07" w:rsidRDefault="006C61B6" w:rsidP="006C61B6">
      <w:pPr>
        <w:overflowPunct/>
        <w:autoSpaceDE/>
        <w:autoSpaceDN/>
        <w:adjustRightInd/>
        <w:spacing w:before="0"/>
        <w:textAlignment w:val="auto"/>
      </w:pPr>
    </w:p>
    <w:p w:rsidR="006C61B6" w:rsidRPr="00BB1A07" w:rsidRDefault="006C61B6" w:rsidP="006C61B6">
      <w:pPr>
        <w:overflowPunct/>
        <w:autoSpaceDE/>
        <w:autoSpaceDN/>
        <w:adjustRightInd/>
        <w:spacing w:before="0"/>
        <w:textAlignment w:val="auto"/>
      </w:pPr>
      <w:r w:rsidRPr="00BB1A07">
        <w:br w:type="page"/>
      </w:r>
    </w:p>
    <w:p w:rsidR="006C61B6" w:rsidRPr="001C551F" w:rsidRDefault="006C61B6" w:rsidP="008446E0">
      <w:pPr>
        <w:pStyle w:val="SectionNo"/>
        <w:jc w:val="center"/>
        <w:rPr>
          <w:sz w:val="28"/>
          <w:szCs w:val="28"/>
        </w:rPr>
      </w:pPr>
      <w:r w:rsidRPr="001C551F">
        <w:rPr>
          <w:sz w:val="28"/>
          <w:szCs w:val="28"/>
        </w:rPr>
        <w:lastRenderedPageBreak/>
        <w:t>S</w:t>
      </w:r>
      <w:r w:rsidR="008446E0" w:rsidRPr="001C551F">
        <w:rPr>
          <w:sz w:val="28"/>
          <w:szCs w:val="28"/>
        </w:rPr>
        <w:t>ECTION</w:t>
      </w:r>
      <w:r w:rsidRPr="001C551F">
        <w:rPr>
          <w:sz w:val="28"/>
          <w:szCs w:val="28"/>
        </w:rPr>
        <w:t xml:space="preserve"> 4</w:t>
      </w:r>
    </w:p>
    <w:p w:rsidR="006C61B6" w:rsidRPr="00BB1A07" w:rsidRDefault="006C61B6" w:rsidP="006C61B6">
      <w:pPr>
        <w:pStyle w:val="Sectiontitle"/>
      </w:pPr>
      <w:r w:rsidRPr="00BB1A07">
        <w:t>Dispositions de fréquences dans la bande 2 300-2 400 MHz</w:t>
      </w:r>
    </w:p>
    <w:p w:rsidR="006C61B6" w:rsidRPr="00BB1A07" w:rsidRDefault="006C61B6" w:rsidP="008446E0">
      <w:pPr>
        <w:pStyle w:val="Normalaftertitle"/>
      </w:pPr>
      <w:r w:rsidRPr="00BB1A07">
        <w:t>Les dispositions de fréquences recommandées pour la mise en oeuvre des IMT dans la bande 2 300</w:t>
      </w:r>
      <w:r w:rsidRPr="00BB1A07">
        <w:noBreakHyphen/>
        <w:t>4 200 MHz sont récapitulées au Tableau 5 et à la Fig. 5, en tenant compte des lignes directrices figurant à l'Annexe 1 ci-dessus.</w:t>
      </w:r>
    </w:p>
    <w:p w:rsidR="006C61B6" w:rsidRPr="00BB1A07" w:rsidRDefault="006C61B6" w:rsidP="006C61B6">
      <w:pPr>
        <w:pStyle w:val="TableNo"/>
      </w:pPr>
      <w:r w:rsidRPr="00BB1A07">
        <w:t>TABLEAU 5</w:t>
      </w:r>
    </w:p>
    <w:p w:rsidR="006C61B6" w:rsidRPr="00BB1A07" w:rsidRDefault="006C61B6" w:rsidP="006C61B6">
      <w:pPr>
        <w:pStyle w:val="Tabletitle"/>
      </w:pPr>
      <w:r w:rsidRPr="00BB1A07">
        <w:t>Dispositions de fréquences dans la bande 2 300-2 400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89"/>
        <w:gridCol w:w="1399"/>
        <w:gridCol w:w="1479"/>
        <w:gridCol w:w="2230"/>
      </w:tblGrid>
      <w:tr w:rsidR="006C61B6" w:rsidRPr="00BB1A07" w:rsidTr="00D16BCE">
        <w:trPr>
          <w:jc w:val="center"/>
        </w:trPr>
        <w:tc>
          <w:tcPr>
            <w:tcW w:w="1850" w:type="dxa"/>
            <w:vMerge w:val="restart"/>
            <w:tcBorders>
              <w:top w:val="single" w:sz="4" w:space="0" w:color="auto"/>
            </w:tcBorders>
            <w:vAlign w:val="center"/>
          </w:tcPr>
          <w:p w:rsidR="006C61B6" w:rsidRPr="00BB1A07" w:rsidRDefault="006C61B6" w:rsidP="00D16BCE">
            <w:pPr>
              <w:pStyle w:val="Tablehead"/>
            </w:pPr>
            <w:r w:rsidRPr="00BB1A07">
              <w:t>Dispositions de</w:t>
            </w:r>
            <w:r w:rsidRPr="00BB1A07">
              <w:br/>
              <w:t>fréquences</w:t>
            </w:r>
          </w:p>
        </w:tc>
        <w:tc>
          <w:tcPr>
            <w:tcW w:w="5559" w:type="dxa"/>
            <w:gridSpan w:val="4"/>
            <w:tcBorders>
              <w:top w:val="single" w:sz="4" w:space="0" w:color="auto"/>
            </w:tcBorders>
            <w:vAlign w:val="center"/>
          </w:tcPr>
          <w:p w:rsidR="006C61B6" w:rsidRPr="00BB1A07" w:rsidRDefault="006C61B6" w:rsidP="00D16BCE">
            <w:pPr>
              <w:pStyle w:val="Tablehead"/>
            </w:pPr>
            <w:r w:rsidRPr="00BB1A07">
              <w:t>Dispositions appariées</w:t>
            </w:r>
          </w:p>
        </w:tc>
        <w:tc>
          <w:tcPr>
            <w:tcW w:w="2230" w:type="dxa"/>
            <w:vMerge w:val="restart"/>
            <w:tcBorders>
              <w:top w:val="single" w:sz="4" w:space="0" w:color="auto"/>
            </w:tcBorders>
            <w:vAlign w:val="center"/>
          </w:tcPr>
          <w:p w:rsidR="006C61B6" w:rsidRPr="00BB1A07" w:rsidRDefault="006C61B6" w:rsidP="00D16BCE">
            <w:pPr>
              <w:pStyle w:val="Tablehead"/>
            </w:pPr>
            <w:r w:rsidRPr="00BB1A07">
              <w:t xml:space="preserve">Spectre non apparié </w:t>
            </w:r>
            <w:r w:rsidRPr="00BB1A07">
              <w:br/>
              <w:t>(exemple pour le DRT)</w:t>
            </w:r>
            <w:r w:rsidRPr="00BB1A07">
              <w:br/>
              <w:t>(MHz)</w:t>
            </w:r>
          </w:p>
        </w:tc>
      </w:tr>
      <w:tr w:rsidR="006C61B6" w:rsidRPr="00BB1A07" w:rsidTr="00D16BCE">
        <w:trPr>
          <w:jc w:val="center"/>
        </w:trPr>
        <w:tc>
          <w:tcPr>
            <w:tcW w:w="1850" w:type="dxa"/>
            <w:vMerge/>
            <w:vAlign w:val="center"/>
          </w:tcPr>
          <w:p w:rsidR="006C61B6" w:rsidRPr="00BB1A07" w:rsidRDefault="006C61B6" w:rsidP="00D16BCE">
            <w:pPr>
              <w:pStyle w:val="Tablehead"/>
            </w:pPr>
          </w:p>
        </w:tc>
        <w:tc>
          <w:tcPr>
            <w:tcW w:w="1492" w:type="dxa"/>
            <w:vAlign w:val="center"/>
          </w:tcPr>
          <w:p w:rsidR="006C61B6" w:rsidRPr="00BB1A07" w:rsidRDefault="006C61B6" w:rsidP="00D16BCE">
            <w:pPr>
              <w:pStyle w:val="Tablehead"/>
            </w:pPr>
            <w:r w:rsidRPr="00BB1A07">
              <w:t>Emetteur de la station mobile</w:t>
            </w:r>
            <w:r w:rsidRPr="00BB1A07">
              <w:br/>
              <w:t>(MHz)</w:t>
            </w:r>
          </w:p>
        </w:tc>
        <w:tc>
          <w:tcPr>
            <w:tcW w:w="1189" w:type="dxa"/>
            <w:vAlign w:val="center"/>
          </w:tcPr>
          <w:p w:rsidR="006C61B6" w:rsidRPr="00BB1A07" w:rsidRDefault="006C61B6" w:rsidP="00D16BCE">
            <w:pPr>
              <w:pStyle w:val="Tablehead"/>
            </w:pPr>
            <w:r w:rsidRPr="00BB1A07">
              <w:t>Intervalle</w:t>
            </w:r>
            <w:r w:rsidRPr="00BB1A07">
              <w:br/>
              <w:t>central</w:t>
            </w:r>
            <w:r w:rsidRPr="00BB1A07">
              <w:br/>
              <w:t>(MHz)</w:t>
            </w:r>
          </w:p>
        </w:tc>
        <w:tc>
          <w:tcPr>
            <w:tcW w:w="1399" w:type="dxa"/>
            <w:vAlign w:val="center"/>
          </w:tcPr>
          <w:p w:rsidR="006C61B6" w:rsidRPr="00BB1A07" w:rsidRDefault="006C61B6" w:rsidP="00D16BCE">
            <w:pPr>
              <w:pStyle w:val="Tablehead"/>
            </w:pPr>
            <w:r w:rsidRPr="00BB1A07">
              <w:t>Emetteur de la station de base</w:t>
            </w:r>
            <w:r w:rsidRPr="00BB1A07">
              <w:br/>
              <w:t>(MHz)</w:t>
            </w:r>
          </w:p>
        </w:tc>
        <w:tc>
          <w:tcPr>
            <w:tcW w:w="1479" w:type="dxa"/>
            <w:vAlign w:val="center"/>
          </w:tcPr>
          <w:p w:rsidR="006C61B6" w:rsidRPr="00BB1A07" w:rsidRDefault="006C61B6" w:rsidP="00D16BCE">
            <w:pPr>
              <w:pStyle w:val="Tablehead"/>
            </w:pPr>
            <w:r w:rsidRPr="00BB1A07">
              <w:t xml:space="preserve">Espacement duplex </w:t>
            </w:r>
            <w:r w:rsidRPr="00BB1A07">
              <w:br/>
              <w:t>(MHz)</w:t>
            </w:r>
          </w:p>
        </w:tc>
        <w:tc>
          <w:tcPr>
            <w:tcW w:w="2230" w:type="dxa"/>
            <w:vMerge/>
            <w:vAlign w:val="center"/>
          </w:tcPr>
          <w:p w:rsidR="006C61B6" w:rsidRPr="00BB1A07" w:rsidRDefault="006C61B6" w:rsidP="00D16BCE">
            <w:pPr>
              <w:pStyle w:val="Tablehead"/>
              <w:rPr>
                <w:rFonts w:ascii="Times New Roman Bold" w:hAnsi="Times New Roman Bold"/>
              </w:rPr>
            </w:pPr>
          </w:p>
        </w:tc>
      </w:tr>
      <w:tr w:rsidR="006C61B6" w:rsidRPr="00BB1A07" w:rsidTr="00D16BCE">
        <w:trPr>
          <w:jc w:val="center"/>
        </w:trPr>
        <w:tc>
          <w:tcPr>
            <w:tcW w:w="1850" w:type="dxa"/>
            <w:tcBorders>
              <w:bottom w:val="single" w:sz="4" w:space="0" w:color="auto"/>
            </w:tcBorders>
          </w:tcPr>
          <w:p w:rsidR="006C61B6" w:rsidRPr="00BB1A07" w:rsidDel="00ED5309" w:rsidRDefault="006C61B6" w:rsidP="00D16BCE">
            <w:pPr>
              <w:pStyle w:val="Tabletext"/>
              <w:jc w:val="center"/>
            </w:pPr>
            <w:r w:rsidRPr="00BB1A07">
              <w:t>E1</w:t>
            </w:r>
          </w:p>
        </w:tc>
        <w:tc>
          <w:tcPr>
            <w:tcW w:w="1492" w:type="dxa"/>
            <w:tcBorders>
              <w:bottom w:val="single" w:sz="4" w:space="0" w:color="auto"/>
            </w:tcBorders>
          </w:tcPr>
          <w:p w:rsidR="006C61B6" w:rsidRPr="00BB1A07" w:rsidRDefault="006C61B6" w:rsidP="00D16BCE">
            <w:pPr>
              <w:pStyle w:val="Tabletext"/>
              <w:jc w:val="center"/>
            </w:pPr>
          </w:p>
        </w:tc>
        <w:tc>
          <w:tcPr>
            <w:tcW w:w="1189" w:type="dxa"/>
            <w:tcBorders>
              <w:bottom w:val="single" w:sz="4" w:space="0" w:color="auto"/>
            </w:tcBorders>
          </w:tcPr>
          <w:p w:rsidR="006C61B6" w:rsidRPr="00BB1A07" w:rsidRDefault="006C61B6" w:rsidP="00D16BCE">
            <w:pPr>
              <w:pStyle w:val="Tabletext"/>
              <w:jc w:val="center"/>
            </w:pPr>
          </w:p>
        </w:tc>
        <w:tc>
          <w:tcPr>
            <w:tcW w:w="1399" w:type="dxa"/>
            <w:tcBorders>
              <w:bottom w:val="single" w:sz="4" w:space="0" w:color="auto"/>
            </w:tcBorders>
          </w:tcPr>
          <w:p w:rsidR="006C61B6" w:rsidRPr="00BB1A07" w:rsidRDefault="006C61B6" w:rsidP="00D16BCE">
            <w:pPr>
              <w:pStyle w:val="Tabletext"/>
              <w:jc w:val="center"/>
            </w:pPr>
          </w:p>
        </w:tc>
        <w:tc>
          <w:tcPr>
            <w:tcW w:w="1479" w:type="dxa"/>
            <w:tcBorders>
              <w:bottom w:val="single" w:sz="4" w:space="0" w:color="auto"/>
            </w:tcBorders>
          </w:tcPr>
          <w:p w:rsidR="006C61B6" w:rsidRPr="00BB1A07" w:rsidRDefault="006C61B6" w:rsidP="00D16BCE">
            <w:pPr>
              <w:pStyle w:val="Tabletext"/>
              <w:jc w:val="center"/>
            </w:pPr>
          </w:p>
        </w:tc>
        <w:tc>
          <w:tcPr>
            <w:tcW w:w="2230" w:type="dxa"/>
            <w:tcBorders>
              <w:bottom w:val="single" w:sz="4" w:space="0" w:color="auto"/>
            </w:tcBorders>
          </w:tcPr>
          <w:p w:rsidR="006C61B6" w:rsidRPr="00BB1A07" w:rsidRDefault="006C61B6" w:rsidP="00D16BCE">
            <w:pPr>
              <w:pStyle w:val="Tabletext"/>
              <w:jc w:val="center"/>
            </w:pPr>
            <w:r w:rsidRPr="00BB1A07">
              <w:t>2 300-2 400 DRT</w:t>
            </w:r>
          </w:p>
        </w:tc>
      </w:tr>
    </w:tbl>
    <w:p w:rsidR="006C61B6" w:rsidRPr="00BB1A07" w:rsidRDefault="006C61B6" w:rsidP="006C61B6">
      <w:pPr>
        <w:pStyle w:val="FigureNo"/>
      </w:pPr>
      <w:r w:rsidRPr="00BB1A07">
        <w:t>FIGURE 5</w:t>
      </w:r>
    </w:p>
    <w:p w:rsidR="006C61B6" w:rsidRPr="00BB1A07" w:rsidRDefault="006C61B6" w:rsidP="006C61B6">
      <w:pPr>
        <w:pStyle w:val="Figure"/>
      </w:pPr>
      <w:r w:rsidRPr="00BB1A07">
        <w:rPr>
          <w:noProof/>
          <w:lang w:eastAsia="zh-CN"/>
        </w:rPr>
        <w:object w:dxaOrig="3339" w:dyaOrig="1401">
          <v:shape id="_x0000_i1033" type="#_x0000_t75" style="width:230.6pt;height:101.15pt" o:ole="">
            <v:imagedata r:id="rId37" o:title=""/>
          </v:shape>
          <o:OLEObject Type="Embed" ProgID="CorelDRAW.Graphic.14" ShapeID="_x0000_i1033" DrawAspect="Content" ObjectID="_1508231746" r:id="rId38"/>
        </w:object>
      </w:r>
    </w:p>
    <w:p w:rsidR="006C61B6" w:rsidRPr="00BB1A07" w:rsidRDefault="006C61B6" w:rsidP="006C61B6"/>
    <w:p w:rsidR="006C61B6" w:rsidRPr="00BB1A07" w:rsidRDefault="006C61B6" w:rsidP="006C61B6"/>
    <w:p w:rsidR="006C61B6" w:rsidRPr="00BB1A07" w:rsidRDefault="006C61B6" w:rsidP="006C61B6">
      <w:pPr>
        <w:overflowPunct/>
        <w:autoSpaceDE/>
        <w:autoSpaceDN/>
        <w:adjustRightInd/>
        <w:spacing w:before="0"/>
        <w:textAlignment w:val="auto"/>
        <w:rPr>
          <w:b/>
          <w:sz w:val="28"/>
        </w:rPr>
      </w:pPr>
      <w:r w:rsidRPr="00BB1A07">
        <w:br w:type="page"/>
      </w:r>
    </w:p>
    <w:p w:rsidR="006C61B6" w:rsidRPr="006D44CE" w:rsidRDefault="006C61B6" w:rsidP="008446E0">
      <w:pPr>
        <w:pStyle w:val="SectionNo"/>
        <w:jc w:val="center"/>
        <w:rPr>
          <w:sz w:val="28"/>
          <w:szCs w:val="28"/>
        </w:rPr>
      </w:pPr>
      <w:r w:rsidRPr="006D44CE">
        <w:rPr>
          <w:sz w:val="28"/>
          <w:szCs w:val="28"/>
        </w:rPr>
        <w:lastRenderedPageBreak/>
        <w:t>S</w:t>
      </w:r>
      <w:r w:rsidR="008446E0" w:rsidRPr="006D44CE">
        <w:rPr>
          <w:sz w:val="28"/>
          <w:szCs w:val="28"/>
        </w:rPr>
        <w:t>ECTION</w:t>
      </w:r>
      <w:r w:rsidRPr="006D44CE">
        <w:rPr>
          <w:sz w:val="28"/>
          <w:szCs w:val="28"/>
        </w:rPr>
        <w:t xml:space="preserve"> 5</w:t>
      </w:r>
    </w:p>
    <w:p w:rsidR="006C61B6" w:rsidRPr="00BB1A07" w:rsidRDefault="006C61B6" w:rsidP="006C61B6">
      <w:pPr>
        <w:pStyle w:val="Sectiontitle"/>
      </w:pPr>
      <w:r w:rsidRPr="00BB1A07">
        <w:t>Dispositions de fréquences dans la bande 2 500-2 690 MHz</w:t>
      </w:r>
    </w:p>
    <w:p w:rsidR="006C61B6" w:rsidRPr="00BB1A07" w:rsidRDefault="006C61B6" w:rsidP="008446E0">
      <w:pPr>
        <w:pStyle w:val="Normalaftertitle"/>
      </w:pPr>
      <w:r w:rsidRPr="00BB1A07">
        <w:t>Les dispositions de fréquences recommandées pour la mise en oeuvre des IMT dans la bande 2 500</w:t>
      </w:r>
      <w:r w:rsidRPr="00BB1A07">
        <w:noBreakHyphen/>
        <w:t>2 690 MHz sont récapitulées au Tableau 6 et à la Fig. 6, en tenant compte des lignes directrices figurant à l'Annexe 1 ci-dessus.</w:t>
      </w:r>
    </w:p>
    <w:p w:rsidR="006C61B6" w:rsidRPr="00BB1A07" w:rsidRDefault="006C61B6" w:rsidP="006C61B6">
      <w:pPr>
        <w:pStyle w:val="TableNo"/>
        <w:spacing w:before="480"/>
      </w:pPr>
      <w:r w:rsidRPr="00BB1A07">
        <w:t>TABLEAU 6</w:t>
      </w:r>
    </w:p>
    <w:p w:rsidR="006C61B6" w:rsidRPr="00BB1A07" w:rsidRDefault="006C61B6" w:rsidP="006C61B6">
      <w:pPr>
        <w:pStyle w:val="Tabletitle"/>
      </w:pPr>
      <w:r w:rsidRPr="00BB1A07">
        <w:t xml:space="preserve">Dispositions de fréquences dans la bande 2 500-2 690 MHz </w:t>
      </w:r>
      <w:r w:rsidRPr="00BB1A07">
        <w:br/>
        <w:t>(composante satellite non comprise)</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368"/>
        <w:gridCol w:w="1184"/>
        <w:gridCol w:w="1277"/>
        <w:gridCol w:w="1319"/>
        <w:gridCol w:w="1234"/>
        <w:gridCol w:w="1707"/>
      </w:tblGrid>
      <w:tr w:rsidR="006C61B6" w:rsidRPr="00A106B8" w:rsidTr="00D16BCE">
        <w:trPr>
          <w:jc w:val="center"/>
        </w:trPr>
        <w:tc>
          <w:tcPr>
            <w:tcW w:w="1555" w:type="dxa"/>
            <w:vMerge w:val="restart"/>
            <w:vAlign w:val="center"/>
          </w:tcPr>
          <w:p w:rsidR="006C61B6" w:rsidRPr="00A106B8" w:rsidRDefault="006C61B6" w:rsidP="00D16BCE">
            <w:pPr>
              <w:pStyle w:val="Tablehead"/>
              <w:rPr>
                <w:sz w:val="20"/>
              </w:rPr>
            </w:pPr>
            <w:r w:rsidRPr="00A106B8">
              <w:rPr>
                <w:sz w:val="20"/>
              </w:rPr>
              <w:t>Dispositions de</w:t>
            </w:r>
            <w:r w:rsidRPr="00A106B8">
              <w:rPr>
                <w:sz w:val="20"/>
              </w:rPr>
              <w:br/>
              <w:t>fréquences</w:t>
            </w:r>
          </w:p>
        </w:tc>
        <w:tc>
          <w:tcPr>
            <w:tcW w:w="6382" w:type="dxa"/>
            <w:gridSpan w:val="5"/>
            <w:vAlign w:val="center"/>
          </w:tcPr>
          <w:p w:rsidR="006C61B6" w:rsidRPr="00A106B8" w:rsidRDefault="006C61B6" w:rsidP="00D16BCE">
            <w:pPr>
              <w:pStyle w:val="Tablehead"/>
              <w:rPr>
                <w:sz w:val="20"/>
              </w:rPr>
            </w:pPr>
            <w:r w:rsidRPr="00A106B8">
              <w:rPr>
                <w:sz w:val="20"/>
              </w:rPr>
              <w:t>Dispositions appariées</w:t>
            </w:r>
          </w:p>
        </w:tc>
        <w:tc>
          <w:tcPr>
            <w:tcW w:w="1707" w:type="dxa"/>
            <w:vMerge w:val="restart"/>
            <w:vAlign w:val="center"/>
          </w:tcPr>
          <w:p w:rsidR="006C61B6" w:rsidRPr="00A106B8" w:rsidRDefault="006C61B6" w:rsidP="00D16BCE">
            <w:pPr>
              <w:pStyle w:val="Tablehead"/>
              <w:rPr>
                <w:sz w:val="20"/>
              </w:rPr>
            </w:pPr>
            <w:r w:rsidRPr="00A106B8">
              <w:rPr>
                <w:sz w:val="20"/>
              </w:rPr>
              <w:t xml:space="preserve">Spectre non apparié </w:t>
            </w:r>
            <w:r w:rsidRPr="00A106B8">
              <w:rPr>
                <w:sz w:val="20"/>
              </w:rPr>
              <w:br/>
              <w:t>(exemple pour le DRT)</w:t>
            </w:r>
            <w:r w:rsidRPr="00A106B8">
              <w:rPr>
                <w:sz w:val="20"/>
              </w:rPr>
              <w:br/>
              <w:t>(MHz)</w:t>
            </w:r>
          </w:p>
        </w:tc>
      </w:tr>
      <w:tr w:rsidR="006C61B6" w:rsidRPr="00A106B8" w:rsidTr="00D16BCE">
        <w:trPr>
          <w:jc w:val="center"/>
        </w:trPr>
        <w:tc>
          <w:tcPr>
            <w:tcW w:w="1555" w:type="dxa"/>
            <w:vMerge/>
            <w:vAlign w:val="center"/>
          </w:tcPr>
          <w:p w:rsidR="006C61B6" w:rsidRPr="00A106B8" w:rsidRDefault="006C61B6" w:rsidP="00D16BCE">
            <w:pPr>
              <w:pStyle w:val="Tablehead"/>
              <w:rPr>
                <w:rFonts w:ascii="Times New Roman Bold" w:hAnsi="Times New Roman Bold"/>
                <w:sz w:val="20"/>
              </w:rPr>
            </w:pPr>
          </w:p>
        </w:tc>
        <w:tc>
          <w:tcPr>
            <w:tcW w:w="1368" w:type="dxa"/>
            <w:vAlign w:val="center"/>
          </w:tcPr>
          <w:p w:rsidR="006C61B6" w:rsidRPr="00A106B8" w:rsidRDefault="006C61B6" w:rsidP="00D16BCE">
            <w:pPr>
              <w:pStyle w:val="Tablehead"/>
              <w:rPr>
                <w:sz w:val="20"/>
              </w:rPr>
            </w:pPr>
            <w:r w:rsidRPr="00A106B8">
              <w:rPr>
                <w:sz w:val="20"/>
              </w:rPr>
              <w:t>Emetteur de la station mobile</w:t>
            </w:r>
            <w:r w:rsidRPr="00A106B8">
              <w:rPr>
                <w:sz w:val="20"/>
              </w:rPr>
              <w:br/>
              <w:t>(MHz)</w:t>
            </w:r>
          </w:p>
        </w:tc>
        <w:tc>
          <w:tcPr>
            <w:tcW w:w="1184" w:type="dxa"/>
            <w:vAlign w:val="center"/>
          </w:tcPr>
          <w:p w:rsidR="006C61B6" w:rsidRPr="00A106B8" w:rsidRDefault="006C61B6" w:rsidP="00D16BCE">
            <w:pPr>
              <w:pStyle w:val="Tablehead"/>
              <w:rPr>
                <w:sz w:val="20"/>
              </w:rPr>
            </w:pPr>
            <w:r w:rsidRPr="00A106B8">
              <w:rPr>
                <w:sz w:val="20"/>
              </w:rPr>
              <w:t>Intervalle</w:t>
            </w:r>
            <w:r w:rsidRPr="00A106B8">
              <w:rPr>
                <w:sz w:val="20"/>
              </w:rPr>
              <w:br/>
              <w:t>central</w:t>
            </w:r>
            <w:r w:rsidRPr="00A106B8">
              <w:rPr>
                <w:sz w:val="20"/>
              </w:rPr>
              <w:br/>
              <w:t>(MHz)</w:t>
            </w:r>
          </w:p>
        </w:tc>
        <w:tc>
          <w:tcPr>
            <w:tcW w:w="1277" w:type="dxa"/>
            <w:vAlign w:val="center"/>
          </w:tcPr>
          <w:p w:rsidR="006C61B6" w:rsidRPr="00A106B8" w:rsidRDefault="006C61B6" w:rsidP="00D16BCE">
            <w:pPr>
              <w:pStyle w:val="Tablehead"/>
              <w:rPr>
                <w:sz w:val="20"/>
              </w:rPr>
            </w:pPr>
            <w:r w:rsidRPr="00A106B8">
              <w:rPr>
                <w:sz w:val="20"/>
              </w:rPr>
              <w:t>Emetteur de la station de base</w:t>
            </w:r>
            <w:r w:rsidRPr="00A106B8">
              <w:rPr>
                <w:sz w:val="20"/>
              </w:rPr>
              <w:br/>
              <w:t>(MHz)</w:t>
            </w:r>
          </w:p>
        </w:tc>
        <w:tc>
          <w:tcPr>
            <w:tcW w:w="1319" w:type="dxa"/>
            <w:vAlign w:val="center"/>
          </w:tcPr>
          <w:p w:rsidR="006C61B6" w:rsidRPr="00A106B8" w:rsidRDefault="006C61B6" w:rsidP="00D16BCE">
            <w:pPr>
              <w:pStyle w:val="Tablehead"/>
              <w:rPr>
                <w:sz w:val="20"/>
              </w:rPr>
            </w:pPr>
            <w:r w:rsidRPr="00A106B8">
              <w:rPr>
                <w:sz w:val="20"/>
              </w:rPr>
              <w:t xml:space="preserve">Espacement duplex </w:t>
            </w:r>
            <w:r w:rsidRPr="00A106B8">
              <w:rPr>
                <w:sz w:val="20"/>
              </w:rPr>
              <w:br/>
              <w:t>(MHz)</w:t>
            </w:r>
          </w:p>
        </w:tc>
        <w:tc>
          <w:tcPr>
            <w:tcW w:w="1234" w:type="dxa"/>
            <w:vAlign w:val="center"/>
          </w:tcPr>
          <w:p w:rsidR="006C61B6" w:rsidRPr="00A106B8" w:rsidRDefault="006C61B6" w:rsidP="00D16BCE">
            <w:pPr>
              <w:pStyle w:val="Tablehead"/>
              <w:rPr>
                <w:sz w:val="20"/>
              </w:rPr>
            </w:pPr>
            <w:r w:rsidRPr="00A106B8">
              <w:rPr>
                <w:sz w:val="20"/>
              </w:rPr>
              <w:t>U</w:t>
            </w:r>
            <w:r w:rsidRPr="00A106B8" w:rsidDel="001972B1">
              <w:rPr>
                <w:sz w:val="20"/>
              </w:rPr>
              <w:t>sage</w:t>
            </w:r>
            <w:r w:rsidRPr="00A106B8">
              <w:rPr>
                <w:sz w:val="20"/>
              </w:rPr>
              <w:t xml:space="preserve"> de l'intervalle central</w:t>
            </w:r>
          </w:p>
        </w:tc>
        <w:tc>
          <w:tcPr>
            <w:tcW w:w="1707" w:type="dxa"/>
            <w:vMerge/>
            <w:vAlign w:val="center"/>
          </w:tcPr>
          <w:p w:rsidR="006C61B6" w:rsidRPr="00A106B8" w:rsidRDefault="006C61B6" w:rsidP="00D16BCE">
            <w:pPr>
              <w:pStyle w:val="Tablehead"/>
              <w:rPr>
                <w:rFonts w:ascii="Times New Roman Bold" w:hAnsi="Times New Roman Bold"/>
                <w:sz w:val="20"/>
              </w:rPr>
            </w:pPr>
          </w:p>
        </w:tc>
      </w:tr>
      <w:tr w:rsidR="006C61B6" w:rsidRPr="00A106B8" w:rsidTr="00D16BCE">
        <w:trPr>
          <w:jc w:val="center"/>
        </w:trPr>
        <w:tc>
          <w:tcPr>
            <w:tcW w:w="1555" w:type="dxa"/>
            <w:tcBorders>
              <w:top w:val="single" w:sz="4" w:space="0" w:color="auto"/>
              <w:left w:val="single" w:sz="4" w:space="0" w:color="auto"/>
              <w:bottom w:val="single" w:sz="4" w:space="0" w:color="auto"/>
              <w:right w:val="single" w:sz="6" w:space="0" w:color="auto"/>
            </w:tcBorders>
          </w:tcPr>
          <w:p w:rsidR="006C61B6" w:rsidRPr="00A106B8" w:rsidRDefault="006C61B6" w:rsidP="00D16BCE">
            <w:pPr>
              <w:pStyle w:val="Tabletext"/>
              <w:jc w:val="center"/>
              <w:rPr>
                <w:sz w:val="20"/>
              </w:rPr>
            </w:pPr>
            <w:r w:rsidRPr="00A106B8">
              <w:rPr>
                <w:sz w:val="20"/>
              </w:rPr>
              <w:t>C1</w:t>
            </w:r>
          </w:p>
        </w:tc>
        <w:tc>
          <w:tcPr>
            <w:tcW w:w="1368" w:type="dxa"/>
            <w:tcBorders>
              <w:top w:val="single" w:sz="4" w:space="0" w:color="auto"/>
              <w:left w:val="single" w:sz="6" w:space="0" w:color="auto"/>
              <w:bottom w:val="single" w:sz="4" w:space="0" w:color="auto"/>
              <w:right w:val="single" w:sz="6" w:space="0" w:color="auto"/>
            </w:tcBorders>
          </w:tcPr>
          <w:p w:rsidR="006C61B6" w:rsidRPr="00A106B8" w:rsidRDefault="006C61B6" w:rsidP="00D16BCE">
            <w:pPr>
              <w:pStyle w:val="Tabletext"/>
              <w:jc w:val="center"/>
              <w:rPr>
                <w:sz w:val="20"/>
              </w:rPr>
            </w:pPr>
            <w:r w:rsidRPr="00A106B8">
              <w:rPr>
                <w:sz w:val="20"/>
              </w:rPr>
              <w:t>2 500-2 570</w:t>
            </w:r>
          </w:p>
        </w:tc>
        <w:tc>
          <w:tcPr>
            <w:tcW w:w="1184" w:type="dxa"/>
            <w:tcBorders>
              <w:top w:val="single" w:sz="4" w:space="0" w:color="auto"/>
              <w:left w:val="single" w:sz="6" w:space="0" w:color="auto"/>
              <w:bottom w:val="single" w:sz="4" w:space="0" w:color="auto"/>
              <w:right w:val="single" w:sz="6" w:space="0" w:color="auto"/>
            </w:tcBorders>
          </w:tcPr>
          <w:p w:rsidR="006C61B6" w:rsidRPr="00A106B8" w:rsidRDefault="006C61B6" w:rsidP="00D16BCE">
            <w:pPr>
              <w:pStyle w:val="Tabletext"/>
              <w:jc w:val="center"/>
              <w:rPr>
                <w:sz w:val="20"/>
              </w:rPr>
            </w:pPr>
            <w:r w:rsidRPr="00A106B8">
              <w:rPr>
                <w:sz w:val="20"/>
              </w:rPr>
              <w:t>50</w:t>
            </w:r>
          </w:p>
        </w:tc>
        <w:tc>
          <w:tcPr>
            <w:tcW w:w="1277" w:type="dxa"/>
            <w:tcBorders>
              <w:top w:val="single" w:sz="4" w:space="0" w:color="auto"/>
              <w:left w:val="single" w:sz="6" w:space="0" w:color="auto"/>
              <w:bottom w:val="single" w:sz="4" w:space="0" w:color="auto"/>
              <w:right w:val="single" w:sz="6" w:space="0" w:color="auto"/>
            </w:tcBorders>
          </w:tcPr>
          <w:p w:rsidR="006C61B6" w:rsidRPr="00A106B8" w:rsidRDefault="006C61B6" w:rsidP="00D16BCE">
            <w:pPr>
              <w:pStyle w:val="Tabletext"/>
              <w:jc w:val="center"/>
              <w:rPr>
                <w:sz w:val="20"/>
              </w:rPr>
            </w:pPr>
            <w:r w:rsidRPr="00A106B8">
              <w:rPr>
                <w:sz w:val="20"/>
              </w:rPr>
              <w:t>2 620-2 690</w:t>
            </w:r>
          </w:p>
        </w:tc>
        <w:tc>
          <w:tcPr>
            <w:tcW w:w="1319" w:type="dxa"/>
            <w:tcBorders>
              <w:top w:val="single" w:sz="4" w:space="0" w:color="auto"/>
              <w:left w:val="single" w:sz="6" w:space="0" w:color="auto"/>
              <w:bottom w:val="single" w:sz="4" w:space="0" w:color="auto"/>
              <w:right w:val="single" w:sz="6" w:space="0" w:color="auto"/>
            </w:tcBorders>
          </w:tcPr>
          <w:p w:rsidR="006C61B6" w:rsidRPr="00A106B8" w:rsidRDefault="006C61B6" w:rsidP="00D16BCE">
            <w:pPr>
              <w:pStyle w:val="Tabletext"/>
              <w:jc w:val="center"/>
              <w:rPr>
                <w:sz w:val="20"/>
              </w:rPr>
            </w:pPr>
            <w:r w:rsidRPr="00A106B8">
              <w:rPr>
                <w:sz w:val="20"/>
              </w:rPr>
              <w:t>120</w:t>
            </w:r>
          </w:p>
        </w:tc>
        <w:tc>
          <w:tcPr>
            <w:tcW w:w="1234" w:type="dxa"/>
            <w:tcBorders>
              <w:top w:val="single" w:sz="4" w:space="0" w:color="auto"/>
              <w:left w:val="single" w:sz="6" w:space="0" w:color="auto"/>
              <w:bottom w:val="single" w:sz="4" w:space="0" w:color="auto"/>
              <w:right w:val="single" w:sz="6" w:space="0" w:color="auto"/>
            </w:tcBorders>
          </w:tcPr>
          <w:p w:rsidR="006C61B6" w:rsidRPr="00A106B8" w:rsidRDefault="006C61B6" w:rsidP="00D16BCE">
            <w:pPr>
              <w:pStyle w:val="Tabletext"/>
              <w:jc w:val="center"/>
              <w:rPr>
                <w:sz w:val="20"/>
              </w:rPr>
            </w:pPr>
            <w:r w:rsidRPr="00A106B8">
              <w:rPr>
                <w:sz w:val="20"/>
              </w:rPr>
              <w:t>DRT</w:t>
            </w:r>
          </w:p>
        </w:tc>
        <w:tc>
          <w:tcPr>
            <w:tcW w:w="1707" w:type="dxa"/>
            <w:tcBorders>
              <w:top w:val="single" w:sz="4" w:space="0" w:color="auto"/>
              <w:left w:val="single" w:sz="6" w:space="0" w:color="auto"/>
              <w:bottom w:val="single" w:sz="4" w:space="0" w:color="auto"/>
              <w:right w:val="single" w:sz="4" w:space="0" w:color="auto"/>
            </w:tcBorders>
          </w:tcPr>
          <w:p w:rsidR="006C61B6" w:rsidRPr="00A106B8" w:rsidRDefault="006C61B6" w:rsidP="00D16BCE">
            <w:pPr>
              <w:pStyle w:val="Tabletext"/>
              <w:jc w:val="center"/>
              <w:rPr>
                <w:sz w:val="20"/>
              </w:rPr>
            </w:pPr>
            <w:r w:rsidRPr="00A106B8">
              <w:rPr>
                <w:sz w:val="20"/>
              </w:rPr>
              <w:t>2 570-2 620 DRT</w:t>
            </w:r>
          </w:p>
        </w:tc>
      </w:tr>
      <w:tr w:rsidR="006C61B6" w:rsidRPr="00A106B8" w:rsidTr="00D16BCE">
        <w:trPr>
          <w:jc w:val="center"/>
        </w:trPr>
        <w:tc>
          <w:tcPr>
            <w:tcW w:w="1555" w:type="dxa"/>
            <w:tcBorders>
              <w:top w:val="single" w:sz="4" w:space="0" w:color="auto"/>
              <w:left w:val="single" w:sz="4" w:space="0" w:color="auto"/>
              <w:bottom w:val="single" w:sz="6" w:space="0" w:color="auto"/>
              <w:right w:val="single" w:sz="6" w:space="0" w:color="auto"/>
            </w:tcBorders>
          </w:tcPr>
          <w:p w:rsidR="006C61B6" w:rsidRPr="00A106B8" w:rsidRDefault="006C61B6" w:rsidP="00D16BCE">
            <w:pPr>
              <w:pStyle w:val="Tabletext"/>
              <w:jc w:val="center"/>
              <w:rPr>
                <w:sz w:val="20"/>
              </w:rPr>
            </w:pPr>
            <w:r w:rsidRPr="00A106B8">
              <w:rPr>
                <w:sz w:val="20"/>
              </w:rPr>
              <w:t>C2</w:t>
            </w:r>
          </w:p>
        </w:tc>
        <w:tc>
          <w:tcPr>
            <w:tcW w:w="1368" w:type="dxa"/>
            <w:tcBorders>
              <w:top w:val="single" w:sz="4" w:space="0" w:color="auto"/>
              <w:left w:val="single" w:sz="6" w:space="0" w:color="auto"/>
              <w:bottom w:val="single" w:sz="6" w:space="0" w:color="auto"/>
              <w:right w:val="single" w:sz="6" w:space="0" w:color="auto"/>
            </w:tcBorders>
          </w:tcPr>
          <w:p w:rsidR="006C61B6" w:rsidRPr="00A106B8" w:rsidRDefault="006C61B6" w:rsidP="00D16BCE">
            <w:pPr>
              <w:pStyle w:val="Tabletext"/>
              <w:jc w:val="center"/>
              <w:rPr>
                <w:sz w:val="20"/>
              </w:rPr>
            </w:pPr>
            <w:r w:rsidRPr="00A106B8">
              <w:rPr>
                <w:sz w:val="20"/>
              </w:rPr>
              <w:t>2 500-2 570</w:t>
            </w:r>
          </w:p>
        </w:tc>
        <w:tc>
          <w:tcPr>
            <w:tcW w:w="1184" w:type="dxa"/>
            <w:tcBorders>
              <w:top w:val="single" w:sz="4" w:space="0" w:color="auto"/>
              <w:left w:val="single" w:sz="6" w:space="0" w:color="auto"/>
              <w:bottom w:val="single" w:sz="6" w:space="0" w:color="auto"/>
              <w:right w:val="single" w:sz="6" w:space="0" w:color="auto"/>
            </w:tcBorders>
          </w:tcPr>
          <w:p w:rsidR="006C61B6" w:rsidRPr="00A106B8" w:rsidRDefault="006C61B6" w:rsidP="00D16BCE">
            <w:pPr>
              <w:pStyle w:val="Tabletext"/>
              <w:jc w:val="center"/>
              <w:rPr>
                <w:sz w:val="20"/>
              </w:rPr>
            </w:pPr>
            <w:r w:rsidRPr="00A106B8">
              <w:rPr>
                <w:sz w:val="20"/>
              </w:rPr>
              <w:t>50</w:t>
            </w:r>
          </w:p>
        </w:tc>
        <w:tc>
          <w:tcPr>
            <w:tcW w:w="1277" w:type="dxa"/>
            <w:tcBorders>
              <w:top w:val="single" w:sz="4" w:space="0" w:color="auto"/>
              <w:left w:val="single" w:sz="6" w:space="0" w:color="auto"/>
              <w:bottom w:val="single" w:sz="6" w:space="0" w:color="auto"/>
              <w:right w:val="single" w:sz="6" w:space="0" w:color="auto"/>
            </w:tcBorders>
          </w:tcPr>
          <w:p w:rsidR="006C61B6" w:rsidRPr="00A106B8" w:rsidRDefault="006C61B6" w:rsidP="00D16BCE">
            <w:pPr>
              <w:pStyle w:val="Tabletext"/>
              <w:jc w:val="center"/>
              <w:rPr>
                <w:sz w:val="20"/>
              </w:rPr>
            </w:pPr>
            <w:r w:rsidRPr="00A106B8">
              <w:rPr>
                <w:sz w:val="20"/>
              </w:rPr>
              <w:t>2 620-2 690</w:t>
            </w:r>
          </w:p>
        </w:tc>
        <w:tc>
          <w:tcPr>
            <w:tcW w:w="1319" w:type="dxa"/>
            <w:tcBorders>
              <w:top w:val="single" w:sz="4" w:space="0" w:color="auto"/>
              <w:left w:val="single" w:sz="6" w:space="0" w:color="auto"/>
              <w:bottom w:val="single" w:sz="6" w:space="0" w:color="auto"/>
              <w:right w:val="single" w:sz="6" w:space="0" w:color="auto"/>
            </w:tcBorders>
          </w:tcPr>
          <w:p w:rsidR="006C61B6" w:rsidRPr="00A106B8" w:rsidRDefault="006C61B6" w:rsidP="00D16BCE">
            <w:pPr>
              <w:pStyle w:val="Tabletext"/>
              <w:jc w:val="center"/>
              <w:rPr>
                <w:sz w:val="20"/>
              </w:rPr>
            </w:pPr>
            <w:r w:rsidRPr="00A106B8">
              <w:rPr>
                <w:sz w:val="20"/>
              </w:rPr>
              <w:t>120</w:t>
            </w:r>
          </w:p>
        </w:tc>
        <w:tc>
          <w:tcPr>
            <w:tcW w:w="1234" w:type="dxa"/>
            <w:tcBorders>
              <w:top w:val="single" w:sz="4" w:space="0" w:color="auto"/>
              <w:left w:val="single" w:sz="6" w:space="0" w:color="auto"/>
              <w:bottom w:val="single" w:sz="6" w:space="0" w:color="auto"/>
              <w:right w:val="single" w:sz="6" w:space="0" w:color="auto"/>
            </w:tcBorders>
          </w:tcPr>
          <w:p w:rsidR="006C61B6" w:rsidRPr="00A106B8" w:rsidRDefault="006C61B6" w:rsidP="00D16BCE">
            <w:pPr>
              <w:pStyle w:val="Tabletext"/>
              <w:jc w:val="center"/>
              <w:rPr>
                <w:sz w:val="20"/>
              </w:rPr>
            </w:pPr>
            <w:r w:rsidRPr="00A106B8">
              <w:rPr>
                <w:sz w:val="20"/>
              </w:rPr>
              <w:t>DRF</w:t>
            </w:r>
          </w:p>
        </w:tc>
        <w:tc>
          <w:tcPr>
            <w:tcW w:w="1707" w:type="dxa"/>
            <w:tcBorders>
              <w:top w:val="single" w:sz="4" w:space="0" w:color="auto"/>
              <w:left w:val="single" w:sz="6" w:space="0" w:color="auto"/>
              <w:bottom w:val="single" w:sz="6" w:space="0" w:color="auto"/>
              <w:right w:val="single" w:sz="4" w:space="0" w:color="auto"/>
            </w:tcBorders>
          </w:tcPr>
          <w:p w:rsidR="006C61B6" w:rsidRPr="00A106B8" w:rsidRDefault="006C61B6" w:rsidP="00D16BCE">
            <w:pPr>
              <w:pStyle w:val="Tabletext"/>
              <w:jc w:val="center"/>
              <w:rPr>
                <w:sz w:val="20"/>
              </w:rPr>
            </w:pPr>
            <w:r w:rsidRPr="00A106B8">
              <w:rPr>
                <w:sz w:val="20"/>
              </w:rPr>
              <w:t>2 570-2 620</w:t>
            </w:r>
            <w:r w:rsidRPr="00A106B8">
              <w:rPr>
                <w:sz w:val="20"/>
              </w:rPr>
              <w:br/>
              <w:t>DRF sur liaisons descendantes (externes)</w:t>
            </w:r>
          </w:p>
        </w:tc>
      </w:tr>
      <w:tr w:rsidR="006C61B6" w:rsidRPr="00A106B8" w:rsidTr="00D16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55" w:type="dxa"/>
            <w:tcBorders>
              <w:top w:val="single" w:sz="6" w:space="0" w:color="auto"/>
              <w:left w:val="single" w:sz="4" w:space="0" w:color="auto"/>
              <w:bottom w:val="single" w:sz="4" w:space="0" w:color="auto"/>
              <w:right w:val="single" w:sz="6" w:space="0" w:color="auto"/>
            </w:tcBorders>
          </w:tcPr>
          <w:p w:rsidR="006C61B6" w:rsidRPr="00A106B8" w:rsidRDefault="006C61B6" w:rsidP="00D16BCE">
            <w:pPr>
              <w:pStyle w:val="Tabletext"/>
              <w:jc w:val="center"/>
              <w:rPr>
                <w:sz w:val="20"/>
              </w:rPr>
            </w:pPr>
            <w:r w:rsidRPr="00A106B8">
              <w:rPr>
                <w:sz w:val="20"/>
              </w:rPr>
              <w:t>C3</w:t>
            </w:r>
          </w:p>
        </w:tc>
        <w:tc>
          <w:tcPr>
            <w:tcW w:w="8089" w:type="dxa"/>
            <w:gridSpan w:val="6"/>
            <w:tcBorders>
              <w:top w:val="single" w:sz="6" w:space="0" w:color="auto"/>
              <w:left w:val="single" w:sz="6" w:space="0" w:color="auto"/>
              <w:bottom w:val="single" w:sz="4" w:space="0" w:color="auto"/>
              <w:right w:val="single" w:sz="4" w:space="0" w:color="auto"/>
            </w:tcBorders>
          </w:tcPr>
          <w:p w:rsidR="006C61B6" w:rsidRPr="00A106B8" w:rsidRDefault="006C61B6" w:rsidP="00D16BCE">
            <w:pPr>
              <w:pStyle w:val="Tabletext"/>
              <w:jc w:val="center"/>
              <w:rPr>
                <w:sz w:val="20"/>
                <w:highlight w:val="cyan"/>
              </w:rPr>
            </w:pPr>
            <w:r w:rsidRPr="00A106B8">
              <w:rPr>
                <w:sz w:val="20"/>
              </w:rPr>
              <w:t>Choix souple DRF/DRT</w:t>
            </w:r>
          </w:p>
        </w:tc>
      </w:tr>
    </w:tbl>
    <w:p w:rsidR="006C61B6" w:rsidRPr="00A106B8" w:rsidRDefault="006C61B6" w:rsidP="00A106B8">
      <w:pPr>
        <w:pStyle w:val="Note"/>
        <w:rPr>
          <w:i/>
          <w:iCs/>
        </w:rPr>
      </w:pPr>
      <w:r w:rsidRPr="00A106B8">
        <w:rPr>
          <w:i/>
          <w:iCs/>
        </w:rPr>
        <w:t>Notes concernant le Tableau 6:</w:t>
      </w:r>
    </w:p>
    <w:p w:rsidR="006C61B6" w:rsidRPr="009C2BFB" w:rsidRDefault="006C61B6" w:rsidP="006C61B6">
      <w:pPr>
        <w:pStyle w:val="Note"/>
        <w:rPr>
          <w:szCs w:val="24"/>
        </w:rPr>
      </w:pPr>
      <w:r w:rsidRPr="009C2BFB">
        <w:rPr>
          <w:szCs w:val="24"/>
        </w:rPr>
        <w:t>NOTE 1 – Dans la disposition C1, afin de faciliter le déploiement de l'équipement DRF, toute bande de garde nécessaire pour assurer la compatibilité avec la bande adjacente aux limites de 2 570 MHz et 2 620 MHz sera décidée au niveau national, choisie dans la bande 2 570-2 620 MHz et réduite au minimum nécessaire, sur la base du nouveau Rapport UIT-R M.2045.</w:t>
      </w:r>
    </w:p>
    <w:p w:rsidR="006C61B6" w:rsidRPr="009C2BFB" w:rsidRDefault="006C61B6" w:rsidP="006C61B6">
      <w:pPr>
        <w:pStyle w:val="Note"/>
        <w:rPr>
          <w:szCs w:val="24"/>
          <w:lang w:val="fr-CH"/>
        </w:rPr>
      </w:pPr>
      <w:r w:rsidRPr="009C2BFB">
        <w:rPr>
          <w:szCs w:val="24"/>
          <w:lang w:val="fr-CH"/>
        </w:rPr>
        <w:t>NOTE 2 – Dans la disposition C3, les administrations peuvent utiliser la bande uniquement pour le mode DRT ou pour une combinaison des modes DRT et DRF. Elles peuvent utiliser n'importe quel espacement duplex DRF ou sens duplex DRF. Toutefois, lorsqu'elles choisissent de déployer des canaux mixtes DRF/DRT avec un espacement duplex fixe pour le mode DRF, l'espacement duplex et le sens duplex indiqués dans l'arrangement C1 sont préférables.</w:t>
      </w:r>
    </w:p>
    <w:p w:rsidR="006C61B6" w:rsidRPr="00BB1A07" w:rsidRDefault="006C61B6" w:rsidP="006C61B6">
      <w:pPr>
        <w:pStyle w:val="FigureNo"/>
      </w:pPr>
      <w:r w:rsidRPr="00BB1A07">
        <w:t xml:space="preserve">Figure 6 </w:t>
      </w:r>
      <w:r w:rsidRPr="00BB1A07">
        <w:br/>
        <w:t>(</w:t>
      </w:r>
      <w:r w:rsidRPr="00BB1A07">
        <w:rPr>
          <w:caps w:val="0"/>
        </w:rPr>
        <w:t>voir les notes concernant le Tableau 6</w:t>
      </w:r>
      <w:r w:rsidRPr="00BB1A07">
        <w:t>)</w:t>
      </w:r>
    </w:p>
    <w:p w:rsidR="006C61B6" w:rsidRDefault="006C61B6" w:rsidP="006C61B6">
      <w:pPr>
        <w:pStyle w:val="Figure"/>
        <w:rPr>
          <w:noProof/>
          <w:lang w:eastAsia="zh-CN"/>
        </w:rPr>
      </w:pPr>
      <w:r w:rsidRPr="00BB1A07">
        <w:rPr>
          <w:noProof/>
          <w:lang w:eastAsia="zh-CN"/>
        </w:rPr>
        <w:object w:dxaOrig="6592" w:dyaOrig="2800">
          <v:shape id="_x0000_i1034" type="#_x0000_t75" style="width:417.4pt;height:180.2pt" o:ole="">
            <v:imagedata r:id="rId39" o:title=""/>
          </v:shape>
          <o:OLEObject Type="Embed" ProgID="CorelDRAW.Graphic.14" ShapeID="_x0000_i1034" DrawAspect="Content" ObjectID="_1508231747" r:id="rId40"/>
        </w:object>
      </w:r>
    </w:p>
    <w:p w:rsidR="006C61B6" w:rsidRPr="006D44CE" w:rsidRDefault="006C61B6" w:rsidP="008446E0">
      <w:pPr>
        <w:pStyle w:val="SectionNo"/>
        <w:jc w:val="center"/>
        <w:rPr>
          <w:sz w:val="28"/>
          <w:szCs w:val="28"/>
        </w:rPr>
      </w:pPr>
      <w:r w:rsidRPr="006D44CE">
        <w:rPr>
          <w:sz w:val="28"/>
          <w:szCs w:val="28"/>
        </w:rPr>
        <w:lastRenderedPageBreak/>
        <w:t>S</w:t>
      </w:r>
      <w:r w:rsidR="008446E0" w:rsidRPr="006D44CE">
        <w:rPr>
          <w:sz w:val="28"/>
          <w:szCs w:val="28"/>
        </w:rPr>
        <w:t>ECTION</w:t>
      </w:r>
      <w:r w:rsidRPr="006D44CE">
        <w:rPr>
          <w:sz w:val="28"/>
          <w:szCs w:val="28"/>
        </w:rPr>
        <w:t xml:space="preserve"> 6</w:t>
      </w:r>
    </w:p>
    <w:p w:rsidR="006C61B6" w:rsidRPr="00BB1A07" w:rsidRDefault="006C61B6" w:rsidP="006C61B6">
      <w:pPr>
        <w:pStyle w:val="Sectiontitle"/>
      </w:pPr>
      <w:r w:rsidRPr="00BB1A07">
        <w:t>Dispositions de fréquences dans la bande 3 400</w:t>
      </w:r>
      <w:r w:rsidRPr="00BB1A07">
        <w:noBreakHyphen/>
        <w:t>3 600 MHz</w:t>
      </w:r>
    </w:p>
    <w:p w:rsidR="006C61B6" w:rsidRPr="00BB1A07" w:rsidRDefault="006C61B6" w:rsidP="00A106B8">
      <w:pPr>
        <w:pStyle w:val="Normalaftertitle"/>
      </w:pPr>
      <w:r w:rsidRPr="00BB1A07">
        <w:t>Les dispositions de fréquences recommandées pour la mise en oeuvre des IMT dans la bande 3 400</w:t>
      </w:r>
      <w:r w:rsidR="00A106B8">
        <w:noBreakHyphen/>
      </w:r>
      <w:r w:rsidRPr="00BB1A07">
        <w:t>3 600 MHz sont récapitulées au Tableau 7 et à la Fig. 7, en tenant compte des lignes directrices figurant à l'Annexe 1 ci-dessus.</w:t>
      </w:r>
    </w:p>
    <w:p w:rsidR="006C61B6" w:rsidRPr="00BB1A07" w:rsidRDefault="006C61B6" w:rsidP="006C61B6">
      <w:pPr>
        <w:pStyle w:val="TableNo"/>
      </w:pPr>
      <w:r w:rsidRPr="00BB1A07">
        <w:t>TABLEAU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678"/>
        <w:gridCol w:w="1276"/>
        <w:gridCol w:w="1559"/>
        <w:gridCol w:w="1428"/>
        <w:gridCol w:w="1829"/>
        <w:gridCol w:w="8"/>
      </w:tblGrid>
      <w:tr w:rsidR="006C61B6" w:rsidRPr="00BB1A07" w:rsidTr="00D16BCE">
        <w:trPr>
          <w:jc w:val="center"/>
        </w:trPr>
        <w:tc>
          <w:tcPr>
            <w:tcW w:w="1861" w:type="dxa"/>
            <w:vMerge w:val="restart"/>
            <w:vAlign w:val="center"/>
          </w:tcPr>
          <w:p w:rsidR="006C61B6" w:rsidRPr="00BB1A07" w:rsidRDefault="006C61B6" w:rsidP="00D16BCE">
            <w:pPr>
              <w:pStyle w:val="Tablehead"/>
            </w:pPr>
            <w:r w:rsidRPr="00BB1A07">
              <w:t>Dispositions de</w:t>
            </w:r>
            <w:r w:rsidRPr="00BB1A07">
              <w:br/>
              <w:t>fréquences</w:t>
            </w:r>
          </w:p>
        </w:tc>
        <w:tc>
          <w:tcPr>
            <w:tcW w:w="5941" w:type="dxa"/>
            <w:gridSpan w:val="4"/>
            <w:vAlign w:val="center"/>
          </w:tcPr>
          <w:p w:rsidR="006C61B6" w:rsidRPr="00BB1A07" w:rsidRDefault="006C61B6" w:rsidP="00D16BCE">
            <w:pPr>
              <w:pStyle w:val="Tablehead"/>
            </w:pPr>
            <w:r w:rsidRPr="00BB1A07">
              <w:t>Dispositions appariées</w:t>
            </w:r>
          </w:p>
        </w:tc>
        <w:tc>
          <w:tcPr>
            <w:tcW w:w="1837" w:type="dxa"/>
            <w:gridSpan w:val="2"/>
            <w:vMerge w:val="restart"/>
            <w:vAlign w:val="center"/>
          </w:tcPr>
          <w:p w:rsidR="006C61B6" w:rsidRPr="00BB1A07" w:rsidRDefault="006C61B6" w:rsidP="00D16BCE">
            <w:pPr>
              <w:pStyle w:val="Tablehead"/>
            </w:pPr>
            <w:r w:rsidRPr="00BB1A07">
              <w:t xml:space="preserve">Spectre non apparié </w:t>
            </w:r>
            <w:r w:rsidRPr="00BB1A07">
              <w:br/>
              <w:t>(exemple pour le DRT)</w:t>
            </w:r>
            <w:r w:rsidRPr="00BB1A07">
              <w:br/>
              <w:t>(MHz)</w:t>
            </w:r>
          </w:p>
        </w:tc>
      </w:tr>
      <w:tr w:rsidR="006C61B6" w:rsidRPr="00BB1A07" w:rsidTr="00D16BCE">
        <w:trPr>
          <w:jc w:val="center"/>
        </w:trPr>
        <w:tc>
          <w:tcPr>
            <w:tcW w:w="1861" w:type="dxa"/>
            <w:vMerge/>
            <w:vAlign w:val="center"/>
          </w:tcPr>
          <w:p w:rsidR="006C61B6" w:rsidRPr="00BB1A07" w:rsidRDefault="006C61B6" w:rsidP="00D16BCE">
            <w:pPr>
              <w:pStyle w:val="Tablehead"/>
              <w:rPr>
                <w:rFonts w:ascii="Times New Roman Bold" w:hAnsi="Times New Roman Bold"/>
              </w:rPr>
            </w:pPr>
          </w:p>
        </w:tc>
        <w:tc>
          <w:tcPr>
            <w:tcW w:w="1678" w:type="dxa"/>
            <w:vAlign w:val="center"/>
          </w:tcPr>
          <w:p w:rsidR="006C61B6" w:rsidRPr="00BB1A07" w:rsidRDefault="006C61B6" w:rsidP="00D16BCE">
            <w:pPr>
              <w:pStyle w:val="Tablehead"/>
            </w:pPr>
            <w:r w:rsidRPr="00BB1A07">
              <w:t>Emetteur de la station mobile</w:t>
            </w:r>
            <w:r w:rsidRPr="00BB1A07">
              <w:br/>
              <w:t>(MHz)</w:t>
            </w:r>
          </w:p>
        </w:tc>
        <w:tc>
          <w:tcPr>
            <w:tcW w:w="1276" w:type="dxa"/>
            <w:vAlign w:val="center"/>
          </w:tcPr>
          <w:p w:rsidR="006C61B6" w:rsidRPr="00BB1A07" w:rsidRDefault="006C61B6" w:rsidP="00D16BCE">
            <w:pPr>
              <w:pStyle w:val="Tablehead"/>
            </w:pPr>
            <w:r w:rsidRPr="00BB1A07">
              <w:t>Intervalle</w:t>
            </w:r>
            <w:r w:rsidRPr="00BB1A07">
              <w:br/>
              <w:t>central</w:t>
            </w:r>
            <w:r w:rsidRPr="00BB1A07">
              <w:br/>
              <w:t>(MHz)</w:t>
            </w:r>
          </w:p>
        </w:tc>
        <w:tc>
          <w:tcPr>
            <w:tcW w:w="1559" w:type="dxa"/>
            <w:vAlign w:val="center"/>
          </w:tcPr>
          <w:p w:rsidR="006C61B6" w:rsidRPr="00BB1A07" w:rsidRDefault="006C61B6" w:rsidP="00D16BCE">
            <w:pPr>
              <w:pStyle w:val="Tablehead"/>
            </w:pPr>
            <w:r w:rsidRPr="00BB1A07">
              <w:t>Emetteur de la station de base</w:t>
            </w:r>
            <w:r w:rsidRPr="00BB1A07">
              <w:br/>
              <w:t>(MHz)</w:t>
            </w:r>
          </w:p>
        </w:tc>
        <w:tc>
          <w:tcPr>
            <w:tcW w:w="1428" w:type="dxa"/>
            <w:vAlign w:val="center"/>
          </w:tcPr>
          <w:p w:rsidR="006C61B6" w:rsidRPr="00BB1A07" w:rsidRDefault="006C61B6" w:rsidP="00D16BCE">
            <w:pPr>
              <w:pStyle w:val="Tablehead"/>
            </w:pPr>
            <w:r w:rsidRPr="00BB1A07">
              <w:t xml:space="preserve">Espacement duplex </w:t>
            </w:r>
            <w:r w:rsidRPr="00BB1A07">
              <w:br/>
              <w:t>(MHz)</w:t>
            </w:r>
          </w:p>
        </w:tc>
        <w:tc>
          <w:tcPr>
            <w:tcW w:w="1837" w:type="dxa"/>
            <w:gridSpan w:val="2"/>
            <w:vMerge/>
            <w:vAlign w:val="center"/>
          </w:tcPr>
          <w:p w:rsidR="006C61B6" w:rsidRPr="00BB1A07" w:rsidRDefault="006C61B6" w:rsidP="00D16BCE">
            <w:pPr>
              <w:pStyle w:val="Tablehead"/>
              <w:rPr>
                <w:rFonts w:ascii="Times New Roman Bold" w:hAnsi="Times New Roman Bold"/>
              </w:rPr>
            </w:pPr>
          </w:p>
        </w:tc>
      </w:tr>
      <w:tr w:rsidR="006C61B6" w:rsidRPr="00BB1A07" w:rsidTr="00D16BCE">
        <w:trPr>
          <w:gridAfter w:val="1"/>
          <w:wAfter w:w="8" w:type="dxa"/>
          <w:jc w:val="center"/>
        </w:trPr>
        <w:tc>
          <w:tcPr>
            <w:tcW w:w="1861" w:type="dxa"/>
          </w:tcPr>
          <w:p w:rsidR="006C61B6" w:rsidRPr="00BB1A07" w:rsidRDefault="006C61B6" w:rsidP="00D16BCE">
            <w:pPr>
              <w:pStyle w:val="Tabletext"/>
              <w:jc w:val="center"/>
            </w:pPr>
            <w:r w:rsidRPr="00BB1A07">
              <w:t>F1</w:t>
            </w:r>
          </w:p>
        </w:tc>
        <w:tc>
          <w:tcPr>
            <w:tcW w:w="1678" w:type="dxa"/>
          </w:tcPr>
          <w:p w:rsidR="006C61B6" w:rsidRPr="00BB1A07" w:rsidRDefault="006C61B6" w:rsidP="00D16BCE">
            <w:pPr>
              <w:pStyle w:val="Tabletext"/>
              <w:jc w:val="center"/>
            </w:pPr>
          </w:p>
        </w:tc>
        <w:tc>
          <w:tcPr>
            <w:tcW w:w="1276" w:type="dxa"/>
          </w:tcPr>
          <w:p w:rsidR="006C61B6" w:rsidRPr="00BB1A07" w:rsidRDefault="006C61B6" w:rsidP="00D16BCE">
            <w:pPr>
              <w:pStyle w:val="Tabletext"/>
              <w:jc w:val="center"/>
            </w:pPr>
          </w:p>
        </w:tc>
        <w:tc>
          <w:tcPr>
            <w:tcW w:w="1559" w:type="dxa"/>
          </w:tcPr>
          <w:p w:rsidR="006C61B6" w:rsidRPr="00BB1A07" w:rsidRDefault="006C61B6" w:rsidP="00D16BCE">
            <w:pPr>
              <w:pStyle w:val="Tabletext"/>
              <w:jc w:val="center"/>
            </w:pPr>
          </w:p>
        </w:tc>
        <w:tc>
          <w:tcPr>
            <w:tcW w:w="1428" w:type="dxa"/>
          </w:tcPr>
          <w:p w:rsidR="006C61B6" w:rsidRPr="00BB1A07" w:rsidRDefault="006C61B6" w:rsidP="00D16BCE">
            <w:pPr>
              <w:pStyle w:val="Tabletext"/>
              <w:jc w:val="center"/>
            </w:pPr>
          </w:p>
        </w:tc>
        <w:tc>
          <w:tcPr>
            <w:tcW w:w="1829" w:type="dxa"/>
          </w:tcPr>
          <w:p w:rsidR="006C61B6" w:rsidRPr="00BB1A07" w:rsidRDefault="006C61B6" w:rsidP="00D16BCE">
            <w:pPr>
              <w:pStyle w:val="Tabletext"/>
              <w:jc w:val="center"/>
            </w:pPr>
            <w:r w:rsidRPr="00BB1A07">
              <w:t>3 400-3 600</w:t>
            </w:r>
          </w:p>
        </w:tc>
      </w:tr>
      <w:tr w:rsidR="006C61B6" w:rsidRPr="00BB1A07" w:rsidTr="00D16BCE">
        <w:trPr>
          <w:gridAfter w:val="1"/>
          <w:wAfter w:w="8" w:type="dxa"/>
          <w:jc w:val="center"/>
        </w:trPr>
        <w:tc>
          <w:tcPr>
            <w:tcW w:w="1861" w:type="dxa"/>
          </w:tcPr>
          <w:p w:rsidR="006C61B6" w:rsidRPr="00BB1A07" w:rsidRDefault="006C61B6" w:rsidP="00D16BCE">
            <w:pPr>
              <w:pStyle w:val="Tabletext"/>
              <w:jc w:val="center"/>
            </w:pPr>
            <w:r w:rsidRPr="00BB1A07">
              <w:t>F2</w:t>
            </w:r>
          </w:p>
        </w:tc>
        <w:tc>
          <w:tcPr>
            <w:tcW w:w="1678" w:type="dxa"/>
          </w:tcPr>
          <w:p w:rsidR="006C61B6" w:rsidRPr="00BB1A07" w:rsidRDefault="006C61B6" w:rsidP="00D16BCE">
            <w:pPr>
              <w:pStyle w:val="Tabletext"/>
              <w:jc w:val="center"/>
            </w:pPr>
            <w:r w:rsidRPr="00BB1A07">
              <w:t>3 410-3 490</w:t>
            </w:r>
          </w:p>
        </w:tc>
        <w:tc>
          <w:tcPr>
            <w:tcW w:w="1276" w:type="dxa"/>
          </w:tcPr>
          <w:p w:rsidR="006C61B6" w:rsidRPr="00BB1A07" w:rsidRDefault="006C61B6" w:rsidP="00D16BCE">
            <w:pPr>
              <w:pStyle w:val="Tabletext"/>
              <w:jc w:val="center"/>
            </w:pPr>
            <w:r w:rsidRPr="00BB1A07">
              <w:t>20</w:t>
            </w:r>
          </w:p>
        </w:tc>
        <w:tc>
          <w:tcPr>
            <w:tcW w:w="1559" w:type="dxa"/>
          </w:tcPr>
          <w:p w:rsidR="006C61B6" w:rsidRPr="00BB1A07" w:rsidRDefault="006C61B6" w:rsidP="00D16BCE">
            <w:pPr>
              <w:pStyle w:val="Tabletext"/>
              <w:jc w:val="center"/>
            </w:pPr>
            <w:r w:rsidRPr="00BB1A07">
              <w:t>3 510-3 590</w:t>
            </w:r>
          </w:p>
        </w:tc>
        <w:tc>
          <w:tcPr>
            <w:tcW w:w="1428" w:type="dxa"/>
          </w:tcPr>
          <w:p w:rsidR="006C61B6" w:rsidRPr="00BB1A07" w:rsidRDefault="006C61B6" w:rsidP="00D16BCE">
            <w:pPr>
              <w:pStyle w:val="Tabletext"/>
              <w:jc w:val="center"/>
            </w:pPr>
            <w:r w:rsidRPr="00BB1A07">
              <w:t>100</w:t>
            </w:r>
          </w:p>
        </w:tc>
        <w:tc>
          <w:tcPr>
            <w:tcW w:w="1829" w:type="dxa"/>
          </w:tcPr>
          <w:p w:rsidR="006C61B6" w:rsidRPr="00BB1A07" w:rsidRDefault="006C61B6" w:rsidP="00D16BCE">
            <w:pPr>
              <w:pStyle w:val="Tabletext"/>
              <w:jc w:val="center"/>
            </w:pPr>
            <w:r w:rsidRPr="00BB1A07">
              <w:t>Aucun</w:t>
            </w:r>
          </w:p>
        </w:tc>
      </w:tr>
    </w:tbl>
    <w:p w:rsidR="006C61B6" w:rsidRPr="00BB1A07" w:rsidRDefault="006C61B6" w:rsidP="006C61B6">
      <w:pPr>
        <w:pStyle w:val="FigureNo"/>
      </w:pPr>
      <w:r w:rsidRPr="00BB1A07">
        <w:t>FIGURE 7</w:t>
      </w:r>
    </w:p>
    <w:p w:rsidR="006C61B6" w:rsidRPr="00BB1A07" w:rsidRDefault="006C61B6" w:rsidP="006C61B6">
      <w:pPr>
        <w:pStyle w:val="Figure"/>
      </w:pPr>
      <w:r w:rsidRPr="00BB1A07">
        <w:rPr>
          <w:noProof/>
          <w:lang w:eastAsia="zh-CN"/>
        </w:rPr>
        <w:object w:dxaOrig="5558" w:dyaOrig="2341">
          <v:shape id="_x0000_i1035" type="#_x0000_t75" style="width:396.2pt;height:165.65pt" o:ole="">
            <v:imagedata r:id="rId41" o:title=""/>
          </v:shape>
          <o:OLEObject Type="Embed" ProgID="CorelDRAW.Graphic.14" ShapeID="_x0000_i1035" DrawAspect="Content" ObjectID="_1508231748" r:id="rId42"/>
        </w:object>
      </w:r>
    </w:p>
    <w:p w:rsidR="006C61B6" w:rsidRPr="00BB1A07" w:rsidRDefault="006C61B6" w:rsidP="006C61B6">
      <w:pPr>
        <w:rPr>
          <w:rFonts w:eastAsia="MS Mincho"/>
        </w:rPr>
      </w:pPr>
    </w:p>
    <w:p w:rsidR="006C61B6" w:rsidRPr="00BB1A07" w:rsidRDefault="006C61B6" w:rsidP="006C61B6">
      <w:pPr>
        <w:overflowPunct/>
        <w:autoSpaceDE/>
        <w:autoSpaceDN/>
        <w:adjustRightInd/>
        <w:spacing w:before="0"/>
        <w:textAlignment w:val="auto"/>
        <w:rPr>
          <w:rFonts w:eastAsia="MS Mincho"/>
        </w:rPr>
      </w:pPr>
      <w:r w:rsidRPr="00BB1A07">
        <w:rPr>
          <w:rFonts w:eastAsia="MS Mincho"/>
        </w:rPr>
        <w:br w:type="page"/>
      </w:r>
    </w:p>
    <w:p w:rsidR="006C61B6" w:rsidRPr="00BB1A07" w:rsidRDefault="006C61B6" w:rsidP="00A106B8">
      <w:pPr>
        <w:pStyle w:val="AnnexNoTitle"/>
      </w:pPr>
      <w:r w:rsidRPr="00BB1A07">
        <w:rPr>
          <w:rFonts w:eastAsia="MS Mincho"/>
        </w:rPr>
        <w:lastRenderedPageBreak/>
        <w:t xml:space="preserve">Pièce jointe </w:t>
      </w:r>
      <w:r>
        <w:rPr>
          <w:rFonts w:eastAsia="MS Mincho"/>
        </w:rPr>
        <w:t>1</w:t>
      </w:r>
      <w:r w:rsidR="00A106B8">
        <w:rPr>
          <w:rFonts w:eastAsia="MS Mincho"/>
        </w:rPr>
        <w:br/>
      </w:r>
      <w:r w:rsidR="00A106B8">
        <w:rPr>
          <w:rFonts w:eastAsia="MS Mincho"/>
        </w:rPr>
        <w:br/>
      </w:r>
      <w:r w:rsidRPr="00BB1A07">
        <w:t>Vocabulaire et terminologie</w:t>
      </w:r>
    </w:p>
    <w:p w:rsidR="006C61B6" w:rsidRPr="00BB1A07" w:rsidRDefault="006C61B6" w:rsidP="008446E0">
      <w:pPr>
        <w:pStyle w:val="Normalaftertitle"/>
      </w:pPr>
      <w:r w:rsidRPr="00BB1A07">
        <w:rPr>
          <w:i/>
          <w:iCs/>
        </w:rPr>
        <w:t>Intervalle central</w:t>
      </w:r>
      <w:r w:rsidRPr="00BB1A07">
        <w:t xml:space="preserve"> – Espacement de fréquences entre le bord supérieur de la bande inférieure et le bord inférieur de la bande supérieure dans une disposition de fréquences DRF appariées.</w:t>
      </w:r>
    </w:p>
    <w:p w:rsidR="006C61B6" w:rsidRPr="00BB1A07" w:rsidRDefault="006C61B6" w:rsidP="006C61B6">
      <w:r w:rsidRPr="00BB1A07">
        <w:rPr>
          <w:i/>
        </w:rPr>
        <w:t>Espacement en fréquence de bandes duplex</w:t>
      </w:r>
      <w:r w:rsidRPr="00BB1A07">
        <w:t xml:space="preserve"> – Espacement de fréquences entre un point de référence dans la bande inférieure et le point correspondant dans la bande supérieure d'un arrangement DRF.</w:t>
      </w:r>
    </w:p>
    <w:p w:rsidR="006C61B6" w:rsidRPr="00BB1A07" w:rsidRDefault="006C61B6" w:rsidP="006C61B6">
      <w:r w:rsidRPr="00BB1A07">
        <w:rPr>
          <w:i/>
          <w:iCs/>
        </w:rPr>
        <w:t>Espacement en fréquence des canaux duplex</w:t>
      </w:r>
      <w:r w:rsidRPr="00BB1A07">
        <w:t xml:space="preserve"> – Espacement en fréquence entre une porteuse d'un canal spécifique située dans la bande inférieure et sa porteuse de canal appariée dans la bande supérieure d'une disposition DRF.</w:t>
      </w:r>
    </w:p>
    <w:p w:rsidR="006C61B6" w:rsidRPr="00BB1A07" w:rsidRDefault="006C61B6" w:rsidP="006C61B6">
      <w:r w:rsidRPr="00BB1A07">
        <w:rPr>
          <w:i/>
          <w:iCs/>
        </w:rPr>
        <w:t>Disposition duplex classique</w:t>
      </w:r>
      <w:r w:rsidRPr="00BB1A07">
        <w:rPr>
          <w:i/>
        </w:rPr>
        <w:t> </w:t>
      </w:r>
      <w:r w:rsidRPr="00BB1A07">
        <w:t>– Disposition duplex selon laquelle le terminal mobile émet dans la bande inférieure et la station de base émet dans la bande supérieure.</w:t>
      </w:r>
    </w:p>
    <w:p w:rsidR="006C61B6" w:rsidRPr="00BB1A07" w:rsidRDefault="006C61B6" w:rsidP="006C61B6">
      <w:r w:rsidRPr="00BB1A07">
        <w:rPr>
          <w:i/>
          <w:iCs/>
        </w:rPr>
        <w:t>Disposition duplex inversée</w:t>
      </w:r>
      <w:r w:rsidRPr="00BB1A07">
        <w:t xml:space="preserve"> – Disposition duplex selon laquelle le terminal mobile émet dans la bande supérieure et la station de base émet dans la bande inférieure.</w:t>
      </w:r>
    </w:p>
    <w:p w:rsidR="006C61B6" w:rsidRPr="00BB1A07" w:rsidRDefault="006C61B6" w:rsidP="006C61B6">
      <w:pPr>
        <w:pStyle w:val="Headingb"/>
      </w:pPr>
      <w:r w:rsidRPr="00BB1A07">
        <w:t>Sigles et abréviations</w:t>
      </w:r>
    </w:p>
    <w:p w:rsidR="006C61B6" w:rsidRPr="00BB1A07" w:rsidRDefault="006C61B6" w:rsidP="006C61B6">
      <w:r w:rsidRPr="00BB1A07">
        <w:t>DL</w:t>
      </w:r>
      <w:r w:rsidRPr="00BB1A07">
        <w:tab/>
        <w:t>liaison descendante</w:t>
      </w:r>
    </w:p>
    <w:p w:rsidR="006C61B6" w:rsidRPr="00BB1A07" w:rsidRDefault="006C61B6" w:rsidP="006C61B6">
      <w:r w:rsidRPr="00BB1A07">
        <w:t>DRF</w:t>
      </w:r>
      <w:r w:rsidRPr="00BB1A07">
        <w:tab/>
        <w:t>duplex à répartition en fréquence</w:t>
      </w:r>
    </w:p>
    <w:p w:rsidR="006C61B6" w:rsidRPr="00BB1A07" w:rsidRDefault="006C61B6" w:rsidP="006C61B6">
      <w:r w:rsidRPr="00BB1A07">
        <w:t>IMT</w:t>
      </w:r>
      <w:r w:rsidRPr="00BB1A07">
        <w:tab/>
        <w:t>Télécommunications mobiles internationales</w:t>
      </w:r>
    </w:p>
    <w:p w:rsidR="006C61B6" w:rsidRPr="00BB1A07" w:rsidRDefault="006C61B6" w:rsidP="006C61B6">
      <w:r w:rsidRPr="00BB1A07">
        <w:t>DRT</w:t>
      </w:r>
      <w:r w:rsidRPr="00BB1A07">
        <w:tab/>
        <w:t>duplex à répartition dans le temps</w:t>
      </w:r>
    </w:p>
    <w:p w:rsidR="006C61B6" w:rsidRPr="00BB1A07" w:rsidRDefault="006C61B6" w:rsidP="006D44CE"/>
    <w:p w:rsidR="006C61B6" w:rsidRPr="00BB1A07" w:rsidRDefault="006C61B6" w:rsidP="006D44CE"/>
    <w:p w:rsidR="006C61B6" w:rsidRPr="00BB1A07" w:rsidRDefault="006C61B6" w:rsidP="006D44CE">
      <w:pPr>
        <w:pStyle w:val="AnnexNoTitle"/>
      </w:pPr>
      <w:r w:rsidRPr="006C61B6">
        <w:rPr>
          <w:rFonts w:eastAsia="MS Mincho"/>
        </w:rPr>
        <w:t>P</w:t>
      </w:r>
      <w:r w:rsidRPr="00BB1A07">
        <w:rPr>
          <w:rFonts w:eastAsia="MS Mincho"/>
        </w:rPr>
        <w:t>ièce jointe</w:t>
      </w:r>
      <w:r w:rsidRPr="006C61B6">
        <w:rPr>
          <w:rFonts w:eastAsia="MS Mincho"/>
        </w:rPr>
        <w:t xml:space="preserve"> 2</w:t>
      </w:r>
      <w:r w:rsidR="006D44CE">
        <w:rPr>
          <w:rFonts w:eastAsia="MS Mincho"/>
        </w:rPr>
        <w:br/>
      </w:r>
      <w:r w:rsidR="006D44CE">
        <w:rPr>
          <w:rFonts w:eastAsia="MS Mincho"/>
        </w:rPr>
        <w:br/>
      </w:r>
      <w:r w:rsidRPr="00BB1A07">
        <w:t>Objectifs</w:t>
      </w:r>
    </w:p>
    <w:p w:rsidR="006C61B6" w:rsidRPr="00BB1A07" w:rsidRDefault="006C61B6" w:rsidP="008446E0">
      <w:pPr>
        <w:pStyle w:val="Normalaftertitle"/>
      </w:pPr>
      <w:r w:rsidRPr="00BB1A07">
        <w:t>Lorsqu'on prévoit de mettre en œuvre des systèmes IMT, il est souhaitable de respecter les objectifs suivants:</w:t>
      </w:r>
    </w:p>
    <w:p w:rsidR="006C61B6" w:rsidRPr="00BB1A07" w:rsidRDefault="006C61B6" w:rsidP="006C61B6">
      <w:pPr>
        <w:pStyle w:val="enumlev1"/>
      </w:pPr>
      <w:r w:rsidRPr="00BB1A07">
        <w:t>–</w:t>
      </w:r>
      <w:r w:rsidRPr="00BB1A07">
        <w:tab/>
        <w:t>faire en sorte que les dispositions de fréquences pour la mise en œuvre des systèmes IMT soient durables et intègrent les évolutions technologiques;</w:t>
      </w:r>
    </w:p>
    <w:p w:rsidR="006C61B6" w:rsidRPr="00BB1A07" w:rsidRDefault="006C61B6" w:rsidP="006C61B6">
      <w:pPr>
        <w:pStyle w:val="enumlev1"/>
      </w:pPr>
      <w:r w:rsidRPr="00BB1A07">
        <w:t>–</w:t>
      </w:r>
      <w:r w:rsidRPr="00BB1A07">
        <w:tab/>
        <w:t>faciliter le déploiement des systèmes IMT en tenant compte du marché et faciliter également le développement et l'essor des IMT;</w:t>
      </w:r>
    </w:p>
    <w:p w:rsidR="006C61B6" w:rsidRPr="00BB1A07" w:rsidRDefault="006C61B6" w:rsidP="006C61B6">
      <w:pPr>
        <w:pStyle w:val="enumlev1"/>
      </w:pPr>
      <w:r w:rsidRPr="00BB1A07">
        <w:t>–</w:t>
      </w:r>
      <w:r w:rsidRPr="00BB1A07">
        <w:tab/>
        <w:t>réduire au minimum les incidences sur les autres systèmes et services qui sont exploités dans les bandes de fréquences identifiées pour les IMT ou dans des bandes de fréquences adjacentes;</w:t>
      </w:r>
    </w:p>
    <w:p w:rsidR="006C61B6" w:rsidRPr="00BB1A07" w:rsidRDefault="006C61B6" w:rsidP="006C61B6">
      <w:pPr>
        <w:pStyle w:val="enumlev1"/>
      </w:pPr>
      <w:r w:rsidRPr="00BB1A07">
        <w:t>–</w:t>
      </w:r>
      <w:r w:rsidRPr="00BB1A07">
        <w:tab/>
        <w:t>faciliter l'itinérance des terminaux IMT à l'échelle mondiale;</w:t>
      </w:r>
    </w:p>
    <w:p w:rsidR="006C61B6" w:rsidRPr="00BB1A07" w:rsidRDefault="006C61B6" w:rsidP="006C61B6">
      <w:pPr>
        <w:pStyle w:val="enumlev1"/>
      </w:pPr>
      <w:r w:rsidRPr="00BB1A07">
        <w:t>–</w:t>
      </w:r>
      <w:r w:rsidRPr="00BB1A07">
        <w:tab/>
        <w:t>intégrer de façon efficace les composantes de Terre et satellite des IMT;</w:t>
      </w:r>
    </w:p>
    <w:p w:rsidR="006C61B6" w:rsidRPr="00BB1A07" w:rsidRDefault="006C61B6" w:rsidP="006C61B6">
      <w:pPr>
        <w:pStyle w:val="enumlev1"/>
      </w:pPr>
      <w:r w:rsidRPr="00BB1A07">
        <w:t>–</w:t>
      </w:r>
      <w:r w:rsidRPr="00BB1A07">
        <w:tab/>
        <w:t>optimiser l'efficacité d'utilisation du spectre dans les bandes identifiées pour les IMT;</w:t>
      </w:r>
    </w:p>
    <w:p w:rsidR="006C61B6" w:rsidRPr="00BB1A07" w:rsidRDefault="006C61B6" w:rsidP="006C61B6">
      <w:pPr>
        <w:pStyle w:val="enumlev1"/>
      </w:pPr>
      <w:r w:rsidRPr="00BB1A07">
        <w:t>–</w:t>
      </w:r>
      <w:r w:rsidRPr="00BB1A07">
        <w:tab/>
        <w:t>permettre la concurrence;</w:t>
      </w:r>
    </w:p>
    <w:p w:rsidR="006C61B6" w:rsidRPr="00BB1A07" w:rsidRDefault="006C61B6" w:rsidP="006C61B6">
      <w:pPr>
        <w:pStyle w:val="enumlev1"/>
      </w:pPr>
      <w:r w:rsidRPr="00BB1A07">
        <w:lastRenderedPageBreak/>
        <w:t>–</w:t>
      </w:r>
      <w:r w:rsidRPr="00BB1A07">
        <w:tab/>
        <w:t>faciliter le déploiement et l'utilisation des IMT, et notamment les applications fixes et d'autres applications particulières dans les pays en développement et dans les zones faiblement peuplées;</w:t>
      </w:r>
    </w:p>
    <w:p w:rsidR="006C61B6" w:rsidRPr="00BB1A07" w:rsidRDefault="006C61B6" w:rsidP="006C61B6">
      <w:pPr>
        <w:pStyle w:val="enumlev1"/>
      </w:pPr>
      <w:r w:rsidRPr="00BB1A07">
        <w:t>–</w:t>
      </w:r>
      <w:r w:rsidRPr="00BB1A07">
        <w:tab/>
        <w:t>prendre en charge divers types de trafic et de combinaisons de trafic;</w:t>
      </w:r>
    </w:p>
    <w:p w:rsidR="006C61B6" w:rsidRPr="00BB1A07" w:rsidRDefault="006C61B6" w:rsidP="006C61B6">
      <w:pPr>
        <w:pStyle w:val="enumlev1"/>
      </w:pPr>
      <w:r w:rsidRPr="00BB1A07">
        <w:t>–</w:t>
      </w:r>
      <w:r w:rsidRPr="00BB1A07">
        <w:tab/>
        <w:t>faciliter l'élaboration continue à l'échelle mondiale des normes relatives aux équipements;</w:t>
      </w:r>
    </w:p>
    <w:p w:rsidR="006C61B6" w:rsidRPr="00BB1A07" w:rsidRDefault="006C61B6" w:rsidP="006C61B6">
      <w:pPr>
        <w:pStyle w:val="enumlev1"/>
      </w:pPr>
      <w:r w:rsidRPr="00BB1A07">
        <w:t>–</w:t>
      </w:r>
      <w:r w:rsidRPr="00BB1A07">
        <w:tab/>
        <w:t>faciliter l'accès aux services à l'échelle mondiale dans le cadre des systèmes IMT-2000;</w:t>
      </w:r>
    </w:p>
    <w:p w:rsidR="006C61B6" w:rsidRPr="00BB1A07" w:rsidRDefault="006C61B6" w:rsidP="006C61B6">
      <w:pPr>
        <w:pStyle w:val="enumlev1"/>
      </w:pPr>
      <w:r w:rsidRPr="00BB1A07">
        <w:t>–</w:t>
      </w:r>
      <w:r w:rsidRPr="00BB1A07">
        <w:tab/>
        <w:t>réduire au minimum les coûts des terminaux, leur taille et leur consommation en énergie, dans la mesure du possible eu égard à d'autres exigences;</w:t>
      </w:r>
    </w:p>
    <w:p w:rsidR="006C61B6" w:rsidRPr="00BB1A07" w:rsidRDefault="006C61B6" w:rsidP="006C61B6">
      <w:pPr>
        <w:pStyle w:val="enumlev1"/>
      </w:pPr>
      <w:r w:rsidRPr="00BB1A07">
        <w:t>–</w:t>
      </w:r>
      <w:r w:rsidRPr="00BB1A07">
        <w:tab/>
        <w:t>faciliter l'évolution des systèmes antérieurs aux IMT-2000 vers l'une quelconque des interfaces radioélectriques de Terre des IMT et faciliter la poursuite de l'évolution des systèmes IMT eux-mêmes;</w:t>
      </w:r>
    </w:p>
    <w:p w:rsidR="006C61B6" w:rsidRPr="00BB1A07" w:rsidRDefault="006C61B6" w:rsidP="006C61B6">
      <w:pPr>
        <w:pStyle w:val="enumlev1"/>
        <w:rPr>
          <w:b/>
          <w:bCs/>
        </w:rPr>
      </w:pPr>
      <w:r w:rsidRPr="00BB1A07">
        <w:t>–</w:t>
      </w:r>
      <w:r w:rsidRPr="00BB1A07">
        <w:tab/>
        <w:t xml:space="preserve">donner une certaine marge de manoeuvre aux administrations car </w:t>
      </w:r>
      <w:r w:rsidRPr="00BB1A07">
        <w:rPr>
          <w:color w:val="000000"/>
        </w:rPr>
        <w:t>l'identification de plusieurs bandes pour les IMT leur permet de choisir la bande ou les parties de bande qui correspondent le mieux à leur situation particulière;</w:t>
      </w:r>
    </w:p>
    <w:p w:rsidR="006C61B6" w:rsidRPr="00BB1A07" w:rsidRDefault="006C61B6" w:rsidP="006C61B6">
      <w:pPr>
        <w:pStyle w:val="enumlev1"/>
      </w:pPr>
      <w:r w:rsidRPr="00BB1A07">
        <w:t>–</w:t>
      </w:r>
      <w:r w:rsidRPr="00BB1A07">
        <w:tab/>
        <w:t>faciliter la détermination au niveau national de la quantité de spectre dans les bandes identifiées, à mettre à la disposition des IMT;</w:t>
      </w:r>
    </w:p>
    <w:p w:rsidR="006C61B6" w:rsidRPr="00BB1A07" w:rsidRDefault="006C61B6" w:rsidP="006C61B6">
      <w:pPr>
        <w:pStyle w:val="enumlev1"/>
      </w:pPr>
      <w:r w:rsidRPr="00BB1A07">
        <w:t>–</w:t>
      </w:r>
      <w:r w:rsidRPr="00BB1A07">
        <w:tab/>
        <w:t>faciliter l'établissement du calendrier des disponibilités et des utilisations des bandes identifiées pour les systèmes IMT, en vue de répondre à la demande particulière du marché et à d'autres considérations d'ordre national;</w:t>
      </w:r>
    </w:p>
    <w:p w:rsidR="006C61B6" w:rsidRPr="00BB1A07" w:rsidRDefault="006C61B6" w:rsidP="006C61B6">
      <w:pPr>
        <w:pStyle w:val="enumlev1"/>
      </w:pPr>
      <w:r w:rsidRPr="00BB1A07">
        <w:t>–</w:t>
      </w:r>
      <w:r w:rsidRPr="00BB1A07">
        <w:tab/>
        <w:t>faciliter l'établissement de plans de transition adaptés à l'évolution des systèmes existants;</w:t>
      </w:r>
    </w:p>
    <w:p w:rsidR="006C61B6" w:rsidRPr="00BB1A07" w:rsidRDefault="006C61B6" w:rsidP="006C61B6">
      <w:pPr>
        <w:pStyle w:val="enumlev1"/>
      </w:pPr>
      <w:r w:rsidRPr="00BB1A07">
        <w:t>–</w:t>
      </w:r>
      <w:r w:rsidRPr="00BB1A07">
        <w:tab/>
        <w:t>faire en sorte que les bandes identifiées puissent être utilisées par tous les services disposant d'attributions dans ces bandes, compte tenu des plans d'utilisation nationaux.</w:t>
      </w:r>
    </w:p>
    <w:p w:rsidR="006C61B6" w:rsidRPr="00BB1A07" w:rsidRDefault="006C61B6" w:rsidP="006C61B6">
      <w:pPr>
        <w:keepNext/>
        <w:keepLines/>
      </w:pPr>
      <w:r w:rsidRPr="00BB1A07">
        <w:t>Les principes directeurs suivants ont été appliqués lors de la détermination des dispositions de fréquences:</w:t>
      </w:r>
    </w:p>
    <w:p w:rsidR="006C61B6" w:rsidRPr="00BB1A07" w:rsidRDefault="006C61B6" w:rsidP="006C61B6">
      <w:pPr>
        <w:pStyle w:val="enumlev1"/>
        <w:keepNext/>
        <w:keepLines/>
      </w:pPr>
      <w:r w:rsidRPr="00BB1A07">
        <w:t>–</w:t>
      </w:r>
      <w:r w:rsidRPr="00BB1A07">
        <w:tab/>
        <w:t>harmonisation;</w:t>
      </w:r>
    </w:p>
    <w:p w:rsidR="006C61B6" w:rsidRPr="00BB1A07" w:rsidRDefault="006C61B6" w:rsidP="006C61B6">
      <w:pPr>
        <w:pStyle w:val="enumlev1"/>
        <w:keepNext/>
        <w:keepLines/>
      </w:pPr>
      <w:r w:rsidRPr="00BB1A07">
        <w:t>–</w:t>
      </w:r>
      <w:r w:rsidRPr="00BB1A07">
        <w:tab/>
        <w:t>aspects techniques;</w:t>
      </w:r>
    </w:p>
    <w:p w:rsidR="006C61B6" w:rsidRDefault="006C61B6" w:rsidP="006C61B6">
      <w:pPr>
        <w:pStyle w:val="enumlev1"/>
      </w:pPr>
      <w:r w:rsidRPr="00BB1A07">
        <w:t>–</w:t>
      </w:r>
      <w:r w:rsidRPr="00BB1A07">
        <w:tab/>
        <w:t>efficacité spectrale.</w:t>
      </w:r>
    </w:p>
    <w:p w:rsidR="006D44CE" w:rsidRDefault="006D44CE" w:rsidP="006C61B6">
      <w:pPr>
        <w:pStyle w:val="enumlev1"/>
      </w:pPr>
    </w:p>
    <w:p w:rsidR="006D44CE" w:rsidRPr="00BB1A07" w:rsidRDefault="006D44CE" w:rsidP="006C61B6">
      <w:pPr>
        <w:pStyle w:val="enumlev1"/>
      </w:pPr>
    </w:p>
    <w:p w:rsidR="006C61B6" w:rsidRPr="00BB1A07" w:rsidRDefault="006C61B6" w:rsidP="006D44CE">
      <w:pPr>
        <w:pStyle w:val="AnnexNoTitle"/>
      </w:pPr>
      <w:r w:rsidRPr="006C61B6">
        <w:rPr>
          <w:rFonts w:eastAsia="MS Mincho"/>
        </w:rPr>
        <w:t>Pièce jointe 3</w:t>
      </w:r>
      <w:r w:rsidR="006D44CE">
        <w:rPr>
          <w:rFonts w:eastAsia="MS Mincho"/>
        </w:rPr>
        <w:br/>
      </w:r>
      <w:r w:rsidR="006D44CE">
        <w:rPr>
          <w:rFonts w:eastAsia="MS Mincho"/>
        </w:rPr>
        <w:br/>
      </w:r>
      <w:r w:rsidRPr="00BB1A07">
        <w:t>Recommandations et Rapports associés</w:t>
      </w:r>
    </w:p>
    <w:p w:rsidR="006C61B6" w:rsidRPr="00BB1A07" w:rsidRDefault="006C61B6" w:rsidP="008446E0">
      <w:pPr>
        <w:pStyle w:val="Normalaftertitle"/>
      </w:pPr>
      <w:r w:rsidRPr="00BB1A07">
        <w:t>Les Recommandations existantes relatives aux IMT-2000 qui revêtent une importance particulière pour la présente Recommandation sont les suivantes:</w:t>
      </w:r>
    </w:p>
    <w:p w:rsidR="006C61B6" w:rsidRPr="00BB1A07" w:rsidRDefault="006C61B6" w:rsidP="006D44CE">
      <w:pPr>
        <w:ind w:left="3600" w:hanging="3600"/>
        <w:jc w:val="left"/>
      </w:pPr>
      <w:r w:rsidRPr="00BB1A07">
        <w:t>Recommandation UIT-R M.687:</w:t>
      </w:r>
      <w:r w:rsidRPr="00BB1A07">
        <w:tab/>
        <w:t>Télécommunications mobiles internationales</w:t>
      </w:r>
      <w:r w:rsidRPr="00BB1A07">
        <w:noBreakHyphen/>
        <w:t>2000 (IMT</w:t>
      </w:r>
      <w:r w:rsidRPr="00BB1A07">
        <w:noBreakHyphen/>
        <w:t>2000).</w:t>
      </w:r>
    </w:p>
    <w:p w:rsidR="006C61B6" w:rsidRPr="00BB1A07" w:rsidRDefault="006C61B6" w:rsidP="006D44CE">
      <w:pPr>
        <w:ind w:left="3600" w:hanging="3600"/>
        <w:jc w:val="left"/>
      </w:pPr>
      <w:r w:rsidRPr="00BB1A07">
        <w:t>Recommandation UIT-R M.816:</w:t>
      </w:r>
      <w:r w:rsidRPr="00BB1A07">
        <w:tab/>
        <w:t>Cadre de description des services assurés par les Télécommunications mobiles internationales-2000 (IMT</w:t>
      </w:r>
      <w:r w:rsidRPr="00BB1A07">
        <w:noBreakHyphen/>
        <w:t>2000).</w:t>
      </w:r>
    </w:p>
    <w:p w:rsidR="006C61B6" w:rsidRPr="00BB1A07" w:rsidRDefault="006C61B6" w:rsidP="006D44CE">
      <w:pPr>
        <w:ind w:left="3600" w:hanging="3600"/>
        <w:jc w:val="left"/>
      </w:pPr>
      <w:r w:rsidRPr="00BB1A07">
        <w:t>Recommandation UIT-R M.818:</w:t>
      </w:r>
      <w:r w:rsidRPr="00BB1A07">
        <w:tab/>
        <w:t>Utilisation des satellites dans les télécommunications mobiles internationales-2000 (IMT-2000).</w:t>
      </w:r>
    </w:p>
    <w:p w:rsidR="006C61B6" w:rsidRPr="00BB1A07" w:rsidRDefault="006C61B6" w:rsidP="00A106B8">
      <w:pPr>
        <w:ind w:left="3600" w:hanging="3600"/>
        <w:jc w:val="left"/>
      </w:pPr>
      <w:r w:rsidRPr="00BB1A07">
        <w:lastRenderedPageBreak/>
        <w:t>Recommandation UIT-R M.819:</w:t>
      </w:r>
      <w:r w:rsidRPr="00BB1A07">
        <w:tab/>
        <w:t>Télécommunications mobiles internationales-2000 (IMT</w:t>
      </w:r>
      <w:r w:rsidRPr="00BB1A07">
        <w:noBreakHyphen/>
        <w:t>2000) au service des pays en développement.</w:t>
      </w:r>
    </w:p>
    <w:p w:rsidR="006C61B6" w:rsidRPr="00BB1A07" w:rsidRDefault="006C61B6" w:rsidP="006C61B6">
      <w:pPr>
        <w:ind w:left="3600" w:hanging="3600"/>
      </w:pPr>
      <w:r w:rsidRPr="00BB1A07">
        <w:t>Recommandation UIT-R M.1033:</w:t>
      </w:r>
      <w:r w:rsidRPr="00BB1A07">
        <w:tab/>
        <w:t>Caractéristiques techniques et d'exploitation des téléphones sans cordon et des systèmes de télécommunication sans cordon.</w:t>
      </w:r>
    </w:p>
    <w:p w:rsidR="006C61B6" w:rsidRPr="00BB1A07" w:rsidRDefault="006C61B6" w:rsidP="006C61B6">
      <w:pPr>
        <w:ind w:left="3600" w:hanging="3600"/>
      </w:pPr>
      <w:r w:rsidRPr="00BB1A07">
        <w:t>Recommandation UIT-R M.1034:</w:t>
      </w:r>
      <w:r w:rsidRPr="00BB1A07">
        <w:tab/>
        <w:t>Exigences imposées à la ou aux interfaces radioélectriques des télécommunications mobiles internationales-2000 (IMT</w:t>
      </w:r>
      <w:r w:rsidRPr="00BB1A07">
        <w:noBreakHyphen/>
        <w:t>2000).</w:t>
      </w:r>
    </w:p>
    <w:p w:rsidR="006C61B6" w:rsidRPr="00BB1A07" w:rsidRDefault="006C61B6" w:rsidP="006C61B6">
      <w:pPr>
        <w:ind w:left="3600" w:hanging="3600"/>
      </w:pPr>
      <w:r w:rsidRPr="00BB1A07">
        <w:t>Recommandation UIT-R M.1035:</w:t>
      </w:r>
      <w:r w:rsidRPr="00BB1A07">
        <w:tab/>
        <w:t>Cadre de description de la ou des interfaces radioélectriques et fonctionnalité des sous-systèmes radioélectriques pour les télécommunications mobiles internationales-2000 (IMT</w:t>
      </w:r>
      <w:r w:rsidRPr="00BB1A07">
        <w:noBreakHyphen/>
        <w:t>2000).</w:t>
      </w:r>
    </w:p>
    <w:p w:rsidR="006C61B6" w:rsidRPr="00BB1A07" w:rsidRDefault="006C61B6" w:rsidP="006C61B6">
      <w:pPr>
        <w:ind w:left="3600" w:hanging="3600"/>
      </w:pPr>
      <w:r w:rsidRPr="00BB1A07">
        <w:t>Recommandation UIT-R M.1073:</w:t>
      </w:r>
      <w:r w:rsidRPr="00BB1A07">
        <w:tab/>
        <w:t>Systèmes mobiles terrestres cellulaires numériques de télécommunication.</w:t>
      </w:r>
    </w:p>
    <w:p w:rsidR="006C61B6" w:rsidRPr="00BB1A07" w:rsidRDefault="006C61B6" w:rsidP="006C61B6">
      <w:pPr>
        <w:ind w:left="3600" w:hanging="3600"/>
      </w:pPr>
      <w:r w:rsidRPr="00BB1A07">
        <w:t>Recommandation UIT-R M.1167:</w:t>
      </w:r>
      <w:r w:rsidRPr="00BB1A07">
        <w:tab/>
        <w:t>Cadre de description de l'élément satellite des télécommunications mobiles internationales-2000 (IMT</w:t>
      </w:r>
      <w:r w:rsidRPr="00BB1A07">
        <w:noBreakHyphen/>
        <w:t>2000).</w:t>
      </w:r>
    </w:p>
    <w:p w:rsidR="006C61B6" w:rsidRPr="00BB1A07" w:rsidRDefault="006C61B6" w:rsidP="006C61B6">
      <w:pPr>
        <w:ind w:left="3600" w:hanging="3600"/>
      </w:pPr>
      <w:r w:rsidRPr="00BB1A07">
        <w:t>Recommandation UIT-R M.1224:</w:t>
      </w:r>
      <w:r w:rsidRPr="00BB1A07">
        <w:tab/>
        <w:t>Terminologie des télécommunications mobiles internationales-2000 (IMT</w:t>
      </w:r>
      <w:r w:rsidRPr="00BB1A07">
        <w:noBreakHyphen/>
        <w:t>2000).</w:t>
      </w:r>
    </w:p>
    <w:p w:rsidR="006C61B6" w:rsidRPr="00BB1A07" w:rsidRDefault="006C61B6" w:rsidP="006C61B6">
      <w:pPr>
        <w:ind w:left="3600" w:hanging="3600"/>
      </w:pPr>
      <w:r w:rsidRPr="00BB1A07">
        <w:t>Recommandation UIT-R M.1308:</w:t>
      </w:r>
      <w:r w:rsidRPr="00BB1A07">
        <w:tab/>
        <w:t>Evolution des systèmes mobiles terrestres vers les IMT-2000.</w:t>
      </w:r>
    </w:p>
    <w:p w:rsidR="006C61B6" w:rsidRPr="00BB1A07" w:rsidRDefault="006C61B6" w:rsidP="006C61B6">
      <w:pPr>
        <w:ind w:left="3600" w:hanging="3600"/>
      </w:pPr>
      <w:r w:rsidRPr="00BB1A07">
        <w:t>Recommandation UIT-R M.1390:</w:t>
      </w:r>
      <w:r w:rsidRPr="00BB1A07">
        <w:tab/>
        <w:t>Méthodologie de calcul des exigences de spectre de Terre pour les systèmes IMT-2000.</w:t>
      </w:r>
    </w:p>
    <w:p w:rsidR="006C61B6" w:rsidRPr="00BB1A07" w:rsidRDefault="006C61B6" w:rsidP="006C61B6">
      <w:pPr>
        <w:ind w:left="3600" w:hanging="3600"/>
      </w:pPr>
      <w:r w:rsidRPr="00BB1A07">
        <w:t>Recommandation UIT-R M.1457:</w:t>
      </w:r>
      <w:r w:rsidRPr="00BB1A07">
        <w:tab/>
        <w:t>Spécifications détaillées des interfaces radioélectriques des télécommunications mobiles internationales-2000 (IMT</w:t>
      </w:r>
      <w:r w:rsidRPr="00BB1A07">
        <w:noBreakHyphen/>
        <w:t>2000).</w:t>
      </w:r>
    </w:p>
    <w:p w:rsidR="006C61B6" w:rsidRPr="00BB1A07" w:rsidRDefault="006C61B6" w:rsidP="006C61B6">
      <w:pPr>
        <w:ind w:left="3600" w:hanging="3600"/>
      </w:pPr>
      <w:r w:rsidRPr="00BB1A07">
        <w:t>Recommandation UIT-R M.1579:</w:t>
      </w:r>
      <w:r w:rsidRPr="00BB1A07">
        <w:tab/>
        <w:t>Circulation mondiale des terminaux IMT-2000.</w:t>
      </w:r>
    </w:p>
    <w:p w:rsidR="006C61B6" w:rsidRPr="00BB1A07" w:rsidRDefault="006C61B6" w:rsidP="006C61B6">
      <w:pPr>
        <w:ind w:left="3600" w:hanging="3600"/>
      </w:pPr>
      <w:r w:rsidRPr="00BB1A07">
        <w:t>Recommandation UIT-R M.1580:</w:t>
      </w:r>
      <w:r w:rsidRPr="00BB1A07">
        <w:tab/>
        <w:t>Caractéristiques génériques des rayonnements non désirés des stations de base utilisant les interfaces radioélectriques de Terre des IMT-2000.</w:t>
      </w:r>
    </w:p>
    <w:p w:rsidR="006C61B6" w:rsidRPr="00BB1A07" w:rsidRDefault="006C61B6" w:rsidP="006C61B6">
      <w:pPr>
        <w:ind w:left="3600" w:hanging="3600"/>
      </w:pPr>
      <w:r w:rsidRPr="00BB1A07">
        <w:t>Recommandation UIT-R M.1581:</w:t>
      </w:r>
      <w:r w:rsidRPr="00BB1A07">
        <w:tab/>
        <w:t>Caractéristiques génériques des rayonnements non désirés des stations mobiles utilisant les interfaces radioélectriques de Terre des IMT-2000.</w:t>
      </w:r>
    </w:p>
    <w:p w:rsidR="006C61B6" w:rsidRPr="00BB1A07" w:rsidRDefault="006C61B6" w:rsidP="006C61B6">
      <w:pPr>
        <w:ind w:left="3600" w:hanging="3600"/>
      </w:pPr>
      <w:r w:rsidRPr="00BB1A07">
        <w:t>Recommandation UIT-R M.1645:</w:t>
      </w:r>
      <w:r w:rsidRPr="00BB1A07">
        <w:tab/>
        <w:t>Cadre et objectifs d'ensemble du développement futur des IMT</w:t>
      </w:r>
      <w:r w:rsidRPr="00BB1A07">
        <w:noBreakHyphen/>
        <w:t>2000 et des sys</w:t>
      </w:r>
      <w:r>
        <w:t>tèmes postérieurs aux IMT-2000.</w:t>
      </w:r>
    </w:p>
    <w:p w:rsidR="006C61B6" w:rsidRPr="00BB1A07" w:rsidRDefault="006C61B6" w:rsidP="008446E0">
      <w:pPr>
        <w:spacing w:before="0"/>
        <w:ind w:left="3600" w:hanging="3600"/>
      </w:pPr>
      <w:r w:rsidRPr="00BB1A07">
        <w:t>Recommandation UIT-R M.1768:</w:t>
      </w:r>
      <w:r w:rsidRPr="00BB1A07">
        <w:tab/>
        <w:t>Méthodologie de calcul des exigences de spectre pour le développement futur de la composante de Terre des IMT-2000 et des systèmes postérieurs aux IMT-2000.</w:t>
      </w:r>
    </w:p>
    <w:p w:rsidR="006C61B6" w:rsidRDefault="006C61B6" w:rsidP="006C61B6">
      <w:pPr>
        <w:ind w:left="3600" w:hanging="3600"/>
      </w:pPr>
      <w:r w:rsidRPr="00BB1A07">
        <w:t>Recommandation UIT-R M.1797:</w:t>
      </w:r>
      <w:r w:rsidRPr="00BB1A07">
        <w:tab/>
        <w:t>Terminologie du service mobile terrestre.</w:t>
      </w:r>
    </w:p>
    <w:p w:rsidR="006C61B6" w:rsidRPr="00BB1A07" w:rsidRDefault="006C61B6" w:rsidP="006C61B6">
      <w:pPr>
        <w:ind w:left="3600" w:hanging="3600"/>
      </w:pPr>
      <w:r w:rsidRPr="00BB1A07">
        <w:t>Recommandation UIT-R M.1822:</w:t>
      </w:r>
      <w:r w:rsidRPr="00BB1A07">
        <w:tab/>
        <w:t>Cadre de description des services assurés par les IMT.</w:t>
      </w:r>
    </w:p>
    <w:p w:rsidR="006C61B6" w:rsidRPr="00BB1A07" w:rsidRDefault="006C61B6" w:rsidP="006C61B6">
      <w:pPr>
        <w:ind w:left="3600" w:hanging="3600"/>
      </w:pPr>
      <w:r w:rsidRPr="00BB1A07">
        <w:t>Recommandation UIT-R M.2012:</w:t>
      </w:r>
      <w:r w:rsidRPr="00BB1A07">
        <w:tab/>
        <w:t>Spécifications détaillées des interfaces radioélectriques de Terre des télécommunications mobiles internationales évoluées (IMT évoluées).</w:t>
      </w:r>
    </w:p>
    <w:p w:rsidR="006C61B6" w:rsidRPr="00BB1A07" w:rsidRDefault="006C61B6" w:rsidP="006C61B6">
      <w:pPr>
        <w:ind w:left="3600" w:hanging="3600"/>
      </w:pPr>
      <w:r w:rsidRPr="00BB1A07">
        <w:t>Recommandation UIT-R M.2070:</w:t>
      </w:r>
      <w:r w:rsidRPr="00BB1A07">
        <w:tab/>
        <w:t>Caractéristiques génériques des rayonnements non désirés des stations de base utilisant les interfaces radioélectriques de Terre des IMT évoluées.</w:t>
      </w:r>
    </w:p>
    <w:p w:rsidR="006C61B6" w:rsidRPr="00BB1A07" w:rsidRDefault="006C61B6" w:rsidP="006C61B6">
      <w:pPr>
        <w:ind w:left="3600" w:hanging="3600"/>
      </w:pPr>
      <w:r w:rsidRPr="00BB1A07">
        <w:lastRenderedPageBreak/>
        <w:t>Recommandation UIT-R M.2071:</w:t>
      </w:r>
      <w:r w:rsidRPr="00BB1A07">
        <w:tab/>
        <w:t>Caractéristiques génériques des rayonnements non désirés des stations mobiles utilisant les interfaces radioélectriques de Terre des IMT évoluées.</w:t>
      </w:r>
    </w:p>
    <w:p w:rsidR="006C61B6" w:rsidRPr="00BB1A07" w:rsidRDefault="006C61B6" w:rsidP="006C61B6">
      <w:pPr>
        <w:ind w:left="3600" w:hanging="3600"/>
      </w:pPr>
      <w:r w:rsidRPr="00BB1A07">
        <w:t>Recommandation UIT-R SM.329:</w:t>
      </w:r>
      <w:r w:rsidRPr="00BB1A07">
        <w:tab/>
        <w:t>Rayonnements non désirés dans le domaine des rayonnements non essentiels.</w:t>
      </w:r>
    </w:p>
    <w:p w:rsidR="006C61B6" w:rsidRPr="00BB1A07" w:rsidRDefault="006C61B6" w:rsidP="006C61B6">
      <w:pPr>
        <w:ind w:left="3600" w:hanging="3600"/>
      </w:pPr>
      <w:r w:rsidRPr="00BB1A07">
        <w:t>Rapport UIT-R M.2030:</w:t>
      </w:r>
      <w:r w:rsidRPr="00BB1A07">
        <w:tab/>
        <w:t>Coexistence de technologies d'interface radioélectrique de Terre duplex à répartition dans le temps et duplex à répartition en fréquence IMT-2000 autour de 2 600 MHz, appliquées dans des bandes adjacentes et dans une région géographique commune.</w:t>
      </w:r>
    </w:p>
    <w:p w:rsidR="006C61B6" w:rsidRPr="00BB1A07" w:rsidRDefault="006C61B6" w:rsidP="006C61B6">
      <w:pPr>
        <w:ind w:left="3600" w:hanging="3600"/>
      </w:pPr>
      <w:r w:rsidRPr="00BB1A07">
        <w:t>Rapport UIT-R.M.2031:</w:t>
      </w:r>
      <w:r w:rsidRPr="00BB1A07">
        <w:tab/>
        <w:t>Compatibilité entre les liaisons descendantes des systèmes AMRC-LB 1800 et les liaisons montantes des systèmes GSM 1900.</w:t>
      </w:r>
    </w:p>
    <w:p w:rsidR="006C61B6" w:rsidRPr="00BB1A07" w:rsidRDefault="006C61B6" w:rsidP="006C61B6">
      <w:pPr>
        <w:spacing w:before="80" w:after="80"/>
      </w:pPr>
      <w:r w:rsidRPr="00BB1A07">
        <w:t>Rapport UIT-R M.2038:</w:t>
      </w:r>
      <w:r w:rsidRPr="00BB1A07">
        <w:tab/>
      </w:r>
      <w:r w:rsidRPr="00BB1A07">
        <w:tab/>
        <w:t>Orientations technologiques.</w:t>
      </w:r>
    </w:p>
    <w:p w:rsidR="006C61B6" w:rsidRPr="00BB1A07" w:rsidRDefault="006C61B6" w:rsidP="006D44CE">
      <w:pPr>
        <w:ind w:left="3600" w:hanging="3600"/>
      </w:pPr>
      <w:r w:rsidRPr="00BB1A07">
        <w:t>Rapport UIT-R M.2045:</w:t>
      </w:r>
      <w:r w:rsidRPr="00BB1A07">
        <w:tab/>
        <w:t>Techniques de limitation des brouillages à appliquer pour assurer la coexistence entre des technologies d'interface radioélectrique duplex à répartition dans le temps ou en fréquence pour IMT-2000 dans la gamme de fréquences 2 500</w:t>
      </w:r>
      <w:r w:rsidR="006D44CE">
        <w:noBreakHyphen/>
      </w:r>
      <w:r w:rsidRPr="00BB1A07">
        <w:t>2 690 MHz fonctionnant dans des bandes adjacentes et dans la même zone géographique.</w:t>
      </w:r>
    </w:p>
    <w:p w:rsidR="006C61B6" w:rsidRPr="00BB1A07" w:rsidRDefault="006C61B6" w:rsidP="008446E0">
      <w:pPr>
        <w:spacing w:before="80"/>
        <w:ind w:left="3600" w:hanging="3600"/>
      </w:pPr>
      <w:r w:rsidRPr="00BB1A07">
        <w:t>Rapport UIT-R M.2072:</w:t>
      </w:r>
      <w:r w:rsidRPr="00BB1A07">
        <w:tab/>
      </w:r>
      <w:r w:rsidRPr="00BB1A07">
        <w:rPr>
          <w:color w:val="000000"/>
        </w:rPr>
        <w:t>Prévisions relatives au marché mondial des télécommunications mobiles.</w:t>
      </w:r>
    </w:p>
    <w:p w:rsidR="006C61B6" w:rsidRPr="00BB1A07" w:rsidRDefault="006C61B6" w:rsidP="006C61B6">
      <w:pPr>
        <w:ind w:left="3600" w:hanging="3600"/>
        <w:rPr>
          <w:bCs/>
          <w:lang w:eastAsia="ja-JP"/>
        </w:rPr>
      </w:pPr>
      <w:r w:rsidRPr="00BB1A07">
        <w:t>Rapport UIT-R M.2078:</w:t>
      </w:r>
      <w:r w:rsidRPr="00BB1A07">
        <w:tab/>
      </w:r>
      <w:r w:rsidRPr="00BB1A07">
        <w:rPr>
          <w:bCs/>
          <w:lang w:eastAsia="ja-JP"/>
        </w:rPr>
        <w:t>Estimation des besoins de spectre pour le développement futur</w:t>
      </w:r>
      <w:r w:rsidRPr="00BB1A07">
        <w:rPr>
          <w:bCs/>
          <w:lang w:eastAsia="ja-JP"/>
        </w:rPr>
        <w:br/>
        <w:t>des IMT-2000 et des IMT évoluées.</w:t>
      </w:r>
    </w:p>
    <w:p w:rsidR="006C61B6" w:rsidRPr="00BB1A07" w:rsidRDefault="006C61B6" w:rsidP="008446E0">
      <w:pPr>
        <w:spacing w:before="80"/>
        <w:ind w:left="3600" w:hanging="3600"/>
      </w:pPr>
      <w:r w:rsidRPr="00BB1A07">
        <w:t>Rapport UIT-R M.2109:</w:t>
      </w:r>
      <w:r w:rsidRPr="00BB1A07">
        <w:tab/>
      </w:r>
      <w:r w:rsidRPr="00BB1A07">
        <w:rPr>
          <w:color w:val="000000"/>
        </w:rPr>
        <w:t>Etudes de partage entre les systèmes des IMT évoluées et les réseaux à satellite géostationnaire du SFS dans les bandes 3 400-4 200 MHz et 4 500-4 800 MHz.</w:t>
      </w:r>
    </w:p>
    <w:p w:rsidR="006C61B6" w:rsidRPr="00BB1A07" w:rsidRDefault="006C61B6" w:rsidP="008446E0">
      <w:pPr>
        <w:spacing w:before="80"/>
        <w:ind w:left="3600" w:hanging="3600"/>
      </w:pPr>
      <w:r w:rsidRPr="00BB1A07">
        <w:t>Rapport UIT-R M.2110:</w:t>
      </w:r>
      <w:r w:rsidRPr="00BB1A07">
        <w:tab/>
      </w:r>
      <w:r w:rsidRPr="00BB1A07">
        <w:rPr>
          <w:color w:val="000000"/>
        </w:rPr>
        <w:t>Etudes sur le partage entre les services de radiocommunication et les systèmes IMT fonctionnant dans la bande 450-470 MHz.</w:t>
      </w:r>
    </w:p>
    <w:p w:rsidR="006C61B6" w:rsidRDefault="006C61B6" w:rsidP="008446E0">
      <w:pPr>
        <w:spacing w:before="80"/>
        <w:ind w:left="3600" w:hanging="3600"/>
        <w:rPr>
          <w:color w:val="000000"/>
        </w:rPr>
      </w:pPr>
      <w:r w:rsidRPr="00BB1A07">
        <w:t>Rapport UIT-R M.2113:</w:t>
      </w:r>
      <w:r w:rsidRPr="00BB1A07">
        <w:tab/>
      </w:r>
      <w:r w:rsidRPr="00BB1A07">
        <w:rPr>
          <w:color w:val="000000"/>
        </w:rPr>
        <w:t>Etudes de partage dans la bande 2 500-2 690 MHz entre les IMT-2000 et les systèmes d'accès hertzien large bande fixes, y compris les applications nomades dans la même zone géographique.</w:t>
      </w:r>
    </w:p>
    <w:p w:rsidR="00A106B8" w:rsidRDefault="00A106B8" w:rsidP="008446E0">
      <w:pPr>
        <w:spacing w:before="80"/>
        <w:ind w:left="3600" w:hanging="3600"/>
        <w:rPr>
          <w:color w:val="000000"/>
        </w:rPr>
      </w:pPr>
      <w:bookmarkStart w:id="3" w:name="_GoBack"/>
      <w:bookmarkEnd w:id="3"/>
    </w:p>
    <w:p w:rsidR="006C61B6" w:rsidRPr="00D52C97" w:rsidRDefault="006C61B6" w:rsidP="008446E0">
      <w:pPr>
        <w:pStyle w:val="Line"/>
        <w:spacing w:before="260"/>
        <w:rPr>
          <w:lang w:val="fr-CH"/>
        </w:rPr>
      </w:pPr>
    </w:p>
    <w:sectPr w:rsidR="006C61B6" w:rsidRPr="00D52C9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9E" w:rsidRDefault="00155A9E">
      <w:r>
        <w:separator/>
      </w:r>
    </w:p>
  </w:endnote>
  <w:endnote w:type="continuationSeparator" w:id="0">
    <w:p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9E" w:rsidRDefault="00155A9E">
      <w:r>
        <w:separator/>
      </w:r>
    </w:p>
  </w:footnote>
  <w:footnote w:type="continuationSeparator" w:id="0">
    <w:p w:rsidR="00155A9E" w:rsidRDefault="00155A9E">
      <w:r>
        <w:continuationSeparator/>
      </w:r>
    </w:p>
  </w:footnote>
  <w:footnote w:id="1">
    <w:p w:rsidR="006C61B6" w:rsidRPr="00715412" w:rsidRDefault="006C61B6" w:rsidP="006C61B6">
      <w:pPr>
        <w:pStyle w:val="FootnoteText"/>
        <w:rPr>
          <w:lang w:val="fr-CH"/>
        </w:rPr>
      </w:pPr>
      <w:r>
        <w:rPr>
          <w:rStyle w:val="FootnoteReference"/>
        </w:rPr>
        <w:footnoteRef/>
      </w:r>
      <w:r w:rsidRPr="00715412">
        <w:rPr>
          <w:lang w:val="fr-CH"/>
        </w:rPr>
        <w:tab/>
        <w:t xml:space="preserve">Dans certains pays de la Région 3, les bandes 380-400 MHz </w:t>
      </w:r>
      <w:r>
        <w:rPr>
          <w:lang w:val="fr-CH"/>
        </w:rPr>
        <w:t>et</w:t>
      </w:r>
      <w:r w:rsidRPr="00715412">
        <w:rPr>
          <w:lang w:val="fr-CH"/>
        </w:rPr>
        <w:t xml:space="preserve"> 746-806 MHz </w:t>
      </w:r>
      <w:r>
        <w:rPr>
          <w:lang w:val="fr-CH"/>
        </w:rPr>
        <w:t xml:space="preserve">ont également été identifiées pour les applications de </w:t>
      </w:r>
      <w:r w:rsidRPr="00715412">
        <w:rPr>
          <w:lang w:val="fr-CH"/>
        </w:rPr>
        <w:t xml:space="preserve">protection </w:t>
      </w:r>
      <w:r>
        <w:rPr>
          <w:lang w:val="fr-CH"/>
        </w:rPr>
        <w:t>du public et des opérations de secours en cas de catastrophe</w:t>
      </w:r>
      <w:r w:rsidRPr="00715412">
        <w:rPr>
          <w:lang w:val="fr-CH"/>
        </w:rPr>
        <w:t>.</w:t>
      </w:r>
    </w:p>
  </w:footnote>
  <w:footnote w:id="2">
    <w:p w:rsidR="006C61B6" w:rsidRPr="00712AE9" w:rsidRDefault="006C61B6" w:rsidP="006C61B6">
      <w:pPr>
        <w:pStyle w:val="FootnoteText"/>
        <w:keepLines w:val="0"/>
        <w:rPr>
          <w:lang w:val="fr-CH"/>
        </w:rPr>
      </w:pPr>
      <w:r>
        <w:rPr>
          <w:rStyle w:val="FootnoteReference"/>
        </w:rPr>
        <w:footnoteRef/>
      </w:r>
      <w:r w:rsidRPr="00712AE9">
        <w:rPr>
          <w:lang w:val="fr-CH"/>
        </w:rPr>
        <w:tab/>
        <w:t>La bande 2 025-2 110 MHz ne fait pas partie de cette disposition de fréquence</w:t>
      </w:r>
      <w:r>
        <w:rPr>
          <w:lang w:val="fr-CH"/>
        </w:rPr>
        <w:t>s</w:t>
      </w:r>
      <w:r w:rsidRPr="00712AE9">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C37C23" w:rsidP="00C668C8">
    <w:pPr>
      <w:pStyle w:val="Header"/>
      <w:ind w:right="360" w:firstLine="360"/>
    </w:pPr>
    <w:r>
      <w:rPr>
        <w:noProof/>
        <w:lang w:val="en-US" w:eastAsia="zh-CN"/>
      </w:rPr>
      <w:drawing>
        <wp:anchor distT="0" distB="0" distL="114300" distR="114300" simplePos="0" relativeHeight="251658752" behindDoc="0" locked="0" layoutInCell="1" allowOverlap="1" wp14:anchorId="36542113" wp14:editId="5485ADC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AB2DA1">
      <w:rPr>
        <w:noProof/>
        <w:lang w:val="en-US" w:eastAsia="zh-CN"/>
      </w:rPr>
      <w:drawing>
        <wp:anchor distT="0" distB="0" distL="114300" distR="114300" simplePos="0" relativeHeight="251656704" behindDoc="1" locked="0" layoutInCell="1" allowOverlap="1" wp14:anchorId="5FA5FC15" wp14:editId="7DC495E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E2A55">
      <w:rPr>
        <w:rStyle w:val="PageNumber"/>
        <w:b/>
        <w:bCs/>
        <w:noProof/>
      </w:rPr>
      <w:t>22</w:t>
    </w:r>
    <w:r>
      <w:rPr>
        <w:rStyle w:val="PageNumber"/>
        <w:b/>
        <w:bCs/>
      </w:rPr>
      <w:fldChar w:fldCharType="end"/>
    </w:r>
    <w:r w:rsidRPr="00837CB5">
      <w:tab/>
    </w:r>
    <w:r w:rsidR="005E2A55">
      <w:fldChar w:fldCharType="begin"/>
    </w:r>
    <w:r w:rsidR="005E2A55">
      <w:instrText xml:space="preserve"> DOCPROPERTY "Header" \* MERGEFORMAT </w:instrText>
    </w:r>
    <w:r w:rsidR="005E2A55">
      <w:fldChar w:fldCharType="separate"/>
    </w:r>
    <w:r w:rsidR="005E2A55" w:rsidRPr="005E2A55">
      <w:rPr>
        <w:b/>
        <w:bCs/>
      </w:rPr>
      <w:t xml:space="preserve">Rec. </w:t>
    </w:r>
    <w:r w:rsidR="005E2A5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E2A55">
      <w:rPr>
        <w:b/>
        <w:bCs/>
        <w:noProof/>
      </w:rPr>
      <w:t>UIT-R  M.1036-5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rsidP="00A163D3">
    <w:pPr>
      <w:pStyle w:val="Header"/>
    </w:pPr>
    <w:r>
      <w:tab/>
    </w:r>
    <w:r w:rsidR="005E2A55">
      <w:fldChar w:fldCharType="begin"/>
    </w:r>
    <w:r w:rsidR="005E2A55">
      <w:instrText xml:space="preserve"> DOCPROPERTY "Header" \* MERGEFORMAT </w:instrText>
    </w:r>
    <w:r w:rsidR="005E2A55">
      <w:fldChar w:fldCharType="separate"/>
    </w:r>
    <w:r w:rsidR="005E2A55" w:rsidRPr="005E2A55">
      <w:rPr>
        <w:b/>
        <w:bCs/>
      </w:rPr>
      <w:t xml:space="preserve">Rec. </w:t>
    </w:r>
    <w:r w:rsidR="005E2A55">
      <w:rPr>
        <w:b/>
        <w:bCs/>
      </w:rPr>
      <w:fldChar w:fldCharType="end"/>
    </w:r>
    <w:r>
      <w:rPr>
        <w:b/>
        <w:bCs/>
      </w:rPr>
      <w:t xml:space="preserve"> </w:t>
    </w:r>
    <w:r>
      <w:rPr>
        <w:b/>
        <w:bCs/>
      </w:rPr>
      <w:fldChar w:fldCharType="begin"/>
    </w:r>
    <w:r>
      <w:rPr>
        <w:b/>
        <w:bCs/>
      </w:rPr>
      <w:instrText>styleref href</w:instrText>
    </w:r>
    <w:r>
      <w:rPr>
        <w:b/>
        <w:bCs/>
      </w:rPr>
      <w:fldChar w:fldCharType="separate"/>
    </w:r>
    <w:r w:rsidR="005E2A55">
      <w:rPr>
        <w:b/>
        <w:bCs/>
        <w:noProof/>
      </w:rPr>
      <w:t>UIT-R  M.1036-5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2A55">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7176"/>
    <w:rsid w:val="00013002"/>
    <w:rsid w:val="000257FB"/>
    <w:rsid w:val="00072484"/>
    <w:rsid w:val="00074742"/>
    <w:rsid w:val="00076BD8"/>
    <w:rsid w:val="00086A7D"/>
    <w:rsid w:val="00091B96"/>
    <w:rsid w:val="00096612"/>
    <w:rsid w:val="000A0A78"/>
    <w:rsid w:val="000B7683"/>
    <w:rsid w:val="000D2D8A"/>
    <w:rsid w:val="00102934"/>
    <w:rsid w:val="00123FD5"/>
    <w:rsid w:val="00125B6D"/>
    <w:rsid w:val="00126AF2"/>
    <w:rsid w:val="00147110"/>
    <w:rsid w:val="00155A9E"/>
    <w:rsid w:val="0016637E"/>
    <w:rsid w:val="001671C8"/>
    <w:rsid w:val="001A6C33"/>
    <w:rsid w:val="001C551F"/>
    <w:rsid w:val="00202D10"/>
    <w:rsid w:val="002058CE"/>
    <w:rsid w:val="002165F1"/>
    <w:rsid w:val="002260B4"/>
    <w:rsid w:val="00227626"/>
    <w:rsid w:val="00261CA3"/>
    <w:rsid w:val="00276D21"/>
    <w:rsid w:val="00296D7F"/>
    <w:rsid w:val="002B3CF6"/>
    <w:rsid w:val="002C768A"/>
    <w:rsid w:val="002D76C4"/>
    <w:rsid w:val="002E4E67"/>
    <w:rsid w:val="00363367"/>
    <w:rsid w:val="003713D1"/>
    <w:rsid w:val="00397AD0"/>
    <w:rsid w:val="003E0582"/>
    <w:rsid w:val="00420DFD"/>
    <w:rsid w:val="00422AE4"/>
    <w:rsid w:val="00470E28"/>
    <w:rsid w:val="004934C5"/>
    <w:rsid w:val="004A4D65"/>
    <w:rsid w:val="004E6E78"/>
    <w:rsid w:val="00505840"/>
    <w:rsid w:val="005258F8"/>
    <w:rsid w:val="00530208"/>
    <w:rsid w:val="00530AFC"/>
    <w:rsid w:val="00556548"/>
    <w:rsid w:val="00567DC0"/>
    <w:rsid w:val="00586EF8"/>
    <w:rsid w:val="00592F9F"/>
    <w:rsid w:val="00593B96"/>
    <w:rsid w:val="005B49AB"/>
    <w:rsid w:val="005B50E7"/>
    <w:rsid w:val="005B65B9"/>
    <w:rsid w:val="005E0A1C"/>
    <w:rsid w:val="005E2A55"/>
    <w:rsid w:val="005E6DCC"/>
    <w:rsid w:val="005E7B4F"/>
    <w:rsid w:val="0060611D"/>
    <w:rsid w:val="00607D68"/>
    <w:rsid w:val="006149B1"/>
    <w:rsid w:val="00614CC6"/>
    <w:rsid w:val="00647E80"/>
    <w:rsid w:val="00654D8A"/>
    <w:rsid w:val="00680D2B"/>
    <w:rsid w:val="006812C4"/>
    <w:rsid w:val="00681B32"/>
    <w:rsid w:val="006C126A"/>
    <w:rsid w:val="006C2AD9"/>
    <w:rsid w:val="006C61B6"/>
    <w:rsid w:val="006C7827"/>
    <w:rsid w:val="006D1FA3"/>
    <w:rsid w:val="006D44CE"/>
    <w:rsid w:val="006E2037"/>
    <w:rsid w:val="006F154D"/>
    <w:rsid w:val="006F63D8"/>
    <w:rsid w:val="00712870"/>
    <w:rsid w:val="00731BD8"/>
    <w:rsid w:val="00743D85"/>
    <w:rsid w:val="00753CF4"/>
    <w:rsid w:val="007565CC"/>
    <w:rsid w:val="00756B4D"/>
    <w:rsid w:val="00763B9A"/>
    <w:rsid w:val="00776953"/>
    <w:rsid w:val="00776E56"/>
    <w:rsid w:val="007A308E"/>
    <w:rsid w:val="007A6AA8"/>
    <w:rsid w:val="007D1269"/>
    <w:rsid w:val="008310C9"/>
    <w:rsid w:val="00837CB5"/>
    <w:rsid w:val="008446E0"/>
    <w:rsid w:val="00872472"/>
    <w:rsid w:val="008A53B8"/>
    <w:rsid w:val="008C7848"/>
    <w:rsid w:val="008F5522"/>
    <w:rsid w:val="00917AF2"/>
    <w:rsid w:val="0092418A"/>
    <w:rsid w:val="00934ED7"/>
    <w:rsid w:val="009454F8"/>
    <w:rsid w:val="009543C3"/>
    <w:rsid w:val="009579E1"/>
    <w:rsid w:val="00966E1B"/>
    <w:rsid w:val="00987C75"/>
    <w:rsid w:val="009B5551"/>
    <w:rsid w:val="009C6B95"/>
    <w:rsid w:val="009F2D2C"/>
    <w:rsid w:val="00A106B8"/>
    <w:rsid w:val="00A163D3"/>
    <w:rsid w:val="00A443C2"/>
    <w:rsid w:val="00A52DB0"/>
    <w:rsid w:val="00A6617B"/>
    <w:rsid w:val="00A71FE5"/>
    <w:rsid w:val="00AA3AD8"/>
    <w:rsid w:val="00AB0DC8"/>
    <w:rsid w:val="00AB2DA1"/>
    <w:rsid w:val="00AB52D1"/>
    <w:rsid w:val="00AD267B"/>
    <w:rsid w:val="00B033C8"/>
    <w:rsid w:val="00B33425"/>
    <w:rsid w:val="00B44E24"/>
    <w:rsid w:val="00B54ECC"/>
    <w:rsid w:val="00B62231"/>
    <w:rsid w:val="00B714F3"/>
    <w:rsid w:val="00BC0651"/>
    <w:rsid w:val="00BC5D77"/>
    <w:rsid w:val="00BF487A"/>
    <w:rsid w:val="00C149E1"/>
    <w:rsid w:val="00C362C3"/>
    <w:rsid w:val="00C37C23"/>
    <w:rsid w:val="00C46BD9"/>
    <w:rsid w:val="00C55258"/>
    <w:rsid w:val="00C668C8"/>
    <w:rsid w:val="00C73560"/>
    <w:rsid w:val="00C854EA"/>
    <w:rsid w:val="00C95B6F"/>
    <w:rsid w:val="00CA5F37"/>
    <w:rsid w:val="00CB0F14"/>
    <w:rsid w:val="00CD659B"/>
    <w:rsid w:val="00CD7DC8"/>
    <w:rsid w:val="00D017C0"/>
    <w:rsid w:val="00D31EB8"/>
    <w:rsid w:val="00D52C97"/>
    <w:rsid w:val="00D70C4E"/>
    <w:rsid w:val="00D826A3"/>
    <w:rsid w:val="00DB2AF0"/>
    <w:rsid w:val="00DF4176"/>
    <w:rsid w:val="00E02402"/>
    <w:rsid w:val="00E17240"/>
    <w:rsid w:val="00E44C45"/>
    <w:rsid w:val="00E44CBB"/>
    <w:rsid w:val="00EA6E8E"/>
    <w:rsid w:val="00EE242A"/>
    <w:rsid w:val="00EE57AA"/>
    <w:rsid w:val="00F20809"/>
    <w:rsid w:val="00F30C9B"/>
    <w:rsid w:val="00F316C4"/>
    <w:rsid w:val="00F336CC"/>
    <w:rsid w:val="00F354B1"/>
    <w:rsid w:val="00F54FBD"/>
    <w:rsid w:val="00F65C26"/>
    <w:rsid w:val="00FB0E4E"/>
    <w:rsid w:val="00FE099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qFormat/>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rsid w:val="00AB2DA1"/>
    <w:rPr>
      <w:position w:val="6"/>
      <w:sz w:val="18"/>
    </w:rPr>
  </w:style>
  <w:style w:type="paragraph" w:styleId="FootnoteText">
    <w:name w:val="footnote text"/>
    <w:basedOn w:val="Normal"/>
    <w:link w:val="FootnoteTextChar"/>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AnnexNo">
    <w:name w:val="Annex_No"/>
    <w:basedOn w:val="Normal"/>
    <w:next w:val="Normal"/>
    <w:rsid w:val="006C61B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6C61B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6C61B6"/>
    <w:rPr>
      <w:rFonts w:ascii="Times New Roman" w:hAnsi="Times New Roman"/>
      <w:b/>
    </w:rPr>
  </w:style>
  <w:style w:type="character" w:customStyle="1" w:styleId="Appref">
    <w:name w:val="App_ref"/>
    <w:basedOn w:val="DefaultParagraphFont"/>
    <w:rsid w:val="006C61B6"/>
  </w:style>
  <w:style w:type="paragraph" w:customStyle="1" w:styleId="AppendixNo">
    <w:name w:val="Appendix_No"/>
    <w:basedOn w:val="AnnexNo"/>
    <w:next w:val="Annexref"/>
    <w:rsid w:val="006C61B6"/>
  </w:style>
  <w:style w:type="paragraph" w:customStyle="1" w:styleId="Appendixtitle">
    <w:name w:val="Appendix_title"/>
    <w:basedOn w:val="Annextitle"/>
    <w:next w:val="Normal"/>
    <w:rsid w:val="006C61B6"/>
  </w:style>
  <w:style w:type="character" w:customStyle="1" w:styleId="Artdef">
    <w:name w:val="Art_def"/>
    <w:rsid w:val="006C61B6"/>
    <w:rPr>
      <w:rFonts w:ascii="Times New Roman" w:hAnsi="Times New Roman"/>
      <w:b/>
    </w:rPr>
  </w:style>
  <w:style w:type="paragraph" w:customStyle="1" w:styleId="Artheading">
    <w:name w:val="Art_heading"/>
    <w:basedOn w:val="Normal"/>
    <w:next w:val="Normal"/>
    <w:rsid w:val="006C61B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6C61B6"/>
  </w:style>
  <w:style w:type="paragraph" w:customStyle="1" w:styleId="Border">
    <w:name w:val="Border"/>
    <w:basedOn w:val="Tabletext"/>
    <w:rsid w:val="006C61B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6C61B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6C61B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6C61B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6C61B6"/>
    <w:rPr>
      <w:vertAlign w:val="superscript"/>
    </w:rPr>
  </w:style>
  <w:style w:type="paragraph" w:customStyle="1" w:styleId="Figurewithouttitle">
    <w:name w:val="Figure_without_title"/>
    <w:basedOn w:val="FigureNo"/>
    <w:next w:val="Normal"/>
    <w:rsid w:val="006C61B6"/>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6C61B6"/>
    <w:rPr>
      <w:noProof/>
      <w:sz w:val="18"/>
      <w:lang w:val="fr-FR" w:eastAsia="en-US"/>
    </w:rPr>
  </w:style>
  <w:style w:type="paragraph" w:customStyle="1" w:styleId="FirstFooter">
    <w:name w:val="FirstFooter"/>
    <w:basedOn w:val="Footer"/>
    <w:rsid w:val="006C61B6"/>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6C61B6"/>
    <w:rPr>
      <w:sz w:val="22"/>
      <w:lang w:val="fr-FR" w:eastAsia="en-US"/>
    </w:rPr>
  </w:style>
  <w:style w:type="character" w:customStyle="1" w:styleId="HeaderChar">
    <w:name w:val="Header Char"/>
    <w:basedOn w:val="DefaultParagraphFont"/>
    <w:link w:val="Header"/>
    <w:rsid w:val="006C61B6"/>
    <w:rPr>
      <w:sz w:val="24"/>
      <w:lang w:val="fr-FR" w:eastAsia="en-US"/>
    </w:rPr>
  </w:style>
  <w:style w:type="paragraph" w:styleId="Index4">
    <w:name w:val="index 4"/>
    <w:basedOn w:val="Normal"/>
    <w:next w:val="Normal"/>
    <w:rsid w:val="006C61B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C61B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C61B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C61B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C61B6"/>
  </w:style>
  <w:style w:type="paragraph" w:customStyle="1" w:styleId="Normalaftertitle0">
    <w:name w:val="Normal after title"/>
    <w:basedOn w:val="Normal"/>
    <w:next w:val="Normal"/>
    <w:rsid w:val="006C61B6"/>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6C61B6"/>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6C61B6"/>
    <w:pPr>
      <w:tabs>
        <w:tab w:val="clear" w:pos="794"/>
        <w:tab w:val="clear" w:pos="1191"/>
        <w:tab w:val="left" w:pos="1134"/>
      </w:tabs>
      <w:jc w:val="left"/>
    </w:pPr>
  </w:style>
  <w:style w:type="character" w:customStyle="1" w:styleId="Recdef">
    <w:name w:val="Rec_def"/>
    <w:rsid w:val="006C61B6"/>
    <w:rPr>
      <w:b/>
    </w:rPr>
  </w:style>
  <w:style w:type="character" w:customStyle="1" w:styleId="Resdef">
    <w:name w:val="Res_def"/>
    <w:rsid w:val="006C61B6"/>
    <w:rPr>
      <w:rFonts w:ascii="Times New Roman" w:hAnsi="Times New Roman"/>
      <w:b/>
    </w:rPr>
  </w:style>
  <w:style w:type="paragraph" w:customStyle="1" w:styleId="Section1">
    <w:name w:val="Section_1"/>
    <w:basedOn w:val="Normal"/>
    <w:rsid w:val="006C61B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C61B6"/>
    <w:rPr>
      <w:b w:val="0"/>
      <w:i/>
    </w:rPr>
  </w:style>
  <w:style w:type="paragraph" w:customStyle="1" w:styleId="Section3">
    <w:name w:val="Section_3"/>
    <w:basedOn w:val="Section1"/>
    <w:rsid w:val="006C61B6"/>
    <w:rPr>
      <w:b w:val="0"/>
    </w:rPr>
  </w:style>
  <w:style w:type="paragraph" w:customStyle="1" w:styleId="Source">
    <w:name w:val="Source"/>
    <w:basedOn w:val="Normal"/>
    <w:next w:val="Normal"/>
    <w:rsid w:val="006C61B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C61B6"/>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6C61B6"/>
    <w:rPr>
      <w:b/>
      <w:color w:val="auto"/>
      <w:sz w:val="20"/>
    </w:rPr>
  </w:style>
  <w:style w:type="paragraph" w:customStyle="1" w:styleId="Tableref">
    <w:name w:val="Table_ref"/>
    <w:basedOn w:val="Normal"/>
    <w:next w:val="Tabletitle"/>
    <w:rsid w:val="006C61B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6C61B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6C61B6"/>
    <w:pPr>
      <w:tabs>
        <w:tab w:val="left" w:pos="567"/>
        <w:tab w:val="left" w:pos="1701"/>
        <w:tab w:val="left" w:pos="2835"/>
      </w:tabs>
      <w:spacing w:before="240"/>
    </w:pPr>
    <w:rPr>
      <w:b w:val="0"/>
      <w:caps/>
    </w:rPr>
  </w:style>
  <w:style w:type="paragraph" w:customStyle="1" w:styleId="Title2">
    <w:name w:val="Title 2"/>
    <w:basedOn w:val="Source"/>
    <w:next w:val="Normal"/>
    <w:rsid w:val="006C61B6"/>
    <w:pPr>
      <w:overflowPunct/>
      <w:autoSpaceDE/>
      <w:autoSpaceDN/>
      <w:adjustRightInd/>
      <w:spacing w:before="480"/>
      <w:textAlignment w:val="auto"/>
    </w:pPr>
    <w:rPr>
      <w:b w:val="0"/>
      <w:caps/>
    </w:rPr>
  </w:style>
  <w:style w:type="paragraph" w:customStyle="1" w:styleId="Title3">
    <w:name w:val="Title 3"/>
    <w:basedOn w:val="Title2"/>
    <w:next w:val="Normal"/>
    <w:rsid w:val="006C61B6"/>
    <w:pPr>
      <w:spacing w:before="240"/>
    </w:pPr>
    <w:rPr>
      <w:caps w:val="0"/>
    </w:rPr>
  </w:style>
  <w:style w:type="paragraph" w:customStyle="1" w:styleId="Title4">
    <w:name w:val="Title 4"/>
    <w:basedOn w:val="Title3"/>
    <w:next w:val="Heading1"/>
    <w:rsid w:val="006C61B6"/>
    <w:rPr>
      <w:b/>
    </w:rPr>
  </w:style>
  <w:style w:type="character" w:customStyle="1" w:styleId="TableNo0">
    <w:name w:val="Table_No Знак"/>
    <w:link w:val="TableNo"/>
    <w:locked/>
    <w:rsid w:val="006C61B6"/>
    <w:rPr>
      <w:sz w:val="24"/>
      <w:lang w:val="fr-FR" w:eastAsia="en-US"/>
    </w:rPr>
  </w:style>
  <w:style w:type="table" w:styleId="TableGrid">
    <w:name w:val="Table Grid"/>
    <w:basedOn w:val="TableNormal"/>
    <w:rsid w:val="006C61B6"/>
    <w:pPr>
      <w:tabs>
        <w:tab w:val="left" w:pos="1134"/>
        <w:tab w:val="left" w:pos="1871"/>
        <w:tab w:val="left" w:pos="2268"/>
      </w:tabs>
      <w:overflowPunct w:val="0"/>
      <w:autoSpaceDE w:val="0"/>
      <w:autoSpaceDN w:val="0"/>
      <w:adjustRightInd w:val="0"/>
      <w:spacing w:before="120"/>
      <w:textAlignment w:val="baseline"/>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basedOn w:val="DefaultParagraphFont"/>
    <w:link w:val="FigureNo"/>
    <w:locked/>
    <w:rsid w:val="006C61B6"/>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oleObject" Target="embeddings/oleObject8.bin"/><Relationship Id="rId42"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itu.int/oth/R0A0600001A/fr" TargetMode="External"/><Relationship Id="rId25" Type="http://schemas.openxmlformats.org/officeDocument/2006/relationships/oleObject" Target="embeddings/oleObject6.bin"/><Relationship Id="rId33" Type="http://schemas.openxmlformats.org/officeDocument/2006/relationships/image" Target="media/image15.emf"/><Relationship Id="rId38"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emf"/><Relationship Id="rId29" Type="http://schemas.openxmlformats.org/officeDocument/2006/relationships/image" Target="media/image11.emf"/><Relationship Id="rId41"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4.emf"/><Relationship Id="rId37" Type="http://schemas.openxmlformats.org/officeDocument/2006/relationships/image" Target="media/image18.emf"/><Relationship Id="rId40" Type="http://schemas.openxmlformats.org/officeDocument/2006/relationships/oleObject" Target="embeddings/oleObject10.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7.png"/><Relationship Id="rId10" Type="http://schemas.openxmlformats.org/officeDocument/2006/relationships/hyperlink" Target="http://www.itu.int/publ/R-REC/fr" TargetMode="External"/><Relationship Id="rId19" Type="http://schemas.openxmlformats.org/officeDocument/2006/relationships/oleObject" Target="embeddings/oleObject3.bin"/><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TotalTime>
  <Pages>25</Pages>
  <Words>6027</Words>
  <Characters>40020</Characters>
  <Application>Microsoft Office Word</Application>
  <DocSecurity>0</DocSecurity>
  <Lines>635</Lines>
  <Paragraphs>206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45841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39</cp:revision>
  <cp:lastPrinted>2015-11-05T11:12:00Z</cp:lastPrinted>
  <dcterms:created xsi:type="dcterms:W3CDTF">2015-11-04T15:34:00Z</dcterms:created>
  <dcterms:modified xsi:type="dcterms:W3CDTF">2015-11-05T11:12:00Z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