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6C3" w:rsidRDefault="007416C3"/>
    <w:p w:rsidR="007416C3" w:rsidRDefault="007416C3"/>
    <w:p w:rsidR="007416C3" w:rsidRDefault="007416C3"/>
    <w:p w:rsidR="007416C3" w:rsidRDefault="007416C3"/>
    <w:p w:rsidR="007416C3" w:rsidRDefault="007416C3"/>
    <w:p w:rsidR="007416C3" w:rsidRDefault="007416C3"/>
    <w:p w:rsidR="007416C3" w:rsidRDefault="007416C3"/>
    <w:p w:rsidR="007416C3" w:rsidRDefault="007416C3"/>
    <w:p w:rsidR="007416C3" w:rsidRDefault="007416C3"/>
    <w:p w:rsidR="007416C3" w:rsidRDefault="007416C3"/>
    <w:p w:rsidR="007416C3" w:rsidRDefault="007416C3"/>
    <w:p w:rsidR="007416C3" w:rsidRDefault="007416C3"/>
    <w:tbl>
      <w:tblPr>
        <w:tblW w:w="10089" w:type="dxa"/>
        <w:tblLook w:val="01E0"/>
      </w:tblPr>
      <w:tblGrid>
        <w:gridCol w:w="10089"/>
      </w:tblGrid>
      <w:tr w:rsidR="007416C3" w:rsidRPr="00A443C2">
        <w:tc>
          <w:tcPr>
            <w:tcW w:w="10089" w:type="dxa"/>
          </w:tcPr>
          <w:p w:rsidR="007416C3" w:rsidRPr="00B033C8" w:rsidRDefault="007416C3" w:rsidP="00982160">
            <w:pPr>
              <w:spacing w:before="380" w:line="280" w:lineRule="exact"/>
              <w:jc w:val="right"/>
              <w:rPr>
                <w:rFonts w:ascii="Tahoma" w:hAnsi="Tahoma" w:cs="Tahoma"/>
                <w:b/>
                <w:bCs/>
                <w:iCs/>
                <w:color w:val="243285"/>
                <w:sz w:val="32"/>
                <w:szCs w:val="32"/>
                <w:lang w:val="en-US"/>
              </w:rPr>
            </w:pPr>
          </w:p>
          <w:p w:rsidR="007416C3" w:rsidRPr="00A443C2" w:rsidRDefault="007416C3" w:rsidP="007416C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Pr>
                <w:rFonts w:ascii="Tahoma" w:hAnsi="Tahoma" w:cs="Tahoma"/>
                <w:b/>
                <w:bCs/>
                <w:iCs/>
                <w:color w:val="243285"/>
                <w:sz w:val="36"/>
                <w:szCs w:val="36"/>
              </w:rPr>
              <w:t>755-2</w:t>
            </w:r>
          </w:p>
          <w:p w:rsidR="007416C3" w:rsidRPr="00A443C2" w:rsidRDefault="007416C3" w:rsidP="007416C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5</w:t>
            </w:r>
            <w:r w:rsidRPr="00A443C2">
              <w:rPr>
                <w:rFonts w:ascii="Tahoma" w:hAnsi="Tahoma" w:cs="Tahoma"/>
                <w:b/>
                <w:bCs/>
                <w:iCs/>
                <w:color w:val="243285"/>
                <w:szCs w:val="24"/>
              </w:rPr>
              <w:t>/</w:t>
            </w:r>
            <w:r>
              <w:rPr>
                <w:rFonts w:ascii="Tahoma" w:hAnsi="Tahoma" w:cs="Tahoma"/>
                <w:b/>
                <w:bCs/>
                <w:iCs/>
                <w:color w:val="243285"/>
                <w:szCs w:val="24"/>
              </w:rPr>
              <w:t>1999</w:t>
            </w:r>
            <w:r w:rsidRPr="00A443C2">
              <w:rPr>
                <w:rFonts w:ascii="Tahoma" w:hAnsi="Tahoma" w:cs="Tahoma"/>
                <w:b/>
                <w:bCs/>
                <w:iCs/>
                <w:color w:val="243285"/>
                <w:szCs w:val="24"/>
              </w:rPr>
              <w:t>)</w:t>
            </w:r>
          </w:p>
        </w:tc>
      </w:tr>
      <w:tr w:rsidR="007416C3" w:rsidRPr="00F54FBD">
        <w:tc>
          <w:tcPr>
            <w:tcW w:w="10089" w:type="dxa"/>
          </w:tcPr>
          <w:p w:rsidR="007416C3" w:rsidRDefault="007416C3" w:rsidP="00982160">
            <w:pPr>
              <w:spacing w:before="80" w:line="500" w:lineRule="exact"/>
              <w:jc w:val="right"/>
              <w:rPr>
                <w:rFonts w:ascii="Tahoma" w:hAnsi="Tahoma" w:cs="Tahoma"/>
                <w:b/>
                <w:bCs/>
                <w:iCs/>
                <w:color w:val="243285"/>
                <w:sz w:val="44"/>
                <w:szCs w:val="44"/>
              </w:rPr>
            </w:pPr>
          </w:p>
          <w:p w:rsidR="007416C3" w:rsidRPr="007416C3" w:rsidRDefault="007416C3" w:rsidP="00282A7F">
            <w:pPr>
              <w:spacing w:before="80" w:line="500" w:lineRule="exact"/>
              <w:jc w:val="right"/>
              <w:rPr>
                <w:rFonts w:ascii="Tahoma" w:hAnsi="Tahoma" w:cs="Tahoma"/>
                <w:b/>
                <w:bCs/>
                <w:iCs/>
                <w:color w:val="243285"/>
                <w:sz w:val="44"/>
                <w:szCs w:val="44"/>
              </w:rPr>
            </w:pPr>
            <w:r w:rsidRPr="007416C3">
              <w:rPr>
                <w:rFonts w:ascii="Tahoma" w:hAnsi="Tahoma" w:cs="Tahoma"/>
                <w:b/>
                <w:bCs/>
                <w:color w:val="243285"/>
                <w:sz w:val="44"/>
                <w:szCs w:val="44"/>
              </w:rPr>
              <w:t>Systèmes point à multipoint</w:t>
            </w:r>
            <w:r w:rsidR="00282A7F" w:rsidRPr="007416C3">
              <w:rPr>
                <w:rFonts w:ascii="Tahoma" w:hAnsi="Tahoma" w:cs="Tahoma"/>
                <w:b/>
                <w:bCs/>
                <w:color w:val="243285"/>
                <w:sz w:val="44"/>
                <w:szCs w:val="44"/>
              </w:rPr>
              <w:t xml:space="preserve"> utilisés</w:t>
            </w:r>
            <w:r w:rsidRPr="007416C3">
              <w:rPr>
                <w:rFonts w:ascii="Tahoma" w:hAnsi="Tahoma" w:cs="Tahoma"/>
                <w:b/>
                <w:bCs/>
                <w:color w:val="243285"/>
                <w:sz w:val="44"/>
                <w:szCs w:val="44"/>
              </w:rPr>
              <w:t xml:space="preserve"> </w:t>
            </w:r>
            <w:r w:rsidRPr="007416C3">
              <w:rPr>
                <w:rFonts w:ascii="Tahoma" w:hAnsi="Tahoma" w:cs="Tahoma"/>
                <w:b/>
                <w:bCs/>
                <w:color w:val="243285"/>
                <w:sz w:val="44"/>
                <w:szCs w:val="44"/>
              </w:rPr>
              <w:br/>
              <w:t>dans le service fixe</w:t>
            </w:r>
          </w:p>
          <w:p w:rsidR="007416C3" w:rsidRPr="00F54FBD" w:rsidRDefault="007416C3" w:rsidP="00982160">
            <w:pPr>
              <w:spacing w:before="80" w:line="500" w:lineRule="exact"/>
              <w:jc w:val="right"/>
              <w:rPr>
                <w:rFonts w:ascii="Tahoma" w:hAnsi="Tahoma" w:cs="Tahoma"/>
                <w:b/>
                <w:bCs/>
                <w:iCs/>
                <w:color w:val="243285"/>
                <w:sz w:val="44"/>
                <w:szCs w:val="44"/>
              </w:rPr>
            </w:pPr>
          </w:p>
        </w:tc>
      </w:tr>
      <w:tr w:rsidR="007416C3" w:rsidRPr="00F54FBD">
        <w:tc>
          <w:tcPr>
            <w:tcW w:w="10089" w:type="dxa"/>
          </w:tcPr>
          <w:p w:rsidR="007416C3" w:rsidRPr="00F54FBD" w:rsidRDefault="007416C3" w:rsidP="00982160">
            <w:pPr>
              <w:spacing w:before="80" w:line="280" w:lineRule="exact"/>
              <w:ind w:right="640"/>
              <w:rPr>
                <w:rFonts w:ascii="Tahoma" w:hAnsi="Tahoma" w:cs="Tahoma"/>
                <w:b/>
                <w:bCs/>
                <w:iCs/>
                <w:color w:val="243285"/>
                <w:sz w:val="32"/>
                <w:szCs w:val="32"/>
              </w:rPr>
            </w:pPr>
          </w:p>
          <w:p w:rsidR="007416C3" w:rsidRPr="00F54FBD" w:rsidRDefault="007416C3" w:rsidP="00982160">
            <w:pPr>
              <w:spacing w:before="80" w:line="280" w:lineRule="exact"/>
              <w:ind w:right="640"/>
              <w:rPr>
                <w:rFonts w:ascii="Tahoma" w:hAnsi="Tahoma" w:cs="Tahoma"/>
                <w:b/>
                <w:bCs/>
                <w:iCs/>
                <w:color w:val="243285"/>
                <w:sz w:val="32"/>
                <w:szCs w:val="32"/>
              </w:rPr>
            </w:pPr>
          </w:p>
          <w:p w:rsidR="007416C3" w:rsidRPr="00F54FBD" w:rsidRDefault="007416C3" w:rsidP="00982160">
            <w:pPr>
              <w:spacing w:before="80" w:after="180" w:line="360" w:lineRule="exact"/>
              <w:ind w:right="720"/>
              <w:rPr>
                <w:rFonts w:ascii="Tahoma" w:hAnsi="Tahoma" w:cs="Tahoma"/>
                <w:b/>
                <w:bCs/>
                <w:iCs/>
                <w:color w:val="243285"/>
                <w:sz w:val="36"/>
                <w:szCs w:val="36"/>
              </w:rPr>
            </w:pPr>
          </w:p>
          <w:p w:rsidR="007416C3" w:rsidRPr="00F54FBD" w:rsidRDefault="007416C3" w:rsidP="00982160">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7416C3" w:rsidRPr="00F54FBD" w:rsidRDefault="007416C3" w:rsidP="00982160">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7416C3" w:rsidRPr="00F54FBD" w:rsidRDefault="007416C3" w:rsidP="00982160">
      <w:pPr>
        <w:spacing w:before="80"/>
        <w:rPr>
          <w:i/>
          <w:sz w:val="22"/>
        </w:rPr>
      </w:pPr>
    </w:p>
    <w:p w:rsidR="007416C3" w:rsidRPr="00F54FBD" w:rsidRDefault="007416C3" w:rsidP="00982160">
      <w:pPr>
        <w:spacing w:before="80"/>
        <w:rPr>
          <w:i/>
          <w:sz w:val="22"/>
        </w:rPr>
      </w:pPr>
    </w:p>
    <w:p w:rsidR="007416C3" w:rsidRPr="00F54FBD" w:rsidRDefault="007416C3" w:rsidP="00982160">
      <w:pPr>
        <w:spacing w:before="80"/>
        <w:rPr>
          <w:i/>
          <w:sz w:val="22"/>
        </w:rPr>
      </w:pPr>
    </w:p>
    <w:p w:rsidR="007416C3" w:rsidRPr="00F54FBD" w:rsidRDefault="007416C3" w:rsidP="00982160">
      <w:pPr>
        <w:spacing w:before="80"/>
        <w:rPr>
          <w:i/>
          <w:sz w:val="22"/>
        </w:rPr>
      </w:pPr>
    </w:p>
    <w:p w:rsidR="007416C3" w:rsidRPr="00F54FBD" w:rsidRDefault="007416C3" w:rsidP="00982160">
      <w:pPr>
        <w:spacing w:before="80"/>
        <w:rPr>
          <w:i/>
          <w:sz w:val="22"/>
        </w:rPr>
      </w:pPr>
    </w:p>
    <w:p w:rsidR="007416C3" w:rsidRPr="00F54FBD" w:rsidRDefault="007416C3" w:rsidP="00982160">
      <w:pPr>
        <w:spacing w:before="80"/>
        <w:rPr>
          <w:i/>
          <w:sz w:val="22"/>
        </w:rPr>
      </w:pPr>
    </w:p>
    <w:p w:rsidR="007416C3" w:rsidRPr="00F54FBD" w:rsidRDefault="007416C3" w:rsidP="00982160">
      <w:pPr>
        <w:pStyle w:val="Equation"/>
        <w:tabs>
          <w:tab w:val="clear" w:pos="4820"/>
          <w:tab w:val="clear" w:pos="9639"/>
          <w:tab w:val="left" w:pos="1191"/>
          <w:tab w:val="left" w:pos="1588"/>
          <w:tab w:val="left" w:pos="1985"/>
        </w:tabs>
        <w:rPr>
          <w:rFonts w:ascii="Palatino Linotype" w:hAnsi="Palatino Linotype"/>
        </w:rPr>
        <w:sectPr w:rsidR="007416C3" w:rsidRPr="00F54FBD" w:rsidSect="00982160">
          <w:headerReference w:type="even" r:id="rId7"/>
          <w:headerReference w:type="default" r:id="rId8"/>
          <w:pgSz w:w="11907" w:h="16834" w:code="9"/>
          <w:pgMar w:top="1418" w:right="1134" w:bottom="1134" w:left="1134" w:header="720" w:footer="482" w:gutter="0"/>
          <w:paperSrc w:first="15" w:other="15"/>
          <w:cols w:space="720"/>
        </w:sectPr>
      </w:pPr>
    </w:p>
    <w:p w:rsidR="007416C3" w:rsidRPr="00F54FBD" w:rsidRDefault="007416C3" w:rsidP="00982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7416C3" w:rsidRPr="00F54FBD" w:rsidRDefault="007416C3" w:rsidP="0098216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416C3" w:rsidRPr="00F54FBD" w:rsidRDefault="007416C3" w:rsidP="0098216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416C3" w:rsidRPr="00E44CBB" w:rsidRDefault="007416C3" w:rsidP="0098216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416C3" w:rsidRPr="00E44CBB" w:rsidRDefault="007416C3" w:rsidP="00982160">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416C3" w:rsidRPr="007416C3" w:rsidRDefault="007416C3" w:rsidP="0098216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416C3" w:rsidRPr="009454F8">
        <w:tc>
          <w:tcPr>
            <w:tcW w:w="9360" w:type="dxa"/>
            <w:gridSpan w:val="2"/>
          </w:tcPr>
          <w:p w:rsidR="007416C3" w:rsidRPr="009454F8" w:rsidRDefault="007416C3" w:rsidP="00982160">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416C3" w:rsidRPr="009454F8" w:rsidRDefault="007416C3" w:rsidP="00982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7416C3" w:rsidRPr="00036EE3" w:rsidTr="00982160">
        <w:tc>
          <w:tcPr>
            <w:tcW w:w="1140" w:type="dxa"/>
            <w:tcBorders>
              <w:bottom w:val="nil"/>
            </w:tcBorders>
          </w:tcPr>
          <w:p w:rsidR="007416C3" w:rsidRPr="00614CC6" w:rsidRDefault="007416C3" w:rsidP="00982160">
            <w:pPr>
              <w:spacing w:before="90" w:after="100"/>
              <w:ind w:left="57"/>
              <w:rPr>
                <w:b/>
                <w:bCs/>
                <w:sz w:val="20"/>
                <w:lang w:val="en-US"/>
              </w:rPr>
            </w:pPr>
            <w:r w:rsidRPr="00614CC6">
              <w:rPr>
                <w:b/>
                <w:bCs/>
                <w:sz w:val="20"/>
                <w:lang w:val="en-US"/>
              </w:rPr>
              <w:t>Séries</w:t>
            </w:r>
          </w:p>
        </w:tc>
        <w:tc>
          <w:tcPr>
            <w:tcW w:w="8220" w:type="dxa"/>
            <w:tcBorders>
              <w:bottom w:val="nil"/>
            </w:tcBorders>
          </w:tcPr>
          <w:p w:rsidR="007416C3" w:rsidRPr="00614CC6" w:rsidRDefault="007416C3" w:rsidP="00982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416C3" w:rsidRPr="005E427C" w:rsidTr="00982160">
        <w:tc>
          <w:tcPr>
            <w:tcW w:w="1140" w:type="dxa"/>
            <w:tcBorders>
              <w:top w:val="nil"/>
              <w:bottom w:val="nil"/>
            </w:tcBorders>
            <w:shd w:val="clear" w:color="auto" w:fill="auto"/>
          </w:tcPr>
          <w:p w:rsidR="007416C3" w:rsidRPr="005E427C" w:rsidRDefault="007416C3" w:rsidP="00982160">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416C3" w:rsidRPr="005E427C" w:rsidRDefault="007416C3" w:rsidP="00982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416C3" w:rsidRPr="009454F8" w:rsidTr="00982160">
        <w:tc>
          <w:tcPr>
            <w:tcW w:w="1140" w:type="dxa"/>
            <w:tcBorders>
              <w:top w:val="nil"/>
              <w:bottom w:val="nil"/>
            </w:tcBorders>
          </w:tcPr>
          <w:p w:rsidR="007416C3" w:rsidRPr="00614CC6" w:rsidRDefault="007416C3" w:rsidP="00982160">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416C3" w:rsidRPr="00614CC6" w:rsidRDefault="007416C3" w:rsidP="00982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416C3" w:rsidRPr="00E80F1D" w:rsidTr="00982160">
        <w:tc>
          <w:tcPr>
            <w:tcW w:w="1140" w:type="dxa"/>
            <w:tcBorders>
              <w:top w:val="nil"/>
              <w:bottom w:val="nil"/>
            </w:tcBorders>
            <w:shd w:val="clear" w:color="auto" w:fill="auto"/>
          </w:tcPr>
          <w:p w:rsidR="007416C3" w:rsidRPr="00E80F1D" w:rsidRDefault="007416C3" w:rsidP="00982160">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7416C3" w:rsidRPr="00E80F1D" w:rsidRDefault="007416C3" w:rsidP="00982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416C3" w:rsidRPr="00ED2695" w:rsidTr="00982160">
        <w:tc>
          <w:tcPr>
            <w:tcW w:w="1140" w:type="dxa"/>
            <w:tcBorders>
              <w:top w:val="nil"/>
              <w:bottom w:val="nil"/>
            </w:tcBorders>
            <w:shd w:val="clear" w:color="auto" w:fill="auto"/>
          </w:tcPr>
          <w:p w:rsidR="007416C3" w:rsidRPr="00614CC6" w:rsidRDefault="007416C3" w:rsidP="00982160">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7416C3" w:rsidRPr="00614CC6" w:rsidRDefault="007416C3" w:rsidP="00982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416C3" w:rsidRPr="00E80F1D" w:rsidTr="00982160">
        <w:tc>
          <w:tcPr>
            <w:tcW w:w="1140" w:type="dxa"/>
            <w:tcBorders>
              <w:top w:val="nil"/>
              <w:bottom w:val="nil"/>
            </w:tcBorders>
            <w:shd w:val="clear" w:color="auto" w:fill="F3F3F3"/>
          </w:tcPr>
          <w:p w:rsidR="007416C3" w:rsidRPr="00E80F1D" w:rsidRDefault="007416C3" w:rsidP="00982160">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7416C3" w:rsidRPr="00E80F1D" w:rsidRDefault="007416C3" w:rsidP="009821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7416C3" w:rsidRPr="00B21066" w:rsidTr="00982160">
        <w:tc>
          <w:tcPr>
            <w:tcW w:w="1140" w:type="dxa"/>
            <w:tcBorders>
              <w:top w:val="nil"/>
              <w:bottom w:val="nil"/>
            </w:tcBorders>
            <w:shd w:val="clear" w:color="auto" w:fill="auto"/>
          </w:tcPr>
          <w:p w:rsidR="007416C3" w:rsidRPr="00B21066" w:rsidRDefault="007416C3" w:rsidP="00982160">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416C3" w:rsidRPr="00B21066" w:rsidRDefault="007416C3" w:rsidP="009821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416C3" w:rsidRPr="00036EE3" w:rsidTr="00982160">
        <w:tc>
          <w:tcPr>
            <w:tcW w:w="1140" w:type="dxa"/>
            <w:tcBorders>
              <w:top w:val="nil"/>
            </w:tcBorders>
          </w:tcPr>
          <w:p w:rsidR="007416C3" w:rsidRPr="00614CC6" w:rsidRDefault="007416C3" w:rsidP="00982160">
            <w:pPr>
              <w:spacing w:before="30" w:after="30"/>
              <w:ind w:left="57"/>
              <w:jc w:val="left"/>
              <w:rPr>
                <w:b/>
                <w:bCs/>
                <w:sz w:val="20"/>
                <w:lang w:val="fr-CH"/>
              </w:rPr>
            </w:pPr>
            <w:r w:rsidRPr="00614CC6">
              <w:rPr>
                <w:b/>
                <w:bCs/>
                <w:sz w:val="20"/>
                <w:lang w:val="fr-CH"/>
              </w:rPr>
              <w:t>P</w:t>
            </w:r>
          </w:p>
        </w:tc>
        <w:tc>
          <w:tcPr>
            <w:tcW w:w="8220" w:type="dxa"/>
            <w:tcBorders>
              <w:top w:val="nil"/>
            </w:tcBorders>
          </w:tcPr>
          <w:p w:rsidR="007416C3" w:rsidRPr="00614CC6" w:rsidRDefault="007416C3" w:rsidP="00982160">
            <w:pPr>
              <w:spacing w:before="30" w:after="30"/>
              <w:jc w:val="left"/>
              <w:rPr>
                <w:sz w:val="20"/>
                <w:lang w:val="fr-CH"/>
              </w:rPr>
            </w:pPr>
            <w:r w:rsidRPr="00614CC6">
              <w:rPr>
                <w:sz w:val="20"/>
              </w:rPr>
              <w:t>Propagation des ondes radioélectriques</w:t>
            </w:r>
          </w:p>
        </w:tc>
      </w:tr>
      <w:tr w:rsidR="007416C3" w:rsidRPr="00036EE3">
        <w:tc>
          <w:tcPr>
            <w:tcW w:w="1140" w:type="dxa"/>
          </w:tcPr>
          <w:p w:rsidR="007416C3" w:rsidRPr="00614CC6" w:rsidRDefault="007416C3" w:rsidP="00982160">
            <w:pPr>
              <w:spacing w:before="30" w:after="30"/>
              <w:ind w:left="57"/>
              <w:jc w:val="left"/>
              <w:rPr>
                <w:b/>
                <w:bCs/>
                <w:sz w:val="20"/>
                <w:lang w:val="en-US"/>
              </w:rPr>
            </w:pPr>
            <w:r w:rsidRPr="00614CC6">
              <w:rPr>
                <w:b/>
                <w:bCs/>
                <w:sz w:val="20"/>
                <w:lang w:val="en-US"/>
              </w:rPr>
              <w:t>RA</w:t>
            </w:r>
          </w:p>
        </w:tc>
        <w:tc>
          <w:tcPr>
            <w:tcW w:w="8220" w:type="dxa"/>
          </w:tcPr>
          <w:p w:rsidR="007416C3" w:rsidRPr="00614CC6" w:rsidRDefault="007416C3" w:rsidP="009821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416C3" w:rsidRPr="00036EE3">
        <w:tc>
          <w:tcPr>
            <w:tcW w:w="1140" w:type="dxa"/>
          </w:tcPr>
          <w:p w:rsidR="007416C3" w:rsidRPr="00614CC6" w:rsidRDefault="007416C3" w:rsidP="00982160">
            <w:pPr>
              <w:spacing w:before="30" w:after="30"/>
              <w:ind w:left="57"/>
              <w:jc w:val="left"/>
              <w:rPr>
                <w:b/>
                <w:bCs/>
                <w:sz w:val="20"/>
                <w:lang w:val="en-US"/>
              </w:rPr>
            </w:pPr>
            <w:r w:rsidRPr="00614CC6">
              <w:rPr>
                <w:b/>
                <w:bCs/>
                <w:sz w:val="20"/>
                <w:lang w:val="en-US"/>
              </w:rPr>
              <w:t>RS</w:t>
            </w:r>
          </w:p>
        </w:tc>
        <w:tc>
          <w:tcPr>
            <w:tcW w:w="8220" w:type="dxa"/>
          </w:tcPr>
          <w:p w:rsidR="007416C3" w:rsidRPr="00614CC6" w:rsidRDefault="007416C3" w:rsidP="009821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416C3" w:rsidRPr="00036EE3">
        <w:tc>
          <w:tcPr>
            <w:tcW w:w="1140" w:type="dxa"/>
          </w:tcPr>
          <w:p w:rsidR="007416C3" w:rsidRPr="00614CC6" w:rsidRDefault="007416C3" w:rsidP="00982160">
            <w:pPr>
              <w:spacing w:before="30" w:after="30"/>
              <w:ind w:left="57"/>
              <w:jc w:val="left"/>
              <w:rPr>
                <w:b/>
                <w:bCs/>
                <w:sz w:val="20"/>
                <w:lang w:val="en-US"/>
              </w:rPr>
            </w:pPr>
            <w:r w:rsidRPr="00614CC6">
              <w:rPr>
                <w:b/>
                <w:bCs/>
                <w:sz w:val="20"/>
                <w:lang w:val="en-US"/>
              </w:rPr>
              <w:t>S</w:t>
            </w:r>
          </w:p>
        </w:tc>
        <w:tc>
          <w:tcPr>
            <w:tcW w:w="8220" w:type="dxa"/>
          </w:tcPr>
          <w:p w:rsidR="007416C3" w:rsidRPr="00614CC6" w:rsidRDefault="007416C3" w:rsidP="00982160">
            <w:pPr>
              <w:spacing w:before="30" w:after="30"/>
              <w:jc w:val="left"/>
              <w:rPr>
                <w:sz w:val="20"/>
                <w:lang w:val="en-US"/>
              </w:rPr>
            </w:pPr>
            <w:r w:rsidRPr="00614CC6">
              <w:rPr>
                <w:sz w:val="20"/>
              </w:rPr>
              <w:t>Service fixe par satellite</w:t>
            </w:r>
          </w:p>
        </w:tc>
      </w:tr>
      <w:tr w:rsidR="007416C3" w:rsidRPr="00036EE3">
        <w:tc>
          <w:tcPr>
            <w:tcW w:w="1140" w:type="dxa"/>
          </w:tcPr>
          <w:p w:rsidR="007416C3" w:rsidRPr="00614CC6" w:rsidRDefault="007416C3" w:rsidP="00982160">
            <w:pPr>
              <w:spacing w:before="30" w:after="30"/>
              <w:ind w:left="57"/>
              <w:jc w:val="left"/>
              <w:rPr>
                <w:b/>
                <w:bCs/>
                <w:sz w:val="20"/>
                <w:lang w:val="en-US"/>
              </w:rPr>
            </w:pPr>
            <w:r w:rsidRPr="00614CC6">
              <w:rPr>
                <w:b/>
                <w:bCs/>
                <w:sz w:val="20"/>
                <w:lang w:val="en-US"/>
              </w:rPr>
              <w:t>SA</w:t>
            </w:r>
          </w:p>
        </w:tc>
        <w:tc>
          <w:tcPr>
            <w:tcW w:w="8220" w:type="dxa"/>
          </w:tcPr>
          <w:p w:rsidR="007416C3" w:rsidRPr="00614CC6" w:rsidRDefault="007416C3" w:rsidP="00982160">
            <w:pPr>
              <w:spacing w:before="30" w:after="30"/>
              <w:jc w:val="left"/>
              <w:rPr>
                <w:sz w:val="20"/>
                <w:lang w:val="en-US"/>
              </w:rPr>
            </w:pPr>
            <w:r w:rsidRPr="00614CC6">
              <w:rPr>
                <w:sz w:val="20"/>
              </w:rPr>
              <w:t>Applications spatiales et météorologie</w:t>
            </w:r>
          </w:p>
        </w:tc>
      </w:tr>
      <w:tr w:rsidR="007416C3" w:rsidRPr="00614CC6">
        <w:tc>
          <w:tcPr>
            <w:tcW w:w="1140" w:type="dxa"/>
          </w:tcPr>
          <w:p w:rsidR="007416C3" w:rsidRPr="00614CC6" w:rsidRDefault="007416C3" w:rsidP="00982160">
            <w:pPr>
              <w:spacing w:before="30" w:after="30"/>
              <w:ind w:left="57"/>
              <w:jc w:val="left"/>
              <w:rPr>
                <w:b/>
                <w:bCs/>
                <w:sz w:val="20"/>
                <w:lang w:val="en-US"/>
              </w:rPr>
            </w:pPr>
            <w:r w:rsidRPr="00614CC6">
              <w:rPr>
                <w:b/>
                <w:bCs/>
                <w:sz w:val="20"/>
                <w:lang w:val="en-US"/>
              </w:rPr>
              <w:t>SF</w:t>
            </w:r>
          </w:p>
        </w:tc>
        <w:tc>
          <w:tcPr>
            <w:tcW w:w="8220" w:type="dxa"/>
          </w:tcPr>
          <w:p w:rsidR="007416C3" w:rsidRPr="00614CC6" w:rsidRDefault="007416C3" w:rsidP="00982160">
            <w:pPr>
              <w:spacing w:before="30" w:after="30"/>
              <w:jc w:val="left"/>
              <w:rPr>
                <w:sz w:val="20"/>
              </w:rPr>
            </w:pPr>
            <w:r w:rsidRPr="00614CC6">
              <w:rPr>
                <w:sz w:val="20"/>
              </w:rPr>
              <w:t>Partage des fréquences et coordination entre les systèmes du service fixe par satellite et du service fixe</w:t>
            </w:r>
          </w:p>
        </w:tc>
      </w:tr>
      <w:tr w:rsidR="007416C3" w:rsidRPr="00036EE3">
        <w:tc>
          <w:tcPr>
            <w:tcW w:w="1140" w:type="dxa"/>
            <w:shd w:val="clear" w:color="auto" w:fill="auto"/>
          </w:tcPr>
          <w:p w:rsidR="007416C3" w:rsidRPr="00592F9F" w:rsidRDefault="007416C3" w:rsidP="00982160">
            <w:pPr>
              <w:spacing w:before="30" w:after="30"/>
              <w:ind w:left="57"/>
              <w:jc w:val="left"/>
              <w:rPr>
                <w:b/>
                <w:bCs/>
                <w:sz w:val="20"/>
                <w:lang w:val="en-US"/>
              </w:rPr>
            </w:pPr>
            <w:r w:rsidRPr="00592F9F">
              <w:rPr>
                <w:b/>
                <w:bCs/>
                <w:sz w:val="20"/>
                <w:lang w:val="en-US"/>
              </w:rPr>
              <w:t>SM</w:t>
            </w:r>
          </w:p>
        </w:tc>
        <w:tc>
          <w:tcPr>
            <w:tcW w:w="8220" w:type="dxa"/>
            <w:shd w:val="clear" w:color="auto" w:fill="auto"/>
          </w:tcPr>
          <w:p w:rsidR="007416C3" w:rsidRPr="00592F9F" w:rsidRDefault="007416C3" w:rsidP="00982160">
            <w:pPr>
              <w:spacing w:before="30" w:after="30"/>
              <w:jc w:val="left"/>
              <w:rPr>
                <w:sz w:val="20"/>
                <w:lang w:val="en-US"/>
              </w:rPr>
            </w:pPr>
            <w:r w:rsidRPr="00592F9F">
              <w:rPr>
                <w:sz w:val="20"/>
              </w:rPr>
              <w:t>Gestion du spectre</w:t>
            </w:r>
          </w:p>
        </w:tc>
      </w:tr>
      <w:tr w:rsidR="007416C3" w:rsidRPr="00036EE3">
        <w:tc>
          <w:tcPr>
            <w:tcW w:w="1140" w:type="dxa"/>
          </w:tcPr>
          <w:p w:rsidR="007416C3" w:rsidRPr="00614CC6" w:rsidRDefault="007416C3" w:rsidP="00982160">
            <w:pPr>
              <w:spacing w:before="30" w:after="30"/>
              <w:ind w:left="57"/>
              <w:jc w:val="left"/>
              <w:rPr>
                <w:b/>
                <w:bCs/>
                <w:sz w:val="20"/>
                <w:lang w:val="en-US"/>
              </w:rPr>
            </w:pPr>
            <w:r w:rsidRPr="00614CC6">
              <w:rPr>
                <w:b/>
                <w:bCs/>
                <w:sz w:val="20"/>
                <w:lang w:val="en-US"/>
              </w:rPr>
              <w:t>SNG</w:t>
            </w:r>
          </w:p>
        </w:tc>
        <w:tc>
          <w:tcPr>
            <w:tcW w:w="8220" w:type="dxa"/>
          </w:tcPr>
          <w:p w:rsidR="007416C3" w:rsidRPr="00614CC6" w:rsidRDefault="007416C3" w:rsidP="00982160">
            <w:pPr>
              <w:spacing w:before="30" w:after="30"/>
              <w:jc w:val="left"/>
              <w:rPr>
                <w:sz w:val="20"/>
                <w:lang w:val="en-US"/>
              </w:rPr>
            </w:pPr>
            <w:r w:rsidRPr="00614CC6">
              <w:rPr>
                <w:sz w:val="20"/>
              </w:rPr>
              <w:t>Reportage d'actualités par satellite</w:t>
            </w:r>
          </w:p>
        </w:tc>
      </w:tr>
      <w:tr w:rsidR="007416C3" w:rsidRPr="00614CC6">
        <w:tc>
          <w:tcPr>
            <w:tcW w:w="1140" w:type="dxa"/>
          </w:tcPr>
          <w:p w:rsidR="007416C3" w:rsidRPr="00614CC6" w:rsidRDefault="007416C3" w:rsidP="00982160">
            <w:pPr>
              <w:spacing w:before="30" w:after="30"/>
              <w:ind w:left="57"/>
              <w:jc w:val="left"/>
              <w:rPr>
                <w:b/>
                <w:bCs/>
                <w:sz w:val="20"/>
                <w:lang w:val="en-US"/>
              </w:rPr>
            </w:pPr>
            <w:r w:rsidRPr="00614CC6">
              <w:rPr>
                <w:b/>
                <w:bCs/>
                <w:sz w:val="20"/>
                <w:lang w:val="en-US"/>
              </w:rPr>
              <w:t>TF</w:t>
            </w:r>
          </w:p>
        </w:tc>
        <w:tc>
          <w:tcPr>
            <w:tcW w:w="8220" w:type="dxa"/>
          </w:tcPr>
          <w:p w:rsidR="007416C3" w:rsidRPr="00614CC6" w:rsidRDefault="007416C3" w:rsidP="00982160">
            <w:pPr>
              <w:spacing w:before="30" w:after="30"/>
              <w:jc w:val="left"/>
              <w:rPr>
                <w:sz w:val="20"/>
              </w:rPr>
            </w:pPr>
            <w:r w:rsidRPr="00614CC6">
              <w:rPr>
                <w:sz w:val="20"/>
              </w:rPr>
              <w:t>Emissions de fréquences étalon et de signaux horaires</w:t>
            </w:r>
          </w:p>
        </w:tc>
      </w:tr>
      <w:tr w:rsidR="007416C3" w:rsidRPr="00036EE3">
        <w:tc>
          <w:tcPr>
            <w:tcW w:w="1140" w:type="dxa"/>
          </w:tcPr>
          <w:p w:rsidR="007416C3" w:rsidRPr="00614CC6" w:rsidRDefault="007416C3" w:rsidP="00982160">
            <w:pPr>
              <w:spacing w:before="30" w:after="30"/>
              <w:ind w:left="57"/>
              <w:jc w:val="left"/>
              <w:rPr>
                <w:b/>
                <w:bCs/>
                <w:sz w:val="20"/>
                <w:lang w:val="en-US"/>
              </w:rPr>
            </w:pPr>
            <w:r w:rsidRPr="00614CC6">
              <w:rPr>
                <w:b/>
                <w:bCs/>
                <w:sz w:val="20"/>
                <w:lang w:val="en-US"/>
              </w:rPr>
              <w:t>V</w:t>
            </w:r>
          </w:p>
        </w:tc>
        <w:tc>
          <w:tcPr>
            <w:tcW w:w="8220" w:type="dxa"/>
          </w:tcPr>
          <w:p w:rsidR="007416C3" w:rsidRPr="00614CC6" w:rsidRDefault="007416C3" w:rsidP="00982160">
            <w:pPr>
              <w:spacing w:before="30" w:after="140"/>
              <w:jc w:val="left"/>
              <w:rPr>
                <w:sz w:val="20"/>
                <w:lang w:val="en-US"/>
              </w:rPr>
            </w:pPr>
            <w:r w:rsidRPr="00614CC6">
              <w:rPr>
                <w:sz w:val="20"/>
              </w:rPr>
              <w:t>Vocabulaire et sujets associés</w:t>
            </w:r>
          </w:p>
        </w:tc>
      </w:tr>
    </w:tbl>
    <w:p w:rsidR="007416C3" w:rsidRPr="00036EE3" w:rsidRDefault="007416C3" w:rsidP="00982160">
      <w:pPr>
        <w:spacing w:before="0"/>
        <w:jc w:val="center"/>
        <w:rPr>
          <w:sz w:val="20"/>
          <w:lang w:val="en-US"/>
        </w:rPr>
      </w:pPr>
    </w:p>
    <w:p w:rsidR="007416C3" w:rsidRPr="00036EE3" w:rsidRDefault="007416C3" w:rsidP="0098216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416C3" w:rsidRPr="00756B4D">
        <w:tc>
          <w:tcPr>
            <w:tcW w:w="9360" w:type="dxa"/>
          </w:tcPr>
          <w:p w:rsidR="007416C3" w:rsidRPr="00756B4D" w:rsidRDefault="007416C3" w:rsidP="00982160">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7416C3" w:rsidRPr="00756B4D" w:rsidRDefault="007416C3" w:rsidP="00982160">
      <w:pPr>
        <w:spacing w:before="0"/>
        <w:jc w:val="center"/>
        <w:rPr>
          <w:sz w:val="22"/>
        </w:rPr>
      </w:pPr>
    </w:p>
    <w:p w:rsidR="007416C3" w:rsidRPr="00614CC6" w:rsidRDefault="007416C3" w:rsidP="00982160">
      <w:pPr>
        <w:spacing w:before="100"/>
        <w:jc w:val="right"/>
        <w:rPr>
          <w:i/>
          <w:iCs/>
          <w:sz w:val="20"/>
        </w:rPr>
      </w:pPr>
      <w:r w:rsidRPr="00614CC6">
        <w:rPr>
          <w:i/>
          <w:iCs/>
          <w:sz w:val="20"/>
        </w:rPr>
        <w:t>Publication électronique</w:t>
      </w:r>
    </w:p>
    <w:p w:rsidR="007416C3" w:rsidRPr="00614CC6" w:rsidRDefault="007416C3" w:rsidP="00982160">
      <w:pPr>
        <w:spacing w:before="0"/>
        <w:jc w:val="right"/>
        <w:rPr>
          <w:sz w:val="20"/>
        </w:rPr>
      </w:pPr>
      <w:r w:rsidRPr="00614CC6">
        <w:rPr>
          <w:sz w:val="20"/>
        </w:rPr>
        <w:t>Genève, 20</w:t>
      </w:r>
      <w:r>
        <w:rPr>
          <w:sz w:val="20"/>
        </w:rPr>
        <w:t>10</w:t>
      </w:r>
    </w:p>
    <w:p w:rsidR="007416C3" w:rsidRPr="00614CC6" w:rsidRDefault="007416C3" w:rsidP="00982160">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7416C3" w:rsidRPr="00614CC6" w:rsidRDefault="007416C3" w:rsidP="0098216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416C3" w:rsidRPr="00614CC6" w:rsidRDefault="007416C3" w:rsidP="00982160">
      <w:pPr>
        <w:spacing w:before="160"/>
        <w:rPr>
          <w:i/>
          <w:sz w:val="20"/>
          <w:highlight w:val="yellow"/>
        </w:rPr>
        <w:sectPr w:rsidR="007416C3" w:rsidRPr="00614CC6" w:rsidSect="00982160">
          <w:headerReference w:type="even" r:id="rId11"/>
          <w:headerReference w:type="default" r:id="rId12"/>
          <w:pgSz w:w="11907" w:h="16834" w:code="9"/>
          <w:pgMar w:top="1418" w:right="1134" w:bottom="1134" w:left="1134" w:header="720" w:footer="482" w:gutter="0"/>
          <w:pgNumType w:fmt="lowerRoman" w:start="2"/>
          <w:cols w:space="720"/>
        </w:sectPr>
      </w:pPr>
    </w:p>
    <w:p w:rsidR="007416C3" w:rsidRPr="00982160" w:rsidRDefault="007416C3" w:rsidP="0011305B">
      <w:pPr>
        <w:pStyle w:val="RecNo"/>
        <w:spacing w:before="0"/>
        <w:rPr>
          <w:sz w:val="18"/>
          <w:szCs w:val="18"/>
        </w:rPr>
      </w:pPr>
      <w:bookmarkStart w:id="2" w:name="irecnoe"/>
      <w:bookmarkEnd w:id="2"/>
      <w:r w:rsidRPr="00982160">
        <w:rPr>
          <w:sz w:val="20"/>
        </w:rPr>
        <w:lastRenderedPageBreak/>
        <w:t xml:space="preserve">RECOMMANDATION  </w:t>
      </w:r>
      <w:r w:rsidRPr="00982160">
        <w:rPr>
          <w:rStyle w:val="href"/>
          <w:sz w:val="20"/>
        </w:rPr>
        <w:t>UIT-R  F.755-2</w:t>
      </w:r>
      <w:r w:rsidRPr="00CC6C53">
        <w:rPr>
          <w:sz w:val="24"/>
          <w:szCs w:val="24"/>
          <w:vertAlign w:val="superscript"/>
        </w:rPr>
        <w:footnoteReference w:customMarkFollows="1" w:id="1"/>
        <w:t xml:space="preserve">*, </w:t>
      </w:r>
      <w:r w:rsidR="00982160" w:rsidRPr="00CC6C53">
        <w:rPr>
          <w:sz w:val="24"/>
          <w:szCs w:val="24"/>
          <w:vertAlign w:val="superscript"/>
        </w:rPr>
        <w:footnoteReference w:id="2"/>
      </w:r>
    </w:p>
    <w:p w:rsidR="007416C3" w:rsidRPr="00982160" w:rsidRDefault="007416C3" w:rsidP="00F45DBE">
      <w:pPr>
        <w:pStyle w:val="RecTitle0"/>
        <w:rPr>
          <w:lang w:val="fr-FR"/>
        </w:rPr>
      </w:pPr>
      <w:r w:rsidRPr="00982160">
        <w:rPr>
          <w:lang w:val="fr-FR"/>
        </w:rPr>
        <w:t>SYSTÈMES  POINT  À  MULTIPOINT  UTILISÉS  DANS  LE  SERVICE  FIXE</w:t>
      </w:r>
    </w:p>
    <w:p w:rsidR="007416C3" w:rsidRPr="00982160" w:rsidRDefault="007416C3" w:rsidP="00F45DBE">
      <w:pPr>
        <w:pStyle w:val="RecTitleDate"/>
        <w:rPr>
          <w:lang w:val="fr-FR"/>
        </w:rPr>
      </w:pPr>
      <w:bookmarkStart w:id="3" w:name="recibido"/>
      <w:bookmarkEnd w:id="3"/>
      <w:r w:rsidRPr="00982160">
        <w:rPr>
          <w:lang w:val="fr-FR"/>
        </w:rPr>
        <w:t>(1992-1994-1999)</w:t>
      </w:r>
    </w:p>
    <w:p w:rsidR="007416C3" w:rsidRPr="00657A63" w:rsidRDefault="007416C3" w:rsidP="00F45DBE">
      <w:pPr>
        <w:pStyle w:val="headfoot"/>
        <w:rPr>
          <w:sz w:val="24"/>
          <w:szCs w:val="24"/>
          <w:lang w:val="fr-FR"/>
        </w:rPr>
      </w:pPr>
      <w:r w:rsidRPr="00657A63">
        <w:rPr>
          <w:sz w:val="24"/>
          <w:szCs w:val="24"/>
          <w:lang w:val="fr-FR"/>
        </w:rPr>
        <w:t>Rec. UIT-R F.755-2</w:t>
      </w:r>
    </w:p>
    <w:p w:rsidR="007416C3" w:rsidRPr="00982160" w:rsidRDefault="007416C3" w:rsidP="00F45DBE">
      <w:pPr>
        <w:pStyle w:val="HeadingSum"/>
        <w:rPr>
          <w:sz w:val="18"/>
          <w:szCs w:val="18"/>
          <w:lang w:val="fr-CH"/>
        </w:rPr>
      </w:pPr>
      <w:r w:rsidRPr="00982160">
        <w:rPr>
          <w:sz w:val="18"/>
          <w:szCs w:val="18"/>
          <w:lang w:val="fr-CH"/>
        </w:rPr>
        <w:t>Champ d'application</w:t>
      </w:r>
    </w:p>
    <w:p w:rsidR="007416C3" w:rsidRPr="00CC6C53" w:rsidRDefault="007416C3" w:rsidP="00F45DBE">
      <w:pPr>
        <w:pStyle w:val="Summary"/>
        <w:rPr>
          <w:sz w:val="18"/>
          <w:szCs w:val="18"/>
          <w:lang w:val="fr-CH"/>
        </w:rPr>
      </w:pPr>
      <w:r w:rsidRPr="00CC6C53">
        <w:rPr>
          <w:sz w:val="18"/>
          <w:szCs w:val="18"/>
          <w:lang w:val="fr-CH"/>
        </w:rPr>
        <w:t>La présente Recommandation traite des systèmes point à multipoint, notamment les principes de fonctionnement et les principales caractéristiques de système des applications haute densité du service fixe dans la bande 25-32 GHz. On y trouvera en outre des informations techniques sur les systèmes point à multipoint fonctionnant à 3,5 GHz, 10,4 GHz, 26/28 GHz et 32 GHz.</w:t>
      </w:r>
    </w:p>
    <w:p w:rsidR="007416C3" w:rsidRPr="00982160" w:rsidRDefault="007416C3" w:rsidP="00F45DBE">
      <w:pPr>
        <w:pStyle w:val="Normalaftertitle"/>
        <w:rPr>
          <w:sz w:val="20"/>
        </w:rPr>
      </w:pPr>
      <w:r w:rsidRPr="00982160">
        <w:rPr>
          <w:sz w:val="20"/>
        </w:rPr>
        <w:t>L'Assemblée des radiocommunications de l'UIT,</w:t>
      </w:r>
    </w:p>
    <w:p w:rsidR="007416C3" w:rsidRPr="00982160" w:rsidRDefault="007416C3" w:rsidP="00F45DBE">
      <w:pPr>
        <w:pStyle w:val="call0"/>
        <w:rPr>
          <w:lang w:val="fr-FR"/>
        </w:rPr>
      </w:pPr>
      <w:r w:rsidRPr="00982160">
        <w:rPr>
          <w:lang w:val="fr-FR"/>
        </w:rPr>
        <w:t>considérant</w:t>
      </w:r>
    </w:p>
    <w:p w:rsidR="007416C3" w:rsidRPr="00982160" w:rsidRDefault="007416C3" w:rsidP="00F45DBE">
      <w:pPr>
        <w:rPr>
          <w:sz w:val="20"/>
        </w:rPr>
      </w:pPr>
      <w:r w:rsidRPr="00982160">
        <w:rPr>
          <w:sz w:val="20"/>
        </w:rPr>
        <w:t>a)</w:t>
      </w:r>
      <w:r w:rsidRPr="00982160">
        <w:rPr>
          <w:sz w:val="20"/>
        </w:rPr>
        <w:tab/>
        <w:t>que différents services, applications et scénarios de déploiement font appel à des configurations de systèmes point à multipoint (P-MP) également différents;</w:t>
      </w:r>
    </w:p>
    <w:p w:rsidR="007416C3" w:rsidRPr="00982160" w:rsidRDefault="007416C3" w:rsidP="00F45DBE">
      <w:pPr>
        <w:rPr>
          <w:sz w:val="20"/>
        </w:rPr>
      </w:pPr>
      <w:r w:rsidRPr="00982160">
        <w:rPr>
          <w:sz w:val="20"/>
        </w:rPr>
        <w:t>b)</w:t>
      </w:r>
      <w:r w:rsidRPr="00982160">
        <w:rPr>
          <w:sz w:val="20"/>
        </w:rPr>
        <w:tab/>
        <w:t>que les systèmes P-MP du service fixe sont utilisés dans diverses bandes de fréquences, selon les services assurés et le scénario de déploiement considéré;</w:t>
      </w:r>
    </w:p>
    <w:p w:rsidR="007416C3" w:rsidRPr="00982160" w:rsidRDefault="007416C3" w:rsidP="00F45DBE">
      <w:pPr>
        <w:rPr>
          <w:sz w:val="20"/>
        </w:rPr>
      </w:pPr>
      <w:r w:rsidRPr="00982160">
        <w:rPr>
          <w:sz w:val="20"/>
        </w:rPr>
        <w:t>c)</w:t>
      </w:r>
      <w:r w:rsidRPr="00982160">
        <w:rPr>
          <w:sz w:val="20"/>
        </w:rPr>
        <w:tab/>
        <w:t>que l'on peut minimiser les brouillages et optimiser l'utilisation du spectre grâce à un contrôle satisfaisant des émissions, des techniques d'accès appropriées et une modulation efficace;</w:t>
      </w:r>
    </w:p>
    <w:p w:rsidR="007416C3" w:rsidRPr="00982160" w:rsidRDefault="007416C3" w:rsidP="00F45DBE">
      <w:pPr>
        <w:rPr>
          <w:sz w:val="20"/>
        </w:rPr>
      </w:pPr>
      <w:r w:rsidRPr="00982160">
        <w:rPr>
          <w:sz w:val="20"/>
        </w:rPr>
        <w:t>d)</w:t>
      </w:r>
      <w:r w:rsidRPr="00982160">
        <w:rPr>
          <w:sz w:val="20"/>
        </w:rPr>
        <w:tab/>
        <w:t>que les systèmes P-MP peuvent offrir une qualité de fonctionnement et répondre à des objectifs de disponibilité comparables à ceux des systèmes filaires;</w:t>
      </w:r>
    </w:p>
    <w:p w:rsidR="007416C3" w:rsidRPr="00982160" w:rsidRDefault="007416C3" w:rsidP="00F45DBE">
      <w:pPr>
        <w:rPr>
          <w:sz w:val="20"/>
        </w:rPr>
      </w:pPr>
      <w:r w:rsidRPr="00982160">
        <w:rPr>
          <w:sz w:val="20"/>
        </w:rPr>
        <w:t>e)</w:t>
      </w:r>
      <w:r w:rsidRPr="00982160">
        <w:rPr>
          <w:sz w:val="20"/>
        </w:rPr>
        <w:tab/>
        <w:t>que les systèmes P-MP utilisent habituellement des antennes équidirectives ou des antennes sectorielles ou encore des antennes à faisceaux multiples dans la station centrale et des antennes directives dans les stations terminales et/ou dans les répéteurs;</w:t>
      </w:r>
    </w:p>
    <w:p w:rsidR="007416C3" w:rsidRPr="00982160" w:rsidRDefault="007416C3" w:rsidP="00F45DBE">
      <w:pPr>
        <w:rPr>
          <w:sz w:val="20"/>
        </w:rPr>
      </w:pPr>
      <w:r w:rsidRPr="00982160">
        <w:rPr>
          <w:sz w:val="20"/>
        </w:rPr>
        <w:t>f)</w:t>
      </w:r>
      <w:r w:rsidRPr="00982160">
        <w:rPr>
          <w:sz w:val="20"/>
        </w:rPr>
        <w:tab/>
        <w:t>que les diverses applications sont adaptées aux différentes parties du spectre, en fonction de la capacité, de la zone de couverture, de la longueur du trajet et de l'emplacement (zone rurale, banlieue, zone urbaine, etc.);</w:t>
      </w:r>
    </w:p>
    <w:p w:rsidR="007416C3" w:rsidRPr="00982160" w:rsidRDefault="007416C3" w:rsidP="00F45DBE">
      <w:pPr>
        <w:rPr>
          <w:sz w:val="20"/>
        </w:rPr>
      </w:pPr>
      <w:r w:rsidRPr="00982160">
        <w:rPr>
          <w:sz w:val="20"/>
        </w:rPr>
        <w:t>g)</w:t>
      </w:r>
      <w:r w:rsidRPr="00982160">
        <w:rPr>
          <w:sz w:val="20"/>
        </w:rPr>
        <w:tab/>
        <w:t>que les systèmes P-MP conviennent aux configurations à haute densité;</w:t>
      </w:r>
    </w:p>
    <w:p w:rsidR="007416C3" w:rsidRPr="00982160" w:rsidRDefault="007416C3" w:rsidP="00F45DBE">
      <w:pPr>
        <w:rPr>
          <w:sz w:val="20"/>
        </w:rPr>
      </w:pPr>
      <w:r w:rsidRPr="00982160">
        <w:rPr>
          <w:sz w:val="20"/>
        </w:rPr>
        <w:t>h)</w:t>
      </w:r>
      <w:r w:rsidRPr="00982160">
        <w:rPr>
          <w:sz w:val="20"/>
        </w:rPr>
        <w:tab/>
        <w:t>qu'il est nécessaire de préciser les caractéristiques d'exploitation des systèmes P-MP afin de déterminer des critères appropriés pour ce qui est des brouillages dans un même service ou entre services,</w:t>
      </w:r>
    </w:p>
    <w:p w:rsidR="007416C3" w:rsidRPr="00982160" w:rsidRDefault="007416C3" w:rsidP="00F45DBE">
      <w:pPr>
        <w:pStyle w:val="call0"/>
        <w:rPr>
          <w:lang w:val="fr-FR"/>
        </w:rPr>
      </w:pPr>
      <w:r w:rsidRPr="00982160">
        <w:rPr>
          <w:lang w:val="fr-FR"/>
        </w:rPr>
        <w:t>recommande</w:t>
      </w:r>
    </w:p>
    <w:p w:rsidR="007416C3" w:rsidRPr="00982160" w:rsidRDefault="007416C3" w:rsidP="00F45DBE">
      <w:pPr>
        <w:rPr>
          <w:sz w:val="20"/>
        </w:rPr>
      </w:pPr>
      <w:r w:rsidRPr="00982160">
        <w:rPr>
          <w:b/>
          <w:sz w:val="20"/>
        </w:rPr>
        <w:t>1</w:t>
      </w:r>
      <w:r w:rsidRPr="00982160">
        <w:rPr>
          <w:sz w:val="20"/>
        </w:rPr>
        <w:tab/>
        <w:t>de se référer à la Recommandation UIT-R F.1103 pour les systèmes P-MP utilisant les techniques d'accès multiple par répartition dans le temps (AMRT), employés comme concentrateurs radioélectriques;</w:t>
      </w:r>
    </w:p>
    <w:p w:rsidR="007416C3" w:rsidRPr="00982160" w:rsidRDefault="007416C3" w:rsidP="00F45DBE">
      <w:pPr>
        <w:rPr>
          <w:sz w:val="20"/>
        </w:rPr>
      </w:pPr>
      <w:r w:rsidRPr="00982160">
        <w:rPr>
          <w:b/>
          <w:sz w:val="20"/>
        </w:rPr>
        <w:t>2</w:t>
      </w:r>
      <w:r w:rsidRPr="00982160">
        <w:rPr>
          <w:sz w:val="20"/>
        </w:rPr>
        <w:tab/>
        <w:t>de se référer aux Recommandations UIT-R F.701, UIT-R F.1098, UIT-R F.1242 et UIT-R F.1243 pour les dispositions de canaux radioélectriques dans le cas de systèmes radioélectriques P-MP analogiques et numériques fonctionnant dans des bandes de fréquences comprises entre 1</w:t>
      </w:r>
      <w:r w:rsidRPr="00982160">
        <w:rPr>
          <w:rFonts w:ascii="Tms Rmn" w:hAnsi="Tms Rmn"/>
          <w:sz w:val="20"/>
        </w:rPr>
        <w:t> </w:t>
      </w:r>
      <w:r w:rsidRPr="00982160">
        <w:rPr>
          <w:sz w:val="20"/>
        </w:rPr>
        <w:t>427 et 2</w:t>
      </w:r>
      <w:r w:rsidRPr="00982160">
        <w:rPr>
          <w:rFonts w:ascii="Tms Rmn" w:hAnsi="Tms Rmn"/>
          <w:sz w:val="20"/>
        </w:rPr>
        <w:t> </w:t>
      </w:r>
      <w:r w:rsidRPr="00982160">
        <w:rPr>
          <w:sz w:val="20"/>
        </w:rPr>
        <w:t>690 MHz;</w:t>
      </w:r>
    </w:p>
    <w:p w:rsidR="007416C3" w:rsidRPr="00982160" w:rsidRDefault="007416C3" w:rsidP="00F45DBE">
      <w:pPr>
        <w:rPr>
          <w:sz w:val="20"/>
        </w:rPr>
      </w:pPr>
      <w:r w:rsidRPr="00982160">
        <w:rPr>
          <w:b/>
          <w:sz w:val="20"/>
        </w:rPr>
        <w:t>3</w:t>
      </w:r>
      <w:r w:rsidRPr="00982160">
        <w:rPr>
          <w:sz w:val="20"/>
        </w:rPr>
        <w:tab/>
        <w:t>qu'en ce qui concerne les services de distribution vidéo multipoint à un seul canal ou à plusieurs canaux, on peut se référer à l'Annexe 1 pour la description d'une utilisation particulière;</w:t>
      </w:r>
    </w:p>
    <w:p w:rsidR="007416C3" w:rsidRPr="00982160" w:rsidRDefault="007416C3" w:rsidP="00F45DBE">
      <w:pPr>
        <w:rPr>
          <w:sz w:val="20"/>
        </w:rPr>
      </w:pPr>
      <w:r w:rsidRPr="00982160">
        <w:rPr>
          <w:b/>
          <w:sz w:val="20"/>
        </w:rPr>
        <w:t>4</w:t>
      </w:r>
      <w:r w:rsidRPr="00982160">
        <w:rPr>
          <w:sz w:val="20"/>
        </w:rPr>
        <w:tab/>
        <w:t>que, pour des systèmes radioélectriques par paquets, on peut se référer à l'Annexe 2 pour certains exemples précis;</w:t>
      </w:r>
    </w:p>
    <w:p w:rsidR="007416C3" w:rsidRPr="00982160" w:rsidRDefault="007416C3" w:rsidP="00F45DBE">
      <w:pPr>
        <w:rPr>
          <w:sz w:val="20"/>
        </w:rPr>
      </w:pPr>
      <w:r w:rsidRPr="00982160">
        <w:rPr>
          <w:b/>
          <w:sz w:val="20"/>
        </w:rPr>
        <w:t>5</w:t>
      </w:r>
      <w:r w:rsidRPr="00982160">
        <w:rPr>
          <w:sz w:val="20"/>
        </w:rPr>
        <w:tab/>
        <w:t>que, pour des systèmes AMRT utilisés pour la transmission de données, notamment dans les zones urbaines, on peut se référer à l'Annexe 3 pour des informations concernant divers systèmes;</w:t>
      </w:r>
    </w:p>
    <w:p w:rsidR="007416C3" w:rsidRPr="00982160" w:rsidRDefault="007416C3" w:rsidP="00F45DBE">
      <w:pPr>
        <w:rPr>
          <w:sz w:val="20"/>
        </w:rPr>
      </w:pPr>
      <w:r w:rsidRPr="00982160">
        <w:rPr>
          <w:b/>
          <w:sz w:val="20"/>
        </w:rPr>
        <w:t>6</w:t>
      </w:r>
      <w:r w:rsidRPr="00982160">
        <w:rPr>
          <w:sz w:val="20"/>
        </w:rPr>
        <w:tab/>
        <w:t>que l'on peut se référer à la Recommandation UIT-R F.697 pour certains besoins des systèmes P-MP utilisés dans la partie à qualité locale d'une connexion RNIS;</w:t>
      </w:r>
    </w:p>
    <w:p w:rsidR="007416C3" w:rsidRPr="00982160" w:rsidRDefault="007416C3" w:rsidP="00F45DBE">
      <w:pPr>
        <w:rPr>
          <w:sz w:val="20"/>
        </w:rPr>
      </w:pPr>
      <w:r w:rsidRPr="00982160">
        <w:rPr>
          <w:b/>
          <w:sz w:val="20"/>
        </w:rPr>
        <w:lastRenderedPageBreak/>
        <w:t>7</w:t>
      </w:r>
      <w:r w:rsidRPr="00982160">
        <w:rPr>
          <w:sz w:val="20"/>
        </w:rPr>
        <w:tab/>
        <w:t>pour ce qui est des critères de qualité de fonctionnement des systèmes P-MP utilisés pour offrir à l'utilisateur final une connexion à un débit égal ou supérieur au débit primaire, de se référer à la section accès du tronçon national de la Recommandation UIT</w:t>
      </w:r>
      <w:r w:rsidRPr="00982160">
        <w:rPr>
          <w:sz w:val="20"/>
        </w:rPr>
        <w:noBreakHyphen/>
        <w:t>R F.1668;</w:t>
      </w:r>
    </w:p>
    <w:p w:rsidR="007416C3" w:rsidRPr="00982160" w:rsidRDefault="007416C3" w:rsidP="00F45DBE">
      <w:pPr>
        <w:rPr>
          <w:sz w:val="20"/>
        </w:rPr>
      </w:pPr>
      <w:r w:rsidRPr="00982160">
        <w:rPr>
          <w:b/>
          <w:sz w:val="20"/>
        </w:rPr>
        <w:t>8</w:t>
      </w:r>
      <w:r w:rsidRPr="00982160">
        <w:rPr>
          <w:sz w:val="20"/>
        </w:rPr>
        <w:tab/>
        <w:t>de se référer à l'Annexe 4 pour les applications des systèmes P-MP à accès multiple par répartition en fréquence (AMRF) exploités dans les bandes de fréquences 3,4-3,6 GHz, 3,6-3,8 GHz, 10,15-10,3 GHz associée à la bande 10,5</w:t>
      </w:r>
      <w:r w:rsidRPr="00982160">
        <w:rPr>
          <w:sz w:val="20"/>
        </w:rPr>
        <w:noBreakHyphen/>
        <w:t>10,65 GHz, 26/28 et 32 GHz;</w:t>
      </w:r>
    </w:p>
    <w:p w:rsidR="007416C3" w:rsidRPr="00982160" w:rsidRDefault="007416C3" w:rsidP="00F45DBE">
      <w:pPr>
        <w:rPr>
          <w:sz w:val="20"/>
        </w:rPr>
      </w:pPr>
      <w:r w:rsidRPr="00982160">
        <w:rPr>
          <w:b/>
          <w:sz w:val="20"/>
        </w:rPr>
        <w:t>9</w:t>
      </w:r>
      <w:r w:rsidRPr="00982160">
        <w:rPr>
          <w:sz w:val="20"/>
        </w:rPr>
        <w:tab/>
        <w:t>de se référer à l'Annexe 5 pour les aspects techniques et opérationnels applicables à la gamme de fréquences 25</w:t>
      </w:r>
      <w:r w:rsidRPr="00982160">
        <w:rPr>
          <w:sz w:val="20"/>
        </w:rPr>
        <w:noBreakHyphen/>
        <w:t>32 GHz;</w:t>
      </w:r>
    </w:p>
    <w:p w:rsidR="007416C3" w:rsidRPr="00982160" w:rsidRDefault="007416C3" w:rsidP="00F45DBE">
      <w:pPr>
        <w:rPr>
          <w:sz w:val="20"/>
        </w:rPr>
      </w:pPr>
      <w:r w:rsidRPr="00982160">
        <w:rPr>
          <w:b/>
          <w:sz w:val="20"/>
        </w:rPr>
        <w:t>10</w:t>
      </w:r>
      <w:r w:rsidRPr="00982160">
        <w:rPr>
          <w:sz w:val="20"/>
        </w:rPr>
        <w:tab/>
        <w:t>de se référer aux Annexes 1 et 2 de la Recommandation UIT-R F.748 pour ce qui est de la disposition des canaux radioélectriques des systèmes P-MP numériques exploités dans les bandes de fréquences des 26 et 28 GHz.</w:t>
      </w:r>
    </w:p>
    <w:p w:rsidR="007416C3" w:rsidRPr="00982160" w:rsidRDefault="007416C3" w:rsidP="00F45DBE">
      <w:pPr>
        <w:rPr>
          <w:sz w:val="20"/>
        </w:rPr>
      </w:pPr>
    </w:p>
    <w:p w:rsidR="007416C3" w:rsidRDefault="007416C3" w:rsidP="00F45DBE">
      <w:pPr>
        <w:pStyle w:val="Annex"/>
        <w:rPr>
          <w:lang w:val="fr-FR"/>
        </w:rPr>
      </w:pPr>
      <w:r>
        <w:rPr>
          <w:lang w:val="fr-FR"/>
        </w:rPr>
        <w:t>ANNEXE  1</w:t>
      </w:r>
    </w:p>
    <w:p w:rsidR="007416C3" w:rsidRDefault="007416C3" w:rsidP="00F45DBE">
      <w:pPr>
        <w:pStyle w:val="AnnexTitle"/>
        <w:rPr>
          <w:lang w:val="fr-FR"/>
        </w:rPr>
      </w:pPr>
      <w:r>
        <w:rPr>
          <w:lang w:val="fr-FR"/>
        </w:rPr>
        <w:t>Exemple de services de distribution multipoint</w:t>
      </w:r>
      <w:r>
        <w:rPr>
          <w:lang w:val="fr-FR"/>
        </w:rPr>
        <w:br/>
        <w:t>à canal unique ou à plusieurs canaux</w:t>
      </w:r>
    </w:p>
    <w:p w:rsidR="007416C3" w:rsidRDefault="007416C3" w:rsidP="00F45DBE">
      <w:pPr>
        <w:pStyle w:val="Heading1"/>
      </w:pPr>
      <w:r>
        <w:t>1</w:t>
      </w:r>
      <w:r>
        <w:tab/>
        <w:t>Description du système</w:t>
      </w:r>
    </w:p>
    <w:p w:rsidR="007416C3" w:rsidRPr="00982160" w:rsidRDefault="007416C3" w:rsidP="00F45DBE">
      <w:pPr>
        <w:rPr>
          <w:sz w:val="20"/>
        </w:rPr>
      </w:pPr>
      <w:r w:rsidRPr="00982160">
        <w:rPr>
          <w:sz w:val="20"/>
        </w:rPr>
        <w:t xml:space="preserve">Le service de distribution multipoint (MDS, </w:t>
      </w:r>
      <w:r w:rsidRPr="00982160">
        <w:rPr>
          <w:i/>
          <w:sz w:val="20"/>
        </w:rPr>
        <w:t>multipoint distribution service</w:t>
      </w:r>
      <w:r w:rsidRPr="00982160">
        <w:rPr>
          <w:sz w:val="20"/>
        </w:rPr>
        <w:t>) assure la transmission unidirectionnelle P</w:t>
      </w:r>
      <w:r w:rsidRPr="00982160">
        <w:rPr>
          <w:sz w:val="20"/>
        </w:rPr>
        <w:noBreakHyphen/>
        <w:t>MP, à environ 2 GHz, de 4 canaux, au maximum, de signaux téléphoniques, vidéo ou de données sur certaines collectivités géographiquement disséminées. Ces signaux peuvent être utilisés pour des programmes de variétés, à des fins commerciales, sociales ou communautaires. Un système MDS typique est constitué, côté émission, d'une antenne d'émission équidirective, d'un combineur qui associe les sorties de chaque émetteur et côté réception, d'une antenne de réception directive, d'un changeur abaisseur de fréquence et d'un récepteur vidéo. La puissance d'émission est généralement limitée (normalement la p.i.r.e. est de 200 W) et on utilise d'ordinaire une antenne dont le diagramme de rayonnement est équidirectif ou en forme de cardioïde avec des gains de 10 à 16 dBi. Dans certains cas, on utilise des couples d'antennes placées dos à dos et ayant des diagrammes de rayonnement en forme de cardioïde, ces antennes étant alimentées par un seul émetteur. Le signal reçu subit un changement de fréquence qui convertit la fréquence émise en une fréquence d'un canal non utilisé, compatible avec le récepteur vidéo.</w:t>
      </w:r>
    </w:p>
    <w:p w:rsidR="007416C3" w:rsidRPr="00982160" w:rsidRDefault="007416C3" w:rsidP="00F45DBE">
      <w:pPr>
        <w:rPr>
          <w:sz w:val="20"/>
        </w:rPr>
      </w:pPr>
      <w:r w:rsidRPr="00982160">
        <w:rPr>
          <w:sz w:val="20"/>
        </w:rPr>
        <w:t>Au MDS à plusieurs canaux, on associe à chaque canal à bande étroite (125 kHz de largeur de bande) pour permettre une liaison audio de retour vers le site d'émission.</w:t>
      </w:r>
    </w:p>
    <w:p w:rsidR="007416C3" w:rsidRPr="00982160" w:rsidRDefault="007416C3" w:rsidP="00F45DBE">
      <w:pPr>
        <w:rPr>
          <w:sz w:val="20"/>
        </w:rPr>
      </w:pPr>
      <w:r w:rsidRPr="00982160">
        <w:rPr>
          <w:sz w:val="20"/>
        </w:rPr>
        <w:t>Un plan de fréquence type pour MDS à quatre canaux fonctionnant dans la bande des 2,5 GHz avec une largeur de bande d'émission de 6 MHz au maximum est donné ci</w:t>
      </w:r>
      <w:r w:rsidRPr="00982160">
        <w:rPr>
          <w:sz w:val="20"/>
        </w:rPr>
        <w:noBreakHyphen/>
        <w:t>après:</w:t>
      </w:r>
    </w:p>
    <w:p w:rsidR="007416C3" w:rsidRPr="00982160" w:rsidRDefault="007416C3" w:rsidP="00F45DBE">
      <w:pPr>
        <w:rPr>
          <w:sz w:val="20"/>
        </w:rPr>
      </w:pPr>
      <w:r w:rsidRPr="00982160">
        <w:rPr>
          <w:i/>
          <w:sz w:val="20"/>
        </w:rPr>
        <w:t>Fréquence d'émission</w:t>
      </w:r>
    </w:p>
    <w:p w:rsidR="007416C3" w:rsidRPr="00982160" w:rsidRDefault="007416C3" w:rsidP="00F45DBE">
      <w:pPr>
        <w:pStyle w:val="enumlev1"/>
        <w:tabs>
          <w:tab w:val="left" w:pos="3119"/>
        </w:tabs>
        <w:rPr>
          <w:sz w:val="20"/>
        </w:rPr>
      </w:pPr>
      <w:r w:rsidRPr="00982160">
        <w:rPr>
          <w:i/>
          <w:sz w:val="20"/>
        </w:rPr>
        <w:tab/>
        <w:t>f</w:t>
      </w:r>
      <w:r w:rsidRPr="00982160">
        <w:rPr>
          <w:i/>
          <w:position w:val="-4"/>
          <w:sz w:val="20"/>
        </w:rPr>
        <w:t>n</w:t>
      </w:r>
      <w:r w:rsidRPr="00982160">
        <w:rPr>
          <w:sz w:val="20"/>
        </w:rPr>
        <w:t xml:space="preserve"> </w:t>
      </w:r>
      <w:r w:rsidR="00743F93" w:rsidRPr="00743F93">
        <w:rPr>
          <w:sz w:val="20"/>
        </w:rPr>
        <w:t>=</w:t>
      </w:r>
      <w:r w:rsidRPr="00743F93">
        <w:tab/>
      </w:r>
      <w:r w:rsidRPr="00982160">
        <w:rPr>
          <w:i/>
          <w:sz w:val="20"/>
        </w:rPr>
        <w:t>f</w:t>
      </w:r>
      <w:r w:rsidRPr="00982160">
        <w:rPr>
          <w:position w:val="-4"/>
          <w:sz w:val="20"/>
        </w:rPr>
        <w:t>0</w:t>
      </w:r>
      <w:r w:rsidRPr="00982160">
        <w:rPr>
          <w:sz w:val="20"/>
        </w:rPr>
        <w:t xml:space="preserve"> – 128 </w:t>
      </w:r>
      <w:r w:rsidR="00743F93" w:rsidRPr="00743F93">
        <w:rPr>
          <w:sz w:val="20"/>
        </w:rPr>
        <w:t>+</w:t>
      </w:r>
      <w:r w:rsidRPr="00982160">
        <w:rPr>
          <w:sz w:val="20"/>
        </w:rPr>
        <w:t xml:space="preserve"> 24 </w:t>
      </w:r>
      <w:r w:rsidRPr="00982160">
        <w:rPr>
          <w:i/>
          <w:sz w:val="20"/>
        </w:rPr>
        <w:t>m</w:t>
      </w:r>
      <w:r w:rsidRPr="00982160">
        <w:rPr>
          <w:sz w:val="20"/>
        </w:rPr>
        <w:t xml:space="preserve"> </w:t>
      </w:r>
      <w:r w:rsidR="00743F93" w:rsidRPr="00743F93">
        <w:rPr>
          <w:sz w:val="20"/>
        </w:rPr>
        <w:t>+</w:t>
      </w:r>
      <w:r w:rsidRPr="00982160">
        <w:rPr>
          <w:sz w:val="20"/>
        </w:rPr>
        <w:t xml:space="preserve"> 12 </w:t>
      </w:r>
      <w:r w:rsidRPr="00982160">
        <w:rPr>
          <w:i/>
          <w:sz w:val="20"/>
        </w:rPr>
        <w:t>n</w:t>
      </w:r>
      <w:r w:rsidRPr="00982160">
        <w:rPr>
          <w:sz w:val="20"/>
        </w:rPr>
        <w:tab/>
        <w:t xml:space="preserve">pour </w:t>
      </w:r>
      <w:r w:rsidRPr="00982160">
        <w:rPr>
          <w:i/>
          <w:sz w:val="20"/>
        </w:rPr>
        <w:t>m</w:t>
      </w:r>
      <w:r w:rsidRPr="00982160">
        <w:rPr>
          <w:sz w:val="20"/>
        </w:rPr>
        <w:t xml:space="preserve"> </w:t>
      </w:r>
      <w:r w:rsidR="00743F93" w:rsidRPr="00743F93">
        <w:rPr>
          <w:sz w:val="20"/>
        </w:rPr>
        <w:t>=</w:t>
      </w:r>
      <w:r w:rsidRPr="00982160">
        <w:rPr>
          <w:sz w:val="20"/>
        </w:rPr>
        <w:t xml:space="preserve"> 1, 3, 5, 7</w:t>
      </w:r>
    </w:p>
    <w:p w:rsidR="007416C3" w:rsidRPr="00982160" w:rsidRDefault="007416C3" w:rsidP="00F45DBE">
      <w:pPr>
        <w:pStyle w:val="enumlev1"/>
        <w:tabs>
          <w:tab w:val="left" w:pos="3119"/>
        </w:tabs>
        <w:rPr>
          <w:sz w:val="20"/>
        </w:rPr>
      </w:pPr>
      <w:r w:rsidRPr="00982160">
        <w:rPr>
          <w:i/>
          <w:sz w:val="20"/>
        </w:rPr>
        <w:tab/>
        <w:t>f</w:t>
      </w:r>
      <w:r w:rsidRPr="00982160">
        <w:rPr>
          <w:i/>
          <w:position w:val="-4"/>
          <w:sz w:val="20"/>
        </w:rPr>
        <w:t>n</w:t>
      </w:r>
      <w:r w:rsidRPr="00982160">
        <w:rPr>
          <w:sz w:val="20"/>
        </w:rPr>
        <w:t xml:space="preserve"> </w:t>
      </w:r>
      <w:r w:rsidR="00743F93" w:rsidRPr="00743F93">
        <w:rPr>
          <w:sz w:val="20"/>
        </w:rPr>
        <w:t>=</w:t>
      </w:r>
      <w:r w:rsidRPr="00743F93">
        <w:rPr>
          <w:sz w:val="20"/>
        </w:rPr>
        <w:tab/>
      </w:r>
      <w:r w:rsidRPr="00982160">
        <w:rPr>
          <w:i/>
          <w:sz w:val="20"/>
        </w:rPr>
        <w:t>f</w:t>
      </w:r>
      <w:r w:rsidRPr="00982160">
        <w:rPr>
          <w:position w:val="-4"/>
          <w:sz w:val="20"/>
        </w:rPr>
        <w:t>0</w:t>
      </w:r>
      <w:r w:rsidRPr="00743F93">
        <w:rPr>
          <w:sz w:val="20"/>
        </w:rPr>
        <w:t xml:space="preserve"> </w:t>
      </w:r>
      <w:r w:rsidRPr="00982160">
        <w:rPr>
          <w:sz w:val="20"/>
        </w:rPr>
        <w:t xml:space="preserve">– 146 </w:t>
      </w:r>
      <w:r w:rsidR="00743F93" w:rsidRPr="00743F93">
        <w:rPr>
          <w:sz w:val="20"/>
        </w:rPr>
        <w:t>+</w:t>
      </w:r>
      <w:r w:rsidRPr="00982160">
        <w:rPr>
          <w:sz w:val="20"/>
        </w:rPr>
        <w:t xml:space="preserve"> 24 </w:t>
      </w:r>
      <w:r w:rsidRPr="00982160">
        <w:rPr>
          <w:i/>
          <w:sz w:val="20"/>
        </w:rPr>
        <w:t>m</w:t>
      </w:r>
      <w:r w:rsidRPr="00982160">
        <w:rPr>
          <w:sz w:val="20"/>
        </w:rPr>
        <w:t xml:space="preserve"> </w:t>
      </w:r>
      <w:r w:rsidR="00743F93" w:rsidRPr="00743F93">
        <w:rPr>
          <w:sz w:val="20"/>
        </w:rPr>
        <w:t>+</w:t>
      </w:r>
      <w:r w:rsidRPr="00982160">
        <w:rPr>
          <w:sz w:val="20"/>
        </w:rPr>
        <w:t xml:space="preserve"> 12 </w:t>
      </w:r>
      <w:r w:rsidRPr="00982160">
        <w:rPr>
          <w:i/>
          <w:sz w:val="20"/>
        </w:rPr>
        <w:t>n</w:t>
      </w:r>
      <w:r w:rsidRPr="00982160">
        <w:rPr>
          <w:sz w:val="20"/>
        </w:rPr>
        <w:tab/>
        <w:t xml:space="preserve">pour </w:t>
      </w:r>
      <w:r w:rsidRPr="00982160">
        <w:rPr>
          <w:i/>
          <w:sz w:val="20"/>
        </w:rPr>
        <w:t>m</w:t>
      </w:r>
      <w:r w:rsidRPr="00982160">
        <w:rPr>
          <w:sz w:val="20"/>
        </w:rPr>
        <w:t xml:space="preserve"> </w:t>
      </w:r>
      <w:r w:rsidR="00743F93" w:rsidRPr="00743F93">
        <w:rPr>
          <w:sz w:val="20"/>
        </w:rPr>
        <w:t>=</w:t>
      </w:r>
      <w:r w:rsidRPr="00982160">
        <w:rPr>
          <w:sz w:val="20"/>
        </w:rPr>
        <w:t xml:space="preserve"> 2, 4, 6</w:t>
      </w:r>
    </w:p>
    <w:p w:rsidR="007416C3" w:rsidRPr="00982160" w:rsidRDefault="007416C3" w:rsidP="00F45DBE">
      <w:pPr>
        <w:rPr>
          <w:sz w:val="20"/>
        </w:rPr>
      </w:pPr>
      <w:r w:rsidRPr="00982160">
        <w:rPr>
          <w:i/>
          <w:sz w:val="20"/>
        </w:rPr>
        <w:t>Fréquences de liaison de retour</w:t>
      </w:r>
    </w:p>
    <w:p w:rsidR="007416C3" w:rsidRPr="00982160" w:rsidRDefault="007416C3" w:rsidP="00F45DBE">
      <w:pPr>
        <w:pStyle w:val="enumlev1"/>
        <w:rPr>
          <w:sz w:val="20"/>
        </w:rPr>
      </w:pPr>
      <w:r w:rsidRPr="00982160">
        <w:rPr>
          <w:i/>
          <w:sz w:val="20"/>
        </w:rPr>
        <w:tab/>
        <w:t>f</w:t>
      </w:r>
      <w:r w:rsidRPr="00982160">
        <w:rPr>
          <w:i/>
          <w:position w:val="-4"/>
          <w:sz w:val="20"/>
        </w:rPr>
        <w:t>n</w:t>
      </w:r>
      <w:r w:rsidRPr="00982160">
        <w:rPr>
          <w:sz w:val="20"/>
        </w:rPr>
        <w:t xml:space="preserve"> </w:t>
      </w:r>
      <w:r w:rsidR="00743F93" w:rsidRPr="00743F93">
        <w:rPr>
          <w:sz w:val="20"/>
        </w:rPr>
        <w:t>=</w:t>
      </w:r>
      <w:r w:rsidRPr="00743F93">
        <w:rPr>
          <w:sz w:val="20"/>
        </w:rPr>
        <w:tab/>
      </w:r>
      <w:r w:rsidRPr="00982160">
        <w:rPr>
          <w:i/>
          <w:sz w:val="20"/>
        </w:rPr>
        <w:t>f</w:t>
      </w:r>
      <w:r w:rsidRPr="00982160">
        <w:rPr>
          <w:position w:val="-4"/>
          <w:sz w:val="20"/>
        </w:rPr>
        <w:t>0</w:t>
      </w:r>
      <w:r w:rsidRPr="00982160">
        <w:rPr>
          <w:sz w:val="20"/>
        </w:rPr>
        <w:t xml:space="preserve"> </w:t>
      </w:r>
      <w:r w:rsidR="00743F93" w:rsidRPr="00743F93">
        <w:rPr>
          <w:sz w:val="20"/>
        </w:rPr>
        <w:t>+</w:t>
      </w:r>
      <w:r w:rsidRPr="00982160">
        <w:rPr>
          <w:sz w:val="20"/>
        </w:rPr>
        <w:t xml:space="preserve"> 89,9375 </w:t>
      </w:r>
      <w:r w:rsidR="00743F93" w:rsidRPr="00743F93">
        <w:rPr>
          <w:sz w:val="20"/>
        </w:rPr>
        <w:t>+</w:t>
      </w:r>
      <w:r w:rsidRPr="00982160">
        <w:rPr>
          <w:sz w:val="20"/>
        </w:rPr>
        <w:t xml:space="preserve"> 0,125 </w:t>
      </w:r>
      <w:r w:rsidRPr="00982160">
        <w:rPr>
          <w:i/>
          <w:sz w:val="20"/>
        </w:rPr>
        <w:t>m</w:t>
      </w:r>
      <w:r w:rsidRPr="00982160">
        <w:rPr>
          <w:sz w:val="20"/>
        </w:rPr>
        <w:t xml:space="preserve"> </w:t>
      </w:r>
      <w:r w:rsidR="00743F93" w:rsidRPr="00743F93">
        <w:rPr>
          <w:sz w:val="20"/>
        </w:rPr>
        <w:t>+</w:t>
      </w:r>
      <w:r w:rsidRPr="00982160">
        <w:rPr>
          <w:sz w:val="20"/>
        </w:rPr>
        <w:t xml:space="preserve"> </w:t>
      </w:r>
      <w:r w:rsidRPr="00982160">
        <w:rPr>
          <w:i/>
          <w:sz w:val="20"/>
        </w:rPr>
        <w:t>n</w:t>
      </w:r>
    </w:p>
    <w:p w:rsidR="007416C3" w:rsidRPr="00982160" w:rsidRDefault="007416C3" w:rsidP="00F45DBE">
      <w:pPr>
        <w:rPr>
          <w:sz w:val="20"/>
        </w:rPr>
      </w:pPr>
      <w:r w:rsidRPr="00982160">
        <w:rPr>
          <w:sz w:val="20"/>
        </w:rPr>
        <w:t>où:</w:t>
      </w:r>
    </w:p>
    <w:p w:rsidR="007416C3" w:rsidRPr="00982160" w:rsidRDefault="007416C3" w:rsidP="00F45DBE">
      <w:pPr>
        <w:pStyle w:val="enumlev1"/>
        <w:rPr>
          <w:sz w:val="20"/>
        </w:rPr>
      </w:pPr>
      <w:r w:rsidRPr="00982160">
        <w:rPr>
          <w:i/>
          <w:sz w:val="20"/>
        </w:rPr>
        <w:tab/>
        <w:t>f</w:t>
      </w:r>
      <w:r w:rsidRPr="00982160">
        <w:rPr>
          <w:position w:val="-4"/>
          <w:sz w:val="20"/>
        </w:rPr>
        <w:t xml:space="preserve">0 </w:t>
      </w:r>
      <w:r w:rsidRPr="00982160">
        <w:rPr>
          <w:sz w:val="20"/>
        </w:rPr>
        <w:t>:</w:t>
      </w:r>
      <w:r w:rsidRPr="00982160">
        <w:rPr>
          <w:sz w:val="20"/>
        </w:rPr>
        <w:tab/>
        <w:t xml:space="preserve">fréquence du centre de la bande </w:t>
      </w:r>
      <w:r w:rsidR="00743F93" w:rsidRPr="00743F93">
        <w:rPr>
          <w:sz w:val="20"/>
        </w:rPr>
        <w:t>=</w:t>
      </w:r>
      <w:r w:rsidRPr="00982160">
        <w:rPr>
          <w:sz w:val="20"/>
        </w:rPr>
        <w:t xml:space="preserve"> 2 595 MHz</w:t>
      </w:r>
    </w:p>
    <w:p w:rsidR="007416C3" w:rsidRPr="00982160" w:rsidRDefault="007416C3" w:rsidP="00F45DBE">
      <w:pPr>
        <w:pStyle w:val="enumlev1"/>
        <w:rPr>
          <w:sz w:val="20"/>
        </w:rPr>
      </w:pPr>
      <w:r w:rsidRPr="00982160">
        <w:rPr>
          <w:i/>
          <w:sz w:val="20"/>
        </w:rPr>
        <w:tab/>
        <w:t xml:space="preserve">m </w:t>
      </w:r>
      <w:r w:rsidRPr="00982160">
        <w:rPr>
          <w:sz w:val="20"/>
        </w:rPr>
        <w:t>:</w:t>
      </w:r>
      <w:r w:rsidRPr="00982160">
        <w:rPr>
          <w:sz w:val="20"/>
        </w:rPr>
        <w:tab/>
        <w:t xml:space="preserve">numéro de groupe </w:t>
      </w:r>
      <w:r w:rsidR="00743F93" w:rsidRPr="00743F93">
        <w:rPr>
          <w:sz w:val="20"/>
        </w:rPr>
        <w:t>=</w:t>
      </w:r>
      <w:r w:rsidRPr="00982160">
        <w:rPr>
          <w:sz w:val="20"/>
        </w:rPr>
        <w:t xml:space="preserve"> 1, 2, 3, . . ., 7</w:t>
      </w:r>
    </w:p>
    <w:p w:rsidR="007416C3" w:rsidRPr="00982160" w:rsidRDefault="007416C3" w:rsidP="00F45DBE">
      <w:pPr>
        <w:pStyle w:val="enumlev1"/>
        <w:rPr>
          <w:sz w:val="20"/>
        </w:rPr>
      </w:pPr>
      <w:r w:rsidRPr="00982160">
        <w:rPr>
          <w:i/>
          <w:sz w:val="20"/>
        </w:rPr>
        <w:tab/>
        <w:t xml:space="preserve">n </w:t>
      </w:r>
      <w:r w:rsidRPr="00982160">
        <w:rPr>
          <w:sz w:val="20"/>
        </w:rPr>
        <w:t>:</w:t>
      </w:r>
      <w:r w:rsidRPr="00982160">
        <w:rPr>
          <w:sz w:val="20"/>
        </w:rPr>
        <w:tab/>
        <w:t xml:space="preserve">numéro de canal </w:t>
      </w:r>
      <w:r w:rsidR="00743F93" w:rsidRPr="00743F93">
        <w:rPr>
          <w:sz w:val="20"/>
        </w:rPr>
        <w:t>=</w:t>
      </w:r>
      <w:r w:rsidRPr="00982160">
        <w:rPr>
          <w:sz w:val="20"/>
        </w:rPr>
        <w:t xml:space="preserve"> 1, 2, 3, 4.</w:t>
      </w:r>
    </w:p>
    <w:p w:rsidR="007416C3" w:rsidRPr="00982160" w:rsidRDefault="007416C3" w:rsidP="00F45DBE">
      <w:pPr>
        <w:rPr>
          <w:sz w:val="20"/>
        </w:rPr>
      </w:pPr>
      <w:r w:rsidRPr="00982160">
        <w:rPr>
          <w:sz w:val="20"/>
        </w:rPr>
        <w:t>Le système choisi pour le MDS a été conçu de manière à permettre à des émetteurs dont l'emplacement aurait été fixé de façon aléatoire de réutiliser de manière optimale le même canal ou le canal adjacent aussi souvent que possible et d'assurer une zone protégée aussi vaste que possible autour de chaque emplacement d'émission. Cette conception nécessite un compromis entre une puissance élevée d'émission et l'utilisation d'une antenne de réception à gain élevé et obligent à limiter le service aux seuls emplacements de réception dont les trajets vers l'emplacement d'émission sont en visibilité directe.</w:t>
      </w:r>
    </w:p>
    <w:p w:rsidR="007416C3" w:rsidRPr="00982160" w:rsidRDefault="007416C3" w:rsidP="00F45DBE">
      <w:pPr>
        <w:rPr>
          <w:sz w:val="20"/>
        </w:rPr>
      </w:pPr>
      <w:r w:rsidRPr="00982160">
        <w:rPr>
          <w:sz w:val="20"/>
        </w:rPr>
        <w:lastRenderedPageBreak/>
        <w:t>Les spécifications techniques d'un système P-MP type fonctionnant dans la bande des 2,5 GHz utilisé pour le MDS sont données dans le Tableau 1.</w:t>
      </w:r>
    </w:p>
    <w:p w:rsidR="007416C3" w:rsidRPr="00982160" w:rsidRDefault="007416C3" w:rsidP="00F45DBE">
      <w:pPr>
        <w:pStyle w:val="Table"/>
        <w:rPr>
          <w:sz w:val="20"/>
          <w:lang w:val="fr-FR"/>
        </w:rPr>
      </w:pPr>
      <w:r w:rsidRPr="00982160">
        <w:rPr>
          <w:sz w:val="20"/>
          <w:lang w:val="fr-FR"/>
        </w:rPr>
        <w:t>TABLEAU  1</w:t>
      </w:r>
    </w:p>
    <w:p w:rsidR="007416C3" w:rsidRPr="00982160" w:rsidRDefault="007416C3" w:rsidP="00F45DBE">
      <w:pPr>
        <w:pStyle w:val="Blanc"/>
        <w:rPr>
          <w:sz w:val="20"/>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155"/>
        <w:gridCol w:w="1185"/>
        <w:gridCol w:w="3664"/>
        <w:gridCol w:w="1635"/>
      </w:tblGrid>
      <w:tr w:rsidR="007416C3" w:rsidTr="00DA64EE">
        <w:trPr>
          <w:cantSplit/>
          <w:jc w:val="center"/>
        </w:trPr>
        <w:tc>
          <w:tcPr>
            <w:tcW w:w="4366" w:type="dxa"/>
            <w:gridSpan w:val="2"/>
          </w:tcPr>
          <w:p w:rsidR="007416C3" w:rsidRDefault="007416C3" w:rsidP="00F90933">
            <w:pPr>
              <w:pStyle w:val="TableText0"/>
              <w:keepNext w:val="0"/>
              <w:spacing w:before="40" w:after="40" w:line="240" w:lineRule="auto"/>
              <w:jc w:val="center"/>
              <w:rPr>
                <w:lang w:val="fr-FR"/>
              </w:rPr>
            </w:pPr>
            <w:r>
              <w:rPr>
                <w:lang w:val="fr-FR"/>
              </w:rPr>
              <w:t>Emetteur</w:t>
            </w:r>
          </w:p>
        </w:tc>
        <w:tc>
          <w:tcPr>
            <w:tcW w:w="5330" w:type="dxa"/>
            <w:gridSpan w:val="2"/>
          </w:tcPr>
          <w:p w:rsidR="007416C3" w:rsidRDefault="007416C3" w:rsidP="00F90933">
            <w:pPr>
              <w:pStyle w:val="TableText0"/>
              <w:keepNext w:val="0"/>
              <w:spacing w:before="40" w:after="40" w:line="240" w:lineRule="auto"/>
              <w:jc w:val="center"/>
              <w:rPr>
                <w:lang w:val="fr-FR"/>
              </w:rPr>
            </w:pPr>
            <w:r>
              <w:rPr>
                <w:lang w:val="fr-FR"/>
              </w:rPr>
              <w:t>Récepteur</w:t>
            </w:r>
          </w:p>
        </w:tc>
      </w:tr>
      <w:tr w:rsidR="007416C3" w:rsidTr="00DA64EE">
        <w:trPr>
          <w:cantSplit/>
          <w:jc w:val="center"/>
        </w:trPr>
        <w:tc>
          <w:tcPr>
            <w:tcW w:w="3175" w:type="dxa"/>
          </w:tcPr>
          <w:p w:rsidR="007416C3" w:rsidRDefault="007416C3" w:rsidP="00F90933">
            <w:pPr>
              <w:pStyle w:val="TableText0"/>
              <w:keepNext w:val="0"/>
              <w:spacing w:before="40" w:after="40" w:line="240" w:lineRule="auto"/>
              <w:rPr>
                <w:lang w:val="fr-FR"/>
              </w:rPr>
            </w:pPr>
            <w:r>
              <w:rPr>
                <w:lang w:val="fr-FR"/>
              </w:rPr>
              <w:t>Modulation</w:t>
            </w:r>
          </w:p>
        </w:tc>
        <w:tc>
          <w:tcPr>
            <w:tcW w:w="1191" w:type="dxa"/>
          </w:tcPr>
          <w:p w:rsidR="007416C3" w:rsidRDefault="007416C3" w:rsidP="00F90933">
            <w:pPr>
              <w:pStyle w:val="TableText0"/>
              <w:keepNext w:val="0"/>
              <w:spacing w:before="40" w:after="40" w:line="240" w:lineRule="auto"/>
              <w:jc w:val="center"/>
              <w:rPr>
                <w:lang w:val="fr-FR"/>
              </w:rPr>
            </w:pPr>
            <w:r>
              <w:rPr>
                <w:lang w:val="fr-FR"/>
              </w:rPr>
              <w:t>BLR/MA</w:t>
            </w:r>
          </w:p>
        </w:tc>
        <w:tc>
          <w:tcPr>
            <w:tcW w:w="3686" w:type="dxa"/>
          </w:tcPr>
          <w:p w:rsidR="007416C3" w:rsidRDefault="007416C3" w:rsidP="00F90933">
            <w:pPr>
              <w:pStyle w:val="TableText0"/>
              <w:keepNext w:val="0"/>
              <w:spacing w:before="40" w:after="40" w:line="240" w:lineRule="auto"/>
              <w:rPr>
                <w:lang w:val="fr-FR"/>
              </w:rPr>
            </w:pPr>
            <w:r>
              <w:rPr>
                <w:lang w:val="fr-FR"/>
              </w:rPr>
              <w:t>Caractéristiques de l'antenne</w:t>
            </w:r>
          </w:p>
        </w:tc>
        <w:tc>
          <w:tcPr>
            <w:tcW w:w="1644" w:type="dxa"/>
          </w:tcPr>
          <w:p w:rsidR="007416C3" w:rsidRDefault="007416C3" w:rsidP="00F90933">
            <w:pPr>
              <w:pStyle w:val="TableText0"/>
              <w:keepNext w:val="0"/>
              <w:spacing w:before="40" w:after="40" w:line="240" w:lineRule="auto"/>
              <w:jc w:val="center"/>
              <w:rPr>
                <w:lang w:val="fr-FR"/>
              </w:rPr>
            </w:pPr>
            <w:r>
              <w:rPr>
                <w:lang w:val="fr-FR"/>
              </w:rPr>
              <w:t>Rec. UIT-R F.699</w:t>
            </w:r>
          </w:p>
        </w:tc>
      </w:tr>
      <w:tr w:rsidR="007416C3" w:rsidTr="00DA64EE">
        <w:trPr>
          <w:cantSplit/>
          <w:jc w:val="center"/>
        </w:trPr>
        <w:tc>
          <w:tcPr>
            <w:tcW w:w="3175" w:type="dxa"/>
          </w:tcPr>
          <w:p w:rsidR="007416C3" w:rsidRDefault="007416C3" w:rsidP="00F90933">
            <w:pPr>
              <w:pStyle w:val="TableText0"/>
              <w:keepNext w:val="0"/>
              <w:spacing w:before="40" w:after="40" w:line="240" w:lineRule="auto"/>
              <w:jc w:val="left"/>
              <w:rPr>
                <w:lang w:val="fr-FR"/>
              </w:rPr>
            </w:pPr>
            <w:r>
              <w:rPr>
                <w:lang w:val="fr-FR"/>
              </w:rPr>
              <w:t>Gain d'antenne (dBi) (par rapport à l'antenne équidirective)</w:t>
            </w:r>
          </w:p>
        </w:tc>
        <w:tc>
          <w:tcPr>
            <w:tcW w:w="1191" w:type="dxa"/>
          </w:tcPr>
          <w:p w:rsidR="007416C3" w:rsidRDefault="007416C3" w:rsidP="00F90933">
            <w:pPr>
              <w:pStyle w:val="TableText0"/>
              <w:keepNext w:val="0"/>
              <w:spacing w:before="40" w:after="40" w:line="240" w:lineRule="auto"/>
              <w:jc w:val="center"/>
              <w:rPr>
                <w:lang w:val="fr-FR"/>
              </w:rPr>
            </w:pPr>
            <w:r>
              <w:rPr>
                <w:lang w:val="fr-FR"/>
              </w:rPr>
              <w:t>13</w:t>
            </w:r>
          </w:p>
        </w:tc>
        <w:tc>
          <w:tcPr>
            <w:tcW w:w="3686" w:type="dxa"/>
          </w:tcPr>
          <w:p w:rsidR="007416C3" w:rsidRDefault="007416C3" w:rsidP="00F90933">
            <w:pPr>
              <w:pStyle w:val="TableText0"/>
              <w:keepNext w:val="0"/>
              <w:spacing w:before="40" w:after="40" w:line="240" w:lineRule="auto"/>
              <w:jc w:val="left"/>
              <w:rPr>
                <w:lang w:val="fr-FR"/>
              </w:rPr>
            </w:pPr>
            <w:r>
              <w:rPr>
                <w:lang w:val="fr-FR"/>
              </w:rPr>
              <w:t>Gain d'antenne (dBi)</w:t>
            </w:r>
          </w:p>
        </w:tc>
        <w:tc>
          <w:tcPr>
            <w:tcW w:w="1644" w:type="dxa"/>
          </w:tcPr>
          <w:p w:rsidR="007416C3" w:rsidRDefault="007416C3" w:rsidP="00F90933">
            <w:pPr>
              <w:pStyle w:val="TableText0"/>
              <w:keepNext w:val="0"/>
              <w:spacing w:before="40" w:after="40" w:line="240" w:lineRule="auto"/>
              <w:jc w:val="center"/>
              <w:rPr>
                <w:lang w:val="fr-FR"/>
              </w:rPr>
            </w:pPr>
            <w:r>
              <w:rPr>
                <w:lang w:val="fr-FR"/>
              </w:rPr>
              <w:t>20</w:t>
            </w:r>
          </w:p>
        </w:tc>
      </w:tr>
      <w:tr w:rsidR="007416C3" w:rsidTr="00DA64EE">
        <w:trPr>
          <w:cantSplit/>
          <w:jc w:val="center"/>
        </w:trPr>
        <w:tc>
          <w:tcPr>
            <w:tcW w:w="3175" w:type="dxa"/>
          </w:tcPr>
          <w:p w:rsidR="007416C3" w:rsidRDefault="007416C3" w:rsidP="00F90933">
            <w:pPr>
              <w:pStyle w:val="TableText0"/>
              <w:keepNext w:val="0"/>
              <w:spacing w:before="40" w:after="40" w:line="240" w:lineRule="auto"/>
              <w:jc w:val="left"/>
              <w:rPr>
                <w:lang w:val="fr-FR"/>
              </w:rPr>
            </w:pPr>
            <w:r>
              <w:rPr>
                <w:lang w:val="fr-FR"/>
              </w:rPr>
              <w:t>Puissance de l'émetteur (dBW)</w:t>
            </w:r>
          </w:p>
        </w:tc>
        <w:tc>
          <w:tcPr>
            <w:tcW w:w="1191" w:type="dxa"/>
          </w:tcPr>
          <w:p w:rsidR="007416C3" w:rsidRDefault="007416C3" w:rsidP="00F90933">
            <w:pPr>
              <w:pStyle w:val="TableText0"/>
              <w:keepNext w:val="0"/>
              <w:spacing w:before="40" w:after="40" w:line="240" w:lineRule="auto"/>
              <w:jc w:val="center"/>
              <w:rPr>
                <w:lang w:val="fr-FR"/>
              </w:rPr>
            </w:pPr>
            <w:r>
              <w:rPr>
                <w:lang w:val="fr-FR"/>
              </w:rPr>
              <w:t>10</w:t>
            </w:r>
          </w:p>
        </w:tc>
        <w:tc>
          <w:tcPr>
            <w:tcW w:w="3686" w:type="dxa"/>
          </w:tcPr>
          <w:p w:rsidR="007416C3" w:rsidRDefault="007416C3" w:rsidP="00F90933">
            <w:pPr>
              <w:pStyle w:val="TableText0"/>
              <w:keepNext w:val="0"/>
              <w:spacing w:before="40" w:after="40" w:line="240" w:lineRule="auto"/>
              <w:jc w:val="left"/>
              <w:rPr>
                <w:lang w:val="fr-FR"/>
              </w:rPr>
            </w:pPr>
            <w:r>
              <w:rPr>
                <w:lang w:val="fr-FR"/>
              </w:rPr>
              <w:t>Facteur de bruit (dB)</w:t>
            </w:r>
          </w:p>
        </w:tc>
        <w:tc>
          <w:tcPr>
            <w:tcW w:w="1644" w:type="dxa"/>
          </w:tcPr>
          <w:p w:rsidR="007416C3" w:rsidRDefault="007416C3" w:rsidP="00F90933">
            <w:pPr>
              <w:pStyle w:val="TableText0"/>
              <w:keepNext w:val="0"/>
              <w:spacing w:before="40" w:after="40" w:line="240" w:lineRule="auto"/>
              <w:jc w:val="center"/>
              <w:rPr>
                <w:lang w:val="fr-FR"/>
              </w:rPr>
            </w:pPr>
            <w:r>
              <w:rPr>
                <w:color w:val="FFFFFF"/>
                <w:lang w:val="fr-FR"/>
              </w:rPr>
              <w:t>0</w:t>
            </w:r>
            <w:r>
              <w:rPr>
                <w:lang w:val="fr-FR"/>
              </w:rPr>
              <w:t>8</w:t>
            </w:r>
          </w:p>
        </w:tc>
      </w:tr>
      <w:tr w:rsidR="007416C3" w:rsidTr="00DA64EE">
        <w:trPr>
          <w:cantSplit/>
          <w:jc w:val="center"/>
        </w:trPr>
        <w:tc>
          <w:tcPr>
            <w:tcW w:w="3175" w:type="dxa"/>
          </w:tcPr>
          <w:p w:rsidR="007416C3" w:rsidRDefault="007416C3" w:rsidP="00F90933">
            <w:pPr>
              <w:pStyle w:val="TableText0"/>
              <w:keepNext w:val="0"/>
              <w:spacing w:before="40" w:after="40" w:line="240" w:lineRule="auto"/>
              <w:jc w:val="left"/>
              <w:rPr>
                <w:lang w:val="fr-FR"/>
              </w:rPr>
            </w:pPr>
            <w:r>
              <w:rPr>
                <w:lang w:val="fr-FR"/>
              </w:rPr>
              <w:t>p.i.r.e. (dBW)</w:t>
            </w:r>
          </w:p>
        </w:tc>
        <w:tc>
          <w:tcPr>
            <w:tcW w:w="1191" w:type="dxa"/>
          </w:tcPr>
          <w:p w:rsidR="007416C3" w:rsidRDefault="007416C3" w:rsidP="00F90933">
            <w:pPr>
              <w:pStyle w:val="TableText0"/>
              <w:keepNext w:val="0"/>
              <w:spacing w:before="40" w:after="40" w:line="240" w:lineRule="auto"/>
              <w:jc w:val="center"/>
              <w:rPr>
                <w:lang w:val="fr-FR"/>
              </w:rPr>
            </w:pPr>
            <w:r>
              <w:rPr>
                <w:lang w:val="fr-FR"/>
              </w:rPr>
              <w:t>23</w:t>
            </w:r>
          </w:p>
        </w:tc>
        <w:tc>
          <w:tcPr>
            <w:tcW w:w="3686" w:type="dxa"/>
          </w:tcPr>
          <w:p w:rsidR="007416C3" w:rsidRDefault="007416C3" w:rsidP="00F90933">
            <w:pPr>
              <w:pStyle w:val="TableText0"/>
              <w:keepNext w:val="0"/>
              <w:spacing w:before="40" w:after="40" w:line="240" w:lineRule="auto"/>
              <w:jc w:val="left"/>
              <w:rPr>
                <w:lang w:val="fr-FR"/>
              </w:rPr>
            </w:pPr>
            <w:r>
              <w:rPr>
                <w:lang w:val="fr-FR"/>
              </w:rPr>
              <w:t>Hauteur typique de l'antenne du récepteur (m)</w:t>
            </w:r>
          </w:p>
        </w:tc>
        <w:tc>
          <w:tcPr>
            <w:tcW w:w="1644" w:type="dxa"/>
          </w:tcPr>
          <w:p w:rsidR="007416C3" w:rsidRDefault="007416C3" w:rsidP="00F90933">
            <w:pPr>
              <w:pStyle w:val="TableText0"/>
              <w:keepNext w:val="0"/>
              <w:spacing w:before="40" w:after="40" w:line="240" w:lineRule="auto"/>
              <w:jc w:val="center"/>
              <w:rPr>
                <w:lang w:val="fr-FR"/>
              </w:rPr>
            </w:pPr>
            <w:r>
              <w:rPr>
                <w:color w:val="FFFFFF"/>
                <w:lang w:val="fr-FR"/>
              </w:rPr>
              <w:t>0</w:t>
            </w:r>
            <w:r>
              <w:rPr>
                <w:lang w:val="fr-FR"/>
              </w:rPr>
              <w:t>9,1</w:t>
            </w:r>
          </w:p>
        </w:tc>
      </w:tr>
      <w:tr w:rsidR="007416C3" w:rsidTr="00DA64EE">
        <w:trPr>
          <w:cantSplit/>
          <w:jc w:val="center"/>
        </w:trPr>
        <w:tc>
          <w:tcPr>
            <w:tcW w:w="3175" w:type="dxa"/>
          </w:tcPr>
          <w:p w:rsidR="007416C3" w:rsidRDefault="007416C3" w:rsidP="00F90933">
            <w:pPr>
              <w:pStyle w:val="TableText0"/>
              <w:keepNext w:val="0"/>
              <w:spacing w:before="40" w:after="40" w:line="240" w:lineRule="auto"/>
              <w:jc w:val="left"/>
              <w:rPr>
                <w:lang w:val="fr-FR"/>
              </w:rPr>
            </w:pPr>
            <w:r>
              <w:rPr>
                <w:lang w:val="fr-FR"/>
              </w:rPr>
              <w:t>Type de signal</w:t>
            </w:r>
          </w:p>
        </w:tc>
        <w:tc>
          <w:tcPr>
            <w:tcW w:w="1191" w:type="dxa"/>
          </w:tcPr>
          <w:p w:rsidR="007416C3" w:rsidRDefault="007416C3" w:rsidP="00F90933">
            <w:pPr>
              <w:pStyle w:val="TableText0"/>
              <w:keepNext w:val="0"/>
              <w:spacing w:before="40" w:after="40" w:line="240" w:lineRule="auto"/>
              <w:jc w:val="center"/>
              <w:rPr>
                <w:lang w:val="fr-FR"/>
              </w:rPr>
            </w:pPr>
            <w:r>
              <w:rPr>
                <w:lang w:val="fr-FR"/>
              </w:rPr>
              <w:t>TV</w:t>
            </w:r>
          </w:p>
        </w:tc>
        <w:tc>
          <w:tcPr>
            <w:tcW w:w="3686" w:type="dxa"/>
          </w:tcPr>
          <w:p w:rsidR="007416C3" w:rsidRDefault="007416C3" w:rsidP="00F90933">
            <w:pPr>
              <w:pStyle w:val="TableText0"/>
              <w:keepNext w:val="0"/>
              <w:spacing w:before="40" w:after="40" w:line="240" w:lineRule="auto"/>
              <w:jc w:val="left"/>
              <w:rPr>
                <w:lang w:val="fr-FR"/>
              </w:rPr>
            </w:pPr>
            <w:r>
              <w:rPr>
                <w:lang w:val="fr-FR"/>
              </w:rPr>
              <w:t>Porteuse/brouillage (dB) (en l'absence d'évanouissement)</w:t>
            </w:r>
          </w:p>
        </w:tc>
        <w:tc>
          <w:tcPr>
            <w:tcW w:w="1644" w:type="dxa"/>
          </w:tcPr>
          <w:p w:rsidR="007416C3" w:rsidRDefault="007416C3" w:rsidP="00F90933">
            <w:pPr>
              <w:pStyle w:val="TableText0"/>
              <w:keepNext w:val="0"/>
              <w:spacing w:before="40" w:after="40" w:line="240" w:lineRule="auto"/>
              <w:jc w:val="center"/>
              <w:rPr>
                <w:lang w:val="fr-FR"/>
              </w:rPr>
            </w:pPr>
            <w:r>
              <w:rPr>
                <w:lang w:val="fr-FR"/>
              </w:rPr>
              <w:t>45</w:t>
            </w:r>
          </w:p>
        </w:tc>
      </w:tr>
    </w:tbl>
    <w:p w:rsidR="007416C3" w:rsidRDefault="007416C3" w:rsidP="00F45DBE">
      <w:pPr>
        <w:pStyle w:val="Tablefin"/>
        <w:rPr>
          <w:lang w:val="fr-FR"/>
        </w:rPr>
      </w:pPr>
    </w:p>
    <w:p w:rsidR="007416C3" w:rsidRDefault="007416C3" w:rsidP="00F45DBE">
      <w:pPr>
        <w:pStyle w:val="Heading1"/>
      </w:pPr>
      <w:r>
        <w:t>2</w:t>
      </w:r>
      <w:r>
        <w:tab/>
        <w:t>Considérations relatives au brouillage</w:t>
      </w:r>
    </w:p>
    <w:p w:rsidR="007416C3" w:rsidRDefault="007416C3" w:rsidP="00F45DBE">
      <w:pPr>
        <w:pStyle w:val="Heading2"/>
      </w:pPr>
      <w:r>
        <w:t>2.1</w:t>
      </w:r>
      <w:r>
        <w:tab/>
        <w:t>Zone protégée</w:t>
      </w:r>
    </w:p>
    <w:p w:rsidR="007416C3" w:rsidRPr="00982160" w:rsidRDefault="007416C3" w:rsidP="00F45DBE">
      <w:pPr>
        <w:rPr>
          <w:sz w:val="20"/>
        </w:rPr>
      </w:pPr>
      <w:r w:rsidRPr="00982160">
        <w:rPr>
          <w:sz w:val="20"/>
        </w:rPr>
        <w:t>Dans le MDS, les récepteurs sont protégés contre les brouillages préjudiciables s'ils sont installés dans la zone protégée autour de leur station émettrice associée. La zone protégée est définie par la distance maximum à partir de l'émetteur à laquelle un signal fiable est reçu. Cette distance maximum dans la zone de propagation la plus défavorable du continent nord-américain est de 25 km pour un emplacement d'émission dont la p.i.r.e. est de 200 W et un convertisseur-abaisseur de fréquence dont le facteur de bruit est de 10 dB. On définit un signal fiable à cette fin comme un signal suffisant pour assurer un rapport signal/bruit de 23 dB ou mieux pendant 99,9% du temps.</w:t>
      </w:r>
    </w:p>
    <w:p w:rsidR="007416C3" w:rsidRPr="00982160" w:rsidRDefault="007416C3" w:rsidP="00F45DBE">
      <w:pPr>
        <w:rPr>
          <w:sz w:val="20"/>
        </w:rPr>
      </w:pPr>
      <w:r w:rsidRPr="00982160">
        <w:rPr>
          <w:sz w:val="20"/>
        </w:rPr>
        <w:t xml:space="preserve">Pour les stations utilisant une antenne d'émission directive, la distance de protection, </w:t>
      </w:r>
      <w:r w:rsidRPr="00982160">
        <w:rPr>
          <w:i/>
          <w:sz w:val="20"/>
        </w:rPr>
        <w:t>D</w:t>
      </w:r>
      <w:r w:rsidRPr="00982160">
        <w:rPr>
          <w:i/>
          <w:position w:val="-4"/>
          <w:sz w:val="20"/>
        </w:rPr>
        <w:t>b</w:t>
      </w:r>
      <w:r w:rsidRPr="00982160">
        <w:rPr>
          <w:sz w:val="20"/>
        </w:rPr>
        <w:t>, à partir de l'émetteur peut</w:t>
      </w:r>
      <w:r w:rsidR="00DA64EE">
        <w:rPr>
          <w:sz w:val="20"/>
        </w:rPr>
        <w:t xml:space="preserve"> </w:t>
      </w:r>
      <w:r w:rsidRPr="00982160">
        <w:rPr>
          <w:sz w:val="20"/>
        </w:rPr>
        <w:t>être calculée par la relation suivante:</w:t>
      </w:r>
    </w:p>
    <w:p w:rsidR="00982160" w:rsidRPr="00CC6C53" w:rsidRDefault="00982160" w:rsidP="00F45DBE">
      <w:pPr>
        <w:pStyle w:val="Equation"/>
        <w:jc w:val="center"/>
        <w:rPr>
          <w:sz w:val="20"/>
          <w:lang w:val="fr-CH"/>
        </w:rPr>
      </w:pPr>
      <w:r w:rsidRPr="00CC6C53">
        <w:rPr>
          <w:i/>
          <w:sz w:val="20"/>
          <w:lang w:val="fr-CH"/>
        </w:rPr>
        <w:t>D</w:t>
      </w:r>
      <w:r w:rsidRPr="005C0B92">
        <w:rPr>
          <w:i/>
          <w:iCs/>
          <w:vertAlign w:val="subscript"/>
        </w:rPr>
        <w:t>b</w:t>
      </w:r>
      <w:r w:rsidRPr="00CC6C53">
        <w:rPr>
          <w:sz w:val="20"/>
          <w:lang w:val="fr-CH"/>
        </w:rPr>
        <w:t xml:space="preserve">  =  </w:t>
      </w:r>
      <w:r w:rsidRPr="00CC6C53">
        <w:rPr>
          <w:i/>
          <w:sz w:val="20"/>
          <w:lang w:val="fr-CH"/>
        </w:rPr>
        <w:t>D</w:t>
      </w:r>
      <w:r w:rsidRPr="005C0B92">
        <w:rPr>
          <w:i/>
          <w:iCs/>
          <w:vertAlign w:val="subscript"/>
        </w:rPr>
        <w:t>bm</w:t>
      </w:r>
      <w:r>
        <w:rPr>
          <w:i/>
          <w:iCs/>
          <w:vertAlign w:val="subscript"/>
        </w:rPr>
        <w:t>a</w:t>
      </w:r>
      <w:r w:rsidRPr="005C0B92">
        <w:rPr>
          <w:i/>
          <w:iCs/>
          <w:vertAlign w:val="subscript"/>
        </w:rPr>
        <w:t xml:space="preserve">x </w:t>
      </w:r>
      <w:r w:rsidRPr="00CC6C53">
        <w:rPr>
          <w:sz w:val="20"/>
          <w:lang w:val="fr-CH"/>
        </w:rPr>
        <w:t xml:space="preserve"> ·  10</w:t>
      </w:r>
      <w:r w:rsidR="00AA0BF2" w:rsidRPr="00AA0BF2">
        <w:rPr>
          <w:position w:val="-20"/>
          <w:sz w:val="20"/>
          <w:lang w:val="es-ES_tradnl"/>
        </w:rPr>
        <w:object w:dxaOrig="116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26.05pt" o:ole="">
            <v:imagedata r:id="rId13" o:title=""/>
          </v:shape>
          <o:OLEObject Type="Embed" ProgID="Equation.3" ShapeID="_x0000_i1025" DrawAspect="Content" ObjectID="_1354358625" r:id="rId14"/>
        </w:object>
      </w:r>
    </w:p>
    <w:p w:rsidR="007416C3" w:rsidRPr="00AA0BF2" w:rsidRDefault="007416C3" w:rsidP="00F45DBE">
      <w:pPr>
        <w:rPr>
          <w:sz w:val="20"/>
        </w:rPr>
      </w:pPr>
      <w:r w:rsidRPr="00AA0BF2">
        <w:rPr>
          <w:sz w:val="20"/>
        </w:rPr>
        <w:t>où:</w:t>
      </w:r>
    </w:p>
    <w:p w:rsidR="007416C3" w:rsidRPr="00982160" w:rsidRDefault="007416C3" w:rsidP="00F45DBE">
      <w:pPr>
        <w:pStyle w:val="enumlev1"/>
        <w:rPr>
          <w:sz w:val="20"/>
        </w:rPr>
      </w:pPr>
      <w:r w:rsidRPr="00982160">
        <w:rPr>
          <w:i/>
          <w:sz w:val="20"/>
        </w:rPr>
        <w:tab/>
        <w:t>D</w:t>
      </w:r>
      <w:r w:rsidRPr="00AA0BF2">
        <w:rPr>
          <w:i/>
          <w:iCs/>
          <w:szCs w:val="24"/>
          <w:vertAlign w:val="subscript"/>
        </w:rPr>
        <w:t>bmax</w:t>
      </w:r>
      <w:r w:rsidRPr="00982160">
        <w:rPr>
          <w:rFonts w:ascii="Tms Rmn" w:hAnsi="Tms Rmn"/>
          <w:i/>
          <w:position w:val="-4"/>
          <w:sz w:val="20"/>
        </w:rPr>
        <w:t> </w:t>
      </w:r>
      <w:r w:rsidRPr="00982160">
        <w:rPr>
          <w:sz w:val="20"/>
        </w:rPr>
        <w:t>:</w:t>
      </w:r>
      <w:r w:rsidRPr="00982160">
        <w:rPr>
          <w:sz w:val="20"/>
        </w:rPr>
        <w:tab/>
        <w:t>distance dans la direction du gain d'antenne maximum (km)</w:t>
      </w:r>
    </w:p>
    <w:p w:rsidR="007416C3" w:rsidRPr="00982160" w:rsidRDefault="007416C3" w:rsidP="00F45DBE">
      <w:pPr>
        <w:pStyle w:val="enumlev1"/>
        <w:rPr>
          <w:sz w:val="20"/>
        </w:rPr>
      </w:pPr>
      <w:r w:rsidRPr="00982160">
        <w:rPr>
          <w:i/>
          <w:sz w:val="20"/>
        </w:rPr>
        <w:tab/>
        <w:t>G</w:t>
      </w:r>
      <w:r w:rsidRPr="00AA0BF2">
        <w:rPr>
          <w:i/>
          <w:iCs/>
          <w:vertAlign w:val="subscript"/>
        </w:rPr>
        <w:t>max</w:t>
      </w:r>
      <w:r w:rsidRPr="00982160">
        <w:rPr>
          <w:rFonts w:ascii="Tms Rmn" w:hAnsi="Tms Rmn"/>
          <w:i/>
          <w:sz w:val="20"/>
        </w:rPr>
        <w:t> </w:t>
      </w:r>
      <w:r w:rsidRPr="00982160">
        <w:rPr>
          <w:sz w:val="20"/>
        </w:rPr>
        <w:t>:</w:t>
      </w:r>
      <w:r w:rsidRPr="00982160">
        <w:rPr>
          <w:sz w:val="20"/>
        </w:rPr>
        <w:tab/>
        <w:t>gain maximum d'antenne (dBi)</w:t>
      </w:r>
    </w:p>
    <w:p w:rsidR="007416C3" w:rsidRPr="00982160" w:rsidRDefault="007416C3" w:rsidP="00F45DBE">
      <w:pPr>
        <w:pStyle w:val="enumlev1"/>
        <w:rPr>
          <w:sz w:val="20"/>
        </w:rPr>
      </w:pPr>
      <w:r w:rsidRPr="00982160">
        <w:rPr>
          <w:i/>
          <w:sz w:val="20"/>
        </w:rPr>
        <w:tab/>
        <w:t>G</w:t>
      </w:r>
      <w:r w:rsidRPr="00982160">
        <w:rPr>
          <w:rFonts w:ascii="Tms Rmn" w:hAnsi="Tms Rmn"/>
          <w:sz w:val="20"/>
        </w:rPr>
        <w:t> </w:t>
      </w:r>
      <w:r w:rsidRPr="00982160">
        <w:rPr>
          <w:sz w:val="20"/>
        </w:rPr>
        <w:t>:</w:t>
      </w:r>
      <w:r w:rsidRPr="00982160">
        <w:rPr>
          <w:sz w:val="20"/>
        </w:rPr>
        <w:tab/>
      </w:r>
      <w:r w:rsidR="00982160" w:rsidRPr="00982160">
        <w:rPr>
          <w:sz w:val="20"/>
        </w:rPr>
        <w:tab/>
      </w:r>
      <w:r w:rsidRPr="00982160">
        <w:rPr>
          <w:sz w:val="20"/>
        </w:rPr>
        <w:t>gain d'antenne dans la direction considérée (dBi).</w:t>
      </w:r>
    </w:p>
    <w:p w:rsidR="007416C3" w:rsidRPr="00982160" w:rsidRDefault="007416C3" w:rsidP="00F45DBE">
      <w:pPr>
        <w:rPr>
          <w:sz w:val="20"/>
        </w:rPr>
      </w:pPr>
      <w:r w:rsidRPr="00982160">
        <w:rPr>
          <w:sz w:val="20"/>
        </w:rPr>
        <w:t>Pour des antennes directives ou non directives, la distance maximum de protection est de plus limitée à l'horizon radio</w:t>
      </w:r>
      <w:r w:rsidRPr="00982160">
        <w:rPr>
          <w:sz w:val="20"/>
        </w:rPr>
        <w:softHyphen/>
        <w:t>électrique, en supposant une hauteur de réception standard de 9 m.</w:t>
      </w:r>
    </w:p>
    <w:p w:rsidR="007416C3" w:rsidRDefault="007416C3" w:rsidP="00F45DBE">
      <w:pPr>
        <w:pStyle w:val="Heading2"/>
      </w:pPr>
      <w:r>
        <w:t>2.2</w:t>
      </w:r>
      <w:r>
        <w:tab/>
        <w:t>Brouillage dans le même canal</w:t>
      </w:r>
    </w:p>
    <w:p w:rsidR="007416C3" w:rsidRPr="00982160" w:rsidRDefault="007416C3" w:rsidP="00F45DBE">
      <w:pPr>
        <w:rPr>
          <w:sz w:val="20"/>
        </w:rPr>
      </w:pPr>
      <w:r w:rsidRPr="00982160">
        <w:rPr>
          <w:sz w:val="20"/>
        </w:rPr>
        <w:t xml:space="preserve">On vérifie la réutilisation des fréquences  dans une zone en s'assurant que le rapport porteuse/brouillage </w:t>
      </w:r>
      <w:r w:rsidRPr="00982160">
        <w:rPr>
          <w:i/>
          <w:sz w:val="20"/>
        </w:rPr>
        <w:t>C</w:t>
      </w:r>
      <w:r w:rsidRPr="00982160">
        <w:rPr>
          <w:sz w:val="20"/>
        </w:rPr>
        <w:t>/</w:t>
      </w:r>
      <w:r w:rsidRPr="00982160">
        <w:rPr>
          <w:i/>
          <w:sz w:val="20"/>
        </w:rPr>
        <w:t>I</w:t>
      </w:r>
      <w:r w:rsidRPr="00982160">
        <w:rPr>
          <w:sz w:val="20"/>
        </w:rPr>
        <w:t>, dû au brouillage dans le même canal, est supérieur à 45 dB.</w:t>
      </w:r>
    </w:p>
    <w:p w:rsidR="007416C3" w:rsidRPr="00982160" w:rsidRDefault="007416C3" w:rsidP="00F45DBE">
      <w:pPr>
        <w:rPr>
          <w:sz w:val="20"/>
        </w:rPr>
      </w:pPr>
      <w:r w:rsidRPr="00982160">
        <w:rPr>
          <w:sz w:val="20"/>
        </w:rPr>
        <w:t xml:space="preserve">Avec ce </w:t>
      </w:r>
      <w:r w:rsidRPr="00982160">
        <w:rPr>
          <w:i/>
          <w:sz w:val="20"/>
        </w:rPr>
        <w:t>C</w:t>
      </w:r>
      <w:r w:rsidRPr="00982160">
        <w:rPr>
          <w:sz w:val="20"/>
        </w:rPr>
        <w:t>/</w:t>
      </w:r>
      <w:r w:rsidRPr="00982160">
        <w:rPr>
          <w:i/>
          <w:sz w:val="20"/>
        </w:rPr>
        <w:t>I</w:t>
      </w:r>
      <w:r w:rsidRPr="00982160">
        <w:rPr>
          <w:sz w:val="20"/>
        </w:rPr>
        <w:t>, on assure aux récepteurs du service une protection raisonnable contre les brouillages sans trop restreindre l'aptitude des nouvelles stations à desservir des zones non desservies.</w:t>
      </w:r>
    </w:p>
    <w:p w:rsidR="007416C3" w:rsidRPr="00982160" w:rsidRDefault="007416C3" w:rsidP="00F45DBE">
      <w:pPr>
        <w:rPr>
          <w:sz w:val="20"/>
        </w:rPr>
      </w:pPr>
      <w:r w:rsidRPr="00982160">
        <w:rPr>
          <w:sz w:val="20"/>
        </w:rPr>
        <w:t xml:space="preserve">Ce rapport </w:t>
      </w:r>
      <w:r w:rsidRPr="00982160">
        <w:rPr>
          <w:i/>
          <w:sz w:val="20"/>
        </w:rPr>
        <w:t>C</w:t>
      </w:r>
      <w:r w:rsidRPr="00982160">
        <w:rPr>
          <w:sz w:val="20"/>
        </w:rPr>
        <w:t>/</w:t>
      </w:r>
      <w:r w:rsidRPr="00982160">
        <w:rPr>
          <w:i/>
          <w:sz w:val="20"/>
        </w:rPr>
        <w:t>I</w:t>
      </w:r>
      <w:r w:rsidRPr="00982160">
        <w:rPr>
          <w:sz w:val="20"/>
        </w:rPr>
        <w:t xml:space="preserve"> est obtenu dans la pratique grâce à la discrimination angulaire et au découplage de polarisation croisée de l'antenne de réception. L'antenne particulière prise pour référence sert à déterminer dans quelle mesure on peut, dans une zone donnée, réutiliser les mêmes fréquences. Pour ces calculs de </w:t>
      </w:r>
      <w:r w:rsidRPr="00982160">
        <w:rPr>
          <w:i/>
          <w:sz w:val="20"/>
        </w:rPr>
        <w:t>C</w:t>
      </w:r>
      <w:r w:rsidRPr="00982160">
        <w:rPr>
          <w:sz w:val="20"/>
        </w:rPr>
        <w:t>/</w:t>
      </w:r>
      <w:r w:rsidRPr="00982160">
        <w:rPr>
          <w:i/>
          <w:sz w:val="20"/>
        </w:rPr>
        <w:t>I</w:t>
      </w:r>
      <w:r w:rsidRPr="00982160">
        <w:rPr>
          <w:sz w:val="20"/>
        </w:rPr>
        <w:t>, on a pris une antenne parabolique de 0,6 m de diamètre. Dans certains cas, lorsque l'antenne de réception réelle est plus performante, c'est d'elle que l'on part pour calculer le </w:t>
      </w:r>
      <w:r w:rsidRPr="00982160">
        <w:rPr>
          <w:i/>
          <w:sz w:val="20"/>
        </w:rPr>
        <w:t>C</w:t>
      </w:r>
      <w:r w:rsidRPr="00982160">
        <w:rPr>
          <w:sz w:val="20"/>
        </w:rPr>
        <w:t>/</w:t>
      </w:r>
      <w:r w:rsidRPr="00982160">
        <w:rPr>
          <w:i/>
          <w:sz w:val="20"/>
        </w:rPr>
        <w:t>I</w:t>
      </w:r>
      <w:r w:rsidRPr="00982160">
        <w:rPr>
          <w:sz w:val="20"/>
        </w:rPr>
        <w:t>.</w:t>
      </w:r>
    </w:p>
    <w:p w:rsidR="007416C3" w:rsidRDefault="007416C3" w:rsidP="00F45DBE">
      <w:pPr>
        <w:pStyle w:val="Heading2"/>
      </w:pPr>
      <w:r>
        <w:lastRenderedPageBreak/>
        <w:t>2.3</w:t>
      </w:r>
      <w:r>
        <w:tab/>
        <w:t>Brouillage dans le canal adjacent</w:t>
      </w:r>
    </w:p>
    <w:p w:rsidR="007416C3" w:rsidRPr="00982160" w:rsidRDefault="007416C3" w:rsidP="00F45DBE">
      <w:pPr>
        <w:rPr>
          <w:sz w:val="20"/>
        </w:rPr>
      </w:pPr>
      <w:r w:rsidRPr="00982160">
        <w:rPr>
          <w:sz w:val="20"/>
        </w:rPr>
        <w:t xml:space="preserve">On se prémunit contre le brouillage dans le canal adjacent en veillant à ce que non seulement l'emplacement d'émission, mais aussi l'emplacement de réception MDS répondent à certaines conditions. Un objectif de 0 dB pour le rapport </w:t>
      </w:r>
      <w:r w:rsidRPr="00982160">
        <w:rPr>
          <w:i/>
          <w:sz w:val="20"/>
        </w:rPr>
        <w:t>C</w:t>
      </w:r>
      <w:r w:rsidRPr="00982160">
        <w:rPr>
          <w:sz w:val="20"/>
        </w:rPr>
        <w:t>/</w:t>
      </w:r>
      <w:r w:rsidRPr="00982160">
        <w:rPr>
          <w:i/>
          <w:sz w:val="20"/>
        </w:rPr>
        <w:t>I</w:t>
      </w:r>
      <w:r w:rsidRPr="00982160">
        <w:rPr>
          <w:sz w:val="20"/>
        </w:rPr>
        <w:t xml:space="preserve"> a été choisi pour cette condition. Pour aider à satisfaire à cette condition, on encourage la pratique qui consiste à placer les antennes d'émission des deux stations MDS desservant la même région aussi près l'une de l'autre (séparation de 0,5 km ou moins) et à transmettre en polarisation croisée mais avec des signaux de puissance égale. Les effets de la propagation sur la stabilité de la polarisation dans la bande des 2 GHz nécessitent un supplément d'étude.</w:t>
      </w:r>
    </w:p>
    <w:p w:rsidR="007416C3" w:rsidRDefault="007416C3" w:rsidP="00F45DBE">
      <w:pPr>
        <w:pStyle w:val="Heading2"/>
      </w:pPr>
      <w:r>
        <w:t>2.4</w:t>
      </w:r>
      <w:r>
        <w:tab/>
        <w:t>Considérations relatives au partage</w:t>
      </w:r>
    </w:p>
    <w:p w:rsidR="007416C3" w:rsidRPr="00982160" w:rsidRDefault="007416C3" w:rsidP="00F45DBE">
      <w:pPr>
        <w:rPr>
          <w:sz w:val="20"/>
        </w:rPr>
      </w:pPr>
      <w:r w:rsidRPr="00982160">
        <w:rPr>
          <w:sz w:val="20"/>
        </w:rPr>
        <w:t>Le diagramme de rayonnement dans le plan vertical d'une antenne d'émission équidirective type utilisée avec un système P</w:t>
      </w:r>
      <w:r w:rsidR="00982160">
        <w:rPr>
          <w:sz w:val="20"/>
        </w:rPr>
        <w:noBreakHyphen/>
      </w:r>
      <w:r w:rsidRPr="00982160">
        <w:rPr>
          <w:sz w:val="20"/>
        </w:rPr>
        <w:t>MP à 2,5 GHz est donné à la Fig. 1. Il convient de se référer à la Fig. 1 et au Tableau 1 pour déterminer les conditions de partage avec d'autres services.</w:t>
      </w:r>
    </w:p>
    <w:p w:rsidR="007416C3" w:rsidRDefault="00EA4E5B" w:rsidP="00F45DBE">
      <w:pPr>
        <w:pStyle w:val="FigureNo"/>
      </w:pPr>
      <w:r>
        <w:object w:dxaOrig="7258" w:dyaOrig="9303">
          <v:shape id="_x0000_i1026" type="#_x0000_t75" style="width:362.75pt;height:465.25pt" o:ole="">
            <v:imagedata r:id="rId15" o:title=""/>
          </v:shape>
          <o:OLEObject Type="Embed" ProgID="Word.Document.8" ShapeID="_x0000_i1026" DrawAspect="Content" ObjectID="_1354358626" r:id="rId16"/>
        </w:object>
      </w:r>
    </w:p>
    <w:p w:rsidR="007416C3" w:rsidRDefault="007416C3" w:rsidP="00F45DBE">
      <w:pPr>
        <w:pStyle w:val="Fig"/>
        <w:rPr>
          <w:lang w:val="fr-FR"/>
        </w:rPr>
      </w:pPr>
      <w:r>
        <w:rPr>
          <w:lang w:val="fr-FR"/>
        </w:rPr>
        <w:t xml:space="preserve">FIGURE 1/F.755-01 = 15 CM </w:t>
      </w:r>
    </w:p>
    <w:p w:rsidR="007416C3" w:rsidRDefault="007416C3" w:rsidP="00F45DBE">
      <w:pPr>
        <w:pStyle w:val="Annex"/>
        <w:keepNext/>
        <w:keepLines/>
        <w:rPr>
          <w:lang w:val="fr-FR"/>
        </w:rPr>
      </w:pPr>
      <w:r>
        <w:rPr>
          <w:lang w:val="fr-FR"/>
        </w:rPr>
        <w:lastRenderedPageBreak/>
        <w:t>ANNEXE  2</w:t>
      </w:r>
    </w:p>
    <w:p w:rsidR="007416C3" w:rsidRDefault="007416C3" w:rsidP="00F45DBE">
      <w:pPr>
        <w:pStyle w:val="AnnexTitle"/>
        <w:keepNext/>
        <w:keepLines/>
        <w:rPr>
          <w:lang w:val="fr-FR"/>
        </w:rPr>
      </w:pPr>
      <w:r>
        <w:rPr>
          <w:lang w:val="fr-FR"/>
        </w:rPr>
        <w:t>Exemples de systèmes de radiocommunication par paquets</w:t>
      </w:r>
    </w:p>
    <w:p w:rsidR="007416C3" w:rsidRDefault="007416C3" w:rsidP="00F45DBE">
      <w:pPr>
        <w:pStyle w:val="Heading1"/>
      </w:pPr>
      <w:r>
        <w:t>1</w:t>
      </w:r>
      <w:r>
        <w:tab/>
        <w:t>Introduction</w:t>
      </w:r>
    </w:p>
    <w:p w:rsidR="007416C3" w:rsidRPr="00982160" w:rsidRDefault="007416C3" w:rsidP="00F45DBE">
      <w:pPr>
        <w:rPr>
          <w:sz w:val="20"/>
        </w:rPr>
      </w:pPr>
      <w:r w:rsidRPr="00982160">
        <w:rPr>
          <w:sz w:val="20"/>
        </w:rPr>
        <w:t>La présente Annexe décrit la technologie et les systèmes de radiocommunication par paquets. Les techniques de radio</w:t>
      </w:r>
      <w:r w:rsidRPr="00982160">
        <w:rPr>
          <w:sz w:val="20"/>
        </w:rPr>
        <w:softHyphen/>
        <w:t>communication par paquets sont désormais utilisées avec succès dans un certain nombre de pays.</w:t>
      </w:r>
    </w:p>
    <w:p w:rsidR="007416C3" w:rsidRDefault="007416C3" w:rsidP="00F45DBE">
      <w:pPr>
        <w:pStyle w:val="Heading1"/>
      </w:pPr>
      <w:r>
        <w:t>2</w:t>
      </w:r>
      <w:r>
        <w:tab/>
        <w:t>Application du système</w:t>
      </w:r>
    </w:p>
    <w:p w:rsidR="007416C3" w:rsidRPr="00982160" w:rsidRDefault="007416C3" w:rsidP="00F45DBE">
      <w:pPr>
        <w:rPr>
          <w:sz w:val="20"/>
        </w:rPr>
      </w:pPr>
      <w:r w:rsidRPr="00982160">
        <w:rPr>
          <w:sz w:val="20"/>
        </w:rPr>
        <w:t>Les systèmes de ce type fonctionnent le plus efficacement lorsqu'ils doivent traiter un trafic de données sous la forme de rafales. Les systèmes fonctionnant en dessous de 1 GHz, transmettent des faibles débits, jusqu'à 9,6 kbit/s. Au-dessus de 1 GHz, des plus hauts débits peuvent être utilisés. Par exemple, un réseau de radiocommunication par paquets donne la possibilité d'interconnexion dans un réseau de communications informatisé. Les communications peuvent se faire entre des ordinateurs centraux et des terminaux d'usagers ainsi qu'entre des terminaux d'usager.</w:t>
      </w:r>
    </w:p>
    <w:p w:rsidR="007416C3" w:rsidRPr="00982160" w:rsidRDefault="007416C3" w:rsidP="00F45DBE">
      <w:pPr>
        <w:rPr>
          <w:sz w:val="20"/>
        </w:rPr>
      </w:pPr>
      <w:r w:rsidRPr="00982160">
        <w:rPr>
          <w:sz w:val="20"/>
        </w:rPr>
        <w:t>En outre, ces systèmes sont souvent installés dans des zones non urbaines où le coût de mise en place de nouveaux câbles entre le nœud d'abonné et l'installation du réseau la plus proche peut s'avérer excessif. Dans d'autres cas, le manque permanent de liaisons filaires peut rendre ces systèmes particulièrement intéressants dans les zones urbaines.</w:t>
      </w:r>
    </w:p>
    <w:p w:rsidR="007416C3" w:rsidRDefault="007416C3" w:rsidP="00F45DBE">
      <w:pPr>
        <w:pStyle w:val="Heading1"/>
      </w:pPr>
      <w:r>
        <w:t>3</w:t>
      </w:r>
      <w:r>
        <w:tab/>
        <w:t>Description du système</w:t>
      </w:r>
    </w:p>
    <w:p w:rsidR="007416C3" w:rsidRPr="00982160" w:rsidRDefault="007416C3" w:rsidP="00F45DBE">
      <w:pPr>
        <w:rPr>
          <w:sz w:val="20"/>
        </w:rPr>
      </w:pPr>
      <w:r w:rsidRPr="00982160">
        <w:rPr>
          <w:sz w:val="20"/>
        </w:rPr>
        <w:t>Le principe fondamental de la radiocommunication par paquets est que les données sont transmises par paquets. On a conçu des systèmes AMRT et des systèmes à accès multiple à détection de porteuse (AMDP). Ces systèmes assurent l'accès simultané à un canal radioélectrique soit par un protocole AMDP soit par un protocole AMRT et qui permettent à une station de fonctionner à la manière d'un répéteur avec enregistrement et retransmission, assurant le traitement du trafic des stations situées assez loin du site central. On peut aussi utiliser des répéteurs régénérateurs «duplex» à deux fréquences pour obtenir davantage de souplesse dans la conception du système.</w:t>
      </w:r>
    </w:p>
    <w:p w:rsidR="007416C3" w:rsidRPr="00982160" w:rsidRDefault="007416C3" w:rsidP="00F45DBE">
      <w:pPr>
        <w:rPr>
          <w:sz w:val="20"/>
        </w:rPr>
      </w:pPr>
      <w:r w:rsidRPr="00982160">
        <w:rPr>
          <w:sz w:val="20"/>
        </w:rPr>
        <w:t>L'acheminement des paquets est assuré par la commutation des paquets; on utilise en outre des techniques de correction d'erreur très perfectionnées et à chaque bloc de données on peut associer un contrôle cyclique de redondance CRC-16 qui porte sur la somme (référence: norme X.25 de l'UIT-T). Pour obtenir des taux d'erreur binaires (TEB) extrêmement faibles (meilleurs que 1 </w:t>
      </w:r>
      <w:r w:rsidR="00743F93" w:rsidRPr="00743F93">
        <w:rPr>
          <w:sz w:val="20"/>
        </w:rPr>
        <w:sym w:font="Symbol" w:char="F0B4"/>
      </w:r>
      <w:r w:rsidRPr="00982160">
        <w:rPr>
          <w:sz w:val="20"/>
        </w:rPr>
        <w:t> 10</w:t>
      </w:r>
      <w:r w:rsidRPr="009E524E">
        <w:rPr>
          <w:sz w:val="20"/>
          <w:vertAlign w:val="superscript"/>
        </w:rPr>
        <w:t>–11</w:t>
      </w:r>
      <w:r w:rsidRPr="00982160">
        <w:rPr>
          <w:sz w:val="20"/>
        </w:rPr>
        <w:t>) sur la transmission de grands blocs de données, on peut utiliser dans chaque bloc plusieurs contrôles cycliques de redondance CRC-16. Dans les systèmes de transmission de données P-MP, on a observé que les techniques de retransmission des blocs sont supérieures à celles qui utilisent la correction d'erreur directe (CED).</w:t>
      </w:r>
    </w:p>
    <w:p w:rsidR="007416C3" w:rsidRPr="00982160" w:rsidRDefault="007416C3" w:rsidP="00F45DBE">
      <w:pPr>
        <w:rPr>
          <w:sz w:val="20"/>
        </w:rPr>
      </w:pPr>
      <w:r w:rsidRPr="00982160">
        <w:rPr>
          <w:sz w:val="20"/>
        </w:rPr>
        <w:t>Etant donné que les systèmes de transmission de données par paquets ne fonctionnent pas en temps réel, en raison des temps de remplissage, on peut utiliser des techniques particulières visant à réduire au minimum les temps globaux de transmission, comme par exemple, une technique dans laquelle l'émission commence avant la réception complète du paquet et où on utilise des débits de transmission du réseau très élevés (4,8 à 9,6 kbit/s). En réalité, le fait de ne pas être un processus en temps réel, présente des avantages importants en ce qui concerne la conservation du spectre puisque les données sont envoyées à la vitesse la plus élevée possible dans le réseau, même si le terminal destinataire est lent.</w:t>
      </w:r>
    </w:p>
    <w:p w:rsidR="007416C3" w:rsidRPr="00982160" w:rsidRDefault="007416C3" w:rsidP="00F45DBE">
      <w:pPr>
        <w:rPr>
          <w:sz w:val="20"/>
        </w:rPr>
      </w:pPr>
      <w:r w:rsidRPr="00982160">
        <w:rPr>
          <w:sz w:val="20"/>
        </w:rPr>
        <w:t>Dans une configuration de système AMRT, la gestion du réseau est assurée par un organe appelé «station». Une telle station dispose d'un certain nombre d'unités de radiocommunication et détermine les connexions à effectuer entre les liaisons du réseau. Dans des environnements composés d'organes fixes, voire mobiles, chaque unité de radiocommunication évalue les possibilités de connexions des liaisons, met en mémoire les informations et les communique à la station. A l'aide de ces données, la station établit la connexion finale du réseau. L'architecture du réseau peut varier et inclure des configurations sans stations ou une configuration de radiodiffusion.</w:t>
      </w:r>
    </w:p>
    <w:p w:rsidR="007416C3" w:rsidRDefault="007416C3" w:rsidP="00F45DBE">
      <w:pPr>
        <w:pStyle w:val="Heading1"/>
      </w:pPr>
      <w:r>
        <w:t>4</w:t>
      </w:r>
      <w:r>
        <w:tab/>
        <w:t>Efficacité et techniques de modulation</w:t>
      </w:r>
    </w:p>
    <w:p w:rsidR="007416C3" w:rsidRPr="00982160" w:rsidRDefault="007416C3" w:rsidP="00F45DBE">
      <w:pPr>
        <w:rPr>
          <w:sz w:val="20"/>
        </w:rPr>
      </w:pPr>
      <w:r w:rsidRPr="00982160">
        <w:rPr>
          <w:sz w:val="20"/>
        </w:rPr>
        <w:t>Les systèmes AMDP ont l'avantage de pouvoir utiliser les émetteurs-récepteurs normalisés employés dans le service mobile terrestre à modulation de fréquence. Cela fournit la capacité suffisante pour acheminer jusqu'à 9,6 kbit/s de données avec un TEB de 1 </w:t>
      </w:r>
      <w:r w:rsidR="00743F93" w:rsidRPr="00743F93">
        <w:rPr>
          <w:sz w:val="20"/>
        </w:rPr>
        <w:sym w:font="Symbol" w:char="F0B4"/>
      </w:r>
      <w:r w:rsidRPr="00982160">
        <w:rPr>
          <w:sz w:val="20"/>
        </w:rPr>
        <w:t> 10</w:t>
      </w:r>
      <w:r w:rsidRPr="00982160">
        <w:rPr>
          <w:vertAlign w:val="superscript"/>
        </w:rPr>
        <w:t>–6</w:t>
      </w:r>
      <w:r w:rsidRPr="00982160">
        <w:rPr>
          <w:sz w:val="20"/>
        </w:rPr>
        <w:t xml:space="preserve"> pour un niveau de réception de –107 dBm. Des mesures ont montré que, dans un système AMDP bien conçu, on peut utiliser jusqu'à 40% de la capacité des canaux. La capacité en canaux des systèmes AMDP fonctionnant entre 130 et 960 MHz est indiquée au Tableau 2.</w:t>
      </w:r>
    </w:p>
    <w:p w:rsidR="007416C3" w:rsidRPr="00DF23E9" w:rsidRDefault="007416C3" w:rsidP="00F45DBE">
      <w:pPr>
        <w:pStyle w:val="Table"/>
        <w:rPr>
          <w:sz w:val="20"/>
          <w:lang w:val="fr-FR"/>
        </w:rPr>
      </w:pPr>
      <w:r w:rsidRPr="00DF23E9">
        <w:rPr>
          <w:sz w:val="20"/>
          <w:lang w:val="fr-FR"/>
        </w:rPr>
        <w:lastRenderedPageBreak/>
        <w:t>TABLEAU  2</w:t>
      </w:r>
    </w:p>
    <w:p w:rsidR="007416C3" w:rsidRPr="00DF23E9" w:rsidRDefault="007416C3" w:rsidP="00F45DBE">
      <w:pPr>
        <w:pStyle w:val="TableTitle0"/>
        <w:rPr>
          <w:sz w:val="20"/>
          <w:lang w:val="fr-FR"/>
        </w:rPr>
      </w:pPr>
      <w:r w:rsidRPr="00DF23E9">
        <w:rPr>
          <w:sz w:val="20"/>
          <w:lang w:val="fr-FR"/>
        </w:rPr>
        <w:t>Capacité en canaux des systèmes AMDP</w:t>
      </w:r>
    </w:p>
    <w:p w:rsidR="007416C3" w:rsidRDefault="007416C3" w:rsidP="00F45DBE">
      <w:pPr>
        <w:pStyle w:val="Blanc"/>
        <w:rPr>
          <w:lang w:val="fr-FR"/>
        </w:rPr>
      </w:pPr>
    </w:p>
    <w:tbl>
      <w:tblPr>
        <w:tblW w:w="0" w:type="dxa"/>
        <w:jc w:val="center"/>
        <w:tblLayout w:type="fixed"/>
        <w:tblCellMar>
          <w:left w:w="107" w:type="dxa"/>
          <w:right w:w="107" w:type="dxa"/>
        </w:tblCellMar>
        <w:tblLook w:val="0000"/>
      </w:tblPr>
      <w:tblGrid>
        <w:gridCol w:w="1985"/>
        <w:gridCol w:w="1985"/>
        <w:gridCol w:w="1985"/>
        <w:gridCol w:w="1985"/>
      </w:tblGrid>
      <w:tr w:rsidR="007416C3" w:rsidTr="00DF23E9">
        <w:trPr>
          <w:cantSplit/>
          <w:jc w:val="center"/>
        </w:trPr>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Nombre moyen de</w:t>
            </w:r>
            <w:r>
              <w:rPr>
                <w:lang w:val="fr-FR"/>
              </w:rPr>
              <w:br/>
              <w:t>caractères pour</w:t>
            </w:r>
            <w:r>
              <w:rPr>
                <w:lang w:val="fr-FR"/>
              </w:rPr>
              <w:br/>
              <w:t>les messages</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 xml:space="preserve">Messages/minute/ utilisateur </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Nombre maximal d'utilisateurs</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Temps de transmission moyen par message</w:t>
            </w:r>
            <w:r>
              <w:rPr>
                <w:lang w:val="fr-FR"/>
              </w:rPr>
              <w:br/>
              <w:t>(s)</w:t>
            </w:r>
          </w:p>
        </w:tc>
      </w:tr>
      <w:tr w:rsidR="007416C3" w:rsidTr="00DF23E9">
        <w:trPr>
          <w:cantSplit/>
          <w:jc w:val="center"/>
        </w:trPr>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60</w:t>
            </w:r>
            <w:r>
              <w:rPr>
                <w:lang w:val="fr-FR"/>
              </w:rPr>
              <w:br/>
              <w:t>60</w:t>
            </w:r>
            <w:r>
              <w:rPr>
                <w:lang w:val="fr-FR"/>
              </w:rPr>
              <w:br/>
              <w:t>60</w:t>
            </w:r>
            <w:r>
              <w:rPr>
                <w:lang w:val="fr-FR"/>
              </w:rPr>
              <w:br/>
              <w:t>60</w:t>
            </w:r>
            <w:r>
              <w:rPr>
                <w:lang w:val="fr-FR"/>
              </w:rPr>
              <w:br/>
              <w:t>60</w:t>
            </w:r>
            <w:r>
              <w:rPr>
                <w:lang w:val="fr-FR"/>
              </w:rPr>
              <w:br/>
              <w:t>60</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30</w:t>
            </w:r>
            <w:r>
              <w:rPr>
                <w:lang w:val="fr-FR"/>
              </w:rPr>
              <w:t> </w:t>
            </w:r>
            <w:r>
              <w:rPr>
                <w:lang w:val="fr-FR"/>
              </w:rPr>
              <w:t> </w:t>
            </w:r>
            <w:r>
              <w:rPr>
                <w:lang w:val="fr-FR"/>
              </w:rPr>
              <w:br/>
              <w:t>20</w:t>
            </w:r>
            <w:r>
              <w:rPr>
                <w:lang w:val="fr-FR"/>
              </w:rPr>
              <w:t> </w:t>
            </w:r>
            <w:r>
              <w:rPr>
                <w:lang w:val="fr-FR"/>
              </w:rPr>
              <w:t> </w:t>
            </w:r>
            <w:r>
              <w:rPr>
                <w:lang w:val="fr-FR"/>
              </w:rPr>
              <w:br/>
              <w:t>10</w:t>
            </w:r>
            <w:r>
              <w:rPr>
                <w:lang w:val="fr-FR"/>
              </w:rPr>
              <w:t> </w:t>
            </w:r>
            <w:r>
              <w:rPr>
                <w:lang w:val="fr-FR"/>
              </w:rPr>
              <w:t> </w:t>
            </w:r>
            <w:r>
              <w:rPr>
                <w:lang w:val="fr-FR"/>
              </w:rPr>
              <w:br/>
            </w:r>
            <w:r>
              <w:rPr>
                <w:color w:val="FFFFFF"/>
                <w:lang w:val="fr-FR"/>
              </w:rPr>
              <w:t>1</w:t>
            </w:r>
            <w:r>
              <w:rPr>
                <w:lang w:val="fr-FR"/>
              </w:rPr>
              <w:t>5</w:t>
            </w:r>
            <w:r>
              <w:rPr>
                <w:lang w:val="fr-FR"/>
              </w:rPr>
              <w:t> </w:t>
            </w:r>
            <w:r>
              <w:rPr>
                <w:lang w:val="fr-FR"/>
              </w:rPr>
              <w:t> </w:t>
            </w:r>
            <w:r>
              <w:rPr>
                <w:color w:val="FFFFFF"/>
                <w:lang w:val="fr-FR"/>
              </w:rPr>
              <w:br/>
              <w:t>3</w:t>
            </w:r>
            <w:r>
              <w:rPr>
                <w:color w:val="000000"/>
                <w:lang w:val="fr-FR"/>
              </w:rPr>
              <w:t>2,5</w:t>
            </w:r>
            <w:r>
              <w:rPr>
                <w:color w:val="000000"/>
                <w:lang w:val="fr-FR"/>
              </w:rPr>
              <w:br/>
            </w:r>
            <w:r>
              <w:rPr>
                <w:color w:val="FFFFFF"/>
                <w:lang w:val="fr-FR"/>
              </w:rPr>
              <w:t>3</w:t>
            </w:r>
            <w:r>
              <w:rPr>
                <w:color w:val="000000"/>
                <w:lang w:val="fr-FR"/>
              </w:rPr>
              <w:t>1</w:t>
            </w:r>
            <w:r>
              <w:rPr>
                <w:lang w:val="fr-FR"/>
              </w:rPr>
              <w:t> </w:t>
            </w:r>
            <w:r>
              <w:rPr>
                <w:lang w:val="fr-FR"/>
              </w:rPr>
              <w:t> </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color w:val="FFFFFF"/>
                <w:lang w:val="fr-FR"/>
              </w:rPr>
              <w:t>1</w:t>
            </w:r>
            <w:r>
              <w:rPr>
                <w:lang w:val="fr-FR"/>
              </w:rPr>
              <w:t>16</w:t>
            </w:r>
            <w:r>
              <w:rPr>
                <w:lang w:val="fr-FR"/>
              </w:rPr>
              <w:br/>
            </w:r>
            <w:r>
              <w:rPr>
                <w:color w:val="FFFFFF"/>
                <w:lang w:val="fr-FR"/>
              </w:rPr>
              <w:t>1</w:t>
            </w:r>
            <w:r>
              <w:rPr>
                <w:lang w:val="fr-FR"/>
              </w:rPr>
              <w:t>28</w:t>
            </w:r>
            <w:r>
              <w:rPr>
                <w:lang w:val="fr-FR"/>
              </w:rPr>
              <w:br/>
            </w:r>
            <w:r>
              <w:rPr>
                <w:color w:val="FFFFFF"/>
                <w:lang w:val="fr-FR"/>
              </w:rPr>
              <w:t>1</w:t>
            </w:r>
            <w:r>
              <w:rPr>
                <w:lang w:val="fr-FR"/>
              </w:rPr>
              <w:t>52</w:t>
            </w:r>
            <w:r>
              <w:rPr>
                <w:lang w:val="fr-FR"/>
              </w:rPr>
              <w:br/>
              <w:t>100</w:t>
            </w:r>
            <w:r>
              <w:rPr>
                <w:lang w:val="fr-FR"/>
              </w:rPr>
              <w:br/>
              <w:t>240</w:t>
            </w:r>
            <w:r>
              <w:rPr>
                <w:lang w:val="fr-FR"/>
              </w:rPr>
              <w:br/>
              <w:t>400</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0,26</w:t>
            </w:r>
            <w:r>
              <w:rPr>
                <w:lang w:val="fr-FR"/>
              </w:rPr>
              <w:br/>
              <w:t>0,24</w:t>
            </w:r>
            <w:r>
              <w:rPr>
                <w:lang w:val="fr-FR"/>
              </w:rPr>
              <w:br/>
              <w:t>0,23</w:t>
            </w:r>
            <w:r>
              <w:rPr>
                <w:lang w:val="fr-FR"/>
              </w:rPr>
              <w:br/>
              <w:t>0,23</w:t>
            </w:r>
            <w:r>
              <w:rPr>
                <w:lang w:val="fr-FR"/>
              </w:rPr>
              <w:br/>
              <w:t>0,23</w:t>
            </w:r>
            <w:r>
              <w:rPr>
                <w:lang w:val="fr-FR"/>
              </w:rPr>
              <w:br/>
              <w:t>0,22</w:t>
            </w:r>
          </w:p>
        </w:tc>
      </w:tr>
    </w:tbl>
    <w:p w:rsidR="007416C3" w:rsidRPr="00DF23E9" w:rsidRDefault="007416C3" w:rsidP="00F45DBE">
      <w:pPr>
        <w:pStyle w:val="Tablefin"/>
        <w:rPr>
          <w:lang w:val="fr-FR"/>
        </w:rPr>
      </w:pPr>
    </w:p>
    <w:p w:rsidR="007416C3" w:rsidRPr="00DF23E9" w:rsidRDefault="007416C3" w:rsidP="00F45DBE">
      <w:pPr>
        <w:rPr>
          <w:sz w:val="20"/>
        </w:rPr>
      </w:pPr>
      <w:r w:rsidRPr="00DF23E9">
        <w:rPr>
          <w:sz w:val="20"/>
        </w:rPr>
        <w:t>Lorsque le nombre de messages/minute/utilisateur augmente, (par exemple pour atteindre 30 messages/minute/utilisateur) le trafic peut alors ne plus être considéré comme se présentant sous la forme de rafales et il se peut qu'un autre type de système convienne mieux.</w:t>
      </w:r>
    </w:p>
    <w:p w:rsidR="007416C3" w:rsidRPr="00DF23E9" w:rsidRDefault="007416C3" w:rsidP="00F45DBE">
      <w:pPr>
        <w:rPr>
          <w:sz w:val="20"/>
        </w:rPr>
      </w:pPr>
      <w:r w:rsidRPr="00DF23E9">
        <w:rPr>
          <w:sz w:val="20"/>
        </w:rPr>
        <w:t>Il a été proposé pour un système AMRT dans la bande des 2 GHz d'utiliser la modulation par étalement du spectre, séquence directe et modulation par déplacement minimal (MDM) de la fréquence porteuse. Cette technique peut réduire au minimum le brouillage causé aux autres systèmes qui partagent la même fréquence et les mêmes bandes de fréquences tout en permettant à la radiodiffusion par paquets de rejeter le brouillage et de fonctionner de manière satisfaisante avec un rapport signal/brouillage inférieur à celui d'un récepteur analogique. Toutefois, l'équipement d'étalement du spectre est généralement plus complexe et plus coûteux que les récepteurs analogiques.</w:t>
      </w:r>
    </w:p>
    <w:p w:rsidR="007416C3" w:rsidRDefault="007416C3" w:rsidP="00F45DBE">
      <w:pPr>
        <w:pStyle w:val="Heading1"/>
      </w:pPr>
      <w:r>
        <w:t>5</w:t>
      </w:r>
      <w:r>
        <w:tab/>
        <w:t>Résumé</w:t>
      </w:r>
    </w:p>
    <w:p w:rsidR="007416C3" w:rsidRPr="00DF23E9" w:rsidRDefault="007416C3" w:rsidP="00F45DBE">
      <w:pPr>
        <w:rPr>
          <w:sz w:val="20"/>
        </w:rPr>
      </w:pPr>
      <w:r w:rsidRPr="00DF23E9">
        <w:rPr>
          <w:sz w:val="20"/>
        </w:rPr>
        <w:t>Des systèmes de radiocommunication par paquets utilisant les techniques AMRT et AMDP ont permis d'obtenir des performances très intéressantes et une transmission efficace du trafic de données.</w:t>
      </w:r>
    </w:p>
    <w:p w:rsidR="007416C3" w:rsidRPr="00DF23E9" w:rsidRDefault="007416C3" w:rsidP="00F45DBE">
      <w:pPr>
        <w:rPr>
          <w:sz w:val="20"/>
        </w:rPr>
      </w:pPr>
    </w:p>
    <w:p w:rsidR="007416C3" w:rsidRPr="00DF23E9" w:rsidRDefault="007416C3" w:rsidP="00F45DBE">
      <w:pPr>
        <w:rPr>
          <w:sz w:val="20"/>
        </w:rPr>
      </w:pPr>
    </w:p>
    <w:p w:rsidR="007416C3" w:rsidRDefault="007416C3" w:rsidP="00F45DBE">
      <w:pPr>
        <w:pStyle w:val="Annex"/>
        <w:rPr>
          <w:lang w:val="fr-FR"/>
        </w:rPr>
      </w:pPr>
      <w:r>
        <w:rPr>
          <w:lang w:val="fr-FR"/>
        </w:rPr>
        <w:t>ANNEXE  3</w:t>
      </w:r>
    </w:p>
    <w:p w:rsidR="007416C3" w:rsidRDefault="007416C3" w:rsidP="00F45DBE">
      <w:pPr>
        <w:pStyle w:val="AnnexTitle"/>
        <w:rPr>
          <w:lang w:val="fr-FR"/>
        </w:rPr>
      </w:pPr>
      <w:r>
        <w:rPr>
          <w:lang w:val="fr-FR"/>
        </w:rPr>
        <w:t>Systèmes P-MP utilisant les techniques AMRT pour la transmission</w:t>
      </w:r>
      <w:r>
        <w:rPr>
          <w:lang w:val="fr-FR"/>
        </w:rPr>
        <w:br/>
        <w:t>de données dans les zones urbaines</w:t>
      </w:r>
    </w:p>
    <w:p w:rsidR="007416C3" w:rsidRDefault="007416C3" w:rsidP="00F45DBE">
      <w:pPr>
        <w:pStyle w:val="Heading1"/>
      </w:pPr>
      <w:bookmarkStart w:id="4" w:name="dsgno"/>
      <w:bookmarkEnd w:id="4"/>
      <w:r>
        <w:t>1</w:t>
      </w:r>
      <w:r>
        <w:tab/>
        <w:t>Introduction</w:t>
      </w:r>
    </w:p>
    <w:p w:rsidR="007416C3" w:rsidRPr="00DF23E9" w:rsidRDefault="007416C3" w:rsidP="00F45DBE">
      <w:pPr>
        <w:rPr>
          <w:sz w:val="20"/>
        </w:rPr>
      </w:pPr>
      <w:r w:rsidRPr="00DF23E9">
        <w:rPr>
          <w:sz w:val="20"/>
        </w:rPr>
        <w:t>Les principes généraux des systèmes P-MP utilisant l'AMRT sont examinés dans l'Annexe 1 à la Recommandation UIT</w:t>
      </w:r>
      <w:r w:rsidRPr="00DF23E9">
        <w:rPr>
          <w:sz w:val="20"/>
        </w:rPr>
        <w:noBreakHyphen/>
        <w:t>R F.756.</w:t>
      </w:r>
    </w:p>
    <w:p w:rsidR="007416C3" w:rsidRPr="00DF23E9" w:rsidRDefault="007416C3" w:rsidP="00F45DBE">
      <w:pPr>
        <w:rPr>
          <w:sz w:val="20"/>
        </w:rPr>
      </w:pPr>
      <w:r w:rsidRPr="00DF23E9">
        <w:rPr>
          <w:sz w:val="20"/>
        </w:rPr>
        <w:t>Cette technique s'est considérablement développée depuis quelques années et sert à assurer des terminaisons numériques dans les zones urbaines.</w:t>
      </w:r>
    </w:p>
    <w:p w:rsidR="007416C3" w:rsidRPr="00DF23E9" w:rsidRDefault="007416C3" w:rsidP="00F45DBE">
      <w:pPr>
        <w:rPr>
          <w:sz w:val="20"/>
        </w:rPr>
      </w:pPr>
      <w:r w:rsidRPr="00DF23E9">
        <w:rPr>
          <w:sz w:val="20"/>
        </w:rPr>
        <w:t>Les principes et applications des systèmes P-MP qui utilisent les techniques AMRT pour la fourniture de services de données dans les zones urbaines sont examinés dans la présente annexe et les caractéristiques d'un certain nombre de systèmes sont résumées dans les Tableaux 3a et 3b.</w:t>
      </w:r>
    </w:p>
    <w:p w:rsidR="007416C3" w:rsidRDefault="007416C3" w:rsidP="00F45DBE">
      <w:pPr>
        <w:sectPr w:rsidR="007416C3" w:rsidSect="00F90933">
          <w:headerReference w:type="even" r:id="rId17"/>
          <w:headerReference w:type="default" r:id="rId18"/>
          <w:footnotePr>
            <w:pos w:val="beneathText"/>
            <w:numFmt w:val="chicago"/>
            <w:numStart w:val="5"/>
          </w:footnotePr>
          <w:pgSz w:w="11913" w:h="16834" w:code="9"/>
          <w:pgMar w:top="1418" w:right="1134" w:bottom="1134" w:left="1134" w:header="720" w:footer="482" w:gutter="0"/>
          <w:paperSrc w:other="15"/>
          <w:pgNumType w:start="1"/>
          <w:cols w:space="720"/>
        </w:sectPr>
      </w:pPr>
    </w:p>
    <w:p w:rsidR="007416C3" w:rsidRPr="00DF23E9" w:rsidRDefault="007416C3" w:rsidP="00F45DBE">
      <w:pPr>
        <w:pStyle w:val="Table"/>
        <w:rPr>
          <w:sz w:val="20"/>
          <w:lang w:val="fr-FR"/>
        </w:rPr>
      </w:pPr>
      <w:r w:rsidRPr="00DF23E9">
        <w:rPr>
          <w:sz w:val="20"/>
          <w:lang w:val="fr-FR"/>
        </w:rPr>
        <w:lastRenderedPageBreak/>
        <w:t>TABLEAU  3a</w:t>
      </w:r>
    </w:p>
    <w:p w:rsidR="007416C3" w:rsidRPr="00DF23E9" w:rsidRDefault="007416C3" w:rsidP="00F45DBE">
      <w:pPr>
        <w:pStyle w:val="TableTitle0"/>
        <w:rPr>
          <w:b w:val="0"/>
          <w:sz w:val="20"/>
          <w:lang w:val="fr-FR"/>
        </w:rPr>
      </w:pPr>
      <w:r w:rsidRPr="00DF23E9">
        <w:rPr>
          <w:sz w:val="20"/>
          <w:lang w:val="fr-FR"/>
        </w:rPr>
        <w:t>Exemples de caractéristiques de systèmes radioélectriques P-MP utilisant les techniques AMRT</w:t>
      </w:r>
      <w:r w:rsidRPr="00DF23E9">
        <w:rPr>
          <w:sz w:val="20"/>
          <w:lang w:val="fr-FR"/>
        </w:rPr>
        <w:br/>
      </w:r>
      <w:r w:rsidRPr="00DF23E9">
        <w:rPr>
          <w:b w:val="0"/>
          <w:sz w:val="20"/>
          <w:lang w:val="fr-FR"/>
        </w:rPr>
        <w:t>(Fréquence au-dessous de 3 GHz)</w:t>
      </w:r>
    </w:p>
    <w:p w:rsidR="007416C3" w:rsidRDefault="007416C3" w:rsidP="00F45DBE">
      <w:pPr>
        <w:pStyle w:val="Blanc"/>
        <w:rPr>
          <w:lang w:val="fr-FR"/>
        </w:rPr>
      </w:pPr>
    </w:p>
    <w:tbl>
      <w:tblPr>
        <w:tblW w:w="14459" w:type="dxa"/>
        <w:jc w:val="center"/>
        <w:tblLayout w:type="fixed"/>
        <w:tblCellMar>
          <w:left w:w="107" w:type="dxa"/>
          <w:right w:w="107" w:type="dxa"/>
        </w:tblCellMar>
        <w:tblLook w:val="0000"/>
      </w:tblPr>
      <w:tblGrid>
        <w:gridCol w:w="1999"/>
        <w:gridCol w:w="1689"/>
        <w:gridCol w:w="1762"/>
        <w:gridCol w:w="1408"/>
        <w:gridCol w:w="1408"/>
        <w:gridCol w:w="2251"/>
        <w:gridCol w:w="1971"/>
        <w:gridCol w:w="1971"/>
      </w:tblGrid>
      <w:tr w:rsidR="007416C3" w:rsidTr="00DF23E9">
        <w:trPr>
          <w:cantSplit/>
          <w:jc w:val="center"/>
        </w:trPr>
        <w:tc>
          <w:tcPr>
            <w:tcW w:w="2013"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Système</w:t>
            </w:r>
          </w:p>
        </w:tc>
        <w:tc>
          <w:tcPr>
            <w:tcW w:w="1701"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150, 450, 800 MHz</w:t>
            </w:r>
          </w:p>
        </w:tc>
        <w:tc>
          <w:tcPr>
            <w:tcW w:w="177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890 à 960 MHz</w:t>
            </w:r>
          </w:p>
        </w:tc>
        <w:tc>
          <w:tcPr>
            <w:tcW w:w="2836" w:type="dxa"/>
            <w:gridSpan w:val="2"/>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1,5; 2,4 et 2,6 GHz</w:t>
            </w:r>
          </w:p>
        </w:tc>
        <w:tc>
          <w:tcPr>
            <w:tcW w:w="226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1,5 et 2,4 GHz</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1,5 à 2,6 GHz</w:t>
            </w:r>
          </w:p>
        </w:tc>
        <w:tc>
          <w:tcPr>
            <w:tcW w:w="1985" w:type="dxa"/>
            <w:tcBorders>
              <w:top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2 GHz</w:t>
            </w:r>
          </w:p>
        </w:tc>
      </w:tr>
      <w:tr w:rsidR="007416C3" w:rsidTr="00DF23E9">
        <w:trPr>
          <w:cantSplit/>
          <w:jc w:val="center"/>
        </w:trPr>
        <w:tc>
          <w:tcPr>
            <w:tcW w:w="2013"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line="240" w:lineRule="auto"/>
              <w:ind w:left="227" w:hanging="227"/>
              <w:jc w:val="left"/>
              <w:rPr>
                <w:lang w:val="fr-FR"/>
              </w:rPr>
            </w:pPr>
            <w:r>
              <w:rPr>
                <w:lang w:val="fr-FR"/>
              </w:rPr>
              <w:t>1.</w:t>
            </w:r>
            <w:r>
              <w:rPr>
                <w:lang w:val="fr-FR"/>
              </w:rPr>
              <w:tab/>
              <w:t>Capacité d'un canal radioélectrique (type) (kbit/s)</w:t>
            </w:r>
          </w:p>
        </w:tc>
        <w:tc>
          <w:tcPr>
            <w:tcW w:w="1701"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br/>
              <w:t xml:space="preserve">2 </w:t>
            </w:r>
            <w:r w:rsidR="00743F93" w:rsidRPr="00743F93">
              <w:sym w:font="Symbol" w:char="F0B4"/>
            </w:r>
            <w:r>
              <w:rPr>
                <w:lang w:val="fr-FR"/>
              </w:rPr>
              <w:t xml:space="preserve"> 32 ou 4 </w:t>
            </w:r>
            <w:r w:rsidR="00743F93" w:rsidRPr="00743F93">
              <w:sym w:font="Symbol" w:char="F0B4"/>
            </w:r>
            <w:r>
              <w:rPr>
                <w:lang w:val="fr-FR"/>
              </w:rPr>
              <w:t xml:space="preserve"> 16</w:t>
            </w:r>
          </w:p>
        </w:tc>
        <w:tc>
          <w:tcPr>
            <w:tcW w:w="177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br/>
              <w:t xml:space="preserve">64 </w:t>
            </w:r>
            <w:r w:rsidR="00743F93" w:rsidRPr="00743F93">
              <w:sym w:font="Symbol" w:char="F0B4"/>
            </w:r>
            <w:r>
              <w:rPr>
                <w:lang w:val="fr-FR"/>
              </w:rPr>
              <w:t xml:space="preserve"> 1,2</w:t>
            </w:r>
          </w:p>
        </w:tc>
        <w:tc>
          <w:tcPr>
            <w:tcW w:w="141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br/>
              <w:t xml:space="preserve">10 </w:t>
            </w:r>
            <w:r w:rsidR="00743F93" w:rsidRPr="00743F93">
              <w:sym w:font="Symbol" w:char="F0B4"/>
            </w:r>
            <w:r>
              <w:rPr>
                <w:lang w:val="fr-FR"/>
              </w:rPr>
              <w:t xml:space="preserve"> 64</w:t>
            </w:r>
          </w:p>
        </w:tc>
        <w:tc>
          <w:tcPr>
            <w:tcW w:w="141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br/>
              <w:t xml:space="preserve">30 </w:t>
            </w:r>
            <w:r w:rsidR="00743F93" w:rsidRPr="00743F93">
              <w:sym w:font="Symbol" w:char="F0B4"/>
            </w:r>
            <w:r>
              <w:rPr>
                <w:lang w:val="fr-FR"/>
              </w:rPr>
              <w:t xml:space="preserve"> 64</w:t>
            </w:r>
          </w:p>
        </w:tc>
        <w:tc>
          <w:tcPr>
            <w:tcW w:w="226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br/>
              <w:t xml:space="preserve">30 </w:t>
            </w:r>
            <w:r w:rsidR="00743F93" w:rsidRPr="00743F93">
              <w:sym w:font="Symbol" w:char="F0B4"/>
            </w:r>
            <w:r>
              <w:rPr>
                <w:lang w:val="fr-FR"/>
              </w:rPr>
              <w:t xml:space="preserve"> 64</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br/>
              <w:t xml:space="preserve">60 </w:t>
            </w:r>
            <w:r w:rsidR="00743F93" w:rsidRPr="00743F93">
              <w:sym w:font="Symbol" w:char="F0B4"/>
            </w:r>
            <w:r>
              <w:rPr>
                <w:lang w:val="fr-FR"/>
              </w:rPr>
              <w:t xml:space="preserve"> 64</w:t>
            </w:r>
          </w:p>
        </w:tc>
        <w:tc>
          <w:tcPr>
            <w:tcW w:w="1985" w:type="dxa"/>
            <w:tcBorders>
              <w:top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br/>
              <w:t xml:space="preserve">48 </w:t>
            </w:r>
            <w:r w:rsidR="00743F93" w:rsidRPr="00743F93">
              <w:sym w:font="Symbol" w:char="F0B4"/>
            </w:r>
            <w:r>
              <w:rPr>
                <w:lang w:val="fr-FR"/>
              </w:rPr>
              <w:t xml:space="preserve"> 64</w:t>
            </w:r>
          </w:p>
        </w:tc>
      </w:tr>
      <w:tr w:rsidR="007416C3" w:rsidTr="00DF23E9">
        <w:trPr>
          <w:cantSplit/>
          <w:jc w:val="center"/>
        </w:trPr>
        <w:tc>
          <w:tcPr>
            <w:tcW w:w="2013"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line="240" w:lineRule="auto"/>
              <w:ind w:left="227" w:hanging="227"/>
              <w:jc w:val="left"/>
              <w:rPr>
                <w:lang w:val="fr-FR"/>
              </w:rPr>
            </w:pPr>
            <w:r>
              <w:rPr>
                <w:lang w:val="fr-FR"/>
              </w:rPr>
              <w:t>2.</w:t>
            </w:r>
            <w:r>
              <w:rPr>
                <w:lang w:val="fr-FR"/>
              </w:rPr>
              <w:tab/>
              <w:t>Débit binaire composite (kbit/s)</w:t>
            </w:r>
          </w:p>
        </w:tc>
        <w:tc>
          <w:tcPr>
            <w:tcW w:w="1701"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180" w:line="240" w:lineRule="auto"/>
              <w:jc w:val="center"/>
              <w:rPr>
                <w:lang w:val="fr-FR"/>
              </w:rPr>
            </w:pPr>
            <w:r>
              <w:rPr>
                <w:lang w:val="fr-FR"/>
              </w:rPr>
              <w:t xml:space="preserve">26 </w:t>
            </w:r>
            <w:r w:rsidR="00743F93" w:rsidRPr="00743F93">
              <w:sym w:font="Symbol" w:char="F0B4"/>
            </w:r>
            <w:r>
              <w:rPr>
                <w:lang w:val="fr-FR"/>
              </w:rPr>
              <w:t xml:space="preserve"> 64</w:t>
            </w:r>
          </w:p>
        </w:tc>
        <w:tc>
          <w:tcPr>
            <w:tcW w:w="177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180" w:line="240" w:lineRule="auto"/>
              <w:jc w:val="center"/>
              <w:rPr>
                <w:lang w:val="fr-FR"/>
              </w:rPr>
            </w:pPr>
            <w:r>
              <w:rPr>
                <w:lang w:val="fr-FR"/>
              </w:rPr>
              <w:t>240</w:t>
            </w:r>
          </w:p>
        </w:tc>
        <w:tc>
          <w:tcPr>
            <w:tcW w:w="141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180" w:line="240" w:lineRule="auto"/>
              <w:jc w:val="center"/>
              <w:rPr>
                <w:lang w:val="fr-FR"/>
              </w:rPr>
            </w:pPr>
            <w:r>
              <w:rPr>
                <w:lang w:val="fr-FR"/>
              </w:rPr>
              <w:t>832</w:t>
            </w:r>
          </w:p>
        </w:tc>
        <w:tc>
          <w:tcPr>
            <w:tcW w:w="141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180" w:line="240" w:lineRule="auto"/>
              <w:jc w:val="center"/>
              <w:rPr>
                <w:lang w:val="fr-FR"/>
              </w:rPr>
            </w:pPr>
            <w:r>
              <w:rPr>
                <w:lang w:val="fr-FR"/>
              </w:rPr>
              <w:t>2</w:t>
            </w:r>
            <w:r>
              <w:rPr>
                <w:sz w:val="12"/>
                <w:lang w:val="fr-FR"/>
              </w:rPr>
              <w:t> </w:t>
            </w:r>
            <w:r>
              <w:rPr>
                <w:lang w:val="fr-FR"/>
              </w:rPr>
              <w:t>304</w:t>
            </w:r>
          </w:p>
        </w:tc>
        <w:tc>
          <w:tcPr>
            <w:tcW w:w="226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180" w:line="240" w:lineRule="auto"/>
              <w:jc w:val="center"/>
              <w:rPr>
                <w:lang w:val="fr-FR"/>
              </w:rPr>
            </w:pPr>
            <w:r>
              <w:rPr>
                <w:lang w:val="fr-FR"/>
              </w:rPr>
              <w:t>2</w:t>
            </w:r>
            <w:r>
              <w:rPr>
                <w:sz w:val="12"/>
                <w:lang w:val="fr-FR"/>
              </w:rPr>
              <w:t> </w:t>
            </w:r>
            <w:r>
              <w:rPr>
                <w:lang w:val="fr-FR"/>
              </w:rPr>
              <w:t>432</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180" w:line="240" w:lineRule="auto"/>
              <w:jc w:val="center"/>
              <w:rPr>
                <w:lang w:val="fr-FR"/>
              </w:rPr>
            </w:pPr>
            <w:r>
              <w:rPr>
                <w:lang w:val="fr-FR"/>
              </w:rPr>
              <w:t>4</w:t>
            </w:r>
            <w:r>
              <w:rPr>
                <w:sz w:val="12"/>
                <w:lang w:val="fr-FR"/>
              </w:rPr>
              <w:t> </w:t>
            </w:r>
            <w:r>
              <w:rPr>
                <w:lang w:val="fr-FR"/>
              </w:rPr>
              <w:t>864</w:t>
            </w:r>
          </w:p>
        </w:tc>
        <w:tc>
          <w:tcPr>
            <w:tcW w:w="1985" w:type="dxa"/>
            <w:tcBorders>
              <w:top w:val="single" w:sz="6" w:space="0" w:color="auto"/>
              <w:bottom w:val="single" w:sz="6" w:space="0" w:color="auto"/>
              <w:right w:val="single" w:sz="6" w:space="0" w:color="auto"/>
            </w:tcBorders>
          </w:tcPr>
          <w:p w:rsidR="007416C3" w:rsidRDefault="007416C3" w:rsidP="00F45DBE">
            <w:pPr>
              <w:pStyle w:val="TableText0"/>
              <w:spacing w:before="180" w:line="240" w:lineRule="auto"/>
              <w:jc w:val="center"/>
              <w:rPr>
                <w:lang w:val="fr-FR"/>
              </w:rPr>
            </w:pPr>
            <w:r>
              <w:rPr>
                <w:lang w:val="fr-FR"/>
              </w:rPr>
              <w:t>3</w:t>
            </w:r>
            <w:r>
              <w:rPr>
                <w:sz w:val="12"/>
                <w:lang w:val="fr-FR"/>
              </w:rPr>
              <w:t> </w:t>
            </w:r>
            <w:r>
              <w:rPr>
                <w:lang w:val="fr-FR"/>
              </w:rPr>
              <w:t>088</w:t>
            </w:r>
          </w:p>
        </w:tc>
      </w:tr>
      <w:tr w:rsidR="007416C3" w:rsidTr="00DF23E9">
        <w:trPr>
          <w:cantSplit/>
          <w:jc w:val="center"/>
        </w:trPr>
        <w:tc>
          <w:tcPr>
            <w:tcW w:w="2013"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line="240" w:lineRule="auto"/>
              <w:ind w:left="227" w:hanging="227"/>
              <w:jc w:val="left"/>
              <w:rPr>
                <w:lang w:val="fr-FR"/>
              </w:rPr>
            </w:pPr>
            <w:r>
              <w:rPr>
                <w:lang w:val="fr-FR"/>
              </w:rPr>
              <w:t>3.</w:t>
            </w:r>
            <w:r>
              <w:rPr>
                <w:lang w:val="fr-FR"/>
              </w:rPr>
              <w:tab/>
              <w:t>Méthode de modulation</w:t>
            </w:r>
          </w:p>
        </w:tc>
        <w:tc>
          <w:tcPr>
            <w:tcW w:w="1701"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MDP-16-D</w:t>
            </w:r>
          </w:p>
        </w:tc>
        <w:tc>
          <w:tcPr>
            <w:tcW w:w="177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MDP-4 avec</w:t>
            </w:r>
            <w:r>
              <w:rPr>
                <w:lang w:val="fr-FR"/>
              </w:rPr>
              <w:br/>
              <w:t>décalage</w:t>
            </w:r>
          </w:p>
        </w:tc>
        <w:tc>
          <w:tcPr>
            <w:tcW w:w="141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MDF-2</w:t>
            </w:r>
          </w:p>
        </w:tc>
        <w:tc>
          <w:tcPr>
            <w:tcW w:w="141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MDP-4</w:t>
            </w:r>
          </w:p>
        </w:tc>
        <w:tc>
          <w:tcPr>
            <w:tcW w:w="226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MDP-4</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MDP-4 avec décalage</w:t>
            </w:r>
          </w:p>
        </w:tc>
        <w:tc>
          <w:tcPr>
            <w:tcW w:w="1985" w:type="dxa"/>
            <w:tcBorders>
              <w:top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MDP-4</w:t>
            </w:r>
          </w:p>
        </w:tc>
      </w:tr>
      <w:tr w:rsidR="007416C3" w:rsidTr="00DF23E9">
        <w:trPr>
          <w:cantSplit/>
          <w:jc w:val="center"/>
        </w:trPr>
        <w:tc>
          <w:tcPr>
            <w:tcW w:w="2013"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line="240" w:lineRule="auto"/>
              <w:ind w:left="227" w:hanging="227"/>
              <w:jc w:val="left"/>
              <w:rPr>
                <w:lang w:val="fr-FR"/>
              </w:rPr>
            </w:pPr>
            <w:r>
              <w:rPr>
                <w:lang w:val="fr-FR"/>
              </w:rPr>
              <w:t>4.</w:t>
            </w:r>
            <w:r>
              <w:rPr>
                <w:lang w:val="fr-FR"/>
              </w:rPr>
              <w:tab/>
              <w:t>Antenne de la station centrale (SC)</w:t>
            </w:r>
          </w:p>
        </w:tc>
        <w:tc>
          <w:tcPr>
            <w:tcW w:w="1701"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left"/>
              <w:rPr>
                <w:lang w:val="fr-FR"/>
              </w:rPr>
            </w:pPr>
            <w:r>
              <w:rPr>
                <w:lang w:val="fr-FR"/>
              </w:rPr>
              <w:t>Equidirective: gain jusqu'à 10 dBi ou Yagi</w:t>
            </w:r>
          </w:p>
        </w:tc>
        <w:tc>
          <w:tcPr>
            <w:tcW w:w="177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left"/>
              <w:rPr>
                <w:lang w:val="fr-FR"/>
              </w:rPr>
            </w:pPr>
            <w:r>
              <w:rPr>
                <w:lang w:val="fr-FR"/>
              </w:rPr>
              <w:t>Equidirective ou à faisceau large:</w:t>
            </w:r>
            <w:r>
              <w:rPr>
                <w:lang w:val="fr-FR"/>
              </w:rPr>
              <w:br/>
              <w:t>gain 10 dBi</w:t>
            </w:r>
          </w:p>
        </w:tc>
        <w:tc>
          <w:tcPr>
            <w:tcW w:w="2836" w:type="dxa"/>
            <w:gridSpan w:val="2"/>
            <w:tcBorders>
              <w:top w:val="single" w:sz="6" w:space="0" w:color="auto"/>
              <w:left w:val="single" w:sz="6" w:space="0" w:color="auto"/>
              <w:bottom w:val="single" w:sz="6" w:space="0" w:color="auto"/>
              <w:right w:val="single" w:sz="6" w:space="0" w:color="auto"/>
            </w:tcBorders>
          </w:tcPr>
          <w:p w:rsidR="007416C3" w:rsidRPr="007416C3" w:rsidRDefault="007416C3" w:rsidP="00F45DBE">
            <w:pPr>
              <w:pStyle w:val="TableText0"/>
              <w:spacing w:line="240" w:lineRule="auto"/>
              <w:jc w:val="left"/>
              <w:rPr>
                <w:lang w:val="en-US"/>
              </w:rPr>
            </w:pPr>
            <w:r w:rsidRPr="007416C3">
              <w:rPr>
                <w:lang w:val="en-US"/>
              </w:rPr>
              <w:t>Equidirective: gain 10 dBi</w:t>
            </w:r>
            <w:r w:rsidRPr="007416C3">
              <w:rPr>
                <w:lang w:val="en-US"/>
              </w:rPr>
              <w:br/>
              <w:t>Yagi: gain 16-21 dBi</w:t>
            </w:r>
            <w:r w:rsidRPr="007416C3">
              <w:rPr>
                <w:lang w:val="en-US"/>
              </w:rPr>
              <w:br/>
              <w:t>Cornet: gain 13 dBi</w:t>
            </w:r>
          </w:p>
        </w:tc>
        <w:tc>
          <w:tcPr>
            <w:tcW w:w="226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left"/>
              <w:rPr>
                <w:lang w:val="fr-FR"/>
              </w:rPr>
            </w:pPr>
            <w:r>
              <w:rPr>
                <w:lang w:val="fr-FR"/>
              </w:rPr>
              <w:t>Equidirective ou à faisceau large: gain 10 dBi</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left"/>
              <w:rPr>
                <w:lang w:val="fr-FR"/>
              </w:rPr>
            </w:pPr>
            <w:r>
              <w:rPr>
                <w:lang w:val="fr-FR"/>
              </w:rPr>
              <w:t>Equidirective ou à faisceau large:</w:t>
            </w:r>
            <w:r>
              <w:rPr>
                <w:lang w:val="fr-FR"/>
              </w:rPr>
              <w:br/>
              <w:t>gain 10 dBi</w:t>
            </w:r>
          </w:p>
        </w:tc>
        <w:tc>
          <w:tcPr>
            <w:tcW w:w="1985" w:type="dxa"/>
            <w:tcBorders>
              <w:top w:val="single" w:sz="6" w:space="0" w:color="auto"/>
              <w:bottom w:val="single" w:sz="6" w:space="0" w:color="auto"/>
              <w:right w:val="single" w:sz="6" w:space="0" w:color="auto"/>
            </w:tcBorders>
          </w:tcPr>
          <w:p w:rsidR="007416C3" w:rsidRDefault="007416C3" w:rsidP="00F45DBE">
            <w:pPr>
              <w:pStyle w:val="TableText0"/>
              <w:spacing w:line="240" w:lineRule="auto"/>
              <w:jc w:val="left"/>
              <w:rPr>
                <w:lang w:val="fr-FR"/>
              </w:rPr>
            </w:pPr>
            <w:r>
              <w:rPr>
                <w:lang w:val="fr-FR"/>
              </w:rPr>
              <w:t>Faisceau large (45</w:t>
            </w:r>
            <w:r w:rsidR="00743F93" w:rsidRPr="00CC6C53">
              <w:rPr>
                <w:lang w:val="fr-CH"/>
              </w:rPr>
              <w:t>°</w:t>
            </w:r>
            <w:r>
              <w:rPr>
                <w:lang w:val="fr-FR"/>
              </w:rPr>
              <w:t>):</w:t>
            </w:r>
            <w:r>
              <w:rPr>
                <w:lang w:val="fr-FR"/>
              </w:rPr>
              <w:br/>
              <w:t>gain: voir la Fig. 4 du Rapport 1057 (Düsseldorf, 1990)</w:t>
            </w:r>
          </w:p>
        </w:tc>
      </w:tr>
      <w:tr w:rsidR="007416C3" w:rsidTr="00DF23E9">
        <w:trPr>
          <w:cantSplit/>
          <w:jc w:val="center"/>
        </w:trPr>
        <w:tc>
          <w:tcPr>
            <w:tcW w:w="2013"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line="240" w:lineRule="auto"/>
              <w:ind w:left="227" w:hanging="227"/>
              <w:jc w:val="left"/>
              <w:rPr>
                <w:lang w:val="fr-FR"/>
              </w:rPr>
            </w:pPr>
            <w:r>
              <w:rPr>
                <w:lang w:val="fr-FR"/>
              </w:rPr>
              <w:t>5.</w:t>
            </w:r>
            <w:r>
              <w:rPr>
                <w:lang w:val="fr-FR"/>
              </w:rPr>
              <w:tab/>
              <w:t>Antenne de la station d'extrémité (SE)</w:t>
            </w:r>
          </w:p>
        </w:tc>
        <w:tc>
          <w:tcPr>
            <w:tcW w:w="1701"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left"/>
              <w:rPr>
                <w:lang w:val="fr-FR"/>
              </w:rPr>
            </w:pPr>
            <w:r>
              <w:rPr>
                <w:lang w:val="fr-FR"/>
              </w:rPr>
              <w:t>Yagi: gain 10 dBi</w:t>
            </w:r>
          </w:p>
        </w:tc>
        <w:tc>
          <w:tcPr>
            <w:tcW w:w="177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left"/>
              <w:rPr>
                <w:lang w:val="fr-FR"/>
              </w:rPr>
            </w:pPr>
            <w:r>
              <w:rPr>
                <w:lang w:val="fr-FR"/>
              </w:rPr>
              <w:t>Yagi Boucle:</w:t>
            </w:r>
            <w:r>
              <w:rPr>
                <w:lang w:val="fr-FR"/>
              </w:rPr>
              <w:br/>
              <w:t xml:space="preserve">gain 20 dBi </w:t>
            </w:r>
          </w:p>
        </w:tc>
        <w:tc>
          <w:tcPr>
            <w:tcW w:w="2836" w:type="dxa"/>
            <w:gridSpan w:val="2"/>
            <w:tcBorders>
              <w:top w:val="single" w:sz="6" w:space="0" w:color="auto"/>
              <w:left w:val="single" w:sz="6" w:space="0" w:color="auto"/>
              <w:bottom w:val="single" w:sz="6" w:space="0" w:color="auto"/>
              <w:right w:val="single" w:sz="6" w:space="0" w:color="auto"/>
            </w:tcBorders>
          </w:tcPr>
          <w:p w:rsidR="007416C3" w:rsidRPr="007416C3" w:rsidRDefault="007416C3" w:rsidP="00F45DBE">
            <w:pPr>
              <w:pStyle w:val="TableText0"/>
              <w:spacing w:line="240" w:lineRule="auto"/>
              <w:jc w:val="left"/>
              <w:rPr>
                <w:lang w:val="en-US"/>
              </w:rPr>
            </w:pPr>
            <w:r w:rsidRPr="007416C3">
              <w:rPr>
                <w:lang w:val="en-US"/>
              </w:rPr>
              <w:t>Yagi: gain 16-21 dBi</w:t>
            </w:r>
            <w:r w:rsidRPr="007416C3">
              <w:rPr>
                <w:lang w:val="en-US"/>
              </w:rPr>
              <w:br/>
              <w:t>Cornet: gain 13 dBi</w:t>
            </w:r>
          </w:p>
        </w:tc>
        <w:tc>
          <w:tcPr>
            <w:tcW w:w="226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397"/>
              </w:tabs>
              <w:spacing w:line="240" w:lineRule="auto"/>
              <w:ind w:right="-57"/>
              <w:jc w:val="left"/>
              <w:rPr>
                <w:lang w:val="fr-FR"/>
              </w:rPr>
            </w:pPr>
            <w:r>
              <w:rPr>
                <w:lang w:val="fr-FR"/>
              </w:rPr>
              <w:t>Yagi: gain 17 dBi à 1,5 GHz</w:t>
            </w:r>
            <w:r>
              <w:rPr>
                <w:lang w:val="fr-FR"/>
              </w:rPr>
              <w:br/>
              <w:t>Parabolique:</w:t>
            </w:r>
            <w:r>
              <w:rPr>
                <w:lang w:val="fr-FR"/>
              </w:rPr>
              <w:br/>
              <w:t>gain</w:t>
            </w:r>
            <w:r>
              <w:rPr>
                <w:lang w:val="fr-FR"/>
              </w:rPr>
              <w:tab/>
              <w:t>22 dBi à 1,5 GHz</w:t>
            </w:r>
            <w:r>
              <w:rPr>
                <w:lang w:val="fr-FR"/>
              </w:rPr>
              <w:br/>
            </w:r>
            <w:r>
              <w:rPr>
                <w:lang w:val="fr-FR"/>
              </w:rPr>
              <w:tab/>
              <w:t>27 dBi à 2,4 GHz</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left"/>
              <w:rPr>
                <w:lang w:val="fr-FR"/>
              </w:rPr>
            </w:pPr>
            <w:r>
              <w:rPr>
                <w:lang w:val="fr-FR"/>
              </w:rPr>
              <w:t>Conique: gain 17 dBi</w:t>
            </w:r>
          </w:p>
        </w:tc>
        <w:tc>
          <w:tcPr>
            <w:tcW w:w="1985" w:type="dxa"/>
            <w:tcBorders>
              <w:top w:val="single" w:sz="6" w:space="0" w:color="auto"/>
              <w:bottom w:val="single" w:sz="6" w:space="0" w:color="auto"/>
              <w:right w:val="single" w:sz="6" w:space="0" w:color="auto"/>
            </w:tcBorders>
          </w:tcPr>
          <w:p w:rsidR="007416C3" w:rsidRDefault="007416C3" w:rsidP="00F45DBE">
            <w:pPr>
              <w:pStyle w:val="TableText0"/>
              <w:spacing w:line="240" w:lineRule="auto"/>
              <w:jc w:val="left"/>
              <w:rPr>
                <w:lang w:val="fr-FR"/>
              </w:rPr>
            </w:pPr>
            <w:r>
              <w:rPr>
                <w:lang w:val="fr-FR"/>
              </w:rPr>
              <w:t>Parabolique</w:t>
            </w:r>
            <w:r>
              <w:rPr>
                <w:lang w:val="fr-FR"/>
              </w:rPr>
              <w:br/>
              <w:t>(</w:t>
            </w:r>
            <w:r w:rsidR="00743F93" w:rsidRPr="00743F93">
              <w:sym w:font="Symbol" w:char="F06A"/>
            </w:r>
            <w:r>
              <w:rPr>
                <w:lang w:val="fr-FR"/>
              </w:rPr>
              <w:t xml:space="preserve"> </w:t>
            </w:r>
            <w:r w:rsidR="00743F93" w:rsidRPr="00743F93">
              <w:sym w:font="Symbol" w:char="F0B3"/>
            </w:r>
            <w:r>
              <w:rPr>
                <w:lang w:val="fr-FR"/>
              </w:rPr>
              <w:t xml:space="preserve"> 1,2 m)</w:t>
            </w:r>
          </w:p>
        </w:tc>
      </w:tr>
      <w:tr w:rsidR="007416C3" w:rsidTr="00DF23E9">
        <w:trPr>
          <w:cantSplit/>
          <w:jc w:val="center"/>
        </w:trPr>
        <w:tc>
          <w:tcPr>
            <w:tcW w:w="2013"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line="240" w:lineRule="auto"/>
              <w:ind w:left="227" w:hanging="227"/>
              <w:jc w:val="left"/>
              <w:rPr>
                <w:lang w:val="fr-FR"/>
              </w:rPr>
            </w:pPr>
            <w:r>
              <w:rPr>
                <w:lang w:val="fr-FR"/>
              </w:rPr>
              <w:t>6.</w:t>
            </w:r>
            <w:r>
              <w:rPr>
                <w:lang w:val="fr-FR"/>
              </w:rPr>
              <w:tab/>
              <w:t>Débits binaires des usagers (kbit/s)</w:t>
            </w:r>
          </w:p>
        </w:tc>
        <w:tc>
          <w:tcPr>
            <w:tcW w:w="1701"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jusqu'à 1,2</w:t>
            </w:r>
          </w:p>
        </w:tc>
        <w:tc>
          <w:tcPr>
            <w:tcW w:w="177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1,2-64</w:t>
            </w:r>
          </w:p>
        </w:tc>
        <w:tc>
          <w:tcPr>
            <w:tcW w:w="141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64</w:t>
            </w:r>
          </w:p>
        </w:tc>
        <w:tc>
          <w:tcPr>
            <w:tcW w:w="141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1,2-19,2</w:t>
            </w:r>
            <w:r>
              <w:rPr>
                <w:lang w:val="fr-FR"/>
              </w:rPr>
              <w:br/>
              <w:t>64</w:t>
            </w:r>
            <w:r>
              <w:rPr>
                <w:lang w:val="fr-FR"/>
              </w:rPr>
              <w:br/>
              <w:t>144 (RNIS)</w:t>
            </w:r>
          </w:p>
        </w:tc>
        <w:tc>
          <w:tcPr>
            <w:tcW w:w="226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line="240" w:lineRule="auto"/>
              <w:jc w:val="left"/>
              <w:rPr>
                <w:lang w:val="fr-FR"/>
              </w:rPr>
            </w:pPr>
            <w:r>
              <w:rPr>
                <w:lang w:val="fr-FR"/>
              </w:rPr>
              <w:t>a)</w:t>
            </w:r>
            <w:r>
              <w:rPr>
                <w:lang w:val="fr-FR"/>
              </w:rPr>
              <w:tab/>
              <w:t>Jusqu'à 9,6</w:t>
            </w:r>
            <w:r>
              <w:rPr>
                <w:lang w:val="fr-FR"/>
              </w:rPr>
              <w:br/>
              <w:t>b)</w:t>
            </w:r>
            <w:r>
              <w:rPr>
                <w:lang w:val="fr-FR"/>
              </w:rPr>
              <w:tab/>
              <w:t>Norme: 64</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2,4-64</w:t>
            </w:r>
          </w:p>
        </w:tc>
        <w:tc>
          <w:tcPr>
            <w:tcW w:w="1985" w:type="dxa"/>
            <w:tcBorders>
              <w:top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64-1</w:t>
            </w:r>
            <w:r>
              <w:rPr>
                <w:sz w:val="12"/>
                <w:lang w:val="fr-FR"/>
              </w:rPr>
              <w:t> </w:t>
            </w:r>
            <w:r>
              <w:rPr>
                <w:lang w:val="fr-FR"/>
              </w:rPr>
              <w:t>544</w:t>
            </w:r>
          </w:p>
        </w:tc>
      </w:tr>
      <w:tr w:rsidR="007416C3" w:rsidTr="00DF23E9">
        <w:trPr>
          <w:cantSplit/>
          <w:jc w:val="center"/>
        </w:trPr>
        <w:tc>
          <w:tcPr>
            <w:tcW w:w="2013"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line="240" w:lineRule="auto"/>
              <w:ind w:left="227" w:hanging="227"/>
              <w:jc w:val="left"/>
              <w:rPr>
                <w:lang w:val="fr-FR"/>
              </w:rPr>
            </w:pPr>
            <w:r>
              <w:rPr>
                <w:lang w:val="fr-FR"/>
              </w:rPr>
              <w:t>7.</w:t>
            </w:r>
            <w:r>
              <w:rPr>
                <w:lang w:val="fr-FR"/>
              </w:rPr>
              <w:tab/>
              <w:t>Assignation des usagers</w:t>
            </w:r>
          </w:p>
        </w:tc>
        <w:tc>
          <w:tcPr>
            <w:tcW w:w="1701"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left"/>
              <w:rPr>
                <w:lang w:val="fr-FR"/>
              </w:rPr>
            </w:pPr>
            <w:r>
              <w:rPr>
                <w:lang w:val="fr-FR"/>
              </w:rPr>
              <w:t>Assignation fixe ou à la demande</w:t>
            </w:r>
          </w:p>
        </w:tc>
        <w:tc>
          <w:tcPr>
            <w:tcW w:w="177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left"/>
              <w:rPr>
                <w:lang w:val="fr-FR"/>
              </w:rPr>
            </w:pPr>
            <w:r>
              <w:rPr>
                <w:lang w:val="fr-FR"/>
              </w:rPr>
              <w:t>Assignation fixe</w:t>
            </w:r>
          </w:p>
        </w:tc>
        <w:tc>
          <w:tcPr>
            <w:tcW w:w="2836" w:type="dxa"/>
            <w:gridSpan w:val="2"/>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Assignation fixe ou à la demande</w:t>
            </w:r>
          </w:p>
        </w:tc>
        <w:tc>
          <w:tcPr>
            <w:tcW w:w="226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left"/>
              <w:rPr>
                <w:lang w:val="fr-FR"/>
              </w:rPr>
            </w:pPr>
            <w:r>
              <w:rPr>
                <w:lang w:val="fr-FR"/>
              </w:rPr>
              <w:t>Assignation fixe ou à</w:t>
            </w:r>
            <w:r>
              <w:rPr>
                <w:lang w:val="fr-FR"/>
              </w:rPr>
              <w:br/>
              <w:t>la demande</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left"/>
              <w:rPr>
                <w:lang w:val="fr-FR"/>
              </w:rPr>
            </w:pPr>
            <w:r>
              <w:rPr>
                <w:lang w:val="fr-FR"/>
              </w:rPr>
              <w:t>Assignation fixe ou à</w:t>
            </w:r>
            <w:r>
              <w:rPr>
                <w:lang w:val="fr-FR"/>
              </w:rPr>
              <w:br/>
              <w:t>la demande</w:t>
            </w:r>
          </w:p>
        </w:tc>
        <w:tc>
          <w:tcPr>
            <w:tcW w:w="1985" w:type="dxa"/>
            <w:tcBorders>
              <w:top w:val="single" w:sz="6" w:space="0" w:color="auto"/>
              <w:bottom w:val="single" w:sz="6" w:space="0" w:color="auto"/>
              <w:right w:val="single" w:sz="6" w:space="0" w:color="auto"/>
            </w:tcBorders>
          </w:tcPr>
          <w:p w:rsidR="007416C3" w:rsidRDefault="007416C3" w:rsidP="00F45DBE">
            <w:pPr>
              <w:pStyle w:val="TableText0"/>
              <w:spacing w:line="240" w:lineRule="auto"/>
              <w:jc w:val="left"/>
              <w:rPr>
                <w:lang w:val="fr-FR"/>
              </w:rPr>
            </w:pPr>
            <w:r>
              <w:rPr>
                <w:lang w:val="fr-FR"/>
              </w:rPr>
              <w:t>Assignation fixe</w:t>
            </w:r>
          </w:p>
        </w:tc>
      </w:tr>
      <w:tr w:rsidR="007416C3" w:rsidTr="00DF23E9">
        <w:trPr>
          <w:cantSplit/>
          <w:jc w:val="center"/>
        </w:trPr>
        <w:tc>
          <w:tcPr>
            <w:tcW w:w="2013"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line="240" w:lineRule="auto"/>
              <w:ind w:left="227" w:hanging="227"/>
              <w:jc w:val="left"/>
              <w:rPr>
                <w:lang w:val="fr-FR"/>
              </w:rPr>
            </w:pPr>
            <w:r>
              <w:rPr>
                <w:lang w:val="fr-FR"/>
              </w:rPr>
              <w:t>8.</w:t>
            </w:r>
            <w:r>
              <w:rPr>
                <w:lang w:val="fr-FR"/>
              </w:rPr>
              <w:tab/>
              <w:t>Portée (km)</w:t>
            </w:r>
          </w:p>
        </w:tc>
        <w:tc>
          <w:tcPr>
            <w:tcW w:w="1701"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jusqu'à 60</w:t>
            </w:r>
          </w:p>
        </w:tc>
        <w:tc>
          <w:tcPr>
            <w:tcW w:w="177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jusqu'à 30</w:t>
            </w:r>
          </w:p>
        </w:tc>
        <w:tc>
          <w:tcPr>
            <w:tcW w:w="2836" w:type="dxa"/>
            <w:gridSpan w:val="2"/>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jusqu'à 70</w:t>
            </w:r>
          </w:p>
        </w:tc>
        <w:tc>
          <w:tcPr>
            <w:tcW w:w="2268"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jusqu'à 50</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jusqu'à 72</w:t>
            </w:r>
          </w:p>
        </w:tc>
        <w:tc>
          <w:tcPr>
            <w:tcW w:w="1985" w:type="dxa"/>
            <w:tcBorders>
              <w:top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jusqu'à 50</w:t>
            </w:r>
          </w:p>
        </w:tc>
      </w:tr>
    </w:tbl>
    <w:p w:rsidR="007416C3" w:rsidRDefault="007416C3" w:rsidP="00F45DBE">
      <w:pPr>
        <w:pStyle w:val="Tablefin"/>
        <w:rPr>
          <w:lang w:val="fr-FR"/>
        </w:rPr>
      </w:pPr>
    </w:p>
    <w:p w:rsidR="007416C3" w:rsidRDefault="007416C3" w:rsidP="00F45DBE"/>
    <w:p w:rsidR="007416C3" w:rsidRDefault="007416C3" w:rsidP="00F45DBE">
      <w:pPr>
        <w:sectPr w:rsidR="007416C3">
          <w:headerReference w:type="default" r:id="rId19"/>
          <w:footnotePr>
            <w:pos w:val="beneathText"/>
          </w:footnotePr>
          <w:pgSz w:w="16834" w:h="11913" w:orient="landscape"/>
          <w:pgMar w:top="1089" w:right="1089" w:bottom="1089" w:left="1089" w:header="482" w:footer="482" w:gutter="0"/>
          <w:paperSrc w:other="15"/>
          <w:cols w:space="720"/>
        </w:sectPr>
      </w:pPr>
    </w:p>
    <w:p w:rsidR="007416C3" w:rsidRPr="00DF23E9" w:rsidRDefault="007416C3" w:rsidP="00F45DBE">
      <w:pPr>
        <w:pStyle w:val="Table"/>
        <w:spacing w:before="0"/>
        <w:rPr>
          <w:sz w:val="20"/>
          <w:lang w:val="fr-FR"/>
        </w:rPr>
      </w:pPr>
      <w:r w:rsidRPr="00DF23E9">
        <w:rPr>
          <w:sz w:val="20"/>
          <w:lang w:val="fr-FR"/>
        </w:rPr>
        <w:lastRenderedPageBreak/>
        <w:t>TABLEAU  3b</w:t>
      </w:r>
    </w:p>
    <w:p w:rsidR="007416C3" w:rsidRPr="00DF23E9" w:rsidRDefault="007416C3" w:rsidP="00F45DBE">
      <w:pPr>
        <w:pStyle w:val="TableTitle0"/>
        <w:rPr>
          <w:b w:val="0"/>
          <w:sz w:val="20"/>
          <w:lang w:val="fr-FR"/>
        </w:rPr>
      </w:pPr>
      <w:r w:rsidRPr="00DF23E9">
        <w:rPr>
          <w:sz w:val="20"/>
          <w:lang w:val="fr-FR"/>
        </w:rPr>
        <w:t>Exemples de caractéristiques de systèmes radioélectriques P-MP utilisant les techniques AMRT</w:t>
      </w:r>
      <w:r w:rsidRPr="00DF23E9">
        <w:rPr>
          <w:sz w:val="20"/>
          <w:lang w:val="fr-FR"/>
        </w:rPr>
        <w:br/>
      </w:r>
      <w:r w:rsidRPr="00DF23E9">
        <w:rPr>
          <w:b w:val="0"/>
          <w:sz w:val="20"/>
          <w:lang w:val="fr-FR"/>
        </w:rPr>
        <w:t>(Fréquence au-dessus de 3 GHz)</w:t>
      </w:r>
    </w:p>
    <w:p w:rsidR="007416C3" w:rsidRDefault="007416C3" w:rsidP="00F45DBE">
      <w:pPr>
        <w:pStyle w:val="Blanc"/>
        <w:rPr>
          <w:lang w:val="fr-FR"/>
        </w:rPr>
      </w:pPr>
    </w:p>
    <w:tbl>
      <w:tblPr>
        <w:tblW w:w="9639" w:type="dxa"/>
        <w:jc w:val="center"/>
        <w:tblLayout w:type="fixed"/>
        <w:tblCellMar>
          <w:left w:w="107" w:type="dxa"/>
          <w:right w:w="107" w:type="dxa"/>
        </w:tblCellMar>
        <w:tblLook w:val="0000"/>
      </w:tblPr>
      <w:tblGrid>
        <w:gridCol w:w="2003"/>
        <w:gridCol w:w="1459"/>
        <w:gridCol w:w="1965"/>
        <w:gridCol w:w="1460"/>
        <w:gridCol w:w="1460"/>
        <w:gridCol w:w="1292"/>
      </w:tblGrid>
      <w:tr w:rsidR="007416C3" w:rsidTr="00DF23E9">
        <w:trPr>
          <w:cantSplit/>
          <w:jc w:val="center"/>
        </w:trPr>
        <w:tc>
          <w:tcPr>
            <w:tcW w:w="202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Système</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10,5 GHz</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19 GHz</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23 GHz</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26 GHz</w:t>
            </w:r>
          </w:p>
        </w:tc>
        <w:tc>
          <w:tcPr>
            <w:tcW w:w="130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line="240" w:lineRule="auto"/>
              <w:jc w:val="center"/>
              <w:rPr>
                <w:lang w:val="fr-FR"/>
              </w:rPr>
            </w:pPr>
            <w:r>
              <w:rPr>
                <w:lang w:val="fr-FR"/>
              </w:rPr>
              <w:t>26 GHz</w:t>
            </w:r>
          </w:p>
        </w:tc>
      </w:tr>
      <w:tr w:rsidR="007416C3" w:rsidTr="00DF23E9">
        <w:trPr>
          <w:cantSplit/>
          <w:jc w:val="center"/>
        </w:trPr>
        <w:tc>
          <w:tcPr>
            <w:tcW w:w="202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before="80" w:after="80" w:line="240" w:lineRule="auto"/>
              <w:ind w:left="227" w:hanging="227"/>
              <w:jc w:val="left"/>
              <w:rPr>
                <w:lang w:val="fr-FR"/>
              </w:rPr>
            </w:pPr>
            <w:r>
              <w:rPr>
                <w:lang w:val="fr-FR"/>
              </w:rPr>
              <w:t>1.</w:t>
            </w:r>
            <w:r>
              <w:rPr>
                <w:lang w:val="fr-FR"/>
              </w:rPr>
              <w:tab/>
              <w:t>Capacité d'un canal radioélectrique (type) (kbit/s)</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 xml:space="preserve">30 </w:t>
            </w:r>
            <w:r w:rsidR="00743F93" w:rsidRPr="00743F93">
              <w:sym w:font="Symbol" w:char="F0B4"/>
            </w:r>
            <w:r>
              <w:rPr>
                <w:lang w:val="fr-FR"/>
              </w:rPr>
              <w:t xml:space="preserve"> 64</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 xml:space="preserve">90 </w:t>
            </w:r>
            <w:r w:rsidR="00743F93" w:rsidRPr="00743F93">
              <w:sym w:font="Symbol" w:char="F0B4"/>
            </w:r>
            <w:r>
              <w:rPr>
                <w:lang w:val="fr-FR"/>
              </w:rPr>
              <w:t xml:space="preserve"> 64</w:t>
            </w:r>
            <w:r>
              <w:rPr>
                <w:lang w:val="fr-FR"/>
              </w:rPr>
              <w:br/>
              <w:t xml:space="preserve">47 </w:t>
            </w:r>
            <w:r w:rsidR="00743F93" w:rsidRPr="00743F93">
              <w:sym w:font="Symbol" w:char="F0B4"/>
            </w:r>
            <w:r>
              <w:rPr>
                <w:lang w:val="fr-FR"/>
              </w:rPr>
              <w:t xml:space="preserve"> 144 (2B</w:t>
            </w:r>
            <w:r w:rsidR="00743F93" w:rsidRPr="00743F93">
              <w:t>+</w:t>
            </w:r>
            <w:r>
              <w:rPr>
                <w:lang w:val="fr-FR"/>
              </w:rPr>
              <w:t>D)</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 xml:space="preserve">10 </w:t>
            </w:r>
            <w:r w:rsidR="00743F93" w:rsidRPr="00743F93">
              <w:sym w:font="Symbol" w:char="F0B4"/>
            </w:r>
            <w:r>
              <w:rPr>
                <w:lang w:val="fr-FR"/>
              </w:rPr>
              <w:t xml:space="preserve"> 64</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 xml:space="preserve">192 </w:t>
            </w:r>
            <w:r w:rsidR="00743F93" w:rsidRPr="00743F93">
              <w:sym w:font="Symbol" w:char="F0B4"/>
            </w:r>
            <w:r>
              <w:rPr>
                <w:lang w:val="fr-FR"/>
              </w:rPr>
              <w:t xml:space="preserve"> 64</w:t>
            </w:r>
          </w:p>
        </w:tc>
        <w:tc>
          <w:tcPr>
            <w:tcW w:w="130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 xml:space="preserve">96 </w:t>
            </w:r>
            <w:r w:rsidR="00743F93" w:rsidRPr="00743F93">
              <w:sym w:font="Symbol" w:char="F0B4"/>
            </w:r>
            <w:r>
              <w:rPr>
                <w:lang w:val="fr-FR"/>
              </w:rPr>
              <w:t xml:space="preserve"> 64</w:t>
            </w:r>
          </w:p>
        </w:tc>
      </w:tr>
      <w:tr w:rsidR="007416C3" w:rsidTr="00DF23E9">
        <w:trPr>
          <w:cantSplit/>
          <w:jc w:val="center"/>
        </w:trPr>
        <w:tc>
          <w:tcPr>
            <w:tcW w:w="202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before="80" w:after="80" w:line="240" w:lineRule="auto"/>
              <w:ind w:left="227" w:hanging="227"/>
              <w:jc w:val="left"/>
              <w:rPr>
                <w:lang w:val="fr-FR"/>
              </w:rPr>
            </w:pPr>
            <w:r>
              <w:rPr>
                <w:lang w:val="fr-FR"/>
              </w:rPr>
              <w:t>2.</w:t>
            </w:r>
            <w:r>
              <w:rPr>
                <w:lang w:val="fr-FR"/>
              </w:rPr>
              <w:tab/>
              <w:t>Débit binaire composite (kbit/s)</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2</w:t>
            </w:r>
            <w:r>
              <w:rPr>
                <w:sz w:val="12"/>
                <w:lang w:val="fr-FR"/>
              </w:rPr>
              <w:t> </w:t>
            </w:r>
            <w:r>
              <w:rPr>
                <w:lang w:val="fr-FR"/>
              </w:rPr>
              <w:t>100</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8</w:t>
            </w:r>
            <w:r>
              <w:rPr>
                <w:sz w:val="12"/>
                <w:lang w:val="fr-FR"/>
              </w:rPr>
              <w:t> </w:t>
            </w:r>
            <w:r>
              <w:rPr>
                <w:lang w:val="fr-FR"/>
              </w:rPr>
              <w:t>192</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832</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14</w:t>
            </w:r>
            <w:r>
              <w:rPr>
                <w:sz w:val="12"/>
                <w:lang w:val="fr-FR"/>
              </w:rPr>
              <w:t> </w:t>
            </w:r>
            <w:r>
              <w:rPr>
                <w:lang w:val="fr-FR"/>
              </w:rPr>
              <w:t>300</w:t>
            </w:r>
          </w:p>
        </w:tc>
        <w:tc>
          <w:tcPr>
            <w:tcW w:w="130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 xml:space="preserve">4 </w:t>
            </w:r>
            <w:r w:rsidR="00743F93" w:rsidRPr="00743F93">
              <w:sym w:font="Symbol" w:char="F0B4"/>
            </w:r>
            <w:r>
              <w:rPr>
                <w:lang w:val="fr-FR"/>
              </w:rPr>
              <w:t xml:space="preserve"> 2</w:t>
            </w:r>
            <w:r>
              <w:rPr>
                <w:sz w:val="12"/>
                <w:lang w:val="fr-FR"/>
              </w:rPr>
              <w:t> </w:t>
            </w:r>
            <w:r>
              <w:rPr>
                <w:lang w:val="fr-FR"/>
              </w:rPr>
              <w:t>048</w:t>
            </w:r>
          </w:p>
        </w:tc>
      </w:tr>
      <w:tr w:rsidR="007416C3" w:rsidTr="00DF23E9">
        <w:trPr>
          <w:cantSplit/>
          <w:jc w:val="center"/>
        </w:trPr>
        <w:tc>
          <w:tcPr>
            <w:tcW w:w="202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before="80" w:after="80" w:line="240" w:lineRule="auto"/>
              <w:ind w:left="227" w:hanging="227"/>
              <w:jc w:val="left"/>
              <w:rPr>
                <w:lang w:val="fr-FR"/>
              </w:rPr>
            </w:pPr>
            <w:r>
              <w:rPr>
                <w:lang w:val="fr-FR"/>
              </w:rPr>
              <w:t>3.</w:t>
            </w:r>
            <w:r>
              <w:rPr>
                <w:lang w:val="fr-FR"/>
              </w:rPr>
              <w:tab/>
              <w:t>Méthode de modulation</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MDP-4</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MDF-2</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MDA-2</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MDF (SC-SE)</w:t>
            </w:r>
            <w:r>
              <w:rPr>
                <w:lang w:val="fr-FR"/>
              </w:rPr>
              <w:br/>
              <w:t>MDFD (SE-SC)</w:t>
            </w:r>
          </w:p>
        </w:tc>
        <w:tc>
          <w:tcPr>
            <w:tcW w:w="130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MDF-2</w:t>
            </w:r>
          </w:p>
        </w:tc>
      </w:tr>
      <w:tr w:rsidR="007416C3" w:rsidTr="00DF23E9">
        <w:trPr>
          <w:cantSplit/>
          <w:jc w:val="center"/>
        </w:trPr>
        <w:tc>
          <w:tcPr>
            <w:tcW w:w="202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before="80" w:after="80" w:line="240" w:lineRule="auto"/>
              <w:ind w:left="227" w:hanging="227"/>
              <w:jc w:val="left"/>
              <w:rPr>
                <w:lang w:val="fr-FR"/>
              </w:rPr>
            </w:pPr>
            <w:r>
              <w:rPr>
                <w:lang w:val="fr-FR"/>
              </w:rPr>
              <w:t>4.</w:t>
            </w:r>
            <w:r>
              <w:rPr>
                <w:lang w:val="fr-FR"/>
              </w:rPr>
              <w:tab/>
              <w:t>Antenne de la station centrale (SC)</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Faisceau large (90</w:t>
            </w:r>
            <w:r w:rsidR="00743F93" w:rsidRPr="00743F93">
              <w:rPr>
                <w:lang w:val="fr-CH"/>
              </w:rPr>
              <w:t>°</w:t>
            </w:r>
            <w:r>
              <w:rPr>
                <w:lang w:val="fr-FR"/>
              </w:rPr>
              <w:t xml:space="preserve"> ou 120</w:t>
            </w:r>
            <w:r w:rsidR="00743F93" w:rsidRPr="00CC6C53">
              <w:rPr>
                <w:lang w:val="fr-CH"/>
              </w:rPr>
              <w:t>°</w:t>
            </w:r>
            <w:r>
              <w:rPr>
                <w:lang w:val="fr-FR"/>
              </w:rPr>
              <w:t>):</w:t>
            </w:r>
            <w:r>
              <w:rPr>
                <w:lang w:val="fr-FR"/>
              </w:rPr>
              <w:br/>
              <w:t>gain 13 dBi</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Faisceau large</w:t>
            </w:r>
            <w:r>
              <w:rPr>
                <w:lang w:val="fr-FR"/>
              </w:rPr>
              <w:br/>
              <w:t>(90</w:t>
            </w:r>
            <w:r w:rsidR="00743F93" w:rsidRPr="00743F93">
              <w:rPr>
                <w:lang w:val="fr-CH"/>
              </w:rPr>
              <w:t>°</w:t>
            </w:r>
            <w:r>
              <w:rPr>
                <w:lang w:val="fr-FR"/>
              </w:rPr>
              <w:t xml:space="preserve"> ou 120</w:t>
            </w:r>
            <w:r w:rsidR="00743F93" w:rsidRPr="00CC6C53">
              <w:rPr>
                <w:lang w:val="fr-CH"/>
              </w:rPr>
              <w:t>°</w:t>
            </w:r>
            <w:r>
              <w:rPr>
                <w:lang w:val="fr-FR"/>
              </w:rPr>
              <w:t>):</w:t>
            </w:r>
            <w:r>
              <w:rPr>
                <w:lang w:val="fr-FR"/>
              </w:rPr>
              <w:br/>
              <w:t>gain 18 dBi</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Faisceau large (90</w:t>
            </w:r>
            <w:r w:rsidR="00743F93" w:rsidRPr="00743F93">
              <w:rPr>
                <w:lang w:val="fr-CH"/>
              </w:rPr>
              <w:t>°</w:t>
            </w:r>
            <w:r>
              <w:rPr>
                <w:lang w:val="fr-FR"/>
              </w:rPr>
              <w:t xml:space="preserve"> ou 120</w:t>
            </w:r>
            <w:r w:rsidR="00743F93" w:rsidRPr="00743F93">
              <w:rPr>
                <w:lang w:val="fr-CH"/>
              </w:rPr>
              <w:t>°</w:t>
            </w:r>
            <w:r>
              <w:rPr>
                <w:lang w:val="fr-FR"/>
              </w:rPr>
              <w:t>):</w:t>
            </w:r>
            <w:r>
              <w:rPr>
                <w:lang w:val="fr-FR"/>
              </w:rPr>
              <w:br/>
              <w:t>gain 10 à 15 dBi</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Faisceau large (90</w:t>
            </w:r>
            <w:r w:rsidR="00743F93" w:rsidRPr="00743F93">
              <w:t>°</w:t>
            </w:r>
            <w:r>
              <w:rPr>
                <w:lang w:val="fr-FR"/>
              </w:rPr>
              <w:t>):</w:t>
            </w:r>
            <w:r>
              <w:rPr>
                <w:lang w:val="fr-FR"/>
              </w:rPr>
              <w:br/>
              <w:t>gain 20 dBi</w:t>
            </w:r>
          </w:p>
        </w:tc>
        <w:tc>
          <w:tcPr>
            <w:tcW w:w="130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Faisceau large (90</w:t>
            </w:r>
            <w:r w:rsidR="00743F93" w:rsidRPr="00743F93">
              <w:t>°</w:t>
            </w:r>
            <w:r>
              <w:rPr>
                <w:lang w:val="fr-FR"/>
              </w:rPr>
              <w:t>):</w:t>
            </w:r>
            <w:r>
              <w:rPr>
                <w:lang w:val="fr-FR"/>
              </w:rPr>
              <w:br/>
              <w:t>gain 20 dBi</w:t>
            </w:r>
          </w:p>
        </w:tc>
      </w:tr>
      <w:tr w:rsidR="007416C3" w:rsidTr="00DF23E9">
        <w:trPr>
          <w:cantSplit/>
          <w:jc w:val="center"/>
        </w:trPr>
        <w:tc>
          <w:tcPr>
            <w:tcW w:w="202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before="80" w:after="80" w:line="240" w:lineRule="auto"/>
              <w:ind w:left="227" w:hanging="227"/>
              <w:jc w:val="left"/>
              <w:rPr>
                <w:lang w:val="fr-FR"/>
              </w:rPr>
            </w:pPr>
            <w:r>
              <w:rPr>
                <w:lang w:val="fr-FR"/>
              </w:rPr>
              <w:t>5.</w:t>
            </w:r>
            <w:r>
              <w:rPr>
                <w:lang w:val="fr-FR"/>
              </w:rPr>
              <w:tab/>
              <w:t>Antenne de la station d'extrémité (SE)</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Parabolique:</w:t>
            </w:r>
            <w:r>
              <w:rPr>
                <w:lang w:val="fr-FR"/>
              </w:rPr>
              <w:br/>
              <w:t>gain 34 dBi</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Parabolique:</w:t>
            </w:r>
            <w:r>
              <w:rPr>
                <w:lang w:val="fr-FR"/>
              </w:rPr>
              <w:br/>
              <w:t>gain 35 dBi</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Parabolique:</w:t>
            </w:r>
            <w:r>
              <w:rPr>
                <w:lang w:val="fr-FR"/>
              </w:rPr>
              <w:br/>
              <w:t>gain 35 dBi</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Cassegrain:</w:t>
            </w:r>
            <w:r>
              <w:rPr>
                <w:lang w:val="fr-FR"/>
              </w:rPr>
              <w:br/>
              <w:t>gain 35 à 47 dBi</w:t>
            </w:r>
          </w:p>
        </w:tc>
        <w:tc>
          <w:tcPr>
            <w:tcW w:w="130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Parabolique:</w:t>
            </w:r>
            <w:r>
              <w:rPr>
                <w:lang w:val="fr-FR"/>
              </w:rPr>
              <w:br/>
              <w:t>gain 30 dBi</w:t>
            </w:r>
          </w:p>
        </w:tc>
      </w:tr>
      <w:tr w:rsidR="007416C3" w:rsidTr="00DF23E9">
        <w:trPr>
          <w:cantSplit/>
          <w:jc w:val="center"/>
        </w:trPr>
        <w:tc>
          <w:tcPr>
            <w:tcW w:w="202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before="80" w:after="80" w:line="240" w:lineRule="auto"/>
              <w:ind w:left="227" w:hanging="227"/>
              <w:jc w:val="left"/>
              <w:rPr>
                <w:lang w:val="fr-FR"/>
              </w:rPr>
            </w:pPr>
            <w:r>
              <w:rPr>
                <w:lang w:val="fr-FR"/>
              </w:rPr>
              <w:t>6.</w:t>
            </w:r>
            <w:r>
              <w:rPr>
                <w:lang w:val="fr-FR"/>
              </w:rPr>
              <w:tab/>
              <w:t>Débits binaires des usagers (kbit/s)</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64</w:t>
            </w:r>
            <w:r>
              <w:rPr>
                <w:lang w:val="fr-FR"/>
              </w:rPr>
              <w:br/>
              <w:t>D'autres débits sont disponibles</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 xml:space="preserve">12,8 et 64 </w:t>
            </w:r>
            <w:r>
              <w:rPr>
                <w:lang w:val="fr-FR"/>
              </w:rPr>
              <w:br/>
              <w:t>à l'origine pouvant être étendus pour inclure</w:t>
            </w:r>
            <w:r>
              <w:rPr>
                <w:lang w:val="fr-FR"/>
              </w:rPr>
              <w:br/>
              <w:t>les débits du</w:t>
            </w:r>
            <w:r>
              <w:rPr>
                <w:lang w:val="fr-FR"/>
              </w:rPr>
              <w:br/>
              <w:t>RNIS de 80 ou 144</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64</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64-6</w:t>
            </w:r>
            <w:r>
              <w:rPr>
                <w:sz w:val="12"/>
                <w:lang w:val="fr-FR"/>
              </w:rPr>
              <w:t> </w:t>
            </w:r>
            <w:r>
              <w:rPr>
                <w:lang w:val="fr-FR"/>
              </w:rPr>
              <w:t>144</w:t>
            </w:r>
          </w:p>
        </w:tc>
        <w:tc>
          <w:tcPr>
            <w:tcW w:w="130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64</w:t>
            </w:r>
          </w:p>
        </w:tc>
      </w:tr>
      <w:tr w:rsidR="007416C3" w:rsidTr="00DF23E9">
        <w:trPr>
          <w:cantSplit/>
          <w:jc w:val="center"/>
        </w:trPr>
        <w:tc>
          <w:tcPr>
            <w:tcW w:w="202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before="80" w:after="80" w:line="240" w:lineRule="auto"/>
              <w:ind w:left="227" w:hanging="227"/>
              <w:jc w:val="left"/>
              <w:rPr>
                <w:lang w:val="fr-FR"/>
              </w:rPr>
            </w:pPr>
            <w:r>
              <w:rPr>
                <w:lang w:val="fr-FR"/>
              </w:rPr>
              <w:t>7.</w:t>
            </w:r>
            <w:r>
              <w:rPr>
                <w:lang w:val="fr-FR"/>
              </w:rPr>
              <w:tab/>
              <w:t>Assignation des usagers</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Assignation fixe ou à la demande</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Assignation fixe</w:t>
            </w:r>
            <w:r>
              <w:rPr>
                <w:lang w:val="fr-FR"/>
              </w:rPr>
              <w:br/>
              <w:t>ou à la demande</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Assignation fixe ou à la demande</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Assignation fixe</w:t>
            </w:r>
          </w:p>
        </w:tc>
        <w:tc>
          <w:tcPr>
            <w:tcW w:w="130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Assignation</w:t>
            </w:r>
            <w:r>
              <w:rPr>
                <w:lang w:val="fr-FR"/>
              </w:rPr>
              <w:br/>
              <w:t>à la demande</w:t>
            </w:r>
          </w:p>
        </w:tc>
      </w:tr>
      <w:tr w:rsidR="007416C3" w:rsidTr="00DF23E9">
        <w:trPr>
          <w:cantSplit/>
          <w:jc w:val="center"/>
        </w:trPr>
        <w:tc>
          <w:tcPr>
            <w:tcW w:w="202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tabs>
                <w:tab w:val="clear" w:pos="794"/>
                <w:tab w:val="clear" w:pos="1191"/>
                <w:tab w:val="clear" w:pos="1588"/>
                <w:tab w:val="clear" w:pos="1985"/>
                <w:tab w:val="left" w:pos="227"/>
              </w:tabs>
              <w:spacing w:before="80" w:after="80" w:line="240" w:lineRule="auto"/>
              <w:ind w:left="227" w:hanging="227"/>
              <w:jc w:val="left"/>
              <w:rPr>
                <w:lang w:val="fr-FR"/>
              </w:rPr>
            </w:pPr>
            <w:r>
              <w:rPr>
                <w:lang w:val="fr-FR"/>
              </w:rPr>
              <w:t>8.</w:t>
            </w:r>
            <w:r>
              <w:rPr>
                <w:lang w:val="fr-FR"/>
              </w:rPr>
              <w:tab/>
              <w:t>Portée (km)</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jusqu'à 10</w:t>
            </w:r>
          </w:p>
        </w:tc>
        <w:tc>
          <w:tcPr>
            <w:tcW w:w="1985"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jusqu'à 10</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jusqu'à 5</w:t>
            </w:r>
          </w:p>
        </w:tc>
        <w:tc>
          <w:tcPr>
            <w:tcW w:w="147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jusqu'à 7</w:t>
            </w:r>
          </w:p>
        </w:tc>
        <w:tc>
          <w:tcPr>
            <w:tcW w:w="1304" w:type="dxa"/>
            <w:tcBorders>
              <w:top w:val="single" w:sz="6" w:space="0" w:color="auto"/>
              <w:left w:val="single" w:sz="6" w:space="0" w:color="auto"/>
              <w:bottom w:val="single" w:sz="6" w:space="0" w:color="auto"/>
              <w:right w:val="single" w:sz="6" w:space="0" w:color="auto"/>
            </w:tcBorders>
          </w:tcPr>
          <w:p w:rsidR="007416C3" w:rsidRDefault="007416C3" w:rsidP="00F45DBE">
            <w:pPr>
              <w:pStyle w:val="TableText0"/>
              <w:spacing w:before="80" w:after="80" w:line="240" w:lineRule="auto"/>
              <w:jc w:val="center"/>
              <w:rPr>
                <w:lang w:val="fr-FR"/>
              </w:rPr>
            </w:pPr>
            <w:r>
              <w:rPr>
                <w:lang w:val="fr-FR"/>
              </w:rPr>
              <w:t>jusqu'à 2</w:t>
            </w:r>
          </w:p>
        </w:tc>
      </w:tr>
    </w:tbl>
    <w:p w:rsidR="007416C3" w:rsidRDefault="007416C3" w:rsidP="00F45DBE">
      <w:pPr>
        <w:pStyle w:val="Tablefin"/>
        <w:rPr>
          <w:lang w:val="fr-FR"/>
        </w:rPr>
      </w:pPr>
    </w:p>
    <w:p w:rsidR="007416C3" w:rsidRDefault="007416C3" w:rsidP="00F45DBE">
      <w:pPr>
        <w:pStyle w:val="Heading1"/>
      </w:pPr>
      <w:r>
        <w:t>2</w:t>
      </w:r>
      <w:r>
        <w:tab/>
        <w:t>Principes de fonctionnement</w:t>
      </w:r>
    </w:p>
    <w:p w:rsidR="007416C3" w:rsidRPr="00DF23E9" w:rsidRDefault="007416C3" w:rsidP="00F45DBE">
      <w:pPr>
        <w:rPr>
          <w:sz w:val="20"/>
        </w:rPr>
      </w:pPr>
      <w:r w:rsidRPr="00DF23E9">
        <w:rPr>
          <w:sz w:val="20"/>
        </w:rPr>
        <w:t>Les principes de fonctionnement sont examinés dans l'Annexe 1 à la Recommandation UIT-R F.756, notamment en ce qui concerne les concentrateurs radioélectriques. Toutefois, tous les systèmes P-MP utilisant l'AMRT se conforment aux mêmes principes de transmission fondamentaux. Les signaux de données sont émis par la station centrale dans un format multiplexé par répartition dans le temps (MRT), utilisant l'entrelacement des éléments binaires ou des octets. L'information aux diverses stations d'extrémité est transmise séquentiellement. Dans le sens inverse, chaque station d'extrémité se voit attribuer un intervalle de temps pendant lequel elle émet ses informations. Il convient de veiller à ce que les paquets de données arrivent en séquence à la station centrale. On y parvient généralement grâce à une conception minutieuse du système de commande et à une égalisation du temps de propagation absolu. Pour les applications en zone urbaine, les variations du temps de propagation sont courtes par rapport à la période en bauds du système et une égalisation fixée à l'avance suffit généralement. Les Fig. 3 et 4 de la Recommandation UIT-R F.756 représentent schématiquement un système et une disposition de trame AMRT typiques.</w:t>
      </w:r>
    </w:p>
    <w:p w:rsidR="007416C3" w:rsidRPr="00DF23E9" w:rsidRDefault="007416C3" w:rsidP="00F45DBE">
      <w:pPr>
        <w:rPr>
          <w:sz w:val="20"/>
        </w:rPr>
      </w:pPr>
      <w:r w:rsidRPr="00DF23E9">
        <w:rPr>
          <w:sz w:val="20"/>
        </w:rPr>
        <w:t>En général, la connexion des systèmes P-MP avec le réseau s'effectue à la station centrale et il est préférable que le système P-MP soit transparent au réseau et doté d'interfaces hiérarchiques normalisées. De plus, une interface classique permet à la station centrale d'être située à une certaine distance du point de connexion avec le réseau puisque la liaison avec ce point peut être opérée par des systèmes classiques, radioélectriques ou filaires.</w:t>
      </w:r>
    </w:p>
    <w:p w:rsidR="007416C3" w:rsidRPr="00DF23E9" w:rsidRDefault="007416C3" w:rsidP="00F45DBE">
      <w:pPr>
        <w:rPr>
          <w:sz w:val="20"/>
        </w:rPr>
      </w:pPr>
      <w:r w:rsidRPr="00DF23E9">
        <w:rPr>
          <w:sz w:val="20"/>
        </w:rPr>
        <w:t>Normalement, le signal régénéré reçu à chaque station d'extrémité est utilisé pour fournir à celle-ci des informations de rythme. L'information de synchronisation pour les émissions en mode salve est fournie par les bits de supervision reçus de la station centrale.</w:t>
      </w:r>
    </w:p>
    <w:p w:rsidR="007416C3" w:rsidRPr="00DF23E9" w:rsidRDefault="007416C3" w:rsidP="00F45DBE">
      <w:pPr>
        <w:rPr>
          <w:sz w:val="20"/>
        </w:rPr>
      </w:pPr>
      <w:r w:rsidRPr="00DF23E9">
        <w:rPr>
          <w:sz w:val="20"/>
        </w:rPr>
        <w:t>Chaque salve contient donc une information de préambule et par conséquent, de longues salves ayant de longues périodes de trame sont souhaitables pour le fonctionnement efficace du système. Toutefois, cette méthode peut conduire à des retards globaux inacceptables pour un réseau public commuté. Aussi la relation entre l'efficacité de transmission et le temps de transmission autorisé doit-elle être soigneusement examinée.</w:t>
      </w:r>
    </w:p>
    <w:p w:rsidR="007416C3" w:rsidRDefault="007416C3" w:rsidP="00F45DBE">
      <w:pPr>
        <w:pStyle w:val="Heading1"/>
      </w:pPr>
      <w:r>
        <w:lastRenderedPageBreak/>
        <w:t>3</w:t>
      </w:r>
      <w:r>
        <w:tab/>
        <w:t>Attribution des fréquences</w:t>
      </w:r>
    </w:p>
    <w:p w:rsidR="007416C3" w:rsidRPr="00DF23E9" w:rsidRDefault="007416C3" w:rsidP="00F45DBE">
      <w:pPr>
        <w:rPr>
          <w:sz w:val="20"/>
        </w:rPr>
      </w:pPr>
      <w:r w:rsidRPr="00DF23E9">
        <w:rPr>
          <w:sz w:val="20"/>
        </w:rPr>
        <w:t>En règle générale, les systèmes qui acheminent les données vers des stations d'extrémité de zone urbaine utilisent les ondes centimétriques (Tableau 3b). Toutefois, certains systèmes conçus pour la téléphonie rurale ou une utilisation non urbaine à longue portée peuvent acheminer les données comme l'indique le Tableau 3a, et peuvent également servir dans les zones urbaines.</w:t>
      </w:r>
    </w:p>
    <w:p w:rsidR="007416C3" w:rsidRPr="00DF23E9" w:rsidRDefault="007416C3" w:rsidP="00F45DBE">
      <w:pPr>
        <w:rPr>
          <w:sz w:val="20"/>
        </w:rPr>
      </w:pPr>
      <w:r w:rsidRPr="00DF23E9">
        <w:rPr>
          <w:sz w:val="20"/>
        </w:rPr>
        <w:t>Les systèmes fonctionnant dans les ondes centimétriques doivent avoir un trajet de propagation sans obstacles et libre de tous bâtiments élevés qui risquent de provoquer de nombreuses zones d'ombre. La visibilité du trajet de propagation, définie en pourcentage d'abonnés en visibilité directe à partir de la station centrale, peut être améliorée grâce à une configuration en cellules partiellement superposées avec plusieurs stations centrales. Dans le cas des systèmes fonctionnant en ondes décimétriques et métriques dans les zones rurales, un certain affaiblissement par diffraction est, en général, toléré.</w:t>
      </w:r>
    </w:p>
    <w:p w:rsidR="007416C3" w:rsidRPr="00DF23E9" w:rsidRDefault="007416C3" w:rsidP="00F45DBE">
      <w:pPr>
        <w:rPr>
          <w:sz w:val="20"/>
        </w:rPr>
      </w:pPr>
      <w:r w:rsidRPr="00DF23E9">
        <w:rPr>
          <w:sz w:val="20"/>
        </w:rPr>
        <w:t>Des études complémentaires, tenant compte des caractéristiques de la propagation en zone urbaine, sont nécessaires pour définir la géométrie optimale à adopter.</w:t>
      </w:r>
    </w:p>
    <w:p w:rsidR="007416C3" w:rsidRDefault="007416C3" w:rsidP="00F45DBE">
      <w:pPr>
        <w:pStyle w:val="Heading1"/>
      </w:pPr>
      <w:r>
        <w:t>4</w:t>
      </w:r>
      <w:r>
        <w:tab/>
        <w:t>Antennes</w:t>
      </w:r>
    </w:p>
    <w:p w:rsidR="007416C3" w:rsidRPr="00DF23E9" w:rsidRDefault="007416C3" w:rsidP="00F45DBE">
      <w:pPr>
        <w:rPr>
          <w:sz w:val="20"/>
        </w:rPr>
      </w:pPr>
      <w:r w:rsidRPr="00DF23E9">
        <w:rPr>
          <w:sz w:val="20"/>
        </w:rPr>
        <w:t>A la station centrale, on peut utiliser une antenne directive ou une antenne équidirective selon les caractéristiques du système et la zone de service requise. Normalement, des antennes directives sont utilisées pour les stations d'abonnés tandis que les stations de répéteurs utilisent une combinaison d'antennes directives et d'antennes équidirectives selon les besoins.</w:t>
      </w:r>
    </w:p>
    <w:p w:rsidR="007416C3" w:rsidRPr="00DF23E9" w:rsidRDefault="007416C3" w:rsidP="00F45DBE">
      <w:pPr>
        <w:rPr>
          <w:sz w:val="20"/>
        </w:rPr>
      </w:pPr>
      <w:r w:rsidRPr="00DF23E9">
        <w:rPr>
          <w:sz w:val="20"/>
        </w:rPr>
        <w:t>Afin de réduire le plus possible les brouillages, la station d'abonnés peut utiliser des antennes directives orientées vers des groupes de stations d'extrémité. L'ouverture de faisceau doit cependant être assez grande pour couvrir la zone de service requise.</w:t>
      </w:r>
    </w:p>
    <w:p w:rsidR="007416C3" w:rsidRPr="00DF23E9" w:rsidRDefault="007416C3" w:rsidP="00F45DBE">
      <w:pPr>
        <w:rPr>
          <w:sz w:val="20"/>
        </w:rPr>
      </w:pPr>
      <w:r w:rsidRPr="00DF23E9">
        <w:rPr>
          <w:sz w:val="20"/>
        </w:rPr>
        <w:t>Un rapport avant/arrière élevé est indispensable si l'on veut assurer la réutilisation des fréquences avec d'autres systèmes et obtenir un gain d'antenne important avec des émetteurs de faible puissance auxquels on associe des installations d'alimentation en énergie peu coûteuses.</w:t>
      </w:r>
    </w:p>
    <w:p w:rsidR="007416C3" w:rsidRPr="00DF23E9" w:rsidRDefault="007416C3" w:rsidP="00F45DBE">
      <w:pPr>
        <w:rPr>
          <w:sz w:val="20"/>
        </w:rPr>
      </w:pPr>
      <w:r w:rsidRPr="00DF23E9">
        <w:rPr>
          <w:sz w:val="20"/>
        </w:rPr>
        <w:t>Pour assurer le rapport signal utile/signal brouilleur correct, on pourra utiliser un commutateur dynamique d'antenne, synchronisé sur la période de récurrence, pour déconnecter l'antenne qui reçoit le signal brouilleur.</w:t>
      </w:r>
    </w:p>
    <w:p w:rsidR="007416C3" w:rsidRDefault="007416C3" w:rsidP="00F45DBE">
      <w:pPr>
        <w:pStyle w:val="Heading1"/>
      </w:pPr>
      <w:r>
        <w:t>5</w:t>
      </w:r>
      <w:r>
        <w:tab/>
        <w:t>Configuration des systèmes</w:t>
      </w:r>
    </w:p>
    <w:p w:rsidR="007416C3" w:rsidRPr="00DF23E9" w:rsidRDefault="007416C3" w:rsidP="00F45DBE">
      <w:pPr>
        <w:rPr>
          <w:sz w:val="20"/>
        </w:rPr>
      </w:pPr>
      <w:r w:rsidRPr="00DF23E9">
        <w:rPr>
          <w:sz w:val="20"/>
        </w:rPr>
        <w:t>L'Annexe 1 à la Recommandation UIT-R F.756 présente les caractéristiques de configuration typiques P-MP, un schéma de principe et une séquence d'intervalles de temps. Ces caractéristiques s'appliquent de la même façon aux systèmes de transmission de données en zone urbaine.</w:t>
      </w:r>
    </w:p>
    <w:p w:rsidR="007416C3" w:rsidRPr="00DF23E9" w:rsidRDefault="007416C3" w:rsidP="00F45DBE">
      <w:pPr>
        <w:rPr>
          <w:sz w:val="20"/>
        </w:rPr>
      </w:pPr>
      <w:r w:rsidRPr="00DF23E9">
        <w:rPr>
          <w:sz w:val="20"/>
        </w:rPr>
        <w:t>Dans les systèmes les plus simples P-MP, chaque intervalle de temps est assigné à l'avance à une station d'abonnés déterminée qui peut accéder à tout moment à cet intervalle de temps. Cela permet d'assurer un service constant à un abonné et l'efficacité spectrale obtenue est semblable à celle d'un faisceau hertzien numérique P-P équivalent.</w:t>
      </w:r>
    </w:p>
    <w:p w:rsidR="007416C3" w:rsidRPr="00DF23E9" w:rsidRDefault="007416C3" w:rsidP="00F45DBE">
      <w:pPr>
        <w:rPr>
          <w:sz w:val="20"/>
        </w:rPr>
      </w:pPr>
      <w:r w:rsidRPr="00DF23E9">
        <w:rPr>
          <w:sz w:val="20"/>
        </w:rPr>
        <w:t>Lorsqu'il n'est pas nécessaire que la station d'extrémité soit connectée en permanence à la station centrale, on obtient une utilisation plus rationnelle du spectre en assignant à la demande les intervalles de temps aux stations d'abonnés.</w:t>
      </w:r>
    </w:p>
    <w:p w:rsidR="007416C3" w:rsidRPr="00DF23E9" w:rsidRDefault="007416C3" w:rsidP="00F45DBE">
      <w:pPr>
        <w:rPr>
          <w:sz w:val="20"/>
        </w:rPr>
      </w:pPr>
      <w:r w:rsidRPr="00DF23E9">
        <w:rPr>
          <w:sz w:val="20"/>
        </w:rPr>
        <w:t>Un système (représenté au Tableau 3b) fonctionne suivant le principe de l'assignation en fonction de la demande avec sélection des fréquences (AMRT-SF), les canaux radioélectriques étant répartis sur différentes fréquences porteuses (en général 4) chacune de faible puissance et ceci pour chaque station d'abonnés. Ce système qui fonctionne à 26 GHz permet d'exploiter 96 canaux radioélectriques ayant un débit de 64 kbit/s chacun et permet de desservir 500 abonnés environ avec une probabilité de perte d'appel égale à 0,01. La commutation de fréquences peut s'effectuer communication par communication, trame par trame, ou salve par salve. Il s'agit d'une méthode qui permet de réduire les problèmes inhérents à l'exploitation de ce système dans la bande des 20-30 GHz et concernant, par exemple, le niveau élevé de la sortie nécessaire dans un système AMRT à porteuse unique ou bien la stabilité de fréquence élevée dans un système SCPC.</w:t>
      </w:r>
    </w:p>
    <w:p w:rsidR="007416C3" w:rsidRPr="00DF23E9" w:rsidRDefault="007416C3" w:rsidP="00F45DBE">
      <w:pPr>
        <w:rPr>
          <w:sz w:val="20"/>
        </w:rPr>
      </w:pPr>
      <w:r w:rsidRPr="00DF23E9">
        <w:rPr>
          <w:sz w:val="20"/>
        </w:rPr>
        <w:t>Il n'est pas nécessaire d'utiliser le circuit de 64 kbit/s dans sa totalité pour assurer le trafic de données de manière efficace à des débits inférieurs à 64 kbit/s. Avec des techniques multitrames, on peut subdiviser chaque circuit de 64</w:t>
      </w:r>
      <w:r w:rsidR="009E524E">
        <w:rPr>
          <w:sz w:val="20"/>
        </w:rPr>
        <w:t> </w:t>
      </w:r>
      <w:r w:rsidRPr="00DF23E9">
        <w:rPr>
          <w:sz w:val="20"/>
        </w:rPr>
        <w:t>kbit/s pour augmenter le nombre de circuits de débit inférieur assignés en fonction de la demande et disponibles pour la transmission de données. Les Tableaux 3a et 3b présentent un exemple de ces systèmes respectivement dans la bande 1,5-2,6 GHz et dans la bande des 19 GHz.</w:t>
      </w:r>
    </w:p>
    <w:p w:rsidR="007416C3" w:rsidRPr="00DF23E9" w:rsidRDefault="007416C3" w:rsidP="00F45DBE">
      <w:pPr>
        <w:rPr>
          <w:sz w:val="20"/>
        </w:rPr>
      </w:pPr>
      <w:r w:rsidRPr="00DF23E9">
        <w:rPr>
          <w:sz w:val="20"/>
        </w:rPr>
        <w:lastRenderedPageBreak/>
        <w:t>Un système (décrit au Tableau 3a) conçu spécialement pour la transmission de données assure la transmission continue de données dans les deux sens entre un maximum de 64 stations éloignées et un nœud central et ceci avec une combinaison quelconque de débits binaires normalisés entre 1,2 et 64 kbit/s et un débit composite total de 76,8 kbit/s dans les deux sens. Afin de simplifier l'équipement radioélectrique et les assignations de fréquence RF, un plan à une seule fréquence est employé pour transmettre à la fois du nœud central vers les abonnés et des abonnés vers ce nœud central en faisant alterner les salves de transmission. Le débit réel de transmission est de 240 kbit/s.</w:t>
      </w:r>
    </w:p>
    <w:p w:rsidR="007416C3" w:rsidRPr="00DF23E9" w:rsidRDefault="007416C3" w:rsidP="00F45DBE">
      <w:pPr>
        <w:rPr>
          <w:sz w:val="20"/>
        </w:rPr>
      </w:pPr>
    </w:p>
    <w:p w:rsidR="007416C3" w:rsidRDefault="007416C3" w:rsidP="00F45DBE">
      <w:pPr>
        <w:pStyle w:val="Annex"/>
        <w:rPr>
          <w:lang w:val="fr-FR"/>
        </w:rPr>
      </w:pPr>
      <w:r>
        <w:rPr>
          <w:lang w:val="fr-FR"/>
        </w:rPr>
        <w:t>ANNEXE  4</w:t>
      </w:r>
    </w:p>
    <w:p w:rsidR="007416C3" w:rsidRDefault="007416C3" w:rsidP="00F45DBE">
      <w:pPr>
        <w:pStyle w:val="AnnexTitle"/>
        <w:rPr>
          <w:lang w:val="fr-FR"/>
        </w:rPr>
      </w:pPr>
      <w:r>
        <w:rPr>
          <w:lang w:val="fr-FR"/>
        </w:rPr>
        <w:t>Systèmes P-MP numériques avec accès multiple</w:t>
      </w:r>
      <w:r>
        <w:rPr>
          <w:lang w:val="fr-FR"/>
        </w:rPr>
        <w:br/>
        <w:t>par répartition en fréquence (AMRF)</w:t>
      </w:r>
    </w:p>
    <w:p w:rsidR="007416C3" w:rsidRDefault="007416C3" w:rsidP="00F45DBE">
      <w:pPr>
        <w:pStyle w:val="Heading1"/>
      </w:pPr>
      <w:r>
        <w:t>1</w:t>
      </w:r>
      <w:r>
        <w:tab/>
        <w:t>Introduction</w:t>
      </w:r>
    </w:p>
    <w:p w:rsidR="007416C3" w:rsidRPr="00DF23E9" w:rsidRDefault="007416C3" w:rsidP="00F45DBE">
      <w:pPr>
        <w:rPr>
          <w:sz w:val="20"/>
        </w:rPr>
      </w:pPr>
      <w:r w:rsidRPr="00DF23E9">
        <w:rPr>
          <w:sz w:val="20"/>
        </w:rPr>
        <w:t xml:space="preserve">Les systèmes P-MP numériques sont utilisés dans le monde entier, aussi bien en milieu rural que dans les zones suburbaines et urbaines. </w:t>
      </w:r>
    </w:p>
    <w:p w:rsidR="007416C3" w:rsidRPr="00DF23E9" w:rsidRDefault="007416C3" w:rsidP="00F45DBE">
      <w:pPr>
        <w:rPr>
          <w:sz w:val="20"/>
        </w:rPr>
      </w:pPr>
      <w:r w:rsidRPr="00DF23E9">
        <w:rPr>
          <w:sz w:val="20"/>
        </w:rPr>
        <w:t>Les applications de ces systèmes dépendent essentiellement des services de télécommunication assurés.</w:t>
      </w:r>
    </w:p>
    <w:p w:rsidR="007416C3" w:rsidRPr="00DF23E9" w:rsidRDefault="007416C3" w:rsidP="00F45DBE">
      <w:pPr>
        <w:rPr>
          <w:sz w:val="20"/>
        </w:rPr>
      </w:pPr>
      <w:r w:rsidRPr="00DF23E9">
        <w:rPr>
          <w:sz w:val="20"/>
        </w:rPr>
        <w:t>En milieu rural, les bandes situées au-dessous de 3 GHz conviennent, sur la base de la Recommandation UIT-R F.746. Les basses fréquences autorisent une couverture très large lorsque l'on prévoit des répéteurs entre la station centrale et les stations terminales. En revanche, les débits binaires d'utilisation sont relativement limités du fait que les bandes de fréquences disponibles sont en général étroites, et en raison des conditions de propagation qui interdisent toute capacité importante. Ainsi, les services proposés sont essentiellement la téléphonie et les services de communication de données à faible débit (il convient de noter par ailleurs qu'en assurant la commutation au niveau des répéteurs et des stations terminales on peut améliorer le rendement global de ces systèmes P-MP ruraux).</w:t>
      </w:r>
    </w:p>
    <w:p w:rsidR="007416C3" w:rsidRPr="00DF23E9" w:rsidRDefault="007416C3" w:rsidP="00F45DBE">
      <w:pPr>
        <w:rPr>
          <w:sz w:val="20"/>
        </w:rPr>
      </w:pPr>
      <w:r w:rsidRPr="00DF23E9">
        <w:rPr>
          <w:sz w:val="20"/>
        </w:rPr>
        <w:t xml:space="preserve">Pour les applications concernant les zones suburbaines et le milieu urbain, il faut pouvoir assurer des débits binaires élevés, jusqu'à </w:t>
      </w:r>
      <w:r w:rsidRPr="00DF23E9">
        <w:rPr>
          <w:i/>
          <w:sz w:val="20"/>
        </w:rPr>
        <w:t>n</w:t>
      </w:r>
      <w:r w:rsidRPr="00DF23E9">
        <w:rPr>
          <w:sz w:val="20"/>
        </w:rPr>
        <w:t> </w:t>
      </w:r>
      <w:r w:rsidR="00743F93" w:rsidRPr="00743F93">
        <w:rPr>
          <w:sz w:val="20"/>
        </w:rPr>
        <w:sym w:font="Symbol" w:char="F0B4"/>
      </w:r>
      <w:r w:rsidRPr="00DF23E9">
        <w:rPr>
          <w:sz w:val="20"/>
        </w:rPr>
        <w:t> 2 Mbit/s pour le RNIS, ainsi que pour les services Internet et les services de lignes louées, et ce, jusqu'aux stations terminales, pour répondre aux besoins des nouveaux opérateurs de réseau qui font concurrence à l'exploitant en place sur un marché des télécommunications libéralisé. Pour ce type de systèmes P-MP du réseau d'accès, les fonctions de commutation sont assurées dans les principaux centres de commutation, en dehors du réseau d'accès, ce qui permet de réduire le coût de ce dernier et celui des systèmes P-MP.</w:t>
      </w:r>
    </w:p>
    <w:p w:rsidR="007416C3" w:rsidRPr="00DF23E9" w:rsidRDefault="007416C3" w:rsidP="00F45DBE">
      <w:pPr>
        <w:rPr>
          <w:sz w:val="20"/>
        </w:rPr>
      </w:pPr>
      <w:r w:rsidRPr="00DF23E9">
        <w:rPr>
          <w:sz w:val="20"/>
        </w:rPr>
        <w:t xml:space="preserve">Les applications, les zones de couverture et les bandes de fréquences étant très diverses, les bandes de fréquences exploitées par les systèmes P-MP dans un réseau d'accès sont à l'heure actuelle comprises entre environ 3 GHz et environ 38 GHz et s'étendront jusqu'à environ 70 GHz ultérieurement, tout particulièrement lorsque l'on envisagera d'utiliser des systèmes P-MP dans les applications haute densité dans le service fixe (HDFS, </w:t>
      </w:r>
      <w:r w:rsidRPr="00DF23E9">
        <w:rPr>
          <w:i/>
          <w:sz w:val="20"/>
        </w:rPr>
        <w:t>high density applications in the fixed service</w:t>
      </w:r>
      <w:r w:rsidRPr="00DF23E9">
        <w:rPr>
          <w:sz w:val="20"/>
        </w:rPr>
        <w:t>).</w:t>
      </w:r>
    </w:p>
    <w:p w:rsidR="007416C3" w:rsidRPr="00DF23E9" w:rsidRDefault="007416C3" w:rsidP="00F45DBE">
      <w:pPr>
        <w:rPr>
          <w:sz w:val="20"/>
        </w:rPr>
      </w:pPr>
      <w:r w:rsidRPr="00DF23E9">
        <w:rPr>
          <w:sz w:val="20"/>
        </w:rPr>
        <w:t>Les systèmes P-MP utilisent différentes méthodes d'accès, par répartition en fréquence, dans le temps ou en code. On distingue ainsi l'AMRF, l'AMRT et l'accès multiple par répartition en code (AMRC).</w:t>
      </w:r>
    </w:p>
    <w:p w:rsidR="007416C3" w:rsidRPr="00DF23E9" w:rsidRDefault="007416C3" w:rsidP="00F45DBE">
      <w:pPr>
        <w:rPr>
          <w:sz w:val="20"/>
        </w:rPr>
      </w:pPr>
      <w:r w:rsidRPr="00DF23E9">
        <w:rPr>
          <w:sz w:val="20"/>
        </w:rPr>
        <w:t>Le choix de la méthode d'accès dépend de l'application, du service et de la configuration envisagés.</w:t>
      </w:r>
    </w:p>
    <w:p w:rsidR="007416C3" w:rsidRPr="00DF23E9" w:rsidRDefault="007416C3" w:rsidP="00F45DBE">
      <w:pPr>
        <w:rPr>
          <w:sz w:val="20"/>
        </w:rPr>
      </w:pPr>
      <w:r w:rsidRPr="00DF23E9">
        <w:rPr>
          <w:sz w:val="20"/>
        </w:rPr>
        <w:t xml:space="preserve">Avec une vitesse d'horloge de traitement des signaux pouvant atteindre 200 MHz, les systèmes P-MP de type AMRF offrent une très grande souplesse pour l'acheminement de signaux de débit binaire pouvant atteindre </w:t>
      </w:r>
      <w:r w:rsidRPr="00DF23E9">
        <w:rPr>
          <w:i/>
          <w:sz w:val="20"/>
        </w:rPr>
        <w:t>n</w:t>
      </w:r>
      <w:r w:rsidRPr="00DF23E9">
        <w:rPr>
          <w:sz w:val="20"/>
        </w:rPr>
        <w:t> </w:t>
      </w:r>
      <w:r w:rsidR="00743F93" w:rsidRPr="00743F93">
        <w:rPr>
          <w:sz w:val="20"/>
        </w:rPr>
        <w:sym w:font="Symbol" w:char="F0B4"/>
      </w:r>
      <w:r w:rsidRPr="00DF23E9">
        <w:rPr>
          <w:sz w:val="20"/>
        </w:rPr>
        <w:t> 2 Mbit/s sur les liaisons entre le réseau d'accès et les stations terminales, dans de très bonnes conditions d'économie et de rendement spectral.</w:t>
      </w:r>
    </w:p>
    <w:p w:rsidR="007416C3" w:rsidRPr="00DF23E9" w:rsidRDefault="007416C3" w:rsidP="00F45DBE">
      <w:pPr>
        <w:rPr>
          <w:sz w:val="20"/>
        </w:rPr>
      </w:pPr>
      <w:r w:rsidRPr="00DF23E9">
        <w:rPr>
          <w:sz w:val="20"/>
        </w:rPr>
        <w:t xml:space="preserve">Les systèmes AMRF offrent de grandes possibilités d'adaptation, qu'il s'agisse du débit binaire, (de 64 kbit/s jusqu'à </w:t>
      </w:r>
      <w:r w:rsidRPr="00DF23E9">
        <w:rPr>
          <w:i/>
          <w:sz w:val="20"/>
        </w:rPr>
        <w:t>n</w:t>
      </w:r>
      <w:r w:rsidRPr="00DF23E9">
        <w:rPr>
          <w:sz w:val="20"/>
        </w:rPr>
        <w:t> </w:t>
      </w:r>
      <w:r w:rsidR="00743F93" w:rsidRPr="00743F93">
        <w:rPr>
          <w:sz w:val="20"/>
        </w:rPr>
        <w:sym w:font="Symbol" w:char="F0B4"/>
      </w:r>
      <w:r w:rsidRPr="00DF23E9">
        <w:rPr>
          <w:sz w:val="20"/>
        </w:rPr>
        <w:t> 2 Mbit/s), du système de modulation, du code CED ou encore de la fréquence porteuse dans le canal radiofréquence. Ainsi, selon les besoins de l'usager, la largeur de bande radiofréquence attribuée à l'opérateur de réseau et la configuration de brouillage dans l'architecture multicellulaire du réseau d'accès, l'opérateur de réseau, avec un système P</w:t>
      </w:r>
      <w:r w:rsidRPr="00DF23E9">
        <w:rPr>
          <w:sz w:val="20"/>
        </w:rPr>
        <w:noBreakHyphen/>
        <w:t>MP  AMRF, peut attribuer la capacité requise par le client à la demande. Le système AMRF est transparent en ce qui concerne le service et les signaux numériques acheminés, et ses interfaces usager-réseau (UNI) et de nœud de réseau (NNI) sont normalisées par l'UIT-T.</w:t>
      </w:r>
    </w:p>
    <w:p w:rsidR="007416C3" w:rsidRPr="00DF23E9" w:rsidRDefault="007416C3" w:rsidP="00F45DBE">
      <w:pPr>
        <w:rPr>
          <w:sz w:val="20"/>
        </w:rPr>
      </w:pPr>
      <w:r w:rsidRPr="00DF23E9">
        <w:rPr>
          <w:sz w:val="20"/>
        </w:rPr>
        <w:t xml:space="preserve">Le système peut fonctionner dans différentes bandes de fréquences avec la même technique de traitement du signal et de traitement de la bande de base, il suffit de choisir la fréquence de l'équipement extérieur en fonction des bandes de fréquences utilisées. Ainsi, on peut mettre en place une architecture de réseau d'accès à couverture suburbaine en </w:t>
      </w:r>
      <w:r w:rsidRPr="00DF23E9">
        <w:rPr>
          <w:sz w:val="20"/>
        </w:rPr>
        <w:lastRenderedPageBreak/>
        <w:t>utilisant des bandes de fréquences inférieures à 11 GHz (par exemple 3,4-3,6 GHz, 3,6-3,8 GHz et 10,15-10,65 GHz), avec des longueurs de liaisons, entre la station centrale et les stations terminales, d'environ 10 à 15 km. L'équipement extérieur hyperfréquence de la même station centrale, fonctionnant au-dessus de 11 GHz (par exemple, à 26 ou 28 GHz (voir la Recommandation UIT-R F.748, Annexes 1 et 2) ou encore à 32 GHz pour les applications HDFS) desservira alors, pour la couverture urbaine, des liaisons de l'ordre de 5 km.</w:t>
      </w:r>
    </w:p>
    <w:p w:rsidR="007416C3" w:rsidRPr="00DF23E9" w:rsidRDefault="007416C3" w:rsidP="00F45DBE">
      <w:pPr>
        <w:rPr>
          <w:sz w:val="20"/>
        </w:rPr>
      </w:pPr>
      <w:r w:rsidRPr="00DF23E9">
        <w:rPr>
          <w:sz w:val="20"/>
        </w:rPr>
        <w:t>En tout état de cause, les systèmes P-MP doivent au moins répondre à des objectifs de qualité de fonctionnement et de disponibilité comparables à ceux des systèmes filaires utilisés dans le réseau d'accès si l'on veut qu'un opérateur de réseau utilisant des moyens d'accès radioélectrique fixes puisse concurrencer l'opérateur en place.</w:t>
      </w:r>
    </w:p>
    <w:p w:rsidR="007416C3" w:rsidRDefault="007416C3" w:rsidP="00F45DBE">
      <w:pPr>
        <w:pStyle w:val="Heading1"/>
      </w:pPr>
      <w:r>
        <w:t>2</w:t>
      </w:r>
      <w:r>
        <w:tab/>
        <w:t>Capacité et planification des cellules</w:t>
      </w:r>
    </w:p>
    <w:p w:rsidR="007416C3" w:rsidRPr="00DF23E9" w:rsidRDefault="007416C3" w:rsidP="00F45DBE">
      <w:pPr>
        <w:rPr>
          <w:sz w:val="20"/>
        </w:rPr>
      </w:pPr>
      <w:r w:rsidRPr="00DF23E9">
        <w:rPr>
          <w:sz w:val="20"/>
        </w:rPr>
        <w:t>Comme nous l'avons déjà vu, la grande souplesse des systèmes AMRF permet de définir des architectures pluricellulaires dans lesquelles un certain nombre de cellules assurent la capacité de trafic nécessaire dans une zone de service donnée et dans un bloc de canaux radioélectriques assigné (par exemple, 28 MHz). Chaque cellule utilise le même bloc de canaux radioélectriques. Les antennes de l'installation extérieure de la station centrale étant de type sectoriel, il est par ailleurs possible d'accroître le trafic par cellule proportionnellement au nombre des secteurs prévus au niveau de la station centrale (par exemple, 4 secteurs). Les secteurs adjacents sont découplés par différenciation de polarisation.</w:t>
      </w:r>
    </w:p>
    <w:p w:rsidR="007416C3" w:rsidRPr="00DF23E9" w:rsidRDefault="007416C3" w:rsidP="00F45DBE">
      <w:pPr>
        <w:rPr>
          <w:sz w:val="20"/>
        </w:rPr>
      </w:pPr>
      <w:r w:rsidRPr="00DF23E9">
        <w:rPr>
          <w:sz w:val="20"/>
        </w:rPr>
        <w:t>Dans un réseau pluricellulaire, la capacité des liaisons, par cellule, est d'environ 3,8</w:t>
      </w:r>
      <w:r w:rsidR="00DF23E9" w:rsidRPr="00DF23E9">
        <w:rPr>
          <w:sz w:val="20"/>
        </w:rPr>
        <w:t> </w:t>
      </w:r>
      <w:r w:rsidRPr="00DF23E9">
        <w:rPr>
          <w:sz w:val="20"/>
        </w:rPr>
        <w:t>bit/s/Hz/cellule, dans une configuration à 4 secteurs par cellule.</w:t>
      </w:r>
    </w:p>
    <w:p w:rsidR="007416C3" w:rsidRPr="00DF23E9" w:rsidRDefault="007416C3" w:rsidP="00F45DBE">
      <w:pPr>
        <w:rPr>
          <w:sz w:val="20"/>
        </w:rPr>
      </w:pPr>
      <w:r w:rsidRPr="00DF23E9">
        <w:rPr>
          <w:sz w:val="20"/>
        </w:rPr>
        <w:t>On peut accroître la capacité des liaisons en accroissant le nombre de secteurs par cellule, jusqu'à 8 secteurs dans les bandes au</w:t>
      </w:r>
      <w:r w:rsidRPr="00DF23E9">
        <w:rPr>
          <w:sz w:val="20"/>
        </w:rPr>
        <w:noBreakHyphen/>
        <w:t xml:space="preserve">dessus de 10 GHz (jusqu'à 6 secteurs envisageables dans la bande des 3,5 GHz). On peut également augmenter la capacité en accroissant le nombre des cellules, ce qui entraîne une réduction du rayon de chaque cellule. Une troisième solution, pour accroître la capacité de trafic dans une zone donnée, consiste à utiliser davantage de blocs de canaux radioélectriques (par exemple, 2 </w:t>
      </w:r>
      <w:r w:rsidR="00743F93" w:rsidRPr="00743F93">
        <w:rPr>
          <w:sz w:val="20"/>
        </w:rPr>
        <w:sym w:font="Symbol" w:char="F0B4"/>
      </w:r>
      <w:r w:rsidRPr="00DF23E9">
        <w:rPr>
          <w:sz w:val="20"/>
        </w:rPr>
        <w:t xml:space="preserve"> 28 MHz). Toutes ces solutions peuvent être combinées, selon la répartition du trafic dans la zone de service considérée, l'accessibilité des sites envisageables pour la station centrale et la disponibilité des blocs de canaux radioélectriques.</w:t>
      </w:r>
    </w:p>
    <w:p w:rsidR="007416C3" w:rsidRPr="00DF23E9" w:rsidRDefault="007416C3" w:rsidP="00F45DBE">
      <w:pPr>
        <w:rPr>
          <w:sz w:val="20"/>
        </w:rPr>
      </w:pPr>
      <w:r w:rsidRPr="00DF23E9">
        <w:rPr>
          <w:sz w:val="20"/>
        </w:rPr>
        <w:t>La gestion des brouillages entre cellules et dans une même cellule est assurée par adaptation du système de modulation, de la fréquence porteuse de chaque signal émis dans le bloc de canaux radioélectriques, et enfin par la commande automatique de puissance de l'émetteur prévue aussi bien au niveau de la station centrale qu'au niveau des stations terminales. Il est ainsi possible de minimiser les brouillages et d'obtenir un TEB inférieur à 1 </w:t>
      </w:r>
      <w:r w:rsidR="00743F93" w:rsidRPr="00743F93">
        <w:rPr>
          <w:sz w:val="20"/>
        </w:rPr>
        <w:sym w:font="Symbol" w:char="F0B4"/>
      </w:r>
      <w:r w:rsidRPr="00DF23E9">
        <w:rPr>
          <w:sz w:val="20"/>
        </w:rPr>
        <w:t> 10</w:t>
      </w:r>
      <w:r w:rsidRPr="00743F93">
        <w:rPr>
          <w:vertAlign w:val="superscript"/>
        </w:rPr>
        <w:t>–10</w:t>
      </w:r>
      <w:r w:rsidRPr="00DF23E9">
        <w:rPr>
          <w:sz w:val="20"/>
        </w:rPr>
        <w:t xml:space="preserve"> par temps clair, ainsi que de respecter les objectifs de qualité de fonctionnement et de disponibilité des réseaux d'accès lorsque les conditions de propagation ne sont pas favorables. La planification informatisée du développement cellulaire du système AMRF permet de disposer des informations requises pour gérer les brouillages pendant les phases d'installation, d'exploitation et d'extension du réseau considéré.</w:t>
      </w:r>
    </w:p>
    <w:p w:rsidR="007416C3" w:rsidRPr="00DF23E9" w:rsidRDefault="007416C3" w:rsidP="00F45DBE">
      <w:pPr>
        <w:rPr>
          <w:sz w:val="20"/>
        </w:rPr>
      </w:pPr>
      <w:r w:rsidRPr="00DF23E9">
        <w:rPr>
          <w:sz w:val="20"/>
        </w:rPr>
        <w:t>Il convient de noter ici qu'au-dessus de 3 GHz, les conditions de propagation en visibilité directe sont très intéressantes et permettent de respecter les objectifs de qualité de fonctionnement et de disponibilité, d'assurer la qualité de service requise et de gérer les brouillages.</w:t>
      </w:r>
    </w:p>
    <w:p w:rsidR="007416C3" w:rsidRPr="00DF23E9" w:rsidRDefault="007416C3" w:rsidP="00F45DBE">
      <w:pPr>
        <w:rPr>
          <w:sz w:val="20"/>
        </w:rPr>
      </w:pPr>
      <w:r w:rsidRPr="00DF23E9">
        <w:rPr>
          <w:sz w:val="20"/>
        </w:rPr>
        <w:t>Toujours en raison de la souplesse caractéristique des systèmes AMRF, le chevauchement des configurations cellulaires (secteurs de différentes cellules) peut être facilement géré au niveau de la planification des cellules sans aucune restriction en ce qui concerne la capacité totale d'acheminement du système P-MP.</w:t>
      </w:r>
    </w:p>
    <w:p w:rsidR="007416C3" w:rsidRDefault="007416C3" w:rsidP="00F45DBE">
      <w:pPr>
        <w:pStyle w:val="Heading1"/>
      </w:pPr>
      <w:r>
        <w:t>3</w:t>
      </w:r>
      <w:r>
        <w:tab/>
        <w:t>Caractéristiques techniques</w:t>
      </w:r>
    </w:p>
    <w:p w:rsidR="007416C3" w:rsidRDefault="007416C3" w:rsidP="00F45DBE">
      <w:pPr>
        <w:pStyle w:val="Heading2"/>
      </w:pPr>
      <w:r>
        <w:t>3.1</w:t>
      </w:r>
      <w:r>
        <w:tab/>
        <w:t>Station centrale et station terminale</w:t>
      </w:r>
    </w:p>
    <w:p w:rsidR="007416C3" w:rsidRPr="00DF23E9" w:rsidRDefault="007416C3" w:rsidP="00F45DBE">
      <w:pPr>
        <w:rPr>
          <w:sz w:val="20"/>
        </w:rPr>
      </w:pPr>
      <w:r w:rsidRPr="00DF23E9">
        <w:rPr>
          <w:sz w:val="20"/>
        </w:rPr>
        <w:t>Le Tableau 4 regroupe les principales caractéristiques d'une station centrale et d'une station terminale pour différentes bandes de fréquences.</w:t>
      </w:r>
    </w:p>
    <w:p w:rsidR="007416C3" w:rsidRPr="00DF23E9" w:rsidRDefault="007416C3" w:rsidP="00F45DBE">
      <w:pPr>
        <w:pStyle w:val="Table"/>
        <w:rPr>
          <w:sz w:val="20"/>
          <w:lang w:val="fr-FR"/>
        </w:rPr>
      </w:pPr>
      <w:r w:rsidRPr="00DF23E9">
        <w:rPr>
          <w:sz w:val="20"/>
          <w:lang w:val="fr-FR"/>
        </w:rPr>
        <w:lastRenderedPageBreak/>
        <w:t>TABLEAU  4</w:t>
      </w:r>
    </w:p>
    <w:p w:rsidR="007416C3" w:rsidRPr="00DF23E9" w:rsidRDefault="007416C3" w:rsidP="00F45DBE">
      <w:pPr>
        <w:pStyle w:val="TableTitle0"/>
        <w:rPr>
          <w:sz w:val="20"/>
          <w:lang w:val="fr-FR"/>
        </w:rPr>
      </w:pPr>
      <w:r w:rsidRPr="00DF23E9">
        <w:rPr>
          <w:sz w:val="20"/>
          <w:lang w:val="fr-FR"/>
        </w:rPr>
        <w:t>Caractéristiques d'une station centrale et d'une station terminale</w:t>
      </w:r>
    </w:p>
    <w:p w:rsidR="007416C3" w:rsidRPr="00DF23E9" w:rsidRDefault="007416C3" w:rsidP="00F45DBE">
      <w:pPr>
        <w:pStyle w:val="Blanc"/>
        <w:rPr>
          <w:sz w:val="20"/>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551"/>
        <w:gridCol w:w="1522"/>
        <w:gridCol w:w="1522"/>
        <w:gridCol w:w="1522"/>
        <w:gridCol w:w="1522"/>
      </w:tblGrid>
      <w:tr w:rsidR="007416C3" w:rsidTr="00DF23E9">
        <w:trPr>
          <w:jc w:val="center"/>
        </w:trPr>
        <w:tc>
          <w:tcPr>
            <w:tcW w:w="3572" w:type="dxa"/>
          </w:tcPr>
          <w:p w:rsidR="007416C3" w:rsidRDefault="007416C3" w:rsidP="00F45DBE">
            <w:pPr>
              <w:pStyle w:val="TableText0"/>
              <w:spacing w:line="240" w:lineRule="auto"/>
              <w:jc w:val="left"/>
              <w:rPr>
                <w:lang w:val="fr-FR"/>
              </w:rPr>
            </w:pPr>
            <w:r>
              <w:rPr>
                <w:lang w:val="fr-FR"/>
              </w:rPr>
              <w:t>Bande de fréquences (GHz)</w:t>
            </w:r>
          </w:p>
        </w:tc>
        <w:tc>
          <w:tcPr>
            <w:tcW w:w="1531" w:type="dxa"/>
          </w:tcPr>
          <w:p w:rsidR="007416C3" w:rsidRDefault="007416C3" w:rsidP="00F45DBE">
            <w:pPr>
              <w:pStyle w:val="TableText0"/>
              <w:spacing w:line="240" w:lineRule="auto"/>
              <w:jc w:val="center"/>
              <w:rPr>
                <w:lang w:val="fr-FR"/>
              </w:rPr>
            </w:pPr>
            <w:r>
              <w:rPr>
                <w:lang w:val="fr-FR"/>
              </w:rPr>
              <w:t>3,5/3,7</w:t>
            </w:r>
          </w:p>
        </w:tc>
        <w:tc>
          <w:tcPr>
            <w:tcW w:w="1531" w:type="dxa"/>
          </w:tcPr>
          <w:p w:rsidR="007416C3" w:rsidRDefault="007416C3" w:rsidP="00F45DBE">
            <w:pPr>
              <w:pStyle w:val="TableText0"/>
              <w:spacing w:line="240" w:lineRule="auto"/>
              <w:jc w:val="center"/>
              <w:rPr>
                <w:lang w:val="fr-FR"/>
              </w:rPr>
            </w:pPr>
            <w:r>
              <w:rPr>
                <w:lang w:val="fr-FR"/>
              </w:rPr>
              <w:t>10,4</w:t>
            </w:r>
          </w:p>
        </w:tc>
        <w:tc>
          <w:tcPr>
            <w:tcW w:w="1531" w:type="dxa"/>
          </w:tcPr>
          <w:p w:rsidR="007416C3" w:rsidRDefault="007416C3" w:rsidP="00F45DBE">
            <w:pPr>
              <w:pStyle w:val="TableText0"/>
              <w:spacing w:line="240" w:lineRule="auto"/>
              <w:jc w:val="center"/>
              <w:rPr>
                <w:lang w:val="fr-FR"/>
              </w:rPr>
            </w:pPr>
            <w:r>
              <w:rPr>
                <w:lang w:val="fr-FR"/>
              </w:rPr>
              <w:t>26/28</w:t>
            </w:r>
          </w:p>
        </w:tc>
        <w:tc>
          <w:tcPr>
            <w:tcW w:w="1531" w:type="dxa"/>
          </w:tcPr>
          <w:p w:rsidR="007416C3" w:rsidRDefault="007416C3" w:rsidP="00F45DBE">
            <w:pPr>
              <w:pStyle w:val="TableText0"/>
              <w:spacing w:line="240" w:lineRule="auto"/>
              <w:jc w:val="center"/>
              <w:rPr>
                <w:lang w:val="fr-FR"/>
              </w:rPr>
            </w:pPr>
            <w:r>
              <w:rPr>
                <w:lang w:val="fr-FR"/>
              </w:rPr>
              <w:t>32</w:t>
            </w:r>
          </w:p>
        </w:tc>
      </w:tr>
      <w:tr w:rsidR="007416C3" w:rsidTr="00DF23E9">
        <w:trPr>
          <w:jc w:val="center"/>
        </w:trPr>
        <w:tc>
          <w:tcPr>
            <w:tcW w:w="3572" w:type="dxa"/>
          </w:tcPr>
          <w:p w:rsidR="007416C3" w:rsidRDefault="007416C3" w:rsidP="00F45DBE">
            <w:pPr>
              <w:pStyle w:val="TableText0"/>
              <w:spacing w:line="240" w:lineRule="auto"/>
              <w:jc w:val="left"/>
              <w:rPr>
                <w:lang w:val="fr-FR"/>
              </w:rPr>
            </w:pPr>
            <w:r>
              <w:rPr>
                <w:lang w:val="fr-FR"/>
              </w:rPr>
              <w:t>Puissance totale de l'émetteur (dBW)</w:t>
            </w:r>
          </w:p>
        </w:tc>
        <w:tc>
          <w:tcPr>
            <w:tcW w:w="1531" w:type="dxa"/>
          </w:tcPr>
          <w:p w:rsidR="007416C3" w:rsidRDefault="007416C3" w:rsidP="00F45DBE">
            <w:pPr>
              <w:pStyle w:val="TableText0"/>
              <w:spacing w:line="240" w:lineRule="auto"/>
              <w:jc w:val="center"/>
              <w:rPr>
                <w:lang w:val="fr-FR"/>
              </w:rPr>
            </w:pPr>
            <w:r>
              <w:rPr>
                <w:lang w:val="fr-FR"/>
              </w:rPr>
              <w:t>–6</w:t>
            </w:r>
          </w:p>
        </w:tc>
        <w:tc>
          <w:tcPr>
            <w:tcW w:w="1531" w:type="dxa"/>
          </w:tcPr>
          <w:p w:rsidR="007416C3" w:rsidRDefault="007416C3" w:rsidP="00F45DBE">
            <w:pPr>
              <w:pStyle w:val="TableText0"/>
              <w:spacing w:line="240" w:lineRule="auto"/>
              <w:jc w:val="center"/>
              <w:rPr>
                <w:lang w:val="fr-FR"/>
              </w:rPr>
            </w:pPr>
            <w:r>
              <w:rPr>
                <w:lang w:val="fr-FR"/>
              </w:rPr>
              <w:t>–6</w:t>
            </w:r>
          </w:p>
        </w:tc>
        <w:tc>
          <w:tcPr>
            <w:tcW w:w="1531" w:type="dxa"/>
          </w:tcPr>
          <w:p w:rsidR="007416C3" w:rsidRDefault="007416C3" w:rsidP="00F45DBE">
            <w:pPr>
              <w:pStyle w:val="TableText0"/>
              <w:spacing w:line="240" w:lineRule="auto"/>
              <w:jc w:val="center"/>
              <w:rPr>
                <w:lang w:val="fr-FR"/>
              </w:rPr>
            </w:pPr>
            <w:r>
              <w:rPr>
                <w:lang w:val="fr-FR"/>
              </w:rPr>
              <w:t>–12</w:t>
            </w:r>
          </w:p>
        </w:tc>
        <w:tc>
          <w:tcPr>
            <w:tcW w:w="1531" w:type="dxa"/>
          </w:tcPr>
          <w:p w:rsidR="007416C3" w:rsidRDefault="007416C3" w:rsidP="00F45DBE">
            <w:pPr>
              <w:pStyle w:val="TableText0"/>
              <w:spacing w:line="240" w:lineRule="auto"/>
              <w:jc w:val="center"/>
              <w:rPr>
                <w:lang w:val="fr-FR"/>
              </w:rPr>
            </w:pPr>
            <w:r>
              <w:rPr>
                <w:lang w:val="fr-FR"/>
              </w:rPr>
              <w:t>–12</w:t>
            </w:r>
          </w:p>
        </w:tc>
      </w:tr>
      <w:tr w:rsidR="007416C3" w:rsidTr="00DF23E9">
        <w:trPr>
          <w:jc w:val="center"/>
        </w:trPr>
        <w:tc>
          <w:tcPr>
            <w:tcW w:w="3572" w:type="dxa"/>
          </w:tcPr>
          <w:p w:rsidR="007416C3" w:rsidRDefault="007416C3" w:rsidP="00F45DBE">
            <w:pPr>
              <w:pStyle w:val="TableText0"/>
              <w:spacing w:line="240" w:lineRule="auto"/>
              <w:jc w:val="left"/>
              <w:rPr>
                <w:lang w:val="fr-FR"/>
              </w:rPr>
            </w:pPr>
            <w:r>
              <w:rPr>
                <w:lang w:val="fr-FR"/>
              </w:rPr>
              <w:t>Puissance d'une seule porteuse (dBW)</w:t>
            </w:r>
          </w:p>
        </w:tc>
        <w:tc>
          <w:tcPr>
            <w:tcW w:w="1531" w:type="dxa"/>
          </w:tcPr>
          <w:p w:rsidR="007416C3" w:rsidRDefault="007416C3" w:rsidP="00F45DBE">
            <w:pPr>
              <w:pStyle w:val="TableText0"/>
              <w:spacing w:line="240" w:lineRule="auto"/>
              <w:jc w:val="center"/>
              <w:rPr>
                <w:lang w:val="fr-FR"/>
              </w:rPr>
            </w:pPr>
            <w:r>
              <w:rPr>
                <w:lang w:val="fr-FR"/>
              </w:rPr>
              <w:t>–20</w:t>
            </w:r>
          </w:p>
        </w:tc>
        <w:tc>
          <w:tcPr>
            <w:tcW w:w="1531" w:type="dxa"/>
          </w:tcPr>
          <w:p w:rsidR="007416C3" w:rsidRDefault="007416C3" w:rsidP="00F45DBE">
            <w:pPr>
              <w:pStyle w:val="TableText0"/>
              <w:spacing w:line="240" w:lineRule="auto"/>
              <w:jc w:val="center"/>
              <w:rPr>
                <w:lang w:val="fr-FR"/>
              </w:rPr>
            </w:pPr>
            <w:r>
              <w:rPr>
                <w:lang w:val="fr-FR"/>
              </w:rPr>
              <w:t>–20</w:t>
            </w:r>
          </w:p>
        </w:tc>
        <w:tc>
          <w:tcPr>
            <w:tcW w:w="1531" w:type="dxa"/>
          </w:tcPr>
          <w:p w:rsidR="007416C3" w:rsidRDefault="007416C3" w:rsidP="00F45DBE">
            <w:pPr>
              <w:pStyle w:val="TableText0"/>
              <w:spacing w:line="240" w:lineRule="auto"/>
              <w:jc w:val="center"/>
              <w:rPr>
                <w:lang w:val="fr-FR"/>
              </w:rPr>
            </w:pPr>
            <w:r>
              <w:rPr>
                <w:lang w:val="fr-FR"/>
              </w:rPr>
              <w:t>–5</w:t>
            </w:r>
          </w:p>
        </w:tc>
        <w:tc>
          <w:tcPr>
            <w:tcW w:w="1531" w:type="dxa"/>
          </w:tcPr>
          <w:p w:rsidR="007416C3" w:rsidRDefault="007416C3" w:rsidP="00F45DBE">
            <w:pPr>
              <w:pStyle w:val="TableText0"/>
              <w:spacing w:line="240" w:lineRule="auto"/>
              <w:jc w:val="center"/>
              <w:rPr>
                <w:lang w:val="fr-FR"/>
              </w:rPr>
            </w:pPr>
            <w:r>
              <w:rPr>
                <w:lang w:val="fr-FR"/>
              </w:rPr>
              <w:t>–5</w:t>
            </w:r>
          </w:p>
        </w:tc>
      </w:tr>
      <w:tr w:rsidR="007416C3" w:rsidTr="00DF23E9">
        <w:trPr>
          <w:jc w:val="center"/>
        </w:trPr>
        <w:tc>
          <w:tcPr>
            <w:tcW w:w="3572" w:type="dxa"/>
          </w:tcPr>
          <w:p w:rsidR="007416C3" w:rsidRDefault="007416C3" w:rsidP="00F45DBE">
            <w:pPr>
              <w:pStyle w:val="TableText0"/>
              <w:spacing w:line="240" w:lineRule="auto"/>
              <w:jc w:val="left"/>
              <w:rPr>
                <w:lang w:val="fr-FR"/>
              </w:rPr>
            </w:pPr>
            <w:r>
              <w:rPr>
                <w:lang w:val="fr-FR"/>
              </w:rPr>
              <w:t>p.i.r.e. totale de l'antenne et valeur angulaire d'un secteur</w:t>
            </w:r>
          </w:p>
        </w:tc>
        <w:tc>
          <w:tcPr>
            <w:tcW w:w="1531" w:type="dxa"/>
          </w:tcPr>
          <w:p w:rsidR="007416C3" w:rsidRPr="00743F93" w:rsidRDefault="00743F93" w:rsidP="00F45DBE">
            <w:pPr>
              <w:pStyle w:val="TableText0"/>
              <w:bidi/>
              <w:spacing w:line="240" w:lineRule="auto"/>
              <w:jc w:val="center"/>
            </w:pPr>
            <w:r w:rsidRPr="00743F93">
              <w:t>+</w:t>
            </w:r>
            <w:r w:rsidR="007416C3" w:rsidRPr="00743F93">
              <w:t>8 dBW/60</w:t>
            </w:r>
            <w:r w:rsidRPr="00743F93">
              <w:t>°</w:t>
            </w:r>
          </w:p>
        </w:tc>
        <w:tc>
          <w:tcPr>
            <w:tcW w:w="1531" w:type="dxa"/>
          </w:tcPr>
          <w:p w:rsidR="007416C3" w:rsidRDefault="00743F93" w:rsidP="00F45DBE">
            <w:pPr>
              <w:pStyle w:val="TableText0"/>
              <w:spacing w:line="240" w:lineRule="auto"/>
              <w:jc w:val="center"/>
              <w:rPr>
                <w:lang w:val="fr-FR"/>
              </w:rPr>
            </w:pPr>
            <w:r w:rsidRPr="00743F93">
              <w:t>+</w:t>
            </w:r>
            <w:r w:rsidR="007416C3">
              <w:rPr>
                <w:lang w:val="fr-FR"/>
              </w:rPr>
              <w:t>10 dBW/45</w:t>
            </w:r>
            <w:r>
              <w:t>°</w:t>
            </w:r>
          </w:p>
        </w:tc>
        <w:tc>
          <w:tcPr>
            <w:tcW w:w="1531" w:type="dxa"/>
          </w:tcPr>
          <w:p w:rsidR="007416C3" w:rsidRDefault="00743F93" w:rsidP="00F45DBE">
            <w:pPr>
              <w:pStyle w:val="TableText0"/>
              <w:spacing w:line="240" w:lineRule="auto"/>
              <w:jc w:val="center"/>
              <w:rPr>
                <w:vertAlign w:val="superscript"/>
                <w:lang w:val="fr-FR"/>
              </w:rPr>
            </w:pPr>
            <w:r w:rsidRPr="00743F93">
              <w:t>+</w:t>
            </w:r>
            <w:r w:rsidR="007416C3">
              <w:rPr>
                <w:lang w:val="fr-FR"/>
              </w:rPr>
              <w:t>2 dBW/45</w:t>
            </w:r>
            <w:r w:rsidRPr="00743F93">
              <w:t>°</w:t>
            </w:r>
          </w:p>
        </w:tc>
        <w:tc>
          <w:tcPr>
            <w:tcW w:w="1531" w:type="dxa"/>
          </w:tcPr>
          <w:p w:rsidR="007416C3" w:rsidRDefault="00743F93" w:rsidP="00F45DBE">
            <w:pPr>
              <w:pStyle w:val="TableText0"/>
              <w:spacing w:line="240" w:lineRule="auto"/>
              <w:jc w:val="center"/>
              <w:rPr>
                <w:vertAlign w:val="superscript"/>
                <w:lang w:val="fr-FR"/>
              </w:rPr>
            </w:pPr>
            <w:r w:rsidRPr="00743F93">
              <w:t>+</w:t>
            </w:r>
            <w:r w:rsidR="007416C3">
              <w:rPr>
                <w:lang w:val="fr-FR"/>
              </w:rPr>
              <w:t>2 dBW/45</w:t>
            </w:r>
            <w:r w:rsidRPr="00743F93">
              <w:t>°</w:t>
            </w:r>
          </w:p>
        </w:tc>
      </w:tr>
      <w:tr w:rsidR="007416C3" w:rsidTr="00DF23E9">
        <w:trPr>
          <w:jc w:val="center"/>
        </w:trPr>
        <w:tc>
          <w:tcPr>
            <w:tcW w:w="3572" w:type="dxa"/>
          </w:tcPr>
          <w:p w:rsidR="007416C3" w:rsidRDefault="007416C3" w:rsidP="00F45DBE">
            <w:pPr>
              <w:pStyle w:val="TableText0"/>
              <w:spacing w:line="240" w:lineRule="auto"/>
              <w:jc w:val="left"/>
              <w:rPr>
                <w:lang w:val="fr-FR"/>
              </w:rPr>
            </w:pPr>
            <w:r>
              <w:rPr>
                <w:lang w:val="fr-FR"/>
              </w:rPr>
              <w:t>Bloc de canaux radioélectriques/</w:t>
            </w:r>
            <w:r>
              <w:rPr>
                <w:lang w:val="fr-FR"/>
              </w:rPr>
              <w:br/>
              <w:t xml:space="preserve">porteuses 2 Mbit/s </w:t>
            </w:r>
          </w:p>
        </w:tc>
        <w:tc>
          <w:tcPr>
            <w:tcW w:w="1531" w:type="dxa"/>
          </w:tcPr>
          <w:p w:rsidR="007416C3" w:rsidRDefault="007416C3" w:rsidP="00F45DBE">
            <w:pPr>
              <w:pStyle w:val="TableText0"/>
              <w:spacing w:line="240" w:lineRule="auto"/>
              <w:jc w:val="center"/>
              <w:rPr>
                <w:lang w:val="fr-FR"/>
              </w:rPr>
            </w:pPr>
            <w:r>
              <w:rPr>
                <w:lang w:val="fr-FR"/>
              </w:rPr>
              <w:t>Maximum</w:t>
            </w:r>
            <w:r>
              <w:rPr>
                <w:lang w:val="fr-FR"/>
              </w:rPr>
              <w:br/>
              <w:t>16/14 MHz</w:t>
            </w:r>
          </w:p>
        </w:tc>
        <w:tc>
          <w:tcPr>
            <w:tcW w:w="1531" w:type="dxa"/>
          </w:tcPr>
          <w:p w:rsidR="007416C3" w:rsidRDefault="007416C3" w:rsidP="00F45DBE">
            <w:pPr>
              <w:pStyle w:val="TableText0"/>
              <w:spacing w:line="240" w:lineRule="auto"/>
              <w:jc w:val="center"/>
              <w:rPr>
                <w:lang w:val="fr-FR"/>
              </w:rPr>
            </w:pPr>
            <w:r>
              <w:rPr>
                <w:lang w:val="fr-FR"/>
              </w:rPr>
              <w:t>Maximum</w:t>
            </w:r>
            <w:r>
              <w:rPr>
                <w:lang w:val="fr-FR"/>
              </w:rPr>
              <w:br/>
              <w:t>33/30 MHz</w:t>
            </w:r>
          </w:p>
        </w:tc>
        <w:tc>
          <w:tcPr>
            <w:tcW w:w="1531" w:type="dxa"/>
          </w:tcPr>
          <w:p w:rsidR="007416C3" w:rsidRDefault="007416C3" w:rsidP="00F45DBE">
            <w:pPr>
              <w:pStyle w:val="TableText0"/>
              <w:spacing w:line="240" w:lineRule="auto"/>
              <w:jc w:val="center"/>
              <w:rPr>
                <w:lang w:val="fr-FR"/>
              </w:rPr>
            </w:pPr>
            <w:r>
              <w:rPr>
                <w:lang w:val="fr-FR"/>
              </w:rPr>
              <w:t>Maximum</w:t>
            </w:r>
            <w:r>
              <w:rPr>
                <w:lang w:val="fr-FR"/>
              </w:rPr>
              <w:br/>
              <w:t>32/28 MHz</w:t>
            </w:r>
          </w:p>
        </w:tc>
        <w:tc>
          <w:tcPr>
            <w:tcW w:w="1531" w:type="dxa"/>
          </w:tcPr>
          <w:p w:rsidR="007416C3" w:rsidRDefault="007416C3" w:rsidP="00F45DBE">
            <w:pPr>
              <w:pStyle w:val="TableText0"/>
              <w:spacing w:line="240" w:lineRule="auto"/>
              <w:jc w:val="center"/>
              <w:rPr>
                <w:lang w:val="fr-FR"/>
              </w:rPr>
            </w:pPr>
            <w:r>
              <w:rPr>
                <w:lang w:val="fr-FR"/>
              </w:rPr>
              <w:t>Maximum</w:t>
            </w:r>
            <w:r>
              <w:rPr>
                <w:lang w:val="fr-FR"/>
              </w:rPr>
              <w:br/>
              <w:t>32/28 MHz</w:t>
            </w:r>
          </w:p>
        </w:tc>
      </w:tr>
      <w:tr w:rsidR="007416C3" w:rsidTr="00DF23E9">
        <w:trPr>
          <w:jc w:val="center"/>
        </w:trPr>
        <w:tc>
          <w:tcPr>
            <w:tcW w:w="3572" w:type="dxa"/>
          </w:tcPr>
          <w:p w:rsidR="007416C3" w:rsidRDefault="007416C3" w:rsidP="00F45DBE">
            <w:pPr>
              <w:pStyle w:val="TableText0"/>
              <w:spacing w:line="240" w:lineRule="auto"/>
              <w:jc w:val="left"/>
              <w:rPr>
                <w:lang w:val="fr-FR"/>
              </w:rPr>
            </w:pPr>
            <w:r>
              <w:rPr>
                <w:lang w:val="fr-FR"/>
              </w:rPr>
              <w:t>Système de modulation</w:t>
            </w:r>
          </w:p>
        </w:tc>
        <w:tc>
          <w:tcPr>
            <w:tcW w:w="1531" w:type="dxa"/>
          </w:tcPr>
          <w:p w:rsidR="007416C3" w:rsidRDefault="007416C3" w:rsidP="00F45DBE">
            <w:pPr>
              <w:pStyle w:val="TableText0"/>
              <w:spacing w:line="240" w:lineRule="auto"/>
              <w:jc w:val="center"/>
              <w:rPr>
                <w:lang w:val="fr-FR"/>
              </w:rPr>
            </w:pPr>
            <w:r>
              <w:rPr>
                <w:lang w:val="fr-FR"/>
              </w:rPr>
              <w:t>MDP-4/MCT 8/</w:t>
            </w:r>
            <w:r>
              <w:rPr>
                <w:lang w:val="fr-FR"/>
              </w:rPr>
              <w:br/>
              <w:t>MCT 16</w:t>
            </w:r>
          </w:p>
        </w:tc>
        <w:tc>
          <w:tcPr>
            <w:tcW w:w="1531" w:type="dxa"/>
          </w:tcPr>
          <w:p w:rsidR="007416C3" w:rsidRDefault="007416C3" w:rsidP="00F45DBE">
            <w:pPr>
              <w:pStyle w:val="TableText0"/>
              <w:spacing w:line="240" w:lineRule="auto"/>
              <w:jc w:val="center"/>
              <w:rPr>
                <w:lang w:val="fr-FR"/>
              </w:rPr>
            </w:pPr>
            <w:r>
              <w:rPr>
                <w:lang w:val="fr-FR"/>
              </w:rPr>
              <w:t>MDP-4/MCT 8/</w:t>
            </w:r>
            <w:r>
              <w:rPr>
                <w:lang w:val="fr-FR"/>
              </w:rPr>
              <w:br/>
              <w:t>MCT 16</w:t>
            </w:r>
          </w:p>
        </w:tc>
        <w:tc>
          <w:tcPr>
            <w:tcW w:w="1531" w:type="dxa"/>
          </w:tcPr>
          <w:p w:rsidR="007416C3" w:rsidRDefault="007416C3" w:rsidP="00F45DBE">
            <w:pPr>
              <w:pStyle w:val="TableText0"/>
              <w:spacing w:line="240" w:lineRule="auto"/>
              <w:jc w:val="center"/>
              <w:rPr>
                <w:lang w:val="fr-FR"/>
              </w:rPr>
            </w:pPr>
            <w:r>
              <w:rPr>
                <w:lang w:val="fr-FR"/>
              </w:rPr>
              <w:t>MDP-4/MCT 8/</w:t>
            </w:r>
            <w:r>
              <w:rPr>
                <w:lang w:val="fr-FR"/>
              </w:rPr>
              <w:br/>
              <w:t>MCT 16</w:t>
            </w:r>
          </w:p>
        </w:tc>
        <w:tc>
          <w:tcPr>
            <w:tcW w:w="1531" w:type="dxa"/>
          </w:tcPr>
          <w:p w:rsidR="007416C3" w:rsidRDefault="007416C3" w:rsidP="00F45DBE">
            <w:pPr>
              <w:pStyle w:val="TableText0"/>
              <w:spacing w:line="240" w:lineRule="auto"/>
              <w:jc w:val="center"/>
              <w:rPr>
                <w:lang w:val="fr-FR"/>
              </w:rPr>
            </w:pPr>
            <w:r>
              <w:rPr>
                <w:lang w:val="fr-FR"/>
              </w:rPr>
              <w:t>MDP-4/MCT 8/</w:t>
            </w:r>
            <w:r>
              <w:rPr>
                <w:lang w:val="fr-FR"/>
              </w:rPr>
              <w:br/>
              <w:t>MCT 16</w:t>
            </w:r>
          </w:p>
        </w:tc>
      </w:tr>
      <w:tr w:rsidR="007416C3" w:rsidRPr="0011305B" w:rsidTr="00DF23E9">
        <w:trPr>
          <w:jc w:val="center"/>
        </w:trPr>
        <w:tc>
          <w:tcPr>
            <w:tcW w:w="3572" w:type="dxa"/>
          </w:tcPr>
          <w:p w:rsidR="007416C3" w:rsidRDefault="007416C3" w:rsidP="00F45DBE">
            <w:pPr>
              <w:pStyle w:val="TableText0"/>
              <w:spacing w:line="240" w:lineRule="auto"/>
              <w:jc w:val="left"/>
              <w:rPr>
                <w:lang w:val="fr-FR"/>
              </w:rPr>
            </w:pPr>
            <w:r>
              <w:rPr>
                <w:lang w:val="fr-FR"/>
              </w:rPr>
              <w:t>Débit binaire par porteuse</w:t>
            </w:r>
          </w:p>
        </w:tc>
        <w:tc>
          <w:tcPr>
            <w:tcW w:w="1531" w:type="dxa"/>
          </w:tcPr>
          <w:p w:rsidR="007416C3" w:rsidRPr="007416C3" w:rsidRDefault="007416C3" w:rsidP="00F45DBE">
            <w:pPr>
              <w:pStyle w:val="TableText0"/>
              <w:spacing w:line="240" w:lineRule="auto"/>
              <w:jc w:val="center"/>
              <w:rPr>
                <w:lang w:val="en-US"/>
              </w:rPr>
            </w:pPr>
            <w:r w:rsidRPr="007416C3">
              <w:rPr>
                <w:lang w:val="en-US"/>
              </w:rPr>
              <w:t>64 kbit/s à</w:t>
            </w:r>
            <w:r w:rsidRPr="007416C3">
              <w:rPr>
                <w:lang w:val="en-US"/>
              </w:rPr>
              <w:br/>
            </w:r>
            <w:r w:rsidRPr="007416C3">
              <w:rPr>
                <w:i/>
                <w:lang w:val="en-US"/>
              </w:rPr>
              <w:t>n</w:t>
            </w:r>
            <w:r w:rsidRPr="007416C3">
              <w:rPr>
                <w:lang w:val="en-US"/>
              </w:rPr>
              <w:t xml:space="preserve"> </w:t>
            </w:r>
            <w:r w:rsidR="00743F93" w:rsidRPr="00743F93">
              <w:sym w:font="Symbol" w:char="F0B4"/>
            </w:r>
            <w:r w:rsidRPr="007416C3">
              <w:rPr>
                <w:lang w:val="en-US"/>
              </w:rPr>
              <w:t xml:space="preserve"> 2 Mbit/s</w:t>
            </w:r>
            <w:r w:rsidRPr="007416C3">
              <w:rPr>
                <w:lang w:val="en-US"/>
              </w:rPr>
              <w:br/>
            </w:r>
            <w:r w:rsidRPr="007416C3">
              <w:rPr>
                <w:i/>
                <w:lang w:val="en-US"/>
              </w:rPr>
              <w:t>n</w:t>
            </w:r>
            <w:r w:rsidRPr="007416C3">
              <w:rPr>
                <w:lang w:val="en-US"/>
              </w:rPr>
              <w:t xml:space="preserve"> &lt; 4</w:t>
            </w:r>
          </w:p>
        </w:tc>
        <w:tc>
          <w:tcPr>
            <w:tcW w:w="1531" w:type="dxa"/>
          </w:tcPr>
          <w:p w:rsidR="007416C3" w:rsidRPr="007416C3" w:rsidRDefault="007416C3" w:rsidP="00F45DBE">
            <w:pPr>
              <w:pStyle w:val="TableText0"/>
              <w:spacing w:line="240" w:lineRule="auto"/>
              <w:jc w:val="center"/>
              <w:rPr>
                <w:lang w:val="en-US"/>
              </w:rPr>
            </w:pPr>
            <w:r w:rsidRPr="007416C3">
              <w:rPr>
                <w:lang w:val="en-US"/>
              </w:rPr>
              <w:t>64 kbit/s à</w:t>
            </w:r>
            <w:r w:rsidRPr="007416C3">
              <w:rPr>
                <w:lang w:val="en-US"/>
              </w:rPr>
              <w:br/>
            </w:r>
            <w:r w:rsidRPr="007416C3">
              <w:rPr>
                <w:i/>
                <w:lang w:val="en-US"/>
              </w:rPr>
              <w:t>n</w:t>
            </w:r>
            <w:r w:rsidRPr="007416C3">
              <w:rPr>
                <w:lang w:val="en-US"/>
              </w:rPr>
              <w:t xml:space="preserve"> </w:t>
            </w:r>
            <w:r w:rsidR="00743F93" w:rsidRPr="00743F93">
              <w:sym w:font="Symbol" w:char="F0B4"/>
            </w:r>
            <w:r w:rsidRPr="007416C3">
              <w:rPr>
                <w:lang w:val="en-US"/>
              </w:rPr>
              <w:t xml:space="preserve"> 2 Mbit/s</w:t>
            </w:r>
            <w:r w:rsidRPr="007416C3">
              <w:rPr>
                <w:lang w:val="en-US"/>
              </w:rPr>
              <w:br/>
            </w:r>
            <w:r w:rsidRPr="007416C3">
              <w:rPr>
                <w:i/>
                <w:lang w:val="en-US"/>
              </w:rPr>
              <w:t>n</w:t>
            </w:r>
            <w:r w:rsidRPr="007416C3">
              <w:rPr>
                <w:lang w:val="en-US"/>
              </w:rPr>
              <w:t xml:space="preserve"> &lt; 4</w:t>
            </w:r>
          </w:p>
        </w:tc>
        <w:tc>
          <w:tcPr>
            <w:tcW w:w="1531" w:type="dxa"/>
          </w:tcPr>
          <w:p w:rsidR="007416C3" w:rsidRPr="007416C3" w:rsidRDefault="007416C3" w:rsidP="00F45DBE">
            <w:pPr>
              <w:pStyle w:val="TableText0"/>
              <w:spacing w:line="240" w:lineRule="auto"/>
              <w:jc w:val="center"/>
              <w:rPr>
                <w:lang w:val="en-US"/>
              </w:rPr>
            </w:pPr>
            <w:r w:rsidRPr="007416C3">
              <w:rPr>
                <w:lang w:val="en-US"/>
              </w:rPr>
              <w:t>64 kbit/s à</w:t>
            </w:r>
            <w:r w:rsidRPr="007416C3">
              <w:rPr>
                <w:lang w:val="en-US"/>
              </w:rPr>
              <w:br/>
            </w:r>
            <w:r w:rsidRPr="007416C3">
              <w:rPr>
                <w:i/>
                <w:lang w:val="en-US"/>
              </w:rPr>
              <w:t>n</w:t>
            </w:r>
            <w:r w:rsidRPr="007416C3">
              <w:rPr>
                <w:lang w:val="en-US"/>
              </w:rPr>
              <w:t xml:space="preserve"> </w:t>
            </w:r>
            <w:r w:rsidR="00743F93" w:rsidRPr="00743F93">
              <w:sym w:font="Symbol" w:char="F0B4"/>
            </w:r>
            <w:r w:rsidRPr="007416C3">
              <w:rPr>
                <w:lang w:val="en-US"/>
              </w:rPr>
              <w:t xml:space="preserve"> 2 Mbit/s</w:t>
            </w:r>
            <w:r w:rsidRPr="007416C3">
              <w:rPr>
                <w:lang w:val="en-US"/>
              </w:rPr>
              <w:br/>
            </w:r>
            <w:r w:rsidRPr="007416C3">
              <w:rPr>
                <w:i/>
                <w:lang w:val="en-US"/>
              </w:rPr>
              <w:t>n</w:t>
            </w:r>
            <w:r w:rsidRPr="007416C3">
              <w:rPr>
                <w:lang w:val="en-US"/>
              </w:rPr>
              <w:t xml:space="preserve"> &lt; 4</w:t>
            </w:r>
          </w:p>
        </w:tc>
        <w:tc>
          <w:tcPr>
            <w:tcW w:w="1531" w:type="dxa"/>
          </w:tcPr>
          <w:p w:rsidR="007416C3" w:rsidRPr="007416C3" w:rsidRDefault="007416C3" w:rsidP="00F45DBE">
            <w:pPr>
              <w:pStyle w:val="TableText0"/>
              <w:spacing w:line="240" w:lineRule="auto"/>
              <w:jc w:val="center"/>
              <w:rPr>
                <w:lang w:val="en-US"/>
              </w:rPr>
            </w:pPr>
            <w:r w:rsidRPr="007416C3">
              <w:rPr>
                <w:lang w:val="en-US"/>
              </w:rPr>
              <w:t>64 kbit/s à</w:t>
            </w:r>
            <w:r w:rsidRPr="007416C3">
              <w:rPr>
                <w:lang w:val="en-US"/>
              </w:rPr>
              <w:br/>
            </w:r>
            <w:r w:rsidRPr="007416C3">
              <w:rPr>
                <w:i/>
                <w:lang w:val="en-US"/>
              </w:rPr>
              <w:t>n</w:t>
            </w:r>
            <w:r w:rsidRPr="007416C3">
              <w:rPr>
                <w:lang w:val="en-US"/>
              </w:rPr>
              <w:t xml:space="preserve"> </w:t>
            </w:r>
            <w:r w:rsidR="00743F93" w:rsidRPr="00743F93">
              <w:sym w:font="Symbol" w:char="F0B4"/>
            </w:r>
            <w:r w:rsidRPr="007416C3">
              <w:rPr>
                <w:lang w:val="en-US"/>
              </w:rPr>
              <w:t xml:space="preserve"> 2 Mbit/s</w:t>
            </w:r>
            <w:r w:rsidRPr="007416C3">
              <w:rPr>
                <w:lang w:val="en-US"/>
              </w:rPr>
              <w:br/>
            </w:r>
            <w:r w:rsidRPr="007416C3">
              <w:rPr>
                <w:i/>
                <w:lang w:val="en-US"/>
              </w:rPr>
              <w:t>n</w:t>
            </w:r>
            <w:r w:rsidRPr="007416C3">
              <w:rPr>
                <w:lang w:val="en-US"/>
              </w:rPr>
              <w:t xml:space="preserve"> &lt; 4</w:t>
            </w:r>
          </w:p>
        </w:tc>
      </w:tr>
      <w:tr w:rsidR="007416C3" w:rsidTr="00DF23E9">
        <w:trPr>
          <w:jc w:val="center"/>
        </w:trPr>
        <w:tc>
          <w:tcPr>
            <w:tcW w:w="3572" w:type="dxa"/>
          </w:tcPr>
          <w:p w:rsidR="007416C3" w:rsidRDefault="007416C3" w:rsidP="00F45DBE">
            <w:pPr>
              <w:pStyle w:val="TableText0"/>
              <w:spacing w:line="240" w:lineRule="auto"/>
              <w:jc w:val="left"/>
              <w:rPr>
                <w:lang w:val="fr-FR"/>
              </w:rPr>
            </w:pPr>
            <w:r>
              <w:rPr>
                <w:lang w:val="fr-FR"/>
              </w:rPr>
              <w:t>Niveau de réception (dBW)</w:t>
            </w:r>
            <w:r>
              <w:rPr>
                <w:lang w:val="fr-FR"/>
              </w:rPr>
              <w:br/>
              <w:t>TEB 1 </w:t>
            </w:r>
            <w:r w:rsidR="00743F93" w:rsidRPr="00743F93">
              <w:sym w:font="Symbol" w:char="F0B4"/>
            </w:r>
            <w:r>
              <w:rPr>
                <w:lang w:val="fr-FR"/>
              </w:rPr>
              <w:t> 10</w:t>
            </w:r>
            <w:r>
              <w:rPr>
                <w:position w:val="6"/>
                <w:sz w:val="14"/>
                <w:lang w:val="fr-FR"/>
              </w:rPr>
              <w:t>–3</w:t>
            </w:r>
            <w:r>
              <w:rPr>
                <w:lang w:val="fr-FR"/>
              </w:rPr>
              <w:t>; porteuse à 2 Mbit/s</w:t>
            </w:r>
            <w:r>
              <w:rPr>
                <w:lang w:val="fr-FR"/>
              </w:rPr>
              <w:br/>
              <w:t>MDP</w:t>
            </w:r>
            <w:r>
              <w:rPr>
                <w:lang w:val="fr-FR"/>
              </w:rPr>
              <w:noBreakHyphen/>
              <w:t>4</w:t>
            </w:r>
            <w:r>
              <w:rPr>
                <w:lang w:val="fr-FR"/>
              </w:rPr>
              <w:br/>
              <w:t>MCT 8</w:t>
            </w:r>
            <w:r>
              <w:rPr>
                <w:lang w:val="fr-FR"/>
              </w:rPr>
              <w:br/>
              <w:t>MCT 16</w:t>
            </w:r>
          </w:p>
        </w:tc>
        <w:tc>
          <w:tcPr>
            <w:tcW w:w="1531" w:type="dxa"/>
          </w:tcPr>
          <w:p w:rsidR="007416C3" w:rsidRDefault="007416C3" w:rsidP="00F45DBE">
            <w:pPr>
              <w:pStyle w:val="TableText0"/>
              <w:spacing w:line="240" w:lineRule="auto"/>
              <w:jc w:val="center"/>
              <w:rPr>
                <w:lang w:val="fr-FR"/>
              </w:rPr>
            </w:pPr>
            <w:r>
              <w:rPr>
                <w:lang w:val="fr-FR"/>
              </w:rPr>
              <w:br/>
            </w:r>
            <w:r>
              <w:rPr>
                <w:lang w:val="fr-FR"/>
              </w:rPr>
              <w:br/>
              <w:t>–130</w:t>
            </w:r>
            <w:r>
              <w:rPr>
                <w:lang w:val="fr-FR"/>
              </w:rPr>
              <w:br/>
              <w:t>–129</w:t>
            </w:r>
            <w:r>
              <w:rPr>
                <w:lang w:val="fr-FR"/>
              </w:rPr>
              <w:br/>
              <w:t>–123</w:t>
            </w:r>
          </w:p>
        </w:tc>
        <w:tc>
          <w:tcPr>
            <w:tcW w:w="1531" w:type="dxa"/>
          </w:tcPr>
          <w:p w:rsidR="007416C3" w:rsidRDefault="007416C3" w:rsidP="00F45DBE">
            <w:pPr>
              <w:pStyle w:val="TableText0"/>
              <w:spacing w:line="240" w:lineRule="auto"/>
              <w:jc w:val="center"/>
              <w:rPr>
                <w:lang w:val="fr-FR"/>
              </w:rPr>
            </w:pPr>
            <w:r>
              <w:rPr>
                <w:lang w:val="fr-FR"/>
              </w:rPr>
              <w:br/>
            </w:r>
            <w:r>
              <w:rPr>
                <w:lang w:val="fr-FR"/>
              </w:rPr>
              <w:br/>
              <w:t>–130</w:t>
            </w:r>
            <w:r>
              <w:rPr>
                <w:lang w:val="fr-FR"/>
              </w:rPr>
              <w:br/>
              <w:t>–129</w:t>
            </w:r>
            <w:r>
              <w:rPr>
                <w:lang w:val="fr-FR"/>
              </w:rPr>
              <w:br/>
              <w:t>–123</w:t>
            </w:r>
          </w:p>
        </w:tc>
        <w:tc>
          <w:tcPr>
            <w:tcW w:w="1531" w:type="dxa"/>
          </w:tcPr>
          <w:p w:rsidR="007416C3" w:rsidRDefault="007416C3" w:rsidP="00F45DBE">
            <w:pPr>
              <w:pStyle w:val="TableText0"/>
              <w:spacing w:line="240" w:lineRule="auto"/>
              <w:jc w:val="center"/>
              <w:rPr>
                <w:lang w:val="fr-FR"/>
              </w:rPr>
            </w:pPr>
            <w:r>
              <w:rPr>
                <w:lang w:val="fr-FR"/>
              </w:rPr>
              <w:br/>
            </w:r>
            <w:r>
              <w:rPr>
                <w:lang w:val="fr-FR"/>
              </w:rPr>
              <w:br/>
              <w:t>–125</w:t>
            </w:r>
            <w:r>
              <w:rPr>
                <w:lang w:val="fr-FR"/>
              </w:rPr>
              <w:br/>
              <w:t>–124</w:t>
            </w:r>
            <w:r>
              <w:rPr>
                <w:lang w:val="fr-FR"/>
              </w:rPr>
              <w:br/>
              <w:t>–118</w:t>
            </w:r>
          </w:p>
        </w:tc>
        <w:tc>
          <w:tcPr>
            <w:tcW w:w="1531" w:type="dxa"/>
          </w:tcPr>
          <w:p w:rsidR="007416C3" w:rsidRDefault="007416C3" w:rsidP="00F45DBE">
            <w:pPr>
              <w:pStyle w:val="TableText0"/>
              <w:spacing w:line="240" w:lineRule="auto"/>
              <w:jc w:val="center"/>
              <w:rPr>
                <w:lang w:val="fr-FR"/>
              </w:rPr>
            </w:pPr>
            <w:r>
              <w:rPr>
                <w:lang w:val="fr-FR"/>
              </w:rPr>
              <w:br/>
            </w:r>
            <w:r>
              <w:rPr>
                <w:lang w:val="fr-FR"/>
              </w:rPr>
              <w:br/>
              <w:t>–124</w:t>
            </w:r>
            <w:r>
              <w:rPr>
                <w:lang w:val="fr-FR"/>
              </w:rPr>
              <w:br/>
              <w:t>–123</w:t>
            </w:r>
            <w:r>
              <w:rPr>
                <w:lang w:val="fr-FR"/>
              </w:rPr>
              <w:br/>
              <w:t>–117</w:t>
            </w:r>
          </w:p>
        </w:tc>
      </w:tr>
      <w:tr w:rsidR="007416C3" w:rsidTr="00DF23E9">
        <w:tblPrEx>
          <w:tblBorders>
            <w:left w:val="none" w:sz="0" w:space="0" w:color="auto"/>
            <w:bottom w:val="none" w:sz="0" w:space="0" w:color="auto"/>
            <w:right w:val="none" w:sz="0" w:space="0" w:color="auto"/>
            <w:insideH w:val="none" w:sz="0" w:space="0" w:color="auto"/>
            <w:insideV w:val="none" w:sz="0" w:space="0" w:color="auto"/>
          </w:tblBorders>
        </w:tblPrEx>
        <w:trPr>
          <w:jc w:val="center"/>
        </w:trPr>
        <w:tc>
          <w:tcPr>
            <w:tcW w:w="9696" w:type="dxa"/>
            <w:gridSpan w:val="5"/>
          </w:tcPr>
          <w:p w:rsidR="007416C3" w:rsidRDefault="007416C3" w:rsidP="00F45DBE">
            <w:pPr>
              <w:pStyle w:val="TableLegend0"/>
              <w:spacing w:line="240" w:lineRule="auto"/>
              <w:ind w:left="794" w:hanging="794"/>
              <w:rPr>
                <w:lang w:val="fr-FR"/>
              </w:rPr>
            </w:pPr>
            <w:r>
              <w:rPr>
                <w:lang w:val="fr-FR"/>
              </w:rPr>
              <w:t>MCT: multiplexage par compression dans le temps.</w:t>
            </w:r>
          </w:p>
        </w:tc>
      </w:tr>
    </w:tbl>
    <w:p w:rsidR="007416C3" w:rsidRPr="00DF23E9" w:rsidRDefault="007416C3" w:rsidP="00F45DBE">
      <w:pPr>
        <w:pStyle w:val="Tablefin"/>
        <w:rPr>
          <w:lang w:val="fr-FR"/>
        </w:rPr>
      </w:pPr>
    </w:p>
    <w:p w:rsidR="007416C3" w:rsidRPr="00DF23E9" w:rsidRDefault="007416C3" w:rsidP="00F45DBE">
      <w:pPr>
        <w:rPr>
          <w:sz w:val="20"/>
        </w:rPr>
      </w:pPr>
      <w:r w:rsidRPr="00DF23E9">
        <w:rPr>
          <w:sz w:val="20"/>
        </w:rPr>
        <w:t>La station centrale peut être subdivisée en deux parties, à savoir tout d'abord l'équipement intérieur de la station de base, qui assure le traitement du signal en bande de base et la gestion centrale, et l'équipement extérieur qui regroupe l'émetteur</w:t>
      </w:r>
      <w:r w:rsidRPr="00DF23E9">
        <w:rPr>
          <w:sz w:val="20"/>
        </w:rPr>
        <w:noBreakHyphen/>
        <w:t>récepteur et l'antenne sectorielle intégrée (antenne plane).</w:t>
      </w:r>
    </w:p>
    <w:p w:rsidR="007416C3" w:rsidRPr="00DF23E9" w:rsidRDefault="007416C3" w:rsidP="00F45DBE">
      <w:pPr>
        <w:rPr>
          <w:sz w:val="20"/>
        </w:rPr>
      </w:pPr>
      <w:r w:rsidRPr="00DF23E9">
        <w:rPr>
          <w:sz w:val="20"/>
        </w:rPr>
        <w:t>La station terminale peut être mécaniquement analogue, et comprendre un équipement intérieur (modem) et un équipement extérieur doté d'une antenne plane à faisceau étroit intégrée pour les bandes utilisées ou d'une antenne parabolique pour les bandes au</w:t>
      </w:r>
      <w:r w:rsidRPr="00DF23E9">
        <w:rPr>
          <w:sz w:val="20"/>
        </w:rPr>
        <w:noBreakHyphen/>
        <w:t>dessus de 20 GHz (liaisons longues).</w:t>
      </w:r>
    </w:p>
    <w:p w:rsidR="007416C3" w:rsidRPr="00DF23E9" w:rsidRDefault="007416C3" w:rsidP="00F45DBE">
      <w:pPr>
        <w:rPr>
          <w:sz w:val="20"/>
        </w:rPr>
      </w:pPr>
      <w:r w:rsidRPr="00DF23E9">
        <w:rPr>
          <w:sz w:val="20"/>
        </w:rPr>
        <w:t>Les formules suivantes permettront de calculer les niveaux de réception dans le cas de porteuses acheminant des débits binaires autres que la valeur de 2 Mbit/s prise comme hypothèse au Tableau 4.</w:t>
      </w:r>
    </w:p>
    <w:p w:rsidR="007416C3" w:rsidRPr="00DF23E9" w:rsidRDefault="007416C3" w:rsidP="00F45DBE">
      <w:pPr>
        <w:pStyle w:val="enumlev1"/>
        <w:tabs>
          <w:tab w:val="left" w:pos="1701"/>
        </w:tabs>
        <w:rPr>
          <w:sz w:val="20"/>
        </w:rPr>
      </w:pPr>
      <w:r w:rsidRPr="00DF23E9">
        <w:rPr>
          <w:sz w:val="20"/>
        </w:rPr>
        <w:tab/>
        <w:t>Pour MDP-4:</w:t>
      </w:r>
      <w:r w:rsidRPr="00DF23E9">
        <w:rPr>
          <w:sz w:val="20"/>
        </w:rPr>
        <w:tab/>
      </w:r>
      <w:r w:rsidR="00743F93">
        <w:rPr>
          <w:sz w:val="20"/>
        </w:rPr>
        <w:tab/>
      </w:r>
      <w:r w:rsidRPr="00DF23E9">
        <w:rPr>
          <w:sz w:val="20"/>
        </w:rPr>
        <w:t xml:space="preserve">niveau de réception (dBW(pour un TEB de 1 </w:t>
      </w:r>
      <w:r w:rsidR="00743F93" w:rsidRPr="00743F93">
        <w:rPr>
          <w:sz w:val="20"/>
        </w:rPr>
        <w:sym w:font="Symbol" w:char="F0B4"/>
      </w:r>
      <w:r w:rsidRPr="00DF23E9">
        <w:rPr>
          <w:sz w:val="20"/>
        </w:rPr>
        <w:t xml:space="preserve"> 10</w:t>
      </w:r>
      <w:r w:rsidRPr="00743F93">
        <w:rPr>
          <w:vertAlign w:val="superscript"/>
        </w:rPr>
        <w:t>–3</w:t>
      </w:r>
      <w:r w:rsidRPr="00DF23E9">
        <w:rPr>
          <w:sz w:val="20"/>
        </w:rPr>
        <w:t xml:space="preserve">)) </w:t>
      </w:r>
      <w:r w:rsidR="00743F93" w:rsidRPr="00743F93">
        <w:rPr>
          <w:sz w:val="20"/>
        </w:rPr>
        <w:t>=</w:t>
      </w:r>
      <w:r w:rsidRPr="00DF23E9">
        <w:rPr>
          <w:sz w:val="20"/>
        </w:rPr>
        <w:t xml:space="preserve"> </w:t>
      </w:r>
      <w:r w:rsidRPr="00DF23E9">
        <w:rPr>
          <w:i/>
          <w:sz w:val="20"/>
        </w:rPr>
        <w:t>X</w:t>
      </w:r>
      <w:r w:rsidRPr="00DF23E9">
        <w:rPr>
          <w:sz w:val="20"/>
        </w:rPr>
        <w:t xml:space="preserve"> </w:t>
      </w:r>
      <w:r w:rsidR="00743F93" w:rsidRPr="00743F93">
        <w:rPr>
          <w:sz w:val="20"/>
        </w:rPr>
        <w:t>+</w:t>
      </w:r>
      <w:r w:rsidRPr="00DF23E9">
        <w:rPr>
          <w:sz w:val="20"/>
        </w:rPr>
        <w:t xml:space="preserve"> 10 log</w:t>
      </w:r>
      <w:r w:rsidRPr="00743F93">
        <w:rPr>
          <w:vertAlign w:val="subscript"/>
        </w:rPr>
        <w:t>10</w:t>
      </w:r>
      <w:r w:rsidRPr="00DF23E9">
        <w:rPr>
          <w:sz w:val="20"/>
        </w:rPr>
        <w:t xml:space="preserve"> </w:t>
      </w:r>
      <w:r w:rsidRPr="00DF23E9">
        <w:rPr>
          <w:i/>
          <w:sz w:val="20"/>
        </w:rPr>
        <w:t>b</w:t>
      </w:r>
    </w:p>
    <w:p w:rsidR="007416C3" w:rsidRPr="00DF23E9" w:rsidRDefault="007416C3" w:rsidP="00F45DBE">
      <w:pPr>
        <w:pStyle w:val="enumlev1"/>
        <w:tabs>
          <w:tab w:val="left" w:pos="1701"/>
        </w:tabs>
        <w:rPr>
          <w:sz w:val="20"/>
        </w:rPr>
      </w:pPr>
      <w:r w:rsidRPr="00DF23E9">
        <w:rPr>
          <w:sz w:val="20"/>
        </w:rPr>
        <w:tab/>
        <w:t>Pour MCT 8:</w:t>
      </w:r>
      <w:r w:rsidRPr="00DF23E9">
        <w:rPr>
          <w:sz w:val="20"/>
        </w:rPr>
        <w:tab/>
      </w:r>
      <w:r w:rsidR="00743F93">
        <w:rPr>
          <w:sz w:val="20"/>
        </w:rPr>
        <w:tab/>
      </w:r>
      <w:r w:rsidRPr="00DF23E9">
        <w:rPr>
          <w:sz w:val="20"/>
        </w:rPr>
        <w:t xml:space="preserve">niveau de réception (dBW(pour un TEB de 1 </w:t>
      </w:r>
      <w:r w:rsidR="00743F93" w:rsidRPr="00743F93">
        <w:rPr>
          <w:sz w:val="20"/>
        </w:rPr>
        <w:sym w:font="Symbol" w:char="F0B4"/>
      </w:r>
      <w:r w:rsidRPr="00DF23E9">
        <w:rPr>
          <w:sz w:val="20"/>
        </w:rPr>
        <w:t xml:space="preserve"> 10</w:t>
      </w:r>
      <w:r w:rsidRPr="00743F93">
        <w:rPr>
          <w:vertAlign w:val="superscript"/>
        </w:rPr>
        <w:t>–3</w:t>
      </w:r>
      <w:r w:rsidRPr="00DF23E9">
        <w:rPr>
          <w:sz w:val="20"/>
        </w:rPr>
        <w:t xml:space="preserve">)) </w:t>
      </w:r>
      <w:r w:rsidR="00743F93" w:rsidRPr="00743F93">
        <w:rPr>
          <w:sz w:val="20"/>
        </w:rPr>
        <w:t>=</w:t>
      </w:r>
      <w:r w:rsidRPr="00DF23E9">
        <w:rPr>
          <w:sz w:val="20"/>
        </w:rPr>
        <w:t xml:space="preserve"> </w:t>
      </w:r>
      <w:r w:rsidRPr="00DF23E9">
        <w:rPr>
          <w:i/>
          <w:sz w:val="20"/>
        </w:rPr>
        <w:t>Y</w:t>
      </w:r>
      <w:r w:rsidRPr="00DF23E9">
        <w:rPr>
          <w:sz w:val="20"/>
        </w:rPr>
        <w:t xml:space="preserve"> </w:t>
      </w:r>
      <w:r w:rsidR="00743F93" w:rsidRPr="00743F93">
        <w:rPr>
          <w:sz w:val="20"/>
        </w:rPr>
        <w:t>+</w:t>
      </w:r>
      <w:r w:rsidRPr="00DF23E9">
        <w:rPr>
          <w:sz w:val="20"/>
        </w:rPr>
        <w:t xml:space="preserve"> 10 log</w:t>
      </w:r>
      <w:r w:rsidRPr="00743F93">
        <w:rPr>
          <w:vertAlign w:val="subscript"/>
        </w:rPr>
        <w:t>10</w:t>
      </w:r>
      <w:r w:rsidRPr="00DF23E9">
        <w:rPr>
          <w:sz w:val="20"/>
        </w:rPr>
        <w:t xml:space="preserve"> </w:t>
      </w:r>
      <w:r w:rsidRPr="00DF23E9">
        <w:rPr>
          <w:i/>
          <w:sz w:val="20"/>
        </w:rPr>
        <w:t>b</w:t>
      </w:r>
    </w:p>
    <w:p w:rsidR="007416C3" w:rsidRPr="00DF23E9" w:rsidRDefault="007416C3" w:rsidP="00F45DBE">
      <w:pPr>
        <w:pStyle w:val="enumlev1"/>
        <w:tabs>
          <w:tab w:val="left" w:pos="1701"/>
        </w:tabs>
        <w:rPr>
          <w:sz w:val="20"/>
        </w:rPr>
      </w:pPr>
      <w:r w:rsidRPr="00DF23E9">
        <w:rPr>
          <w:sz w:val="20"/>
        </w:rPr>
        <w:tab/>
        <w:t>Pour MCT 16:</w:t>
      </w:r>
      <w:r w:rsidR="00743F93">
        <w:rPr>
          <w:sz w:val="20"/>
        </w:rPr>
        <w:tab/>
      </w:r>
      <w:r w:rsidRPr="00DF23E9">
        <w:rPr>
          <w:sz w:val="20"/>
        </w:rPr>
        <w:tab/>
        <w:t xml:space="preserve">niveau de réception (dBW(pour un TEB de 1 </w:t>
      </w:r>
      <w:r w:rsidR="00743F93" w:rsidRPr="00743F93">
        <w:rPr>
          <w:sz w:val="20"/>
        </w:rPr>
        <w:sym w:font="Symbol" w:char="F0B4"/>
      </w:r>
      <w:r w:rsidRPr="00DF23E9">
        <w:rPr>
          <w:sz w:val="20"/>
        </w:rPr>
        <w:t xml:space="preserve"> 10</w:t>
      </w:r>
      <w:r w:rsidRPr="00743F93">
        <w:rPr>
          <w:vertAlign w:val="superscript"/>
        </w:rPr>
        <w:t>–3</w:t>
      </w:r>
      <w:r w:rsidRPr="00DF23E9">
        <w:rPr>
          <w:sz w:val="20"/>
        </w:rPr>
        <w:t xml:space="preserve">)) </w:t>
      </w:r>
      <w:r w:rsidR="00743F93" w:rsidRPr="00743F93">
        <w:rPr>
          <w:sz w:val="20"/>
        </w:rPr>
        <w:t>=</w:t>
      </w:r>
      <w:r w:rsidRPr="00DF23E9">
        <w:rPr>
          <w:sz w:val="20"/>
        </w:rPr>
        <w:t xml:space="preserve"> </w:t>
      </w:r>
      <w:r w:rsidRPr="00DF23E9">
        <w:rPr>
          <w:i/>
          <w:sz w:val="20"/>
        </w:rPr>
        <w:t>Z</w:t>
      </w:r>
      <w:r w:rsidRPr="00DF23E9">
        <w:rPr>
          <w:sz w:val="20"/>
        </w:rPr>
        <w:t xml:space="preserve"> </w:t>
      </w:r>
      <w:r w:rsidR="00743F93" w:rsidRPr="00743F93">
        <w:rPr>
          <w:sz w:val="20"/>
        </w:rPr>
        <w:t>+</w:t>
      </w:r>
      <w:r w:rsidRPr="00DF23E9">
        <w:rPr>
          <w:sz w:val="20"/>
        </w:rPr>
        <w:t xml:space="preserve"> 10 log</w:t>
      </w:r>
      <w:r w:rsidRPr="00743F93">
        <w:rPr>
          <w:vertAlign w:val="subscript"/>
        </w:rPr>
        <w:t>10</w:t>
      </w:r>
      <w:r w:rsidRPr="00DF23E9">
        <w:rPr>
          <w:sz w:val="20"/>
        </w:rPr>
        <w:t xml:space="preserve"> </w:t>
      </w:r>
      <w:r w:rsidRPr="00DF23E9">
        <w:rPr>
          <w:i/>
          <w:sz w:val="20"/>
        </w:rPr>
        <w:t>b</w:t>
      </w:r>
    </w:p>
    <w:p w:rsidR="007416C3" w:rsidRPr="00DF23E9" w:rsidRDefault="007416C3" w:rsidP="00F45DBE">
      <w:pPr>
        <w:pStyle w:val="enumlev1"/>
        <w:rPr>
          <w:sz w:val="20"/>
        </w:rPr>
      </w:pPr>
      <w:r w:rsidRPr="00DF23E9">
        <w:rPr>
          <w:sz w:val="20"/>
        </w:rPr>
        <w:tab/>
        <w:t xml:space="preserve">où </w:t>
      </w:r>
      <w:r w:rsidRPr="00DF23E9">
        <w:rPr>
          <w:i/>
          <w:sz w:val="20"/>
        </w:rPr>
        <w:t>b</w:t>
      </w:r>
      <w:r w:rsidRPr="00DF23E9">
        <w:rPr>
          <w:sz w:val="20"/>
        </w:rPr>
        <w:t xml:space="preserve"> est le débit binaire (Mbit/s).</w:t>
      </w:r>
    </w:p>
    <w:p w:rsidR="007416C3" w:rsidRPr="00DF23E9" w:rsidRDefault="007416C3" w:rsidP="00F45DBE">
      <w:pPr>
        <w:rPr>
          <w:sz w:val="20"/>
        </w:rPr>
      </w:pPr>
      <w:r w:rsidRPr="00DF23E9">
        <w:rPr>
          <w:sz w:val="20"/>
        </w:rPr>
        <w:t xml:space="preserve">Les valeurs de </w:t>
      </w:r>
      <w:r w:rsidRPr="00DF23E9">
        <w:rPr>
          <w:i/>
          <w:sz w:val="20"/>
        </w:rPr>
        <w:t>X</w:t>
      </w:r>
      <w:r w:rsidRPr="00DF23E9">
        <w:rPr>
          <w:sz w:val="20"/>
        </w:rPr>
        <w:t xml:space="preserve">, </w:t>
      </w:r>
      <w:r w:rsidRPr="00DF23E9">
        <w:rPr>
          <w:i/>
          <w:sz w:val="20"/>
        </w:rPr>
        <w:t>Y</w:t>
      </w:r>
      <w:r w:rsidRPr="00DF23E9">
        <w:rPr>
          <w:sz w:val="20"/>
        </w:rPr>
        <w:t xml:space="preserve"> et </w:t>
      </w:r>
      <w:r w:rsidRPr="00DF23E9">
        <w:rPr>
          <w:i/>
          <w:sz w:val="20"/>
        </w:rPr>
        <w:t>Z</w:t>
      </w:r>
      <w:r w:rsidRPr="00DF23E9">
        <w:rPr>
          <w:sz w:val="20"/>
        </w:rPr>
        <w:t xml:space="preserve"> pour les différentes bandes de fréquences sont indiquées au Tableau 5.</w:t>
      </w:r>
    </w:p>
    <w:p w:rsidR="007416C3" w:rsidRPr="00DF23E9" w:rsidRDefault="007416C3" w:rsidP="00F45DBE">
      <w:pPr>
        <w:pStyle w:val="Table"/>
        <w:rPr>
          <w:sz w:val="20"/>
          <w:lang w:val="fr-FR"/>
        </w:rPr>
      </w:pPr>
      <w:r w:rsidRPr="00DF23E9">
        <w:rPr>
          <w:sz w:val="20"/>
          <w:lang w:val="fr-FR"/>
        </w:rPr>
        <w:t>TABLEAU  5</w:t>
      </w:r>
    </w:p>
    <w:p w:rsidR="007416C3" w:rsidRPr="00DF23E9" w:rsidRDefault="007416C3" w:rsidP="00F45DBE">
      <w:pPr>
        <w:pStyle w:val="TableTitle0"/>
        <w:rPr>
          <w:sz w:val="20"/>
          <w:lang w:val="fr-FR"/>
        </w:rPr>
      </w:pPr>
      <w:r w:rsidRPr="00DF23E9">
        <w:rPr>
          <w:sz w:val="20"/>
          <w:lang w:val="fr-FR"/>
        </w:rPr>
        <w:t xml:space="preserve">Valeurs de </w:t>
      </w:r>
      <w:r w:rsidRPr="00DF23E9">
        <w:rPr>
          <w:i/>
          <w:sz w:val="20"/>
          <w:lang w:val="fr-FR"/>
        </w:rPr>
        <w:t>X</w:t>
      </w:r>
      <w:r w:rsidRPr="00DF23E9">
        <w:rPr>
          <w:sz w:val="20"/>
          <w:lang w:val="fr-FR"/>
        </w:rPr>
        <w:t xml:space="preserve">, </w:t>
      </w:r>
      <w:r w:rsidRPr="00DF23E9">
        <w:rPr>
          <w:i/>
          <w:sz w:val="20"/>
          <w:lang w:val="fr-FR"/>
        </w:rPr>
        <w:t>Y</w:t>
      </w:r>
      <w:r w:rsidRPr="00DF23E9">
        <w:rPr>
          <w:sz w:val="20"/>
          <w:lang w:val="fr-FR"/>
        </w:rPr>
        <w:t xml:space="preserve"> et </w:t>
      </w:r>
      <w:r w:rsidRPr="00DF23E9">
        <w:rPr>
          <w:i/>
          <w:sz w:val="20"/>
          <w:lang w:val="fr-FR"/>
        </w:rPr>
        <w:t>Z</w:t>
      </w:r>
      <w:r w:rsidRPr="00DF23E9">
        <w:rPr>
          <w:sz w:val="20"/>
          <w:lang w:val="fr-FR"/>
        </w:rPr>
        <w:t xml:space="preserve"> (voir les équations ci</w:t>
      </w:r>
      <w:r w:rsidRPr="00DF23E9">
        <w:rPr>
          <w:sz w:val="20"/>
          <w:lang w:val="fr-FR"/>
        </w:rPr>
        <w:noBreakHyphen/>
        <w:t>dessus)</w:t>
      </w:r>
    </w:p>
    <w:p w:rsidR="007416C3" w:rsidRPr="00DF23E9" w:rsidRDefault="007416C3" w:rsidP="00F45DBE">
      <w:pPr>
        <w:pStyle w:val="Blanc"/>
        <w:rPr>
          <w:sz w:val="20"/>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418"/>
        <w:gridCol w:w="1418"/>
        <w:gridCol w:w="1418"/>
        <w:gridCol w:w="1418"/>
        <w:gridCol w:w="1418"/>
      </w:tblGrid>
      <w:tr w:rsidR="007416C3" w:rsidTr="00DF23E9">
        <w:trPr>
          <w:jc w:val="center"/>
        </w:trPr>
        <w:tc>
          <w:tcPr>
            <w:tcW w:w="1418" w:type="dxa"/>
            <w:tcBorders>
              <w:top w:val="nil"/>
              <w:left w:val="nil"/>
            </w:tcBorders>
          </w:tcPr>
          <w:p w:rsidR="007416C3" w:rsidRDefault="007416C3" w:rsidP="00F45DBE">
            <w:pPr>
              <w:pStyle w:val="TableText0"/>
              <w:spacing w:line="240" w:lineRule="auto"/>
              <w:jc w:val="center"/>
              <w:rPr>
                <w:lang w:val="fr-FR"/>
              </w:rPr>
            </w:pPr>
          </w:p>
        </w:tc>
        <w:tc>
          <w:tcPr>
            <w:tcW w:w="1418" w:type="dxa"/>
          </w:tcPr>
          <w:p w:rsidR="007416C3" w:rsidRDefault="007416C3" w:rsidP="00F45DBE">
            <w:pPr>
              <w:pStyle w:val="TableText0"/>
              <w:spacing w:line="240" w:lineRule="auto"/>
              <w:jc w:val="center"/>
              <w:rPr>
                <w:lang w:val="fr-FR"/>
              </w:rPr>
            </w:pPr>
            <w:r>
              <w:rPr>
                <w:lang w:val="fr-FR"/>
              </w:rPr>
              <w:t>3,5/3,7 GHz</w:t>
            </w:r>
          </w:p>
        </w:tc>
        <w:tc>
          <w:tcPr>
            <w:tcW w:w="1418" w:type="dxa"/>
          </w:tcPr>
          <w:p w:rsidR="007416C3" w:rsidRDefault="007416C3" w:rsidP="00F45DBE">
            <w:pPr>
              <w:pStyle w:val="TableText0"/>
              <w:spacing w:line="240" w:lineRule="auto"/>
              <w:jc w:val="center"/>
              <w:rPr>
                <w:lang w:val="fr-FR"/>
              </w:rPr>
            </w:pPr>
            <w:r>
              <w:rPr>
                <w:lang w:val="fr-FR"/>
              </w:rPr>
              <w:t>10,4 GHz</w:t>
            </w:r>
          </w:p>
        </w:tc>
        <w:tc>
          <w:tcPr>
            <w:tcW w:w="1418" w:type="dxa"/>
          </w:tcPr>
          <w:p w:rsidR="007416C3" w:rsidRDefault="007416C3" w:rsidP="00F45DBE">
            <w:pPr>
              <w:pStyle w:val="TableText0"/>
              <w:spacing w:line="240" w:lineRule="auto"/>
              <w:jc w:val="center"/>
              <w:rPr>
                <w:lang w:val="fr-FR"/>
              </w:rPr>
            </w:pPr>
            <w:r>
              <w:rPr>
                <w:lang w:val="fr-FR"/>
              </w:rPr>
              <w:t>26/28 GHz</w:t>
            </w:r>
          </w:p>
        </w:tc>
        <w:tc>
          <w:tcPr>
            <w:tcW w:w="1418" w:type="dxa"/>
          </w:tcPr>
          <w:p w:rsidR="007416C3" w:rsidRDefault="007416C3" w:rsidP="00F45DBE">
            <w:pPr>
              <w:pStyle w:val="TableText0"/>
              <w:spacing w:line="240" w:lineRule="auto"/>
              <w:jc w:val="center"/>
              <w:rPr>
                <w:lang w:val="fr-FR"/>
              </w:rPr>
            </w:pPr>
            <w:r>
              <w:rPr>
                <w:lang w:val="fr-FR"/>
              </w:rPr>
              <w:t>32 GHz</w:t>
            </w:r>
          </w:p>
        </w:tc>
      </w:tr>
      <w:tr w:rsidR="007416C3" w:rsidTr="00DF23E9">
        <w:trPr>
          <w:jc w:val="center"/>
        </w:trPr>
        <w:tc>
          <w:tcPr>
            <w:tcW w:w="1418" w:type="dxa"/>
          </w:tcPr>
          <w:p w:rsidR="007416C3" w:rsidRDefault="007416C3" w:rsidP="00F45DBE">
            <w:pPr>
              <w:pStyle w:val="TableText0"/>
              <w:spacing w:line="240" w:lineRule="auto"/>
              <w:jc w:val="center"/>
              <w:rPr>
                <w:lang w:val="fr-FR"/>
              </w:rPr>
            </w:pPr>
            <w:r>
              <w:rPr>
                <w:i/>
                <w:lang w:val="fr-FR"/>
              </w:rPr>
              <w:t>X</w:t>
            </w:r>
          </w:p>
        </w:tc>
        <w:tc>
          <w:tcPr>
            <w:tcW w:w="1418" w:type="dxa"/>
          </w:tcPr>
          <w:p w:rsidR="007416C3" w:rsidRDefault="007416C3" w:rsidP="00F45DBE">
            <w:pPr>
              <w:pStyle w:val="TableText0"/>
              <w:spacing w:line="240" w:lineRule="auto"/>
              <w:jc w:val="center"/>
              <w:rPr>
                <w:lang w:val="fr-FR"/>
              </w:rPr>
            </w:pPr>
            <w:r>
              <w:rPr>
                <w:lang w:val="fr-FR"/>
              </w:rPr>
              <w:t>–133</w:t>
            </w:r>
          </w:p>
        </w:tc>
        <w:tc>
          <w:tcPr>
            <w:tcW w:w="1418" w:type="dxa"/>
          </w:tcPr>
          <w:p w:rsidR="007416C3" w:rsidRDefault="007416C3" w:rsidP="00F45DBE">
            <w:pPr>
              <w:pStyle w:val="TableText0"/>
              <w:spacing w:line="240" w:lineRule="auto"/>
              <w:jc w:val="center"/>
              <w:rPr>
                <w:lang w:val="fr-FR"/>
              </w:rPr>
            </w:pPr>
            <w:r>
              <w:rPr>
                <w:lang w:val="fr-FR"/>
              </w:rPr>
              <w:t>–133</w:t>
            </w:r>
          </w:p>
        </w:tc>
        <w:tc>
          <w:tcPr>
            <w:tcW w:w="1418" w:type="dxa"/>
          </w:tcPr>
          <w:p w:rsidR="007416C3" w:rsidRDefault="007416C3" w:rsidP="00F45DBE">
            <w:pPr>
              <w:pStyle w:val="TableText0"/>
              <w:spacing w:line="240" w:lineRule="auto"/>
              <w:jc w:val="center"/>
              <w:rPr>
                <w:lang w:val="fr-FR"/>
              </w:rPr>
            </w:pPr>
            <w:r>
              <w:rPr>
                <w:lang w:val="fr-FR"/>
              </w:rPr>
              <w:t>–128</w:t>
            </w:r>
          </w:p>
        </w:tc>
        <w:tc>
          <w:tcPr>
            <w:tcW w:w="1418" w:type="dxa"/>
          </w:tcPr>
          <w:p w:rsidR="007416C3" w:rsidRDefault="007416C3" w:rsidP="00F45DBE">
            <w:pPr>
              <w:pStyle w:val="TableText0"/>
              <w:spacing w:line="240" w:lineRule="auto"/>
              <w:jc w:val="center"/>
              <w:rPr>
                <w:lang w:val="fr-FR"/>
              </w:rPr>
            </w:pPr>
            <w:r>
              <w:rPr>
                <w:lang w:val="fr-FR"/>
              </w:rPr>
              <w:t>–127</w:t>
            </w:r>
          </w:p>
        </w:tc>
      </w:tr>
      <w:tr w:rsidR="007416C3" w:rsidTr="00DF23E9">
        <w:trPr>
          <w:jc w:val="center"/>
        </w:trPr>
        <w:tc>
          <w:tcPr>
            <w:tcW w:w="1418" w:type="dxa"/>
          </w:tcPr>
          <w:p w:rsidR="007416C3" w:rsidRDefault="007416C3" w:rsidP="00F45DBE">
            <w:pPr>
              <w:pStyle w:val="TableText0"/>
              <w:spacing w:line="240" w:lineRule="auto"/>
              <w:jc w:val="center"/>
              <w:rPr>
                <w:lang w:val="fr-FR"/>
              </w:rPr>
            </w:pPr>
            <w:r>
              <w:rPr>
                <w:i/>
                <w:lang w:val="fr-FR"/>
              </w:rPr>
              <w:t>Y</w:t>
            </w:r>
          </w:p>
        </w:tc>
        <w:tc>
          <w:tcPr>
            <w:tcW w:w="1418" w:type="dxa"/>
          </w:tcPr>
          <w:p w:rsidR="007416C3" w:rsidRDefault="007416C3" w:rsidP="00F45DBE">
            <w:pPr>
              <w:pStyle w:val="TableText0"/>
              <w:spacing w:line="240" w:lineRule="auto"/>
              <w:jc w:val="center"/>
              <w:rPr>
                <w:lang w:val="fr-FR"/>
              </w:rPr>
            </w:pPr>
            <w:r>
              <w:rPr>
                <w:lang w:val="fr-FR"/>
              </w:rPr>
              <w:t>–132</w:t>
            </w:r>
          </w:p>
        </w:tc>
        <w:tc>
          <w:tcPr>
            <w:tcW w:w="1418" w:type="dxa"/>
          </w:tcPr>
          <w:p w:rsidR="007416C3" w:rsidRDefault="007416C3" w:rsidP="00F45DBE">
            <w:pPr>
              <w:pStyle w:val="TableText0"/>
              <w:spacing w:line="240" w:lineRule="auto"/>
              <w:jc w:val="center"/>
              <w:rPr>
                <w:lang w:val="fr-FR"/>
              </w:rPr>
            </w:pPr>
            <w:r>
              <w:rPr>
                <w:lang w:val="fr-FR"/>
              </w:rPr>
              <w:t>–132</w:t>
            </w:r>
          </w:p>
        </w:tc>
        <w:tc>
          <w:tcPr>
            <w:tcW w:w="1418" w:type="dxa"/>
          </w:tcPr>
          <w:p w:rsidR="007416C3" w:rsidRDefault="007416C3" w:rsidP="00F45DBE">
            <w:pPr>
              <w:pStyle w:val="TableText0"/>
              <w:spacing w:line="240" w:lineRule="auto"/>
              <w:jc w:val="center"/>
              <w:rPr>
                <w:lang w:val="fr-FR"/>
              </w:rPr>
            </w:pPr>
            <w:r>
              <w:rPr>
                <w:lang w:val="fr-FR"/>
              </w:rPr>
              <w:t>–127</w:t>
            </w:r>
          </w:p>
        </w:tc>
        <w:tc>
          <w:tcPr>
            <w:tcW w:w="1418" w:type="dxa"/>
          </w:tcPr>
          <w:p w:rsidR="007416C3" w:rsidRDefault="007416C3" w:rsidP="00F45DBE">
            <w:pPr>
              <w:pStyle w:val="TableText0"/>
              <w:spacing w:line="240" w:lineRule="auto"/>
              <w:jc w:val="center"/>
              <w:rPr>
                <w:lang w:val="fr-FR"/>
              </w:rPr>
            </w:pPr>
            <w:r>
              <w:rPr>
                <w:lang w:val="fr-FR"/>
              </w:rPr>
              <w:t>–126</w:t>
            </w:r>
          </w:p>
        </w:tc>
      </w:tr>
      <w:tr w:rsidR="007416C3" w:rsidTr="00DF23E9">
        <w:trPr>
          <w:jc w:val="center"/>
        </w:trPr>
        <w:tc>
          <w:tcPr>
            <w:tcW w:w="1418" w:type="dxa"/>
          </w:tcPr>
          <w:p w:rsidR="007416C3" w:rsidRDefault="007416C3" w:rsidP="00F45DBE">
            <w:pPr>
              <w:pStyle w:val="TableText0"/>
              <w:spacing w:line="240" w:lineRule="auto"/>
              <w:jc w:val="center"/>
              <w:rPr>
                <w:lang w:val="fr-FR"/>
              </w:rPr>
            </w:pPr>
            <w:r>
              <w:rPr>
                <w:i/>
                <w:lang w:val="fr-FR"/>
              </w:rPr>
              <w:t>Z</w:t>
            </w:r>
          </w:p>
        </w:tc>
        <w:tc>
          <w:tcPr>
            <w:tcW w:w="1418" w:type="dxa"/>
          </w:tcPr>
          <w:p w:rsidR="007416C3" w:rsidRDefault="007416C3" w:rsidP="00F45DBE">
            <w:pPr>
              <w:pStyle w:val="TableText0"/>
              <w:spacing w:line="240" w:lineRule="auto"/>
              <w:jc w:val="center"/>
              <w:rPr>
                <w:lang w:val="fr-FR"/>
              </w:rPr>
            </w:pPr>
            <w:r>
              <w:rPr>
                <w:lang w:val="fr-FR"/>
              </w:rPr>
              <w:t>–126</w:t>
            </w:r>
          </w:p>
        </w:tc>
        <w:tc>
          <w:tcPr>
            <w:tcW w:w="1418" w:type="dxa"/>
          </w:tcPr>
          <w:p w:rsidR="007416C3" w:rsidRDefault="007416C3" w:rsidP="00F45DBE">
            <w:pPr>
              <w:pStyle w:val="TableText0"/>
              <w:spacing w:line="240" w:lineRule="auto"/>
              <w:jc w:val="center"/>
              <w:rPr>
                <w:lang w:val="fr-FR"/>
              </w:rPr>
            </w:pPr>
            <w:r>
              <w:rPr>
                <w:lang w:val="fr-FR"/>
              </w:rPr>
              <w:t>–126</w:t>
            </w:r>
          </w:p>
        </w:tc>
        <w:tc>
          <w:tcPr>
            <w:tcW w:w="1418" w:type="dxa"/>
          </w:tcPr>
          <w:p w:rsidR="007416C3" w:rsidRDefault="007416C3" w:rsidP="00F45DBE">
            <w:pPr>
              <w:pStyle w:val="TableText0"/>
              <w:spacing w:line="240" w:lineRule="auto"/>
              <w:jc w:val="center"/>
              <w:rPr>
                <w:lang w:val="fr-FR"/>
              </w:rPr>
            </w:pPr>
            <w:r>
              <w:rPr>
                <w:lang w:val="fr-FR"/>
              </w:rPr>
              <w:t>–121</w:t>
            </w:r>
          </w:p>
        </w:tc>
        <w:tc>
          <w:tcPr>
            <w:tcW w:w="1418" w:type="dxa"/>
          </w:tcPr>
          <w:p w:rsidR="007416C3" w:rsidRDefault="007416C3" w:rsidP="00F45DBE">
            <w:pPr>
              <w:pStyle w:val="TableText0"/>
              <w:spacing w:line="240" w:lineRule="auto"/>
              <w:jc w:val="center"/>
              <w:rPr>
                <w:lang w:val="fr-FR"/>
              </w:rPr>
            </w:pPr>
            <w:r>
              <w:rPr>
                <w:lang w:val="fr-FR"/>
              </w:rPr>
              <w:t>–120</w:t>
            </w:r>
          </w:p>
        </w:tc>
      </w:tr>
    </w:tbl>
    <w:p w:rsidR="007416C3" w:rsidRPr="00DF23E9" w:rsidRDefault="007416C3" w:rsidP="00F45DBE">
      <w:pPr>
        <w:pStyle w:val="Tablefin"/>
        <w:rPr>
          <w:lang w:val="fr-FR"/>
        </w:rPr>
      </w:pPr>
    </w:p>
    <w:p w:rsidR="007416C3" w:rsidRPr="00DF23E9" w:rsidRDefault="007416C3" w:rsidP="00F45DBE">
      <w:pPr>
        <w:rPr>
          <w:sz w:val="20"/>
        </w:rPr>
      </w:pPr>
      <w:r w:rsidRPr="00DF23E9">
        <w:rPr>
          <w:sz w:val="20"/>
        </w:rPr>
        <w:lastRenderedPageBreak/>
        <w:t>Lorsque le TEB est de 1 </w:t>
      </w:r>
      <w:r w:rsidR="00743F93" w:rsidRPr="00743F93">
        <w:rPr>
          <w:sz w:val="20"/>
        </w:rPr>
        <w:sym w:font="Symbol" w:char="F0B4"/>
      </w:r>
      <w:r w:rsidRPr="00DF23E9">
        <w:rPr>
          <w:sz w:val="20"/>
        </w:rPr>
        <w:t> 10</w:t>
      </w:r>
      <w:r w:rsidR="00DF23E9" w:rsidRPr="00DF23E9">
        <w:rPr>
          <w:vertAlign w:val="superscript"/>
        </w:rPr>
        <w:t>–6</w:t>
      </w:r>
      <w:r w:rsidRPr="00DF23E9">
        <w:rPr>
          <w:sz w:val="20"/>
        </w:rPr>
        <w:t>, les valeurs de niveau de réception sont plus élevées de 2,5 dB.</w:t>
      </w:r>
    </w:p>
    <w:p w:rsidR="007416C3" w:rsidRDefault="007416C3" w:rsidP="00F45DBE">
      <w:pPr>
        <w:pStyle w:val="Heading2"/>
      </w:pPr>
      <w:r>
        <w:t>3.2</w:t>
      </w:r>
      <w:r>
        <w:tab/>
        <w:t>Caractéristiques des antennes</w:t>
      </w:r>
    </w:p>
    <w:p w:rsidR="007416C3" w:rsidRPr="00DF23E9" w:rsidRDefault="007416C3" w:rsidP="00F45DBE">
      <w:pPr>
        <w:rPr>
          <w:sz w:val="20"/>
        </w:rPr>
      </w:pPr>
      <w:r w:rsidRPr="00DF23E9">
        <w:rPr>
          <w:sz w:val="20"/>
        </w:rPr>
        <w:t>Dans un système P-MP, au niveau de la station centrale, les antennes utilisées pour le réseau d'accès desservant les zones suburbaines et urbaines sont essentiellement des antennes sectorielles, qui offrent par cellule une capacité d'acheminement suffisante.</w:t>
      </w:r>
    </w:p>
    <w:p w:rsidR="007416C3" w:rsidRPr="00DF23E9" w:rsidRDefault="007416C3" w:rsidP="00F45DBE">
      <w:pPr>
        <w:rPr>
          <w:sz w:val="20"/>
        </w:rPr>
      </w:pPr>
      <w:r w:rsidRPr="00DF23E9">
        <w:rPr>
          <w:sz w:val="20"/>
        </w:rPr>
        <w:t>Pour améliorer le découplage, dans le cas de secteurs adjacents, on peut différencier la polarisation (voir l'Annexe 4, § 2).</w:t>
      </w:r>
    </w:p>
    <w:p w:rsidR="007416C3" w:rsidRPr="00DF23E9" w:rsidRDefault="007416C3" w:rsidP="00F45DBE">
      <w:pPr>
        <w:rPr>
          <w:sz w:val="20"/>
        </w:rPr>
      </w:pPr>
      <w:r w:rsidRPr="00DF23E9">
        <w:rPr>
          <w:sz w:val="20"/>
        </w:rPr>
        <w:t>Différentes valeurs d'angle de secteur (ouverture du faisceau à –</w:t>
      </w:r>
      <w:r w:rsidRPr="00DF23E9">
        <w:rPr>
          <w:i/>
          <w:sz w:val="20"/>
        </w:rPr>
        <w:t>X</w:t>
      </w:r>
      <w:r w:rsidRPr="00DF23E9">
        <w:rPr>
          <w:sz w:val="20"/>
        </w:rPr>
        <w:t xml:space="preserve"> dB), par exemple 15</w:t>
      </w:r>
      <w:r w:rsidR="00743F93" w:rsidRPr="00743F93">
        <w:rPr>
          <w:sz w:val="20"/>
        </w:rPr>
        <w:t>°</w:t>
      </w:r>
      <w:r w:rsidRPr="00DF23E9">
        <w:rPr>
          <w:sz w:val="20"/>
        </w:rPr>
        <w:t>, 45</w:t>
      </w:r>
      <w:r w:rsidR="00743F93" w:rsidRPr="00743F93">
        <w:rPr>
          <w:sz w:val="20"/>
        </w:rPr>
        <w:t>°</w:t>
      </w:r>
      <w:r w:rsidRPr="00DF23E9">
        <w:rPr>
          <w:sz w:val="20"/>
        </w:rPr>
        <w:t>, 60</w:t>
      </w:r>
      <w:r w:rsidR="00743F93" w:rsidRPr="00743F93">
        <w:rPr>
          <w:sz w:val="20"/>
        </w:rPr>
        <w:t>°</w:t>
      </w:r>
      <w:r w:rsidRPr="00DF23E9">
        <w:rPr>
          <w:sz w:val="20"/>
        </w:rPr>
        <w:t>, 90</w:t>
      </w:r>
      <w:r w:rsidR="00743F93" w:rsidRPr="00743F93">
        <w:rPr>
          <w:sz w:val="20"/>
        </w:rPr>
        <w:t>°</w:t>
      </w:r>
      <w:r w:rsidRPr="00DF23E9">
        <w:rPr>
          <w:sz w:val="20"/>
        </w:rPr>
        <w:t xml:space="preserve"> et 120</w:t>
      </w:r>
      <w:r w:rsidR="00743F93" w:rsidRPr="00743F93">
        <w:rPr>
          <w:sz w:val="20"/>
        </w:rPr>
        <w:t>°</w:t>
      </w:r>
      <w:r w:rsidRPr="00DF23E9">
        <w:rPr>
          <w:sz w:val="20"/>
        </w:rPr>
        <w:t>, permettent d'adapter la couverture cellulaire au trafic et à la répartition des stations terminales dans une même cellule. Une antenne de 15</w:t>
      </w:r>
      <w:r w:rsidR="00743F93" w:rsidRPr="00743F93">
        <w:rPr>
          <w:sz w:val="20"/>
        </w:rPr>
        <w:t>°</w:t>
      </w:r>
      <w:r w:rsidRPr="00DF23E9">
        <w:rPr>
          <w:sz w:val="20"/>
        </w:rPr>
        <w:t xml:space="preserve"> permettra, par exemple, d'établir des liaisons relativement longues avec des stations terminales périphériques voisines les unes des autres. Une combinaison judicieuse de secteurs de diverses valeurs d'ouverture de faisceau dans une même cellule permettra également d'adapter le système à la répartition des sites d'installation des stations terminales.</w:t>
      </w:r>
    </w:p>
    <w:p w:rsidR="007416C3" w:rsidRPr="00DF23E9" w:rsidRDefault="007416C3" w:rsidP="00F45DBE">
      <w:pPr>
        <w:rPr>
          <w:sz w:val="20"/>
        </w:rPr>
      </w:pPr>
      <w:r w:rsidRPr="00DF23E9">
        <w:rPr>
          <w:sz w:val="20"/>
        </w:rPr>
        <w:t>Le gain d'une antenne sectorielle dépend essentiellement de l'ouverture du secteur. Le Tableau 6 donne les valeurs types correspondant à certaines ouvertures sectorielles, avec des antennes planes.</w:t>
      </w:r>
    </w:p>
    <w:p w:rsidR="007416C3" w:rsidRPr="00DF23E9" w:rsidRDefault="007416C3" w:rsidP="00F45DBE">
      <w:pPr>
        <w:pStyle w:val="Table"/>
        <w:rPr>
          <w:sz w:val="20"/>
          <w:lang w:val="fr-FR"/>
        </w:rPr>
      </w:pPr>
      <w:r w:rsidRPr="00DF23E9">
        <w:rPr>
          <w:sz w:val="20"/>
          <w:lang w:val="fr-FR"/>
        </w:rPr>
        <w:t>TABLEAU  6</w:t>
      </w:r>
    </w:p>
    <w:p w:rsidR="007416C3" w:rsidRPr="00DF23E9" w:rsidRDefault="007416C3" w:rsidP="00F45DBE">
      <w:pPr>
        <w:pStyle w:val="TableTitle0"/>
        <w:rPr>
          <w:sz w:val="20"/>
          <w:lang w:val="fr-FR"/>
        </w:rPr>
      </w:pPr>
      <w:r w:rsidRPr="00DF23E9">
        <w:rPr>
          <w:sz w:val="20"/>
          <w:lang w:val="fr-FR"/>
        </w:rPr>
        <w:t>Types de gain d'antennes sectorielles</w:t>
      </w:r>
    </w:p>
    <w:p w:rsidR="007416C3" w:rsidRPr="00DF23E9" w:rsidRDefault="007416C3" w:rsidP="00F45DBE">
      <w:pPr>
        <w:pStyle w:val="Blanc"/>
        <w:rPr>
          <w:sz w:val="20"/>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68"/>
        <w:gridCol w:w="1701"/>
        <w:gridCol w:w="2268"/>
      </w:tblGrid>
      <w:tr w:rsidR="007416C3" w:rsidTr="00DF23E9">
        <w:trPr>
          <w:jc w:val="center"/>
        </w:trPr>
        <w:tc>
          <w:tcPr>
            <w:tcW w:w="2268" w:type="dxa"/>
          </w:tcPr>
          <w:p w:rsidR="007416C3" w:rsidRDefault="007416C3" w:rsidP="00F45DBE">
            <w:pPr>
              <w:pStyle w:val="TableText0"/>
              <w:spacing w:line="240" w:lineRule="auto"/>
              <w:jc w:val="center"/>
              <w:rPr>
                <w:lang w:val="fr-FR"/>
              </w:rPr>
            </w:pPr>
            <w:r>
              <w:rPr>
                <w:lang w:val="fr-FR"/>
              </w:rPr>
              <w:t>Largeur type d'un</w:t>
            </w:r>
            <w:r>
              <w:rPr>
                <w:lang w:val="fr-FR"/>
              </w:rPr>
              <w:br/>
              <w:t>secteur (azimut)</w:t>
            </w:r>
            <w:r>
              <w:rPr>
                <w:lang w:val="fr-FR"/>
              </w:rPr>
              <w:br/>
              <w:t>(degrés)</w:t>
            </w:r>
          </w:p>
        </w:tc>
        <w:tc>
          <w:tcPr>
            <w:tcW w:w="1701" w:type="dxa"/>
          </w:tcPr>
          <w:p w:rsidR="007416C3" w:rsidRDefault="007416C3" w:rsidP="00F45DBE">
            <w:pPr>
              <w:pStyle w:val="TableText0"/>
              <w:spacing w:before="180" w:line="240" w:lineRule="auto"/>
              <w:jc w:val="center"/>
              <w:rPr>
                <w:lang w:val="fr-FR"/>
              </w:rPr>
            </w:pPr>
            <w:r>
              <w:rPr>
                <w:lang w:val="fr-FR"/>
              </w:rPr>
              <w:t>Gain type</w:t>
            </w:r>
            <w:r>
              <w:rPr>
                <w:lang w:val="fr-FR"/>
              </w:rPr>
              <w:br/>
              <w:t>(dBi)</w:t>
            </w:r>
          </w:p>
        </w:tc>
        <w:tc>
          <w:tcPr>
            <w:tcW w:w="2268" w:type="dxa"/>
          </w:tcPr>
          <w:p w:rsidR="007416C3" w:rsidRDefault="007416C3" w:rsidP="00F45DBE">
            <w:pPr>
              <w:pStyle w:val="TableText0"/>
              <w:spacing w:line="240" w:lineRule="auto"/>
              <w:jc w:val="center"/>
              <w:rPr>
                <w:lang w:val="fr-FR"/>
              </w:rPr>
            </w:pPr>
            <w:r>
              <w:rPr>
                <w:lang w:val="fr-FR"/>
              </w:rPr>
              <w:t>Ouverture de faisceau</w:t>
            </w:r>
            <w:r>
              <w:rPr>
                <w:lang w:val="fr-FR"/>
              </w:rPr>
              <w:br/>
              <w:t>type en élévation</w:t>
            </w:r>
            <w:r>
              <w:rPr>
                <w:lang w:val="fr-FR"/>
              </w:rPr>
              <w:br/>
              <w:t>(degrés)</w:t>
            </w:r>
          </w:p>
        </w:tc>
      </w:tr>
      <w:tr w:rsidR="007416C3" w:rsidTr="00DF23E9">
        <w:trPr>
          <w:jc w:val="center"/>
        </w:trPr>
        <w:tc>
          <w:tcPr>
            <w:tcW w:w="2268" w:type="dxa"/>
          </w:tcPr>
          <w:p w:rsidR="007416C3" w:rsidRDefault="007416C3" w:rsidP="00F45DBE">
            <w:pPr>
              <w:pStyle w:val="TableText0"/>
              <w:spacing w:line="240" w:lineRule="auto"/>
              <w:jc w:val="center"/>
              <w:rPr>
                <w:lang w:val="fr-FR"/>
              </w:rPr>
            </w:pPr>
            <w:r>
              <w:rPr>
                <w:lang w:val="fr-FR"/>
              </w:rPr>
              <w:t>15</w:t>
            </w:r>
          </w:p>
        </w:tc>
        <w:tc>
          <w:tcPr>
            <w:tcW w:w="1701" w:type="dxa"/>
          </w:tcPr>
          <w:p w:rsidR="007416C3" w:rsidRDefault="007416C3" w:rsidP="00F45DBE">
            <w:pPr>
              <w:pStyle w:val="TableText0"/>
              <w:spacing w:line="240" w:lineRule="auto"/>
              <w:jc w:val="center"/>
              <w:rPr>
                <w:lang w:val="fr-FR"/>
              </w:rPr>
            </w:pPr>
            <w:r>
              <w:rPr>
                <w:lang w:val="fr-FR"/>
              </w:rPr>
              <w:t>18</w:t>
            </w:r>
          </w:p>
        </w:tc>
        <w:tc>
          <w:tcPr>
            <w:tcW w:w="2268" w:type="dxa"/>
          </w:tcPr>
          <w:p w:rsidR="007416C3" w:rsidRDefault="007416C3" w:rsidP="00F45DBE">
            <w:pPr>
              <w:pStyle w:val="TableText0"/>
              <w:spacing w:line="240" w:lineRule="auto"/>
              <w:jc w:val="center"/>
              <w:rPr>
                <w:lang w:val="fr-FR"/>
              </w:rPr>
            </w:pPr>
            <w:r>
              <w:rPr>
                <w:lang w:val="fr-FR"/>
              </w:rPr>
              <w:t>7</w:t>
            </w:r>
          </w:p>
        </w:tc>
      </w:tr>
      <w:tr w:rsidR="007416C3" w:rsidTr="00DF23E9">
        <w:trPr>
          <w:jc w:val="center"/>
        </w:trPr>
        <w:tc>
          <w:tcPr>
            <w:tcW w:w="2268" w:type="dxa"/>
          </w:tcPr>
          <w:p w:rsidR="007416C3" w:rsidRDefault="007416C3" w:rsidP="00F45DBE">
            <w:pPr>
              <w:pStyle w:val="TableText0"/>
              <w:spacing w:line="240" w:lineRule="auto"/>
              <w:jc w:val="center"/>
              <w:rPr>
                <w:lang w:val="fr-FR"/>
              </w:rPr>
            </w:pPr>
            <w:r>
              <w:rPr>
                <w:lang w:val="fr-FR"/>
              </w:rPr>
              <w:t>45</w:t>
            </w:r>
          </w:p>
        </w:tc>
        <w:tc>
          <w:tcPr>
            <w:tcW w:w="1701" w:type="dxa"/>
          </w:tcPr>
          <w:p w:rsidR="007416C3" w:rsidRDefault="007416C3" w:rsidP="00F45DBE">
            <w:pPr>
              <w:pStyle w:val="TableText0"/>
              <w:spacing w:line="240" w:lineRule="auto"/>
              <w:jc w:val="center"/>
              <w:rPr>
                <w:lang w:val="fr-FR"/>
              </w:rPr>
            </w:pPr>
            <w:r>
              <w:rPr>
                <w:lang w:val="fr-FR"/>
              </w:rPr>
              <w:t>15</w:t>
            </w:r>
          </w:p>
        </w:tc>
        <w:tc>
          <w:tcPr>
            <w:tcW w:w="2268" w:type="dxa"/>
          </w:tcPr>
          <w:p w:rsidR="007416C3" w:rsidRDefault="007416C3" w:rsidP="00F45DBE">
            <w:pPr>
              <w:pStyle w:val="TableText0"/>
              <w:spacing w:line="240" w:lineRule="auto"/>
              <w:jc w:val="center"/>
              <w:rPr>
                <w:lang w:val="fr-FR"/>
              </w:rPr>
            </w:pPr>
            <w:r>
              <w:rPr>
                <w:lang w:val="fr-FR"/>
              </w:rPr>
              <w:t>7</w:t>
            </w:r>
          </w:p>
        </w:tc>
      </w:tr>
      <w:tr w:rsidR="007416C3" w:rsidTr="00DF23E9">
        <w:trPr>
          <w:jc w:val="center"/>
        </w:trPr>
        <w:tc>
          <w:tcPr>
            <w:tcW w:w="2268" w:type="dxa"/>
          </w:tcPr>
          <w:p w:rsidR="007416C3" w:rsidRDefault="007416C3" w:rsidP="00F45DBE">
            <w:pPr>
              <w:pStyle w:val="TableText0"/>
              <w:spacing w:line="240" w:lineRule="auto"/>
              <w:jc w:val="center"/>
              <w:rPr>
                <w:lang w:val="fr-FR"/>
              </w:rPr>
            </w:pPr>
            <w:r>
              <w:rPr>
                <w:lang w:val="fr-FR"/>
              </w:rPr>
              <w:t>60</w:t>
            </w:r>
          </w:p>
        </w:tc>
        <w:tc>
          <w:tcPr>
            <w:tcW w:w="1701" w:type="dxa"/>
          </w:tcPr>
          <w:p w:rsidR="007416C3" w:rsidRDefault="007416C3" w:rsidP="00F45DBE">
            <w:pPr>
              <w:pStyle w:val="TableText0"/>
              <w:spacing w:line="240" w:lineRule="auto"/>
              <w:jc w:val="center"/>
              <w:rPr>
                <w:lang w:val="fr-FR"/>
              </w:rPr>
            </w:pPr>
            <w:r>
              <w:rPr>
                <w:lang w:val="fr-FR"/>
              </w:rPr>
              <w:t>12</w:t>
            </w:r>
          </w:p>
        </w:tc>
        <w:tc>
          <w:tcPr>
            <w:tcW w:w="2268" w:type="dxa"/>
          </w:tcPr>
          <w:p w:rsidR="007416C3" w:rsidRDefault="007416C3" w:rsidP="00F45DBE">
            <w:pPr>
              <w:pStyle w:val="TableText0"/>
              <w:spacing w:line="240" w:lineRule="auto"/>
              <w:jc w:val="center"/>
              <w:rPr>
                <w:lang w:val="fr-FR"/>
              </w:rPr>
            </w:pPr>
            <w:r>
              <w:rPr>
                <w:lang w:val="fr-FR"/>
              </w:rPr>
              <w:t>15</w:t>
            </w:r>
          </w:p>
        </w:tc>
      </w:tr>
      <w:tr w:rsidR="007416C3" w:rsidTr="00DF23E9">
        <w:trPr>
          <w:jc w:val="center"/>
        </w:trPr>
        <w:tc>
          <w:tcPr>
            <w:tcW w:w="2268" w:type="dxa"/>
          </w:tcPr>
          <w:p w:rsidR="007416C3" w:rsidRDefault="007416C3" w:rsidP="00F45DBE">
            <w:pPr>
              <w:pStyle w:val="TableText0"/>
              <w:spacing w:line="240" w:lineRule="auto"/>
              <w:jc w:val="center"/>
              <w:rPr>
                <w:lang w:val="fr-FR"/>
              </w:rPr>
            </w:pPr>
            <w:r>
              <w:rPr>
                <w:lang w:val="fr-FR"/>
              </w:rPr>
              <w:t>90</w:t>
            </w:r>
          </w:p>
        </w:tc>
        <w:tc>
          <w:tcPr>
            <w:tcW w:w="1701" w:type="dxa"/>
          </w:tcPr>
          <w:p w:rsidR="007416C3" w:rsidRDefault="007416C3" w:rsidP="00F45DBE">
            <w:pPr>
              <w:pStyle w:val="TableText0"/>
              <w:spacing w:line="240" w:lineRule="auto"/>
              <w:jc w:val="center"/>
              <w:rPr>
                <w:lang w:val="fr-FR"/>
              </w:rPr>
            </w:pPr>
            <w:r>
              <w:rPr>
                <w:lang w:val="fr-FR"/>
              </w:rPr>
              <w:t>12</w:t>
            </w:r>
          </w:p>
        </w:tc>
        <w:tc>
          <w:tcPr>
            <w:tcW w:w="2268" w:type="dxa"/>
          </w:tcPr>
          <w:p w:rsidR="007416C3" w:rsidRDefault="007416C3" w:rsidP="00F45DBE">
            <w:pPr>
              <w:pStyle w:val="TableText0"/>
              <w:spacing w:line="240" w:lineRule="auto"/>
              <w:jc w:val="center"/>
              <w:rPr>
                <w:lang w:val="fr-FR"/>
              </w:rPr>
            </w:pPr>
            <w:r>
              <w:rPr>
                <w:lang w:val="fr-FR"/>
              </w:rPr>
              <w:t>7</w:t>
            </w:r>
          </w:p>
        </w:tc>
      </w:tr>
      <w:tr w:rsidR="007416C3" w:rsidTr="00DF23E9">
        <w:trPr>
          <w:jc w:val="center"/>
        </w:trPr>
        <w:tc>
          <w:tcPr>
            <w:tcW w:w="2268" w:type="dxa"/>
          </w:tcPr>
          <w:p w:rsidR="007416C3" w:rsidRDefault="007416C3" w:rsidP="00F45DBE">
            <w:pPr>
              <w:pStyle w:val="TableText0"/>
              <w:spacing w:line="240" w:lineRule="auto"/>
              <w:jc w:val="center"/>
              <w:rPr>
                <w:lang w:val="fr-FR"/>
              </w:rPr>
            </w:pPr>
            <w:r>
              <w:rPr>
                <w:lang w:val="fr-FR"/>
              </w:rPr>
              <w:t>120</w:t>
            </w:r>
          </w:p>
        </w:tc>
        <w:tc>
          <w:tcPr>
            <w:tcW w:w="1701" w:type="dxa"/>
          </w:tcPr>
          <w:p w:rsidR="007416C3" w:rsidRDefault="007416C3" w:rsidP="00F45DBE">
            <w:pPr>
              <w:pStyle w:val="TableText0"/>
              <w:spacing w:line="240" w:lineRule="auto"/>
              <w:jc w:val="center"/>
              <w:rPr>
                <w:lang w:val="fr-FR"/>
              </w:rPr>
            </w:pPr>
            <w:r>
              <w:rPr>
                <w:lang w:val="fr-FR"/>
              </w:rPr>
              <w:t>9</w:t>
            </w:r>
          </w:p>
        </w:tc>
        <w:tc>
          <w:tcPr>
            <w:tcW w:w="2268" w:type="dxa"/>
          </w:tcPr>
          <w:p w:rsidR="007416C3" w:rsidRDefault="007416C3" w:rsidP="00F45DBE">
            <w:pPr>
              <w:pStyle w:val="TableText0"/>
              <w:spacing w:line="240" w:lineRule="auto"/>
              <w:jc w:val="center"/>
              <w:rPr>
                <w:lang w:val="fr-FR"/>
              </w:rPr>
            </w:pPr>
            <w:r>
              <w:rPr>
                <w:lang w:val="fr-FR"/>
              </w:rPr>
              <w:t>15</w:t>
            </w:r>
          </w:p>
        </w:tc>
      </w:tr>
    </w:tbl>
    <w:p w:rsidR="007416C3" w:rsidRPr="00DF23E9" w:rsidRDefault="007416C3" w:rsidP="00F45DBE">
      <w:pPr>
        <w:pStyle w:val="Tablefin"/>
        <w:rPr>
          <w:lang w:val="fr-FR"/>
        </w:rPr>
      </w:pPr>
    </w:p>
    <w:p w:rsidR="007416C3" w:rsidRPr="00DF23E9" w:rsidRDefault="007416C3" w:rsidP="00F45DBE">
      <w:pPr>
        <w:rPr>
          <w:sz w:val="20"/>
        </w:rPr>
      </w:pPr>
      <w:r w:rsidRPr="00DF23E9">
        <w:rPr>
          <w:sz w:val="20"/>
        </w:rPr>
        <w:t>On peut orienter vers le sol les antennes de la station centrale pour réduire les brouillages occasionnés à d'autres cellules, mais au prix de la longueur maximale des liaisons. Par ailleurs, compte tenu de l'ouverture du faisceau en élévation, il faut également calculer soigneusement le bilan des liaisons établies avec les stations terminales proches de la station centrale, qui, en raison de la caractéristique d'ouverture en élévation du faisceau de la station centrale, peuvent être hors d'atteinte de ce faisceau.</w:t>
      </w:r>
    </w:p>
    <w:p w:rsidR="007416C3" w:rsidRPr="00DF23E9" w:rsidRDefault="007416C3" w:rsidP="00F45DBE">
      <w:pPr>
        <w:rPr>
          <w:sz w:val="20"/>
        </w:rPr>
      </w:pPr>
      <w:r w:rsidRPr="00DF23E9">
        <w:rPr>
          <w:sz w:val="20"/>
        </w:rPr>
        <w:t>Le faisceau de l'antenne de la station terminale étant étroit, le gain dépend ici essentiellement de la fréquence et du dimensionnement. On trouvera ci</w:t>
      </w:r>
      <w:r w:rsidRPr="00DF23E9">
        <w:rPr>
          <w:sz w:val="20"/>
        </w:rPr>
        <w:noBreakHyphen/>
        <w:t>après des valeurs types de gain d'antennes planes.</w:t>
      </w:r>
    </w:p>
    <w:p w:rsidR="007416C3" w:rsidRPr="00DF23E9" w:rsidRDefault="007416C3" w:rsidP="00F45DBE">
      <w:pPr>
        <w:pStyle w:val="Table"/>
        <w:rPr>
          <w:sz w:val="20"/>
          <w:lang w:val="fr-FR"/>
        </w:rPr>
      </w:pPr>
      <w:r w:rsidRPr="00DF23E9">
        <w:rPr>
          <w:sz w:val="20"/>
          <w:lang w:val="fr-FR"/>
        </w:rPr>
        <w:lastRenderedPageBreak/>
        <w:t>TABLEAU  7</w:t>
      </w:r>
    </w:p>
    <w:p w:rsidR="007416C3" w:rsidRPr="00DF23E9" w:rsidRDefault="007416C3" w:rsidP="00F45DBE">
      <w:pPr>
        <w:pStyle w:val="TableTitle0"/>
        <w:rPr>
          <w:sz w:val="20"/>
          <w:lang w:val="fr-FR"/>
        </w:rPr>
      </w:pPr>
      <w:r w:rsidRPr="00DF23E9">
        <w:rPr>
          <w:sz w:val="20"/>
          <w:lang w:val="fr-FR"/>
        </w:rPr>
        <w:t>Valeurs types de gain d'antennes planes de station terminale</w:t>
      </w:r>
    </w:p>
    <w:p w:rsidR="007416C3" w:rsidRPr="00DF23E9" w:rsidRDefault="007416C3" w:rsidP="00F45DBE">
      <w:pPr>
        <w:pStyle w:val="Blanc"/>
        <w:rPr>
          <w:sz w:val="20"/>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2"/>
        <w:gridCol w:w="2552"/>
      </w:tblGrid>
      <w:tr w:rsidR="007416C3" w:rsidTr="00DF23E9">
        <w:trPr>
          <w:jc w:val="center"/>
        </w:trPr>
        <w:tc>
          <w:tcPr>
            <w:tcW w:w="2552" w:type="dxa"/>
          </w:tcPr>
          <w:p w:rsidR="007416C3" w:rsidRDefault="007416C3" w:rsidP="00F45DBE">
            <w:pPr>
              <w:pStyle w:val="TableText0"/>
              <w:spacing w:line="240" w:lineRule="auto"/>
              <w:jc w:val="center"/>
              <w:rPr>
                <w:lang w:val="fr-FR"/>
              </w:rPr>
            </w:pPr>
            <w:r>
              <w:rPr>
                <w:lang w:val="fr-FR"/>
              </w:rPr>
              <w:t>Bande de fréquences</w:t>
            </w:r>
            <w:r>
              <w:rPr>
                <w:lang w:val="fr-FR"/>
              </w:rPr>
              <w:br/>
              <w:t>(GHz)</w:t>
            </w:r>
          </w:p>
        </w:tc>
        <w:tc>
          <w:tcPr>
            <w:tcW w:w="2552" w:type="dxa"/>
          </w:tcPr>
          <w:p w:rsidR="007416C3" w:rsidRDefault="007416C3" w:rsidP="00F45DBE">
            <w:pPr>
              <w:pStyle w:val="TableText0"/>
              <w:spacing w:line="240" w:lineRule="auto"/>
              <w:jc w:val="center"/>
              <w:rPr>
                <w:lang w:val="fr-FR"/>
              </w:rPr>
            </w:pPr>
            <w:r>
              <w:rPr>
                <w:lang w:val="fr-FR"/>
              </w:rPr>
              <w:t>Valeur de gain type</w:t>
            </w:r>
            <w:r>
              <w:rPr>
                <w:lang w:val="fr-FR"/>
              </w:rPr>
              <w:br/>
              <w:t>(dBi)</w:t>
            </w:r>
          </w:p>
        </w:tc>
      </w:tr>
      <w:tr w:rsidR="007416C3" w:rsidTr="00DF23E9">
        <w:trPr>
          <w:jc w:val="center"/>
        </w:trPr>
        <w:tc>
          <w:tcPr>
            <w:tcW w:w="2552" w:type="dxa"/>
          </w:tcPr>
          <w:p w:rsidR="007416C3" w:rsidRDefault="007416C3" w:rsidP="00F45DBE">
            <w:pPr>
              <w:pStyle w:val="TableText0"/>
              <w:spacing w:line="240" w:lineRule="auto"/>
              <w:jc w:val="center"/>
              <w:rPr>
                <w:lang w:val="fr-FR"/>
              </w:rPr>
            </w:pPr>
            <w:r>
              <w:rPr>
                <w:lang w:val="fr-FR"/>
              </w:rPr>
              <w:t>3,5/3,7</w:t>
            </w:r>
          </w:p>
        </w:tc>
        <w:tc>
          <w:tcPr>
            <w:tcW w:w="2552" w:type="dxa"/>
          </w:tcPr>
          <w:p w:rsidR="007416C3" w:rsidRDefault="007416C3" w:rsidP="00F45DBE">
            <w:pPr>
              <w:pStyle w:val="TableText0"/>
              <w:spacing w:line="240" w:lineRule="auto"/>
              <w:jc w:val="center"/>
              <w:rPr>
                <w:lang w:val="fr-FR"/>
              </w:rPr>
            </w:pPr>
            <w:r>
              <w:rPr>
                <w:lang w:val="fr-FR"/>
              </w:rPr>
              <w:t>17</w:t>
            </w:r>
          </w:p>
        </w:tc>
      </w:tr>
      <w:tr w:rsidR="007416C3" w:rsidTr="00DF23E9">
        <w:trPr>
          <w:jc w:val="center"/>
        </w:trPr>
        <w:tc>
          <w:tcPr>
            <w:tcW w:w="2552" w:type="dxa"/>
          </w:tcPr>
          <w:p w:rsidR="007416C3" w:rsidRDefault="007416C3" w:rsidP="00F45DBE">
            <w:pPr>
              <w:pStyle w:val="TableText0"/>
              <w:spacing w:line="240" w:lineRule="auto"/>
              <w:jc w:val="center"/>
              <w:rPr>
                <w:lang w:val="fr-FR"/>
              </w:rPr>
            </w:pPr>
            <w:r>
              <w:rPr>
                <w:lang w:val="fr-FR"/>
              </w:rPr>
              <w:t>10,4</w:t>
            </w:r>
          </w:p>
        </w:tc>
        <w:tc>
          <w:tcPr>
            <w:tcW w:w="2552" w:type="dxa"/>
          </w:tcPr>
          <w:p w:rsidR="007416C3" w:rsidRDefault="007416C3" w:rsidP="00F45DBE">
            <w:pPr>
              <w:pStyle w:val="TableText0"/>
              <w:spacing w:line="240" w:lineRule="auto"/>
              <w:jc w:val="center"/>
              <w:rPr>
                <w:lang w:val="fr-FR"/>
              </w:rPr>
            </w:pPr>
            <w:r>
              <w:rPr>
                <w:lang w:val="fr-FR"/>
              </w:rPr>
              <w:t>25</w:t>
            </w:r>
          </w:p>
        </w:tc>
      </w:tr>
      <w:tr w:rsidR="007416C3" w:rsidTr="00DF23E9">
        <w:trPr>
          <w:jc w:val="center"/>
        </w:trPr>
        <w:tc>
          <w:tcPr>
            <w:tcW w:w="2552" w:type="dxa"/>
          </w:tcPr>
          <w:p w:rsidR="007416C3" w:rsidRDefault="007416C3" w:rsidP="00F45DBE">
            <w:pPr>
              <w:pStyle w:val="TableText0"/>
              <w:spacing w:line="240" w:lineRule="auto"/>
              <w:jc w:val="center"/>
              <w:rPr>
                <w:lang w:val="fr-FR"/>
              </w:rPr>
            </w:pPr>
            <w:r>
              <w:rPr>
                <w:lang w:val="fr-FR"/>
              </w:rPr>
              <w:t>26/28</w:t>
            </w:r>
          </w:p>
        </w:tc>
        <w:tc>
          <w:tcPr>
            <w:tcW w:w="2552" w:type="dxa"/>
          </w:tcPr>
          <w:p w:rsidR="007416C3" w:rsidRDefault="007416C3" w:rsidP="00F45DBE">
            <w:pPr>
              <w:pStyle w:val="TableText0"/>
              <w:spacing w:line="240" w:lineRule="auto"/>
              <w:jc w:val="center"/>
              <w:rPr>
                <w:lang w:val="fr-FR"/>
              </w:rPr>
            </w:pPr>
            <w:r>
              <w:rPr>
                <w:lang w:val="fr-FR"/>
              </w:rPr>
              <w:t>28</w:t>
            </w:r>
          </w:p>
        </w:tc>
      </w:tr>
      <w:tr w:rsidR="007416C3" w:rsidTr="00DF23E9">
        <w:trPr>
          <w:jc w:val="center"/>
        </w:trPr>
        <w:tc>
          <w:tcPr>
            <w:tcW w:w="2552" w:type="dxa"/>
          </w:tcPr>
          <w:p w:rsidR="007416C3" w:rsidRDefault="007416C3" w:rsidP="00F45DBE">
            <w:pPr>
              <w:pStyle w:val="TableText0"/>
              <w:spacing w:line="240" w:lineRule="auto"/>
              <w:jc w:val="center"/>
              <w:rPr>
                <w:lang w:val="fr-FR"/>
              </w:rPr>
            </w:pPr>
            <w:r>
              <w:rPr>
                <w:lang w:val="fr-FR"/>
              </w:rPr>
              <w:t>32</w:t>
            </w:r>
          </w:p>
        </w:tc>
        <w:tc>
          <w:tcPr>
            <w:tcW w:w="2552" w:type="dxa"/>
          </w:tcPr>
          <w:p w:rsidR="007416C3" w:rsidRDefault="007416C3" w:rsidP="00F45DBE">
            <w:pPr>
              <w:pStyle w:val="TableText0"/>
              <w:spacing w:line="240" w:lineRule="auto"/>
              <w:jc w:val="center"/>
              <w:rPr>
                <w:lang w:val="fr-FR"/>
              </w:rPr>
            </w:pPr>
            <w:r>
              <w:rPr>
                <w:lang w:val="fr-FR"/>
              </w:rPr>
              <w:t>30</w:t>
            </w:r>
          </w:p>
        </w:tc>
      </w:tr>
    </w:tbl>
    <w:p w:rsidR="007416C3" w:rsidRPr="00DF23E9" w:rsidRDefault="007416C3" w:rsidP="00F45DBE">
      <w:pPr>
        <w:pStyle w:val="Tablefin"/>
        <w:rPr>
          <w:lang w:val="fr-FR"/>
        </w:rPr>
      </w:pPr>
    </w:p>
    <w:p w:rsidR="007416C3" w:rsidRPr="00DF23E9" w:rsidRDefault="007416C3" w:rsidP="00F45DBE">
      <w:pPr>
        <w:rPr>
          <w:sz w:val="20"/>
        </w:rPr>
      </w:pPr>
      <w:r w:rsidRPr="00DF23E9">
        <w:rPr>
          <w:sz w:val="20"/>
        </w:rPr>
        <w:t>Au niveau de la station terminale, on pourra également envisager d'utiliser dans certains systèmes P-MP, des antennes spécifiquement prévues pour des faisceaux hertziens point-à-point, tout particulièrement lorsqu'il est nécessaire, dans des bandes de fréquences supérieures à 10 GHz de prévoir des longueurs de bond importantes entre la station centrale et la station terminale.</w:t>
      </w:r>
    </w:p>
    <w:p w:rsidR="007416C3" w:rsidRPr="00DF23E9" w:rsidRDefault="007416C3" w:rsidP="00F45DBE">
      <w:pPr>
        <w:rPr>
          <w:sz w:val="20"/>
        </w:rPr>
      </w:pPr>
    </w:p>
    <w:p w:rsidR="007416C3" w:rsidRPr="00DF23E9" w:rsidRDefault="007416C3" w:rsidP="00F45DBE">
      <w:pPr>
        <w:rPr>
          <w:sz w:val="20"/>
        </w:rPr>
      </w:pPr>
    </w:p>
    <w:p w:rsidR="007416C3" w:rsidRDefault="007416C3" w:rsidP="00F45DBE">
      <w:pPr>
        <w:pStyle w:val="Annex"/>
        <w:rPr>
          <w:lang w:val="fr-FR"/>
        </w:rPr>
      </w:pPr>
      <w:r>
        <w:rPr>
          <w:lang w:val="fr-FR"/>
        </w:rPr>
        <w:t>ANNEXE  5</w:t>
      </w:r>
    </w:p>
    <w:p w:rsidR="007416C3" w:rsidRDefault="007416C3" w:rsidP="00F45DBE">
      <w:pPr>
        <w:pStyle w:val="AnnexTitle"/>
        <w:rPr>
          <w:lang w:val="fr-FR"/>
        </w:rPr>
      </w:pPr>
      <w:r>
        <w:rPr>
          <w:lang w:val="fr-FR"/>
        </w:rPr>
        <w:t>Systèmes P-MP dans la bande de fréquences 25-32 GHz</w:t>
      </w:r>
    </w:p>
    <w:p w:rsidR="007416C3" w:rsidRDefault="007416C3" w:rsidP="00F45DBE">
      <w:pPr>
        <w:pStyle w:val="Heading1"/>
      </w:pPr>
      <w:r>
        <w:t>1</w:t>
      </w:r>
      <w:r>
        <w:tab/>
        <w:t>Introduction</w:t>
      </w:r>
    </w:p>
    <w:p w:rsidR="007416C3" w:rsidRPr="00DF23E9" w:rsidRDefault="007416C3" w:rsidP="00F45DBE">
      <w:pPr>
        <w:rPr>
          <w:sz w:val="20"/>
        </w:rPr>
      </w:pPr>
      <w:r w:rsidRPr="00DF23E9">
        <w:rPr>
          <w:sz w:val="20"/>
        </w:rPr>
        <w:t>Les systèmes P-MP à haute densité sont des systèmes radioélectriques fixes utilisés avec des stations de Terre pour la fourniture de divers services: voix, vidéo et données. Le plus souvent, ils interviennent dans des réseaux de distribution commerciaux ou résidentiels, remplaçant les câbles coaxiaux, les fibres optiques ou les câbles métalliques sur les derniers kilomètres de l'infrastructure.</w:t>
      </w:r>
    </w:p>
    <w:p w:rsidR="007416C3" w:rsidRPr="00DF23E9" w:rsidRDefault="007416C3" w:rsidP="00F45DBE">
      <w:pPr>
        <w:rPr>
          <w:sz w:val="20"/>
        </w:rPr>
      </w:pPr>
      <w:r w:rsidRPr="00DF23E9">
        <w:rPr>
          <w:sz w:val="20"/>
        </w:rPr>
        <w:t>Les paramètres techniques de ces systèmes sont déterminés d'après les marges de liaison indiquées dans les Tableaux 4 à 9. Il convient de noter ici que la puissance maximale d'émission de la station centrale peut être adaptée, en fonction des conditions géographiques, d'après les objectifs de qualité de service.</w:t>
      </w:r>
    </w:p>
    <w:p w:rsidR="007416C3" w:rsidRPr="00DF23E9" w:rsidRDefault="007416C3" w:rsidP="00F45DBE">
      <w:pPr>
        <w:rPr>
          <w:sz w:val="20"/>
        </w:rPr>
      </w:pPr>
      <w:r w:rsidRPr="00DF23E9">
        <w:rPr>
          <w:sz w:val="20"/>
        </w:rPr>
        <w:t>Les liaisons présentent un TEB au moins égal à 1 </w:t>
      </w:r>
      <w:r w:rsidR="00743F93" w:rsidRPr="00743F93">
        <w:rPr>
          <w:sz w:val="20"/>
        </w:rPr>
        <w:sym w:font="Symbol" w:char="F0B4"/>
      </w:r>
      <w:r w:rsidRPr="00DF23E9">
        <w:rPr>
          <w:sz w:val="20"/>
        </w:rPr>
        <w:t> 10</w:t>
      </w:r>
      <w:r w:rsidRPr="00743F93">
        <w:rPr>
          <w:vertAlign w:val="superscript"/>
        </w:rPr>
        <w:t>–8</w:t>
      </w:r>
      <w:r w:rsidRPr="00DF23E9">
        <w:rPr>
          <w:sz w:val="20"/>
        </w:rPr>
        <w:t xml:space="preserve"> par temps clair et à 1 </w:t>
      </w:r>
      <w:r w:rsidR="00743F93" w:rsidRPr="00743F93">
        <w:rPr>
          <w:sz w:val="20"/>
        </w:rPr>
        <w:sym w:font="Symbol" w:char="F0B4"/>
      </w:r>
      <w:r w:rsidRPr="00DF23E9">
        <w:rPr>
          <w:sz w:val="20"/>
        </w:rPr>
        <w:t> 10</w:t>
      </w:r>
      <w:r w:rsidRPr="00743F93">
        <w:rPr>
          <w:vertAlign w:val="superscript"/>
        </w:rPr>
        <w:t>–6</w:t>
      </w:r>
      <w:r w:rsidRPr="00DF23E9">
        <w:rPr>
          <w:sz w:val="20"/>
        </w:rPr>
        <w:t xml:space="preserve"> dans des conditions de propagation défavorables, et les critères de disponibilité sont respectés pendant la quasi-totalité de l'année (ce qui revient à dire que par temps clair les porteuses sont exploitées avec une marge suffisante pour que le critère applicable soit respecté). Ces valeurs de TEB sont rendues possibles par la p.i.r.e. spécifiée et les techniques CED (3/4) à codage convolutif et décodage de Viterbi. On peut également adopter un codage 1/2 ou 7/8, respectivement pour des valeurs de marge inférieures ou supérieures.</w:t>
      </w:r>
    </w:p>
    <w:p w:rsidR="007416C3" w:rsidRPr="00DF23E9" w:rsidRDefault="007416C3" w:rsidP="00F45DBE">
      <w:pPr>
        <w:rPr>
          <w:sz w:val="20"/>
        </w:rPr>
      </w:pPr>
      <w:r w:rsidRPr="00DF23E9">
        <w:rPr>
          <w:sz w:val="20"/>
        </w:rPr>
        <w:t>En ce qui concerne les antennes, on retient les hypothèses suivantes. Le faisceau principal de l'antenne de la station centrale est normalement pointé à 1º au-dessous de l'horizon local. L'antenne de la station d'abonné (terminal distant) est pointée sur l'antenne de la station centrale. Par ailleurs, l'antenne de la station centrale est en général installée à une altitude supérieure de 100 m à celle des stations d'abonné. Pour une station d'abonné située à 200 m de la station centrale, la valeur de décroissance du gain de l'antenne de la station centrale est typiquement de 18 dB pour une antenne cornet de 15</w:t>
      </w:r>
      <w:r w:rsidR="00743F93" w:rsidRPr="00743F93">
        <w:rPr>
          <w:sz w:val="20"/>
        </w:rPr>
        <w:t>°</w:t>
      </w:r>
      <w:r w:rsidRPr="00DF23E9">
        <w:rPr>
          <w:sz w:val="20"/>
        </w:rPr>
        <w:t> </w:t>
      </w:r>
      <w:r w:rsidR="00743F93" w:rsidRPr="00743F93">
        <w:rPr>
          <w:sz w:val="20"/>
        </w:rPr>
        <w:sym w:font="Symbol" w:char="F0B4"/>
      </w:r>
      <w:r w:rsidRPr="00DF23E9">
        <w:rPr>
          <w:sz w:val="20"/>
        </w:rPr>
        <w:t> 90</w:t>
      </w:r>
      <w:r w:rsidR="00743F93" w:rsidRPr="00743F93">
        <w:rPr>
          <w:sz w:val="20"/>
        </w:rPr>
        <w:t>°</w:t>
      </w:r>
      <w:r w:rsidRPr="00DF23E9">
        <w:rPr>
          <w:sz w:val="20"/>
        </w:rPr>
        <w:t xml:space="preserve"> (élévation </w:t>
      </w:r>
      <w:r w:rsidR="00743F93" w:rsidRPr="00743F93">
        <w:rPr>
          <w:sz w:val="20"/>
        </w:rPr>
        <w:sym w:font="Symbol" w:char="F0B4"/>
      </w:r>
      <w:r w:rsidRPr="00DF23E9">
        <w:rPr>
          <w:sz w:val="20"/>
        </w:rPr>
        <w:t xml:space="preserve"> azimut) et de 29 dB pour une antenne cornet de 3</w:t>
      </w:r>
      <w:r w:rsidR="00743F93" w:rsidRPr="00743F93">
        <w:rPr>
          <w:sz w:val="20"/>
        </w:rPr>
        <w:t>°</w:t>
      </w:r>
      <w:r w:rsidRPr="00DF23E9">
        <w:rPr>
          <w:sz w:val="20"/>
        </w:rPr>
        <w:t> </w:t>
      </w:r>
      <w:r w:rsidR="00743F93" w:rsidRPr="00743F93">
        <w:rPr>
          <w:sz w:val="20"/>
        </w:rPr>
        <w:sym w:font="Symbol" w:char="F0B4"/>
      </w:r>
      <w:r w:rsidRPr="00DF23E9">
        <w:rPr>
          <w:sz w:val="20"/>
        </w:rPr>
        <w:t> 45</w:t>
      </w:r>
      <w:r w:rsidR="00743F93" w:rsidRPr="00743F93">
        <w:rPr>
          <w:sz w:val="20"/>
        </w:rPr>
        <w:t>°</w:t>
      </w:r>
      <w:r w:rsidRPr="00DF23E9">
        <w:rPr>
          <w:sz w:val="20"/>
        </w:rPr>
        <w:t>.</w:t>
      </w:r>
    </w:p>
    <w:p w:rsidR="007416C3" w:rsidRPr="00DF23E9" w:rsidRDefault="007416C3" w:rsidP="00F45DBE">
      <w:pPr>
        <w:rPr>
          <w:sz w:val="20"/>
        </w:rPr>
      </w:pPr>
      <w:r w:rsidRPr="00DF23E9">
        <w:rPr>
          <w:sz w:val="20"/>
        </w:rPr>
        <w:t>Il est nécessaire de prévoir une marge suffisante pour compenser les effets des évanouissements dus aux précipitations. En cas d'affaiblissement important sur le trajet dû aux précipitations, les stations d'abonné dépasseront les limites de densité spectrale de p.i.r.e. par temps clair pour compenser (proportionnellement) le surcroît d'affaiblissement sur le trajet. La disponibilité de la liaison varie alors selon la zone hydrométéorologique et la longueur du trajet. Le Tableau 8 indique les valeurs (minimales) de marge d'évanouissement requises pour diverses probabilités cumulatives à 28 GHz. Ces valeurs d'affaiblissement dû aux précipitations ont été calculées sur la base des zones hydrométéorologiques de la Recommandations UIT-R P.837-1 (Caractéristiques des précipitations pour la modélisation de la propagation, Genève, 1994) et des équations de la Recommandation UIT-R P.530</w:t>
      </w:r>
      <w:r w:rsidRPr="00DF23E9">
        <w:rPr>
          <w:sz w:val="20"/>
        </w:rPr>
        <w:noBreakHyphen/>
        <w:t xml:space="preserve">6 (Données de propagation et méthodes de prévision </w:t>
      </w:r>
      <w:r w:rsidRPr="00DF23E9">
        <w:rPr>
          <w:sz w:val="20"/>
        </w:rPr>
        <w:lastRenderedPageBreak/>
        <w:t xml:space="preserve">nécessaires pour la conception de faisceaux hertziens à visibilité directe de Terre, Genève, 1995). Dans le scénario le plus défavorable (systèmes de communication locale/systèmes multipoint de distribution locale (LMCS/LMDS, </w:t>
      </w:r>
      <w:r w:rsidRPr="00DF23E9">
        <w:rPr>
          <w:i/>
          <w:sz w:val="20"/>
        </w:rPr>
        <w:t>local multipoint communication systems</w:t>
      </w:r>
      <w:r w:rsidRPr="00DF23E9">
        <w:rPr>
          <w:sz w:val="20"/>
        </w:rPr>
        <w:t>/</w:t>
      </w:r>
      <w:r w:rsidRPr="00DF23E9">
        <w:rPr>
          <w:i/>
          <w:sz w:val="20"/>
        </w:rPr>
        <w:t>local multipoint distribution systems</w:t>
      </w:r>
      <w:r w:rsidRPr="00DF23E9">
        <w:rPr>
          <w:sz w:val="20"/>
        </w:rPr>
        <w:t>)), on suppose une polarisation horizontale sur la liaison.</w:t>
      </w:r>
    </w:p>
    <w:p w:rsidR="007416C3" w:rsidRPr="00DF23E9" w:rsidRDefault="007416C3" w:rsidP="00F45DBE">
      <w:pPr>
        <w:pStyle w:val="Table"/>
        <w:rPr>
          <w:sz w:val="20"/>
          <w:lang w:val="fr-FR"/>
        </w:rPr>
      </w:pPr>
      <w:r w:rsidRPr="00DF23E9">
        <w:rPr>
          <w:sz w:val="20"/>
          <w:lang w:val="fr-FR"/>
        </w:rPr>
        <w:t>TABLEAU  8</w:t>
      </w:r>
    </w:p>
    <w:p w:rsidR="007416C3" w:rsidRPr="00DF23E9" w:rsidRDefault="007416C3" w:rsidP="00F45DBE">
      <w:pPr>
        <w:pStyle w:val="TableTitle0"/>
        <w:rPr>
          <w:sz w:val="20"/>
          <w:lang w:val="fr-FR"/>
        </w:rPr>
      </w:pPr>
      <w:r w:rsidRPr="00DF23E9">
        <w:rPr>
          <w:sz w:val="20"/>
          <w:lang w:val="fr-FR"/>
        </w:rPr>
        <w:t>Marge minimale d'évanouissement (dB) pour la probabilité cumulative requise, en fonction de la</w:t>
      </w:r>
      <w:r w:rsidRPr="00DF23E9">
        <w:rPr>
          <w:sz w:val="20"/>
          <w:lang w:val="fr-FR"/>
        </w:rPr>
        <w:br/>
        <w:t>longueur du trajet (km), pour diverses zones hydrométéorologiques de l'UIT-R</w:t>
      </w:r>
    </w:p>
    <w:p w:rsidR="007416C3" w:rsidRPr="00DF23E9" w:rsidRDefault="007416C3" w:rsidP="00F45DBE">
      <w:pPr>
        <w:pStyle w:val="Blanc"/>
        <w:rPr>
          <w:sz w:val="20"/>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509"/>
        <w:gridCol w:w="813"/>
        <w:gridCol w:w="813"/>
        <w:gridCol w:w="813"/>
        <w:gridCol w:w="813"/>
        <w:gridCol w:w="813"/>
        <w:gridCol w:w="813"/>
        <w:gridCol w:w="813"/>
        <w:gridCol w:w="813"/>
        <w:gridCol w:w="813"/>
        <w:gridCol w:w="813"/>
      </w:tblGrid>
      <w:tr w:rsidR="007416C3" w:rsidTr="00DF23E9">
        <w:trPr>
          <w:cantSplit/>
          <w:jc w:val="center"/>
        </w:trPr>
        <w:tc>
          <w:tcPr>
            <w:tcW w:w="1474" w:type="dxa"/>
          </w:tcPr>
          <w:p w:rsidR="007416C3" w:rsidRDefault="007416C3" w:rsidP="00F45DBE">
            <w:pPr>
              <w:pStyle w:val="TableText0"/>
              <w:spacing w:line="240" w:lineRule="auto"/>
              <w:jc w:val="center"/>
              <w:rPr>
                <w:lang w:val="fr-FR"/>
              </w:rPr>
            </w:pPr>
            <w:r>
              <w:rPr>
                <w:lang w:val="fr-FR"/>
              </w:rPr>
              <w:t>Liaison</w:t>
            </w:r>
          </w:p>
        </w:tc>
        <w:tc>
          <w:tcPr>
            <w:tcW w:w="7938" w:type="dxa"/>
            <w:gridSpan w:val="10"/>
          </w:tcPr>
          <w:p w:rsidR="007416C3" w:rsidRDefault="007416C3" w:rsidP="00F45DBE">
            <w:pPr>
              <w:pStyle w:val="TableText0"/>
              <w:spacing w:line="240" w:lineRule="auto"/>
              <w:jc w:val="center"/>
              <w:rPr>
                <w:lang w:val="fr-FR"/>
              </w:rPr>
            </w:pPr>
            <w:r>
              <w:rPr>
                <w:lang w:val="fr-FR"/>
              </w:rPr>
              <w:t>Zones hydrométéorologiques de l'UIT-R et longueur du trajet</w:t>
            </w:r>
            <w:r>
              <w:rPr>
                <w:lang w:val="fr-FR"/>
              </w:rPr>
              <w:br/>
              <w:t>(28 GHz, polarisation horizontale)</w:t>
            </w:r>
          </w:p>
        </w:tc>
      </w:tr>
      <w:tr w:rsidR="007416C3" w:rsidTr="00DF23E9">
        <w:trPr>
          <w:cantSplit/>
          <w:jc w:val="center"/>
        </w:trPr>
        <w:tc>
          <w:tcPr>
            <w:tcW w:w="1474" w:type="dxa"/>
          </w:tcPr>
          <w:p w:rsidR="007416C3" w:rsidRDefault="007416C3" w:rsidP="00F45DBE">
            <w:pPr>
              <w:pStyle w:val="TableText0"/>
              <w:spacing w:line="240" w:lineRule="auto"/>
              <w:jc w:val="center"/>
              <w:rPr>
                <w:lang w:val="fr-FR"/>
              </w:rPr>
            </w:pPr>
            <w:r>
              <w:rPr>
                <w:lang w:val="fr-FR"/>
              </w:rPr>
              <w:t>Probabilité cumulative</w:t>
            </w:r>
          </w:p>
        </w:tc>
        <w:tc>
          <w:tcPr>
            <w:tcW w:w="1588" w:type="dxa"/>
            <w:gridSpan w:val="2"/>
          </w:tcPr>
          <w:p w:rsidR="007416C3" w:rsidRDefault="007416C3" w:rsidP="00F45DBE">
            <w:pPr>
              <w:pStyle w:val="TableText0"/>
              <w:spacing w:before="180" w:line="240" w:lineRule="auto"/>
              <w:jc w:val="center"/>
              <w:rPr>
                <w:lang w:val="fr-FR"/>
              </w:rPr>
            </w:pPr>
            <w:r>
              <w:rPr>
                <w:lang w:val="fr-FR"/>
              </w:rPr>
              <w:t>E</w:t>
            </w:r>
          </w:p>
        </w:tc>
        <w:tc>
          <w:tcPr>
            <w:tcW w:w="1588" w:type="dxa"/>
            <w:gridSpan w:val="2"/>
          </w:tcPr>
          <w:p w:rsidR="007416C3" w:rsidRDefault="007416C3" w:rsidP="00F45DBE">
            <w:pPr>
              <w:pStyle w:val="TableText0"/>
              <w:spacing w:before="180" w:line="240" w:lineRule="auto"/>
              <w:jc w:val="center"/>
              <w:rPr>
                <w:lang w:val="fr-FR"/>
              </w:rPr>
            </w:pPr>
            <w:r>
              <w:rPr>
                <w:lang w:val="fr-FR"/>
              </w:rPr>
              <w:t>F</w:t>
            </w:r>
          </w:p>
        </w:tc>
        <w:tc>
          <w:tcPr>
            <w:tcW w:w="1588" w:type="dxa"/>
            <w:gridSpan w:val="2"/>
          </w:tcPr>
          <w:p w:rsidR="007416C3" w:rsidRDefault="007416C3" w:rsidP="00F45DBE">
            <w:pPr>
              <w:pStyle w:val="TableText0"/>
              <w:spacing w:before="180" w:line="240" w:lineRule="auto"/>
              <w:jc w:val="center"/>
              <w:rPr>
                <w:lang w:val="fr-FR"/>
              </w:rPr>
            </w:pPr>
            <w:r>
              <w:rPr>
                <w:lang w:val="fr-FR"/>
              </w:rPr>
              <w:t>K</w:t>
            </w:r>
          </w:p>
        </w:tc>
        <w:tc>
          <w:tcPr>
            <w:tcW w:w="1588" w:type="dxa"/>
            <w:gridSpan w:val="2"/>
          </w:tcPr>
          <w:p w:rsidR="007416C3" w:rsidRDefault="007416C3" w:rsidP="00F45DBE">
            <w:pPr>
              <w:pStyle w:val="TableText0"/>
              <w:spacing w:before="180" w:line="240" w:lineRule="auto"/>
              <w:jc w:val="center"/>
              <w:rPr>
                <w:lang w:val="fr-FR"/>
              </w:rPr>
            </w:pPr>
            <w:r>
              <w:rPr>
                <w:lang w:val="fr-FR"/>
              </w:rPr>
              <w:t>M</w:t>
            </w:r>
          </w:p>
        </w:tc>
        <w:tc>
          <w:tcPr>
            <w:tcW w:w="1588" w:type="dxa"/>
            <w:gridSpan w:val="2"/>
          </w:tcPr>
          <w:p w:rsidR="007416C3" w:rsidRDefault="007416C3" w:rsidP="00F45DBE">
            <w:pPr>
              <w:pStyle w:val="TableText0"/>
              <w:spacing w:before="180" w:line="240" w:lineRule="auto"/>
              <w:jc w:val="center"/>
              <w:rPr>
                <w:lang w:val="fr-FR"/>
              </w:rPr>
            </w:pPr>
            <w:r>
              <w:rPr>
                <w:lang w:val="fr-FR"/>
              </w:rPr>
              <w:t>N</w:t>
            </w:r>
          </w:p>
        </w:tc>
      </w:tr>
      <w:tr w:rsidR="007416C3" w:rsidTr="00DF23E9">
        <w:trPr>
          <w:cantSplit/>
          <w:jc w:val="center"/>
        </w:trPr>
        <w:tc>
          <w:tcPr>
            <w:tcW w:w="1474" w:type="dxa"/>
          </w:tcPr>
          <w:p w:rsidR="007416C3" w:rsidRDefault="007416C3" w:rsidP="00F45DBE">
            <w:pPr>
              <w:pStyle w:val="TableText0"/>
              <w:spacing w:before="80" w:after="80" w:line="240" w:lineRule="auto"/>
              <w:jc w:val="center"/>
              <w:rPr>
                <w:lang w:val="fr-FR"/>
              </w:rPr>
            </w:pPr>
          </w:p>
        </w:tc>
        <w:tc>
          <w:tcPr>
            <w:tcW w:w="794" w:type="dxa"/>
          </w:tcPr>
          <w:p w:rsidR="007416C3" w:rsidRDefault="007416C3" w:rsidP="00F45DBE">
            <w:pPr>
              <w:pStyle w:val="TableText0"/>
              <w:spacing w:before="80" w:after="80" w:line="240" w:lineRule="auto"/>
              <w:jc w:val="center"/>
              <w:rPr>
                <w:lang w:val="fr-FR"/>
              </w:rPr>
            </w:pPr>
            <w:r>
              <w:rPr>
                <w:lang w:val="fr-FR"/>
              </w:rPr>
              <w:t>2,5 km</w:t>
            </w:r>
          </w:p>
        </w:tc>
        <w:tc>
          <w:tcPr>
            <w:tcW w:w="794" w:type="dxa"/>
          </w:tcPr>
          <w:p w:rsidR="007416C3" w:rsidRDefault="007416C3" w:rsidP="00F45DBE">
            <w:pPr>
              <w:pStyle w:val="TableText0"/>
              <w:spacing w:before="80" w:after="80" w:line="240" w:lineRule="auto"/>
              <w:jc w:val="center"/>
              <w:rPr>
                <w:lang w:val="fr-FR"/>
              </w:rPr>
            </w:pPr>
            <w:r>
              <w:rPr>
                <w:lang w:val="fr-FR"/>
              </w:rPr>
              <w:t>5 km</w:t>
            </w:r>
          </w:p>
        </w:tc>
        <w:tc>
          <w:tcPr>
            <w:tcW w:w="794" w:type="dxa"/>
          </w:tcPr>
          <w:p w:rsidR="007416C3" w:rsidRDefault="007416C3" w:rsidP="00F45DBE">
            <w:pPr>
              <w:pStyle w:val="TableText0"/>
              <w:spacing w:before="80" w:after="80" w:line="240" w:lineRule="auto"/>
              <w:jc w:val="center"/>
              <w:rPr>
                <w:lang w:val="fr-FR"/>
              </w:rPr>
            </w:pPr>
            <w:r>
              <w:rPr>
                <w:lang w:val="fr-FR"/>
              </w:rPr>
              <w:t>2,5 km</w:t>
            </w:r>
          </w:p>
        </w:tc>
        <w:tc>
          <w:tcPr>
            <w:tcW w:w="794" w:type="dxa"/>
          </w:tcPr>
          <w:p w:rsidR="007416C3" w:rsidRDefault="007416C3" w:rsidP="00F45DBE">
            <w:pPr>
              <w:pStyle w:val="TableText0"/>
              <w:spacing w:before="80" w:after="80" w:line="240" w:lineRule="auto"/>
              <w:jc w:val="center"/>
              <w:rPr>
                <w:lang w:val="fr-FR"/>
              </w:rPr>
            </w:pPr>
            <w:r>
              <w:rPr>
                <w:lang w:val="fr-FR"/>
              </w:rPr>
              <w:t>5 km</w:t>
            </w:r>
          </w:p>
        </w:tc>
        <w:tc>
          <w:tcPr>
            <w:tcW w:w="794" w:type="dxa"/>
          </w:tcPr>
          <w:p w:rsidR="007416C3" w:rsidRDefault="007416C3" w:rsidP="00F45DBE">
            <w:pPr>
              <w:pStyle w:val="TableText0"/>
              <w:spacing w:before="80" w:after="80" w:line="240" w:lineRule="auto"/>
              <w:jc w:val="center"/>
              <w:rPr>
                <w:lang w:val="fr-FR"/>
              </w:rPr>
            </w:pPr>
            <w:r>
              <w:rPr>
                <w:lang w:val="fr-FR"/>
              </w:rPr>
              <w:t>2,5 km</w:t>
            </w:r>
          </w:p>
        </w:tc>
        <w:tc>
          <w:tcPr>
            <w:tcW w:w="794" w:type="dxa"/>
          </w:tcPr>
          <w:p w:rsidR="007416C3" w:rsidRDefault="007416C3" w:rsidP="00F45DBE">
            <w:pPr>
              <w:pStyle w:val="TableText0"/>
              <w:spacing w:before="80" w:after="80" w:line="240" w:lineRule="auto"/>
              <w:jc w:val="center"/>
              <w:rPr>
                <w:lang w:val="fr-FR"/>
              </w:rPr>
            </w:pPr>
            <w:r>
              <w:rPr>
                <w:lang w:val="fr-FR"/>
              </w:rPr>
              <w:t>5 km</w:t>
            </w:r>
          </w:p>
        </w:tc>
        <w:tc>
          <w:tcPr>
            <w:tcW w:w="794" w:type="dxa"/>
          </w:tcPr>
          <w:p w:rsidR="007416C3" w:rsidRDefault="007416C3" w:rsidP="00F45DBE">
            <w:pPr>
              <w:pStyle w:val="TableText0"/>
              <w:spacing w:before="80" w:after="80" w:line="240" w:lineRule="auto"/>
              <w:jc w:val="center"/>
              <w:rPr>
                <w:lang w:val="fr-FR"/>
              </w:rPr>
            </w:pPr>
            <w:r>
              <w:rPr>
                <w:lang w:val="fr-FR"/>
              </w:rPr>
              <w:t>2,5 km</w:t>
            </w:r>
          </w:p>
        </w:tc>
        <w:tc>
          <w:tcPr>
            <w:tcW w:w="794" w:type="dxa"/>
          </w:tcPr>
          <w:p w:rsidR="007416C3" w:rsidRDefault="007416C3" w:rsidP="00F45DBE">
            <w:pPr>
              <w:pStyle w:val="TableText0"/>
              <w:spacing w:before="80" w:after="80" w:line="240" w:lineRule="auto"/>
              <w:jc w:val="center"/>
              <w:rPr>
                <w:lang w:val="fr-FR"/>
              </w:rPr>
            </w:pPr>
            <w:r>
              <w:rPr>
                <w:lang w:val="fr-FR"/>
              </w:rPr>
              <w:t>5 km</w:t>
            </w:r>
          </w:p>
        </w:tc>
        <w:tc>
          <w:tcPr>
            <w:tcW w:w="794" w:type="dxa"/>
          </w:tcPr>
          <w:p w:rsidR="007416C3" w:rsidRDefault="007416C3" w:rsidP="00F45DBE">
            <w:pPr>
              <w:pStyle w:val="TableText0"/>
              <w:spacing w:before="80" w:after="80" w:line="240" w:lineRule="auto"/>
              <w:jc w:val="center"/>
              <w:rPr>
                <w:lang w:val="fr-FR"/>
              </w:rPr>
            </w:pPr>
            <w:r>
              <w:rPr>
                <w:lang w:val="fr-FR"/>
              </w:rPr>
              <w:t>2,5 km</w:t>
            </w:r>
          </w:p>
        </w:tc>
        <w:tc>
          <w:tcPr>
            <w:tcW w:w="794" w:type="dxa"/>
          </w:tcPr>
          <w:p w:rsidR="007416C3" w:rsidRDefault="007416C3" w:rsidP="00F45DBE">
            <w:pPr>
              <w:pStyle w:val="TableText0"/>
              <w:spacing w:before="80" w:after="80" w:line="240" w:lineRule="auto"/>
              <w:jc w:val="center"/>
              <w:rPr>
                <w:lang w:val="fr-FR"/>
              </w:rPr>
            </w:pPr>
            <w:r>
              <w:rPr>
                <w:lang w:val="fr-FR"/>
              </w:rPr>
              <w:t>5 km</w:t>
            </w:r>
          </w:p>
        </w:tc>
      </w:tr>
      <w:tr w:rsidR="007416C3" w:rsidTr="00DF23E9">
        <w:trPr>
          <w:cantSplit/>
          <w:jc w:val="center"/>
        </w:trPr>
        <w:tc>
          <w:tcPr>
            <w:tcW w:w="1474" w:type="dxa"/>
          </w:tcPr>
          <w:p w:rsidR="007416C3" w:rsidRDefault="007416C3" w:rsidP="00F45DBE">
            <w:pPr>
              <w:pStyle w:val="TableText0"/>
              <w:spacing w:before="60" w:after="60" w:line="240" w:lineRule="auto"/>
              <w:jc w:val="center"/>
              <w:rPr>
                <w:lang w:val="fr-FR"/>
              </w:rPr>
            </w:pPr>
            <w:r>
              <w:rPr>
                <w:lang w:val="fr-FR"/>
              </w:rPr>
              <w:t>0,999</w:t>
            </w:r>
          </w:p>
        </w:tc>
        <w:tc>
          <w:tcPr>
            <w:tcW w:w="794" w:type="dxa"/>
          </w:tcPr>
          <w:p w:rsidR="007416C3" w:rsidRDefault="007416C3" w:rsidP="00F45DBE">
            <w:pPr>
              <w:pStyle w:val="TableText0"/>
              <w:spacing w:before="60" w:after="60" w:line="240" w:lineRule="auto"/>
              <w:jc w:val="center"/>
              <w:rPr>
                <w:lang w:val="fr-FR"/>
              </w:rPr>
            </w:pPr>
            <w:r>
              <w:rPr>
                <w:lang w:val="fr-FR"/>
              </w:rPr>
              <w:t> </w:t>
            </w:r>
            <w:r>
              <w:rPr>
                <w:lang w:val="fr-FR"/>
              </w:rPr>
              <w:t>3,5</w:t>
            </w:r>
          </w:p>
        </w:tc>
        <w:tc>
          <w:tcPr>
            <w:tcW w:w="794" w:type="dxa"/>
          </w:tcPr>
          <w:p w:rsidR="007416C3" w:rsidRDefault="007416C3" w:rsidP="00F45DBE">
            <w:pPr>
              <w:pStyle w:val="TableText0"/>
              <w:spacing w:before="60" w:after="60" w:line="240" w:lineRule="auto"/>
              <w:jc w:val="center"/>
              <w:rPr>
                <w:lang w:val="fr-FR"/>
              </w:rPr>
            </w:pPr>
            <w:r>
              <w:rPr>
                <w:lang w:val="fr-FR"/>
              </w:rPr>
              <w:t> </w:t>
            </w:r>
            <w:r>
              <w:rPr>
                <w:lang w:val="fr-FR"/>
              </w:rPr>
              <w:t>6,4</w:t>
            </w:r>
          </w:p>
        </w:tc>
        <w:tc>
          <w:tcPr>
            <w:tcW w:w="794" w:type="dxa"/>
          </w:tcPr>
          <w:p w:rsidR="007416C3" w:rsidRDefault="007416C3" w:rsidP="00F45DBE">
            <w:pPr>
              <w:pStyle w:val="TableText0"/>
              <w:spacing w:before="60" w:after="60" w:line="240" w:lineRule="auto"/>
              <w:jc w:val="center"/>
              <w:rPr>
                <w:lang w:val="fr-FR"/>
              </w:rPr>
            </w:pPr>
            <w:r>
              <w:rPr>
                <w:lang w:val="fr-FR"/>
              </w:rPr>
              <w:t> </w:t>
            </w:r>
            <w:r>
              <w:rPr>
                <w:lang w:val="fr-FR"/>
              </w:rPr>
              <w:t>4,3</w:t>
            </w:r>
          </w:p>
        </w:tc>
        <w:tc>
          <w:tcPr>
            <w:tcW w:w="794" w:type="dxa"/>
          </w:tcPr>
          <w:p w:rsidR="007416C3" w:rsidRDefault="007416C3" w:rsidP="00F45DBE">
            <w:pPr>
              <w:pStyle w:val="TableText0"/>
              <w:spacing w:before="60" w:after="60" w:line="240" w:lineRule="auto"/>
              <w:jc w:val="center"/>
              <w:rPr>
                <w:lang w:val="fr-FR"/>
              </w:rPr>
            </w:pPr>
            <w:r>
              <w:rPr>
                <w:lang w:val="fr-FR"/>
              </w:rPr>
              <w:t> </w:t>
            </w:r>
            <w:r>
              <w:rPr>
                <w:lang w:val="fr-FR"/>
              </w:rPr>
              <w:t>8,0</w:t>
            </w:r>
          </w:p>
        </w:tc>
        <w:tc>
          <w:tcPr>
            <w:tcW w:w="794" w:type="dxa"/>
          </w:tcPr>
          <w:p w:rsidR="007416C3" w:rsidRDefault="007416C3" w:rsidP="00F45DBE">
            <w:pPr>
              <w:pStyle w:val="TableText0"/>
              <w:spacing w:before="60" w:after="60" w:line="240" w:lineRule="auto"/>
              <w:jc w:val="center"/>
              <w:rPr>
                <w:lang w:val="fr-FR"/>
              </w:rPr>
            </w:pPr>
            <w:r>
              <w:rPr>
                <w:lang w:val="fr-FR"/>
              </w:rPr>
              <w:t> </w:t>
            </w:r>
            <w:r>
              <w:rPr>
                <w:lang w:val="fr-FR"/>
              </w:rPr>
              <w:t>6,3</w:t>
            </w:r>
          </w:p>
        </w:tc>
        <w:tc>
          <w:tcPr>
            <w:tcW w:w="794" w:type="dxa"/>
          </w:tcPr>
          <w:p w:rsidR="007416C3" w:rsidRDefault="007416C3" w:rsidP="00F45DBE">
            <w:pPr>
              <w:pStyle w:val="TableText0"/>
              <w:spacing w:before="60" w:after="60" w:line="240" w:lineRule="auto"/>
              <w:jc w:val="center"/>
              <w:rPr>
                <w:lang w:val="fr-FR"/>
              </w:rPr>
            </w:pPr>
            <w:r>
              <w:rPr>
                <w:lang w:val="fr-FR"/>
              </w:rPr>
              <w:t>11,8</w:t>
            </w:r>
          </w:p>
        </w:tc>
        <w:tc>
          <w:tcPr>
            <w:tcW w:w="794" w:type="dxa"/>
          </w:tcPr>
          <w:p w:rsidR="007416C3" w:rsidRDefault="007416C3" w:rsidP="00F45DBE">
            <w:pPr>
              <w:pStyle w:val="TableText0"/>
              <w:spacing w:before="60" w:after="60" w:line="240" w:lineRule="auto"/>
              <w:jc w:val="center"/>
              <w:rPr>
                <w:lang w:val="fr-FR"/>
              </w:rPr>
            </w:pPr>
            <w:r>
              <w:rPr>
                <w:lang w:val="fr-FR"/>
              </w:rPr>
              <w:t> </w:t>
            </w:r>
            <w:r>
              <w:rPr>
                <w:lang w:val="fr-FR"/>
              </w:rPr>
              <w:t>9,3</w:t>
            </w:r>
          </w:p>
        </w:tc>
        <w:tc>
          <w:tcPr>
            <w:tcW w:w="794" w:type="dxa"/>
          </w:tcPr>
          <w:p w:rsidR="007416C3" w:rsidRDefault="007416C3" w:rsidP="00F45DBE">
            <w:pPr>
              <w:pStyle w:val="TableText0"/>
              <w:spacing w:before="60" w:after="60" w:line="240" w:lineRule="auto"/>
              <w:jc w:val="center"/>
              <w:rPr>
                <w:lang w:val="fr-FR"/>
              </w:rPr>
            </w:pPr>
            <w:r>
              <w:rPr>
                <w:lang w:val="fr-FR"/>
              </w:rPr>
              <w:t>16,6</w:t>
            </w:r>
          </w:p>
        </w:tc>
        <w:tc>
          <w:tcPr>
            <w:tcW w:w="794" w:type="dxa"/>
          </w:tcPr>
          <w:p w:rsidR="007416C3" w:rsidRDefault="007416C3" w:rsidP="00F45DBE">
            <w:pPr>
              <w:pStyle w:val="TableText0"/>
              <w:spacing w:before="60" w:after="60" w:line="240" w:lineRule="auto"/>
              <w:jc w:val="center"/>
              <w:rPr>
                <w:lang w:val="fr-FR"/>
              </w:rPr>
            </w:pPr>
            <w:r>
              <w:rPr>
                <w:lang w:val="fr-FR"/>
              </w:rPr>
              <w:t>12,9</w:t>
            </w:r>
          </w:p>
        </w:tc>
        <w:tc>
          <w:tcPr>
            <w:tcW w:w="794" w:type="dxa"/>
          </w:tcPr>
          <w:p w:rsidR="007416C3" w:rsidRDefault="007416C3" w:rsidP="00F45DBE">
            <w:pPr>
              <w:pStyle w:val="TableText0"/>
              <w:spacing w:before="60" w:after="60" w:line="240" w:lineRule="auto"/>
              <w:jc w:val="center"/>
              <w:rPr>
                <w:lang w:val="fr-FR"/>
              </w:rPr>
            </w:pPr>
            <w:r>
              <w:rPr>
                <w:lang w:val="fr-FR"/>
              </w:rPr>
              <w:t>21,8</w:t>
            </w:r>
          </w:p>
        </w:tc>
      </w:tr>
      <w:tr w:rsidR="007416C3" w:rsidTr="00DF23E9">
        <w:trPr>
          <w:cantSplit/>
          <w:jc w:val="center"/>
        </w:trPr>
        <w:tc>
          <w:tcPr>
            <w:tcW w:w="1474" w:type="dxa"/>
          </w:tcPr>
          <w:p w:rsidR="007416C3" w:rsidRDefault="007416C3" w:rsidP="00F45DBE">
            <w:pPr>
              <w:pStyle w:val="TableText0"/>
              <w:spacing w:before="60" w:after="60" w:line="240" w:lineRule="auto"/>
              <w:jc w:val="center"/>
              <w:rPr>
                <w:lang w:val="fr-FR"/>
              </w:rPr>
            </w:pPr>
            <w:r>
              <w:rPr>
                <w:lang w:val="fr-FR"/>
              </w:rPr>
              <w:t>0,9995</w:t>
            </w:r>
          </w:p>
        </w:tc>
        <w:tc>
          <w:tcPr>
            <w:tcW w:w="794" w:type="dxa"/>
          </w:tcPr>
          <w:p w:rsidR="007416C3" w:rsidRDefault="007416C3" w:rsidP="00F45DBE">
            <w:pPr>
              <w:pStyle w:val="TableText0"/>
              <w:spacing w:before="60" w:after="60" w:line="240" w:lineRule="auto"/>
              <w:jc w:val="center"/>
              <w:rPr>
                <w:lang w:val="fr-FR"/>
              </w:rPr>
            </w:pPr>
            <w:r>
              <w:rPr>
                <w:lang w:val="fr-FR"/>
              </w:rPr>
              <w:t> </w:t>
            </w:r>
            <w:r>
              <w:rPr>
                <w:lang w:val="fr-FR"/>
              </w:rPr>
              <w:t>4,7</w:t>
            </w:r>
          </w:p>
        </w:tc>
        <w:tc>
          <w:tcPr>
            <w:tcW w:w="794" w:type="dxa"/>
          </w:tcPr>
          <w:p w:rsidR="007416C3" w:rsidRDefault="007416C3" w:rsidP="00F45DBE">
            <w:pPr>
              <w:pStyle w:val="TableText0"/>
              <w:spacing w:before="60" w:after="60" w:line="240" w:lineRule="auto"/>
              <w:jc w:val="center"/>
              <w:rPr>
                <w:lang w:val="fr-FR"/>
              </w:rPr>
            </w:pPr>
            <w:r>
              <w:rPr>
                <w:lang w:val="fr-FR"/>
              </w:rPr>
              <w:t> </w:t>
            </w:r>
            <w:r>
              <w:rPr>
                <w:lang w:val="fr-FR"/>
              </w:rPr>
              <w:t>8,7</w:t>
            </w:r>
          </w:p>
        </w:tc>
        <w:tc>
          <w:tcPr>
            <w:tcW w:w="794" w:type="dxa"/>
          </w:tcPr>
          <w:p w:rsidR="007416C3" w:rsidRDefault="007416C3" w:rsidP="00F45DBE">
            <w:pPr>
              <w:pStyle w:val="TableText0"/>
              <w:spacing w:before="60" w:after="60" w:line="240" w:lineRule="auto"/>
              <w:jc w:val="center"/>
              <w:rPr>
                <w:lang w:val="fr-FR"/>
              </w:rPr>
            </w:pPr>
            <w:r>
              <w:rPr>
                <w:lang w:val="fr-FR"/>
              </w:rPr>
              <w:t> </w:t>
            </w:r>
            <w:r>
              <w:rPr>
                <w:lang w:val="fr-FR"/>
              </w:rPr>
              <w:t>5,9</w:t>
            </w:r>
          </w:p>
        </w:tc>
        <w:tc>
          <w:tcPr>
            <w:tcW w:w="794" w:type="dxa"/>
          </w:tcPr>
          <w:p w:rsidR="007416C3" w:rsidRDefault="007416C3" w:rsidP="00F45DBE">
            <w:pPr>
              <w:pStyle w:val="TableText0"/>
              <w:spacing w:before="60" w:after="60" w:line="240" w:lineRule="auto"/>
              <w:jc w:val="center"/>
              <w:rPr>
                <w:lang w:val="fr-FR"/>
              </w:rPr>
            </w:pPr>
            <w:r>
              <w:rPr>
                <w:lang w:val="fr-FR"/>
              </w:rPr>
              <w:t>11,0</w:t>
            </w:r>
          </w:p>
        </w:tc>
        <w:tc>
          <w:tcPr>
            <w:tcW w:w="794" w:type="dxa"/>
          </w:tcPr>
          <w:p w:rsidR="007416C3" w:rsidRDefault="007416C3" w:rsidP="00F45DBE">
            <w:pPr>
              <w:pStyle w:val="TableText0"/>
              <w:spacing w:before="60" w:after="60" w:line="240" w:lineRule="auto"/>
              <w:jc w:val="center"/>
              <w:rPr>
                <w:lang w:val="fr-FR"/>
              </w:rPr>
            </w:pPr>
            <w:r>
              <w:rPr>
                <w:lang w:val="fr-FR"/>
              </w:rPr>
              <w:t> </w:t>
            </w:r>
            <w:r>
              <w:rPr>
                <w:lang w:val="fr-FR"/>
              </w:rPr>
              <w:t>8,7</w:t>
            </w:r>
          </w:p>
        </w:tc>
        <w:tc>
          <w:tcPr>
            <w:tcW w:w="794" w:type="dxa"/>
          </w:tcPr>
          <w:p w:rsidR="007416C3" w:rsidRDefault="007416C3" w:rsidP="00F45DBE">
            <w:pPr>
              <w:pStyle w:val="TableText0"/>
              <w:spacing w:before="60" w:after="60" w:line="240" w:lineRule="auto"/>
              <w:jc w:val="center"/>
              <w:rPr>
                <w:lang w:val="fr-FR"/>
              </w:rPr>
            </w:pPr>
            <w:r>
              <w:rPr>
                <w:lang w:val="fr-FR"/>
              </w:rPr>
              <w:t>16,0</w:t>
            </w:r>
          </w:p>
        </w:tc>
        <w:tc>
          <w:tcPr>
            <w:tcW w:w="794" w:type="dxa"/>
          </w:tcPr>
          <w:p w:rsidR="007416C3" w:rsidRDefault="007416C3" w:rsidP="00F45DBE">
            <w:pPr>
              <w:pStyle w:val="TableText0"/>
              <w:spacing w:before="60" w:after="60" w:line="240" w:lineRule="auto"/>
              <w:jc w:val="center"/>
              <w:rPr>
                <w:lang w:val="fr-FR"/>
              </w:rPr>
            </w:pPr>
            <w:r>
              <w:rPr>
                <w:lang w:val="fr-FR"/>
              </w:rPr>
              <w:t>12,6</w:t>
            </w:r>
          </w:p>
        </w:tc>
        <w:tc>
          <w:tcPr>
            <w:tcW w:w="794" w:type="dxa"/>
          </w:tcPr>
          <w:p w:rsidR="007416C3" w:rsidRDefault="007416C3" w:rsidP="00F45DBE">
            <w:pPr>
              <w:pStyle w:val="TableText0"/>
              <w:spacing w:before="60" w:after="60" w:line="240" w:lineRule="auto"/>
              <w:jc w:val="center"/>
              <w:rPr>
                <w:lang w:val="fr-FR"/>
              </w:rPr>
            </w:pPr>
            <w:r>
              <w:rPr>
                <w:lang w:val="fr-FR"/>
              </w:rPr>
              <w:t>22,6</w:t>
            </w:r>
          </w:p>
        </w:tc>
        <w:tc>
          <w:tcPr>
            <w:tcW w:w="794" w:type="dxa"/>
          </w:tcPr>
          <w:p w:rsidR="007416C3" w:rsidRDefault="007416C3" w:rsidP="00F45DBE">
            <w:pPr>
              <w:pStyle w:val="TableText0"/>
              <w:spacing w:before="60" w:after="60" w:line="240" w:lineRule="auto"/>
              <w:jc w:val="center"/>
              <w:rPr>
                <w:lang w:val="fr-FR"/>
              </w:rPr>
            </w:pPr>
            <w:r>
              <w:rPr>
                <w:lang w:val="fr-FR"/>
              </w:rPr>
              <w:t>17,8</w:t>
            </w:r>
          </w:p>
        </w:tc>
        <w:tc>
          <w:tcPr>
            <w:tcW w:w="794" w:type="dxa"/>
          </w:tcPr>
          <w:p w:rsidR="007416C3" w:rsidRDefault="007416C3" w:rsidP="00F45DBE">
            <w:pPr>
              <w:pStyle w:val="TableText0"/>
              <w:spacing w:before="60" w:after="60" w:line="240" w:lineRule="auto"/>
              <w:jc w:val="center"/>
              <w:rPr>
                <w:lang w:val="fr-FR"/>
              </w:rPr>
            </w:pPr>
            <w:r>
              <w:rPr>
                <w:lang w:val="fr-FR"/>
              </w:rPr>
              <w:t>29,7</w:t>
            </w:r>
          </w:p>
        </w:tc>
      </w:tr>
      <w:tr w:rsidR="007416C3" w:rsidTr="00DF23E9">
        <w:trPr>
          <w:cantSplit/>
          <w:jc w:val="center"/>
        </w:trPr>
        <w:tc>
          <w:tcPr>
            <w:tcW w:w="1474" w:type="dxa"/>
          </w:tcPr>
          <w:p w:rsidR="007416C3" w:rsidRDefault="007416C3" w:rsidP="00F45DBE">
            <w:pPr>
              <w:pStyle w:val="TableText0"/>
              <w:spacing w:before="60" w:after="60" w:line="240" w:lineRule="auto"/>
              <w:jc w:val="center"/>
              <w:rPr>
                <w:lang w:val="fr-FR"/>
              </w:rPr>
            </w:pPr>
            <w:r>
              <w:rPr>
                <w:lang w:val="fr-FR"/>
              </w:rPr>
              <w:t>0,9999</w:t>
            </w:r>
          </w:p>
        </w:tc>
        <w:tc>
          <w:tcPr>
            <w:tcW w:w="794" w:type="dxa"/>
          </w:tcPr>
          <w:p w:rsidR="007416C3" w:rsidRDefault="007416C3" w:rsidP="00F45DBE">
            <w:pPr>
              <w:pStyle w:val="TableText0"/>
              <w:spacing w:before="60" w:after="60" w:line="240" w:lineRule="auto"/>
              <w:jc w:val="center"/>
              <w:rPr>
                <w:lang w:val="fr-FR"/>
              </w:rPr>
            </w:pPr>
            <w:r>
              <w:rPr>
                <w:lang w:val="fr-FR"/>
              </w:rPr>
              <w:t> </w:t>
            </w:r>
            <w:r>
              <w:rPr>
                <w:lang w:val="fr-FR"/>
              </w:rPr>
              <w:t>9,1</w:t>
            </w:r>
          </w:p>
        </w:tc>
        <w:tc>
          <w:tcPr>
            <w:tcW w:w="794" w:type="dxa"/>
          </w:tcPr>
          <w:p w:rsidR="007416C3" w:rsidRDefault="007416C3" w:rsidP="00F45DBE">
            <w:pPr>
              <w:pStyle w:val="TableText0"/>
              <w:spacing w:before="60" w:after="60" w:line="240" w:lineRule="auto"/>
              <w:jc w:val="center"/>
              <w:rPr>
                <w:lang w:val="fr-FR"/>
              </w:rPr>
            </w:pPr>
            <w:r>
              <w:rPr>
                <w:lang w:val="fr-FR"/>
              </w:rPr>
              <w:t>16,6</w:t>
            </w:r>
          </w:p>
        </w:tc>
        <w:tc>
          <w:tcPr>
            <w:tcW w:w="794" w:type="dxa"/>
          </w:tcPr>
          <w:p w:rsidR="007416C3" w:rsidRDefault="007416C3" w:rsidP="00F45DBE">
            <w:pPr>
              <w:pStyle w:val="TableText0"/>
              <w:spacing w:before="60" w:after="60" w:line="240" w:lineRule="auto"/>
              <w:jc w:val="center"/>
              <w:rPr>
                <w:lang w:val="fr-FR"/>
              </w:rPr>
            </w:pPr>
            <w:r>
              <w:rPr>
                <w:lang w:val="fr-FR"/>
              </w:rPr>
              <w:t>11,5</w:t>
            </w:r>
          </w:p>
        </w:tc>
        <w:tc>
          <w:tcPr>
            <w:tcW w:w="794" w:type="dxa"/>
          </w:tcPr>
          <w:p w:rsidR="007416C3" w:rsidRDefault="007416C3" w:rsidP="00F45DBE">
            <w:pPr>
              <w:pStyle w:val="TableText0"/>
              <w:spacing w:before="60" w:after="60" w:line="240" w:lineRule="auto"/>
              <w:jc w:val="center"/>
              <w:rPr>
                <w:lang w:val="fr-FR"/>
              </w:rPr>
            </w:pPr>
            <w:r>
              <w:rPr>
                <w:lang w:val="fr-FR"/>
              </w:rPr>
              <w:t>21,0</w:t>
            </w:r>
          </w:p>
        </w:tc>
        <w:tc>
          <w:tcPr>
            <w:tcW w:w="794" w:type="dxa"/>
          </w:tcPr>
          <w:p w:rsidR="007416C3" w:rsidRDefault="007416C3" w:rsidP="00F45DBE">
            <w:pPr>
              <w:pStyle w:val="TableText0"/>
              <w:spacing w:before="60" w:after="60" w:line="240" w:lineRule="auto"/>
              <w:jc w:val="center"/>
              <w:rPr>
                <w:lang w:val="fr-FR"/>
              </w:rPr>
            </w:pPr>
            <w:r>
              <w:rPr>
                <w:lang w:val="fr-FR"/>
              </w:rPr>
              <w:t>17,2</w:t>
            </w:r>
          </w:p>
        </w:tc>
        <w:tc>
          <w:tcPr>
            <w:tcW w:w="794" w:type="dxa"/>
          </w:tcPr>
          <w:p w:rsidR="007416C3" w:rsidRDefault="007416C3" w:rsidP="00F45DBE">
            <w:pPr>
              <w:pStyle w:val="TableText0"/>
              <w:spacing w:before="60" w:after="60" w:line="240" w:lineRule="auto"/>
              <w:jc w:val="center"/>
              <w:rPr>
                <w:lang w:val="fr-FR"/>
              </w:rPr>
            </w:pPr>
            <w:r>
              <w:rPr>
                <w:lang w:val="fr-FR"/>
              </w:rPr>
              <w:t>30,7</w:t>
            </w:r>
          </w:p>
        </w:tc>
        <w:tc>
          <w:tcPr>
            <w:tcW w:w="794" w:type="dxa"/>
          </w:tcPr>
          <w:p w:rsidR="007416C3" w:rsidRDefault="007416C3" w:rsidP="00F45DBE">
            <w:pPr>
              <w:pStyle w:val="TableText0"/>
              <w:spacing w:before="60" w:after="60" w:line="240" w:lineRule="auto"/>
              <w:jc w:val="center"/>
              <w:rPr>
                <w:lang w:val="fr-FR"/>
              </w:rPr>
            </w:pPr>
            <w:r>
              <w:rPr>
                <w:lang w:val="fr-FR"/>
              </w:rPr>
              <w:t>25,0</w:t>
            </w:r>
          </w:p>
        </w:tc>
        <w:tc>
          <w:tcPr>
            <w:tcW w:w="794" w:type="dxa"/>
          </w:tcPr>
          <w:p w:rsidR="007416C3" w:rsidRDefault="007416C3" w:rsidP="00F45DBE">
            <w:pPr>
              <w:pStyle w:val="TableText0"/>
              <w:spacing w:before="60" w:after="60" w:line="240" w:lineRule="auto"/>
              <w:jc w:val="center"/>
              <w:rPr>
                <w:lang w:val="fr-FR"/>
              </w:rPr>
            </w:pPr>
            <w:r>
              <w:rPr>
                <w:lang w:val="fr-FR"/>
              </w:rPr>
              <w:t>43,4</w:t>
            </w:r>
          </w:p>
        </w:tc>
        <w:tc>
          <w:tcPr>
            <w:tcW w:w="794" w:type="dxa"/>
          </w:tcPr>
          <w:p w:rsidR="007416C3" w:rsidRDefault="007416C3" w:rsidP="00F45DBE">
            <w:pPr>
              <w:pStyle w:val="TableText0"/>
              <w:spacing w:before="60" w:after="60" w:line="240" w:lineRule="auto"/>
              <w:jc w:val="center"/>
              <w:rPr>
                <w:lang w:val="fr-FR"/>
              </w:rPr>
            </w:pPr>
            <w:r>
              <w:rPr>
                <w:lang w:val="fr-FR"/>
              </w:rPr>
              <w:t>35,0</w:t>
            </w:r>
          </w:p>
        </w:tc>
        <w:tc>
          <w:tcPr>
            <w:tcW w:w="794" w:type="dxa"/>
          </w:tcPr>
          <w:p w:rsidR="007416C3" w:rsidRDefault="007416C3" w:rsidP="00F45DBE">
            <w:pPr>
              <w:pStyle w:val="TableText0"/>
              <w:spacing w:before="60" w:after="60" w:line="240" w:lineRule="auto"/>
              <w:jc w:val="center"/>
              <w:rPr>
                <w:lang w:val="fr-FR"/>
              </w:rPr>
            </w:pPr>
            <w:r>
              <w:rPr>
                <w:lang w:val="fr-FR"/>
              </w:rPr>
              <w:t>57,0</w:t>
            </w:r>
          </w:p>
        </w:tc>
      </w:tr>
      <w:tr w:rsidR="007416C3" w:rsidTr="00DF23E9">
        <w:trPr>
          <w:cantSplit/>
          <w:jc w:val="center"/>
        </w:trPr>
        <w:tc>
          <w:tcPr>
            <w:tcW w:w="1474" w:type="dxa"/>
          </w:tcPr>
          <w:p w:rsidR="007416C3" w:rsidRDefault="007416C3" w:rsidP="00F45DBE">
            <w:pPr>
              <w:pStyle w:val="TableText0"/>
              <w:spacing w:before="60" w:after="60" w:line="240" w:lineRule="auto"/>
              <w:jc w:val="center"/>
              <w:rPr>
                <w:lang w:val="fr-FR"/>
              </w:rPr>
            </w:pPr>
            <w:r>
              <w:rPr>
                <w:lang w:val="fr-FR"/>
              </w:rPr>
              <w:t>0,99995</w:t>
            </w:r>
          </w:p>
        </w:tc>
        <w:tc>
          <w:tcPr>
            <w:tcW w:w="794" w:type="dxa"/>
          </w:tcPr>
          <w:p w:rsidR="007416C3" w:rsidRDefault="007416C3" w:rsidP="00F45DBE">
            <w:pPr>
              <w:pStyle w:val="TableText0"/>
              <w:spacing w:before="60" w:after="60" w:line="240" w:lineRule="auto"/>
              <w:jc w:val="center"/>
              <w:rPr>
                <w:lang w:val="fr-FR"/>
              </w:rPr>
            </w:pPr>
            <w:r>
              <w:rPr>
                <w:lang w:val="fr-FR"/>
              </w:rPr>
              <w:t>11,6</w:t>
            </w:r>
          </w:p>
        </w:tc>
        <w:tc>
          <w:tcPr>
            <w:tcW w:w="794" w:type="dxa"/>
          </w:tcPr>
          <w:p w:rsidR="007416C3" w:rsidRDefault="007416C3" w:rsidP="00F45DBE">
            <w:pPr>
              <w:pStyle w:val="TableText0"/>
              <w:spacing w:before="60" w:after="60" w:line="240" w:lineRule="auto"/>
              <w:jc w:val="center"/>
              <w:rPr>
                <w:lang w:val="fr-FR"/>
              </w:rPr>
            </w:pPr>
            <w:r>
              <w:rPr>
                <w:lang w:val="fr-FR"/>
              </w:rPr>
              <w:t>21,3</w:t>
            </w:r>
          </w:p>
        </w:tc>
        <w:tc>
          <w:tcPr>
            <w:tcW w:w="794" w:type="dxa"/>
          </w:tcPr>
          <w:p w:rsidR="007416C3" w:rsidRDefault="007416C3" w:rsidP="00F45DBE">
            <w:pPr>
              <w:pStyle w:val="TableText0"/>
              <w:spacing w:before="60" w:after="60" w:line="240" w:lineRule="auto"/>
              <w:jc w:val="center"/>
              <w:rPr>
                <w:lang w:val="fr-FR"/>
              </w:rPr>
            </w:pPr>
            <w:r>
              <w:rPr>
                <w:lang w:val="fr-FR"/>
              </w:rPr>
              <w:t>15,0</w:t>
            </w:r>
          </w:p>
        </w:tc>
        <w:tc>
          <w:tcPr>
            <w:tcW w:w="794" w:type="dxa"/>
          </w:tcPr>
          <w:p w:rsidR="007416C3" w:rsidRDefault="007416C3" w:rsidP="00F45DBE">
            <w:pPr>
              <w:pStyle w:val="TableText0"/>
              <w:spacing w:before="60" w:after="60" w:line="240" w:lineRule="auto"/>
              <w:jc w:val="center"/>
              <w:rPr>
                <w:lang w:val="fr-FR"/>
              </w:rPr>
            </w:pPr>
            <w:r>
              <w:rPr>
                <w:lang w:val="fr-FR"/>
              </w:rPr>
              <w:t>27,0</w:t>
            </w:r>
          </w:p>
        </w:tc>
        <w:tc>
          <w:tcPr>
            <w:tcW w:w="794" w:type="dxa"/>
          </w:tcPr>
          <w:p w:rsidR="007416C3" w:rsidRDefault="007416C3" w:rsidP="00F45DBE">
            <w:pPr>
              <w:pStyle w:val="TableText0"/>
              <w:spacing w:before="60" w:after="60" w:line="240" w:lineRule="auto"/>
              <w:jc w:val="center"/>
              <w:rPr>
                <w:lang w:val="fr-FR"/>
              </w:rPr>
            </w:pPr>
            <w:r>
              <w:rPr>
                <w:lang w:val="fr-FR"/>
              </w:rPr>
              <w:t>22,3</w:t>
            </w:r>
          </w:p>
        </w:tc>
        <w:tc>
          <w:tcPr>
            <w:tcW w:w="794" w:type="dxa"/>
          </w:tcPr>
          <w:p w:rsidR="007416C3" w:rsidRDefault="007416C3" w:rsidP="00F45DBE">
            <w:pPr>
              <w:pStyle w:val="TableText0"/>
              <w:spacing w:before="60" w:after="60" w:line="240" w:lineRule="auto"/>
              <w:jc w:val="center"/>
              <w:rPr>
                <w:lang w:val="fr-FR"/>
              </w:rPr>
            </w:pPr>
            <w:r>
              <w:rPr>
                <w:lang w:val="fr-FR"/>
              </w:rPr>
              <w:t>39,4</w:t>
            </w:r>
          </w:p>
        </w:tc>
        <w:tc>
          <w:tcPr>
            <w:tcW w:w="794" w:type="dxa"/>
          </w:tcPr>
          <w:p w:rsidR="007416C3" w:rsidRDefault="007416C3" w:rsidP="00F45DBE">
            <w:pPr>
              <w:pStyle w:val="TableText0"/>
              <w:spacing w:before="60" w:after="60" w:line="240" w:lineRule="auto"/>
              <w:jc w:val="center"/>
              <w:rPr>
                <w:lang w:val="fr-FR"/>
              </w:rPr>
            </w:pPr>
            <w:r>
              <w:rPr>
                <w:lang w:val="fr-FR"/>
              </w:rPr>
              <w:t>32,5</w:t>
            </w:r>
          </w:p>
        </w:tc>
        <w:tc>
          <w:tcPr>
            <w:tcW w:w="794" w:type="dxa"/>
          </w:tcPr>
          <w:p w:rsidR="007416C3" w:rsidRDefault="007416C3" w:rsidP="00F45DBE">
            <w:pPr>
              <w:pStyle w:val="TableText0"/>
              <w:spacing w:before="60" w:after="60" w:line="240" w:lineRule="auto"/>
              <w:jc w:val="center"/>
              <w:rPr>
                <w:lang w:val="fr-FR"/>
              </w:rPr>
            </w:pPr>
            <w:r>
              <w:rPr>
                <w:lang w:val="fr-FR"/>
              </w:rPr>
              <w:t>55,7</w:t>
            </w:r>
          </w:p>
        </w:tc>
        <w:tc>
          <w:tcPr>
            <w:tcW w:w="794" w:type="dxa"/>
          </w:tcPr>
          <w:p w:rsidR="007416C3" w:rsidRDefault="007416C3" w:rsidP="00F45DBE">
            <w:pPr>
              <w:pStyle w:val="TableText0"/>
              <w:spacing w:before="60" w:after="60" w:line="240" w:lineRule="auto"/>
              <w:jc w:val="center"/>
              <w:rPr>
                <w:lang w:val="fr-FR"/>
              </w:rPr>
            </w:pPr>
            <w:r>
              <w:rPr>
                <w:lang w:val="fr-FR"/>
              </w:rPr>
              <w:t>45,4</w:t>
            </w:r>
          </w:p>
        </w:tc>
        <w:tc>
          <w:tcPr>
            <w:tcW w:w="794" w:type="dxa"/>
          </w:tcPr>
          <w:p w:rsidR="007416C3" w:rsidRDefault="007416C3" w:rsidP="00F45DBE">
            <w:pPr>
              <w:pStyle w:val="TableText0"/>
              <w:spacing w:before="60" w:after="60" w:line="240" w:lineRule="auto"/>
              <w:jc w:val="center"/>
              <w:rPr>
                <w:lang w:val="fr-FR"/>
              </w:rPr>
            </w:pPr>
            <w:r>
              <w:rPr>
                <w:lang w:val="fr-FR"/>
              </w:rPr>
              <w:t>73,2</w:t>
            </w:r>
          </w:p>
        </w:tc>
      </w:tr>
    </w:tbl>
    <w:p w:rsidR="007416C3" w:rsidRDefault="007416C3" w:rsidP="00F45DBE">
      <w:pPr>
        <w:pStyle w:val="Tablefin"/>
        <w:rPr>
          <w:lang w:val="fr-FR"/>
        </w:rPr>
      </w:pPr>
    </w:p>
    <w:p w:rsidR="007416C3" w:rsidRDefault="007416C3" w:rsidP="00F45DBE">
      <w:pPr>
        <w:pStyle w:val="Heading1"/>
      </w:pPr>
      <w:r>
        <w:t>2</w:t>
      </w:r>
      <w:r>
        <w:tab/>
        <w:t>Caractéristiques techniques</w:t>
      </w:r>
    </w:p>
    <w:p w:rsidR="007416C3" w:rsidRPr="00DF23E9" w:rsidRDefault="007416C3" w:rsidP="00F45DBE">
      <w:pPr>
        <w:rPr>
          <w:sz w:val="20"/>
        </w:rPr>
      </w:pPr>
      <w:r w:rsidRPr="00DF23E9">
        <w:rPr>
          <w:sz w:val="20"/>
        </w:rPr>
        <w:t xml:space="preserve">Les caractéristiques techniques dépendent des critères de marge d'évanouissement. Deux cas seront considérés: propagation par temps clair et propagation dans des conditions d'évanouissement. </w:t>
      </w:r>
    </w:p>
    <w:p w:rsidR="007416C3" w:rsidRPr="00DF23E9" w:rsidRDefault="007416C3" w:rsidP="00F45DBE">
      <w:pPr>
        <w:rPr>
          <w:sz w:val="20"/>
        </w:rPr>
      </w:pPr>
      <w:r w:rsidRPr="00DF23E9">
        <w:rPr>
          <w:sz w:val="20"/>
        </w:rPr>
        <w:t>Dans le sens descendant, les systèmes fonctionnent avec une puissance d'émission fixe, tandis que, dans le sens montant, les émetteurs sont dotés d'une commande automatique de puissance.</w:t>
      </w:r>
    </w:p>
    <w:p w:rsidR="007416C3" w:rsidRPr="00DF23E9" w:rsidRDefault="007416C3" w:rsidP="00F45DBE">
      <w:pPr>
        <w:rPr>
          <w:sz w:val="20"/>
        </w:rPr>
      </w:pPr>
      <w:r w:rsidRPr="00DF23E9">
        <w:rPr>
          <w:sz w:val="20"/>
        </w:rPr>
        <w:t xml:space="preserve">La Recommandation UIT-R F.758 décrit les caractéristiques de systèmes exploités avec une densité spectrale de p.i.r.e. (station centrale) de </w:t>
      </w:r>
      <w:r w:rsidR="00743F93" w:rsidRPr="00743F93">
        <w:rPr>
          <w:sz w:val="20"/>
        </w:rPr>
        <w:t>+</w:t>
      </w:r>
      <w:r w:rsidRPr="00DF23E9">
        <w:rPr>
          <w:sz w:val="20"/>
        </w:rPr>
        <w:t>8 dB(W/MHz) dans la bande 25,25-27,5 GHz et pour lesquels il faut prévoir, avec une portée de 5 km, une marge d'évanouissement de 37 dB.</w:t>
      </w:r>
    </w:p>
    <w:p w:rsidR="007416C3" w:rsidRPr="00DF23E9" w:rsidRDefault="007416C3" w:rsidP="00F45DBE">
      <w:pPr>
        <w:rPr>
          <w:sz w:val="20"/>
        </w:rPr>
      </w:pPr>
      <w:r w:rsidRPr="00DF23E9">
        <w:rPr>
          <w:sz w:val="20"/>
        </w:rPr>
        <w:t xml:space="preserve">La Recommandation UIT-R F.758 décrit également les caractéristiques de systèmes exploités avec une densité spectrale de p.i.r.e. (station centrale) de </w:t>
      </w:r>
      <w:r w:rsidR="00743F93" w:rsidRPr="00743F93">
        <w:rPr>
          <w:sz w:val="20"/>
        </w:rPr>
        <w:t>+</w:t>
      </w:r>
      <w:r w:rsidRPr="00DF23E9">
        <w:rPr>
          <w:sz w:val="20"/>
        </w:rPr>
        <w:t xml:space="preserve">30 dB(W/MHz), la densité spectrale de p.i.r.e. (station d'abonné) étant de </w:t>
      </w:r>
      <w:r w:rsidR="00743F93" w:rsidRPr="00743F93">
        <w:rPr>
          <w:sz w:val="20"/>
        </w:rPr>
        <w:t>+</w:t>
      </w:r>
      <w:r w:rsidRPr="00DF23E9">
        <w:rPr>
          <w:sz w:val="20"/>
        </w:rPr>
        <w:t>42 dB(W/MHz) dans les bandes 27,5-28,35, 29,1-29,25 et 31,0-31,3 GHz, et pour lesquels il faut disposer d'une marge d'évanouissement de 57 dB avec une portée de 5 km.</w:t>
      </w:r>
    </w:p>
    <w:p w:rsidR="007416C3" w:rsidRPr="00DF23E9" w:rsidRDefault="007416C3" w:rsidP="00F45DBE">
      <w:pPr>
        <w:rPr>
          <w:sz w:val="20"/>
        </w:rPr>
      </w:pPr>
      <w:r w:rsidRPr="00DF23E9">
        <w:rPr>
          <w:sz w:val="20"/>
        </w:rPr>
        <w:t>Les caractéristiques techniques, c'est-à-dire la puissance d'émission, sont normalement ajustées en fonction de la marge d'évanouissement requise et de la portée spécifiée.</w:t>
      </w:r>
    </w:p>
    <w:p w:rsidR="007416C3" w:rsidRDefault="007416C3" w:rsidP="00F45DBE">
      <w:pPr>
        <w:pStyle w:val="Heading1"/>
      </w:pPr>
      <w:r>
        <w:t>3</w:t>
      </w:r>
      <w:r>
        <w:tab/>
        <w:t>Caractéristiques d'antenne</w:t>
      </w:r>
    </w:p>
    <w:p w:rsidR="007416C3" w:rsidRPr="00DF23E9" w:rsidRDefault="007416C3" w:rsidP="00F45DBE">
      <w:pPr>
        <w:rPr>
          <w:sz w:val="20"/>
        </w:rPr>
      </w:pPr>
      <w:r w:rsidRPr="00DF23E9">
        <w:rPr>
          <w:sz w:val="20"/>
        </w:rPr>
        <w:t>Les systèmes LMCS/LMDS utilisent des antennes conçues pour diverses dimensions de secteur et applications de station centrale. Le type d'antenne peut également être adapté en fonction du relief, de la marge de liaison et des caractéristiques de qualité de fonctionnement spécifiées.</w:t>
      </w:r>
    </w:p>
    <w:p w:rsidR="007416C3" w:rsidRPr="00DF23E9" w:rsidRDefault="007416C3" w:rsidP="00F45DBE">
      <w:pPr>
        <w:rPr>
          <w:sz w:val="20"/>
        </w:rPr>
      </w:pPr>
      <w:r w:rsidRPr="00DF23E9">
        <w:rPr>
          <w:sz w:val="20"/>
        </w:rPr>
        <w:t>On se référera à la Recommandation UIT-R F.1336 pour les diagrammes de rayonnement d'antenne correspondants. Dans tous les cas, on suppose une polarisation orthogonale entre secteurs adjacents.</w:t>
      </w:r>
    </w:p>
    <w:p w:rsidR="007416C3" w:rsidRDefault="007416C3" w:rsidP="00F45DBE">
      <w:pPr>
        <w:pStyle w:val="Heading1"/>
      </w:pPr>
      <w:r>
        <w:t>4</w:t>
      </w:r>
      <w:r>
        <w:tab/>
        <w:t>p.i.r.e. des stations d'abonné</w:t>
      </w:r>
    </w:p>
    <w:p w:rsidR="007416C3" w:rsidRPr="00DF23E9" w:rsidRDefault="007416C3" w:rsidP="00F45DBE">
      <w:pPr>
        <w:rPr>
          <w:sz w:val="20"/>
        </w:rPr>
      </w:pPr>
      <w:r w:rsidRPr="00DF23E9">
        <w:rPr>
          <w:sz w:val="20"/>
        </w:rPr>
        <w:t xml:space="preserve">Au niveau des stations d'abonné, une commande automatique de puissance permet de minimiser les brouillages induits dans le système LMCS/LMDS. On parle alors de commande de puissance du terminal distant dans le sens montant. La puissance d'émission de la station d'abonné varie en fonction de l'affaiblissement sur le trajet: il s'agit de maintenir constant le rapport énergie/densité spectrale de puissance de bruit, </w:t>
      </w:r>
      <w:r w:rsidRPr="00DF23E9">
        <w:rPr>
          <w:i/>
          <w:sz w:val="20"/>
        </w:rPr>
        <w:t>E</w:t>
      </w:r>
      <w:r w:rsidRPr="00DF23E9">
        <w:rPr>
          <w:i/>
          <w:position w:val="-4"/>
          <w:sz w:val="20"/>
        </w:rPr>
        <w:t>b</w:t>
      </w:r>
      <w:r w:rsidRPr="00DF23E9">
        <w:rPr>
          <w:sz w:val="20"/>
        </w:rPr>
        <w:t>/</w:t>
      </w:r>
      <w:r w:rsidRPr="00DF23E9">
        <w:rPr>
          <w:i/>
          <w:sz w:val="20"/>
        </w:rPr>
        <w:t>N</w:t>
      </w:r>
      <w:r w:rsidRPr="00DF23E9">
        <w:rPr>
          <w:position w:val="-4"/>
          <w:sz w:val="20"/>
        </w:rPr>
        <w:t>0</w:t>
      </w:r>
      <w:r w:rsidRPr="00DF23E9">
        <w:rPr>
          <w:sz w:val="20"/>
        </w:rPr>
        <w:t xml:space="preserve">, relevé au niveau du démodulateur de la </w:t>
      </w:r>
      <w:r w:rsidRPr="00DF23E9">
        <w:rPr>
          <w:sz w:val="20"/>
        </w:rPr>
        <w:lastRenderedPageBreak/>
        <w:t xml:space="preserve">station centrale. Les stations d'abonné proches de la station centrale ont un niveau de puissance d'émission très inférieur à celui des stations d'abonné distantes. Par temps clair, les stations d'abonné n'utilisent que le niveau de puissance requis pour respecter le seuil </w:t>
      </w:r>
      <w:r w:rsidRPr="00DF23E9">
        <w:rPr>
          <w:i/>
          <w:sz w:val="20"/>
        </w:rPr>
        <w:t>E</w:t>
      </w:r>
      <w:r w:rsidRPr="00DF23E9">
        <w:rPr>
          <w:i/>
          <w:position w:val="-4"/>
          <w:sz w:val="20"/>
        </w:rPr>
        <w:t>b</w:t>
      </w:r>
      <w:r w:rsidRPr="00DF23E9">
        <w:rPr>
          <w:sz w:val="20"/>
        </w:rPr>
        <w:t>/</w:t>
      </w:r>
      <w:r w:rsidRPr="00DF23E9">
        <w:rPr>
          <w:i/>
          <w:sz w:val="20"/>
        </w:rPr>
        <w:t>N</w:t>
      </w:r>
      <w:r w:rsidRPr="00DF23E9">
        <w:rPr>
          <w:position w:val="-4"/>
          <w:sz w:val="20"/>
        </w:rPr>
        <w:t>0</w:t>
      </w:r>
      <w:r w:rsidRPr="00DF23E9">
        <w:rPr>
          <w:sz w:val="20"/>
        </w:rPr>
        <w:t xml:space="preserve"> au niveau du récepteur central.</w:t>
      </w:r>
    </w:p>
    <w:p w:rsidR="007416C3" w:rsidRPr="00DF23E9" w:rsidRDefault="007416C3" w:rsidP="00F45DBE">
      <w:pPr>
        <w:rPr>
          <w:sz w:val="20"/>
        </w:rPr>
      </w:pPr>
      <w:r w:rsidRPr="00DF23E9">
        <w:rPr>
          <w:sz w:val="20"/>
        </w:rPr>
        <w:t xml:space="preserve">En présence d'un affaiblissement supplémentaire dû aux précipitations sur le trajet entre la station d'abonné et la station centrale, on augmente la puissance des stations d'abonné affectées pour compenser l'affaiblissement et maintenir constant le seuil </w:t>
      </w:r>
      <w:r w:rsidRPr="00DF23E9">
        <w:rPr>
          <w:i/>
          <w:sz w:val="20"/>
        </w:rPr>
        <w:t>E</w:t>
      </w:r>
      <w:r w:rsidRPr="00DF23E9">
        <w:rPr>
          <w:i/>
          <w:position w:val="-4"/>
          <w:sz w:val="20"/>
        </w:rPr>
        <w:t>b</w:t>
      </w:r>
      <w:r w:rsidRPr="00DF23E9">
        <w:rPr>
          <w:sz w:val="20"/>
        </w:rPr>
        <w:t>/</w:t>
      </w:r>
      <w:r w:rsidRPr="00DF23E9">
        <w:rPr>
          <w:i/>
          <w:sz w:val="20"/>
        </w:rPr>
        <w:t>N</w:t>
      </w:r>
      <w:r w:rsidRPr="00DF23E9">
        <w:rPr>
          <w:position w:val="-4"/>
          <w:sz w:val="20"/>
        </w:rPr>
        <w:t>0</w:t>
      </w:r>
      <w:r w:rsidRPr="00DF23E9">
        <w:rPr>
          <w:sz w:val="20"/>
        </w:rPr>
        <w:t xml:space="preserve"> à la réception au niveau de la station centrale. Tout affaiblissement dû à la pluie entre la station centrale et l'observateur entraîne un surcroît d'affaiblissement du signal par rapport au niveau obtenu par temps clair. La p.i.r.e. apparente de la station d'abonné ne peut être qu'égale ou inférieure à la valeur obtenue par temps clair pour un observateur distant regardant en direction de la station centrale (c'est-à-dire qu'aucune marge d'évanouissement n'est prévue au niveau de la liaison descendante).</w:t>
      </w:r>
    </w:p>
    <w:p w:rsidR="007416C3" w:rsidRPr="00DF23E9" w:rsidRDefault="007416C3" w:rsidP="00F45DBE">
      <w:pPr>
        <w:rPr>
          <w:sz w:val="20"/>
        </w:rPr>
      </w:pPr>
      <w:r w:rsidRPr="00DF23E9">
        <w:rPr>
          <w:sz w:val="20"/>
        </w:rPr>
        <w:t xml:space="preserve">Il est nécessaire de prévoir une commande de puissance automatique dans le sens montant pour remédier aux effets des brouillages induits et rendre réalisable le concept LMCS/LMDS dans un service bidirectionnel. Les stations d'abonné n'émettent que lorsqu'elles pointent vers une station centrale. Le niveau de puissance d'émission dépend de la distance par rapport à cette station centrale. Les stations d'abonné n'émettent qu'au niveau de puissance nécessaire pour fournir le niveau seuil de réception </w:t>
      </w:r>
      <w:r w:rsidR="009E524E" w:rsidRPr="00DF23E9">
        <w:rPr>
          <w:i/>
          <w:sz w:val="20"/>
        </w:rPr>
        <w:t>E</w:t>
      </w:r>
      <w:r w:rsidR="009E524E" w:rsidRPr="009E524E">
        <w:rPr>
          <w:i/>
          <w:iCs/>
          <w:sz w:val="20"/>
          <w:vertAlign w:val="subscript"/>
        </w:rPr>
        <w:t>b</w:t>
      </w:r>
      <w:r w:rsidR="009E524E" w:rsidRPr="00DF23E9">
        <w:rPr>
          <w:sz w:val="20"/>
        </w:rPr>
        <w:t>/</w:t>
      </w:r>
      <w:r w:rsidR="009E524E" w:rsidRPr="00DF23E9">
        <w:rPr>
          <w:i/>
          <w:sz w:val="20"/>
        </w:rPr>
        <w:t>N</w:t>
      </w:r>
      <w:r w:rsidR="009E524E" w:rsidRPr="009E524E">
        <w:rPr>
          <w:sz w:val="20"/>
          <w:vertAlign w:val="subscript"/>
        </w:rPr>
        <w:t>0</w:t>
      </w:r>
      <w:r w:rsidRPr="00DF23E9">
        <w:rPr>
          <w:sz w:val="20"/>
        </w:rPr>
        <w:t xml:space="preserve"> requis en fonction du format de modulation considéré au niveau de la station centrale. Dans de bonnes conditions de fonctionnement, l'effet des brouillages entre stations d'abonné des systèmes LMCS/LMDS sur le rapport </w:t>
      </w:r>
      <w:r w:rsidRPr="00DF23E9">
        <w:rPr>
          <w:i/>
          <w:sz w:val="20"/>
        </w:rPr>
        <w:t>E</w:t>
      </w:r>
      <w:r w:rsidRPr="009E524E">
        <w:rPr>
          <w:i/>
          <w:iCs/>
          <w:sz w:val="20"/>
          <w:vertAlign w:val="subscript"/>
        </w:rPr>
        <w:t>b</w:t>
      </w:r>
      <w:r w:rsidRPr="00DF23E9">
        <w:rPr>
          <w:sz w:val="20"/>
        </w:rPr>
        <w:t>/</w:t>
      </w:r>
      <w:r w:rsidRPr="00DF23E9">
        <w:rPr>
          <w:i/>
          <w:sz w:val="20"/>
        </w:rPr>
        <w:t>N</w:t>
      </w:r>
      <w:r w:rsidRPr="009E524E">
        <w:rPr>
          <w:sz w:val="20"/>
          <w:vertAlign w:val="subscript"/>
        </w:rPr>
        <w:t>0</w:t>
      </w:r>
      <w:r w:rsidRPr="00DF23E9">
        <w:rPr>
          <w:sz w:val="20"/>
        </w:rPr>
        <w:t xml:space="preserve"> à la réception (station centrale) ne doit pas dépasser 0,5 dB.</w:t>
      </w:r>
    </w:p>
    <w:p w:rsidR="007416C3" w:rsidRPr="00DF23E9" w:rsidRDefault="007416C3" w:rsidP="00F45DBE">
      <w:pPr>
        <w:rPr>
          <w:sz w:val="20"/>
        </w:rPr>
      </w:pPr>
      <w:r w:rsidRPr="00DF23E9">
        <w:rPr>
          <w:sz w:val="20"/>
        </w:rPr>
        <w:t>Il convient de noter que les stations d'abonné d'un secteur fonctionnent toujours sur des canaux différents. Pour un observateur distant, le faisceau principal d'une seule station d'abonné par secteur rayonne d'une cellule donnée vers l'observateur en un instant et pour une fréquence donnés.</w:t>
      </w:r>
    </w:p>
    <w:p w:rsidR="007416C3" w:rsidRPr="00DF23E9" w:rsidRDefault="007416C3" w:rsidP="00F45DBE">
      <w:pPr>
        <w:rPr>
          <w:sz w:val="20"/>
        </w:rPr>
      </w:pPr>
      <w:r w:rsidRPr="00DF23E9">
        <w:rPr>
          <w:sz w:val="20"/>
        </w:rPr>
        <w:t>A la limite entre deux secteurs, le maximum des contributions sur un même canal est de deux signaux. La station d'abonné du premier secteur fonctionne en polarisation horizontale, celle du second secteur en polarisation verticale. La probabilité de fonctionnement simultané de deux stations d'abonné sur la fréquence de l'observateur dans la très étroite région représentée par une frontière de secteurs est très faible.</w:t>
      </w:r>
    </w:p>
    <w:p w:rsidR="007416C3" w:rsidRDefault="007416C3" w:rsidP="00F45DBE">
      <w:pPr>
        <w:pStyle w:val="Heading1"/>
      </w:pPr>
      <w:r>
        <w:t>5</w:t>
      </w:r>
      <w:r>
        <w:tab/>
        <w:t>Caractéristiques opérationnelles des systèmes P-MP</w:t>
      </w:r>
    </w:p>
    <w:p w:rsidR="007416C3" w:rsidRPr="00DF23E9" w:rsidRDefault="007416C3" w:rsidP="00F45DBE">
      <w:pPr>
        <w:rPr>
          <w:sz w:val="20"/>
        </w:rPr>
      </w:pPr>
      <w:r w:rsidRPr="00DF23E9">
        <w:rPr>
          <w:sz w:val="20"/>
        </w:rPr>
        <w:t>Les caractéristiques opérationnelles ont une incidence sur la probabilité d'émission sur un canal donné. Différents facteurs interviennent en l'occurrence, notamment la p.i.r.e. en fonction de la zone hydrométéorologique, l'utilisation éventuelle d'un protocole multi-accès, la charge générale de la bande, le pourcentage de capacité centrale utilisée, la combinaison de services proposée, diverses considérations économiques, politiques et administratives internes, la taille des cellules, le coefficient de chevauchement des configurations, etc. Chacun de ces facteurs limite les brouillages potentiels à une valeur inférieure au brouillage que l'on obtiendrait sur la base des densités et des capacités d'émission brutes. Ces facteurs appellent un complément d'étude.</w:t>
      </w:r>
    </w:p>
    <w:p w:rsidR="007416C3" w:rsidRDefault="007416C3" w:rsidP="00F45DBE"/>
    <w:p w:rsidR="00A6617B" w:rsidRDefault="00A6617B" w:rsidP="00F45DBE">
      <w:pPr>
        <w:pStyle w:val="Line"/>
      </w:pPr>
    </w:p>
    <w:p w:rsidR="007416C3" w:rsidRPr="00A6617B" w:rsidRDefault="007416C3" w:rsidP="00F45DBE">
      <w:pPr>
        <w:rPr>
          <w:lang w:val="en-US"/>
        </w:rPr>
      </w:pPr>
    </w:p>
    <w:sectPr w:rsidR="007416C3" w:rsidRPr="00A6617B" w:rsidSect="0011305B">
      <w:headerReference w:type="even" r:id="rId20"/>
      <w:headerReference w:type="default" r:id="rId21"/>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5D5" w:rsidRDefault="000305D5">
      <w:r>
        <w:separator/>
      </w:r>
    </w:p>
  </w:endnote>
  <w:endnote w:type="continuationSeparator" w:id="0">
    <w:p w:rsidR="000305D5" w:rsidRDefault="000305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5D5" w:rsidRDefault="000305D5">
      <w:r>
        <w:separator/>
      </w:r>
    </w:p>
  </w:footnote>
  <w:footnote w:type="continuationSeparator" w:id="0">
    <w:p w:rsidR="000305D5" w:rsidRDefault="000305D5">
      <w:r>
        <w:continuationSeparator/>
      </w:r>
    </w:p>
  </w:footnote>
  <w:footnote w:id="1">
    <w:p w:rsidR="000305D5" w:rsidRPr="00982160" w:rsidRDefault="000305D5" w:rsidP="007416C3">
      <w:pPr>
        <w:pStyle w:val="FootnoteText"/>
        <w:ind w:left="313" w:hanging="313"/>
        <w:rPr>
          <w:sz w:val="18"/>
          <w:szCs w:val="18"/>
        </w:rPr>
      </w:pPr>
      <w:r>
        <w:rPr>
          <w:rStyle w:val="FootnoteReference"/>
        </w:rPr>
        <w:t>*</w:t>
      </w:r>
      <w:r>
        <w:t xml:space="preserve"> </w:t>
      </w:r>
      <w:r w:rsidRPr="00982160">
        <w:rPr>
          <w:sz w:val="18"/>
          <w:szCs w:val="18"/>
        </w:rPr>
        <w:tab/>
        <w:t>Cette Recommandation doit être portée à l'attention des Commissions d'études 3 et 7 des radiocommunications.</w:t>
      </w:r>
    </w:p>
  </w:footnote>
  <w:footnote w:id="2">
    <w:p w:rsidR="000305D5" w:rsidRPr="00982160" w:rsidRDefault="000305D5">
      <w:pPr>
        <w:pStyle w:val="FootnoteText"/>
      </w:pPr>
      <w:r>
        <w:rPr>
          <w:rStyle w:val="FootnoteReference"/>
        </w:rPr>
        <w:footnoteRef/>
      </w:r>
      <w:r>
        <w:t xml:space="preserve"> </w:t>
      </w:r>
      <w:r>
        <w:tab/>
      </w:r>
      <w:r w:rsidRPr="00982160">
        <w:rPr>
          <w:sz w:val="18"/>
          <w:szCs w:val="18"/>
        </w:rPr>
        <w:t>La Commission d'études 5 des radiocommunications a apporté des modifications rédactionnelles à cette Recommandation en décembre 2009 conformément aux dispositions de la Résolution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5D5" w:rsidRDefault="000305D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5D5" w:rsidRDefault="000305D5" w:rsidP="00982160">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5D5" w:rsidRPr="00837CB5" w:rsidRDefault="000305D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Pr="000305D5">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F.755-2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5D5" w:rsidRDefault="000305D5">
    <w:pPr>
      <w:pStyle w:val="Header"/>
    </w:pPr>
    <w:r>
      <w:tab/>
    </w:r>
    <w:fldSimple w:instr=" DOCPROPERTY &quot;Header&quot; \* MERGEFORMAT ">
      <w:r w:rsidRPr="000305D5">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F.755-2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5D5" w:rsidRPr="0038038A" w:rsidRDefault="000305D5" w:rsidP="0038038A">
    <w:pPr>
      <w:pStyle w:val="Header"/>
      <w:jc w:val="left"/>
      <w:rPr>
        <w:b/>
        <w:bCs/>
      </w:rPr>
    </w:pPr>
    <w:r w:rsidRPr="0038038A">
      <w:rPr>
        <w:b/>
        <w:bCs/>
      </w:rPr>
      <w:fldChar w:fldCharType="begin"/>
    </w:r>
    <w:r w:rsidRPr="0038038A">
      <w:rPr>
        <w:b/>
        <w:bCs/>
      </w:rPr>
      <w:instrText>PAGE</w:instrText>
    </w:r>
    <w:r w:rsidRPr="0038038A">
      <w:rPr>
        <w:b/>
        <w:bCs/>
      </w:rPr>
      <w:fldChar w:fldCharType="separate"/>
    </w:r>
    <w:r>
      <w:rPr>
        <w:b/>
        <w:bCs/>
        <w:noProof/>
      </w:rPr>
      <w:t>6</w:t>
    </w:r>
    <w:r w:rsidRPr="0038038A">
      <w:rPr>
        <w:b/>
        <w:bCs/>
      </w:rPr>
      <w:fldChar w:fldCharType="end"/>
    </w:r>
    <w:r w:rsidRPr="0038038A">
      <w:rPr>
        <w:b/>
        <w:bCs/>
      </w:rPr>
      <w:tab/>
    </w:r>
    <w:r w:rsidRPr="0038038A">
      <w:rPr>
        <w:b/>
        <w:bCs/>
      </w:rPr>
      <w:fldChar w:fldCharType="begin"/>
    </w:r>
    <w:r w:rsidRPr="0038038A">
      <w:rPr>
        <w:b/>
        <w:bCs/>
      </w:rPr>
      <w:instrText>styleref head_foot</w:instrText>
    </w:r>
    <w:r w:rsidRPr="0038038A">
      <w:rPr>
        <w:b/>
        <w:bCs/>
      </w:rPr>
      <w:fldChar w:fldCharType="separate"/>
    </w:r>
    <w:r>
      <w:rPr>
        <w:b/>
        <w:bCs/>
        <w:noProof/>
      </w:rPr>
      <w:t>Rec. UIT-R F.755-2</w:t>
    </w:r>
    <w:r w:rsidRPr="0038038A">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5D5" w:rsidRPr="0038038A" w:rsidRDefault="000305D5" w:rsidP="0038038A">
    <w:pPr>
      <w:pStyle w:val="Header"/>
      <w:tabs>
        <w:tab w:val="center" w:pos="9696"/>
      </w:tabs>
      <w:rPr>
        <w:b/>
        <w:bCs/>
      </w:rPr>
    </w:pPr>
    <w:r w:rsidRPr="0038038A">
      <w:rPr>
        <w:b/>
        <w:bCs/>
      </w:rPr>
      <w:tab/>
    </w:r>
    <w:r w:rsidRPr="0038038A">
      <w:rPr>
        <w:b/>
        <w:bCs/>
      </w:rPr>
      <w:fldChar w:fldCharType="begin"/>
    </w:r>
    <w:r w:rsidRPr="0038038A">
      <w:rPr>
        <w:b/>
        <w:bCs/>
      </w:rPr>
      <w:instrText>styleref head_foot</w:instrText>
    </w:r>
    <w:r w:rsidRPr="0038038A">
      <w:rPr>
        <w:b/>
        <w:bCs/>
      </w:rPr>
      <w:fldChar w:fldCharType="separate"/>
    </w:r>
    <w:r>
      <w:rPr>
        <w:b/>
        <w:bCs/>
        <w:noProof/>
      </w:rPr>
      <w:t>Rec. UIT-R F.755-2</w:t>
    </w:r>
    <w:r w:rsidRPr="0038038A">
      <w:rPr>
        <w:b/>
        <w:bCs/>
      </w:rPr>
      <w:fldChar w:fldCharType="end"/>
    </w:r>
    <w:r w:rsidRPr="0038038A">
      <w:rPr>
        <w:b/>
        <w:bCs/>
      </w:rPr>
      <w:tab/>
    </w:r>
    <w:r w:rsidRPr="0038038A">
      <w:rPr>
        <w:b/>
        <w:bCs/>
      </w:rPr>
      <w:fldChar w:fldCharType="begin"/>
    </w:r>
    <w:r w:rsidRPr="0038038A">
      <w:rPr>
        <w:b/>
        <w:bCs/>
      </w:rPr>
      <w:instrText>PAGE</w:instrText>
    </w:r>
    <w:r w:rsidRPr="0038038A">
      <w:rPr>
        <w:b/>
        <w:bCs/>
      </w:rPr>
      <w:fldChar w:fldCharType="separate"/>
    </w:r>
    <w:r>
      <w:rPr>
        <w:b/>
        <w:bCs/>
        <w:noProof/>
      </w:rPr>
      <w:t>5</w:t>
    </w:r>
    <w:r w:rsidRPr="0038038A">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5D5" w:rsidRPr="0038038A" w:rsidRDefault="000305D5" w:rsidP="0038038A">
    <w:pPr>
      <w:pStyle w:val="Header"/>
      <w:tabs>
        <w:tab w:val="clear" w:pos="4848"/>
        <w:tab w:val="clear" w:pos="9696"/>
        <w:tab w:val="center" w:pos="7258"/>
        <w:tab w:val="center" w:pos="14515"/>
      </w:tabs>
      <w:rPr>
        <w:b/>
        <w:bCs/>
      </w:rPr>
    </w:pPr>
    <w:r w:rsidRPr="0038038A">
      <w:rPr>
        <w:b/>
        <w:bCs/>
      </w:rPr>
      <w:tab/>
    </w:r>
    <w:r w:rsidRPr="0038038A">
      <w:rPr>
        <w:b/>
        <w:bCs/>
      </w:rPr>
      <w:fldChar w:fldCharType="begin"/>
    </w:r>
    <w:r w:rsidRPr="0038038A">
      <w:rPr>
        <w:b/>
        <w:bCs/>
      </w:rPr>
      <w:instrText>styleref head_foot</w:instrText>
    </w:r>
    <w:r w:rsidRPr="0038038A">
      <w:rPr>
        <w:b/>
        <w:bCs/>
      </w:rPr>
      <w:fldChar w:fldCharType="separate"/>
    </w:r>
    <w:r>
      <w:rPr>
        <w:b/>
        <w:bCs/>
        <w:noProof/>
      </w:rPr>
      <w:t>Rec. UIT-R F.755-2</w:t>
    </w:r>
    <w:r w:rsidRPr="0038038A">
      <w:rPr>
        <w:b/>
        <w:bCs/>
      </w:rPr>
      <w:fldChar w:fldCharType="end"/>
    </w:r>
    <w:r w:rsidRPr="0038038A">
      <w:rPr>
        <w:b/>
        <w:bCs/>
      </w:rPr>
      <w:tab/>
    </w:r>
    <w:r w:rsidRPr="0038038A">
      <w:rPr>
        <w:b/>
        <w:bCs/>
      </w:rPr>
      <w:fldChar w:fldCharType="begin"/>
    </w:r>
    <w:r w:rsidRPr="0038038A">
      <w:rPr>
        <w:b/>
        <w:bCs/>
      </w:rPr>
      <w:instrText>PAGE</w:instrText>
    </w:r>
    <w:r w:rsidRPr="0038038A">
      <w:rPr>
        <w:b/>
        <w:bCs/>
      </w:rPr>
      <w:fldChar w:fldCharType="separate"/>
    </w:r>
    <w:r>
      <w:rPr>
        <w:b/>
        <w:bCs/>
        <w:noProof/>
      </w:rPr>
      <w:t>7</w:t>
    </w:r>
    <w:r w:rsidRPr="0038038A">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5D5" w:rsidRDefault="000305D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fldSimple w:instr=" DOCPROPERTY &quot;Header&quot; \* MERGEFORMAT ">
      <w:r w:rsidRPr="000305D5">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Pr>
        <w:b/>
        <w:bCs/>
        <w:noProof/>
      </w:rPr>
      <w:t>UIT-R  F.755-2</w:t>
    </w:r>
    <w:r>
      <w:rP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5D5" w:rsidRDefault="000305D5">
    <w:pPr>
      <w:pStyle w:val="Header"/>
    </w:pPr>
    <w:r>
      <w:tab/>
    </w:r>
    <w:fldSimple w:instr=" DOCPROPERTY &quot;Header&quot; \* MERGEFORMAT ">
      <w:r w:rsidRPr="000305D5">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F.755-2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rsids>
    <w:rsidRoot w:val="00CC11D8"/>
    <w:rsid w:val="000305D5"/>
    <w:rsid w:val="0011305B"/>
    <w:rsid w:val="00217EBF"/>
    <w:rsid w:val="002271A6"/>
    <w:rsid w:val="00282A7F"/>
    <w:rsid w:val="002D76C4"/>
    <w:rsid w:val="0037099E"/>
    <w:rsid w:val="0038038A"/>
    <w:rsid w:val="003E50D3"/>
    <w:rsid w:val="00471A12"/>
    <w:rsid w:val="004E1D87"/>
    <w:rsid w:val="00607D68"/>
    <w:rsid w:val="00612D79"/>
    <w:rsid w:val="006C38A7"/>
    <w:rsid w:val="007416C3"/>
    <w:rsid w:val="00743F93"/>
    <w:rsid w:val="007468DA"/>
    <w:rsid w:val="007F239C"/>
    <w:rsid w:val="00811DDB"/>
    <w:rsid w:val="00982160"/>
    <w:rsid w:val="009E524E"/>
    <w:rsid w:val="00A6617B"/>
    <w:rsid w:val="00A84034"/>
    <w:rsid w:val="00AA0BF2"/>
    <w:rsid w:val="00AB0DC8"/>
    <w:rsid w:val="00B44E24"/>
    <w:rsid w:val="00CC11D8"/>
    <w:rsid w:val="00CC6C53"/>
    <w:rsid w:val="00DA64EE"/>
    <w:rsid w:val="00DF23E9"/>
    <w:rsid w:val="00DF4176"/>
    <w:rsid w:val="00EA4E5B"/>
    <w:rsid w:val="00EB0527"/>
    <w:rsid w:val="00F45DBE"/>
    <w:rsid w:val="00F9093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1A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271A6"/>
    <w:pPr>
      <w:keepNext/>
      <w:keepLines/>
      <w:spacing w:before="480"/>
      <w:ind w:left="794" w:hanging="794"/>
      <w:outlineLvl w:val="0"/>
    </w:pPr>
    <w:rPr>
      <w:b/>
    </w:rPr>
  </w:style>
  <w:style w:type="paragraph" w:styleId="Heading2">
    <w:name w:val="heading 2"/>
    <w:basedOn w:val="Heading1"/>
    <w:next w:val="Normal"/>
    <w:qFormat/>
    <w:rsid w:val="002271A6"/>
    <w:pPr>
      <w:spacing w:before="320"/>
      <w:outlineLvl w:val="1"/>
    </w:pPr>
  </w:style>
  <w:style w:type="paragraph" w:styleId="Heading3">
    <w:name w:val="heading 3"/>
    <w:basedOn w:val="Heading1"/>
    <w:next w:val="Normal"/>
    <w:qFormat/>
    <w:rsid w:val="002271A6"/>
    <w:pPr>
      <w:spacing w:before="200"/>
      <w:outlineLvl w:val="2"/>
    </w:pPr>
  </w:style>
  <w:style w:type="paragraph" w:styleId="Heading4">
    <w:name w:val="heading 4"/>
    <w:basedOn w:val="Heading3"/>
    <w:next w:val="Normal"/>
    <w:qFormat/>
    <w:rsid w:val="002271A6"/>
    <w:pPr>
      <w:tabs>
        <w:tab w:val="clear" w:pos="794"/>
        <w:tab w:val="left" w:pos="992"/>
      </w:tabs>
      <w:ind w:left="992" w:hanging="992"/>
      <w:outlineLvl w:val="3"/>
    </w:pPr>
  </w:style>
  <w:style w:type="paragraph" w:styleId="Heading5">
    <w:name w:val="heading 5"/>
    <w:basedOn w:val="Heading4"/>
    <w:next w:val="Normal"/>
    <w:qFormat/>
    <w:rsid w:val="002271A6"/>
    <w:pPr>
      <w:outlineLvl w:val="4"/>
    </w:pPr>
  </w:style>
  <w:style w:type="paragraph" w:styleId="Heading6">
    <w:name w:val="heading 6"/>
    <w:basedOn w:val="Heading4"/>
    <w:next w:val="Normal"/>
    <w:qFormat/>
    <w:rsid w:val="002271A6"/>
    <w:pPr>
      <w:tabs>
        <w:tab w:val="clear" w:pos="992"/>
        <w:tab w:val="clear" w:pos="1191"/>
      </w:tabs>
      <w:ind w:left="1588" w:hanging="1588"/>
      <w:outlineLvl w:val="5"/>
    </w:pPr>
  </w:style>
  <w:style w:type="paragraph" w:styleId="Heading7">
    <w:name w:val="heading 7"/>
    <w:basedOn w:val="Heading6"/>
    <w:next w:val="Normal"/>
    <w:qFormat/>
    <w:rsid w:val="002271A6"/>
    <w:pPr>
      <w:outlineLvl w:val="6"/>
    </w:pPr>
  </w:style>
  <w:style w:type="paragraph" w:styleId="Heading8">
    <w:name w:val="heading 8"/>
    <w:basedOn w:val="Heading6"/>
    <w:next w:val="Normal"/>
    <w:qFormat/>
    <w:rsid w:val="002271A6"/>
    <w:pPr>
      <w:outlineLvl w:val="7"/>
    </w:pPr>
  </w:style>
  <w:style w:type="paragraph" w:styleId="Heading9">
    <w:name w:val="heading 9"/>
    <w:basedOn w:val="Heading6"/>
    <w:next w:val="Normal"/>
    <w:qFormat/>
    <w:rsid w:val="002271A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271A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271A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271A6"/>
  </w:style>
  <w:style w:type="paragraph" w:customStyle="1" w:styleId="Headingb">
    <w:name w:val="Heading_b"/>
    <w:basedOn w:val="Heading3"/>
    <w:next w:val="Normal"/>
    <w:rsid w:val="002271A6"/>
    <w:pPr>
      <w:spacing w:before="160"/>
      <w:ind w:left="0" w:firstLine="0"/>
      <w:outlineLvl w:val="9"/>
    </w:pPr>
  </w:style>
  <w:style w:type="paragraph" w:customStyle="1" w:styleId="Headingi">
    <w:name w:val="Heading_i"/>
    <w:basedOn w:val="Heading3"/>
    <w:next w:val="Normal"/>
    <w:rsid w:val="002271A6"/>
    <w:pPr>
      <w:spacing w:before="160"/>
      <w:ind w:left="0" w:firstLine="0"/>
    </w:pPr>
    <w:rPr>
      <w:b w:val="0"/>
      <w:i/>
    </w:rPr>
  </w:style>
  <w:style w:type="character" w:customStyle="1" w:styleId="href">
    <w:name w:val="href"/>
    <w:basedOn w:val="DefaultParagraphFont"/>
    <w:rsid w:val="002271A6"/>
  </w:style>
  <w:style w:type="paragraph" w:customStyle="1" w:styleId="enumlev1">
    <w:name w:val="enumlev1"/>
    <w:basedOn w:val="Normal"/>
    <w:rsid w:val="002271A6"/>
    <w:pPr>
      <w:spacing w:before="80"/>
      <w:ind w:left="794" w:hanging="794"/>
    </w:pPr>
  </w:style>
  <w:style w:type="paragraph" w:customStyle="1" w:styleId="enumlev2">
    <w:name w:val="enumlev2"/>
    <w:basedOn w:val="enumlev1"/>
    <w:rsid w:val="002271A6"/>
    <w:pPr>
      <w:ind w:left="1191" w:hanging="397"/>
    </w:pPr>
  </w:style>
  <w:style w:type="paragraph" w:customStyle="1" w:styleId="enumlev3">
    <w:name w:val="enumlev3"/>
    <w:basedOn w:val="enumlev2"/>
    <w:rsid w:val="002271A6"/>
    <w:pPr>
      <w:ind w:left="1588"/>
    </w:pPr>
  </w:style>
  <w:style w:type="paragraph" w:customStyle="1" w:styleId="Normalaftertitle">
    <w:name w:val="Normal_after_title"/>
    <w:basedOn w:val="Normal"/>
    <w:next w:val="Normal"/>
    <w:rsid w:val="002271A6"/>
    <w:pPr>
      <w:spacing w:before="320"/>
    </w:pPr>
  </w:style>
  <w:style w:type="paragraph" w:customStyle="1" w:styleId="Note">
    <w:name w:val="Note"/>
    <w:basedOn w:val="Normal"/>
    <w:rsid w:val="002271A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271A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2271A6"/>
    <w:pPr>
      <w:spacing w:before="240"/>
    </w:pPr>
    <w:rPr>
      <w:sz w:val="22"/>
      <w:lang w:val="es-ES_tradnl"/>
    </w:rPr>
  </w:style>
  <w:style w:type="paragraph" w:customStyle="1" w:styleId="Recref">
    <w:name w:val="Rec_ref"/>
    <w:basedOn w:val="Normal"/>
    <w:next w:val="Recdate"/>
    <w:rsid w:val="002271A6"/>
    <w:pPr>
      <w:jc w:val="center"/>
    </w:pPr>
  </w:style>
  <w:style w:type="paragraph" w:customStyle="1" w:styleId="Recdate">
    <w:name w:val="Rec_date"/>
    <w:basedOn w:val="Recref"/>
    <w:next w:val="Normalaftertitle"/>
    <w:rsid w:val="002271A6"/>
    <w:pPr>
      <w:jc w:val="right"/>
    </w:pPr>
  </w:style>
  <w:style w:type="paragraph" w:customStyle="1" w:styleId="AnnexNoTitle">
    <w:name w:val="Annex_NoTitle"/>
    <w:basedOn w:val="Normal"/>
    <w:next w:val="Normalaftertitle"/>
    <w:rsid w:val="002271A6"/>
    <w:pPr>
      <w:keepNext/>
      <w:keepLines/>
      <w:spacing w:before="480" w:after="80"/>
      <w:jc w:val="center"/>
    </w:pPr>
    <w:rPr>
      <w:b/>
      <w:sz w:val="28"/>
    </w:rPr>
  </w:style>
  <w:style w:type="paragraph" w:customStyle="1" w:styleId="AppendixNoTitle">
    <w:name w:val="Appendix_NoTitle"/>
    <w:basedOn w:val="AnnexNoTitle"/>
    <w:next w:val="Normal"/>
    <w:rsid w:val="002271A6"/>
  </w:style>
  <w:style w:type="paragraph" w:customStyle="1" w:styleId="Tablefin">
    <w:name w:val="Table_fin"/>
    <w:basedOn w:val="Normal"/>
    <w:next w:val="Normal"/>
    <w:rsid w:val="002271A6"/>
    <w:pPr>
      <w:spacing w:before="0"/>
    </w:pPr>
    <w:rPr>
      <w:sz w:val="20"/>
      <w:lang w:val="en-GB"/>
    </w:rPr>
  </w:style>
  <w:style w:type="paragraph" w:customStyle="1" w:styleId="Tablehead">
    <w:name w:val="Table_head"/>
    <w:basedOn w:val="Normal"/>
    <w:next w:val="Normal"/>
    <w:rsid w:val="002271A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271A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271A6"/>
    <w:pPr>
      <w:keepNext/>
      <w:spacing w:before="360" w:after="120"/>
      <w:jc w:val="center"/>
    </w:pPr>
  </w:style>
  <w:style w:type="paragraph" w:customStyle="1" w:styleId="Tabletext">
    <w:name w:val="Table_text"/>
    <w:basedOn w:val="Normal"/>
    <w:rsid w:val="002271A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271A6"/>
    <w:pPr>
      <w:tabs>
        <w:tab w:val="clear" w:pos="1191"/>
        <w:tab w:val="clear" w:pos="1588"/>
        <w:tab w:val="clear" w:pos="1985"/>
        <w:tab w:val="center" w:pos="4820"/>
        <w:tab w:val="right" w:pos="9639"/>
      </w:tabs>
    </w:pPr>
  </w:style>
  <w:style w:type="paragraph" w:customStyle="1" w:styleId="Equationlegend">
    <w:name w:val="Equation_legend"/>
    <w:basedOn w:val="NormalIndent"/>
    <w:rsid w:val="002271A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271A6"/>
    <w:pPr>
      <w:ind w:left="794"/>
    </w:pPr>
  </w:style>
  <w:style w:type="paragraph" w:customStyle="1" w:styleId="Figurelegend">
    <w:name w:val="Figure_legend"/>
    <w:basedOn w:val="Normal"/>
    <w:rsid w:val="002271A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2271A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271A6"/>
    <w:pPr>
      <w:keepNext/>
      <w:keepLines/>
      <w:spacing w:before="480"/>
      <w:jc w:val="center"/>
    </w:pPr>
    <w:rPr>
      <w:sz w:val="28"/>
    </w:rPr>
  </w:style>
  <w:style w:type="paragraph" w:customStyle="1" w:styleId="Arttitle">
    <w:name w:val="Art_title"/>
    <w:basedOn w:val="Normal"/>
    <w:next w:val="Normalaftertitle"/>
    <w:rsid w:val="002271A6"/>
    <w:pPr>
      <w:keepNext/>
      <w:keepLines/>
      <w:spacing w:before="240"/>
      <w:jc w:val="center"/>
    </w:pPr>
    <w:rPr>
      <w:b/>
      <w:sz w:val="28"/>
    </w:rPr>
  </w:style>
  <w:style w:type="paragraph" w:customStyle="1" w:styleId="Blanc">
    <w:name w:val="Blanc"/>
    <w:basedOn w:val="Normal"/>
    <w:next w:val="Tabletext"/>
    <w:rsid w:val="002271A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271A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271A6"/>
    <w:pPr>
      <w:keepNext/>
      <w:keepLines/>
      <w:spacing w:before="160"/>
      <w:ind w:left="794"/>
    </w:pPr>
    <w:rPr>
      <w:i/>
    </w:rPr>
  </w:style>
  <w:style w:type="paragraph" w:customStyle="1" w:styleId="ChapNo">
    <w:name w:val="Chap_No"/>
    <w:basedOn w:val="ArtNo"/>
    <w:next w:val="Chaptitle"/>
    <w:rsid w:val="002271A6"/>
    <w:rPr>
      <w:b/>
    </w:rPr>
  </w:style>
  <w:style w:type="paragraph" w:customStyle="1" w:styleId="Chaptitle">
    <w:name w:val="Chap_title"/>
    <w:basedOn w:val="Arttitle"/>
    <w:next w:val="Normalaftertitle"/>
    <w:rsid w:val="002271A6"/>
  </w:style>
  <w:style w:type="character" w:styleId="FootnoteReference">
    <w:name w:val="footnote reference"/>
    <w:basedOn w:val="DefaultParagraphFont"/>
    <w:semiHidden/>
    <w:rsid w:val="002271A6"/>
    <w:rPr>
      <w:position w:val="6"/>
      <w:sz w:val="18"/>
    </w:rPr>
  </w:style>
  <w:style w:type="paragraph" w:styleId="FootnoteText">
    <w:name w:val="footnote text"/>
    <w:basedOn w:val="Normal"/>
    <w:link w:val="FootnoteTextChar"/>
    <w:semiHidden/>
    <w:rsid w:val="002271A6"/>
    <w:pPr>
      <w:keepLines/>
      <w:tabs>
        <w:tab w:val="left" w:pos="255"/>
      </w:tabs>
      <w:ind w:left="255" w:hanging="255"/>
    </w:pPr>
    <w:rPr>
      <w:sz w:val="22"/>
    </w:rPr>
  </w:style>
  <w:style w:type="paragraph" w:styleId="Index1">
    <w:name w:val="index 1"/>
    <w:basedOn w:val="Normal"/>
    <w:next w:val="Normal"/>
    <w:semiHidden/>
    <w:rsid w:val="002271A6"/>
  </w:style>
  <w:style w:type="paragraph" w:styleId="Index2">
    <w:name w:val="index 2"/>
    <w:basedOn w:val="Normal"/>
    <w:next w:val="Normal"/>
    <w:semiHidden/>
    <w:rsid w:val="002271A6"/>
    <w:pPr>
      <w:ind w:left="283"/>
    </w:pPr>
  </w:style>
  <w:style w:type="paragraph" w:styleId="Index3">
    <w:name w:val="index 3"/>
    <w:basedOn w:val="Normal"/>
    <w:next w:val="Normal"/>
    <w:semiHidden/>
    <w:rsid w:val="002271A6"/>
    <w:pPr>
      <w:ind w:left="566"/>
    </w:pPr>
  </w:style>
  <w:style w:type="paragraph" w:styleId="IndexHeading">
    <w:name w:val="index heading"/>
    <w:basedOn w:val="Normal"/>
    <w:next w:val="Index1"/>
    <w:semiHidden/>
    <w:rsid w:val="002271A6"/>
  </w:style>
  <w:style w:type="paragraph" w:customStyle="1" w:styleId="Line">
    <w:name w:val="Line"/>
    <w:basedOn w:val="Normal"/>
    <w:next w:val="Normal"/>
    <w:rsid w:val="002271A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271A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271A6"/>
  </w:style>
  <w:style w:type="paragraph" w:customStyle="1" w:styleId="Partref">
    <w:name w:val="Part_ref"/>
    <w:basedOn w:val="Normal"/>
    <w:next w:val="Normal"/>
    <w:rsid w:val="002271A6"/>
    <w:pPr>
      <w:keepNext/>
      <w:keepLines/>
      <w:spacing w:after="280"/>
      <w:jc w:val="center"/>
    </w:pPr>
  </w:style>
  <w:style w:type="paragraph" w:customStyle="1" w:styleId="Parttitle">
    <w:name w:val="Part_title"/>
    <w:basedOn w:val="Normal"/>
    <w:next w:val="Normalaftertitle"/>
    <w:rsid w:val="002271A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271A6"/>
  </w:style>
  <w:style w:type="paragraph" w:customStyle="1" w:styleId="QuestionNo">
    <w:name w:val="Question_No"/>
    <w:basedOn w:val="RecNo"/>
    <w:next w:val="Normal"/>
    <w:rsid w:val="002271A6"/>
  </w:style>
  <w:style w:type="paragraph" w:customStyle="1" w:styleId="Questionref">
    <w:name w:val="Question_ref"/>
    <w:basedOn w:val="Recref"/>
    <w:next w:val="Questiondate"/>
    <w:rsid w:val="002271A6"/>
  </w:style>
  <w:style w:type="paragraph" w:customStyle="1" w:styleId="Questiontitle">
    <w:name w:val="Question_title"/>
    <w:basedOn w:val="Normal"/>
    <w:next w:val="Questionref"/>
    <w:rsid w:val="002271A6"/>
  </w:style>
  <w:style w:type="paragraph" w:customStyle="1" w:styleId="Reftext">
    <w:name w:val="Ref_text"/>
    <w:basedOn w:val="Normal"/>
    <w:rsid w:val="002271A6"/>
    <w:pPr>
      <w:ind w:left="794" w:hanging="794"/>
    </w:pPr>
    <w:rPr>
      <w:sz w:val="22"/>
    </w:rPr>
  </w:style>
  <w:style w:type="paragraph" w:customStyle="1" w:styleId="Reftitle">
    <w:name w:val="Ref_title"/>
    <w:basedOn w:val="Normal"/>
    <w:next w:val="Reftext"/>
    <w:rsid w:val="002271A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271A6"/>
  </w:style>
  <w:style w:type="paragraph" w:customStyle="1" w:styleId="RepNo">
    <w:name w:val="Rep_No"/>
    <w:basedOn w:val="RecNo"/>
    <w:next w:val="Reptitle"/>
    <w:rsid w:val="002271A6"/>
  </w:style>
  <w:style w:type="paragraph" w:customStyle="1" w:styleId="Repref">
    <w:name w:val="Rep_ref"/>
    <w:basedOn w:val="Recref"/>
    <w:next w:val="Repdate"/>
    <w:rsid w:val="002271A6"/>
  </w:style>
  <w:style w:type="paragraph" w:customStyle="1" w:styleId="Reptitle">
    <w:name w:val="Rep_title"/>
    <w:basedOn w:val="Rectitle"/>
    <w:next w:val="Repref"/>
    <w:rsid w:val="002271A6"/>
  </w:style>
  <w:style w:type="paragraph" w:customStyle="1" w:styleId="Resdate">
    <w:name w:val="Res_date"/>
    <w:basedOn w:val="Recdate"/>
    <w:next w:val="Normalaftertitle"/>
    <w:rsid w:val="002271A6"/>
  </w:style>
  <w:style w:type="paragraph" w:customStyle="1" w:styleId="ResNo">
    <w:name w:val="Res_No"/>
    <w:basedOn w:val="RecNo"/>
    <w:next w:val="Restitle"/>
    <w:rsid w:val="002271A6"/>
  </w:style>
  <w:style w:type="paragraph" w:customStyle="1" w:styleId="Resref">
    <w:name w:val="Res_ref"/>
    <w:basedOn w:val="Recref"/>
    <w:next w:val="Resdate"/>
    <w:rsid w:val="002271A6"/>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2271A6"/>
  </w:style>
  <w:style w:type="paragraph" w:customStyle="1" w:styleId="Sectiontitle">
    <w:name w:val="Section_title"/>
    <w:basedOn w:val="Normal"/>
    <w:next w:val="Normalaftertitle"/>
    <w:rsid w:val="002271A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271A6"/>
    <w:pPr>
      <w:tabs>
        <w:tab w:val="clear" w:pos="794"/>
        <w:tab w:val="clear" w:pos="1191"/>
        <w:tab w:val="clear" w:pos="1588"/>
        <w:tab w:val="clear" w:pos="1985"/>
        <w:tab w:val="right" w:pos="9611"/>
      </w:tabs>
    </w:pPr>
    <w:rPr>
      <w:i/>
    </w:rPr>
  </w:style>
  <w:style w:type="paragraph" w:styleId="TOC1">
    <w:name w:val="toc 1"/>
    <w:basedOn w:val="Normal"/>
    <w:semiHidden/>
    <w:rsid w:val="002271A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271A6"/>
    <w:pPr>
      <w:tabs>
        <w:tab w:val="clear" w:pos="567"/>
        <w:tab w:val="left" w:pos="1276"/>
      </w:tabs>
      <w:spacing w:before="160"/>
      <w:ind w:left="1276" w:hanging="709"/>
    </w:pPr>
  </w:style>
  <w:style w:type="paragraph" w:styleId="TOC3">
    <w:name w:val="toc 3"/>
    <w:basedOn w:val="TOC2"/>
    <w:semiHidden/>
    <w:rsid w:val="002271A6"/>
    <w:pPr>
      <w:tabs>
        <w:tab w:val="clear" w:pos="1276"/>
        <w:tab w:val="left" w:pos="2155"/>
      </w:tabs>
      <w:ind w:left="2155" w:hanging="879"/>
    </w:pPr>
  </w:style>
  <w:style w:type="paragraph" w:styleId="TOC4">
    <w:name w:val="toc 4"/>
    <w:basedOn w:val="TOC3"/>
    <w:semiHidden/>
    <w:rsid w:val="002271A6"/>
    <w:pPr>
      <w:tabs>
        <w:tab w:val="left" w:pos="3261"/>
      </w:tabs>
      <w:spacing w:before="80"/>
      <w:ind w:left="3261" w:hanging="993"/>
    </w:pPr>
  </w:style>
  <w:style w:type="paragraph" w:styleId="TOC5">
    <w:name w:val="toc 5"/>
    <w:basedOn w:val="TOC4"/>
    <w:semiHidden/>
    <w:rsid w:val="002271A6"/>
  </w:style>
  <w:style w:type="paragraph" w:styleId="TOC6">
    <w:name w:val="toc 6"/>
    <w:basedOn w:val="TOC4"/>
    <w:semiHidden/>
    <w:rsid w:val="002271A6"/>
  </w:style>
  <w:style w:type="paragraph" w:styleId="TOC7">
    <w:name w:val="toc 7"/>
    <w:basedOn w:val="TOC4"/>
    <w:semiHidden/>
    <w:rsid w:val="002271A6"/>
  </w:style>
  <w:style w:type="paragraph" w:styleId="TOC8">
    <w:name w:val="toc 8"/>
    <w:basedOn w:val="TOC4"/>
    <w:semiHidden/>
    <w:rsid w:val="002271A6"/>
  </w:style>
  <w:style w:type="paragraph" w:customStyle="1" w:styleId="Rectitle">
    <w:name w:val="Rec_title"/>
    <w:basedOn w:val="Normal"/>
    <w:next w:val="Recref"/>
    <w:rsid w:val="002271A6"/>
    <w:pPr>
      <w:keepNext/>
      <w:keepLines/>
      <w:spacing w:before="240"/>
      <w:jc w:val="center"/>
    </w:pPr>
    <w:rPr>
      <w:b/>
      <w:sz w:val="28"/>
    </w:rPr>
  </w:style>
  <w:style w:type="paragraph" w:customStyle="1" w:styleId="Annexref">
    <w:name w:val="Annex_ref"/>
    <w:basedOn w:val="Normal"/>
    <w:next w:val="Normalaftertitle"/>
    <w:rsid w:val="002271A6"/>
    <w:pPr>
      <w:keepNext/>
      <w:keepLines/>
      <w:spacing w:after="280"/>
      <w:jc w:val="center"/>
    </w:pPr>
  </w:style>
  <w:style w:type="paragraph" w:customStyle="1" w:styleId="Appendixref">
    <w:name w:val="Appendix_ref"/>
    <w:basedOn w:val="Annexref"/>
    <w:next w:val="Normalaftertitle"/>
    <w:rsid w:val="002271A6"/>
  </w:style>
  <w:style w:type="paragraph" w:customStyle="1" w:styleId="Figuretitle">
    <w:name w:val="Figure_title"/>
    <w:basedOn w:val="Normal"/>
    <w:next w:val="Figure"/>
    <w:rsid w:val="002271A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271A6"/>
    <w:pPr>
      <w:keepNext/>
      <w:spacing w:before="0" w:after="120"/>
      <w:jc w:val="center"/>
    </w:pPr>
    <w:rPr>
      <w:b/>
    </w:rPr>
  </w:style>
  <w:style w:type="paragraph" w:customStyle="1" w:styleId="Summary">
    <w:name w:val="Summary"/>
    <w:basedOn w:val="Normal"/>
    <w:next w:val="Normalaftertitle"/>
    <w:rsid w:val="002271A6"/>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416C3"/>
    <w:rPr>
      <w:color w:val="0000FF"/>
      <w:u w:val="single"/>
    </w:rPr>
  </w:style>
  <w:style w:type="character" w:styleId="EndnoteReference">
    <w:name w:val="endnote reference"/>
    <w:basedOn w:val="DefaultParagraphFont"/>
    <w:rsid w:val="007416C3"/>
    <w:rPr>
      <w:vertAlign w:val="superscript"/>
    </w:rPr>
  </w:style>
  <w:style w:type="paragraph" w:styleId="BalloonText">
    <w:name w:val="Balloon Text"/>
    <w:basedOn w:val="Normal"/>
    <w:link w:val="BalloonTextChar"/>
    <w:rsid w:val="007416C3"/>
    <w:pPr>
      <w:spacing w:before="0"/>
    </w:pPr>
    <w:rPr>
      <w:rFonts w:ascii="Tahoma" w:hAnsi="Tahoma" w:cs="Tahoma"/>
      <w:sz w:val="16"/>
      <w:szCs w:val="16"/>
    </w:rPr>
  </w:style>
  <w:style w:type="character" w:customStyle="1" w:styleId="BalloonTextChar">
    <w:name w:val="Balloon Text Char"/>
    <w:basedOn w:val="DefaultParagraphFont"/>
    <w:link w:val="BalloonText"/>
    <w:rsid w:val="007416C3"/>
    <w:rPr>
      <w:rFonts w:ascii="Tahoma" w:hAnsi="Tahoma" w:cs="Tahoma"/>
      <w:sz w:val="16"/>
      <w:szCs w:val="16"/>
      <w:lang w:val="fr-FR" w:eastAsia="en-US"/>
    </w:rPr>
  </w:style>
  <w:style w:type="paragraph" w:customStyle="1" w:styleId="TableLegend0">
    <w:name w:val="Table_Legend"/>
    <w:basedOn w:val="Normal"/>
    <w:next w:val="Normal"/>
    <w:rsid w:val="007416C3"/>
    <w:pPr>
      <w:keepNext/>
      <w:spacing w:before="86" w:line="199" w:lineRule="exact"/>
      <w:ind w:left="-85" w:right="-85"/>
    </w:pPr>
    <w:rPr>
      <w:sz w:val="18"/>
      <w:lang w:val="en-GB"/>
    </w:rPr>
  </w:style>
  <w:style w:type="paragraph" w:customStyle="1" w:styleId="TableText0">
    <w:name w:val="Table_Text"/>
    <w:basedOn w:val="TableLegend0"/>
    <w:rsid w:val="007416C3"/>
    <w:pPr>
      <w:spacing w:before="100" w:after="100" w:line="190" w:lineRule="exact"/>
      <w:ind w:left="0" w:right="0"/>
    </w:pPr>
  </w:style>
  <w:style w:type="paragraph" w:customStyle="1" w:styleId="TableTitle0">
    <w:name w:val="Table_Title"/>
    <w:basedOn w:val="Table"/>
    <w:next w:val="Blanc"/>
    <w:rsid w:val="007416C3"/>
    <w:pPr>
      <w:spacing w:before="0"/>
    </w:pPr>
    <w:rPr>
      <w:b/>
    </w:rPr>
  </w:style>
  <w:style w:type="paragraph" w:customStyle="1" w:styleId="Table">
    <w:name w:val="Table_#"/>
    <w:basedOn w:val="Normal"/>
    <w:next w:val="TableTitle0"/>
    <w:rsid w:val="007416C3"/>
    <w:pPr>
      <w:keepNext/>
      <w:tabs>
        <w:tab w:val="clear" w:pos="794"/>
        <w:tab w:val="clear" w:pos="1191"/>
        <w:tab w:val="clear" w:pos="1588"/>
        <w:tab w:val="clear" w:pos="1985"/>
      </w:tabs>
      <w:spacing w:before="567" w:after="113"/>
      <w:jc w:val="center"/>
    </w:pPr>
    <w:rPr>
      <w:sz w:val="18"/>
      <w:lang w:val="en-GB"/>
    </w:rPr>
  </w:style>
  <w:style w:type="paragraph" w:customStyle="1" w:styleId="Annex">
    <w:name w:val="Annex_#"/>
    <w:basedOn w:val="Normal"/>
    <w:next w:val="Annexref"/>
    <w:rsid w:val="007416C3"/>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aftertitle0"/>
    <w:rsid w:val="007416C3"/>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RecTitle0">
    <w:name w:val="Rec_Title"/>
    <w:basedOn w:val="Rec"/>
    <w:next w:val="RecTitleRef"/>
    <w:rsid w:val="007416C3"/>
    <w:pPr>
      <w:spacing w:before="180"/>
    </w:pPr>
    <w:rPr>
      <w:b/>
    </w:rPr>
  </w:style>
  <w:style w:type="paragraph" w:customStyle="1" w:styleId="Normalaftertitle0">
    <w:name w:val="Normal after title"/>
    <w:basedOn w:val="Normal"/>
    <w:next w:val="Normal"/>
    <w:rsid w:val="007416C3"/>
    <w:pPr>
      <w:spacing w:before="480"/>
    </w:pPr>
    <w:rPr>
      <w:sz w:val="20"/>
      <w:lang w:val="en-GB"/>
    </w:rPr>
  </w:style>
  <w:style w:type="paragraph" w:customStyle="1" w:styleId="call0">
    <w:name w:val="call"/>
    <w:basedOn w:val="Normal"/>
    <w:next w:val="Normal"/>
    <w:rsid w:val="007416C3"/>
    <w:pPr>
      <w:keepNext/>
      <w:keepLines/>
      <w:tabs>
        <w:tab w:val="clear" w:pos="1191"/>
        <w:tab w:val="clear" w:pos="1588"/>
        <w:tab w:val="clear" w:pos="1985"/>
      </w:tabs>
      <w:spacing w:before="227"/>
      <w:ind w:left="794"/>
      <w:jc w:val="left"/>
    </w:pPr>
    <w:rPr>
      <w:i/>
      <w:sz w:val="20"/>
      <w:lang w:val="en-GB"/>
    </w:rPr>
  </w:style>
  <w:style w:type="paragraph" w:customStyle="1" w:styleId="Rec">
    <w:name w:val="Rec_#"/>
    <w:basedOn w:val="Normal"/>
    <w:next w:val="RecTitle0"/>
    <w:rsid w:val="007416C3"/>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Ref">
    <w:name w:val="Rec_Title/Ref"/>
    <w:basedOn w:val="RecTitle0"/>
    <w:next w:val="RecTitleDate"/>
    <w:rsid w:val="007416C3"/>
    <w:pPr>
      <w:spacing w:before="136"/>
    </w:pPr>
    <w:rPr>
      <w:b w:val="0"/>
    </w:rPr>
  </w:style>
  <w:style w:type="paragraph" w:customStyle="1" w:styleId="RecTitleDate">
    <w:name w:val="Rec_Title/Date"/>
    <w:basedOn w:val="RecTitleRef"/>
    <w:next w:val="headfoot"/>
    <w:rsid w:val="007416C3"/>
    <w:pPr>
      <w:tabs>
        <w:tab w:val="clear" w:pos="4849"/>
      </w:tabs>
      <w:jc w:val="right"/>
    </w:pPr>
  </w:style>
  <w:style w:type="paragraph" w:customStyle="1" w:styleId="headfoot">
    <w:name w:val="head_foot"/>
    <w:basedOn w:val="Normal"/>
    <w:next w:val="Normalaftertitle0"/>
    <w:rsid w:val="007416C3"/>
    <w:pPr>
      <w:tabs>
        <w:tab w:val="clear" w:pos="794"/>
        <w:tab w:val="clear" w:pos="1191"/>
        <w:tab w:val="clear" w:pos="1588"/>
        <w:tab w:val="clear" w:pos="1985"/>
      </w:tabs>
      <w:spacing w:before="0"/>
    </w:pPr>
    <w:rPr>
      <w:b/>
      <w:color w:val="FFFFFF"/>
      <w:sz w:val="8"/>
      <w:lang w:val="en-GB"/>
    </w:rPr>
  </w:style>
  <w:style w:type="paragraph" w:customStyle="1" w:styleId="Fig">
    <w:name w:val="Fig_#"/>
    <w:basedOn w:val="Normal"/>
    <w:next w:val="Normal"/>
    <w:rsid w:val="007416C3"/>
    <w:pPr>
      <w:spacing w:before="136"/>
      <w:jc w:val="left"/>
    </w:pPr>
    <w:rPr>
      <w:color w:val="FFFFFF"/>
      <w:sz w:val="20"/>
      <w:lang w:val="en-US"/>
    </w:rPr>
  </w:style>
  <w:style w:type="character" w:customStyle="1" w:styleId="FootnoteTextChar">
    <w:name w:val="Footnote Text Char"/>
    <w:basedOn w:val="DefaultParagraphFont"/>
    <w:link w:val="FootnoteText"/>
    <w:semiHidden/>
    <w:rsid w:val="007416C3"/>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theme" Target="theme/theme1.xml"/><Relationship Id="rId10" Type="http://schemas.openxmlformats.org/officeDocument/2006/relationships/hyperlink" Target="http://www.itu.int/publ/R-REC/fr" TargetMode="Externa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8A18C-CC74-4155-99E0-43BD89AC2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146</TotalTime>
  <Pages>18</Pages>
  <Words>8313</Words>
  <Characters>45340</Characters>
  <Application>Microsoft Office Word</Application>
  <DocSecurity>0</DocSecurity>
  <Lines>377</Lines>
  <Paragraphs>107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53546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18</cp:revision>
  <cp:lastPrinted>2010-12-20T12:51:00Z</cp:lastPrinted>
  <dcterms:created xsi:type="dcterms:W3CDTF">2010-12-08T13:21:00Z</dcterms:created>
  <dcterms:modified xsi:type="dcterms:W3CDTF">2010-12-20T12:56:00Z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