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C55" w:rsidRPr="00575CB8" w:rsidRDefault="00DC5C55" w:rsidP="00DC5C55">
      <w:pPr>
        <w:rPr>
          <w:lang w:val="en-US"/>
        </w:rPr>
      </w:pPr>
      <w:bookmarkStart w:id="0" w:name="dbreak"/>
      <w:bookmarkEnd w:id="0"/>
    </w:p>
    <w:p w:rsidR="00DC5C55" w:rsidRDefault="00DC5C55" w:rsidP="00DC5C55"/>
    <w:p w:rsidR="00DC5C55" w:rsidRDefault="00DC5C55" w:rsidP="00DC5C55"/>
    <w:p w:rsidR="00DC5C55" w:rsidRDefault="00DC5C55" w:rsidP="00DC5C55"/>
    <w:p w:rsidR="00DC5C55" w:rsidRDefault="00DC5C55" w:rsidP="00DC5C55"/>
    <w:p w:rsidR="00DC5C55" w:rsidRDefault="00DC5C55" w:rsidP="00DC5C55"/>
    <w:p w:rsidR="00DC5C55" w:rsidRDefault="00DC5C55" w:rsidP="00DC5C55"/>
    <w:p w:rsidR="00DC5C55" w:rsidRDefault="00DC5C55" w:rsidP="00DC5C55"/>
    <w:p w:rsidR="00DC5C55" w:rsidRDefault="00DC5C55" w:rsidP="00DC5C55"/>
    <w:p w:rsidR="00DC5C55" w:rsidRDefault="00DC5C55" w:rsidP="00DC5C55"/>
    <w:p w:rsidR="00DC5C55" w:rsidRDefault="00DC5C55" w:rsidP="00DC5C55"/>
    <w:p w:rsidR="00DC5C55" w:rsidRDefault="00DC5C55" w:rsidP="00DC5C55"/>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DC5C55" w:rsidRPr="009B5F1D" w:rsidTr="00302200">
        <w:tc>
          <w:tcPr>
            <w:tcW w:w="10089" w:type="dxa"/>
          </w:tcPr>
          <w:p w:rsidR="00DC5C55" w:rsidRPr="0010336F" w:rsidRDefault="00DC5C55" w:rsidP="00302200">
            <w:pPr>
              <w:spacing w:before="380" w:line="280" w:lineRule="exact"/>
              <w:jc w:val="right"/>
              <w:rPr>
                <w:rFonts w:ascii="Tahoma" w:hAnsi="Tahoma" w:cs="Tahoma"/>
                <w:b/>
                <w:bCs/>
                <w:iCs/>
                <w:color w:val="243285"/>
                <w:sz w:val="32"/>
                <w:szCs w:val="32"/>
                <w:lang w:val="en-US"/>
              </w:rPr>
            </w:pPr>
          </w:p>
          <w:p w:rsidR="00DC5C55" w:rsidRPr="0010336F" w:rsidRDefault="00DC5C55" w:rsidP="000B169C">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0B169C">
              <w:rPr>
                <w:rFonts w:ascii="Tahoma" w:hAnsi="Tahoma" w:cs="Tahoma"/>
                <w:b/>
                <w:bCs/>
                <w:iCs/>
                <w:color w:val="243285"/>
                <w:sz w:val="36"/>
                <w:szCs w:val="36"/>
                <w:lang w:val="es-ES_tradnl"/>
              </w:rPr>
              <w:t>2113-0</w:t>
            </w:r>
          </w:p>
          <w:p w:rsidR="00DC5C55" w:rsidRPr="0010336F" w:rsidRDefault="00DC5C55" w:rsidP="00DE3B53">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DE3B53">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sidR="00DE3B53">
              <w:rPr>
                <w:rFonts w:ascii="Tahoma" w:hAnsi="Tahoma" w:cs="Tahoma"/>
                <w:b/>
                <w:bCs/>
                <w:iCs/>
                <w:color w:val="243285"/>
                <w:szCs w:val="24"/>
                <w:lang w:val="es-ES_tradnl"/>
              </w:rPr>
              <w:t>2018</w:t>
            </w:r>
            <w:r w:rsidRPr="0010336F">
              <w:rPr>
                <w:rFonts w:ascii="Tahoma" w:hAnsi="Tahoma" w:cs="Tahoma"/>
                <w:b/>
                <w:bCs/>
                <w:iCs/>
                <w:color w:val="243285"/>
                <w:szCs w:val="24"/>
                <w:lang w:val="es-ES_tradnl"/>
              </w:rPr>
              <w:t>)</w:t>
            </w:r>
          </w:p>
        </w:tc>
      </w:tr>
      <w:tr w:rsidR="00DC5C55" w:rsidRPr="00DE3B53" w:rsidTr="00302200">
        <w:tc>
          <w:tcPr>
            <w:tcW w:w="10089" w:type="dxa"/>
          </w:tcPr>
          <w:p w:rsidR="00DC5C55" w:rsidRPr="0010336F" w:rsidRDefault="00DC5C55" w:rsidP="00302200">
            <w:pPr>
              <w:spacing w:before="80" w:line="500" w:lineRule="exact"/>
              <w:jc w:val="right"/>
              <w:rPr>
                <w:rFonts w:ascii="Tahoma" w:hAnsi="Tahoma" w:cs="Tahoma"/>
                <w:b/>
                <w:bCs/>
                <w:iCs/>
                <w:color w:val="243285"/>
                <w:sz w:val="44"/>
                <w:szCs w:val="44"/>
                <w:lang w:val="es-ES_tradnl"/>
              </w:rPr>
            </w:pPr>
          </w:p>
          <w:p w:rsidR="00DC5C55" w:rsidRDefault="00DE3B53" w:rsidP="00DE3B53">
            <w:pPr>
              <w:spacing w:before="80" w:line="500" w:lineRule="exact"/>
              <w:jc w:val="right"/>
              <w:rPr>
                <w:rFonts w:ascii="Tahoma" w:hAnsi="Tahoma" w:cs="Tahoma"/>
                <w:b/>
                <w:bCs/>
                <w:color w:val="243285"/>
                <w:sz w:val="44"/>
                <w:szCs w:val="44"/>
                <w:lang w:val="es-ES_tradnl"/>
              </w:rPr>
            </w:pPr>
            <w:r w:rsidRPr="00DE3B53">
              <w:rPr>
                <w:rFonts w:ascii="Tahoma" w:hAnsi="Tahoma" w:cs="Tahoma"/>
                <w:b/>
                <w:bCs/>
                <w:color w:val="243285"/>
                <w:sz w:val="44"/>
                <w:szCs w:val="44"/>
                <w:lang w:val="es-ES_tradnl"/>
              </w:rPr>
              <w:t>Objetivos de característica de error y de disponibilidad para los sistemas de radioenlaces digitales reales punto a punto basados en paquetes</w:t>
            </w:r>
            <w:r>
              <w:rPr>
                <w:rFonts w:ascii="Tahoma" w:hAnsi="Tahoma" w:cs="Tahoma"/>
                <w:b/>
                <w:bCs/>
                <w:color w:val="243285"/>
                <w:sz w:val="44"/>
                <w:szCs w:val="44"/>
                <w:lang w:val="es-ES_tradnl"/>
              </w:rPr>
              <w:t xml:space="preserve"> </w:t>
            </w:r>
          </w:p>
          <w:p w:rsidR="00DC5C55" w:rsidRPr="0010336F" w:rsidRDefault="00DC5C55" w:rsidP="00302200">
            <w:pPr>
              <w:spacing w:before="80" w:line="500" w:lineRule="exact"/>
              <w:jc w:val="right"/>
              <w:rPr>
                <w:rFonts w:ascii="Tahoma" w:hAnsi="Tahoma" w:cs="Tahoma"/>
                <w:b/>
                <w:bCs/>
                <w:iCs/>
                <w:color w:val="243285"/>
                <w:sz w:val="44"/>
                <w:szCs w:val="44"/>
                <w:lang w:val="es-ES_tradnl"/>
              </w:rPr>
            </w:pPr>
          </w:p>
        </w:tc>
      </w:tr>
      <w:tr w:rsidR="00DC5C55" w:rsidRPr="0026666F" w:rsidTr="00302200">
        <w:tc>
          <w:tcPr>
            <w:tcW w:w="10089" w:type="dxa"/>
          </w:tcPr>
          <w:p w:rsidR="00DC5C55" w:rsidRPr="0010336F" w:rsidRDefault="00DC5C55" w:rsidP="00302200">
            <w:pPr>
              <w:spacing w:before="80" w:line="280" w:lineRule="exact"/>
              <w:ind w:right="640"/>
              <w:rPr>
                <w:rFonts w:ascii="Tahoma" w:hAnsi="Tahoma" w:cs="Tahoma"/>
                <w:b/>
                <w:bCs/>
                <w:iCs/>
                <w:color w:val="243285"/>
                <w:sz w:val="32"/>
                <w:szCs w:val="32"/>
                <w:lang w:val="es-ES_tradnl"/>
              </w:rPr>
            </w:pPr>
          </w:p>
          <w:p w:rsidR="00DC5C55" w:rsidRPr="0010336F" w:rsidRDefault="00DC5C55" w:rsidP="00302200">
            <w:pPr>
              <w:spacing w:before="80" w:line="280" w:lineRule="exact"/>
              <w:ind w:right="640"/>
              <w:rPr>
                <w:rFonts w:ascii="Tahoma" w:hAnsi="Tahoma" w:cs="Tahoma"/>
                <w:b/>
                <w:bCs/>
                <w:iCs/>
                <w:color w:val="243285"/>
                <w:sz w:val="32"/>
                <w:szCs w:val="32"/>
                <w:lang w:val="es-ES_tradnl"/>
              </w:rPr>
            </w:pPr>
          </w:p>
          <w:p w:rsidR="00DC5C55" w:rsidRPr="0010336F" w:rsidRDefault="00DC5C55" w:rsidP="00302200">
            <w:pPr>
              <w:spacing w:before="80" w:after="180" w:line="360" w:lineRule="exact"/>
              <w:ind w:right="720"/>
              <w:rPr>
                <w:rFonts w:ascii="Tahoma" w:hAnsi="Tahoma" w:cs="Tahoma"/>
                <w:b/>
                <w:bCs/>
                <w:iCs/>
                <w:color w:val="243285"/>
                <w:sz w:val="36"/>
                <w:szCs w:val="36"/>
                <w:lang w:val="es-ES_tradnl"/>
              </w:rPr>
            </w:pPr>
          </w:p>
          <w:p w:rsidR="00DC5C55" w:rsidRPr="0010336F" w:rsidRDefault="00DC5C55" w:rsidP="00302200">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DC5C55" w:rsidRPr="0010336F" w:rsidRDefault="00DC5C55" w:rsidP="00302200">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DC5C55" w:rsidRPr="0026666F" w:rsidRDefault="00DC5C55" w:rsidP="00DC5C55">
      <w:pPr>
        <w:spacing w:before="80"/>
        <w:rPr>
          <w:i/>
          <w:sz w:val="22"/>
          <w:lang w:val="es-ES_tradnl"/>
        </w:rPr>
      </w:pPr>
    </w:p>
    <w:p w:rsidR="00DC5C55" w:rsidRPr="0026666F" w:rsidRDefault="00DC5C55" w:rsidP="00DC5C55">
      <w:pPr>
        <w:spacing w:before="80"/>
        <w:rPr>
          <w:i/>
          <w:sz w:val="22"/>
          <w:lang w:val="es-ES_tradnl"/>
        </w:rPr>
      </w:pPr>
    </w:p>
    <w:p w:rsidR="00DC5C55" w:rsidRPr="0026666F" w:rsidRDefault="00DC5C55" w:rsidP="00DC5C55">
      <w:pPr>
        <w:spacing w:before="80"/>
        <w:rPr>
          <w:i/>
          <w:sz w:val="22"/>
          <w:lang w:val="es-ES_tradnl"/>
        </w:rPr>
      </w:pPr>
    </w:p>
    <w:p w:rsidR="00DC5C55" w:rsidRPr="0026666F" w:rsidRDefault="00DC5C55" w:rsidP="00DC5C55">
      <w:pPr>
        <w:spacing w:before="80"/>
        <w:rPr>
          <w:i/>
          <w:sz w:val="22"/>
          <w:lang w:val="es-ES_tradnl"/>
        </w:rPr>
      </w:pPr>
    </w:p>
    <w:p w:rsidR="00DC5C55" w:rsidRPr="0026666F" w:rsidRDefault="00DC5C55" w:rsidP="00DC5C55">
      <w:pPr>
        <w:spacing w:before="80"/>
        <w:rPr>
          <w:i/>
          <w:sz w:val="22"/>
          <w:lang w:val="es-ES_tradnl"/>
        </w:rPr>
      </w:pPr>
    </w:p>
    <w:p w:rsidR="00DC5C55" w:rsidRPr="0026666F" w:rsidRDefault="00DC5C55" w:rsidP="00DC5C55">
      <w:pPr>
        <w:spacing w:before="80"/>
        <w:rPr>
          <w:i/>
          <w:sz w:val="22"/>
          <w:lang w:val="es-ES_tradnl"/>
        </w:rPr>
      </w:pPr>
    </w:p>
    <w:p w:rsidR="00DC5C55" w:rsidRPr="0026666F" w:rsidRDefault="00DC5C55" w:rsidP="00DC5C55">
      <w:pPr>
        <w:pStyle w:val="Equation"/>
        <w:tabs>
          <w:tab w:val="clear" w:pos="4820"/>
          <w:tab w:val="clear" w:pos="9639"/>
          <w:tab w:val="left" w:pos="1191"/>
          <w:tab w:val="left" w:pos="1588"/>
          <w:tab w:val="left" w:pos="1985"/>
        </w:tabs>
        <w:rPr>
          <w:rFonts w:ascii="Palatino Linotype" w:hAnsi="Palatino Linotype"/>
          <w:lang w:val="es-ES_tradnl"/>
        </w:rPr>
        <w:sectPr w:rsidR="00DC5C55" w:rsidRPr="0026666F">
          <w:headerReference w:type="even" r:id="rId7"/>
          <w:headerReference w:type="default" r:id="rId8"/>
          <w:pgSz w:w="11907" w:h="16840" w:code="9"/>
          <w:pgMar w:top="1089" w:right="1089" w:bottom="284" w:left="1089" w:header="567" w:footer="284" w:gutter="0"/>
          <w:pgNumType w:start="1"/>
          <w:cols w:space="720"/>
        </w:sectPr>
      </w:pPr>
    </w:p>
    <w:p w:rsidR="00DC5C55" w:rsidRPr="006C718C" w:rsidRDefault="00DC5C55" w:rsidP="00DC5C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DC5C55" w:rsidRPr="006C718C" w:rsidRDefault="00DC5C55" w:rsidP="00DC5C5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C5C55" w:rsidRPr="006C718C" w:rsidRDefault="00DC5C55" w:rsidP="00DC5C5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C5C55" w:rsidRPr="00021E8A" w:rsidRDefault="00DC5C55" w:rsidP="00DC5C55">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C5C55" w:rsidRPr="00021E8A" w:rsidRDefault="00DC5C55" w:rsidP="00DC5C55">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C5C55" w:rsidRPr="007C36CA" w:rsidRDefault="00DC5C55" w:rsidP="00DC5C55">
      <w:pPr>
        <w:spacing w:before="0"/>
        <w:jc w:val="center"/>
        <w:rPr>
          <w:sz w:val="22"/>
          <w:lang w:val="es-ES_tradnl"/>
        </w:rPr>
      </w:pPr>
    </w:p>
    <w:p w:rsidR="00DC5C55" w:rsidRPr="007C36CA" w:rsidRDefault="00DC5C55" w:rsidP="00DC5C5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C5C55" w:rsidRPr="009B5F1D" w:rsidTr="00302200">
        <w:tc>
          <w:tcPr>
            <w:tcW w:w="9360" w:type="dxa"/>
            <w:gridSpan w:val="2"/>
          </w:tcPr>
          <w:p w:rsidR="00DC5C55" w:rsidRPr="00021E8A" w:rsidRDefault="00DC5C55" w:rsidP="0030220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C5C55" w:rsidRPr="00763D08" w:rsidRDefault="00DC5C55" w:rsidP="003022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DC5C55" w:rsidRPr="00036EE3" w:rsidTr="00302200">
        <w:tc>
          <w:tcPr>
            <w:tcW w:w="1140" w:type="dxa"/>
            <w:tcBorders>
              <w:bottom w:val="nil"/>
            </w:tcBorders>
          </w:tcPr>
          <w:p w:rsidR="00DC5C55" w:rsidRPr="00036EE3" w:rsidRDefault="00DC5C55" w:rsidP="00302200">
            <w:pPr>
              <w:spacing w:before="180" w:after="100"/>
              <w:ind w:left="57"/>
              <w:rPr>
                <w:b/>
                <w:bCs/>
                <w:sz w:val="20"/>
                <w:lang w:val="en-US"/>
              </w:rPr>
            </w:pPr>
            <w:r w:rsidRPr="00036EE3">
              <w:rPr>
                <w:b/>
                <w:bCs/>
                <w:sz w:val="20"/>
                <w:lang w:val="en-US"/>
              </w:rPr>
              <w:t>Series</w:t>
            </w:r>
          </w:p>
        </w:tc>
        <w:tc>
          <w:tcPr>
            <w:tcW w:w="8220" w:type="dxa"/>
            <w:tcBorders>
              <w:bottom w:val="nil"/>
            </w:tcBorders>
          </w:tcPr>
          <w:p w:rsidR="00DC5C55" w:rsidRPr="00036EE3" w:rsidRDefault="00DC5C55" w:rsidP="003022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C5C55" w:rsidRPr="004532F7" w:rsidTr="00302200">
        <w:tc>
          <w:tcPr>
            <w:tcW w:w="1140" w:type="dxa"/>
            <w:tcBorders>
              <w:top w:val="nil"/>
              <w:bottom w:val="nil"/>
            </w:tcBorders>
            <w:shd w:val="clear" w:color="auto" w:fill="auto"/>
          </w:tcPr>
          <w:p w:rsidR="00DC5C55" w:rsidRPr="004532F7" w:rsidRDefault="00DC5C55" w:rsidP="00302200">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DC5C55" w:rsidRPr="004532F7" w:rsidRDefault="00DC5C55" w:rsidP="003022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DC5C55" w:rsidRPr="009B5F1D" w:rsidTr="00302200">
        <w:tc>
          <w:tcPr>
            <w:tcW w:w="1140" w:type="dxa"/>
            <w:tcBorders>
              <w:top w:val="nil"/>
              <w:bottom w:val="nil"/>
            </w:tcBorders>
            <w:shd w:val="clear" w:color="auto" w:fill="auto"/>
          </w:tcPr>
          <w:p w:rsidR="00DC5C55" w:rsidRPr="006B22C3" w:rsidRDefault="00DC5C55" w:rsidP="00302200">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DC5C55" w:rsidRPr="006B22C3" w:rsidRDefault="00DC5C55" w:rsidP="003022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DC5C55" w:rsidRPr="00847DD5" w:rsidTr="00302200">
        <w:tc>
          <w:tcPr>
            <w:tcW w:w="1140" w:type="dxa"/>
            <w:tcBorders>
              <w:top w:val="nil"/>
              <w:bottom w:val="nil"/>
            </w:tcBorders>
            <w:shd w:val="clear" w:color="auto" w:fill="auto"/>
          </w:tcPr>
          <w:p w:rsidR="00DC5C55" w:rsidRPr="00847DD5" w:rsidRDefault="00DC5C55" w:rsidP="00302200">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DC5C55" w:rsidRPr="00847DD5" w:rsidRDefault="00DC5C55" w:rsidP="003022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DC5C55" w:rsidRPr="00ED2695" w:rsidTr="00302200">
        <w:tc>
          <w:tcPr>
            <w:tcW w:w="1140" w:type="dxa"/>
            <w:tcBorders>
              <w:top w:val="nil"/>
              <w:bottom w:val="nil"/>
            </w:tcBorders>
            <w:shd w:val="clear" w:color="auto" w:fill="auto"/>
          </w:tcPr>
          <w:p w:rsidR="00DC5C55" w:rsidRPr="00ED2695" w:rsidRDefault="00DC5C55" w:rsidP="0030220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DC5C55" w:rsidRPr="00021E8A" w:rsidRDefault="00DC5C55" w:rsidP="003022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C5C55" w:rsidRPr="00847DD5" w:rsidTr="00302200">
        <w:tc>
          <w:tcPr>
            <w:tcW w:w="1140" w:type="dxa"/>
            <w:tcBorders>
              <w:top w:val="nil"/>
              <w:bottom w:val="nil"/>
            </w:tcBorders>
            <w:shd w:val="clear" w:color="auto" w:fill="F3F3F3"/>
          </w:tcPr>
          <w:p w:rsidR="00DC5C55" w:rsidRPr="00847DD5" w:rsidRDefault="00DC5C55" w:rsidP="00302200">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DC5C55" w:rsidRPr="00847DD5" w:rsidRDefault="00DC5C55" w:rsidP="0030220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DC5C55" w:rsidRPr="009B5F1D" w:rsidTr="00302200">
        <w:tc>
          <w:tcPr>
            <w:tcW w:w="1140" w:type="dxa"/>
            <w:tcBorders>
              <w:top w:val="nil"/>
              <w:bottom w:val="nil"/>
            </w:tcBorders>
            <w:shd w:val="clear" w:color="auto" w:fill="auto"/>
          </w:tcPr>
          <w:p w:rsidR="00DC5C55" w:rsidRPr="0010336F" w:rsidRDefault="00DC5C55" w:rsidP="00302200">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DC5C55" w:rsidRPr="0010336F" w:rsidRDefault="00DC5C55" w:rsidP="003022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C5C55" w:rsidRPr="009B5F1D" w:rsidTr="00302200">
        <w:tc>
          <w:tcPr>
            <w:tcW w:w="1140" w:type="dxa"/>
            <w:tcBorders>
              <w:top w:val="nil"/>
            </w:tcBorders>
          </w:tcPr>
          <w:p w:rsidR="00DC5C55" w:rsidRPr="00036EE3" w:rsidRDefault="00DC5C55" w:rsidP="00302200">
            <w:pPr>
              <w:spacing w:before="30" w:after="30"/>
              <w:ind w:left="57"/>
              <w:jc w:val="left"/>
              <w:rPr>
                <w:b/>
                <w:bCs/>
                <w:sz w:val="20"/>
                <w:lang w:val="fr-CH"/>
              </w:rPr>
            </w:pPr>
            <w:r w:rsidRPr="00036EE3">
              <w:rPr>
                <w:b/>
                <w:bCs/>
                <w:sz w:val="20"/>
                <w:lang w:val="fr-CH"/>
              </w:rPr>
              <w:t>P</w:t>
            </w:r>
          </w:p>
        </w:tc>
        <w:tc>
          <w:tcPr>
            <w:tcW w:w="8220" w:type="dxa"/>
            <w:tcBorders>
              <w:top w:val="nil"/>
            </w:tcBorders>
          </w:tcPr>
          <w:p w:rsidR="00DC5C55" w:rsidRPr="00021E8A" w:rsidRDefault="00DC5C55" w:rsidP="00302200">
            <w:pPr>
              <w:spacing w:before="30" w:after="30"/>
              <w:jc w:val="left"/>
              <w:rPr>
                <w:bCs/>
                <w:sz w:val="20"/>
                <w:lang w:val="es-ES_tradnl"/>
              </w:rPr>
            </w:pPr>
            <w:r w:rsidRPr="00021E8A">
              <w:rPr>
                <w:bCs/>
                <w:sz w:val="20"/>
                <w:lang w:val="es-ES_tradnl"/>
              </w:rPr>
              <w:t>Propagación de las ondas radioeléctricas</w:t>
            </w:r>
          </w:p>
        </w:tc>
      </w:tr>
      <w:tr w:rsidR="00DC5C55" w:rsidRPr="00036EE3" w:rsidTr="00302200">
        <w:tc>
          <w:tcPr>
            <w:tcW w:w="1140" w:type="dxa"/>
          </w:tcPr>
          <w:p w:rsidR="00DC5C55" w:rsidRPr="00036EE3" w:rsidRDefault="00DC5C55" w:rsidP="00302200">
            <w:pPr>
              <w:spacing w:before="30" w:after="30"/>
              <w:ind w:left="57"/>
              <w:jc w:val="left"/>
              <w:rPr>
                <w:b/>
                <w:bCs/>
                <w:sz w:val="20"/>
                <w:lang w:val="en-US"/>
              </w:rPr>
            </w:pPr>
            <w:r w:rsidRPr="00036EE3">
              <w:rPr>
                <w:b/>
                <w:bCs/>
                <w:sz w:val="20"/>
                <w:lang w:val="en-US"/>
              </w:rPr>
              <w:t>RA</w:t>
            </w:r>
          </w:p>
        </w:tc>
        <w:tc>
          <w:tcPr>
            <w:tcW w:w="8220" w:type="dxa"/>
          </w:tcPr>
          <w:p w:rsidR="00DC5C55" w:rsidRPr="00021E8A" w:rsidRDefault="00DC5C55" w:rsidP="0030220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DC5C55" w:rsidRPr="009B5F1D" w:rsidTr="00302200">
        <w:tc>
          <w:tcPr>
            <w:tcW w:w="1140" w:type="dxa"/>
          </w:tcPr>
          <w:p w:rsidR="00DC5C55" w:rsidRPr="00036EE3" w:rsidRDefault="00DC5C55" w:rsidP="00302200">
            <w:pPr>
              <w:spacing w:before="30" w:after="30"/>
              <w:ind w:left="57"/>
              <w:jc w:val="left"/>
              <w:rPr>
                <w:b/>
                <w:bCs/>
                <w:sz w:val="20"/>
                <w:lang w:val="en-US"/>
              </w:rPr>
            </w:pPr>
            <w:r w:rsidRPr="00036EE3">
              <w:rPr>
                <w:b/>
                <w:bCs/>
                <w:sz w:val="20"/>
                <w:lang w:val="en-US"/>
              </w:rPr>
              <w:t>RS</w:t>
            </w:r>
          </w:p>
        </w:tc>
        <w:tc>
          <w:tcPr>
            <w:tcW w:w="8220" w:type="dxa"/>
          </w:tcPr>
          <w:p w:rsidR="00DC5C55" w:rsidRPr="00021E8A" w:rsidRDefault="00DC5C55" w:rsidP="0030220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C5C55" w:rsidRPr="00036EE3" w:rsidTr="00302200">
        <w:tc>
          <w:tcPr>
            <w:tcW w:w="1140" w:type="dxa"/>
          </w:tcPr>
          <w:p w:rsidR="00DC5C55" w:rsidRPr="00036EE3" w:rsidRDefault="00DC5C55" w:rsidP="00302200">
            <w:pPr>
              <w:spacing w:before="30" w:after="30"/>
              <w:ind w:left="57"/>
              <w:jc w:val="left"/>
              <w:rPr>
                <w:b/>
                <w:bCs/>
                <w:sz w:val="20"/>
                <w:lang w:val="en-US"/>
              </w:rPr>
            </w:pPr>
            <w:r w:rsidRPr="00036EE3">
              <w:rPr>
                <w:b/>
                <w:bCs/>
                <w:sz w:val="20"/>
                <w:lang w:val="en-US"/>
              </w:rPr>
              <w:t>S</w:t>
            </w:r>
          </w:p>
        </w:tc>
        <w:tc>
          <w:tcPr>
            <w:tcW w:w="8220" w:type="dxa"/>
          </w:tcPr>
          <w:p w:rsidR="00DC5C55" w:rsidRPr="00021E8A" w:rsidRDefault="00DC5C55" w:rsidP="00302200">
            <w:pPr>
              <w:spacing w:before="30" w:after="30"/>
              <w:jc w:val="left"/>
              <w:rPr>
                <w:bCs/>
                <w:sz w:val="20"/>
                <w:lang w:val="en-US"/>
              </w:rPr>
            </w:pPr>
            <w:r w:rsidRPr="00021E8A">
              <w:rPr>
                <w:bCs/>
                <w:sz w:val="20"/>
              </w:rPr>
              <w:t>Servicio fijo por satélite</w:t>
            </w:r>
          </w:p>
        </w:tc>
      </w:tr>
      <w:tr w:rsidR="00DC5C55" w:rsidRPr="00036EE3" w:rsidTr="00302200">
        <w:tc>
          <w:tcPr>
            <w:tcW w:w="1140" w:type="dxa"/>
          </w:tcPr>
          <w:p w:rsidR="00DC5C55" w:rsidRPr="00036EE3" w:rsidRDefault="00DC5C55" w:rsidP="00302200">
            <w:pPr>
              <w:spacing w:before="30" w:after="30"/>
              <w:ind w:left="57"/>
              <w:jc w:val="left"/>
              <w:rPr>
                <w:b/>
                <w:bCs/>
                <w:sz w:val="20"/>
                <w:lang w:val="en-US"/>
              </w:rPr>
            </w:pPr>
            <w:r w:rsidRPr="00036EE3">
              <w:rPr>
                <w:b/>
                <w:bCs/>
                <w:sz w:val="20"/>
                <w:lang w:val="en-US"/>
              </w:rPr>
              <w:t>SA</w:t>
            </w:r>
          </w:p>
        </w:tc>
        <w:tc>
          <w:tcPr>
            <w:tcW w:w="8220" w:type="dxa"/>
          </w:tcPr>
          <w:p w:rsidR="00DC5C55" w:rsidRPr="00021E8A" w:rsidRDefault="00DC5C55" w:rsidP="00302200">
            <w:pPr>
              <w:spacing w:before="30" w:after="30"/>
              <w:jc w:val="left"/>
              <w:rPr>
                <w:bCs/>
                <w:sz w:val="20"/>
                <w:lang w:val="en-US"/>
              </w:rPr>
            </w:pPr>
            <w:r w:rsidRPr="00021E8A">
              <w:rPr>
                <w:bCs/>
                <w:sz w:val="20"/>
              </w:rPr>
              <w:t>Aplicaciones espaciales y meteorología</w:t>
            </w:r>
          </w:p>
        </w:tc>
      </w:tr>
      <w:tr w:rsidR="00DC5C55" w:rsidRPr="009B5F1D" w:rsidTr="00302200">
        <w:tc>
          <w:tcPr>
            <w:tcW w:w="1140" w:type="dxa"/>
          </w:tcPr>
          <w:p w:rsidR="00DC5C55" w:rsidRPr="00036EE3" w:rsidRDefault="00DC5C55" w:rsidP="00302200">
            <w:pPr>
              <w:spacing w:before="30" w:after="30"/>
              <w:ind w:left="57"/>
              <w:jc w:val="left"/>
              <w:rPr>
                <w:b/>
                <w:bCs/>
                <w:sz w:val="20"/>
                <w:lang w:val="en-US"/>
              </w:rPr>
            </w:pPr>
            <w:r w:rsidRPr="00036EE3">
              <w:rPr>
                <w:b/>
                <w:bCs/>
                <w:sz w:val="20"/>
                <w:lang w:val="en-US"/>
              </w:rPr>
              <w:t>SF</w:t>
            </w:r>
          </w:p>
        </w:tc>
        <w:tc>
          <w:tcPr>
            <w:tcW w:w="8220" w:type="dxa"/>
          </w:tcPr>
          <w:p w:rsidR="00DC5C55" w:rsidRPr="00021E8A" w:rsidRDefault="00DC5C55" w:rsidP="00302200">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C5C55" w:rsidRPr="00036EE3" w:rsidTr="00302200">
        <w:tc>
          <w:tcPr>
            <w:tcW w:w="1140" w:type="dxa"/>
            <w:shd w:val="clear" w:color="auto" w:fill="auto"/>
          </w:tcPr>
          <w:p w:rsidR="00DC5C55" w:rsidRPr="001240BC" w:rsidRDefault="00DC5C55" w:rsidP="00302200">
            <w:pPr>
              <w:spacing w:before="30" w:after="30"/>
              <w:ind w:left="57"/>
              <w:jc w:val="left"/>
              <w:rPr>
                <w:b/>
                <w:bCs/>
                <w:sz w:val="20"/>
                <w:lang w:val="en-US"/>
              </w:rPr>
            </w:pPr>
            <w:r w:rsidRPr="001240BC">
              <w:rPr>
                <w:b/>
                <w:bCs/>
                <w:sz w:val="20"/>
                <w:lang w:val="en-US"/>
              </w:rPr>
              <w:t>SM</w:t>
            </w:r>
          </w:p>
        </w:tc>
        <w:tc>
          <w:tcPr>
            <w:tcW w:w="8220" w:type="dxa"/>
            <w:shd w:val="clear" w:color="auto" w:fill="auto"/>
          </w:tcPr>
          <w:p w:rsidR="00DC5C55" w:rsidRPr="001240BC" w:rsidRDefault="00DC5C55" w:rsidP="00302200">
            <w:pPr>
              <w:spacing w:before="30" w:after="30"/>
              <w:jc w:val="left"/>
              <w:rPr>
                <w:sz w:val="20"/>
                <w:lang w:val="en-US"/>
              </w:rPr>
            </w:pPr>
            <w:r w:rsidRPr="001240BC">
              <w:rPr>
                <w:sz w:val="20"/>
              </w:rPr>
              <w:t>Gestión del espectro</w:t>
            </w:r>
          </w:p>
        </w:tc>
      </w:tr>
      <w:tr w:rsidR="00DC5C55" w:rsidRPr="00036EE3" w:rsidTr="00302200">
        <w:tc>
          <w:tcPr>
            <w:tcW w:w="1140" w:type="dxa"/>
          </w:tcPr>
          <w:p w:rsidR="00DC5C55" w:rsidRPr="00036EE3" w:rsidRDefault="00DC5C55" w:rsidP="00302200">
            <w:pPr>
              <w:spacing w:before="30" w:after="30"/>
              <w:ind w:left="57"/>
              <w:jc w:val="left"/>
              <w:rPr>
                <w:b/>
                <w:bCs/>
                <w:sz w:val="20"/>
                <w:lang w:val="en-US"/>
              </w:rPr>
            </w:pPr>
            <w:r w:rsidRPr="00036EE3">
              <w:rPr>
                <w:b/>
                <w:bCs/>
                <w:sz w:val="20"/>
                <w:lang w:val="en-US"/>
              </w:rPr>
              <w:t>SNG</w:t>
            </w:r>
          </w:p>
        </w:tc>
        <w:tc>
          <w:tcPr>
            <w:tcW w:w="8220" w:type="dxa"/>
          </w:tcPr>
          <w:p w:rsidR="00DC5C55" w:rsidRPr="00021E8A" w:rsidRDefault="00DC5C55" w:rsidP="00302200">
            <w:pPr>
              <w:spacing w:before="30" w:after="30"/>
              <w:jc w:val="left"/>
              <w:rPr>
                <w:bCs/>
                <w:sz w:val="20"/>
                <w:lang w:val="en-US"/>
              </w:rPr>
            </w:pPr>
            <w:r w:rsidRPr="00021E8A">
              <w:rPr>
                <w:bCs/>
                <w:sz w:val="20"/>
              </w:rPr>
              <w:t>Periodismo electrónico por satélite</w:t>
            </w:r>
          </w:p>
        </w:tc>
      </w:tr>
      <w:tr w:rsidR="00DC5C55" w:rsidRPr="009B5F1D" w:rsidTr="00302200">
        <w:tc>
          <w:tcPr>
            <w:tcW w:w="1140" w:type="dxa"/>
          </w:tcPr>
          <w:p w:rsidR="00DC5C55" w:rsidRPr="00036EE3" w:rsidRDefault="00DC5C55" w:rsidP="00302200">
            <w:pPr>
              <w:spacing w:before="30" w:after="30"/>
              <w:ind w:left="57"/>
              <w:jc w:val="left"/>
              <w:rPr>
                <w:b/>
                <w:bCs/>
                <w:sz w:val="20"/>
                <w:lang w:val="en-US"/>
              </w:rPr>
            </w:pPr>
            <w:r w:rsidRPr="00036EE3">
              <w:rPr>
                <w:b/>
                <w:bCs/>
                <w:sz w:val="20"/>
                <w:lang w:val="en-US"/>
              </w:rPr>
              <w:t>TF</w:t>
            </w:r>
          </w:p>
        </w:tc>
        <w:tc>
          <w:tcPr>
            <w:tcW w:w="8220" w:type="dxa"/>
          </w:tcPr>
          <w:p w:rsidR="00DC5C55" w:rsidRPr="00021E8A" w:rsidRDefault="00DC5C55" w:rsidP="00302200">
            <w:pPr>
              <w:spacing w:before="30" w:after="30"/>
              <w:jc w:val="left"/>
              <w:rPr>
                <w:bCs/>
                <w:sz w:val="20"/>
                <w:lang w:val="es-ES_tradnl"/>
              </w:rPr>
            </w:pPr>
            <w:r w:rsidRPr="00021E8A">
              <w:rPr>
                <w:bCs/>
                <w:sz w:val="20"/>
                <w:lang w:val="es-ES_tradnl"/>
              </w:rPr>
              <w:t>Emisiones de frecuencias patrón y señales horarias</w:t>
            </w:r>
          </w:p>
        </w:tc>
      </w:tr>
      <w:tr w:rsidR="00DC5C55" w:rsidRPr="00036EE3" w:rsidTr="00302200">
        <w:tc>
          <w:tcPr>
            <w:tcW w:w="1140" w:type="dxa"/>
          </w:tcPr>
          <w:p w:rsidR="00DC5C55" w:rsidRPr="00036EE3" w:rsidRDefault="00DC5C55" w:rsidP="00302200">
            <w:pPr>
              <w:spacing w:before="30" w:after="30"/>
              <w:ind w:left="57"/>
              <w:jc w:val="left"/>
              <w:rPr>
                <w:b/>
                <w:bCs/>
                <w:sz w:val="20"/>
                <w:lang w:val="en-US"/>
              </w:rPr>
            </w:pPr>
            <w:r w:rsidRPr="00036EE3">
              <w:rPr>
                <w:b/>
                <w:bCs/>
                <w:sz w:val="20"/>
                <w:lang w:val="en-US"/>
              </w:rPr>
              <w:t>V</w:t>
            </w:r>
          </w:p>
        </w:tc>
        <w:tc>
          <w:tcPr>
            <w:tcW w:w="8220" w:type="dxa"/>
          </w:tcPr>
          <w:p w:rsidR="00DC5C55" w:rsidRPr="00021E8A" w:rsidRDefault="00DC5C55" w:rsidP="00302200">
            <w:pPr>
              <w:spacing w:before="30" w:after="140"/>
              <w:jc w:val="left"/>
              <w:rPr>
                <w:bCs/>
                <w:sz w:val="20"/>
                <w:lang w:val="en-US"/>
              </w:rPr>
            </w:pPr>
            <w:r w:rsidRPr="00021E8A">
              <w:rPr>
                <w:bCs/>
                <w:sz w:val="20"/>
              </w:rPr>
              <w:t>Vocabulario y cuestiones afines</w:t>
            </w:r>
          </w:p>
        </w:tc>
      </w:tr>
    </w:tbl>
    <w:p w:rsidR="00DC5C55" w:rsidRPr="00036EE3" w:rsidRDefault="00DC5C55" w:rsidP="00DC5C55">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C5C55" w:rsidTr="00302200">
        <w:tc>
          <w:tcPr>
            <w:tcW w:w="720" w:type="dxa"/>
          </w:tcPr>
          <w:p w:rsidR="00DC5C55" w:rsidRDefault="00DC5C55" w:rsidP="00302200">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DC5C55" w:rsidRPr="009B5F1D" w:rsidTr="00302200">
        <w:tc>
          <w:tcPr>
            <w:tcW w:w="9360" w:type="dxa"/>
          </w:tcPr>
          <w:p w:rsidR="00DC5C55" w:rsidRPr="00763D08" w:rsidRDefault="00DC5C55" w:rsidP="00302200">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DC5C55" w:rsidRPr="00763D08" w:rsidRDefault="00DC5C55" w:rsidP="00DC5C55">
      <w:pPr>
        <w:spacing w:before="0"/>
        <w:jc w:val="center"/>
        <w:rPr>
          <w:sz w:val="22"/>
          <w:lang w:val="es-ES_tradnl"/>
        </w:rPr>
      </w:pPr>
    </w:p>
    <w:p w:rsidR="00DC5C55" w:rsidRPr="00763D08" w:rsidRDefault="00DC5C55" w:rsidP="00DC5C55">
      <w:pPr>
        <w:spacing w:before="60"/>
        <w:jc w:val="right"/>
        <w:rPr>
          <w:i/>
          <w:iCs/>
          <w:sz w:val="20"/>
          <w:lang w:val="es-ES_tradnl"/>
        </w:rPr>
      </w:pPr>
      <w:r w:rsidRPr="00763D08">
        <w:rPr>
          <w:i/>
          <w:iCs/>
          <w:sz w:val="20"/>
          <w:lang w:val="es-ES_tradnl"/>
        </w:rPr>
        <w:t>Publicación electrónica</w:t>
      </w:r>
    </w:p>
    <w:p w:rsidR="00DC5C55" w:rsidRPr="00763D08" w:rsidRDefault="00DC5C55" w:rsidP="00DC5C55">
      <w:pPr>
        <w:spacing w:before="0" w:after="40"/>
        <w:jc w:val="right"/>
        <w:rPr>
          <w:sz w:val="20"/>
          <w:lang w:val="es-ES_tradnl"/>
        </w:rPr>
      </w:pPr>
      <w:r w:rsidRPr="00763D08">
        <w:rPr>
          <w:sz w:val="20"/>
          <w:lang w:val="es-ES_tradnl"/>
        </w:rPr>
        <w:t>Ginebra, 20</w:t>
      </w:r>
      <w:r>
        <w:rPr>
          <w:sz w:val="20"/>
          <w:lang w:val="es-ES_tradnl"/>
        </w:rPr>
        <w:t>18</w:t>
      </w:r>
    </w:p>
    <w:p w:rsidR="00DC5C55" w:rsidRPr="00763D08" w:rsidRDefault="00DC5C55" w:rsidP="00DC5C55">
      <w:pPr>
        <w:spacing w:before="0"/>
        <w:jc w:val="center"/>
        <w:rPr>
          <w:sz w:val="22"/>
          <w:lang w:val="es-ES_tradnl"/>
        </w:rPr>
      </w:pPr>
    </w:p>
    <w:p w:rsidR="00DC5C55" w:rsidRPr="00763D08" w:rsidRDefault="00DC5C55" w:rsidP="00DC5C5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18</w:t>
      </w:r>
    </w:p>
    <w:p w:rsidR="00DC5C55" w:rsidRPr="006C718C" w:rsidRDefault="00DC5C55" w:rsidP="00DC5C5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C5C55" w:rsidRPr="006C718C" w:rsidRDefault="00DC5C55" w:rsidP="00DC5C55">
      <w:pPr>
        <w:spacing w:before="160"/>
        <w:rPr>
          <w:i/>
          <w:sz w:val="20"/>
          <w:highlight w:val="yellow"/>
          <w:lang w:val="es-ES_tradnl"/>
        </w:rPr>
        <w:sectPr w:rsidR="00DC5C55"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0B169C" w:rsidRDefault="000B169C" w:rsidP="00B75AE8">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sidR="00B75AE8">
        <w:rPr>
          <w:rStyle w:val="href"/>
          <w:lang w:val="es-ES_tradnl"/>
        </w:rPr>
        <w:t>2113-0</w:t>
      </w:r>
    </w:p>
    <w:p w:rsidR="000B169C" w:rsidRPr="00F8488C" w:rsidRDefault="000B169C" w:rsidP="000B169C">
      <w:pPr>
        <w:pStyle w:val="Rectitle"/>
        <w:rPr>
          <w:lang w:val="es-ES_tradnl" w:eastAsia="zh-CN"/>
        </w:rPr>
      </w:pPr>
      <w:r w:rsidRPr="00F8488C">
        <w:rPr>
          <w:rFonts w:eastAsia="Times New Roman Bold"/>
          <w:lang w:val="es-ES_tradnl" w:eastAsia="zh-CN"/>
        </w:rPr>
        <w:t>Objetivos de característica de error y de disponibilidad para los sistemas de radioenlaces digitales reales punto a punto basados en paquetes</w:t>
      </w:r>
    </w:p>
    <w:p w:rsidR="000B169C" w:rsidRPr="00F8488C" w:rsidRDefault="000B169C" w:rsidP="000B169C">
      <w:pPr>
        <w:pStyle w:val="Recref"/>
        <w:rPr>
          <w:lang w:val="es-ES_tradnl"/>
        </w:rPr>
      </w:pPr>
      <w:r w:rsidRPr="00F8488C">
        <w:rPr>
          <w:lang w:val="es-ES_tradnl"/>
        </w:rPr>
        <w:t>(Cuestión UIT-R 255/5)</w:t>
      </w:r>
    </w:p>
    <w:p w:rsidR="000B169C" w:rsidRPr="00F8488C" w:rsidRDefault="000B169C" w:rsidP="000B169C">
      <w:pPr>
        <w:pStyle w:val="Recdate"/>
        <w:rPr>
          <w:lang w:val="es-ES_tradnl"/>
        </w:rPr>
      </w:pPr>
      <w:r w:rsidRPr="00F8488C">
        <w:rPr>
          <w:lang w:val="es-ES_tradnl"/>
        </w:rPr>
        <w:t>(2018)</w:t>
      </w:r>
    </w:p>
    <w:p w:rsidR="000B169C" w:rsidRPr="00F8488C" w:rsidRDefault="000B169C" w:rsidP="000B169C">
      <w:pPr>
        <w:pStyle w:val="HeadingSum"/>
      </w:pPr>
      <w:r w:rsidRPr="00F8488C">
        <w:t>Resumen</w:t>
      </w:r>
    </w:p>
    <w:p w:rsidR="000B169C" w:rsidRPr="00F8488C" w:rsidRDefault="000B169C" w:rsidP="000B169C">
      <w:pPr>
        <w:pStyle w:val="Summary"/>
        <w:rPr>
          <w:lang w:eastAsia="zh-CN"/>
        </w:rPr>
      </w:pPr>
      <w:r w:rsidRPr="00F8488C">
        <w:t>En esta Recomendación se describen eventos y parámetros de disponibilidad y característica de error para enlaces y equipos de servicios inalámbricos fijos basados en paquetes, se ofrece una fórmula para los objetivos de enlace, se incorporan relaciones entre sistemas basados en paquetes y en otras tecnologías, y se muestran ejemplos de aplicaciones de casos reales.</w:t>
      </w:r>
    </w:p>
    <w:p w:rsidR="000B169C" w:rsidRPr="00F8488C" w:rsidRDefault="000B169C" w:rsidP="000B169C">
      <w:pPr>
        <w:pStyle w:val="Headingb"/>
        <w:rPr>
          <w:lang w:val="es-ES_tradnl"/>
        </w:rPr>
      </w:pPr>
      <w:r w:rsidRPr="00F8488C">
        <w:rPr>
          <w:lang w:val="es-ES_tradnl"/>
        </w:rPr>
        <w:t>Cometido</w:t>
      </w:r>
    </w:p>
    <w:p w:rsidR="000B169C" w:rsidRPr="00F8488C" w:rsidRDefault="000B169C" w:rsidP="000B169C">
      <w:pPr>
        <w:rPr>
          <w:lang w:val="es-ES_tradnl"/>
        </w:rPr>
      </w:pPr>
      <w:r w:rsidRPr="00F8488C">
        <w:rPr>
          <w:lang w:val="es-ES_tradnl"/>
        </w:rPr>
        <w:t>En esta Recomendación se presenta un método para la asignación de objetivos de disponibilidad y característica de error a fin de diseñar adecuadamente los radioenlaces punto a punto basados en paquetes, en particular los radioenlaces Ethernet</w:t>
      </w:r>
      <w:r w:rsidRPr="00F8488C">
        <w:rPr>
          <w:lang w:val="es-ES_tradnl" w:eastAsia="zh-CN"/>
        </w:rPr>
        <w:t>.</w:t>
      </w:r>
    </w:p>
    <w:p w:rsidR="000B169C" w:rsidRPr="00F8488C" w:rsidRDefault="000B169C" w:rsidP="000B169C">
      <w:pPr>
        <w:pStyle w:val="Headingb"/>
        <w:rPr>
          <w:rFonts w:ascii="Times New Roman Bold" w:hAnsi="Times New Roman Bold" w:cs="Times New Roman Bold"/>
          <w:lang w:val="es-ES_tradnl"/>
        </w:rPr>
      </w:pPr>
      <w:r w:rsidRPr="00F8488C">
        <w:rPr>
          <w:lang w:val="es-ES_tradnl"/>
        </w:rPr>
        <w:t>Palabras clave</w:t>
      </w:r>
    </w:p>
    <w:p w:rsidR="000B169C" w:rsidRPr="00F8488C" w:rsidRDefault="000B169C" w:rsidP="000B169C">
      <w:pPr>
        <w:rPr>
          <w:lang w:val="es-ES_tradnl"/>
        </w:rPr>
      </w:pPr>
      <w:r w:rsidRPr="00F8488C">
        <w:rPr>
          <w:lang w:val="es-ES_tradnl"/>
        </w:rPr>
        <w:t>Servicio fijo, punto a punto, disponibilidad, característica de error, basado en paquetes, Ethernet</w:t>
      </w:r>
    </w:p>
    <w:p w:rsidR="000B169C" w:rsidRPr="00F8488C" w:rsidRDefault="000B169C" w:rsidP="000B169C">
      <w:pPr>
        <w:pStyle w:val="Headingb"/>
        <w:rPr>
          <w:lang w:val="es-ES_tradnl"/>
        </w:rPr>
      </w:pPr>
      <w:r w:rsidRPr="00F8488C">
        <w:rPr>
          <w:lang w:val="es-ES_tradnl"/>
        </w:rPr>
        <w:t>Abreviaturas/glosario</w:t>
      </w:r>
    </w:p>
    <w:p w:rsidR="000B169C" w:rsidRPr="00F8488C" w:rsidRDefault="000B169C" w:rsidP="000B169C">
      <w:pPr>
        <w:rPr>
          <w:lang w:val="es-ES_tradnl"/>
        </w:rPr>
      </w:pPr>
      <w:r w:rsidRPr="00F8488C">
        <w:rPr>
          <w:lang w:val="es-ES_tradnl"/>
        </w:rPr>
        <w:t>BER</w:t>
      </w:r>
      <w:r w:rsidRPr="00F8488C">
        <w:rPr>
          <w:lang w:val="es-ES_tradnl"/>
        </w:rPr>
        <w:tab/>
      </w:r>
      <w:r w:rsidRPr="00F8488C">
        <w:rPr>
          <w:lang w:val="es-ES_tradnl"/>
        </w:rPr>
        <w:tab/>
        <w:t>Tasa de errores en los bits</w:t>
      </w:r>
    </w:p>
    <w:p w:rsidR="000B169C" w:rsidRPr="00F8488C" w:rsidRDefault="000B169C" w:rsidP="000B169C">
      <w:pPr>
        <w:rPr>
          <w:lang w:val="es-ES_tradnl"/>
        </w:rPr>
      </w:pPr>
      <w:r w:rsidRPr="00F8488C">
        <w:rPr>
          <w:lang w:val="es-ES_tradnl"/>
        </w:rPr>
        <w:t>FER</w:t>
      </w:r>
      <w:r w:rsidRPr="00F8488C">
        <w:rPr>
          <w:lang w:val="es-ES_tradnl"/>
        </w:rPr>
        <w:tab/>
      </w:r>
      <w:r w:rsidRPr="00F8488C">
        <w:rPr>
          <w:lang w:val="es-ES_tradnl"/>
        </w:rPr>
        <w:tab/>
        <w:t>Tasa de errores en las tramas Ethernet</w:t>
      </w:r>
    </w:p>
    <w:p w:rsidR="000B169C" w:rsidRPr="00F8488C" w:rsidRDefault="000B169C" w:rsidP="000B169C">
      <w:pPr>
        <w:rPr>
          <w:lang w:val="es-ES_tradnl"/>
        </w:rPr>
      </w:pPr>
      <w:r w:rsidRPr="00F8488C">
        <w:rPr>
          <w:lang w:val="es-ES_tradnl"/>
        </w:rPr>
        <w:t>FLR</w:t>
      </w:r>
      <w:r w:rsidRPr="00F8488C">
        <w:rPr>
          <w:lang w:val="es-ES_tradnl"/>
        </w:rPr>
        <w:tab/>
      </w:r>
      <w:r w:rsidRPr="00F8488C">
        <w:rPr>
          <w:lang w:val="es-ES_tradnl"/>
        </w:rPr>
        <w:tab/>
        <w:t>Tasa de pérdida de tramas Ethernet</w:t>
      </w:r>
    </w:p>
    <w:p w:rsidR="000B169C" w:rsidRPr="00F8488C" w:rsidRDefault="000B169C" w:rsidP="000B169C">
      <w:pPr>
        <w:rPr>
          <w:lang w:val="es-ES_tradnl"/>
        </w:rPr>
      </w:pPr>
      <w:r w:rsidRPr="00F8488C">
        <w:rPr>
          <w:lang w:val="es-ES_tradnl"/>
        </w:rPr>
        <w:t>PEU</w:t>
      </w:r>
      <w:r w:rsidRPr="00F8488C">
        <w:rPr>
          <w:lang w:val="es-ES_tradnl"/>
        </w:rPr>
        <w:tab/>
      </w:r>
      <w:r w:rsidRPr="00F8488C">
        <w:rPr>
          <w:lang w:val="es-ES_tradnl"/>
        </w:rPr>
        <w:tab/>
        <w:t>Porcentaje de indisponibilidad del servicio Ethernet</w:t>
      </w:r>
    </w:p>
    <w:p w:rsidR="000B169C" w:rsidRPr="00F8488C" w:rsidRDefault="000B169C" w:rsidP="000B169C">
      <w:pPr>
        <w:rPr>
          <w:lang w:val="es-ES_tradnl"/>
        </w:rPr>
      </w:pPr>
      <w:r w:rsidRPr="00F8488C">
        <w:rPr>
          <w:lang w:val="es-ES_tradnl"/>
        </w:rPr>
        <w:t>PEA</w:t>
      </w:r>
      <w:r w:rsidRPr="00F8488C">
        <w:rPr>
          <w:lang w:val="es-ES_tradnl"/>
        </w:rPr>
        <w:tab/>
      </w:r>
      <w:r w:rsidRPr="00F8488C">
        <w:rPr>
          <w:lang w:val="es-ES_tradnl"/>
        </w:rPr>
        <w:tab/>
        <w:t>Porcentaje de disponibilidad del servicio Ethernet</w:t>
      </w:r>
    </w:p>
    <w:p w:rsidR="000B169C" w:rsidRPr="00F8488C" w:rsidRDefault="000B169C" w:rsidP="000B169C">
      <w:pPr>
        <w:rPr>
          <w:lang w:val="es-ES_tradnl"/>
        </w:rPr>
      </w:pPr>
      <w:r w:rsidRPr="00F8488C">
        <w:rPr>
          <w:lang w:val="es-ES_tradnl"/>
        </w:rPr>
        <w:t>SESETH</w:t>
      </w:r>
      <w:r w:rsidRPr="00F8488C">
        <w:rPr>
          <w:lang w:val="es-ES_tradnl"/>
        </w:rPr>
        <w:tab/>
        <w:t>Segundos con muchos errores</w:t>
      </w:r>
    </w:p>
    <w:p w:rsidR="000B169C" w:rsidRPr="00F8488C" w:rsidRDefault="000B169C" w:rsidP="000B169C">
      <w:pPr>
        <w:rPr>
          <w:lang w:val="es-ES_tradnl"/>
        </w:rPr>
      </w:pPr>
      <w:r w:rsidRPr="00F8488C">
        <w:rPr>
          <w:lang w:val="es-ES_tradnl"/>
        </w:rPr>
        <w:t>SFI</w:t>
      </w:r>
      <w:r w:rsidRPr="00F8488C">
        <w:rPr>
          <w:lang w:val="es-ES_tradnl"/>
        </w:rPr>
        <w:tab/>
      </w:r>
      <w:r w:rsidRPr="00F8488C">
        <w:rPr>
          <w:lang w:val="es-ES_tradnl"/>
        </w:rPr>
        <w:tab/>
        <w:t>Servicio fijo inalámbrico</w:t>
      </w:r>
    </w:p>
    <w:p w:rsidR="000B169C" w:rsidRPr="00F8488C" w:rsidRDefault="000B169C" w:rsidP="000B169C">
      <w:pPr>
        <w:pStyle w:val="Headingb"/>
        <w:rPr>
          <w:lang w:val="es-ES_tradnl"/>
        </w:rPr>
      </w:pPr>
      <w:r w:rsidRPr="00F8488C">
        <w:rPr>
          <w:lang w:val="es-ES_tradnl"/>
        </w:rPr>
        <w:t>Recomendaciones de la UIT conexas</w:t>
      </w:r>
    </w:p>
    <w:p w:rsidR="000B169C" w:rsidRPr="00F8488C" w:rsidRDefault="000B169C" w:rsidP="00302200">
      <w:pPr>
        <w:pStyle w:val="Reftext"/>
        <w:rPr>
          <w:lang w:val="es-ES_tradnl" w:eastAsia="ja-JP"/>
        </w:rPr>
      </w:pPr>
      <w:r w:rsidRPr="00F8488C">
        <w:rPr>
          <w:lang w:val="es-ES_tradnl" w:eastAsia="ja-JP"/>
        </w:rPr>
        <w:t>Recomendación UIT-R F.1668</w:t>
      </w:r>
      <w:r w:rsidRPr="00F8488C">
        <w:rPr>
          <w:rFonts w:eastAsia="MS Mincho"/>
          <w:lang w:val="es-ES_tradnl" w:eastAsia="ja-JP"/>
        </w:rPr>
        <w:t xml:space="preserve"> – Objetivos de característica de error para los enlaces inalámbricos fijos digitales </w:t>
      </w:r>
      <w:r w:rsidRPr="00302200">
        <w:rPr>
          <w:rFonts w:eastAsia="MS Mincho"/>
          <w:lang w:val="es-ES_tradnl"/>
        </w:rPr>
        <w:t>utilizados</w:t>
      </w:r>
      <w:r w:rsidRPr="00F8488C">
        <w:rPr>
          <w:rFonts w:eastAsia="MS Mincho"/>
          <w:lang w:val="es-ES_tradnl" w:eastAsia="ja-JP"/>
        </w:rPr>
        <w:t xml:space="preserve"> en las conexiones ficticias de referencia y trayectos ficticios de referencia de</w:t>
      </w:r>
      <w:r w:rsidR="00302200">
        <w:rPr>
          <w:rFonts w:eastAsia="MS Mincho"/>
          <w:lang w:val="es-ES_tradnl" w:eastAsia="ja-JP"/>
        </w:rPr>
        <w:t> </w:t>
      </w:r>
      <w:r w:rsidRPr="00F8488C">
        <w:rPr>
          <w:lang w:val="es-ES_tradnl" w:eastAsia="ja-JP"/>
        </w:rPr>
        <w:t>27 500 km</w:t>
      </w:r>
    </w:p>
    <w:p w:rsidR="000B169C" w:rsidRPr="00F8488C" w:rsidRDefault="000B169C" w:rsidP="00302200">
      <w:pPr>
        <w:pStyle w:val="Reftext"/>
        <w:rPr>
          <w:lang w:val="es-ES_tradnl" w:eastAsia="ja-JP"/>
        </w:rPr>
      </w:pPr>
      <w:r w:rsidRPr="00F8488C">
        <w:rPr>
          <w:lang w:val="es-ES_tradnl" w:eastAsia="ja-JP"/>
        </w:rPr>
        <w:t xml:space="preserve">Recomendación UIT-R F.1703 – Objetivos de disponibilidad para enlaces inalámbricos fijos digitales reales utilizados en las conexiones ficticias de referencia y trayectos ficticios de referencia de 27 500 km </w:t>
      </w:r>
    </w:p>
    <w:p w:rsidR="000B169C" w:rsidRPr="00F8488C" w:rsidRDefault="000B169C" w:rsidP="00302200">
      <w:pPr>
        <w:pStyle w:val="Reftext"/>
        <w:rPr>
          <w:lang w:val="es-ES_tradnl" w:eastAsia="ja-JP"/>
        </w:rPr>
      </w:pPr>
      <w:r w:rsidRPr="00F8488C">
        <w:rPr>
          <w:lang w:val="es-ES_tradnl"/>
        </w:rPr>
        <w:t>Recomendación UIT-</w:t>
      </w:r>
      <w:r w:rsidRPr="00F8488C">
        <w:rPr>
          <w:lang w:val="es-ES_tradnl" w:eastAsia="zh-CN"/>
        </w:rPr>
        <w:t>T Y.1563</w:t>
      </w:r>
      <w:r w:rsidRPr="00F8488C">
        <w:rPr>
          <w:lang w:val="es-ES_tradnl" w:eastAsia="ja-JP"/>
        </w:rPr>
        <w:t xml:space="preserve"> – Transferencia de tramas Ethernet y calidad de disponibilidad</w:t>
      </w:r>
    </w:p>
    <w:p w:rsidR="000B169C" w:rsidRPr="00F8488C" w:rsidRDefault="000B169C" w:rsidP="000B169C">
      <w:pPr>
        <w:pStyle w:val="Normalaftertitle"/>
        <w:rPr>
          <w:lang w:val="es-ES_tradnl"/>
        </w:rPr>
      </w:pPr>
      <w:r w:rsidRPr="00F8488C">
        <w:rPr>
          <w:lang w:val="es-ES_tradnl"/>
        </w:rPr>
        <w:t>La Asamblea de Radiocomunicaciones de la UIT,</w:t>
      </w:r>
    </w:p>
    <w:p w:rsidR="000B169C" w:rsidRPr="00F8488C" w:rsidRDefault="000B169C" w:rsidP="000B169C">
      <w:pPr>
        <w:pStyle w:val="Call"/>
        <w:rPr>
          <w:lang w:val="es-ES_tradnl"/>
        </w:rPr>
      </w:pPr>
      <w:r w:rsidRPr="00F8488C">
        <w:rPr>
          <w:lang w:val="es-ES_tradnl"/>
        </w:rPr>
        <w:t>considerando</w:t>
      </w:r>
    </w:p>
    <w:p w:rsidR="000B169C" w:rsidRPr="00F8488C" w:rsidRDefault="000B169C" w:rsidP="000B169C">
      <w:pPr>
        <w:rPr>
          <w:lang w:val="es-ES_tradnl" w:eastAsia="zh-CN"/>
        </w:rPr>
      </w:pPr>
      <w:r w:rsidRPr="00F8488C">
        <w:rPr>
          <w:i/>
          <w:iCs/>
          <w:lang w:val="es-ES_tradnl"/>
        </w:rPr>
        <w:t>a)</w:t>
      </w:r>
      <w:r w:rsidRPr="00F8488C">
        <w:rPr>
          <w:lang w:val="es-ES_tradnl"/>
        </w:rPr>
        <w:tab/>
        <w:t>que la demanda de ancho de banda está creciendo significativamente y la tecnología de microondas también ha evolucionado desde el soporte de baja capacidad a soporte de alta capacidad que puede proporcionar una transmisión de datos a mucha mayor velocidad;</w:t>
      </w:r>
    </w:p>
    <w:p w:rsidR="000B169C" w:rsidRPr="00F8488C" w:rsidRDefault="000B169C" w:rsidP="000B169C">
      <w:pPr>
        <w:rPr>
          <w:lang w:val="es-ES_tradnl"/>
        </w:rPr>
      </w:pPr>
      <w:r w:rsidRPr="00F8488C">
        <w:rPr>
          <w:i/>
          <w:iCs/>
          <w:lang w:val="es-ES_tradnl" w:eastAsia="ja-JP"/>
        </w:rPr>
        <w:lastRenderedPageBreak/>
        <w:t>b</w:t>
      </w:r>
      <w:r w:rsidRPr="00F8488C">
        <w:rPr>
          <w:i/>
          <w:iCs/>
          <w:lang w:val="es-ES_tradnl"/>
        </w:rPr>
        <w:t>)</w:t>
      </w:r>
      <w:r w:rsidRPr="00F8488C">
        <w:rPr>
          <w:lang w:val="es-ES_tradnl"/>
        </w:rPr>
        <w:tab/>
        <w:t>que las aplicaciones de paquetes constituyen la parte principal de las actuales redes de transporte y acceso y cabe esperar que experimenten un fuerte incremento en un futuro próximo;</w:t>
      </w:r>
    </w:p>
    <w:p w:rsidR="000B169C" w:rsidRPr="00F8488C" w:rsidRDefault="000B169C" w:rsidP="000B169C">
      <w:pPr>
        <w:rPr>
          <w:lang w:val="es-ES_tradnl" w:eastAsia="zh-CN"/>
        </w:rPr>
      </w:pPr>
      <w:r w:rsidRPr="00F8488C">
        <w:rPr>
          <w:i/>
          <w:iCs/>
          <w:lang w:val="es-ES_tradnl" w:eastAsia="zh-CN"/>
        </w:rPr>
        <w:t>c</w:t>
      </w:r>
      <w:r w:rsidRPr="00F8488C">
        <w:rPr>
          <w:i/>
          <w:iCs/>
          <w:lang w:val="es-ES_tradnl"/>
        </w:rPr>
        <w:t>)</w:t>
      </w:r>
      <w:r w:rsidRPr="00F8488C">
        <w:rPr>
          <w:lang w:val="es-ES_tradnl"/>
        </w:rPr>
        <w:tab/>
        <w:t>que es necesario definir objetivos de disponibilidad y característica de error para facilitar el diseño y el desarrollo de las redes de paquetes;</w:t>
      </w:r>
    </w:p>
    <w:p w:rsidR="000B169C" w:rsidRPr="00F8488C" w:rsidRDefault="000B169C" w:rsidP="000B169C">
      <w:pPr>
        <w:rPr>
          <w:i/>
          <w:iCs/>
          <w:lang w:val="es-ES_tradnl" w:eastAsia="zh-CN"/>
        </w:rPr>
      </w:pPr>
      <w:r w:rsidRPr="00F8488C">
        <w:rPr>
          <w:i/>
          <w:iCs/>
          <w:lang w:val="es-ES_tradnl" w:eastAsia="zh-CN"/>
        </w:rPr>
        <w:t>d</w:t>
      </w:r>
      <w:r w:rsidRPr="00F8488C">
        <w:rPr>
          <w:i/>
          <w:iCs/>
          <w:lang w:val="es-ES_tradnl"/>
        </w:rPr>
        <w:t>)</w:t>
      </w:r>
      <w:r w:rsidRPr="00F8488C">
        <w:rPr>
          <w:i/>
          <w:iCs/>
          <w:lang w:val="es-ES_tradnl"/>
        </w:rPr>
        <w:tab/>
      </w:r>
      <w:r w:rsidRPr="00F8488C">
        <w:rPr>
          <w:lang w:val="es-ES_tradnl"/>
        </w:rPr>
        <w:t>que no existe una longitud de referencia específica para las redes Ethernet de extremo a extremo y no hay modelos de países disponibles,</w:t>
      </w:r>
    </w:p>
    <w:p w:rsidR="000B169C" w:rsidRPr="00F8488C" w:rsidRDefault="000B169C" w:rsidP="000B169C">
      <w:pPr>
        <w:pStyle w:val="Call"/>
        <w:rPr>
          <w:lang w:val="es-ES_tradnl"/>
        </w:rPr>
      </w:pPr>
      <w:r w:rsidRPr="00F8488C">
        <w:rPr>
          <w:lang w:val="es-ES_tradnl"/>
        </w:rPr>
        <w:t>reconociendo</w:t>
      </w:r>
    </w:p>
    <w:p w:rsidR="000B169C" w:rsidRPr="00F8488C" w:rsidRDefault="000B169C" w:rsidP="000B169C">
      <w:pPr>
        <w:rPr>
          <w:lang w:val="es-ES_tradnl" w:eastAsia="ja-JP"/>
        </w:rPr>
      </w:pPr>
      <w:r w:rsidRPr="00F8488C">
        <w:rPr>
          <w:i/>
          <w:iCs/>
          <w:lang w:val="es-ES_tradnl" w:eastAsia="zh-CN"/>
        </w:rPr>
        <w:t>a</w:t>
      </w:r>
      <w:r w:rsidRPr="00F8488C">
        <w:rPr>
          <w:i/>
          <w:iCs/>
          <w:lang w:val="es-ES_tradnl"/>
        </w:rPr>
        <w:t>)</w:t>
      </w:r>
      <w:r w:rsidRPr="00F8488C">
        <w:rPr>
          <w:i/>
          <w:iCs/>
          <w:lang w:val="es-ES_tradnl"/>
        </w:rPr>
        <w:tab/>
      </w:r>
      <w:r w:rsidRPr="00F8488C">
        <w:rPr>
          <w:lang w:val="es-ES_tradnl"/>
        </w:rPr>
        <w:t>que en la Recomendación UIT-T Y.1563 se definen parámetros que pueden emplearse al especificar y evaluar la calidad de velocidad, exactitud, dependencia y disponibilidad de la transferencia de tramas Ethernet de un servicio de comunicación Ethernet;</w:t>
      </w:r>
    </w:p>
    <w:p w:rsidR="000B169C" w:rsidRPr="00F8488C" w:rsidRDefault="000B169C" w:rsidP="000B169C">
      <w:pPr>
        <w:rPr>
          <w:lang w:val="es-ES_tradnl"/>
        </w:rPr>
      </w:pPr>
      <w:r w:rsidRPr="00F8488C">
        <w:rPr>
          <w:i/>
          <w:iCs/>
          <w:lang w:val="es-ES_tradnl" w:eastAsia="zh-CN"/>
        </w:rPr>
        <w:t>b</w:t>
      </w:r>
      <w:r w:rsidRPr="00F8488C">
        <w:rPr>
          <w:i/>
          <w:iCs/>
          <w:lang w:val="es-ES_tradnl"/>
        </w:rPr>
        <w:t>)</w:t>
      </w:r>
      <w:r w:rsidRPr="00F8488C">
        <w:rPr>
          <w:i/>
          <w:iCs/>
          <w:lang w:val="es-ES_tradnl"/>
        </w:rPr>
        <w:tab/>
      </w:r>
      <w:r w:rsidRPr="00F8488C">
        <w:rPr>
          <w:lang w:val="es-ES_tradnl"/>
        </w:rPr>
        <w:t>que en la Recomendación UIT-T Y.1563 se define un red Ethernet de extremo a extremo como un conjunto de EL (enlace de intercambio) y de NS (sección de red) que facilitan el transporte de las tramas Ethernet transmitidas desde el SRC (origen) hasta el DST (destino). Los MP que unen la red Ethernet de extremo a extremo son los MP en el SRC y el DST;</w:t>
      </w:r>
    </w:p>
    <w:p w:rsidR="000B169C" w:rsidRPr="00F8488C" w:rsidRDefault="000B169C" w:rsidP="000B169C">
      <w:pPr>
        <w:rPr>
          <w:lang w:val="es-ES_tradnl"/>
        </w:rPr>
      </w:pPr>
      <w:r w:rsidRPr="00F8488C">
        <w:rPr>
          <w:i/>
          <w:iCs/>
          <w:lang w:val="es-ES_tradnl" w:eastAsia="zh-CN"/>
        </w:rPr>
        <w:t>c</w:t>
      </w:r>
      <w:r w:rsidRPr="00F8488C">
        <w:rPr>
          <w:i/>
          <w:iCs/>
          <w:lang w:val="es-ES_tradnl"/>
        </w:rPr>
        <w:t>)</w:t>
      </w:r>
      <w:r w:rsidRPr="00F8488C">
        <w:rPr>
          <w:i/>
          <w:iCs/>
          <w:lang w:val="es-ES_tradnl"/>
        </w:rPr>
        <w:tab/>
      </w:r>
      <w:r w:rsidRPr="00F8488C">
        <w:rPr>
          <w:lang w:val="es-ES_tradnl" w:eastAsia="ja-JP"/>
        </w:rPr>
        <w:t>que la metodología de criterios de cálculo adoptada en las Recomendaciones UIT</w:t>
      </w:r>
      <w:r w:rsidRPr="00F8488C">
        <w:rPr>
          <w:lang w:val="es-ES_tradnl"/>
        </w:rPr>
        <w:t xml:space="preserve">-R </w:t>
      </w:r>
      <w:r w:rsidRPr="00F8488C">
        <w:rPr>
          <w:lang w:val="es-ES_tradnl" w:eastAsia="ja-JP"/>
        </w:rPr>
        <w:t>F.</w:t>
      </w:r>
      <w:r w:rsidRPr="00F8488C">
        <w:rPr>
          <w:lang w:val="es-ES_tradnl"/>
        </w:rPr>
        <w:t xml:space="preserve">1668 y UIT-R </w:t>
      </w:r>
      <w:r w:rsidRPr="00F8488C">
        <w:rPr>
          <w:lang w:val="es-ES_tradnl" w:eastAsia="ja-JP"/>
        </w:rPr>
        <w:t>F.</w:t>
      </w:r>
      <w:r w:rsidRPr="00F8488C">
        <w:rPr>
          <w:lang w:val="es-ES_tradnl"/>
        </w:rPr>
        <w:t>1703 para determinar la característica de error y la disponibilidad de enlaces fijos inalámbricos reales (tráfico SDH y PDH) se basa en las Recomendaciones UIT-T G.826 y UIT</w:t>
      </w:r>
      <w:r w:rsidRPr="00F8488C">
        <w:rPr>
          <w:lang w:val="es-ES_tradnl"/>
        </w:rPr>
        <w:noBreakHyphen/>
        <w:t>T G.827,</w:t>
      </w:r>
    </w:p>
    <w:p w:rsidR="000B169C" w:rsidRPr="00F8488C" w:rsidRDefault="000B169C" w:rsidP="000B169C">
      <w:pPr>
        <w:pStyle w:val="Call"/>
        <w:rPr>
          <w:lang w:val="es-ES_tradnl" w:eastAsia="ja-JP"/>
        </w:rPr>
      </w:pPr>
      <w:r w:rsidRPr="00F8488C">
        <w:rPr>
          <w:lang w:val="es-ES_tradnl" w:eastAsia="ja-JP"/>
        </w:rPr>
        <w:t>recomienda</w:t>
      </w:r>
    </w:p>
    <w:p w:rsidR="000B169C" w:rsidRPr="00F8488C" w:rsidRDefault="000B169C" w:rsidP="000B169C">
      <w:pPr>
        <w:rPr>
          <w:lang w:val="es-ES_tradnl" w:eastAsia="ja-JP"/>
        </w:rPr>
      </w:pPr>
      <w:r w:rsidRPr="00F8488C">
        <w:rPr>
          <w:b/>
          <w:bCs/>
          <w:lang w:val="es-ES_tradnl" w:eastAsia="ja-JP"/>
        </w:rPr>
        <w:t>1</w:t>
      </w:r>
      <w:r w:rsidRPr="00F8488C">
        <w:rPr>
          <w:lang w:val="es-ES_tradnl" w:eastAsia="ja-JP"/>
        </w:rPr>
        <w:tab/>
        <w:t>que los eventos y parámetros que se utilicen para determinar las necesidades de característica de error y disponibilidad, incluso para el diseño de enlaces reales, se seleccionen a partir del conjunto descrito en el Anexo</w:t>
      </w:r>
      <w:r w:rsidRPr="00F8488C">
        <w:rPr>
          <w:lang w:val="es-ES_tradnl"/>
        </w:rPr>
        <w:t xml:space="preserve"> 1</w:t>
      </w:r>
      <w:r w:rsidRPr="00F8488C">
        <w:rPr>
          <w:lang w:val="es-ES_tradnl" w:eastAsia="ja-JP"/>
        </w:rPr>
        <w:t>;</w:t>
      </w:r>
    </w:p>
    <w:p w:rsidR="000B169C" w:rsidRPr="00F8488C" w:rsidRDefault="000B169C" w:rsidP="000B169C">
      <w:pPr>
        <w:rPr>
          <w:lang w:val="es-ES_tradnl" w:eastAsia="ja-JP"/>
        </w:rPr>
      </w:pPr>
      <w:r w:rsidRPr="00F8488C">
        <w:rPr>
          <w:b/>
          <w:bCs/>
          <w:lang w:val="es-ES_tradnl" w:eastAsia="ja-JP"/>
        </w:rPr>
        <w:t>2</w:t>
      </w:r>
      <w:r w:rsidRPr="00F8488C">
        <w:rPr>
          <w:lang w:val="es-ES_tradnl" w:eastAsia="ja-JP"/>
        </w:rPr>
        <w:tab/>
        <w:t>que los objetivos de característica de error y disponibilidad para enlaces fijos inalámbricos digitales reales que transporten tráfico de paquetes se determinen siguiendo los procedimientos descritos en el Anexo 2.</w:t>
      </w:r>
    </w:p>
    <w:p w:rsidR="000B169C" w:rsidRPr="00F8488C" w:rsidRDefault="000B169C" w:rsidP="000B169C">
      <w:pPr>
        <w:rPr>
          <w:lang w:val="es-ES_tradnl"/>
        </w:rPr>
      </w:pPr>
    </w:p>
    <w:p w:rsidR="000B169C" w:rsidRPr="00F8488C" w:rsidRDefault="000B169C" w:rsidP="000B169C">
      <w:pPr>
        <w:rPr>
          <w:lang w:val="es-ES_tradnl"/>
        </w:rPr>
      </w:pPr>
    </w:p>
    <w:p w:rsidR="000B169C" w:rsidRPr="00F8488C" w:rsidRDefault="000B169C" w:rsidP="000B169C">
      <w:pPr>
        <w:pStyle w:val="AnnexNoTitle"/>
        <w:rPr>
          <w:rFonts w:ascii="Times New Roman Bold" w:hAnsi="Times New Roman Bold"/>
          <w:lang w:val="es-ES_tradnl"/>
        </w:rPr>
      </w:pPr>
      <w:r w:rsidRPr="00F8488C">
        <w:rPr>
          <w:lang w:val="es-ES_tradnl"/>
        </w:rPr>
        <w:t>Anexo 1</w:t>
      </w:r>
      <w:r w:rsidRPr="00F8488C">
        <w:rPr>
          <w:lang w:val="es-ES_tradnl"/>
        </w:rPr>
        <w:br/>
      </w:r>
      <w:r w:rsidRPr="00F8488C">
        <w:rPr>
          <w:lang w:val="es-ES_tradnl"/>
        </w:rPr>
        <w:br/>
      </w:r>
      <w:r w:rsidRPr="00F8488C">
        <w:rPr>
          <w:rFonts w:ascii="Times New Roman Bold" w:eastAsia="Times New Roman Bold" w:hAnsi="Times New Roman Bold" w:cs="Times New Roman Bold"/>
          <w:bCs/>
          <w:lang w:val="es-ES_tradnl"/>
        </w:rPr>
        <w:t>Eventos y parámetros</w:t>
      </w:r>
    </w:p>
    <w:p w:rsidR="000B169C" w:rsidRPr="00F8488C" w:rsidRDefault="000B169C" w:rsidP="000B169C">
      <w:pPr>
        <w:pStyle w:val="Normalaftertitle"/>
        <w:rPr>
          <w:lang w:val="es-ES_tradnl"/>
        </w:rPr>
      </w:pPr>
      <w:r w:rsidRPr="00F8488C">
        <w:rPr>
          <w:lang w:val="es-ES_tradnl"/>
        </w:rPr>
        <w:t>Este Anexo solo atañe a las aplicaciones de paquetes Ethernet.</w:t>
      </w:r>
    </w:p>
    <w:p w:rsidR="000B169C" w:rsidRPr="00F8488C" w:rsidRDefault="000B169C" w:rsidP="000B169C">
      <w:pPr>
        <w:pStyle w:val="Heading1"/>
        <w:rPr>
          <w:lang w:val="es-ES_tradnl"/>
        </w:rPr>
      </w:pPr>
      <w:r w:rsidRPr="00F8488C">
        <w:rPr>
          <w:lang w:val="es-ES_tradnl" w:eastAsia="zh-CN"/>
        </w:rPr>
        <w:t>1</w:t>
      </w:r>
      <w:r w:rsidRPr="00F8488C">
        <w:rPr>
          <w:lang w:val="es-ES_tradnl" w:eastAsia="zh-CN"/>
        </w:rPr>
        <w:tab/>
        <w:t>Eventos</w:t>
      </w:r>
    </w:p>
    <w:p w:rsidR="000B169C" w:rsidRPr="00F8488C" w:rsidRDefault="000B169C" w:rsidP="000B169C">
      <w:pPr>
        <w:rPr>
          <w:lang w:val="es-ES_tradnl" w:eastAsia="zh-CN"/>
        </w:rPr>
      </w:pPr>
      <w:r w:rsidRPr="00F8488C">
        <w:rPr>
          <w:lang w:val="es-ES_tradnl"/>
        </w:rPr>
        <w:t>La siguientes definiciones de característica de error y disponibilidad son conformes con la Recomendación UIT-</w:t>
      </w:r>
      <w:r w:rsidRPr="00F8488C">
        <w:rPr>
          <w:lang w:val="es-ES_tradnl" w:eastAsia="zh-CN"/>
        </w:rPr>
        <w:t>T Y.1563</w:t>
      </w:r>
      <w:r w:rsidRPr="00F8488C">
        <w:rPr>
          <w:lang w:val="es-ES_tradnl"/>
        </w:rPr>
        <w:t>.</w:t>
      </w:r>
    </w:p>
    <w:p w:rsidR="000B169C" w:rsidRPr="00F8488C" w:rsidRDefault="000B169C" w:rsidP="000B169C">
      <w:pPr>
        <w:pStyle w:val="Headingb"/>
        <w:rPr>
          <w:lang w:val="es-ES_tradnl"/>
        </w:rPr>
      </w:pPr>
      <w:r w:rsidRPr="00F8488C">
        <w:rPr>
          <w:lang w:val="es-ES_tradnl"/>
        </w:rPr>
        <w:t>Segundo con muchos errores (SESETH)</w:t>
      </w:r>
    </w:p>
    <w:p w:rsidR="000B169C" w:rsidRPr="00F8488C" w:rsidRDefault="000B169C" w:rsidP="000B169C">
      <w:pPr>
        <w:rPr>
          <w:lang w:val="es-ES_tradnl"/>
        </w:rPr>
      </w:pPr>
      <w:r w:rsidRPr="00F8488C">
        <w:rPr>
          <w:lang w:val="es-ES_tradnl"/>
        </w:rPr>
        <w:t>El segundo con muchos errores (SES</w:t>
      </w:r>
      <w:r w:rsidRPr="00F8488C">
        <w:rPr>
          <w:vertAlign w:val="subscript"/>
          <w:lang w:val="es-ES_tradnl"/>
        </w:rPr>
        <w:t>ETH</w:t>
      </w:r>
      <w:r w:rsidRPr="00F8488C">
        <w:rPr>
          <w:lang w:val="es-ES_tradnl"/>
        </w:rPr>
        <w:t>) ocurre para un bloque de tramas observado durante un intervalo de un segundo en el MP0 de ingreso cuando la FLR (es decir, las tramas perdidas en relación con el número total de tramas del bloque) correspondiente en el MPi de egreso es superior a s1. El UIT-T propone para s1 un valor provisional de 0,5, aunque también pueden utilizarse valores distintos en función de la clase de servicio (CoS).</w:t>
      </w:r>
    </w:p>
    <w:p w:rsidR="000B169C" w:rsidRPr="00F8488C" w:rsidRDefault="000B169C" w:rsidP="000B169C">
      <w:pPr>
        <w:pStyle w:val="Headingb"/>
        <w:rPr>
          <w:lang w:val="es-ES_tradnl"/>
        </w:rPr>
      </w:pPr>
      <w:r w:rsidRPr="00F8488C">
        <w:rPr>
          <w:lang w:val="es-ES_tradnl"/>
        </w:rPr>
        <w:lastRenderedPageBreak/>
        <w:t>Disponibilidad</w:t>
      </w:r>
    </w:p>
    <w:p w:rsidR="000B169C" w:rsidRPr="00F8488C" w:rsidRDefault="000B169C" w:rsidP="000B169C">
      <w:pPr>
        <w:rPr>
          <w:lang w:val="es-ES_tradnl" w:eastAsia="zh-CN"/>
        </w:rPr>
      </w:pPr>
      <w:r w:rsidRPr="00F8488C">
        <w:rPr>
          <w:lang w:val="es-ES_tradnl" w:eastAsia="zh-CN"/>
        </w:rPr>
        <w:t>La disponibilidad de una red Ethernet se describe en términos de estado disponible y estado indisponible.</w:t>
      </w:r>
    </w:p>
    <w:p w:rsidR="000B169C" w:rsidRPr="00F8488C" w:rsidRDefault="000B169C" w:rsidP="000B169C">
      <w:pPr>
        <w:rPr>
          <w:lang w:val="es-ES_tradnl"/>
        </w:rPr>
      </w:pPr>
      <w:r w:rsidRPr="00F8488C">
        <w:rPr>
          <w:lang w:val="es-ES_tradnl"/>
        </w:rPr>
        <w:t>El tiempo de indisponibilidad empieza cuando se obtienen 10 resultados SES</w:t>
      </w:r>
      <w:r w:rsidRPr="00F8488C">
        <w:rPr>
          <w:vertAlign w:val="subscript"/>
          <w:lang w:val="es-ES_tradnl"/>
        </w:rPr>
        <w:t>ETH</w:t>
      </w:r>
      <w:r w:rsidRPr="00F8488C">
        <w:rPr>
          <w:lang w:val="es-ES_tradnl"/>
        </w:rPr>
        <w:t xml:space="preserve"> consecutivos y termina cuando se obtienen 10 resultados distintos de SES</w:t>
      </w:r>
      <w:r w:rsidRPr="00F8488C">
        <w:rPr>
          <w:vertAlign w:val="subscript"/>
          <w:lang w:val="es-ES_tradnl"/>
        </w:rPr>
        <w:t>ETH</w:t>
      </w:r>
      <w:r w:rsidRPr="00F8488C">
        <w:rPr>
          <w:lang w:val="es-ES_tradnl"/>
        </w:rPr>
        <w:t xml:space="preserve"> consecutivos. Durante el tiempo de disponibilidad, la red Ethernet se encuentra en estado disponible.</w:t>
      </w:r>
    </w:p>
    <w:p w:rsidR="000B169C" w:rsidRPr="00F8488C" w:rsidRDefault="000B169C" w:rsidP="000B169C">
      <w:pPr>
        <w:rPr>
          <w:lang w:val="es-ES_tradnl"/>
        </w:rPr>
      </w:pPr>
      <w:r w:rsidRPr="00F8488C">
        <w:rPr>
          <w:lang w:val="es-ES_tradnl"/>
        </w:rPr>
        <w:t>En la Figura 1 se ilustra la definición de los criterios de transición desde/hacia el estado indisponible.</w:t>
      </w:r>
    </w:p>
    <w:p w:rsidR="000B169C" w:rsidRPr="00F8488C" w:rsidRDefault="000B169C" w:rsidP="000B169C">
      <w:pPr>
        <w:rPr>
          <w:lang w:val="es-ES_tradnl"/>
        </w:rPr>
      </w:pPr>
      <w:r w:rsidRPr="00F8488C">
        <w:rPr>
          <w:lang w:val="es-ES_tradnl"/>
        </w:rPr>
        <w:t>Se ha escogido esta definición de disponibilidad para permitir las comparaciones con otras técnicas de capa de enlace.</w:t>
      </w:r>
    </w:p>
    <w:p w:rsidR="000B169C" w:rsidRPr="00F8488C" w:rsidRDefault="000B169C" w:rsidP="000B169C">
      <w:pPr>
        <w:rPr>
          <w:lang w:val="es-ES_tradnl"/>
        </w:rPr>
      </w:pPr>
      <w:r w:rsidRPr="00F8488C">
        <w:rPr>
          <w:lang w:val="es-ES_tradnl"/>
        </w:rPr>
        <w:t>Dado que el servicio Ethernet es bidireccional, una red Ethernet se encuentra en estado indisponible si una o ambas direcciones están en estado indisponible. La disponibilidad unidireccional puede medirse con los criterios indicados anteriormente.</w:t>
      </w:r>
    </w:p>
    <w:p w:rsidR="000B169C" w:rsidRPr="00F8488C" w:rsidRDefault="000B169C" w:rsidP="000B169C">
      <w:pPr>
        <w:pStyle w:val="FigureNo"/>
        <w:rPr>
          <w:lang w:val="es-ES_tradnl"/>
        </w:rPr>
      </w:pPr>
      <w:r w:rsidRPr="00F8488C">
        <w:rPr>
          <w:lang w:val="es-ES_tradnl"/>
        </w:rPr>
        <w:t>FigurA 1</w:t>
      </w:r>
    </w:p>
    <w:p w:rsidR="000B169C" w:rsidRPr="00F8488C" w:rsidRDefault="000B169C" w:rsidP="000B169C">
      <w:pPr>
        <w:pStyle w:val="Figuretitle"/>
        <w:rPr>
          <w:lang w:val="es-ES_tradnl"/>
        </w:rPr>
      </w:pPr>
      <w:r w:rsidRPr="00F8488C">
        <w:rPr>
          <w:rFonts w:eastAsia="Times New Roman Bold"/>
          <w:lang w:val="es-ES_tradnl"/>
        </w:rPr>
        <w:t>Ejemplo de determinación de la indisponibilidad</w:t>
      </w:r>
    </w:p>
    <w:p w:rsidR="000B169C" w:rsidRPr="00F8488C" w:rsidRDefault="000B169C" w:rsidP="00302200">
      <w:pPr>
        <w:pStyle w:val="Figure"/>
        <w:rPr>
          <w:lang w:val="es-ES_tradnl"/>
        </w:rPr>
      </w:pPr>
      <w:r w:rsidRPr="00F8488C">
        <w:rPr>
          <w:lang w:val="es-ES_tradnl"/>
        </w:rPr>
        <w:object w:dxaOrig="6695" w:dyaOrig="1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pt;height:118.95pt" o:ole="">
            <v:imagedata r:id="rId13" o:title=""/>
          </v:shape>
          <o:OLEObject Type="Embed" ProgID="CorelDraw.Graphic.16" ShapeID="_x0000_i1025" DrawAspect="Content" ObjectID="_1588146908" r:id="rId14"/>
        </w:object>
      </w:r>
    </w:p>
    <w:p w:rsidR="000B169C" w:rsidRPr="00F8488C" w:rsidRDefault="000B169C" w:rsidP="000B169C">
      <w:pPr>
        <w:pStyle w:val="Heading1"/>
        <w:rPr>
          <w:lang w:val="es-ES_tradnl"/>
        </w:rPr>
      </w:pPr>
      <w:r w:rsidRPr="00F8488C">
        <w:rPr>
          <w:lang w:val="es-ES_tradnl"/>
        </w:rPr>
        <w:t>2</w:t>
      </w:r>
      <w:r w:rsidRPr="00F8488C">
        <w:rPr>
          <w:lang w:val="es-ES_tradnl"/>
        </w:rPr>
        <w:tab/>
        <w:t>Parámetros</w:t>
      </w:r>
    </w:p>
    <w:p w:rsidR="000B169C" w:rsidRPr="00F8488C" w:rsidRDefault="000B169C" w:rsidP="000B169C">
      <w:pPr>
        <w:pStyle w:val="Headingb"/>
        <w:rPr>
          <w:lang w:val="es-ES_tradnl"/>
        </w:rPr>
      </w:pPr>
      <w:r w:rsidRPr="00F8488C">
        <w:rPr>
          <w:lang w:val="es-ES_tradnl"/>
        </w:rPr>
        <w:t>Porcentaje de indisponibilidad del servicio Ethernet (PEU)</w:t>
      </w:r>
    </w:p>
    <w:p w:rsidR="000B169C" w:rsidRPr="00F8488C" w:rsidRDefault="000B169C" w:rsidP="000B169C">
      <w:pPr>
        <w:rPr>
          <w:lang w:val="es-ES_tradnl" w:eastAsia="zh-CN"/>
        </w:rPr>
      </w:pPr>
      <w:r w:rsidRPr="00F8488C">
        <w:rPr>
          <w:lang w:val="es-ES_tradnl"/>
        </w:rPr>
        <w:t>Porcentaje de tiempo durante el cual la red Ethernet está en estado indisponible con respecto al tiempo de servicio Ethernet total programado (porcentaje de intervalos de un segundo).</w:t>
      </w:r>
    </w:p>
    <w:p w:rsidR="000B169C" w:rsidRPr="00F8488C" w:rsidRDefault="000B169C" w:rsidP="000B169C">
      <w:pPr>
        <w:pStyle w:val="Headingb"/>
        <w:rPr>
          <w:lang w:val="es-ES_tradnl"/>
        </w:rPr>
      </w:pPr>
      <w:r w:rsidRPr="00F8488C">
        <w:rPr>
          <w:lang w:val="es-ES_tradnl"/>
        </w:rPr>
        <w:t>Porcentaje de disponibilidad del servicio Ethernet (PEA)</w:t>
      </w:r>
    </w:p>
    <w:p w:rsidR="000B169C" w:rsidRPr="00F8488C" w:rsidRDefault="000B169C" w:rsidP="000B169C">
      <w:pPr>
        <w:rPr>
          <w:lang w:val="es-ES_tradnl" w:eastAsia="zh-CN"/>
        </w:rPr>
      </w:pPr>
      <w:r w:rsidRPr="00F8488C">
        <w:rPr>
          <w:lang w:val="es-ES_tradnl" w:eastAsia="zh-CN"/>
        </w:rPr>
        <w:t>Porcentaje de tiempo durante el cual la red Ethernet está en estado disponible con respecto al tiempo de servicio Ethernet total programado (porcentaje de intervalos de un segundo) utilizando la función de disponibilidad del servicio Ethernet</w:t>
      </w:r>
      <w:r w:rsidRPr="00F8488C">
        <w:rPr>
          <w:lang w:val="es-ES_tradnl"/>
        </w:rPr>
        <w:t>: PEU = 100 – PEA</w:t>
      </w:r>
      <w:r w:rsidRPr="00F8488C">
        <w:rPr>
          <w:lang w:val="es-ES_tradnl" w:eastAsia="zh-CN"/>
        </w:rPr>
        <w:t>.</w:t>
      </w:r>
    </w:p>
    <w:p w:rsidR="000B169C" w:rsidRPr="00F8488C" w:rsidRDefault="000B169C" w:rsidP="000B169C">
      <w:pPr>
        <w:pStyle w:val="Headingb"/>
        <w:rPr>
          <w:lang w:val="es-ES_tradnl"/>
        </w:rPr>
      </w:pPr>
      <w:r w:rsidRPr="00F8488C">
        <w:rPr>
          <w:lang w:val="es-ES_tradnl"/>
        </w:rPr>
        <w:t>Tasa de errores en tramas Ethernet (FER)</w:t>
      </w:r>
    </w:p>
    <w:p w:rsidR="000B169C" w:rsidRPr="00F8488C" w:rsidRDefault="000B169C" w:rsidP="000B169C">
      <w:pPr>
        <w:rPr>
          <w:lang w:val="es-ES_tradnl"/>
        </w:rPr>
      </w:pPr>
      <w:r w:rsidRPr="00F8488C">
        <w:rPr>
          <w:lang w:val="es-ES_tradnl"/>
        </w:rPr>
        <w:t>La tasa de errores en tramas Ethernet es la relación entre el total de tramas Ethernet con errores y el total de tramas Ethernet satisfactorias más las tramas Ethernet con errores en la población de interés.</w:t>
      </w:r>
    </w:p>
    <w:p w:rsidR="000B169C" w:rsidRPr="00F8488C" w:rsidRDefault="000B169C" w:rsidP="000B169C">
      <w:pPr>
        <w:pStyle w:val="Headingb"/>
        <w:rPr>
          <w:lang w:val="es-ES_tradnl"/>
        </w:rPr>
      </w:pPr>
      <w:r w:rsidRPr="00F8488C">
        <w:rPr>
          <w:lang w:val="es-ES_tradnl"/>
        </w:rPr>
        <w:t>Tasa de pérdida de tramas Ethernet (FLR)</w:t>
      </w:r>
    </w:p>
    <w:p w:rsidR="000B169C" w:rsidRPr="00F8488C" w:rsidRDefault="000B169C" w:rsidP="000B169C">
      <w:pPr>
        <w:rPr>
          <w:lang w:val="es-ES_tradnl"/>
        </w:rPr>
      </w:pPr>
      <w:r w:rsidRPr="00F8488C">
        <w:rPr>
          <w:lang w:val="es-ES_tradnl"/>
        </w:rPr>
        <w:t>La relación entre el total de tramas Ethernet perdidas y el número total de tramas Ethernet transmitidas en la población de interés. En una configuración punto a multipunto, también puede resultar útil comparar las transferencias de trama satisfactorias entre destinos utilizando el destino con el mayor número de transferencias de trama satisfactorias como referencia.</w:t>
      </w:r>
    </w:p>
    <w:p w:rsidR="000B169C" w:rsidRPr="00F8488C" w:rsidRDefault="000B169C" w:rsidP="000B169C">
      <w:pPr>
        <w:rPr>
          <w:lang w:val="es-ES_tradnl"/>
        </w:rPr>
      </w:pPr>
    </w:p>
    <w:p w:rsidR="000B169C" w:rsidRPr="00F8488C" w:rsidRDefault="000B169C" w:rsidP="000B169C">
      <w:pPr>
        <w:rPr>
          <w:lang w:val="es-ES_tradnl"/>
        </w:rPr>
      </w:pPr>
    </w:p>
    <w:p w:rsidR="000B169C" w:rsidRPr="00F8488C" w:rsidRDefault="000B169C" w:rsidP="000B169C">
      <w:pPr>
        <w:pStyle w:val="AnnexNoTitle"/>
        <w:rPr>
          <w:rFonts w:ascii="Times New Roman Bold" w:eastAsiaTheme="minorEastAsia" w:hAnsi="Times New Roman Bold"/>
          <w:lang w:val="es-ES_tradnl" w:eastAsia="zh-CN"/>
        </w:rPr>
      </w:pPr>
      <w:r w:rsidRPr="00F8488C">
        <w:rPr>
          <w:lang w:val="es-ES_tradnl"/>
        </w:rPr>
        <w:lastRenderedPageBreak/>
        <w:t>Anexo 2</w:t>
      </w:r>
      <w:r w:rsidRPr="00F8488C">
        <w:rPr>
          <w:lang w:val="es-ES_tradnl"/>
        </w:rPr>
        <w:br/>
      </w:r>
      <w:r w:rsidRPr="00F8488C">
        <w:rPr>
          <w:lang w:val="es-ES_tradnl"/>
        </w:rPr>
        <w:br/>
      </w:r>
      <w:r w:rsidRPr="00F8488C">
        <w:rPr>
          <w:rFonts w:ascii="Times New Roman Bold" w:eastAsia="Times New Roman Bold" w:hAnsi="Times New Roman Bold" w:cs="Times New Roman Bold"/>
          <w:bCs/>
          <w:lang w:val="es-ES_tradnl"/>
        </w:rPr>
        <w:t>Objetivos</w:t>
      </w:r>
    </w:p>
    <w:p w:rsidR="000B169C" w:rsidRPr="00F8488C" w:rsidRDefault="000B169C" w:rsidP="000B169C">
      <w:pPr>
        <w:pStyle w:val="Normalaftertitle"/>
        <w:rPr>
          <w:rFonts w:eastAsiaTheme="minorEastAsia"/>
          <w:lang w:val="es-ES_tradnl" w:eastAsia="zh-CN"/>
        </w:rPr>
      </w:pPr>
      <w:r w:rsidRPr="00F8488C">
        <w:rPr>
          <w:lang w:val="es-ES_tradnl"/>
        </w:rPr>
        <w:t>Este Anexo sólo atañe a las aplicaciones de paquetes Ethernet.</w:t>
      </w:r>
    </w:p>
    <w:p w:rsidR="000B169C" w:rsidRPr="00F8488C" w:rsidRDefault="000B169C" w:rsidP="000B169C">
      <w:pPr>
        <w:pStyle w:val="Heading1"/>
        <w:rPr>
          <w:lang w:val="es-ES_tradnl"/>
        </w:rPr>
      </w:pPr>
      <w:r w:rsidRPr="00F8488C">
        <w:rPr>
          <w:lang w:val="es-ES_tradnl"/>
        </w:rPr>
        <w:t>1</w:t>
      </w:r>
      <w:r w:rsidRPr="00F8488C">
        <w:rPr>
          <w:lang w:val="es-ES_tradnl"/>
        </w:rPr>
        <w:tab/>
        <w:t>Distribución de los objetivos</w:t>
      </w:r>
    </w:p>
    <w:p w:rsidR="000B169C" w:rsidRPr="00F8488C" w:rsidRDefault="000B169C" w:rsidP="000B169C">
      <w:pPr>
        <w:rPr>
          <w:lang w:val="es-ES_tradnl"/>
        </w:rPr>
      </w:pPr>
      <w:r w:rsidRPr="00F8488C">
        <w:rPr>
          <w:lang w:val="es-ES_tradnl"/>
        </w:rPr>
        <w:t>Los objetivos de característica de error y de disponibilidad para los enlaces punto a punto reales que transportan tráfico PDH/SDH están fijados en las Recomendaciones UIT-R F.1668 y UIT-R F.1703, de conformidad con el criterio de distribución independiente de los medios del UIT-T, a partir de la existencia de un valor de referencia fijado para una conexión de extremo a extremo ficticia de 27 500 km de longitud (Recomendación UIT-T G.826).</w:t>
      </w:r>
    </w:p>
    <w:p w:rsidR="000B169C" w:rsidRPr="00F8488C" w:rsidRDefault="000B169C" w:rsidP="000B169C">
      <w:pPr>
        <w:rPr>
          <w:lang w:val="es-ES_tradnl"/>
        </w:rPr>
      </w:pPr>
      <w:r w:rsidRPr="00F8488C">
        <w:rPr>
          <w:lang w:val="es-ES_tradnl"/>
        </w:rPr>
        <w:t>La evolución de la tecnología y la naturaleza específica de Ethernet han hecho que el UIT-T no considere necesario fijar objetivos de extremo a extremo, por lo que no se dispone de criterios de distribución. Sin embargo, los radioenlaces Ethernet siguen implantándose en el mismo contexto geográfico y logístico utilizado anteriormente para las señales por paquetes (idénticas regiones, torres, propagación, etc.) y es por tanto necesario fijar objetivos para poder diseñar adecuadamente esos enlaces.</w:t>
      </w:r>
    </w:p>
    <w:p w:rsidR="000B169C" w:rsidRPr="00F8488C" w:rsidRDefault="000B169C" w:rsidP="000B169C">
      <w:pPr>
        <w:rPr>
          <w:lang w:val="es-ES_tradnl"/>
        </w:rPr>
      </w:pPr>
      <w:r w:rsidRPr="00F8488C">
        <w:rPr>
          <w:lang w:val="es-ES_tradnl"/>
        </w:rPr>
        <w:t>En este Anexo se indican los objetivos de característica de error y de disponibilidad para los enlaces punto a punto reales que transporten tráfico Ethernet, de conformidad con la práctica habitual de la UIT de considerar dos grandes contextos de aplicación básicos con dos niveles de calidad prevista diferentes:</w:t>
      </w:r>
    </w:p>
    <w:p w:rsidR="000B169C" w:rsidRPr="00F8488C" w:rsidRDefault="000B169C" w:rsidP="000B169C">
      <w:pPr>
        <w:pStyle w:val="enumlev1"/>
        <w:rPr>
          <w:lang w:val="es-ES_tradnl"/>
        </w:rPr>
      </w:pPr>
      <w:r w:rsidRPr="00F8488C">
        <w:rPr>
          <w:lang w:val="es-ES_tradnl"/>
        </w:rPr>
        <w:t>–</w:t>
      </w:r>
      <w:r w:rsidRPr="00F8488C">
        <w:rPr>
          <w:lang w:val="es-ES_tradnl"/>
        </w:rPr>
        <w:tab/>
        <w:t>Enlaces de la sección de «alta calidad de funcionamiento» de la conexión (países de tránsito o sección internacional de los países de destino, secciones de largo alcance).</w:t>
      </w:r>
    </w:p>
    <w:p w:rsidR="000B169C" w:rsidRPr="00F8488C" w:rsidRDefault="000B169C" w:rsidP="000B169C">
      <w:pPr>
        <w:pStyle w:val="enumlev1"/>
        <w:rPr>
          <w:lang w:val="es-ES_tradnl"/>
        </w:rPr>
      </w:pPr>
      <w:r w:rsidRPr="00F8488C">
        <w:rPr>
          <w:lang w:val="es-ES_tradnl"/>
        </w:rPr>
        <w:t>–</w:t>
      </w:r>
      <w:r w:rsidRPr="00F8488C">
        <w:rPr>
          <w:lang w:val="es-ES_tradnl"/>
        </w:rPr>
        <w:tab/>
        <w:t>Enlaces de las secciones de «menor calidad de funcionamiento» del trayecto (parte nacional de los países de destino, corto alcance y acceso).</w:t>
      </w:r>
    </w:p>
    <w:p w:rsidR="000B169C" w:rsidRPr="00F8488C" w:rsidRDefault="000B169C" w:rsidP="000B169C">
      <w:pPr>
        <w:rPr>
          <w:lang w:val="es-ES_tradnl"/>
        </w:rPr>
      </w:pPr>
      <w:r w:rsidRPr="00F8488C">
        <w:rPr>
          <w:lang w:val="es-ES_tradnl"/>
        </w:rPr>
        <w:t>Se emplean distintas reglas de atribución en función de que el país en cuestión forme parte de la sección de tránsito internacional o sea la terminación del trayecto.</w:t>
      </w:r>
    </w:p>
    <w:p w:rsidR="000B169C" w:rsidRPr="00F8488C" w:rsidRDefault="000B169C" w:rsidP="000B169C">
      <w:pPr>
        <w:pStyle w:val="Heading1"/>
        <w:rPr>
          <w:lang w:val="es-ES_tradnl"/>
        </w:rPr>
      </w:pPr>
      <w:r w:rsidRPr="00F8488C">
        <w:rPr>
          <w:lang w:val="es-ES_tradnl"/>
        </w:rPr>
        <w:t>2</w:t>
      </w:r>
      <w:r w:rsidRPr="00F8488C">
        <w:rPr>
          <w:lang w:val="es-ES_tradnl"/>
        </w:rPr>
        <w:tab/>
        <w:t>Requisito temporal para la evaluación del objetivo</w:t>
      </w:r>
    </w:p>
    <w:p w:rsidR="000B169C" w:rsidRPr="00F8488C" w:rsidRDefault="000B169C" w:rsidP="000B169C">
      <w:pPr>
        <w:rPr>
          <w:b/>
          <w:lang w:val="es-ES_tradnl"/>
        </w:rPr>
      </w:pPr>
      <w:r w:rsidRPr="00F8488C">
        <w:rPr>
          <w:lang w:val="es-ES_tradnl"/>
        </w:rPr>
        <w:t>Evaluación de eventos: 1 segundo.</w:t>
      </w:r>
    </w:p>
    <w:p w:rsidR="000B169C" w:rsidRPr="00F8488C" w:rsidRDefault="000B169C" w:rsidP="000B169C">
      <w:pPr>
        <w:rPr>
          <w:b/>
          <w:lang w:val="es-ES_tradnl"/>
        </w:rPr>
      </w:pPr>
      <w:r w:rsidRPr="00F8488C">
        <w:rPr>
          <w:lang w:val="es-ES_tradnl"/>
        </w:rPr>
        <w:t>Objetivos de disponibilidad: 1 año.</w:t>
      </w:r>
    </w:p>
    <w:p w:rsidR="000B169C" w:rsidRPr="00F8488C" w:rsidRDefault="000B169C" w:rsidP="000B169C">
      <w:pPr>
        <w:rPr>
          <w:b/>
          <w:lang w:val="es-ES_tradnl"/>
        </w:rPr>
      </w:pPr>
      <w:r w:rsidRPr="00F8488C">
        <w:rPr>
          <w:lang w:val="es-ES_tradnl"/>
        </w:rPr>
        <w:t>Objetivos de característica de error: 1 mes.</w:t>
      </w:r>
    </w:p>
    <w:p w:rsidR="000B169C" w:rsidRPr="00F8488C" w:rsidRDefault="000B169C" w:rsidP="000B169C">
      <w:pPr>
        <w:pStyle w:val="Heading1"/>
        <w:rPr>
          <w:lang w:val="es-ES_tradnl"/>
        </w:rPr>
      </w:pPr>
      <w:r w:rsidRPr="00F8488C">
        <w:rPr>
          <w:lang w:val="es-ES_tradnl"/>
        </w:rPr>
        <w:t>3</w:t>
      </w:r>
      <w:r w:rsidRPr="00F8488C">
        <w:rPr>
          <w:lang w:val="es-ES_tradnl"/>
        </w:rPr>
        <w:tab/>
        <w:t>Objetivo</w:t>
      </w:r>
    </w:p>
    <w:p w:rsidR="000B169C" w:rsidRPr="00F8488C" w:rsidRDefault="000B169C" w:rsidP="000B169C">
      <w:pPr>
        <w:pStyle w:val="Headingb"/>
        <w:rPr>
          <w:lang w:val="es-ES_tradnl"/>
        </w:rPr>
      </w:pPr>
      <w:r w:rsidRPr="00F8488C">
        <w:rPr>
          <w:lang w:val="es-ES_tradnl"/>
        </w:rPr>
        <w:t>PEA</w:t>
      </w:r>
    </w:p>
    <w:p w:rsidR="000B169C" w:rsidRPr="00F8488C" w:rsidRDefault="000B169C" w:rsidP="000B169C">
      <w:pPr>
        <w:rPr>
          <w:lang w:val="es-ES_tradnl" w:eastAsia="zh-CN"/>
        </w:rPr>
      </w:pPr>
      <w:r w:rsidRPr="00F8488C">
        <w:rPr>
          <w:lang w:val="es-ES_tradnl" w:eastAsia="zh-CN"/>
        </w:rPr>
        <w:t>Los objetivos PEA</w:t>
      </w:r>
      <w:r w:rsidRPr="00F8488C">
        <w:rPr>
          <w:lang w:val="es-ES_tradnl"/>
        </w:rPr>
        <w:t xml:space="preserve"> aplicables a cada sentido de un enlace fijo inalámbrico de longitud </w:t>
      </w:r>
      <w:r w:rsidRPr="00F8488C">
        <w:rPr>
          <w:i/>
          <w:iCs/>
          <w:lang w:val="es-ES_tradnl"/>
        </w:rPr>
        <w:t>L</w:t>
      </w:r>
      <w:r w:rsidRPr="00F8488C">
        <w:rPr>
          <w:i/>
          <w:iCs/>
          <w:position w:val="-4"/>
          <w:sz w:val="16"/>
          <w:szCs w:val="16"/>
          <w:lang w:val="es-ES_tradnl"/>
        </w:rPr>
        <w:t>link</w:t>
      </w:r>
      <w:r w:rsidRPr="00F8488C">
        <w:rPr>
          <w:lang w:val="es-ES_tradnl"/>
        </w:rPr>
        <w:t xml:space="preserve"> pueden derivarse de los valores indicados en los Cuadros 1 y 2 utilizando la ecuación (1)</w:t>
      </w:r>
      <w:r w:rsidRPr="00F8488C">
        <w:rPr>
          <w:lang w:val="es-ES_tradnl" w:eastAsia="zh-CN"/>
        </w:rPr>
        <w:t>:</w:t>
      </w:r>
    </w:p>
    <w:p w:rsidR="000B169C" w:rsidRPr="00F8488C" w:rsidRDefault="000B169C" w:rsidP="000B169C">
      <w:pPr>
        <w:pStyle w:val="Equation"/>
        <w:rPr>
          <w:lang w:val="es-ES_tradnl"/>
        </w:rPr>
      </w:pPr>
      <w:r w:rsidRPr="00F8488C">
        <w:rPr>
          <w:lang w:val="es-ES_tradnl"/>
        </w:rPr>
        <w:tab/>
      </w:r>
      <w:r w:rsidRPr="00F8488C">
        <w:rPr>
          <w:lang w:val="es-ES_tradnl"/>
        </w:rPr>
        <w:tab/>
      </w:r>
      <w:r w:rsidRPr="00F8488C">
        <w:rPr>
          <w:lang w:val="es-ES_tradnl"/>
        </w:rPr>
        <w:object w:dxaOrig="3510" w:dyaOrig="1095">
          <v:shape id="_x0000_i1026" type="#_x0000_t75" style="width:175.95pt;height:55.1pt" o:ole="">
            <v:imagedata r:id="rId15" o:title=""/>
          </v:shape>
          <o:OLEObject Type="Embed" ProgID="Equation.3" ShapeID="_x0000_i1026" DrawAspect="Content" ObjectID="_1588146909" r:id="rId16"/>
        </w:object>
      </w:r>
      <w:r w:rsidRPr="00F8488C">
        <w:rPr>
          <w:lang w:val="es-ES_tradnl"/>
        </w:rPr>
        <w:tab/>
        <w:t>(1)</w:t>
      </w:r>
    </w:p>
    <w:p w:rsidR="000B169C" w:rsidRPr="00F8488C" w:rsidRDefault="000B169C" w:rsidP="00302200">
      <w:pPr>
        <w:keepNext/>
        <w:keepLines/>
        <w:rPr>
          <w:lang w:val="es-ES_tradnl"/>
        </w:rPr>
      </w:pPr>
      <w:r w:rsidRPr="00F8488C">
        <w:rPr>
          <w:lang w:val="es-ES_tradnl"/>
        </w:rPr>
        <w:lastRenderedPageBreak/>
        <w:t>donde:</w:t>
      </w:r>
    </w:p>
    <w:p w:rsidR="000B169C" w:rsidRPr="00F8488C" w:rsidRDefault="000B169C" w:rsidP="000B169C">
      <w:pPr>
        <w:rPr>
          <w:lang w:val="es-ES_tradnl"/>
        </w:rPr>
      </w:pPr>
      <w:r w:rsidRPr="00F8488C">
        <w:rPr>
          <w:lang w:val="es-ES_tradnl"/>
        </w:rPr>
        <w:t xml:space="preserve">el valor de </w:t>
      </w:r>
      <w:r w:rsidRPr="00F8488C">
        <w:rPr>
          <w:i/>
          <w:iCs/>
          <w:lang w:val="es-ES_tradnl"/>
        </w:rPr>
        <w:t>j</w:t>
      </w:r>
      <w:r w:rsidRPr="00F8488C">
        <w:rPr>
          <w:lang w:val="es-ES_tradnl"/>
        </w:rPr>
        <w:t xml:space="preserve"> es: </w:t>
      </w:r>
      <w:r w:rsidRPr="00F8488C">
        <w:rPr>
          <w:lang w:val="es-ES_tradnl"/>
        </w:rPr>
        <w:tab/>
      </w:r>
      <w:r w:rsidRPr="00F8488C">
        <w:rPr>
          <w:lang w:val="es-ES_tradnl"/>
        </w:rPr>
        <w:tab/>
        <w:t>para la porción internacional:</w:t>
      </w:r>
    </w:p>
    <w:p w:rsidR="000B169C" w:rsidRPr="00F8488C" w:rsidRDefault="000B169C" w:rsidP="000B169C">
      <w:pPr>
        <w:tabs>
          <w:tab w:val="left" w:pos="2608"/>
          <w:tab w:val="left" w:pos="2954"/>
          <w:tab w:val="left" w:pos="3345"/>
          <w:tab w:val="left" w:pos="3686"/>
          <w:tab w:val="left" w:pos="4536"/>
          <w:tab w:val="left" w:pos="4578"/>
          <w:tab w:val="left" w:pos="4820"/>
          <w:tab w:val="left" w:pos="5362"/>
          <w:tab w:val="left" w:pos="5670"/>
          <w:tab w:val="right" w:pos="9639"/>
        </w:tabs>
        <w:spacing w:before="80"/>
        <w:ind w:left="2160" w:hanging="2160"/>
        <w:rPr>
          <w:lang w:val="es-ES_tradnl"/>
        </w:rPr>
      </w:pPr>
      <w:r w:rsidRPr="00F8488C">
        <w:rPr>
          <w:lang w:val="es-ES_tradnl"/>
        </w:rPr>
        <w:tab/>
      </w:r>
      <w:r w:rsidRPr="00F8488C">
        <w:rPr>
          <w:lang w:val="es-ES_tradnl"/>
        </w:rPr>
        <w:tab/>
      </w:r>
      <w:r w:rsidRPr="00F8488C">
        <w:rPr>
          <w:lang w:val="es-ES_tradnl"/>
        </w:rPr>
        <w:tab/>
      </w:r>
      <w:bookmarkStart w:id="4" w:name="OLE_LINK1"/>
      <w:r w:rsidRPr="00F8488C">
        <w:rPr>
          <w:lang w:val="es-ES_tradnl"/>
        </w:rPr>
        <w:tab/>
      </w:r>
      <w:r w:rsidRPr="00F8488C">
        <w:rPr>
          <w:lang w:val="es-ES_tradnl"/>
        </w:rPr>
        <w:tab/>
        <w:t>1</w:t>
      </w:r>
      <w:r w:rsidRPr="00F8488C">
        <w:rPr>
          <w:lang w:val="es-ES_tradnl"/>
        </w:rPr>
        <w:tab/>
        <w:t xml:space="preserve">para </w:t>
      </w:r>
      <w:r w:rsidRPr="00F8488C">
        <w:rPr>
          <w:i/>
          <w:iCs/>
          <w:lang w:val="es-ES_tradnl"/>
        </w:rPr>
        <w:t>L</w:t>
      </w:r>
      <w:r w:rsidRPr="00F8488C">
        <w:rPr>
          <w:i/>
          <w:iCs/>
          <w:position w:val="-4"/>
          <w:sz w:val="16"/>
          <w:szCs w:val="16"/>
          <w:lang w:val="es-ES_tradnl"/>
        </w:rPr>
        <w:t>min</w:t>
      </w:r>
      <w:r w:rsidRPr="00F8488C">
        <w:rPr>
          <w:lang w:val="es-ES_tradnl"/>
        </w:rPr>
        <w:tab/>
      </w:r>
      <w:r w:rsidRPr="00F8488C">
        <w:rPr>
          <w:lang w:val="es-ES_tradnl"/>
        </w:rPr>
        <w:tab/>
      </w:r>
      <w:r w:rsidRPr="00F8488C">
        <w:rPr>
          <w:lang w:val="es-ES_tradnl"/>
        </w:rPr>
        <w:tab/>
      </w:r>
      <w:r w:rsidRPr="00F8488C">
        <w:rPr>
          <w:rFonts w:ascii="Symbol" w:eastAsia="Symbol" w:hAnsi="Symbol" w:cs="Symbol"/>
          <w:lang w:val="es-ES_tradnl"/>
        </w:rPr>
        <w:t></w:t>
      </w:r>
      <w:r w:rsidRPr="00F8488C">
        <w:rPr>
          <w:lang w:val="es-ES_tradnl"/>
        </w:rPr>
        <w:tab/>
      </w:r>
      <w:r w:rsidRPr="00F8488C">
        <w:rPr>
          <w:i/>
          <w:iCs/>
          <w:lang w:val="es-ES_tradnl"/>
        </w:rPr>
        <w:t>L</w:t>
      </w:r>
      <w:r w:rsidRPr="00F8488C">
        <w:rPr>
          <w:i/>
          <w:iCs/>
          <w:position w:val="-4"/>
          <w:sz w:val="16"/>
          <w:szCs w:val="16"/>
          <w:lang w:val="es-ES_tradnl"/>
        </w:rPr>
        <w:t>link</w:t>
      </w:r>
      <w:r w:rsidRPr="00F8488C">
        <w:rPr>
          <w:i/>
          <w:iCs/>
          <w:position w:val="-4"/>
          <w:sz w:val="16"/>
          <w:szCs w:val="16"/>
          <w:lang w:val="es-ES_tradnl"/>
        </w:rPr>
        <w:tab/>
      </w:r>
      <w:r w:rsidRPr="00F8488C">
        <w:rPr>
          <w:rFonts w:ascii="Symbol" w:eastAsia="Symbol" w:hAnsi="Symbol" w:cs="Symbol"/>
          <w:lang w:val="es-ES_tradnl"/>
        </w:rPr>
        <w:t></w:t>
      </w:r>
      <w:r w:rsidRPr="00F8488C">
        <w:rPr>
          <w:rFonts w:ascii="Symbol" w:eastAsia="Symbol" w:hAnsi="Symbol" w:cs="Symbol"/>
          <w:lang w:val="es-ES_tradnl"/>
        </w:rPr>
        <w:t></w:t>
      </w:r>
      <w:r w:rsidRPr="00F8488C">
        <w:rPr>
          <w:rFonts w:ascii="Symbol" w:eastAsia="Symbol" w:hAnsi="Symbol" w:cs="Symbol"/>
          <w:lang w:val="es-ES_tradnl"/>
        </w:rPr>
        <w:t></w:t>
      </w:r>
      <w:r w:rsidRPr="00F8488C">
        <w:rPr>
          <w:lang w:val="es-ES_tradnl"/>
        </w:rPr>
        <w:t>250 km</w:t>
      </w:r>
      <w:r w:rsidRPr="00F8488C">
        <w:rPr>
          <w:lang w:val="es-ES_tradnl"/>
        </w:rPr>
        <w:br/>
        <w:t>2</w:t>
      </w:r>
      <w:r w:rsidRPr="00F8488C">
        <w:rPr>
          <w:lang w:val="es-ES_tradnl"/>
        </w:rPr>
        <w:tab/>
        <w:t>para 250 km</w:t>
      </w:r>
      <w:r w:rsidRPr="00F8488C">
        <w:rPr>
          <w:lang w:val="es-ES_tradnl"/>
        </w:rPr>
        <w:tab/>
      </w:r>
      <w:r w:rsidRPr="00F8488C">
        <w:rPr>
          <w:lang w:val="es-ES_tradnl"/>
        </w:rPr>
        <w:tab/>
      </w:r>
      <w:r w:rsidRPr="00F8488C">
        <w:rPr>
          <w:rFonts w:ascii="Symbol" w:eastAsia="Symbol" w:hAnsi="Symbol" w:cs="Symbol"/>
          <w:lang w:val="es-ES_tradnl"/>
        </w:rPr>
        <w:t></w:t>
      </w:r>
      <w:r w:rsidRPr="00F8488C">
        <w:rPr>
          <w:lang w:val="es-ES_tradnl"/>
        </w:rPr>
        <w:tab/>
      </w:r>
      <w:r w:rsidRPr="00F8488C">
        <w:rPr>
          <w:i/>
          <w:iCs/>
          <w:lang w:val="es-ES_tradnl"/>
        </w:rPr>
        <w:t>L</w:t>
      </w:r>
      <w:r w:rsidRPr="00F8488C">
        <w:rPr>
          <w:i/>
          <w:iCs/>
          <w:position w:val="-4"/>
          <w:sz w:val="16"/>
          <w:szCs w:val="16"/>
          <w:lang w:val="es-ES_tradnl"/>
        </w:rPr>
        <w:t>link</w:t>
      </w:r>
      <w:r w:rsidRPr="00F8488C">
        <w:rPr>
          <w:lang w:val="es-ES_tradnl"/>
        </w:rPr>
        <w:tab/>
      </w:r>
      <w:r w:rsidRPr="00F8488C">
        <w:rPr>
          <w:rFonts w:ascii="Symbol" w:eastAsia="Symbol" w:hAnsi="Symbol" w:cs="Symbol"/>
          <w:lang w:val="es-ES_tradnl"/>
        </w:rPr>
        <w:t></w:t>
      </w:r>
      <w:r w:rsidRPr="00F8488C">
        <w:rPr>
          <w:rFonts w:ascii="Symbol" w:eastAsia="Symbol" w:hAnsi="Symbol" w:cs="Symbol"/>
          <w:lang w:val="es-ES_tradnl"/>
        </w:rPr>
        <w:t></w:t>
      </w:r>
      <w:r w:rsidRPr="00F8488C">
        <w:rPr>
          <w:rFonts w:ascii="Symbol" w:eastAsia="Symbol" w:hAnsi="Symbol" w:cs="Symbol"/>
          <w:lang w:val="es-ES_tradnl"/>
        </w:rPr>
        <w:t></w:t>
      </w:r>
      <w:r w:rsidRPr="00F8488C">
        <w:rPr>
          <w:lang w:val="es-ES_tradnl"/>
        </w:rPr>
        <w:t>2</w:t>
      </w:r>
      <w:r w:rsidRPr="00F8488C">
        <w:rPr>
          <w:rFonts w:ascii="Tms Rmn" w:eastAsia="Tms Rmn" w:hAnsi="Tms Rmn" w:cs="Tms Rmn"/>
          <w:lang w:val="es-ES_tradnl"/>
        </w:rPr>
        <w:t> </w:t>
      </w:r>
      <w:r w:rsidRPr="00F8488C">
        <w:rPr>
          <w:lang w:val="es-ES_tradnl"/>
        </w:rPr>
        <w:t>500 km</w:t>
      </w:r>
      <w:r w:rsidRPr="00F8488C">
        <w:rPr>
          <w:lang w:val="es-ES_tradnl"/>
        </w:rPr>
        <w:br/>
        <w:t>3</w:t>
      </w:r>
      <w:r w:rsidRPr="00F8488C">
        <w:rPr>
          <w:lang w:val="es-ES_tradnl"/>
        </w:rPr>
        <w:tab/>
        <w:t>para 2</w:t>
      </w:r>
      <w:r w:rsidRPr="00F8488C">
        <w:rPr>
          <w:rFonts w:ascii="Tms Rmn" w:eastAsia="Tms Rmn" w:hAnsi="Tms Rmn" w:cs="Tms Rmn"/>
          <w:lang w:val="es-ES_tradnl"/>
        </w:rPr>
        <w:t> </w:t>
      </w:r>
      <w:r w:rsidRPr="00F8488C">
        <w:rPr>
          <w:lang w:val="es-ES_tradnl"/>
        </w:rPr>
        <w:t>500 km</w:t>
      </w:r>
      <w:r w:rsidRPr="00F8488C">
        <w:rPr>
          <w:lang w:val="es-ES_tradnl"/>
        </w:rPr>
        <w:tab/>
      </w:r>
      <w:r w:rsidRPr="00F8488C">
        <w:rPr>
          <w:rFonts w:ascii="Symbol" w:eastAsia="Symbol" w:hAnsi="Symbol" w:cs="Symbol"/>
          <w:lang w:val="es-ES_tradnl"/>
        </w:rPr>
        <w:t></w:t>
      </w:r>
      <w:r w:rsidRPr="00F8488C">
        <w:rPr>
          <w:lang w:val="es-ES_tradnl"/>
        </w:rPr>
        <w:tab/>
      </w:r>
      <w:r w:rsidRPr="00F8488C">
        <w:rPr>
          <w:i/>
          <w:iCs/>
          <w:lang w:val="es-ES_tradnl"/>
        </w:rPr>
        <w:t>L</w:t>
      </w:r>
      <w:r w:rsidRPr="00F8488C">
        <w:rPr>
          <w:i/>
          <w:iCs/>
          <w:position w:val="-4"/>
          <w:sz w:val="16"/>
          <w:szCs w:val="16"/>
          <w:lang w:val="es-ES_tradnl"/>
        </w:rPr>
        <w:t>link</w:t>
      </w:r>
      <w:r w:rsidRPr="00F8488C">
        <w:rPr>
          <w:lang w:val="es-ES_tradnl"/>
        </w:rPr>
        <w:tab/>
      </w:r>
      <w:r w:rsidRPr="00F8488C">
        <w:rPr>
          <w:rFonts w:ascii="Symbol" w:eastAsia="Symbol" w:hAnsi="Symbol" w:cs="Symbol"/>
          <w:lang w:val="es-ES_tradnl"/>
        </w:rPr>
        <w:t></w:t>
      </w:r>
      <w:r w:rsidRPr="00F8488C">
        <w:rPr>
          <w:rFonts w:ascii="Symbol" w:eastAsia="Symbol" w:hAnsi="Symbol" w:cs="Symbol"/>
          <w:lang w:val="es-ES_tradnl"/>
        </w:rPr>
        <w:t></w:t>
      </w:r>
      <w:r w:rsidRPr="00F8488C">
        <w:rPr>
          <w:rFonts w:ascii="Symbol" w:eastAsia="Symbol" w:hAnsi="Symbol" w:cs="Symbol"/>
          <w:lang w:val="es-ES_tradnl"/>
        </w:rPr>
        <w:t></w:t>
      </w:r>
      <w:r w:rsidRPr="00F8488C">
        <w:rPr>
          <w:lang w:val="es-ES_tradnl"/>
        </w:rPr>
        <w:t>7</w:t>
      </w:r>
      <w:r w:rsidRPr="00F8488C">
        <w:rPr>
          <w:rFonts w:ascii="Tms Rmn" w:eastAsia="Tms Rmn" w:hAnsi="Tms Rmn" w:cs="Tms Rmn"/>
          <w:lang w:val="es-ES_tradnl"/>
        </w:rPr>
        <w:t> </w:t>
      </w:r>
      <w:r w:rsidRPr="00F8488C">
        <w:rPr>
          <w:lang w:val="es-ES_tradnl"/>
        </w:rPr>
        <w:t>500 km</w:t>
      </w:r>
      <w:r w:rsidRPr="00F8488C">
        <w:rPr>
          <w:lang w:val="es-ES_tradnl"/>
        </w:rPr>
        <w:br/>
        <w:t>4</w:t>
      </w:r>
      <w:r w:rsidRPr="00F8488C">
        <w:rPr>
          <w:lang w:val="es-ES_tradnl"/>
        </w:rPr>
        <w:tab/>
        <w:t xml:space="preserve">para </w:t>
      </w:r>
      <w:r w:rsidRPr="00F8488C">
        <w:rPr>
          <w:lang w:val="es-ES_tradnl"/>
        </w:rPr>
        <w:tab/>
      </w:r>
      <w:r w:rsidRPr="00F8488C">
        <w:rPr>
          <w:lang w:val="es-ES_tradnl"/>
        </w:rPr>
        <w:tab/>
      </w:r>
      <w:r w:rsidRPr="00F8488C">
        <w:rPr>
          <w:lang w:val="es-ES_tradnl"/>
        </w:rPr>
        <w:tab/>
      </w:r>
      <w:r w:rsidRPr="00F8488C">
        <w:rPr>
          <w:lang w:val="es-ES_tradnl"/>
        </w:rPr>
        <w:tab/>
      </w:r>
      <w:r w:rsidRPr="00F8488C">
        <w:rPr>
          <w:lang w:val="es-ES_tradnl"/>
        </w:rPr>
        <w:tab/>
      </w:r>
      <w:r w:rsidRPr="00F8488C">
        <w:rPr>
          <w:i/>
          <w:iCs/>
          <w:lang w:val="es-ES_tradnl"/>
        </w:rPr>
        <w:t>L</w:t>
      </w:r>
      <w:r w:rsidRPr="00F8488C">
        <w:rPr>
          <w:i/>
          <w:iCs/>
          <w:position w:val="-4"/>
          <w:sz w:val="16"/>
          <w:szCs w:val="16"/>
          <w:lang w:val="es-ES_tradnl"/>
        </w:rPr>
        <w:t>link</w:t>
      </w:r>
      <w:r w:rsidRPr="00F8488C">
        <w:rPr>
          <w:lang w:val="es-ES_tradnl"/>
        </w:rPr>
        <w:tab/>
      </w:r>
      <w:r w:rsidRPr="00F8488C">
        <w:rPr>
          <w:rFonts w:ascii="Symbol" w:eastAsia="Symbol" w:hAnsi="Symbol" w:cs="Symbol"/>
          <w:lang w:val="es-ES_tradnl"/>
        </w:rPr>
        <w:t></w:t>
      </w:r>
      <w:r w:rsidRPr="00F8488C">
        <w:rPr>
          <w:rFonts w:ascii="Symbol" w:eastAsia="Symbol" w:hAnsi="Symbol" w:cs="Symbol"/>
          <w:lang w:val="es-ES_tradnl"/>
        </w:rPr>
        <w:t></w:t>
      </w:r>
      <w:r w:rsidRPr="00F8488C">
        <w:rPr>
          <w:rFonts w:ascii="Symbol" w:eastAsia="Symbol" w:hAnsi="Symbol" w:cs="Symbol"/>
          <w:lang w:val="es-ES_tradnl"/>
        </w:rPr>
        <w:t></w:t>
      </w:r>
      <w:r w:rsidRPr="00F8488C">
        <w:rPr>
          <w:lang w:val="es-ES_tradnl"/>
        </w:rPr>
        <w:t>7</w:t>
      </w:r>
      <w:r w:rsidRPr="00F8488C">
        <w:rPr>
          <w:rFonts w:ascii="Tms Rmn" w:eastAsia="Tms Rmn" w:hAnsi="Tms Rmn" w:cs="Tms Rmn"/>
          <w:lang w:val="es-ES_tradnl"/>
        </w:rPr>
        <w:t> </w:t>
      </w:r>
      <w:r w:rsidRPr="00F8488C">
        <w:rPr>
          <w:lang w:val="es-ES_tradnl"/>
        </w:rPr>
        <w:t>500 km</w:t>
      </w:r>
    </w:p>
    <w:bookmarkEnd w:id="4"/>
    <w:p w:rsidR="000B169C" w:rsidRPr="00F8488C" w:rsidRDefault="000B169C" w:rsidP="000B169C">
      <w:pPr>
        <w:tabs>
          <w:tab w:val="left" w:pos="2127"/>
        </w:tabs>
        <w:rPr>
          <w:lang w:val="es-ES_tradnl"/>
        </w:rPr>
      </w:pPr>
      <w:r w:rsidRPr="00F8488C">
        <w:rPr>
          <w:lang w:val="es-ES_tradnl"/>
        </w:rPr>
        <w:tab/>
      </w:r>
      <w:r w:rsidRPr="00F8488C">
        <w:rPr>
          <w:lang w:val="es-ES_tradnl"/>
        </w:rPr>
        <w:tab/>
      </w:r>
      <w:r w:rsidRPr="00F8488C">
        <w:rPr>
          <w:lang w:val="es-ES_tradnl"/>
        </w:rPr>
        <w:tab/>
      </w:r>
      <w:r w:rsidRPr="00F8488C">
        <w:rPr>
          <w:lang w:val="es-ES_tradnl"/>
        </w:rPr>
        <w:tab/>
        <w:t>para la sección de la porción nacional:</w:t>
      </w:r>
    </w:p>
    <w:p w:rsidR="000B169C" w:rsidRPr="00F8488C" w:rsidRDefault="000B169C" w:rsidP="000B169C">
      <w:pPr>
        <w:tabs>
          <w:tab w:val="left" w:pos="2608"/>
          <w:tab w:val="left" w:pos="2954"/>
          <w:tab w:val="left" w:pos="3345"/>
          <w:tab w:val="left" w:pos="3686"/>
          <w:tab w:val="left" w:pos="4320"/>
          <w:tab w:val="left" w:pos="4578"/>
          <w:tab w:val="left" w:pos="5110"/>
          <w:tab w:val="left" w:pos="5362"/>
          <w:tab w:val="right" w:pos="9639"/>
        </w:tabs>
        <w:spacing w:before="80"/>
        <w:ind w:left="2160" w:hanging="2160"/>
        <w:jc w:val="left"/>
        <w:rPr>
          <w:lang w:val="es-ES_tradnl"/>
        </w:rPr>
      </w:pPr>
      <w:r w:rsidRPr="00F8488C">
        <w:rPr>
          <w:i/>
          <w:iCs/>
          <w:lang w:val="es-ES_tradnl"/>
        </w:rPr>
        <w:tab/>
      </w:r>
      <w:r w:rsidRPr="00F8488C">
        <w:rPr>
          <w:i/>
          <w:iCs/>
          <w:lang w:val="es-ES_tradnl"/>
        </w:rPr>
        <w:tab/>
      </w:r>
      <w:r w:rsidRPr="00F8488C">
        <w:rPr>
          <w:i/>
          <w:iCs/>
          <w:lang w:val="es-ES_tradnl"/>
        </w:rPr>
        <w:tab/>
      </w:r>
      <w:r w:rsidRPr="00F8488C">
        <w:rPr>
          <w:i/>
          <w:iCs/>
          <w:lang w:val="es-ES_tradnl"/>
        </w:rPr>
        <w:tab/>
      </w:r>
      <w:r w:rsidRPr="00F8488C">
        <w:rPr>
          <w:i/>
          <w:iCs/>
          <w:lang w:val="es-ES_tradnl"/>
        </w:rPr>
        <w:tab/>
      </w:r>
      <w:r w:rsidRPr="00F8488C">
        <w:rPr>
          <w:lang w:val="es-ES_tradnl"/>
        </w:rPr>
        <w:t>5</w:t>
      </w:r>
      <w:r w:rsidRPr="00F8488C">
        <w:rPr>
          <w:lang w:val="es-ES_tradnl"/>
        </w:rPr>
        <w:tab/>
        <w:t xml:space="preserve">para la red de acceso </w:t>
      </w:r>
      <w:r w:rsidRPr="00F8488C">
        <w:rPr>
          <w:lang w:val="es-ES_tradnl"/>
        </w:rPr>
        <w:br/>
        <w:t>6</w:t>
      </w:r>
      <w:r w:rsidRPr="00F8488C">
        <w:rPr>
          <w:lang w:val="es-ES_tradnl"/>
        </w:rPr>
        <w:tab/>
        <w:t xml:space="preserve">para corto alcance </w:t>
      </w:r>
      <w:r w:rsidRPr="00F8488C">
        <w:rPr>
          <w:lang w:val="es-ES_tradnl"/>
        </w:rPr>
        <w:br/>
        <w:t>7</w:t>
      </w:r>
      <w:r w:rsidRPr="00F8488C">
        <w:rPr>
          <w:lang w:val="es-ES_tradnl"/>
        </w:rPr>
        <w:tab/>
        <w:t>para largo alcance</w:t>
      </w:r>
    </w:p>
    <w:p w:rsidR="000B169C" w:rsidRPr="00F8488C" w:rsidRDefault="000B169C" w:rsidP="000B169C">
      <w:pPr>
        <w:pStyle w:val="Equationlegend"/>
        <w:rPr>
          <w:lang w:val="es-ES_tradnl"/>
        </w:rPr>
      </w:pPr>
      <w:r w:rsidRPr="00F8488C">
        <w:rPr>
          <w:lang w:val="es-ES_tradnl"/>
        </w:rPr>
        <w:tab/>
      </w:r>
      <w:r w:rsidRPr="00F8488C">
        <w:rPr>
          <w:i/>
          <w:iCs/>
          <w:lang w:val="es-ES_tradnl"/>
        </w:rPr>
        <w:t>L</w:t>
      </w:r>
      <w:r w:rsidRPr="00F8488C">
        <w:rPr>
          <w:i/>
          <w:iCs/>
          <w:vertAlign w:val="subscript"/>
          <w:lang w:val="es-ES_tradnl"/>
        </w:rPr>
        <w:t>R</w:t>
      </w:r>
      <w:r w:rsidRPr="00F8488C">
        <w:rPr>
          <w:rFonts w:ascii="Tms Rmn" w:eastAsia="Tms Rmn" w:hAnsi="Tms Rmn" w:cs="Tms Rmn"/>
          <w:sz w:val="12"/>
          <w:szCs w:val="12"/>
          <w:lang w:val="es-ES_tradnl"/>
        </w:rPr>
        <w:t> </w:t>
      </w:r>
      <w:r w:rsidRPr="00F8488C">
        <w:rPr>
          <w:lang w:val="es-ES_tradnl"/>
        </w:rPr>
        <w:t>:</w:t>
      </w:r>
      <w:r w:rsidRPr="00F8488C">
        <w:rPr>
          <w:vertAlign w:val="subscript"/>
          <w:lang w:val="es-ES_tradnl"/>
        </w:rPr>
        <w:tab/>
      </w:r>
      <w:r w:rsidRPr="00F8488C">
        <w:rPr>
          <w:lang w:val="es-ES_tradnl"/>
        </w:rPr>
        <w:t xml:space="preserve">longitud de referencia </w:t>
      </w:r>
      <w:r w:rsidRPr="00F8488C">
        <w:rPr>
          <w:i/>
          <w:iCs/>
          <w:lang w:val="es-ES_tradnl"/>
        </w:rPr>
        <w:t>L</w:t>
      </w:r>
      <w:r w:rsidRPr="00F8488C">
        <w:rPr>
          <w:i/>
          <w:iCs/>
          <w:position w:val="-4"/>
          <w:sz w:val="16"/>
          <w:szCs w:val="16"/>
          <w:lang w:val="es-ES_tradnl"/>
        </w:rPr>
        <w:t>R</w:t>
      </w:r>
      <w:r w:rsidRPr="00F8488C">
        <w:rPr>
          <w:lang w:val="es-ES_tradnl"/>
        </w:rPr>
        <w:t> </w:t>
      </w:r>
      <w:r w:rsidRPr="00F8488C">
        <w:rPr>
          <w:rFonts w:ascii="Symbol" w:eastAsia="Symbol" w:hAnsi="Symbol" w:cs="Symbol"/>
          <w:lang w:val="es-ES_tradnl"/>
        </w:rPr>
        <w:t></w:t>
      </w:r>
      <w:r w:rsidRPr="00F8488C">
        <w:rPr>
          <w:lang w:val="es-ES_tradnl"/>
        </w:rPr>
        <w:t> 250 km.</w:t>
      </w:r>
    </w:p>
    <w:p w:rsidR="000B169C" w:rsidRPr="00F8488C" w:rsidRDefault="000B169C" w:rsidP="000B169C">
      <w:pPr>
        <w:rPr>
          <w:lang w:val="es-ES_tradnl"/>
        </w:rPr>
      </w:pPr>
      <w:r w:rsidRPr="00F8488C">
        <w:rPr>
          <w:lang w:val="es-ES_tradnl"/>
        </w:rPr>
        <w:t xml:space="preserve">El límite inferior de </w:t>
      </w:r>
      <w:r w:rsidRPr="00F8488C">
        <w:rPr>
          <w:i/>
          <w:iCs/>
          <w:lang w:val="es-ES_tradnl"/>
        </w:rPr>
        <w:t>L</w:t>
      </w:r>
      <w:r w:rsidRPr="00F8488C">
        <w:rPr>
          <w:i/>
          <w:iCs/>
          <w:vertAlign w:val="subscript"/>
          <w:lang w:val="es-ES_tradnl"/>
        </w:rPr>
        <w:t>link</w:t>
      </w:r>
      <w:r w:rsidRPr="00F8488C">
        <w:rPr>
          <w:lang w:val="es-ES_tradnl"/>
        </w:rPr>
        <w:t xml:space="preserve"> utilizado para adaptar los objetivos es </w:t>
      </w:r>
      <w:r w:rsidRPr="00F8488C">
        <w:rPr>
          <w:i/>
          <w:iCs/>
          <w:lang w:val="es-ES_tradnl"/>
        </w:rPr>
        <w:t>L</w:t>
      </w:r>
      <w:r w:rsidRPr="00F8488C">
        <w:rPr>
          <w:i/>
          <w:iCs/>
          <w:vertAlign w:val="subscript"/>
          <w:lang w:val="es-ES_tradnl"/>
        </w:rPr>
        <w:t>min</w:t>
      </w:r>
      <w:r w:rsidRPr="00F8488C">
        <w:rPr>
          <w:lang w:val="es-ES_tradnl"/>
        </w:rPr>
        <w:t xml:space="preserve"> </w:t>
      </w:r>
      <w:r w:rsidRPr="00F8488C">
        <w:rPr>
          <w:rFonts w:ascii="Symbol" w:eastAsia="Symbol" w:hAnsi="Symbol" w:cs="Symbol"/>
          <w:lang w:val="es-ES_tradnl"/>
        </w:rPr>
        <w:t></w:t>
      </w:r>
      <w:r w:rsidRPr="00F8488C">
        <w:rPr>
          <w:lang w:val="es-ES_tradnl"/>
        </w:rPr>
        <w:t xml:space="preserve"> 50 km.</w:t>
      </w:r>
    </w:p>
    <w:p w:rsidR="000B169C" w:rsidRPr="00F8488C" w:rsidRDefault="000B169C" w:rsidP="000B169C">
      <w:pPr>
        <w:pStyle w:val="TableNo"/>
        <w:rPr>
          <w:lang w:val="es-ES_tradnl"/>
        </w:rPr>
      </w:pPr>
      <w:r w:rsidRPr="00F8488C">
        <w:rPr>
          <w:lang w:val="es-ES_tradnl"/>
        </w:rPr>
        <w:t>CUADRO 1</w:t>
      </w:r>
    </w:p>
    <w:p w:rsidR="000B169C" w:rsidRPr="00F8488C" w:rsidRDefault="000B169C" w:rsidP="000B169C">
      <w:pPr>
        <w:pStyle w:val="Tabletitle"/>
        <w:rPr>
          <w:lang w:val="es-ES_tradnl"/>
        </w:rPr>
      </w:pPr>
      <w:r w:rsidRPr="00F8488C">
        <w:rPr>
          <w:rFonts w:eastAsia="Times New Roman Bold"/>
          <w:lang w:val="es-ES_tradnl"/>
        </w:rPr>
        <w:t xml:space="preserve">Parámetros para los objetivos PEA de enlaces que forman parte de una porción </w:t>
      </w:r>
      <w:r w:rsidRPr="00F8488C">
        <w:rPr>
          <w:rFonts w:eastAsia="Times New Roman Bold"/>
          <w:lang w:val="es-ES_tradnl"/>
        </w:rPr>
        <w:br/>
        <w:t>internacional de un trayecto digital con velocidad binaria constante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6"/>
        <w:gridCol w:w="1129"/>
        <w:gridCol w:w="1218"/>
        <w:gridCol w:w="1008"/>
        <w:gridCol w:w="923"/>
        <w:gridCol w:w="1120"/>
        <w:gridCol w:w="910"/>
        <w:gridCol w:w="1036"/>
        <w:gridCol w:w="839"/>
      </w:tblGrid>
      <w:tr w:rsidR="000B169C" w:rsidRPr="00302200" w:rsidTr="000676F3">
        <w:tc>
          <w:tcPr>
            <w:tcW w:w="1456" w:type="dxa"/>
            <w:tcBorders>
              <w:top w:val="single" w:sz="4" w:space="0" w:color="auto"/>
              <w:left w:val="single" w:sz="4" w:space="0" w:color="auto"/>
              <w:bottom w:val="single" w:sz="4" w:space="0" w:color="auto"/>
              <w:right w:val="single" w:sz="4" w:space="0" w:color="auto"/>
            </w:tcBorders>
            <w:hideMark/>
          </w:tcPr>
          <w:p w:rsidR="000B169C" w:rsidRPr="00302200" w:rsidRDefault="000B169C" w:rsidP="00302200">
            <w:pPr>
              <w:pStyle w:val="Tablehead"/>
              <w:rPr>
                <w:bCs/>
                <w:szCs w:val="22"/>
                <w:lang w:val="es-ES_tradnl"/>
              </w:rPr>
            </w:pPr>
            <w:r w:rsidRPr="00302200">
              <w:rPr>
                <w:rFonts w:eastAsia="Times New Roman Bold"/>
                <w:szCs w:val="22"/>
                <w:lang w:val="es-ES_tradnl"/>
              </w:rPr>
              <w:t>Longitud (km)</w:t>
            </w:r>
          </w:p>
        </w:tc>
        <w:tc>
          <w:tcPr>
            <w:tcW w:w="2347" w:type="dxa"/>
            <w:gridSpan w:val="2"/>
            <w:tcBorders>
              <w:top w:val="single" w:sz="4" w:space="0" w:color="auto"/>
              <w:left w:val="single" w:sz="4" w:space="0" w:color="auto"/>
              <w:bottom w:val="single" w:sz="4" w:space="0" w:color="auto"/>
              <w:right w:val="single" w:sz="4" w:space="0" w:color="auto"/>
            </w:tcBorders>
            <w:vAlign w:val="center"/>
            <w:hideMark/>
          </w:tcPr>
          <w:p w:rsidR="000B169C" w:rsidRPr="00302200" w:rsidRDefault="000B169C" w:rsidP="00302200">
            <w:pPr>
              <w:pStyle w:val="Tablehead"/>
              <w:rPr>
                <w:bCs/>
                <w:szCs w:val="22"/>
                <w:lang w:val="es-ES_tradnl"/>
              </w:rPr>
            </w:pPr>
            <w:r w:rsidRPr="00302200">
              <w:rPr>
                <w:rFonts w:eastAsia="Times New Roman Bold"/>
                <w:i/>
                <w:iCs/>
                <w:szCs w:val="22"/>
                <w:lang w:val="es-ES_tradnl"/>
              </w:rPr>
              <w:t>L</w:t>
            </w:r>
            <w:r w:rsidRPr="00302200">
              <w:rPr>
                <w:rFonts w:eastAsia="Times New Roman Bold"/>
                <w:i/>
                <w:iCs/>
                <w:szCs w:val="22"/>
                <w:vertAlign w:val="subscript"/>
                <w:lang w:val="es-ES_tradnl"/>
              </w:rPr>
              <w:t>min</w:t>
            </w:r>
            <w:r w:rsidRPr="00302200">
              <w:rPr>
                <w:rFonts w:eastAsia="Times New Roman Bold"/>
                <w:szCs w:val="22"/>
                <w:lang w:val="es-ES_tradnl"/>
              </w:rPr>
              <w:t xml:space="preserve"> </w:t>
            </w:r>
            <w:r w:rsidRPr="00302200">
              <w:rPr>
                <w:rFonts w:ascii="Symbol" w:hAnsi="Symbol"/>
                <w:bCs/>
                <w:szCs w:val="22"/>
                <w:lang w:val="es-ES_tradnl"/>
              </w:rPr>
              <w:sym w:font="Symbol" w:char="F0A3"/>
            </w:r>
            <w:r w:rsidRPr="00302200">
              <w:rPr>
                <w:rFonts w:eastAsia="Times New Roman Bold"/>
                <w:szCs w:val="22"/>
                <w:lang w:val="es-ES_tradnl"/>
              </w:rPr>
              <w:t xml:space="preserve"> </w:t>
            </w:r>
            <w:r w:rsidRPr="00302200">
              <w:rPr>
                <w:rFonts w:eastAsia="Times New Roman Bold"/>
                <w:i/>
                <w:iCs/>
                <w:szCs w:val="22"/>
                <w:lang w:val="es-ES_tradnl"/>
              </w:rPr>
              <w:t>L</w:t>
            </w:r>
            <w:r w:rsidRPr="00302200">
              <w:rPr>
                <w:rFonts w:eastAsia="Times New Roman Bold"/>
                <w:i/>
                <w:iCs/>
                <w:szCs w:val="22"/>
                <w:vertAlign w:val="subscript"/>
                <w:lang w:val="es-ES_tradnl"/>
              </w:rPr>
              <w:t>link</w:t>
            </w:r>
            <w:r w:rsidRPr="00302200">
              <w:rPr>
                <w:rFonts w:eastAsia="Times New Roman Bold"/>
                <w:szCs w:val="22"/>
                <w:lang w:val="es-ES_tradnl"/>
              </w:rPr>
              <w:t xml:space="preserve"> </w:t>
            </w:r>
            <w:r w:rsidRPr="00302200">
              <w:rPr>
                <w:rFonts w:ascii="Symbol" w:hAnsi="Symbol"/>
                <w:bCs/>
                <w:szCs w:val="22"/>
                <w:lang w:val="es-ES_tradnl"/>
              </w:rPr>
              <w:sym w:font="Symbol" w:char="F0A3"/>
            </w:r>
            <w:r w:rsidRPr="00302200">
              <w:rPr>
                <w:rFonts w:eastAsia="Times New Roman Bold"/>
                <w:szCs w:val="22"/>
                <w:lang w:val="es-ES_tradnl"/>
              </w:rPr>
              <w:t xml:space="preserve"> 250</w:t>
            </w:r>
          </w:p>
        </w:tc>
        <w:tc>
          <w:tcPr>
            <w:tcW w:w="1931" w:type="dxa"/>
            <w:gridSpan w:val="2"/>
            <w:tcBorders>
              <w:top w:val="single" w:sz="4" w:space="0" w:color="auto"/>
              <w:left w:val="single" w:sz="4" w:space="0" w:color="auto"/>
              <w:bottom w:val="single" w:sz="4" w:space="0" w:color="auto"/>
              <w:right w:val="single" w:sz="4" w:space="0" w:color="auto"/>
            </w:tcBorders>
            <w:vAlign w:val="center"/>
            <w:hideMark/>
          </w:tcPr>
          <w:p w:rsidR="000B169C" w:rsidRPr="00302200" w:rsidRDefault="000B169C" w:rsidP="00302200">
            <w:pPr>
              <w:pStyle w:val="Tablehead"/>
              <w:rPr>
                <w:bCs/>
                <w:szCs w:val="22"/>
                <w:lang w:val="es-ES_tradnl"/>
              </w:rPr>
            </w:pPr>
            <w:r w:rsidRPr="00302200">
              <w:rPr>
                <w:rFonts w:eastAsia="Times New Roman Bold"/>
                <w:szCs w:val="22"/>
                <w:lang w:val="es-ES_tradnl"/>
              </w:rPr>
              <w:t xml:space="preserve">250 </w:t>
            </w:r>
            <w:r w:rsidRPr="00302200">
              <w:rPr>
                <w:rFonts w:ascii="Symbol" w:eastAsia="Symbol,Times New Roman Bold" w:hAnsi="Symbol" w:cs="Symbol,Times New Roman Bold"/>
                <w:szCs w:val="22"/>
                <w:lang w:val="es-ES_tradnl"/>
              </w:rPr>
              <w:t></w:t>
            </w:r>
            <w:r w:rsidRPr="00302200">
              <w:rPr>
                <w:rFonts w:eastAsia="Times New Roman Bold"/>
                <w:szCs w:val="22"/>
                <w:lang w:val="es-ES_tradnl"/>
              </w:rPr>
              <w:t xml:space="preserve"> </w:t>
            </w:r>
            <w:r w:rsidRPr="00302200">
              <w:rPr>
                <w:rFonts w:eastAsia="Times New Roman Bold"/>
                <w:i/>
                <w:iCs/>
                <w:szCs w:val="22"/>
                <w:lang w:val="es-ES_tradnl"/>
              </w:rPr>
              <w:t>L</w:t>
            </w:r>
            <w:r w:rsidRPr="00302200">
              <w:rPr>
                <w:rFonts w:eastAsia="Times New Roman Bold"/>
                <w:i/>
                <w:iCs/>
                <w:szCs w:val="22"/>
                <w:vertAlign w:val="subscript"/>
                <w:lang w:val="es-ES_tradnl"/>
              </w:rPr>
              <w:t>link</w:t>
            </w:r>
            <w:r w:rsidRPr="00302200">
              <w:rPr>
                <w:rFonts w:eastAsia="Times New Roman Bold"/>
                <w:szCs w:val="22"/>
                <w:lang w:val="es-ES_tradnl"/>
              </w:rPr>
              <w:t xml:space="preserve"> </w:t>
            </w:r>
            <w:r w:rsidRPr="00302200">
              <w:rPr>
                <w:rFonts w:ascii="Symbol" w:hAnsi="Symbol"/>
                <w:bCs/>
                <w:szCs w:val="22"/>
                <w:lang w:val="es-ES_tradnl"/>
              </w:rPr>
              <w:sym w:font="Symbol" w:char="F0A3"/>
            </w:r>
            <w:r w:rsidRPr="00302200">
              <w:rPr>
                <w:rFonts w:eastAsia="Times New Roman Bold"/>
                <w:szCs w:val="22"/>
                <w:lang w:val="es-ES_tradnl"/>
              </w:rPr>
              <w:t xml:space="preserve"> 2</w:t>
            </w:r>
            <w:r w:rsidRPr="00302200">
              <w:rPr>
                <w:rFonts w:ascii="Tms Rmn,Times New Roman Bold" w:eastAsia="Tms Rmn,Times New Roman Bold" w:hAnsi="Tms Rmn,Times New Roman Bold" w:cs="Tms Rmn,Times New Roman Bold"/>
                <w:szCs w:val="22"/>
                <w:lang w:val="es-ES_tradnl"/>
              </w:rPr>
              <w:t> </w:t>
            </w:r>
            <w:r w:rsidRPr="00302200">
              <w:rPr>
                <w:rFonts w:eastAsia="Times New Roman Bold"/>
                <w:szCs w:val="22"/>
                <w:lang w:val="es-ES_tradnl"/>
              </w:rPr>
              <w:t>500</w:t>
            </w:r>
          </w:p>
        </w:tc>
        <w:tc>
          <w:tcPr>
            <w:tcW w:w="2030" w:type="dxa"/>
            <w:gridSpan w:val="2"/>
            <w:tcBorders>
              <w:top w:val="single" w:sz="4" w:space="0" w:color="auto"/>
              <w:left w:val="single" w:sz="4" w:space="0" w:color="auto"/>
              <w:bottom w:val="single" w:sz="4" w:space="0" w:color="auto"/>
              <w:right w:val="single" w:sz="4" w:space="0" w:color="auto"/>
            </w:tcBorders>
            <w:vAlign w:val="center"/>
            <w:hideMark/>
          </w:tcPr>
          <w:p w:rsidR="000B169C" w:rsidRPr="00302200" w:rsidRDefault="000B169C" w:rsidP="00302200">
            <w:pPr>
              <w:pStyle w:val="Tablehead"/>
              <w:rPr>
                <w:bCs/>
                <w:szCs w:val="22"/>
                <w:lang w:val="es-ES_tradnl"/>
              </w:rPr>
            </w:pPr>
            <w:r w:rsidRPr="00302200">
              <w:rPr>
                <w:rFonts w:eastAsia="Times New Roman Bold"/>
                <w:szCs w:val="22"/>
                <w:lang w:val="es-ES_tradnl"/>
              </w:rPr>
              <w:t>2</w:t>
            </w:r>
            <w:r w:rsidRPr="00302200">
              <w:rPr>
                <w:rFonts w:ascii="Tms Rmn,Times New Roman Bold" w:eastAsia="Tms Rmn,Times New Roman Bold" w:hAnsi="Tms Rmn,Times New Roman Bold" w:cs="Tms Rmn,Times New Roman Bold"/>
                <w:szCs w:val="22"/>
                <w:lang w:val="es-ES_tradnl"/>
              </w:rPr>
              <w:t> </w:t>
            </w:r>
            <w:r w:rsidRPr="00302200">
              <w:rPr>
                <w:rFonts w:eastAsia="Times New Roman Bold"/>
                <w:szCs w:val="22"/>
                <w:lang w:val="es-ES_tradnl"/>
              </w:rPr>
              <w:t xml:space="preserve">500 </w:t>
            </w:r>
            <w:r w:rsidRPr="00302200">
              <w:rPr>
                <w:rFonts w:ascii="Symbol" w:eastAsia="Symbol,Times New Roman Bold" w:hAnsi="Symbol" w:cstheme="majorBidi"/>
                <w:szCs w:val="22"/>
                <w:lang w:val="es-ES_tradnl"/>
              </w:rPr>
              <w:t></w:t>
            </w:r>
            <w:r w:rsidRPr="00302200">
              <w:rPr>
                <w:rFonts w:eastAsia="Times New Roman Bold"/>
                <w:szCs w:val="22"/>
                <w:lang w:val="es-ES_tradnl"/>
              </w:rPr>
              <w:t xml:space="preserve"> </w:t>
            </w:r>
            <w:r w:rsidRPr="00302200">
              <w:rPr>
                <w:rFonts w:eastAsia="Times New Roman Bold"/>
                <w:i/>
                <w:iCs/>
                <w:szCs w:val="22"/>
                <w:lang w:val="es-ES_tradnl"/>
              </w:rPr>
              <w:t>L</w:t>
            </w:r>
            <w:r w:rsidRPr="00302200">
              <w:rPr>
                <w:rFonts w:eastAsia="Times New Roman Bold"/>
                <w:i/>
                <w:iCs/>
                <w:szCs w:val="22"/>
                <w:vertAlign w:val="subscript"/>
                <w:lang w:val="es-ES_tradnl"/>
              </w:rPr>
              <w:t>link</w:t>
            </w:r>
            <w:r w:rsidRPr="00302200">
              <w:rPr>
                <w:rFonts w:eastAsia="Times New Roman Bold"/>
                <w:szCs w:val="22"/>
                <w:lang w:val="es-ES_tradnl"/>
              </w:rPr>
              <w:t xml:space="preserve"> </w:t>
            </w:r>
            <w:r w:rsidRPr="00302200">
              <w:rPr>
                <w:rFonts w:ascii="Symbol" w:hAnsi="Symbol"/>
                <w:bCs/>
                <w:szCs w:val="22"/>
                <w:lang w:val="es-ES_tradnl"/>
              </w:rPr>
              <w:sym w:font="Symbol" w:char="F0A3"/>
            </w:r>
            <w:r w:rsidRPr="00302200">
              <w:rPr>
                <w:rFonts w:eastAsia="Times New Roman Bold"/>
                <w:szCs w:val="22"/>
                <w:lang w:val="es-ES_tradnl"/>
              </w:rPr>
              <w:t xml:space="preserve"> 7</w:t>
            </w:r>
            <w:r w:rsidRPr="00302200">
              <w:rPr>
                <w:rFonts w:ascii="Tms Rmn,Times New Roman Bold" w:eastAsia="Tms Rmn,Times New Roman Bold" w:hAnsi="Tms Rmn,Times New Roman Bold" w:cs="Tms Rmn,Times New Roman Bold"/>
                <w:szCs w:val="22"/>
                <w:lang w:val="es-ES_tradnl"/>
              </w:rPr>
              <w:t> </w:t>
            </w:r>
            <w:r w:rsidRPr="00302200">
              <w:rPr>
                <w:rFonts w:eastAsia="Times New Roman Bold"/>
                <w:szCs w:val="22"/>
                <w:lang w:val="es-ES_tradnl"/>
              </w:rPr>
              <w:t>500</w:t>
            </w:r>
          </w:p>
        </w:tc>
        <w:tc>
          <w:tcPr>
            <w:tcW w:w="1875" w:type="dxa"/>
            <w:gridSpan w:val="2"/>
            <w:tcBorders>
              <w:top w:val="single" w:sz="4" w:space="0" w:color="auto"/>
              <w:left w:val="single" w:sz="4" w:space="0" w:color="auto"/>
              <w:bottom w:val="single" w:sz="4" w:space="0" w:color="auto"/>
              <w:right w:val="single" w:sz="4" w:space="0" w:color="auto"/>
            </w:tcBorders>
            <w:vAlign w:val="center"/>
            <w:hideMark/>
          </w:tcPr>
          <w:p w:rsidR="000B169C" w:rsidRPr="00302200" w:rsidRDefault="000B169C" w:rsidP="00302200">
            <w:pPr>
              <w:pStyle w:val="Tablehead"/>
              <w:rPr>
                <w:bCs/>
                <w:szCs w:val="22"/>
                <w:lang w:val="es-ES_tradnl"/>
              </w:rPr>
            </w:pPr>
            <w:r w:rsidRPr="00302200">
              <w:rPr>
                <w:rFonts w:eastAsia="Times New Roman Bold"/>
                <w:i/>
                <w:iCs/>
                <w:szCs w:val="22"/>
                <w:lang w:val="es-ES_tradnl"/>
              </w:rPr>
              <w:t>L</w:t>
            </w:r>
            <w:r w:rsidRPr="00302200">
              <w:rPr>
                <w:rFonts w:eastAsia="Times New Roman Bold"/>
                <w:i/>
                <w:iCs/>
                <w:szCs w:val="22"/>
                <w:vertAlign w:val="subscript"/>
                <w:lang w:val="es-ES_tradnl"/>
              </w:rPr>
              <w:t>link</w:t>
            </w:r>
            <w:r w:rsidRPr="00302200">
              <w:rPr>
                <w:rFonts w:eastAsia="Times New Roman Bold"/>
                <w:szCs w:val="22"/>
                <w:lang w:val="es-ES_tradnl"/>
              </w:rPr>
              <w:t xml:space="preserve"> </w:t>
            </w:r>
            <w:r w:rsidRPr="00302200">
              <w:rPr>
                <w:rFonts w:ascii="Symbol" w:eastAsia="Symbol,Times New Roman Bold" w:hAnsi="Symbol" w:cs="Symbol,Times New Roman Bold"/>
                <w:szCs w:val="22"/>
                <w:lang w:val="es-ES_tradnl"/>
              </w:rPr>
              <w:t></w:t>
            </w:r>
            <w:r w:rsidRPr="00302200">
              <w:rPr>
                <w:rFonts w:eastAsia="Times New Roman Bold"/>
                <w:szCs w:val="22"/>
                <w:lang w:val="es-ES_tradnl"/>
              </w:rPr>
              <w:t xml:space="preserve"> 7</w:t>
            </w:r>
            <w:r w:rsidRPr="00302200">
              <w:rPr>
                <w:rFonts w:ascii="Tms Rmn,Times New Roman Bold" w:eastAsia="Tms Rmn,Times New Roman Bold" w:hAnsi="Tms Rmn,Times New Roman Bold" w:cs="Tms Rmn,Times New Roman Bold"/>
                <w:szCs w:val="22"/>
                <w:lang w:val="es-ES_tradnl"/>
              </w:rPr>
              <w:t> </w:t>
            </w:r>
            <w:r w:rsidRPr="00302200">
              <w:rPr>
                <w:rFonts w:eastAsia="Times New Roman Bold"/>
                <w:szCs w:val="22"/>
                <w:lang w:val="es-ES_tradnl"/>
              </w:rPr>
              <w:t>500</w:t>
            </w:r>
          </w:p>
        </w:tc>
      </w:tr>
      <w:tr w:rsidR="000B169C" w:rsidRPr="00302200" w:rsidTr="000676F3">
        <w:tc>
          <w:tcPr>
            <w:tcW w:w="1456" w:type="dxa"/>
            <w:tcBorders>
              <w:top w:val="single" w:sz="4" w:space="0" w:color="auto"/>
              <w:left w:val="single" w:sz="4" w:space="0" w:color="auto"/>
              <w:bottom w:val="single" w:sz="4" w:space="0" w:color="auto"/>
              <w:right w:val="single" w:sz="4" w:space="0" w:color="auto"/>
            </w:tcBorders>
          </w:tcPr>
          <w:p w:rsidR="000B169C" w:rsidRPr="00302200" w:rsidRDefault="000B169C" w:rsidP="00302200">
            <w:pPr>
              <w:pStyle w:val="Tabletext"/>
              <w:rPr>
                <w:szCs w:val="22"/>
                <w:lang w:val="es-ES_tradnl"/>
              </w:rPr>
            </w:pPr>
          </w:p>
        </w:tc>
        <w:tc>
          <w:tcPr>
            <w:tcW w:w="1129" w:type="dxa"/>
            <w:tcBorders>
              <w:top w:val="single" w:sz="4" w:space="0" w:color="auto"/>
              <w:left w:val="single" w:sz="4" w:space="0" w:color="auto"/>
              <w:bottom w:val="single" w:sz="4" w:space="0" w:color="auto"/>
              <w:right w:val="single" w:sz="4" w:space="0" w:color="auto"/>
            </w:tcBorders>
            <w:hideMark/>
          </w:tcPr>
          <w:p w:rsidR="000B169C" w:rsidRPr="00302200" w:rsidRDefault="000B169C" w:rsidP="00302200">
            <w:pPr>
              <w:pStyle w:val="Tabletext"/>
              <w:jc w:val="center"/>
              <w:rPr>
                <w:szCs w:val="22"/>
                <w:lang w:val="es-ES_tradnl"/>
              </w:rPr>
            </w:pPr>
            <w:r w:rsidRPr="00302200">
              <w:rPr>
                <w:i/>
                <w:iCs/>
                <w:szCs w:val="22"/>
                <w:lang w:val="es-ES_tradnl"/>
              </w:rPr>
              <w:t>B</w:t>
            </w:r>
            <w:r w:rsidRPr="00302200">
              <w:rPr>
                <w:szCs w:val="22"/>
                <w:vertAlign w:val="subscript"/>
                <w:lang w:val="es-ES_tradnl"/>
              </w:rPr>
              <w:t>1</w:t>
            </w:r>
          </w:p>
        </w:tc>
        <w:tc>
          <w:tcPr>
            <w:tcW w:w="1218" w:type="dxa"/>
            <w:tcBorders>
              <w:top w:val="single" w:sz="4" w:space="0" w:color="auto"/>
              <w:left w:val="single" w:sz="4" w:space="0" w:color="auto"/>
              <w:bottom w:val="single" w:sz="4" w:space="0" w:color="auto"/>
              <w:right w:val="single" w:sz="4" w:space="0" w:color="auto"/>
            </w:tcBorders>
            <w:hideMark/>
          </w:tcPr>
          <w:p w:rsidR="000B169C" w:rsidRPr="00302200" w:rsidRDefault="000B169C" w:rsidP="00302200">
            <w:pPr>
              <w:pStyle w:val="Tabletext"/>
              <w:jc w:val="center"/>
              <w:rPr>
                <w:szCs w:val="22"/>
                <w:lang w:val="es-ES_tradnl"/>
              </w:rPr>
            </w:pPr>
            <w:r w:rsidRPr="00302200">
              <w:rPr>
                <w:i/>
                <w:iCs/>
                <w:szCs w:val="22"/>
                <w:lang w:val="es-ES_tradnl"/>
              </w:rPr>
              <w:t>C</w:t>
            </w:r>
            <w:r w:rsidRPr="00302200">
              <w:rPr>
                <w:szCs w:val="22"/>
                <w:vertAlign w:val="subscript"/>
                <w:lang w:val="es-ES_tradnl"/>
              </w:rPr>
              <w:t>1</w:t>
            </w:r>
          </w:p>
        </w:tc>
        <w:tc>
          <w:tcPr>
            <w:tcW w:w="1008" w:type="dxa"/>
            <w:tcBorders>
              <w:top w:val="single" w:sz="4" w:space="0" w:color="auto"/>
              <w:left w:val="single" w:sz="4" w:space="0" w:color="auto"/>
              <w:bottom w:val="single" w:sz="4" w:space="0" w:color="auto"/>
              <w:right w:val="single" w:sz="4" w:space="0" w:color="auto"/>
            </w:tcBorders>
            <w:hideMark/>
          </w:tcPr>
          <w:p w:rsidR="000B169C" w:rsidRPr="00302200" w:rsidRDefault="000B169C" w:rsidP="00302200">
            <w:pPr>
              <w:pStyle w:val="Tabletext"/>
              <w:jc w:val="center"/>
              <w:rPr>
                <w:szCs w:val="22"/>
                <w:lang w:val="es-ES_tradnl"/>
              </w:rPr>
            </w:pPr>
            <w:r w:rsidRPr="00302200">
              <w:rPr>
                <w:i/>
                <w:iCs/>
                <w:szCs w:val="22"/>
                <w:lang w:val="es-ES_tradnl"/>
              </w:rPr>
              <w:t>B</w:t>
            </w:r>
            <w:r w:rsidRPr="00302200">
              <w:rPr>
                <w:szCs w:val="22"/>
                <w:vertAlign w:val="subscript"/>
                <w:lang w:val="es-ES_tradnl"/>
              </w:rPr>
              <w:t>2</w:t>
            </w:r>
          </w:p>
        </w:tc>
        <w:tc>
          <w:tcPr>
            <w:tcW w:w="923" w:type="dxa"/>
            <w:tcBorders>
              <w:top w:val="single" w:sz="4" w:space="0" w:color="auto"/>
              <w:left w:val="single" w:sz="4" w:space="0" w:color="auto"/>
              <w:bottom w:val="single" w:sz="4" w:space="0" w:color="auto"/>
              <w:right w:val="single" w:sz="4" w:space="0" w:color="auto"/>
            </w:tcBorders>
            <w:hideMark/>
          </w:tcPr>
          <w:p w:rsidR="000B169C" w:rsidRPr="00302200" w:rsidRDefault="000B169C" w:rsidP="00302200">
            <w:pPr>
              <w:pStyle w:val="Tabletext"/>
              <w:jc w:val="center"/>
              <w:rPr>
                <w:szCs w:val="22"/>
                <w:lang w:val="es-ES_tradnl"/>
              </w:rPr>
            </w:pPr>
            <w:r w:rsidRPr="00302200">
              <w:rPr>
                <w:i/>
                <w:iCs/>
                <w:szCs w:val="22"/>
                <w:lang w:val="es-ES_tradnl"/>
              </w:rPr>
              <w:t>C</w:t>
            </w:r>
            <w:r w:rsidRPr="00302200">
              <w:rPr>
                <w:szCs w:val="22"/>
                <w:vertAlign w:val="subscript"/>
                <w:lang w:val="es-ES_tradnl"/>
              </w:rPr>
              <w:t>2</w:t>
            </w:r>
          </w:p>
        </w:tc>
        <w:tc>
          <w:tcPr>
            <w:tcW w:w="1120" w:type="dxa"/>
            <w:tcBorders>
              <w:top w:val="single" w:sz="4" w:space="0" w:color="auto"/>
              <w:left w:val="single" w:sz="4" w:space="0" w:color="auto"/>
              <w:bottom w:val="single" w:sz="4" w:space="0" w:color="auto"/>
              <w:right w:val="single" w:sz="4" w:space="0" w:color="auto"/>
            </w:tcBorders>
            <w:hideMark/>
          </w:tcPr>
          <w:p w:rsidR="000B169C" w:rsidRPr="00302200" w:rsidRDefault="000B169C" w:rsidP="00302200">
            <w:pPr>
              <w:pStyle w:val="Tabletext"/>
              <w:jc w:val="center"/>
              <w:rPr>
                <w:szCs w:val="22"/>
                <w:lang w:val="es-ES_tradnl"/>
              </w:rPr>
            </w:pPr>
            <w:r w:rsidRPr="00302200">
              <w:rPr>
                <w:i/>
                <w:iCs/>
                <w:szCs w:val="22"/>
                <w:lang w:val="es-ES_tradnl"/>
              </w:rPr>
              <w:t>B</w:t>
            </w:r>
            <w:r w:rsidRPr="00302200">
              <w:rPr>
                <w:szCs w:val="22"/>
                <w:vertAlign w:val="subscript"/>
                <w:lang w:val="es-ES_tradnl"/>
              </w:rPr>
              <w:t>3</w:t>
            </w:r>
          </w:p>
        </w:tc>
        <w:tc>
          <w:tcPr>
            <w:tcW w:w="910" w:type="dxa"/>
            <w:tcBorders>
              <w:top w:val="single" w:sz="4" w:space="0" w:color="auto"/>
              <w:left w:val="single" w:sz="4" w:space="0" w:color="auto"/>
              <w:bottom w:val="single" w:sz="4" w:space="0" w:color="auto"/>
              <w:right w:val="single" w:sz="4" w:space="0" w:color="auto"/>
            </w:tcBorders>
            <w:hideMark/>
          </w:tcPr>
          <w:p w:rsidR="000B169C" w:rsidRPr="00302200" w:rsidRDefault="000B169C" w:rsidP="00302200">
            <w:pPr>
              <w:pStyle w:val="Tabletext"/>
              <w:jc w:val="center"/>
              <w:rPr>
                <w:szCs w:val="22"/>
                <w:lang w:val="es-ES_tradnl"/>
              </w:rPr>
            </w:pPr>
            <w:r w:rsidRPr="00302200">
              <w:rPr>
                <w:i/>
                <w:iCs/>
                <w:szCs w:val="22"/>
                <w:lang w:val="es-ES_tradnl"/>
              </w:rPr>
              <w:t>C</w:t>
            </w:r>
            <w:r w:rsidRPr="00302200">
              <w:rPr>
                <w:szCs w:val="22"/>
                <w:vertAlign w:val="subscript"/>
                <w:lang w:val="es-ES_tradnl"/>
              </w:rPr>
              <w:t>3</w:t>
            </w:r>
          </w:p>
        </w:tc>
        <w:tc>
          <w:tcPr>
            <w:tcW w:w="1036" w:type="dxa"/>
            <w:tcBorders>
              <w:top w:val="single" w:sz="4" w:space="0" w:color="auto"/>
              <w:left w:val="single" w:sz="4" w:space="0" w:color="auto"/>
              <w:bottom w:val="single" w:sz="4" w:space="0" w:color="auto"/>
              <w:right w:val="single" w:sz="4" w:space="0" w:color="auto"/>
            </w:tcBorders>
            <w:hideMark/>
          </w:tcPr>
          <w:p w:rsidR="000B169C" w:rsidRPr="00302200" w:rsidRDefault="000B169C" w:rsidP="00302200">
            <w:pPr>
              <w:pStyle w:val="Tabletext"/>
              <w:jc w:val="center"/>
              <w:rPr>
                <w:szCs w:val="22"/>
                <w:lang w:val="es-ES_tradnl"/>
              </w:rPr>
            </w:pPr>
            <w:r w:rsidRPr="00302200">
              <w:rPr>
                <w:i/>
                <w:iCs/>
                <w:szCs w:val="22"/>
                <w:lang w:val="es-ES_tradnl"/>
              </w:rPr>
              <w:t>B</w:t>
            </w:r>
            <w:r w:rsidRPr="00302200">
              <w:rPr>
                <w:szCs w:val="22"/>
                <w:vertAlign w:val="subscript"/>
                <w:lang w:val="es-ES_tradnl"/>
              </w:rPr>
              <w:t>4</w:t>
            </w:r>
          </w:p>
        </w:tc>
        <w:tc>
          <w:tcPr>
            <w:tcW w:w="839" w:type="dxa"/>
            <w:tcBorders>
              <w:top w:val="single" w:sz="4" w:space="0" w:color="auto"/>
              <w:left w:val="single" w:sz="4" w:space="0" w:color="auto"/>
              <w:bottom w:val="single" w:sz="4" w:space="0" w:color="auto"/>
              <w:right w:val="single" w:sz="4" w:space="0" w:color="auto"/>
            </w:tcBorders>
            <w:hideMark/>
          </w:tcPr>
          <w:p w:rsidR="000B169C" w:rsidRPr="00302200" w:rsidRDefault="000B169C" w:rsidP="00302200">
            <w:pPr>
              <w:pStyle w:val="Tabletext"/>
              <w:jc w:val="center"/>
              <w:rPr>
                <w:szCs w:val="22"/>
                <w:lang w:val="es-ES_tradnl"/>
              </w:rPr>
            </w:pPr>
            <w:r w:rsidRPr="00302200">
              <w:rPr>
                <w:i/>
                <w:iCs/>
                <w:szCs w:val="22"/>
                <w:lang w:val="es-ES_tradnl"/>
              </w:rPr>
              <w:t>C</w:t>
            </w:r>
            <w:r w:rsidRPr="00302200">
              <w:rPr>
                <w:szCs w:val="22"/>
                <w:vertAlign w:val="subscript"/>
                <w:lang w:val="es-ES_tradnl"/>
              </w:rPr>
              <w:t>4</w:t>
            </w:r>
          </w:p>
        </w:tc>
      </w:tr>
      <w:tr w:rsidR="000B169C" w:rsidRPr="00302200" w:rsidTr="000676F3">
        <w:tc>
          <w:tcPr>
            <w:tcW w:w="1456" w:type="dxa"/>
            <w:tcBorders>
              <w:top w:val="single" w:sz="4" w:space="0" w:color="auto"/>
              <w:left w:val="single" w:sz="4" w:space="0" w:color="auto"/>
              <w:bottom w:val="single" w:sz="4" w:space="0" w:color="auto"/>
              <w:right w:val="single" w:sz="4" w:space="0" w:color="auto"/>
            </w:tcBorders>
            <w:hideMark/>
          </w:tcPr>
          <w:p w:rsidR="000B169C" w:rsidRPr="00302200" w:rsidRDefault="000B169C" w:rsidP="00302200">
            <w:pPr>
              <w:pStyle w:val="Tabletext"/>
              <w:rPr>
                <w:szCs w:val="22"/>
                <w:lang w:val="es-ES_tradnl"/>
              </w:rPr>
            </w:pPr>
            <w:r w:rsidRPr="00302200">
              <w:rPr>
                <w:szCs w:val="22"/>
                <w:lang w:val="es-ES_tradnl"/>
              </w:rPr>
              <w:t>Porción internacional</w:t>
            </w:r>
          </w:p>
        </w:tc>
        <w:tc>
          <w:tcPr>
            <w:tcW w:w="1129" w:type="dxa"/>
            <w:tcBorders>
              <w:top w:val="single" w:sz="4" w:space="0" w:color="auto"/>
              <w:left w:val="single" w:sz="4" w:space="0" w:color="auto"/>
              <w:bottom w:val="single" w:sz="4" w:space="0" w:color="auto"/>
              <w:right w:val="single" w:sz="4" w:space="0" w:color="auto"/>
            </w:tcBorders>
            <w:vAlign w:val="center"/>
            <w:hideMark/>
          </w:tcPr>
          <w:p w:rsidR="000B169C" w:rsidRPr="00302200" w:rsidRDefault="000B169C" w:rsidP="00302200">
            <w:pPr>
              <w:pStyle w:val="Tabletext"/>
              <w:jc w:val="center"/>
              <w:rPr>
                <w:szCs w:val="22"/>
                <w:lang w:val="es-ES_tradnl" w:eastAsia="zh-CN"/>
              </w:rPr>
            </w:pPr>
            <w:r w:rsidRPr="00302200">
              <w:rPr>
                <w:szCs w:val="22"/>
                <w:lang w:val="es-ES_tradnl"/>
              </w:rPr>
              <w:t xml:space="preserve">1,9 </w:t>
            </w:r>
            <w:r w:rsidRPr="00302200">
              <w:rPr>
                <w:rFonts w:ascii="Symbol" w:eastAsia="Symbol" w:hAnsi="Symbol" w:cs="Symbol"/>
                <w:szCs w:val="22"/>
                <w:lang w:val="es-ES_tradnl"/>
              </w:rPr>
              <w:t></w:t>
            </w:r>
            <w:r w:rsidRPr="00302200">
              <w:rPr>
                <w:szCs w:val="22"/>
                <w:lang w:val="es-ES_tradnl"/>
              </w:rPr>
              <w:t xml:space="preserve"> 10</w:t>
            </w:r>
            <w:r w:rsidRPr="00302200">
              <w:rPr>
                <w:szCs w:val="22"/>
                <w:vertAlign w:val="superscript"/>
                <w:lang w:val="es-ES_tradnl"/>
              </w:rPr>
              <w:t>–</w:t>
            </w:r>
            <w:r w:rsidRPr="00302200">
              <w:rPr>
                <w:szCs w:val="22"/>
                <w:vertAlign w:val="superscript"/>
                <w:lang w:val="es-ES_tradnl" w:eastAsia="zh-CN"/>
              </w:rPr>
              <w:t>4</w:t>
            </w:r>
          </w:p>
        </w:tc>
        <w:tc>
          <w:tcPr>
            <w:tcW w:w="1218" w:type="dxa"/>
            <w:tcBorders>
              <w:top w:val="single" w:sz="4" w:space="0" w:color="auto"/>
              <w:left w:val="single" w:sz="4" w:space="0" w:color="auto"/>
              <w:bottom w:val="single" w:sz="4" w:space="0" w:color="auto"/>
              <w:right w:val="single" w:sz="4" w:space="0" w:color="auto"/>
            </w:tcBorders>
            <w:vAlign w:val="center"/>
            <w:hideMark/>
          </w:tcPr>
          <w:p w:rsidR="000B169C" w:rsidRPr="00302200" w:rsidRDefault="000B169C" w:rsidP="00302200">
            <w:pPr>
              <w:pStyle w:val="Tabletext"/>
              <w:jc w:val="center"/>
              <w:rPr>
                <w:szCs w:val="22"/>
                <w:lang w:val="es-ES_tradnl"/>
              </w:rPr>
            </w:pPr>
            <w:r w:rsidRPr="00302200">
              <w:rPr>
                <w:szCs w:val="22"/>
                <w:lang w:val="es-ES_tradnl"/>
              </w:rPr>
              <w:t xml:space="preserve">1,1 </w:t>
            </w:r>
            <w:r w:rsidRPr="00302200">
              <w:rPr>
                <w:rFonts w:ascii="Symbol" w:eastAsia="Symbol" w:hAnsi="Symbol" w:cs="Symbol"/>
                <w:szCs w:val="22"/>
                <w:lang w:val="es-ES_tradnl"/>
              </w:rPr>
              <w:t></w:t>
            </w:r>
            <w:r w:rsidRPr="00302200">
              <w:rPr>
                <w:szCs w:val="22"/>
                <w:lang w:val="es-ES_tradnl"/>
              </w:rPr>
              <w:t xml:space="preserve"> 10</w:t>
            </w:r>
            <w:r w:rsidRPr="00302200">
              <w:rPr>
                <w:szCs w:val="22"/>
                <w:vertAlign w:val="superscript"/>
                <w:lang w:val="es-ES_tradnl"/>
              </w:rPr>
              <w:t>–4</w:t>
            </w:r>
          </w:p>
        </w:tc>
        <w:tc>
          <w:tcPr>
            <w:tcW w:w="1008" w:type="dxa"/>
            <w:tcBorders>
              <w:top w:val="single" w:sz="4" w:space="0" w:color="auto"/>
              <w:left w:val="single" w:sz="4" w:space="0" w:color="auto"/>
              <w:bottom w:val="single" w:sz="4" w:space="0" w:color="auto"/>
              <w:right w:val="single" w:sz="4" w:space="0" w:color="auto"/>
            </w:tcBorders>
            <w:vAlign w:val="center"/>
            <w:hideMark/>
          </w:tcPr>
          <w:p w:rsidR="000B169C" w:rsidRPr="00302200" w:rsidRDefault="000B169C" w:rsidP="00302200">
            <w:pPr>
              <w:pStyle w:val="Tabletext"/>
              <w:jc w:val="center"/>
              <w:rPr>
                <w:szCs w:val="22"/>
                <w:lang w:val="es-ES_tradnl" w:eastAsia="zh-CN"/>
              </w:rPr>
            </w:pPr>
            <w:r w:rsidRPr="00302200">
              <w:rPr>
                <w:szCs w:val="22"/>
                <w:lang w:val="es-ES_tradnl"/>
              </w:rPr>
              <w:t xml:space="preserve">3 </w:t>
            </w:r>
            <w:r w:rsidRPr="00302200">
              <w:rPr>
                <w:rFonts w:ascii="Symbol" w:eastAsia="Symbol" w:hAnsi="Symbol" w:cs="Symbol"/>
                <w:szCs w:val="22"/>
                <w:lang w:val="es-ES_tradnl"/>
              </w:rPr>
              <w:t></w:t>
            </w:r>
            <w:r w:rsidRPr="00302200">
              <w:rPr>
                <w:szCs w:val="22"/>
                <w:lang w:val="es-ES_tradnl"/>
              </w:rPr>
              <w:t xml:space="preserve"> 10</w:t>
            </w:r>
            <w:r w:rsidRPr="00302200">
              <w:rPr>
                <w:szCs w:val="22"/>
                <w:vertAlign w:val="superscript"/>
                <w:lang w:val="es-ES_tradnl"/>
              </w:rPr>
              <w:t>–</w:t>
            </w:r>
            <w:r w:rsidRPr="00302200">
              <w:rPr>
                <w:szCs w:val="22"/>
                <w:vertAlign w:val="superscript"/>
                <w:lang w:val="es-ES_tradnl" w:eastAsia="zh-CN"/>
              </w:rPr>
              <w:t>4</w:t>
            </w:r>
          </w:p>
        </w:tc>
        <w:tc>
          <w:tcPr>
            <w:tcW w:w="923" w:type="dxa"/>
            <w:tcBorders>
              <w:top w:val="single" w:sz="4" w:space="0" w:color="auto"/>
              <w:left w:val="single" w:sz="4" w:space="0" w:color="auto"/>
              <w:bottom w:val="single" w:sz="4" w:space="0" w:color="auto"/>
              <w:right w:val="single" w:sz="4" w:space="0" w:color="auto"/>
            </w:tcBorders>
            <w:vAlign w:val="center"/>
            <w:hideMark/>
          </w:tcPr>
          <w:p w:rsidR="000B169C" w:rsidRPr="00302200" w:rsidRDefault="000B169C" w:rsidP="00302200">
            <w:pPr>
              <w:pStyle w:val="Tabletext"/>
              <w:jc w:val="center"/>
              <w:rPr>
                <w:szCs w:val="22"/>
                <w:lang w:val="es-ES_tradnl"/>
              </w:rPr>
            </w:pPr>
            <w:r w:rsidRPr="00302200">
              <w:rPr>
                <w:szCs w:val="22"/>
                <w:lang w:val="es-ES_tradnl"/>
              </w:rPr>
              <w:t>0</w:t>
            </w:r>
          </w:p>
        </w:tc>
        <w:tc>
          <w:tcPr>
            <w:tcW w:w="1120" w:type="dxa"/>
            <w:tcBorders>
              <w:top w:val="single" w:sz="4" w:space="0" w:color="auto"/>
              <w:left w:val="single" w:sz="4" w:space="0" w:color="auto"/>
              <w:bottom w:val="single" w:sz="4" w:space="0" w:color="auto"/>
              <w:right w:val="single" w:sz="4" w:space="0" w:color="auto"/>
            </w:tcBorders>
            <w:vAlign w:val="center"/>
            <w:hideMark/>
          </w:tcPr>
          <w:p w:rsidR="000B169C" w:rsidRPr="00302200" w:rsidRDefault="000B169C" w:rsidP="00302200">
            <w:pPr>
              <w:pStyle w:val="Tabletext"/>
              <w:jc w:val="center"/>
              <w:rPr>
                <w:szCs w:val="22"/>
                <w:lang w:val="es-ES_tradnl" w:eastAsia="zh-CN"/>
              </w:rPr>
            </w:pPr>
            <w:r w:rsidRPr="00302200">
              <w:rPr>
                <w:szCs w:val="22"/>
                <w:lang w:val="es-ES_tradnl"/>
              </w:rPr>
              <w:t xml:space="preserve">3 </w:t>
            </w:r>
            <w:r w:rsidRPr="00302200">
              <w:rPr>
                <w:rFonts w:ascii="Symbol" w:eastAsia="Symbol" w:hAnsi="Symbol" w:cs="Symbol"/>
                <w:szCs w:val="22"/>
                <w:lang w:val="es-ES_tradnl"/>
              </w:rPr>
              <w:t></w:t>
            </w:r>
            <w:r w:rsidRPr="00302200">
              <w:rPr>
                <w:szCs w:val="22"/>
                <w:lang w:val="es-ES_tradnl"/>
              </w:rPr>
              <w:t xml:space="preserve"> 10</w:t>
            </w:r>
            <w:r w:rsidRPr="00302200">
              <w:rPr>
                <w:szCs w:val="22"/>
                <w:vertAlign w:val="superscript"/>
                <w:lang w:val="es-ES_tradnl"/>
              </w:rPr>
              <w:t>–</w:t>
            </w:r>
            <w:r w:rsidRPr="00302200">
              <w:rPr>
                <w:szCs w:val="22"/>
                <w:vertAlign w:val="superscript"/>
                <w:lang w:val="es-ES_tradnl" w:eastAsia="zh-CN"/>
              </w:rPr>
              <w:t>4</w:t>
            </w:r>
          </w:p>
        </w:tc>
        <w:tc>
          <w:tcPr>
            <w:tcW w:w="910" w:type="dxa"/>
            <w:tcBorders>
              <w:top w:val="single" w:sz="4" w:space="0" w:color="auto"/>
              <w:left w:val="single" w:sz="4" w:space="0" w:color="auto"/>
              <w:bottom w:val="single" w:sz="4" w:space="0" w:color="auto"/>
              <w:right w:val="single" w:sz="4" w:space="0" w:color="auto"/>
            </w:tcBorders>
            <w:vAlign w:val="center"/>
            <w:hideMark/>
          </w:tcPr>
          <w:p w:rsidR="000B169C" w:rsidRPr="00302200" w:rsidRDefault="000B169C" w:rsidP="00302200">
            <w:pPr>
              <w:pStyle w:val="Tabletext"/>
              <w:jc w:val="center"/>
              <w:rPr>
                <w:szCs w:val="22"/>
                <w:lang w:val="es-ES_tradnl"/>
              </w:rPr>
            </w:pPr>
            <w:r w:rsidRPr="00302200">
              <w:rPr>
                <w:szCs w:val="22"/>
                <w:lang w:val="es-ES_tradnl"/>
              </w:rPr>
              <w:t>0</w:t>
            </w:r>
          </w:p>
        </w:tc>
        <w:tc>
          <w:tcPr>
            <w:tcW w:w="1036" w:type="dxa"/>
            <w:tcBorders>
              <w:top w:val="single" w:sz="4" w:space="0" w:color="auto"/>
              <w:left w:val="single" w:sz="4" w:space="0" w:color="auto"/>
              <w:bottom w:val="single" w:sz="4" w:space="0" w:color="auto"/>
              <w:right w:val="single" w:sz="4" w:space="0" w:color="auto"/>
            </w:tcBorders>
            <w:vAlign w:val="center"/>
            <w:hideMark/>
          </w:tcPr>
          <w:p w:rsidR="000B169C" w:rsidRPr="00302200" w:rsidRDefault="000B169C" w:rsidP="00302200">
            <w:pPr>
              <w:pStyle w:val="Tabletext"/>
              <w:jc w:val="center"/>
              <w:rPr>
                <w:szCs w:val="22"/>
                <w:lang w:val="es-ES_tradnl" w:eastAsia="zh-CN"/>
              </w:rPr>
            </w:pPr>
            <w:r w:rsidRPr="00302200">
              <w:rPr>
                <w:szCs w:val="22"/>
                <w:lang w:val="es-ES_tradnl"/>
              </w:rPr>
              <w:t xml:space="preserve">3 </w:t>
            </w:r>
            <w:r w:rsidRPr="00302200">
              <w:rPr>
                <w:rFonts w:ascii="Symbol" w:eastAsia="Symbol" w:hAnsi="Symbol" w:cs="Symbol"/>
                <w:szCs w:val="22"/>
                <w:lang w:val="es-ES_tradnl"/>
              </w:rPr>
              <w:t></w:t>
            </w:r>
            <w:r w:rsidRPr="00302200">
              <w:rPr>
                <w:szCs w:val="22"/>
                <w:lang w:val="es-ES_tradnl"/>
              </w:rPr>
              <w:t xml:space="preserve"> 10</w:t>
            </w:r>
            <w:r w:rsidRPr="00302200">
              <w:rPr>
                <w:szCs w:val="22"/>
                <w:vertAlign w:val="superscript"/>
                <w:lang w:val="es-ES_tradnl"/>
              </w:rPr>
              <w:t>–</w:t>
            </w:r>
            <w:r w:rsidRPr="00302200">
              <w:rPr>
                <w:szCs w:val="22"/>
                <w:vertAlign w:val="superscript"/>
                <w:lang w:val="es-ES_tradnl" w:eastAsia="zh-CN"/>
              </w:rPr>
              <w:t>4</w:t>
            </w:r>
          </w:p>
        </w:tc>
        <w:tc>
          <w:tcPr>
            <w:tcW w:w="839" w:type="dxa"/>
            <w:tcBorders>
              <w:top w:val="single" w:sz="4" w:space="0" w:color="auto"/>
              <w:left w:val="single" w:sz="4" w:space="0" w:color="auto"/>
              <w:bottom w:val="single" w:sz="4" w:space="0" w:color="auto"/>
              <w:right w:val="single" w:sz="4" w:space="0" w:color="auto"/>
            </w:tcBorders>
            <w:vAlign w:val="center"/>
            <w:hideMark/>
          </w:tcPr>
          <w:p w:rsidR="000B169C" w:rsidRPr="00302200" w:rsidRDefault="000B169C" w:rsidP="00302200">
            <w:pPr>
              <w:pStyle w:val="Tabletext"/>
              <w:jc w:val="center"/>
              <w:rPr>
                <w:szCs w:val="22"/>
                <w:lang w:val="es-ES_tradnl"/>
              </w:rPr>
            </w:pPr>
            <w:r w:rsidRPr="00302200">
              <w:rPr>
                <w:szCs w:val="22"/>
                <w:lang w:val="es-ES_tradnl"/>
              </w:rPr>
              <w:t>0</w:t>
            </w:r>
          </w:p>
        </w:tc>
      </w:tr>
    </w:tbl>
    <w:p w:rsidR="000B169C" w:rsidRPr="00F8488C" w:rsidRDefault="000B169C" w:rsidP="000B169C">
      <w:pPr>
        <w:pStyle w:val="Tablefin"/>
        <w:rPr>
          <w:lang w:val="es-ES_tradnl"/>
        </w:rPr>
      </w:pPr>
    </w:p>
    <w:p w:rsidR="000B169C" w:rsidRPr="00F8488C" w:rsidRDefault="000B169C" w:rsidP="000B169C">
      <w:pPr>
        <w:pStyle w:val="TableNo"/>
        <w:rPr>
          <w:lang w:val="es-ES_tradnl"/>
        </w:rPr>
      </w:pPr>
      <w:r w:rsidRPr="00F8488C">
        <w:rPr>
          <w:lang w:val="es-ES_tradnl"/>
        </w:rPr>
        <w:t>CUADRO 2</w:t>
      </w:r>
    </w:p>
    <w:p w:rsidR="000B169C" w:rsidRPr="00F8488C" w:rsidRDefault="000B169C" w:rsidP="000B169C">
      <w:pPr>
        <w:pStyle w:val="Tabletitle"/>
        <w:rPr>
          <w:lang w:val="es-ES_tradnl"/>
        </w:rPr>
      </w:pPr>
      <w:r w:rsidRPr="00F8488C">
        <w:rPr>
          <w:rFonts w:eastAsia="Times New Roman Bold"/>
          <w:lang w:val="es-ES_tradnl"/>
        </w:rPr>
        <w:t xml:space="preserve">Parámetros para los objetivos PEA de enlaces que forman parte de una porción </w:t>
      </w:r>
      <w:r w:rsidRPr="00F8488C">
        <w:rPr>
          <w:rFonts w:eastAsia="Times New Roman Bold"/>
          <w:lang w:val="es-ES_tradnl"/>
        </w:rPr>
        <w:br/>
        <w:t>nacional de un trayecto digital con velocidad binaria constante</w:t>
      </w:r>
    </w:p>
    <w:tbl>
      <w:tblPr>
        <w:tblW w:w="9639" w:type="dxa"/>
        <w:jc w:val="center"/>
        <w:tblBorders>
          <w:left w:val="single" w:sz="4" w:space="0" w:color="auto"/>
        </w:tblBorders>
        <w:tblLook w:val="04A0" w:firstRow="1" w:lastRow="0" w:firstColumn="1" w:lastColumn="0" w:noHBand="0" w:noVBand="1"/>
      </w:tblPr>
      <w:tblGrid>
        <w:gridCol w:w="445"/>
        <w:gridCol w:w="958"/>
        <w:gridCol w:w="446"/>
        <w:gridCol w:w="994"/>
        <w:gridCol w:w="3343"/>
        <w:gridCol w:w="3453"/>
      </w:tblGrid>
      <w:tr w:rsidR="000B169C" w:rsidRPr="00F8488C" w:rsidTr="00302200">
        <w:trPr>
          <w:trHeight w:val="435"/>
          <w:tblHeader/>
          <w:jc w:val="center"/>
        </w:trPr>
        <w:tc>
          <w:tcPr>
            <w:tcW w:w="1384" w:type="dxa"/>
            <w:gridSpan w:val="2"/>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i/>
                <w:iCs/>
                <w:lang w:val="es-ES_tradnl"/>
              </w:rPr>
            </w:pPr>
            <w:r w:rsidRPr="00F8488C">
              <w:rPr>
                <w:rFonts w:eastAsia="Times New Roman Bold"/>
                <w:lang w:val="es-ES_tradnl"/>
              </w:rPr>
              <w:t>Porción de acceso</w:t>
            </w:r>
          </w:p>
        </w:tc>
        <w:tc>
          <w:tcPr>
            <w:tcW w:w="1418" w:type="dxa"/>
            <w:gridSpan w:val="2"/>
            <w:tcBorders>
              <w:top w:val="single" w:sz="4" w:space="0" w:color="auto"/>
              <w:left w:val="nil"/>
              <w:bottom w:val="single" w:sz="4" w:space="0" w:color="auto"/>
              <w:right w:val="single" w:sz="4" w:space="0" w:color="auto"/>
            </w:tcBorders>
            <w:hideMark/>
          </w:tcPr>
          <w:p w:rsidR="000B169C" w:rsidRPr="00F8488C" w:rsidRDefault="000B169C" w:rsidP="00302200">
            <w:pPr>
              <w:pStyle w:val="Tablehead"/>
              <w:rPr>
                <w:i/>
                <w:iCs/>
                <w:lang w:val="es-ES_tradnl"/>
              </w:rPr>
            </w:pPr>
            <w:r w:rsidRPr="00F8488C">
              <w:rPr>
                <w:rFonts w:eastAsia="Times New Roman Bold"/>
                <w:lang w:val="es-ES_tradnl"/>
              </w:rPr>
              <w:t>Porción de corto alcance</w:t>
            </w:r>
          </w:p>
        </w:tc>
        <w:tc>
          <w:tcPr>
            <w:tcW w:w="6696" w:type="dxa"/>
            <w:gridSpan w:val="2"/>
            <w:tcBorders>
              <w:top w:val="single" w:sz="4" w:space="0" w:color="auto"/>
              <w:left w:val="nil"/>
              <w:bottom w:val="single" w:sz="4" w:space="0" w:color="auto"/>
              <w:right w:val="single" w:sz="4" w:space="0" w:color="auto"/>
            </w:tcBorders>
            <w:vAlign w:val="center"/>
            <w:hideMark/>
          </w:tcPr>
          <w:p w:rsidR="000B169C" w:rsidRPr="00F8488C" w:rsidRDefault="000B169C" w:rsidP="00302200">
            <w:pPr>
              <w:pStyle w:val="Tablehead"/>
              <w:rPr>
                <w:i/>
                <w:iCs/>
                <w:lang w:val="es-ES_tradnl"/>
              </w:rPr>
            </w:pPr>
            <w:r w:rsidRPr="00F8488C">
              <w:rPr>
                <w:rFonts w:eastAsia="Times New Roman Bold"/>
                <w:lang w:val="es-ES_tradnl"/>
              </w:rPr>
              <w:t>Porción de largo alcance</w:t>
            </w:r>
          </w:p>
        </w:tc>
      </w:tr>
      <w:tr w:rsidR="000B169C" w:rsidRPr="00F8488C" w:rsidTr="00302200">
        <w:trPr>
          <w:trHeight w:val="435"/>
          <w:jc w:val="center"/>
        </w:trPr>
        <w:tc>
          <w:tcPr>
            <w:tcW w:w="439" w:type="dxa"/>
            <w:tcBorders>
              <w:top w:val="nil"/>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i/>
                <w:iCs/>
                <w:lang w:val="es-ES_tradnl"/>
              </w:rPr>
              <w:t>B</w:t>
            </w:r>
            <w:r w:rsidRPr="00F8488C">
              <w:rPr>
                <w:vertAlign w:val="subscript"/>
                <w:lang w:val="es-ES_tradnl"/>
              </w:rPr>
              <w:t>5</w:t>
            </w:r>
          </w:p>
        </w:tc>
        <w:tc>
          <w:tcPr>
            <w:tcW w:w="945" w:type="dxa"/>
            <w:tcBorders>
              <w:top w:val="nil"/>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i/>
                <w:iCs/>
                <w:lang w:val="es-ES_tradnl"/>
              </w:rPr>
              <w:t>C</w:t>
            </w:r>
            <w:r w:rsidRPr="00F8488C">
              <w:rPr>
                <w:vertAlign w:val="subscript"/>
                <w:lang w:val="es-ES_tradnl"/>
              </w:rPr>
              <w:t>5</w:t>
            </w:r>
          </w:p>
        </w:tc>
        <w:tc>
          <w:tcPr>
            <w:tcW w:w="439" w:type="dxa"/>
            <w:tcBorders>
              <w:top w:val="nil"/>
              <w:left w:val="nil"/>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i/>
                <w:iCs/>
                <w:lang w:val="es-ES_tradnl"/>
              </w:rPr>
              <w:t>B</w:t>
            </w:r>
            <w:r w:rsidRPr="00F8488C">
              <w:rPr>
                <w:vertAlign w:val="subscript"/>
                <w:lang w:val="es-ES_tradnl"/>
              </w:rPr>
              <w:t>6</w:t>
            </w:r>
          </w:p>
        </w:tc>
        <w:tc>
          <w:tcPr>
            <w:tcW w:w="979" w:type="dxa"/>
            <w:tcBorders>
              <w:top w:val="nil"/>
              <w:left w:val="nil"/>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i/>
                <w:iCs/>
                <w:lang w:val="es-ES_tradnl"/>
              </w:rPr>
              <w:t>C</w:t>
            </w:r>
            <w:r w:rsidRPr="00F8488C">
              <w:rPr>
                <w:vertAlign w:val="subscript"/>
                <w:lang w:val="es-ES_tradnl"/>
              </w:rPr>
              <w:t>6</w:t>
            </w:r>
          </w:p>
        </w:tc>
        <w:tc>
          <w:tcPr>
            <w:tcW w:w="3294" w:type="dxa"/>
            <w:tcBorders>
              <w:top w:val="nil"/>
              <w:left w:val="nil"/>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i/>
                <w:iCs/>
                <w:lang w:val="es-ES_tradnl"/>
              </w:rPr>
              <w:t>B</w:t>
            </w:r>
            <w:r w:rsidRPr="00F8488C">
              <w:rPr>
                <w:vertAlign w:val="subscript"/>
                <w:lang w:val="es-ES_tradnl"/>
              </w:rPr>
              <w:t>7</w:t>
            </w:r>
          </w:p>
        </w:tc>
        <w:tc>
          <w:tcPr>
            <w:tcW w:w="3402" w:type="dxa"/>
            <w:tcBorders>
              <w:top w:val="nil"/>
              <w:left w:val="nil"/>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i/>
                <w:iCs/>
                <w:lang w:val="es-ES_tradnl"/>
              </w:rPr>
              <w:t>C</w:t>
            </w:r>
            <w:r w:rsidRPr="00F8488C">
              <w:rPr>
                <w:vertAlign w:val="subscript"/>
                <w:lang w:val="es-ES_tradnl"/>
              </w:rPr>
              <w:t>7</w:t>
            </w:r>
          </w:p>
        </w:tc>
      </w:tr>
      <w:tr w:rsidR="000B169C" w:rsidRPr="005D5005" w:rsidTr="00302200">
        <w:trPr>
          <w:trHeight w:val="20"/>
          <w:jc w:val="center"/>
        </w:trPr>
        <w:tc>
          <w:tcPr>
            <w:tcW w:w="439"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94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 xml:space="preserve">5 </w:t>
            </w:r>
            <w:r w:rsidRPr="00F8488C">
              <w:rPr>
                <w:rFonts w:ascii="Symbol" w:eastAsia="Symbol" w:hAnsi="Symbol" w:cs="Symbol"/>
                <w:lang w:val="es-ES_tradnl"/>
              </w:rPr>
              <w:t></w:t>
            </w:r>
            <w:r w:rsidRPr="00F8488C">
              <w:rPr>
                <w:lang w:val="es-ES_tradnl"/>
              </w:rPr>
              <w:t xml:space="preserve"> 10</w:t>
            </w:r>
            <w:r w:rsidRPr="00F8488C">
              <w:rPr>
                <w:vertAlign w:val="superscript"/>
                <w:lang w:val="es-ES_tradnl"/>
              </w:rPr>
              <w:t>–4</w:t>
            </w:r>
          </w:p>
        </w:tc>
        <w:tc>
          <w:tcPr>
            <w:tcW w:w="439" w:type="dxa"/>
            <w:tcBorders>
              <w:top w:val="single" w:sz="4" w:space="0" w:color="auto"/>
              <w:left w:val="nil"/>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979" w:type="dxa"/>
            <w:tcBorders>
              <w:top w:val="single" w:sz="4" w:space="0" w:color="auto"/>
              <w:left w:val="nil"/>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 xml:space="preserve">4 </w:t>
            </w:r>
            <w:r w:rsidRPr="00F8488C">
              <w:rPr>
                <w:rFonts w:ascii="Symbol" w:eastAsia="Symbol" w:hAnsi="Symbol" w:cs="Symbol"/>
                <w:lang w:val="es-ES_tradnl"/>
              </w:rPr>
              <w:t></w:t>
            </w:r>
            <w:r w:rsidRPr="00F8488C">
              <w:rPr>
                <w:lang w:val="es-ES_tradnl"/>
              </w:rPr>
              <w:t xml:space="preserve"> 10</w:t>
            </w:r>
            <w:r w:rsidRPr="00F8488C">
              <w:rPr>
                <w:vertAlign w:val="superscript"/>
                <w:lang w:val="es-ES_tradnl"/>
              </w:rPr>
              <w:t>–4</w:t>
            </w:r>
          </w:p>
        </w:tc>
        <w:tc>
          <w:tcPr>
            <w:tcW w:w="3294" w:type="dxa"/>
            <w:tcBorders>
              <w:top w:val="single" w:sz="4" w:space="0" w:color="auto"/>
              <w:left w:val="nil"/>
              <w:bottom w:val="single" w:sz="4" w:space="0" w:color="auto"/>
              <w:right w:val="single" w:sz="4" w:space="0" w:color="auto"/>
            </w:tcBorders>
            <w:tcMar>
              <w:top w:w="0" w:type="dxa"/>
              <w:left w:w="85" w:type="dxa"/>
              <w:bottom w:w="0" w:type="dxa"/>
              <w:right w:w="85" w:type="dxa"/>
            </w:tcMar>
            <w:hideMark/>
          </w:tcPr>
          <w:p w:rsidR="000B169C" w:rsidRPr="00F8488C" w:rsidRDefault="000B169C" w:rsidP="00302200">
            <w:pPr>
              <w:pStyle w:val="Tabletext"/>
              <w:jc w:val="center"/>
              <w:rPr>
                <w:lang w:val="es-ES_tradnl"/>
              </w:rPr>
            </w:pPr>
            <w:r w:rsidRPr="00F8488C">
              <w:rPr>
                <w:lang w:val="es-ES_tradnl"/>
              </w:rPr>
              <w:t>3 </w:t>
            </w:r>
            <w:r w:rsidRPr="00F8488C">
              <w:rPr>
                <w:rFonts w:ascii="Symbol" w:eastAsia="Symbol" w:hAnsi="Symbol" w:cs="Symbol"/>
                <w:lang w:val="es-ES_tradnl"/>
              </w:rPr>
              <w:t></w:t>
            </w:r>
            <w:r w:rsidRPr="00F8488C">
              <w:rPr>
                <w:lang w:val="es-ES_tradnl"/>
              </w:rPr>
              <w:t> 10</w:t>
            </w:r>
            <w:r w:rsidRPr="00F8488C">
              <w:rPr>
                <w:vertAlign w:val="superscript"/>
                <w:lang w:val="es-ES_tradnl"/>
              </w:rPr>
              <w:t>–</w:t>
            </w:r>
            <w:r w:rsidRPr="00F8488C">
              <w:rPr>
                <w:vertAlign w:val="superscript"/>
                <w:lang w:val="es-ES_tradnl" w:eastAsia="zh-CN"/>
              </w:rPr>
              <w:t>4</w:t>
            </w:r>
            <w:r w:rsidRPr="00F8488C">
              <w:rPr>
                <w:position w:val="6"/>
                <w:lang w:val="es-ES_tradnl"/>
              </w:rPr>
              <w:tab/>
            </w:r>
            <w:r w:rsidRPr="00F8488C">
              <w:rPr>
                <w:lang w:val="es-ES_tradnl"/>
              </w:rPr>
              <w:t xml:space="preserve">para 250 km </w:t>
            </w:r>
            <w:r w:rsidRPr="00F8488C">
              <w:rPr>
                <w:rFonts w:ascii="Symbol" w:hAnsi="Symbol"/>
                <w:lang w:val="es-ES_tradnl"/>
              </w:rPr>
              <w:sym w:font="Symbol" w:char="F0A3"/>
            </w:r>
            <w:r w:rsidRPr="00F8488C">
              <w:rPr>
                <w:lang w:val="es-ES_tradnl"/>
              </w:rPr>
              <w:t xml:space="preserve"> </w:t>
            </w:r>
            <w:r w:rsidRPr="00F8488C">
              <w:rPr>
                <w:i/>
                <w:iCs/>
                <w:lang w:val="es-ES_tradnl"/>
              </w:rPr>
              <w:t>L</w:t>
            </w:r>
            <w:r w:rsidRPr="00F8488C">
              <w:rPr>
                <w:i/>
                <w:iCs/>
                <w:vertAlign w:val="subscript"/>
                <w:lang w:val="es-ES_tradnl"/>
              </w:rPr>
              <w:t>link</w:t>
            </w:r>
            <w:r w:rsidRPr="00F8488C">
              <w:rPr>
                <w:lang w:val="es-ES_tradnl"/>
              </w:rPr>
              <w:t xml:space="preserve"> </w:t>
            </w:r>
            <w:r w:rsidRPr="00F8488C">
              <w:rPr>
                <w:rFonts w:ascii="Symbol" w:eastAsia="Symbol" w:hAnsi="Symbol" w:cs="Symbol"/>
                <w:lang w:val="es-ES_tradnl"/>
              </w:rPr>
              <w:t></w:t>
            </w:r>
            <w:r w:rsidRPr="00F8488C">
              <w:rPr>
                <w:lang w:val="es-ES_tradnl"/>
              </w:rPr>
              <w:t xml:space="preserve"> 2</w:t>
            </w:r>
            <w:r w:rsidRPr="00F8488C">
              <w:rPr>
                <w:rFonts w:ascii="Tms Rmn" w:eastAsia="Tms Rmn" w:hAnsi="Tms Rmn" w:cs="Tms Rmn"/>
                <w:sz w:val="12"/>
                <w:szCs w:val="12"/>
                <w:lang w:val="es-ES_tradnl"/>
              </w:rPr>
              <w:t> </w:t>
            </w:r>
            <w:r w:rsidRPr="00F8488C">
              <w:rPr>
                <w:lang w:val="es-ES_tradnl"/>
              </w:rPr>
              <w:t>500 km</w:t>
            </w:r>
          </w:p>
          <w:p w:rsidR="000B169C" w:rsidRPr="00F8488C" w:rsidRDefault="000B169C" w:rsidP="00302200">
            <w:pPr>
              <w:pStyle w:val="Tabletext"/>
              <w:jc w:val="center"/>
              <w:rPr>
                <w:lang w:val="es-ES_tradnl"/>
              </w:rPr>
            </w:pPr>
            <w:r w:rsidRPr="00F8488C">
              <w:rPr>
                <w:lang w:val="es-ES_tradnl"/>
              </w:rPr>
              <w:t>1,9 </w:t>
            </w:r>
            <w:r w:rsidRPr="00F8488C">
              <w:rPr>
                <w:rFonts w:ascii="Symbol" w:eastAsia="Symbol" w:hAnsi="Symbol" w:cs="Symbol"/>
                <w:lang w:val="es-ES_tradnl"/>
              </w:rPr>
              <w:t></w:t>
            </w:r>
            <w:r w:rsidRPr="00F8488C">
              <w:rPr>
                <w:lang w:val="es-ES_tradnl"/>
              </w:rPr>
              <w:t> 10</w:t>
            </w:r>
            <w:r w:rsidRPr="00F8488C">
              <w:rPr>
                <w:vertAlign w:val="superscript"/>
                <w:lang w:val="es-ES_tradnl"/>
              </w:rPr>
              <w:t>–</w:t>
            </w:r>
            <w:r w:rsidRPr="00F8488C">
              <w:rPr>
                <w:vertAlign w:val="superscript"/>
                <w:lang w:val="es-ES_tradnl" w:eastAsia="zh-CN"/>
              </w:rPr>
              <w:t>4</w:t>
            </w:r>
            <w:r w:rsidRPr="00F8488C">
              <w:rPr>
                <w:lang w:val="es-ES_tradnl"/>
              </w:rPr>
              <w:tab/>
              <w:t xml:space="preserve">para </w:t>
            </w:r>
            <w:r w:rsidRPr="00F8488C">
              <w:rPr>
                <w:i/>
                <w:iCs/>
                <w:lang w:val="es-ES_tradnl"/>
              </w:rPr>
              <w:t>L</w:t>
            </w:r>
            <w:r w:rsidRPr="00F8488C">
              <w:rPr>
                <w:i/>
                <w:iCs/>
                <w:vertAlign w:val="subscript"/>
                <w:lang w:val="es-ES_tradnl"/>
              </w:rPr>
              <w:t>min</w:t>
            </w:r>
            <w:r w:rsidRPr="00F8488C">
              <w:rPr>
                <w:lang w:val="es-ES_tradnl"/>
              </w:rPr>
              <w:t xml:space="preserve"> </w:t>
            </w:r>
            <w:r w:rsidRPr="00F8488C">
              <w:rPr>
                <w:rFonts w:ascii="Symbol" w:hAnsi="Symbol"/>
                <w:lang w:val="es-ES_tradnl"/>
              </w:rPr>
              <w:sym w:font="Symbol" w:char="F0A3"/>
            </w:r>
            <w:r w:rsidRPr="00F8488C">
              <w:rPr>
                <w:lang w:val="es-ES_tradnl"/>
              </w:rPr>
              <w:t xml:space="preserve"> </w:t>
            </w:r>
            <w:r w:rsidRPr="00F8488C">
              <w:rPr>
                <w:i/>
                <w:iCs/>
                <w:lang w:val="es-ES_tradnl"/>
              </w:rPr>
              <w:t>L</w:t>
            </w:r>
            <w:r w:rsidRPr="00F8488C">
              <w:rPr>
                <w:i/>
                <w:iCs/>
                <w:vertAlign w:val="subscript"/>
                <w:lang w:val="es-ES_tradnl"/>
              </w:rPr>
              <w:t>link</w:t>
            </w:r>
            <w:r w:rsidRPr="00F8488C">
              <w:rPr>
                <w:lang w:val="es-ES_tradnl"/>
              </w:rPr>
              <w:t xml:space="preserve"> </w:t>
            </w:r>
            <w:r w:rsidRPr="00F8488C">
              <w:rPr>
                <w:rFonts w:ascii="Symbol" w:eastAsia="Symbol" w:hAnsi="Symbol" w:cs="Symbol"/>
                <w:lang w:val="es-ES_tradnl"/>
              </w:rPr>
              <w:t></w:t>
            </w:r>
            <w:r w:rsidRPr="00F8488C">
              <w:rPr>
                <w:lang w:val="es-ES_tradnl"/>
              </w:rPr>
              <w:t xml:space="preserve"> 250 km</w:t>
            </w:r>
          </w:p>
        </w:tc>
        <w:tc>
          <w:tcPr>
            <w:tcW w:w="3402" w:type="dxa"/>
            <w:tcBorders>
              <w:top w:val="single" w:sz="4" w:space="0" w:color="auto"/>
              <w:left w:val="nil"/>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r w:rsidRPr="00F8488C">
              <w:rPr>
                <w:lang w:val="es-ES_tradnl"/>
              </w:rPr>
              <w:tab/>
            </w:r>
            <w:r w:rsidRPr="00F8488C">
              <w:rPr>
                <w:lang w:val="es-ES_tradnl"/>
              </w:rPr>
              <w:tab/>
              <w:t xml:space="preserve">para 250 km </w:t>
            </w:r>
            <w:r w:rsidRPr="00F8488C">
              <w:rPr>
                <w:rFonts w:ascii="Symbol" w:hAnsi="Symbol"/>
                <w:lang w:val="es-ES_tradnl"/>
              </w:rPr>
              <w:sym w:font="Symbol" w:char="F0A3"/>
            </w:r>
            <w:r w:rsidRPr="00F8488C">
              <w:rPr>
                <w:lang w:val="es-ES_tradnl"/>
              </w:rPr>
              <w:t xml:space="preserve"> </w:t>
            </w:r>
            <w:r w:rsidRPr="00F8488C">
              <w:rPr>
                <w:i/>
                <w:iCs/>
                <w:lang w:val="es-ES_tradnl"/>
              </w:rPr>
              <w:t>L</w:t>
            </w:r>
            <w:r w:rsidRPr="00F8488C">
              <w:rPr>
                <w:i/>
                <w:iCs/>
                <w:vertAlign w:val="subscript"/>
                <w:lang w:val="es-ES_tradnl"/>
              </w:rPr>
              <w:t>link</w:t>
            </w:r>
            <w:r w:rsidRPr="00F8488C">
              <w:rPr>
                <w:lang w:val="es-ES_tradnl"/>
              </w:rPr>
              <w:t xml:space="preserve"> </w:t>
            </w:r>
            <w:r w:rsidRPr="00F8488C">
              <w:rPr>
                <w:rFonts w:ascii="Symbol" w:eastAsia="Symbol" w:hAnsi="Symbol" w:cs="Symbol"/>
                <w:lang w:val="es-ES_tradnl"/>
              </w:rPr>
              <w:t></w:t>
            </w:r>
            <w:r w:rsidRPr="00F8488C">
              <w:rPr>
                <w:lang w:val="es-ES_tradnl"/>
              </w:rPr>
              <w:t xml:space="preserve"> 2</w:t>
            </w:r>
            <w:r w:rsidRPr="00F8488C">
              <w:rPr>
                <w:rFonts w:ascii="Tms Rmn" w:eastAsia="Tms Rmn" w:hAnsi="Tms Rmn" w:cs="Tms Rmn"/>
                <w:sz w:val="12"/>
                <w:szCs w:val="12"/>
                <w:lang w:val="es-ES_tradnl"/>
              </w:rPr>
              <w:t> </w:t>
            </w:r>
            <w:r w:rsidRPr="00F8488C">
              <w:rPr>
                <w:lang w:val="es-ES_tradnl"/>
              </w:rPr>
              <w:t>500 km</w:t>
            </w:r>
          </w:p>
          <w:p w:rsidR="000B169C" w:rsidRPr="00F8488C" w:rsidRDefault="000B169C" w:rsidP="00302200">
            <w:pPr>
              <w:pStyle w:val="Tabletext"/>
              <w:spacing w:before="200"/>
              <w:jc w:val="center"/>
              <w:rPr>
                <w:lang w:val="es-ES_tradnl"/>
              </w:rPr>
            </w:pPr>
            <w:r w:rsidRPr="00F8488C">
              <w:rPr>
                <w:lang w:val="es-ES_tradnl"/>
              </w:rPr>
              <w:t xml:space="preserve">1,1 </w:t>
            </w:r>
            <w:r w:rsidRPr="00F8488C">
              <w:rPr>
                <w:rFonts w:ascii="Symbol" w:eastAsia="Symbol" w:hAnsi="Symbol" w:cs="Symbol"/>
                <w:lang w:val="es-ES_tradnl"/>
              </w:rPr>
              <w:t></w:t>
            </w:r>
            <w:r w:rsidRPr="00F8488C">
              <w:rPr>
                <w:lang w:val="es-ES_tradnl"/>
              </w:rPr>
              <w:t xml:space="preserve"> 10</w:t>
            </w:r>
            <w:r w:rsidRPr="00F8488C">
              <w:rPr>
                <w:vertAlign w:val="superscript"/>
                <w:lang w:val="es-ES_tradnl"/>
              </w:rPr>
              <w:t>–</w:t>
            </w:r>
            <w:r w:rsidRPr="00F8488C">
              <w:rPr>
                <w:vertAlign w:val="superscript"/>
                <w:lang w:val="es-ES_tradnl" w:eastAsia="zh-CN"/>
              </w:rPr>
              <w:t>4</w:t>
            </w:r>
            <w:r w:rsidRPr="00F8488C">
              <w:rPr>
                <w:lang w:val="es-ES_tradnl"/>
              </w:rPr>
              <w:tab/>
              <w:t xml:space="preserve">para </w:t>
            </w:r>
            <w:r w:rsidRPr="00F8488C">
              <w:rPr>
                <w:i/>
                <w:iCs/>
                <w:lang w:val="es-ES_tradnl"/>
              </w:rPr>
              <w:t>L</w:t>
            </w:r>
            <w:r w:rsidRPr="00F8488C">
              <w:rPr>
                <w:i/>
                <w:iCs/>
                <w:vertAlign w:val="subscript"/>
                <w:lang w:val="es-ES_tradnl"/>
              </w:rPr>
              <w:t>min</w:t>
            </w:r>
            <w:r w:rsidRPr="00F8488C">
              <w:rPr>
                <w:lang w:val="es-ES_tradnl"/>
              </w:rPr>
              <w:t> </w:t>
            </w:r>
            <w:r w:rsidRPr="00F8488C">
              <w:rPr>
                <w:lang w:val="es-ES_tradnl"/>
              </w:rPr>
              <w:sym w:font="Symbol" w:char="F0A3"/>
            </w:r>
            <w:r w:rsidRPr="00F8488C">
              <w:rPr>
                <w:lang w:val="es-ES_tradnl"/>
              </w:rPr>
              <w:t> </w:t>
            </w:r>
            <w:r w:rsidRPr="00F8488C">
              <w:rPr>
                <w:i/>
                <w:iCs/>
                <w:lang w:val="es-ES_tradnl"/>
              </w:rPr>
              <w:t>L</w:t>
            </w:r>
            <w:r w:rsidRPr="00F8488C">
              <w:rPr>
                <w:i/>
                <w:iCs/>
                <w:vertAlign w:val="subscript"/>
                <w:lang w:val="es-ES_tradnl"/>
              </w:rPr>
              <w:t>link</w:t>
            </w:r>
            <w:r w:rsidRPr="00F8488C">
              <w:rPr>
                <w:lang w:val="es-ES_tradnl"/>
              </w:rPr>
              <w:t> </w:t>
            </w:r>
            <w:r w:rsidRPr="00F8488C">
              <w:rPr>
                <w:rFonts w:ascii="Symbol" w:eastAsia="Symbol" w:hAnsi="Symbol" w:cs="Symbol"/>
                <w:lang w:val="es-ES_tradnl"/>
              </w:rPr>
              <w:t></w:t>
            </w:r>
            <w:r w:rsidRPr="00F8488C">
              <w:rPr>
                <w:lang w:val="es-ES_tradnl"/>
              </w:rPr>
              <w:t> 250 km</w:t>
            </w:r>
          </w:p>
        </w:tc>
      </w:tr>
    </w:tbl>
    <w:p w:rsidR="000B169C" w:rsidRPr="00F8488C" w:rsidRDefault="000B169C" w:rsidP="000B169C">
      <w:pPr>
        <w:pStyle w:val="Tablefin"/>
        <w:rPr>
          <w:lang w:val="es-ES_tradnl"/>
        </w:rPr>
      </w:pPr>
    </w:p>
    <w:p w:rsidR="000B169C" w:rsidRPr="00F8488C" w:rsidRDefault="000B169C" w:rsidP="000B169C">
      <w:pPr>
        <w:pStyle w:val="Headingb"/>
        <w:rPr>
          <w:lang w:val="es-ES_tradnl"/>
        </w:rPr>
      </w:pPr>
      <w:r w:rsidRPr="00F8488C">
        <w:rPr>
          <w:lang w:val="es-ES_tradnl"/>
        </w:rPr>
        <w:t>FER</w:t>
      </w:r>
    </w:p>
    <w:p w:rsidR="000B169C" w:rsidRPr="00F8488C" w:rsidRDefault="000B169C" w:rsidP="000B169C">
      <w:pPr>
        <w:rPr>
          <w:lang w:val="es-ES_tradnl"/>
        </w:rPr>
      </w:pPr>
      <w:r w:rsidRPr="00F8488C">
        <w:rPr>
          <w:lang w:val="es-ES_tradnl"/>
        </w:rPr>
        <w:t>No hay objetivo recomendado.</w:t>
      </w:r>
    </w:p>
    <w:p w:rsidR="000B169C" w:rsidRPr="00F8488C" w:rsidRDefault="000B169C" w:rsidP="000B169C">
      <w:pPr>
        <w:pStyle w:val="Headingb"/>
        <w:rPr>
          <w:lang w:val="es-ES_tradnl"/>
        </w:rPr>
      </w:pPr>
      <w:r w:rsidRPr="00F8488C">
        <w:rPr>
          <w:lang w:val="es-ES_tradnl"/>
        </w:rPr>
        <w:t>FLR</w:t>
      </w:r>
    </w:p>
    <w:p w:rsidR="000B169C" w:rsidRPr="00F8488C" w:rsidRDefault="000B169C" w:rsidP="000B169C">
      <w:pPr>
        <w:rPr>
          <w:lang w:val="es-ES_tradnl" w:eastAsia="zh-CN"/>
        </w:rPr>
      </w:pPr>
      <w:r w:rsidRPr="00F8488C">
        <w:rPr>
          <w:lang w:val="es-ES_tradnl"/>
        </w:rPr>
        <w:t>No hay objetivo recomendado.</w:t>
      </w:r>
    </w:p>
    <w:p w:rsidR="000B169C" w:rsidRPr="00F8488C" w:rsidRDefault="000B169C" w:rsidP="000B169C">
      <w:pPr>
        <w:pStyle w:val="Heading1"/>
        <w:rPr>
          <w:lang w:val="es-ES_tradnl"/>
        </w:rPr>
      </w:pPr>
      <w:r w:rsidRPr="00F8488C">
        <w:rPr>
          <w:lang w:val="es-ES_tradnl"/>
        </w:rPr>
        <w:lastRenderedPageBreak/>
        <w:t>4</w:t>
      </w:r>
      <w:r w:rsidRPr="00F8488C">
        <w:rPr>
          <w:lang w:val="es-ES_tradnl"/>
        </w:rPr>
        <w:tab/>
        <w:t>Cálculo de los objetivos de disponibilidad</w:t>
      </w:r>
    </w:p>
    <w:p w:rsidR="000B169C" w:rsidRPr="00F8488C" w:rsidRDefault="000B169C" w:rsidP="000B169C">
      <w:pPr>
        <w:rPr>
          <w:lang w:val="es-ES_tradnl"/>
        </w:rPr>
      </w:pPr>
      <w:r w:rsidRPr="00F8488C">
        <w:rPr>
          <w:lang w:val="es-ES_tradnl"/>
        </w:rPr>
        <w:t>Este punto muestra algunos ejemplos de aplicación de la presente Recomendación a enlaces reales a fin de obtener los objetivos.</w:t>
      </w:r>
    </w:p>
    <w:p w:rsidR="000B169C" w:rsidRPr="00F8488C" w:rsidRDefault="000B169C" w:rsidP="000B169C">
      <w:pPr>
        <w:rPr>
          <w:lang w:val="es-ES_tradnl"/>
        </w:rPr>
      </w:pPr>
      <w:r w:rsidRPr="00F8488C">
        <w:rPr>
          <w:lang w:val="es-ES_tradnl"/>
        </w:rPr>
        <w:t>En los sigu</w:t>
      </w:r>
      <w:bookmarkStart w:id="5" w:name="_GoBack"/>
      <w:bookmarkEnd w:id="5"/>
      <w:r w:rsidRPr="00F8488C">
        <w:rPr>
          <w:lang w:val="es-ES_tradnl"/>
        </w:rPr>
        <w:t>ientes cálculos se supone que un año corresponde a 525</w:t>
      </w:r>
      <w:r w:rsidRPr="00F8488C">
        <w:rPr>
          <w:rFonts w:ascii="Tms Rmn" w:hAnsi="Tms Rmn"/>
          <w:sz w:val="12"/>
          <w:lang w:val="es-ES_tradnl"/>
        </w:rPr>
        <w:t> </w:t>
      </w:r>
      <w:r w:rsidRPr="00F8488C">
        <w:rPr>
          <w:lang w:val="es-ES_tradnl"/>
        </w:rPr>
        <w:t>960 min.</w:t>
      </w:r>
    </w:p>
    <w:p w:rsidR="000B169C" w:rsidRPr="00F8488C" w:rsidRDefault="000B169C" w:rsidP="000B169C">
      <w:pPr>
        <w:pStyle w:val="Heading2"/>
        <w:rPr>
          <w:lang w:val="es-ES_tradnl"/>
        </w:rPr>
      </w:pPr>
      <w:bookmarkStart w:id="6" w:name="OLE_LINK2"/>
      <w:r w:rsidRPr="00F8488C">
        <w:rPr>
          <w:lang w:val="es-ES_tradnl"/>
        </w:rPr>
        <w:t>4.1</w:t>
      </w:r>
      <w:r w:rsidRPr="00F8488C">
        <w:rPr>
          <w:lang w:val="es-ES_tradnl"/>
        </w:rPr>
        <w:tab/>
        <w:t>Porción internacional</w:t>
      </w:r>
    </w:p>
    <w:p w:rsidR="000B169C" w:rsidRPr="00F8488C" w:rsidRDefault="000B169C" w:rsidP="000B169C">
      <w:pPr>
        <w:pStyle w:val="Headingb"/>
        <w:rPr>
          <w:lang w:val="es-ES_tradnl"/>
        </w:rPr>
      </w:pPr>
      <w:r w:rsidRPr="00F8488C">
        <w:rPr>
          <w:rFonts w:eastAsia="Times New Roman Bold"/>
          <w:lang w:val="es-ES_tradnl"/>
        </w:rPr>
        <w:t>Caso 1: longitud 30 km</w:t>
      </w:r>
    </w:p>
    <w:p w:rsidR="000B169C" w:rsidRPr="00F8488C" w:rsidRDefault="000B169C" w:rsidP="000B169C">
      <w:pPr>
        <w:rPr>
          <w:lang w:val="es-ES_tradnl"/>
        </w:rPr>
      </w:pPr>
      <w:r w:rsidRPr="00F8488C">
        <w:rPr>
          <w:lang w:val="es-ES_tradnl"/>
        </w:rPr>
        <w:t xml:space="preserve">La longitud es inferior a </w:t>
      </w:r>
      <w:r w:rsidRPr="00F8488C">
        <w:rPr>
          <w:i/>
          <w:iCs/>
          <w:lang w:val="es-ES_tradnl"/>
        </w:rPr>
        <w:t>L</w:t>
      </w:r>
      <w:r w:rsidRPr="00F8488C">
        <w:rPr>
          <w:i/>
          <w:iCs/>
          <w:vertAlign w:val="subscript"/>
          <w:lang w:val="es-ES_tradnl"/>
        </w:rPr>
        <w:t>min</w:t>
      </w:r>
      <w:r w:rsidRPr="00F8488C">
        <w:rPr>
          <w:lang w:val="es-ES_tradnl"/>
        </w:rPr>
        <w:t xml:space="preserve"> </w:t>
      </w:r>
      <w:r w:rsidRPr="00F8488C">
        <w:rPr>
          <w:rFonts w:ascii="Symbol" w:eastAsia="Symbol" w:hAnsi="Symbol" w:cs="Symbol"/>
          <w:lang w:val="es-ES_tradnl"/>
        </w:rPr>
        <w:t></w:t>
      </w:r>
      <w:r w:rsidRPr="00F8488C">
        <w:rPr>
          <w:lang w:val="es-ES_tradnl"/>
        </w:rPr>
        <w:t xml:space="preserve"> 50 km, por lo que se utiliza el valor </w:t>
      </w:r>
      <w:r w:rsidRPr="00F8488C">
        <w:rPr>
          <w:i/>
          <w:iCs/>
          <w:lang w:val="es-ES_tradnl"/>
        </w:rPr>
        <w:t>L</w:t>
      </w:r>
      <w:r w:rsidRPr="00F8488C">
        <w:rPr>
          <w:i/>
          <w:iCs/>
          <w:vertAlign w:val="subscript"/>
          <w:lang w:val="es-ES_tradnl"/>
        </w:rPr>
        <w:t>link</w:t>
      </w:r>
      <w:r w:rsidRPr="00F8488C">
        <w:rPr>
          <w:lang w:val="es-ES_tradnl"/>
        </w:rPr>
        <w:t xml:space="preserve"> </w:t>
      </w:r>
      <w:r w:rsidRPr="00F8488C">
        <w:rPr>
          <w:rFonts w:ascii="Symbol" w:eastAsia="Symbol" w:hAnsi="Symbol" w:cs="Symbol"/>
          <w:lang w:val="es-ES_tradnl"/>
        </w:rPr>
        <w:t></w:t>
      </w:r>
      <w:r w:rsidRPr="00F8488C">
        <w:rPr>
          <w:lang w:val="es-ES_tradnl"/>
        </w:rPr>
        <w:t xml:space="preserve"> 50.</w:t>
      </w:r>
    </w:p>
    <w:p w:rsidR="000B169C" w:rsidRPr="00F8488C" w:rsidRDefault="000B169C" w:rsidP="000B169C">
      <w:pPr>
        <w:pStyle w:val="Equation"/>
        <w:rPr>
          <w:lang w:val="es-ES_tradnl"/>
        </w:rPr>
      </w:pPr>
      <w:r w:rsidRPr="00F8488C">
        <w:rPr>
          <w:lang w:val="es-ES_tradnl"/>
        </w:rPr>
        <w:tab/>
      </w:r>
      <w:r w:rsidRPr="00F8488C">
        <w:rPr>
          <w:lang w:val="es-ES_tradnl"/>
        </w:rPr>
        <w:object w:dxaOrig="8085" w:dyaOrig="765">
          <v:shape id="_x0000_i1027" type="#_x0000_t75" style="width:404.45pt;height:38.2pt" o:ole="">
            <v:imagedata r:id="rId17" o:title=""/>
          </v:shape>
          <o:OLEObject Type="Embed" ProgID="Equation.3" ShapeID="_x0000_i1027" DrawAspect="Content" ObjectID="_1588146910" r:id="rId18"/>
        </w:object>
      </w:r>
    </w:p>
    <w:p w:rsidR="000B169C" w:rsidRPr="00F8488C" w:rsidRDefault="000B169C" w:rsidP="000B169C">
      <w:pPr>
        <w:rPr>
          <w:lang w:val="es-ES_tradnl"/>
        </w:rPr>
      </w:pPr>
      <w:r w:rsidRPr="00F8488C">
        <w:rPr>
          <w:lang w:val="es-ES_tradnl"/>
        </w:rPr>
        <w:t>Estos valores corresponden a una indisponibilidad de 78 min/año.</w:t>
      </w:r>
    </w:p>
    <w:p w:rsidR="000B169C" w:rsidRPr="00F8488C" w:rsidRDefault="000B169C" w:rsidP="000B169C">
      <w:pPr>
        <w:pStyle w:val="Headingb"/>
        <w:rPr>
          <w:rFonts w:ascii="Times New Roman Bold" w:hAnsi="Times New Roman Bold" w:cs="Times New Roman Bold"/>
          <w:lang w:val="es-ES_tradnl"/>
        </w:rPr>
      </w:pPr>
      <w:r w:rsidRPr="00F8488C">
        <w:rPr>
          <w:rFonts w:ascii="Times New Roman Bold" w:eastAsia="Times New Roman Bold" w:hAnsi="Times New Roman Bold" w:cs="Times New Roman Bold"/>
          <w:b w:val="0"/>
          <w:bCs/>
          <w:lang w:val="es-ES_tradnl"/>
        </w:rPr>
        <w:t xml:space="preserve">Caso 2: </w:t>
      </w:r>
      <w:r w:rsidRPr="00F8488C">
        <w:rPr>
          <w:rFonts w:eastAsia="Times New Roman Bold"/>
          <w:lang w:val="es-ES_tradnl"/>
        </w:rPr>
        <w:t>longitud</w:t>
      </w:r>
      <w:r w:rsidRPr="00F8488C">
        <w:rPr>
          <w:rFonts w:ascii="Times New Roman Bold" w:eastAsia="Times New Roman Bold" w:hAnsi="Times New Roman Bold" w:cs="Times New Roman Bold"/>
          <w:b w:val="0"/>
          <w:bCs/>
          <w:lang w:val="es-ES_tradnl"/>
        </w:rPr>
        <w:t xml:space="preserve"> 80 km</w:t>
      </w:r>
    </w:p>
    <w:p w:rsidR="000B169C" w:rsidRPr="00F8488C" w:rsidRDefault="000B169C" w:rsidP="000B169C">
      <w:pPr>
        <w:rPr>
          <w:lang w:val="es-ES_tradnl"/>
        </w:rPr>
      </w:pPr>
      <w:r w:rsidRPr="00F8488C">
        <w:rPr>
          <w:lang w:val="es-ES_tradnl"/>
        </w:rPr>
        <w:t>La longitud se encuentra en la gama 50-250 km, por lo que:</w:t>
      </w:r>
    </w:p>
    <w:p w:rsidR="000B169C" w:rsidRPr="00F8488C" w:rsidRDefault="000B169C" w:rsidP="000B169C">
      <w:pPr>
        <w:pStyle w:val="Equation"/>
        <w:rPr>
          <w:lang w:val="es-ES_tradnl"/>
        </w:rPr>
      </w:pPr>
      <w:r w:rsidRPr="00F8488C">
        <w:rPr>
          <w:lang w:val="es-ES_tradnl"/>
        </w:rPr>
        <w:tab/>
      </w:r>
      <w:r w:rsidRPr="00F8488C">
        <w:rPr>
          <w:position w:val="-32"/>
          <w:lang w:val="es-ES_tradnl"/>
        </w:rPr>
        <w:object w:dxaOrig="7425" w:dyaOrig="765">
          <v:shape id="_x0000_i1028" type="#_x0000_t75" style="width:371.25pt;height:38.2pt" o:ole="">
            <v:imagedata r:id="rId19" o:title=""/>
          </v:shape>
          <o:OLEObject Type="Embed" ProgID="Equation.3" ShapeID="_x0000_i1028" DrawAspect="Content" ObjectID="_1588146911" r:id="rId20"/>
        </w:object>
      </w:r>
    </w:p>
    <w:p w:rsidR="000B169C" w:rsidRPr="00F8488C" w:rsidRDefault="000B169C" w:rsidP="000B169C">
      <w:pPr>
        <w:rPr>
          <w:lang w:val="es-ES_tradnl"/>
        </w:rPr>
      </w:pPr>
      <w:r w:rsidRPr="00F8488C">
        <w:rPr>
          <w:lang w:val="es-ES_tradnl"/>
        </w:rPr>
        <w:t>Estos valores corresponden a una disponibilidad del 99,983% (indisponibilidad de 90 min/año</w:t>
      </w:r>
      <w:r w:rsidRPr="00F8488C">
        <w:rPr>
          <w:lang w:val="es-ES_tradnl" w:eastAsia="zh-CN"/>
        </w:rPr>
        <w:t>)</w:t>
      </w:r>
      <w:r w:rsidRPr="00F8488C">
        <w:rPr>
          <w:lang w:val="es-ES_tradnl"/>
        </w:rPr>
        <w:t>.</w:t>
      </w:r>
    </w:p>
    <w:p w:rsidR="000B169C" w:rsidRPr="00F8488C" w:rsidRDefault="000B169C" w:rsidP="000B169C">
      <w:pPr>
        <w:pStyle w:val="Heading2"/>
        <w:rPr>
          <w:lang w:val="es-ES_tradnl"/>
        </w:rPr>
      </w:pPr>
      <w:r w:rsidRPr="00F8488C">
        <w:rPr>
          <w:lang w:val="es-ES_tradnl"/>
        </w:rPr>
        <w:t>4.2</w:t>
      </w:r>
      <w:r w:rsidRPr="00F8488C">
        <w:rPr>
          <w:lang w:val="es-ES_tradnl"/>
        </w:rPr>
        <w:tab/>
        <w:t>Porción nacional</w:t>
      </w:r>
    </w:p>
    <w:p w:rsidR="000B169C" w:rsidRPr="00F8488C" w:rsidRDefault="000B169C" w:rsidP="000B169C">
      <w:pPr>
        <w:pStyle w:val="Headingb"/>
        <w:rPr>
          <w:lang w:val="es-ES_tradnl"/>
        </w:rPr>
      </w:pPr>
      <w:r w:rsidRPr="00F8488C">
        <w:rPr>
          <w:rFonts w:eastAsia="Times New Roman Bold"/>
          <w:lang w:val="es-ES_tradnl"/>
        </w:rPr>
        <w:t>Caso 1: longitud de 30 km en la porción de acceso</w:t>
      </w:r>
    </w:p>
    <w:p w:rsidR="000B169C" w:rsidRPr="00F8488C" w:rsidRDefault="000B169C" w:rsidP="000B169C">
      <w:pPr>
        <w:rPr>
          <w:lang w:val="es-ES_tradnl"/>
        </w:rPr>
      </w:pPr>
      <w:r w:rsidRPr="00F8488C">
        <w:rPr>
          <w:lang w:val="es-ES_tradnl"/>
        </w:rPr>
        <w:t xml:space="preserve">La longitud es inferior a </w:t>
      </w:r>
      <w:r w:rsidRPr="00F8488C">
        <w:rPr>
          <w:i/>
          <w:iCs/>
          <w:lang w:val="es-ES_tradnl"/>
        </w:rPr>
        <w:t>L</w:t>
      </w:r>
      <w:r w:rsidRPr="00F8488C">
        <w:rPr>
          <w:i/>
          <w:iCs/>
          <w:vertAlign w:val="subscript"/>
          <w:lang w:val="es-ES_tradnl"/>
        </w:rPr>
        <w:t>min</w:t>
      </w:r>
      <w:r w:rsidRPr="00F8488C">
        <w:rPr>
          <w:lang w:val="es-ES_tradnl"/>
        </w:rPr>
        <w:t> </w:t>
      </w:r>
      <w:r w:rsidRPr="00F8488C">
        <w:rPr>
          <w:rFonts w:ascii="Symbol" w:eastAsia="Symbol" w:hAnsi="Symbol" w:cs="Symbol"/>
          <w:lang w:val="es-ES_tradnl"/>
        </w:rPr>
        <w:t></w:t>
      </w:r>
      <w:r w:rsidRPr="00F8488C">
        <w:rPr>
          <w:lang w:val="es-ES_tradnl"/>
        </w:rPr>
        <w:t xml:space="preserve"> 50 km, por lo que se utiliza el valor </w:t>
      </w:r>
      <w:r w:rsidRPr="00F8488C">
        <w:rPr>
          <w:i/>
          <w:iCs/>
          <w:lang w:val="es-ES_tradnl"/>
        </w:rPr>
        <w:t>L</w:t>
      </w:r>
      <w:r w:rsidRPr="00F8488C">
        <w:rPr>
          <w:i/>
          <w:iCs/>
          <w:vertAlign w:val="subscript"/>
          <w:lang w:val="es-ES_tradnl"/>
        </w:rPr>
        <w:t>link</w:t>
      </w:r>
      <w:r w:rsidRPr="00F8488C">
        <w:rPr>
          <w:lang w:val="es-ES_tradnl"/>
        </w:rPr>
        <w:t> </w:t>
      </w:r>
      <w:r w:rsidRPr="00F8488C">
        <w:rPr>
          <w:rFonts w:ascii="Symbol" w:eastAsia="Symbol" w:hAnsi="Symbol" w:cs="Symbol"/>
          <w:lang w:val="es-ES_tradnl"/>
        </w:rPr>
        <w:t></w:t>
      </w:r>
      <w:r w:rsidRPr="00F8488C">
        <w:rPr>
          <w:lang w:val="es-ES_tradnl"/>
        </w:rPr>
        <w:t> 50 km.</w:t>
      </w:r>
    </w:p>
    <w:p w:rsidR="000B169C" w:rsidRPr="00F8488C" w:rsidRDefault="000B169C" w:rsidP="000B169C">
      <w:pPr>
        <w:pStyle w:val="Equation"/>
        <w:rPr>
          <w:lang w:val="es-ES_tradnl"/>
        </w:rPr>
      </w:pPr>
      <w:r w:rsidRPr="00F8488C">
        <w:rPr>
          <w:lang w:val="es-ES_tradnl"/>
        </w:rPr>
        <w:tab/>
      </w:r>
      <w:r w:rsidRPr="00F8488C">
        <w:rPr>
          <w:lang w:val="es-ES_tradnl"/>
        </w:rPr>
        <w:tab/>
      </w:r>
      <w:r w:rsidRPr="00F8488C">
        <w:rPr>
          <w:lang w:val="es-ES_tradnl"/>
        </w:rPr>
        <w:object w:dxaOrig="7155" w:dyaOrig="765">
          <v:shape id="_x0000_i1029" type="#_x0000_t75" style="width:357.5pt;height:38.2pt" o:ole="">
            <v:imagedata r:id="rId21" o:title=""/>
          </v:shape>
          <o:OLEObject Type="Embed" ProgID="Equation.3" ShapeID="_x0000_i1029" DrawAspect="Content" ObjectID="_1588146912" r:id="rId22"/>
        </w:object>
      </w:r>
    </w:p>
    <w:p w:rsidR="000B169C" w:rsidRPr="00F8488C" w:rsidRDefault="000B169C" w:rsidP="000B169C">
      <w:pPr>
        <w:spacing w:before="240"/>
        <w:rPr>
          <w:lang w:val="es-ES_tradnl" w:eastAsia="zh-CN"/>
        </w:rPr>
      </w:pPr>
      <w:r w:rsidRPr="00F8488C">
        <w:rPr>
          <w:lang w:val="es-ES_tradnl"/>
        </w:rPr>
        <w:t>Estos valores corresponden a una disponibilidad del 99,95% (indisponibilidad de 263 min/año</w:t>
      </w:r>
      <w:r w:rsidRPr="00F8488C">
        <w:rPr>
          <w:lang w:val="es-ES_tradnl" w:eastAsia="zh-CN"/>
        </w:rPr>
        <w:t>)</w:t>
      </w:r>
      <w:r w:rsidRPr="00F8488C">
        <w:rPr>
          <w:lang w:val="es-ES_tradnl"/>
        </w:rPr>
        <w:t>.</w:t>
      </w:r>
    </w:p>
    <w:bookmarkEnd w:id="6"/>
    <w:p w:rsidR="000B169C" w:rsidRPr="00F8488C" w:rsidRDefault="000B169C" w:rsidP="000B169C">
      <w:pPr>
        <w:rPr>
          <w:lang w:val="es-ES_tradnl"/>
        </w:rPr>
      </w:pPr>
    </w:p>
    <w:p w:rsidR="000B169C" w:rsidRPr="00F8488C" w:rsidRDefault="000B169C" w:rsidP="000B169C">
      <w:pPr>
        <w:rPr>
          <w:lang w:val="es-ES_tradnl"/>
        </w:rPr>
      </w:pPr>
    </w:p>
    <w:p w:rsidR="000B169C" w:rsidRPr="00F8488C" w:rsidRDefault="000B169C" w:rsidP="000B169C">
      <w:pPr>
        <w:pStyle w:val="AnnexNoTitle"/>
        <w:rPr>
          <w:rFonts w:ascii="Times New Roman Bold" w:hAnsi="Times New Roman Bold"/>
          <w:lang w:val="es-ES_tradnl"/>
        </w:rPr>
      </w:pPr>
      <w:r w:rsidRPr="00F8488C">
        <w:rPr>
          <w:lang w:val="es-ES_tradnl"/>
        </w:rPr>
        <w:t>Anexo 3</w:t>
      </w:r>
      <w:r w:rsidRPr="00F8488C">
        <w:rPr>
          <w:lang w:val="es-ES_tradnl"/>
        </w:rPr>
        <w:br/>
      </w:r>
      <w:r w:rsidRPr="00F8488C">
        <w:rPr>
          <w:lang w:val="es-ES_tradnl"/>
        </w:rPr>
        <w:br/>
      </w:r>
      <w:r w:rsidRPr="00F8488C">
        <w:rPr>
          <w:rFonts w:ascii="Times New Roman Bold" w:eastAsia="Times New Roman Bold" w:hAnsi="Times New Roman Bold" w:cs="Times New Roman Bold"/>
          <w:bCs/>
          <w:lang w:val="es-ES_tradnl"/>
        </w:rPr>
        <w:t>Relación entre los parámetros basados en paquetes y no basados en paquetes</w:t>
      </w:r>
    </w:p>
    <w:p w:rsidR="000B169C" w:rsidRPr="00F8488C" w:rsidRDefault="000B169C" w:rsidP="000B169C">
      <w:pPr>
        <w:pStyle w:val="Headingb"/>
        <w:rPr>
          <w:rFonts w:ascii="Times New Roman Bold" w:hAnsi="Times New Roman Bold"/>
          <w:lang w:val="es-ES_tradnl"/>
        </w:rPr>
      </w:pPr>
      <w:r w:rsidRPr="00F8488C">
        <w:rPr>
          <w:lang w:val="es-ES_tradnl"/>
        </w:rPr>
        <w:t>Antecedentes</w:t>
      </w:r>
    </w:p>
    <w:p w:rsidR="000B169C" w:rsidRPr="00F8488C" w:rsidRDefault="000B169C" w:rsidP="000B169C">
      <w:pPr>
        <w:rPr>
          <w:lang w:val="es-ES_tradnl"/>
        </w:rPr>
      </w:pPr>
      <w:r w:rsidRPr="00F8488C">
        <w:rPr>
          <w:lang w:val="es-ES_tradnl"/>
        </w:rPr>
        <w:t>Para poder planificar correctamente el enlace es necesario conocer el margen de desvanecimiento o el nivel absoluto en el que se cumple un umbral.</w:t>
      </w:r>
    </w:p>
    <w:p w:rsidR="000B169C" w:rsidRPr="00F8488C" w:rsidRDefault="000B169C" w:rsidP="000B169C">
      <w:pPr>
        <w:rPr>
          <w:lang w:val="es-ES_tradnl"/>
        </w:rPr>
      </w:pPr>
      <w:r w:rsidRPr="00F8488C">
        <w:rPr>
          <w:lang w:val="es-ES_tradnl"/>
        </w:rPr>
        <w:t>Si para la PDH/SDH la base de medición está muy consolidada, los umbrales de las señales por paquetes no están tan ampliamente referenciados.</w:t>
      </w:r>
    </w:p>
    <w:p w:rsidR="000B169C" w:rsidRPr="00F8488C" w:rsidRDefault="000B169C" w:rsidP="000B169C">
      <w:pPr>
        <w:rPr>
          <w:lang w:val="es-ES_tradnl"/>
        </w:rPr>
      </w:pPr>
      <w:r w:rsidRPr="00F8488C">
        <w:rPr>
          <w:lang w:val="es-ES_tradnl"/>
        </w:rPr>
        <w:t>En los Cuadros 3, 4 y 5 se muestran ejemplos de mediciones comparativas de parámetros PDH y Ethernet con distintas modulaciones y longitudes de paquetes Ethernet.</w:t>
      </w:r>
    </w:p>
    <w:p w:rsidR="000B169C" w:rsidRPr="00F8488C" w:rsidRDefault="000B169C" w:rsidP="000B169C">
      <w:pPr>
        <w:rPr>
          <w:rFonts w:ascii="Times New Roman Bold" w:eastAsia="SimSun" w:hAnsi="Times New Roman Bold"/>
          <w:lang w:val="es-ES_tradnl" w:eastAsia="zh-CN"/>
        </w:rPr>
      </w:pPr>
      <w:r w:rsidRPr="00F8488C">
        <w:rPr>
          <w:rFonts w:eastAsia="Times New Roman Bold,SimSun"/>
          <w:lang w:val="es-ES_tradnl" w:eastAsia="zh-CN"/>
        </w:rPr>
        <w:lastRenderedPageBreak/>
        <w:t>En el sistema de referencia (véase el Cuadro 3) se indican las medidas completas. Para las demás modulaciones no se indican las medidas cuyas desviaciones no son significativas.</w:t>
      </w:r>
    </w:p>
    <w:p w:rsidR="000B169C" w:rsidRPr="00F8488C" w:rsidRDefault="000B169C" w:rsidP="000B169C">
      <w:pPr>
        <w:pStyle w:val="enumlev1"/>
        <w:rPr>
          <w:lang w:val="es-ES_tradnl"/>
        </w:rPr>
      </w:pPr>
      <w:r w:rsidRPr="00F8488C">
        <w:rPr>
          <w:lang w:val="es-ES_tradnl"/>
        </w:rPr>
        <w:t>–</w:t>
      </w:r>
      <w:r w:rsidRPr="00F8488C">
        <w:rPr>
          <w:lang w:val="es-ES_tradnl"/>
        </w:rPr>
        <w:tab/>
        <w:t>La prueba se realizó con un equipo de 18 GHz moderno utilizando un enlace simulado en laboratorio.</w:t>
      </w:r>
    </w:p>
    <w:p w:rsidR="000B169C" w:rsidRPr="00F8488C" w:rsidRDefault="000B169C" w:rsidP="000B169C">
      <w:pPr>
        <w:pStyle w:val="enumlev1"/>
        <w:rPr>
          <w:lang w:val="es-ES_tradnl"/>
        </w:rPr>
      </w:pPr>
      <w:r w:rsidRPr="00F8488C">
        <w:rPr>
          <w:lang w:val="es-ES_tradnl"/>
        </w:rPr>
        <w:t>–</w:t>
      </w:r>
      <w:r w:rsidRPr="00F8488C">
        <w:rPr>
          <w:lang w:val="es-ES_tradnl"/>
        </w:rPr>
        <w:tab/>
        <w:t>El equipo permite la transmisión de una señal híbrida (PDH + Ethernet) y durante cada prueba la modulación se fijó manualmente en cada uno de los estados posibles.</w:t>
      </w:r>
    </w:p>
    <w:p w:rsidR="000B169C" w:rsidRPr="00F8488C" w:rsidRDefault="000B169C" w:rsidP="000B169C">
      <w:pPr>
        <w:pStyle w:val="enumlev1"/>
        <w:rPr>
          <w:lang w:val="es-ES_tradnl"/>
        </w:rPr>
      </w:pPr>
      <w:r w:rsidRPr="00F8488C">
        <w:rPr>
          <w:lang w:val="es-ES_tradnl"/>
        </w:rPr>
        <w:t>–</w:t>
      </w:r>
      <w:r w:rsidRPr="00F8488C">
        <w:rPr>
          <w:lang w:val="es-ES_tradnl"/>
        </w:rPr>
        <w:tab/>
        <w:t>Tren de referencia: (2 150 Mbit/s Ethernet + 2 Mbit/s PDH con MAQ 256) en un canal de 56 MHz.</w:t>
      </w:r>
    </w:p>
    <w:p w:rsidR="000B169C" w:rsidRPr="00F8488C" w:rsidRDefault="000B169C" w:rsidP="000B169C">
      <w:pPr>
        <w:rPr>
          <w:lang w:val="es-ES_tradnl"/>
        </w:rPr>
      </w:pPr>
      <w:r w:rsidRPr="00F8488C">
        <w:rPr>
          <w:lang w:val="es-ES_tradnl"/>
        </w:rPr>
        <w:t xml:space="preserve">La variación del nivel PRx es ≤ 0,6 dB para una BER comprendida entre 1,7 </w:t>
      </w:r>
      <w:r w:rsidRPr="00F8488C">
        <w:rPr>
          <w:rFonts w:ascii="Symbol" w:eastAsia="Symbol" w:hAnsi="Symbol" w:cs="Symbol"/>
          <w:sz w:val="18"/>
          <w:szCs w:val="18"/>
          <w:lang w:val="es-ES_tradnl"/>
        </w:rPr>
        <w:t></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 xml:space="preserve">−7 </w:t>
      </w:r>
      <w:r w:rsidRPr="00F8488C">
        <w:rPr>
          <w:lang w:val="es-ES_tradnl"/>
        </w:rPr>
        <w:t xml:space="preserve">y 1,0 </w:t>
      </w:r>
      <w:r w:rsidRPr="00F8488C">
        <w:rPr>
          <w:rFonts w:ascii="Symbol" w:eastAsia="Symbol" w:hAnsi="Symbol" w:cs="Symbol"/>
          <w:sz w:val="18"/>
          <w:szCs w:val="18"/>
          <w:lang w:val="es-ES_tradnl"/>
        </w:rPr>
        <w:t></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w:t>
      </w:r>
      <w:r w:rsidRPr="00F8488C">
        <w:rPr>
          <w:rFonts w:ascii="Times New Roman Bold" w:eastAsia="Times New Roman Bold" w:hAnsi="Times New Roman Bold" w:cs="Times New Roman Bold"/>
          <w:b/>
          <w:bCs/>
          <w:vertAlign w:val="superscript"/>
          <w:lang w:val="es-ES_tradnl"/>
        </w:rPr>
        <w:t>3</w:t>
      </w:r>
      <w:r w:rsidRPr="00F8488C">
        <w:rPr>
          <w:lang w:val="es-ES_tradnl"/>
        </w:rPr>
        <w:t>.</w:t>
      </w:r>
    </w:p>
    <w:p w:rsidR="000B169C" w:rsidRPr="00F8488C" w:rsidRDefault="000B169C" w:rsidP="000B169C">
      <w:pPr>
        <w:pStyle w:val="TableNo"/>
        <w:rPr>
          <w:lang w:val="es-ES_tradnl"/>
        </w:rPr>
      </w:pPr>
      <w:r w:rsidRPr="00F8488C">
        <w:rPr>
          <w:lang w:val="es-ES_tradnl"/>
        </w:rPr>
        <w:t>CUADRO 3</w:t>
      </w:r>
    </w:p>
    <w:p w:rsidR="000B169C" w:rsidRPr="00F8488C" w:rsidRDefault="000B169C" w:rsidP="000B169C">
      <w:pPr>
        <w:pStyle w:val="Tabletitle"/>
        <w:rPr>
          <w:lang w:val="es-ES_tradnl"/>
        </w:rPr>
      </w:pPr>
      <w:r w:rsidRPr="00F8488C">
        <w:rPr>
          <w:lang w:val="es-ES_tradnl"/>
        </w:rPr>
        <w:t>Parámetros PDH/Ethernet – MAQ 256</w:t>
      </w:r>
    </w:p>
    <w:tbl>
      <w:tblPr>
        <w:tblStyle w:val="TableGrid"/>
        <w:tblW w:w="9776" w:type="dxa"/>
        <w:jc w:val="center"/>
        <w:tblLook w:val="04A0" w:firstRow="1" w:lastRow="0" w:firstColumn="1" w:lastColumn="0" w:noHBand="0" w:noVBand="1"/>
      </w:tblPr>
      <w:tblGrid>
        <w:gridCol w:w="1184"/>
        <w:gridCol w:w="1184"/>
        <w:gridCol w:w="1184"/>
        <w:gridCol w:w="1185"/>
        <w:gridCol w:w="1185"/>
        <w:gridCol w:w="1345"/>
        <w:gridCol w:w="1186"/>
        <w:gridCol w:w="1323"/>
      </w:tblGrid>
      <w:tr w:rsidR="000B169C" w:rsidRPr="00F8488C" w:rsidTr="00302200">
        <w:trPr>
          <w:jc w:val="center"/>
        </w:trPr>
        <w:tc>
          <w:tcPr>
            <w:tcW w:w="4737" w:type="dxa"/>
            <w:gridSpan w:val="4"/>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head"/>
              <w:rPr>
                <w:lang w:val="es-ES_tradnl"/>
              </w:rPr>
            </w:pPr>
            <w:r w:rsidRPr="00F8488C">
              <w:rPr>
                <w:lang w:val="es-ES_tradnl"/>
              </w:rPr>
              <w:t>PDH</w:t>
            </w:r>
          </w:p>
        </w:tc>
        <w:tc>
          <w:tcPr>
            <w:tcW w:w="5039" w:type="dxa"/>
            <w:gridSpan w:val="4"/>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head"/>
              <w:rPr>
                <w:lang w:val="es-ES_tradnl"/>
              </w:rPr>
            </w:pPr>
            <w:r w:rsidRPr="00F8488C">
              <w:rPr>
                <w:lang w:val="es-ES_tradnl"/>
              </w:rPr>
              <w:t>Ethernet</w:t>
            </w:r>
          </w:p>
        </w:tc>
      </w:tr>
      <w:tr w:rsidR="000B169C" w:rsidRPr="00F8488C" w:rsidTr="00302200">
        <w:trPr>
          <w:jc w:val="center"/>
        </w:trPr>
        <w:tc>
          <w:tcPr>
            <w:tcW w:w="1184"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bCs/>
                <w:lang w:val="es-ES_tradnl"/>
              </w:rPr>
            </w:pPr>
            <w:r w:rsidRPr="00F8488C">
              <w:rPr>
                <w:bCs/>
                <w:lang w:val="es-ES_tradnl"/>
              </w:rPr>
              <w:t>BER</w:t>
            </w:r>
          </w:p>
        </w:tc>
        <w:tc>
          <w:tcPr>
            <w:tcW w:w="1184"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bCs/>
                <w:lang w:val="es-ES_tradnl"/>
              </w:rPr>
            </w:pPr>
            <w:r w:rsidRPr="00F8488C">
              <w:rPr>
                <w:bCs/>
                <w:lang w:val="es-ES_tradnl"/>
              </w:rPr>
              <w:t>ESR</w:t>
            </w:r>
          </w:p>
        </w:tc>
        <w:tc>
          <w:tcPr>
            <w:tcW w:w="1184"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rFonts w:eastAsiaTheme="minorEastAsia"/>
                <w:lang w:val="es-ES_tradnl"/>
              </w:rPr>
            </w:pPr>
            <w:r w:rsidRPr="00F8488C">
              <w:rPr>
                <w:lang w:val="es-ES_tradnl"/>
              </w:rPr>
              <w:t>SES</w:t>
            </w:r>
          </w:p>
        </w:tc>
        <w:tc>
          <w:tcPr>
            <w:tcW w:w="1185"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rFonts w:eastAsiaTheme="minorEastAsia"/>
                <w:lang w:val="es-ES_tradnl"/>
              </w:rPr>
            </w:pPr>
            <w:r w:rsidRPr="00F8488C">
              <w:rPr>
                <w:lang w:val="es-ES_tradnl"/>
              </w:rPr>
              <w:t>Indisp.</w:t>
            </w:r>
          </w:p>
        </w:tc>
        <w:tc>
          <w:tcPr>
            <w:tcW w:w="1185"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lang w:val="es-ES_tradnl"/>
              </w:rPr>
            </w:pPr>
            <w:r w:rsidRPr="00F8488C">
              <w:rPr>
                <w:lang w:val="es-ES_tradnl"/>
              </w:rPr>
              <w:t>ESR</w:t>
            </w:r>
          </w:p>
        </w:tc>
        <w:tc>
          <w:tcPr>
            <w:tcW w:w="1345"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rFonts w:eastAsiaTheme="minorEastAsia"/>
                <w:lang w:val="es-ES_tradnl"/>
              </w:rPr>
            </w:pPr>
            <w:r w:rsidRPr="00F8488C">
              <w:rPr>
                <w:lang w:val="es-ES_tradnl"/>
              </w:rPr>
              <w:t>FLR (=FER</w:t>
            </w:r>
            <w:r w:rsidRPr="00F8488C">
              <w:rPr>
                <w:rFonts w:eastAsia="Times New Roman Bold"/>
                <w:vertAlign w:val="superscript"/>
                <w:lang w:val="es-ES_tradnl"/>
              </w:rPr>
              <w:t>(1)</w:t>
            </w:r>
            <w:r w:rsidRPr="00F8488C">
              <w:rPr>
                <w:lang w:val="es-ES_tradnl"/>
              </w:rPr>
              <w:t>)</w:t>
            </w:r>
          </w:p>
        </w:tc>
        <w:tc>
          <w:tcPr>
            <w:tcW w:w="1186"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lang w:val="es-ES_tradnl"/>
              </w:rPr>
            </w:pPr>
            <w:r w:rsidRPr="00F8488C">
              <w:rPr>
                <w:lang w:val="es-ES_tradnl"/>
              </w:rPr>
              <w:t>SES</w:t>
            </w:r>
            <w:r w:rsidRPr="00F8488C">
              <w:rPr>
                <w:rFonts w:eastAsia="Times New Roman Bold"/>
                <w:vertAlign w:val="subscript"/>
                <w:lang w:val="es-ES_tradnl"/>
              </w:rPr>
              <w:t>ETH</w:t>
            </w:r>
          </w:p>
        </w:tc>
        <w:tc>
          <w:tcPr>
            <w:tcW w:w="1323"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rFonts w:eastAsiaTheme="minorEastAsia"/>
                <w:lang w:val="es-ES_tradnl"/>
              </w:rPr>
            </w:pPr>
            <w:r w:rsidRPr="00F8488C">
              <w:rPr>
                <w:lang w:val="es-ES_tradnl"/>
              </w:rPr>
              <w:t>Longitud de paquetes (Bytes)</w:t>
            </w:r>
          </w:p>
        </w:tc>
      </w:tr>
      <w:tr w:rsidR="000B169C" w:rsidRPr="00F8488C" w:rsidTr="00302200">
        <w:trPr>
          <w:jc w:val="center"/>
        </w:trPr>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1,7</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−7</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20%</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35%</w:t>
            </w:r>
          </w:p>
        </w:tc>
        <w:tc>
          <w:tcPr>
            <w:tcW w:w="134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1,7</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−5</w:t>
            </w:r>
          </w:p>
        </w:tc>
        <w:tc>
          <w:tcPr>
            <w:tcW w:w="1186"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2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64</w:t>
            </w:r>
          </w:p>
        </w:tc>
      </w:tr>
      <w:tr w:rsidR="000B169C" w:rsidRPr="00F8488C" w:rsidTr="00302200">
        <w:trPr>
          <w:jc w:val="center"/>
        </w:trPr>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2</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−7</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23%</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40%</w:t>
            </w:r>
          </w:p>
        </w:tc>
        <w:tc>
          <w:tcPr>
            <w:tcW w:w="134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3</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−5</w:t>
            </w:r>
          </w:p>
        </w:tc>
        <w:tc>
          <w:tcPr>
            <w:tcW w:w="1186"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2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256</w:t>
            </w:r>
          </w:p>
        </w:tc>
      </w:tr>
      <w:tr w:rsidR="000B169C" w:rsidRPr="00F8488C" w:rsidTr="00302200">
        <w:trPr>
          <w:jc w:val="center"/>
        </w:trPr>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1,7</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−7</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14%</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34%</w:t>
            </w:r>
          </w:p>
        </w:tc>
        <w:tc>
          <w:tcPr>
            <w:tcW w:w="134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2,7</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−5</w:t>
            </w:r>
          </w:p>
        </w:tc>
        <w:tc>
          <w:tcPr>
            <w:tcW w:w="1186"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2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1 024</w:t>
            </w:r>
          </w:p>
        </w:tc>
      </w:tr>
      <w:tr w:rsidR="000B169C" w:rsidRPr="00F8488C" w:rsidTr="00302200">
        <w:trPr>
          <w:jc w:val="center"/>
        </w:trPr>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1,7</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−7</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17%</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34%</w:t>
            </w:r>
          </w:p>
        </w:tc>
        <w:tc>
          <w:tcPr>
            <w:tcW w:w="134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3,6</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−5</w:t>
            </w:r>
          </w:p>
        </w:tc>
        <w:tc>
          <w:tcPr>
            <w:tcW w:w="1186"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2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1 522</w:t>
            </w:r>
          </w:p>
        </w:tc>
      </w:tr>
      <w:tr w:rsidR="000B169C" w:rsidRPr="00F8488C" w:rsidTr="00302200">
        <w:trPr>
          <w:jc w:val="center"/>
        </w:trPr>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−6</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80%</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sz w:val="20"/>
                <w:lang w:val="es-ES_tradnl"/>
              </w:rPr>
            </w:pPr>
            <w:r w:rsidRPr="00F8488C">
              <w:rPr>
                <w:lang w:val="es-ES_tradnl"/>
              </w:rPr>
              <w:t>94%</w:t>
            </w:r>
          </w:p>
        </w:tc>
        <w:tc>
          <w:tcPr>
            <w:tcW w:w="134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1,3</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−4</w:t>
            </w:r>
          </w:p>
        </w:tc>
        <w:tc>
          <w:tcPr>
            <w:tcW w:w="1186"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2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64</w:t>
            </w:r>
          </w:p>
        </w:tc>
      </w:tr>
      <w:tr w:rsidR="000B169C" w:rsidRPr="00F8488C" w:rsidTr="00302200">
        <w:trPr>
          <w:jc w:val="center"/>
        </w:trPr>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−6</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80%</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94%</w:t>
            </w:r>
          </w:p>
        </w:tc>
        <w:tc>
          <w:tcPr>
            <w:tcW w:w="134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1,6</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−4</w:t>
            </w:r>
          </w:p>
        </w:tc>
        <w:tc>
          <w:tcPr>
            <w:tcW w:w="1186"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2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256</w:t>
            </w:r>
          </w:p>
        </w:tc>
      </w:tr>
      <w:tr w:rsidR="000B169C" w:rsidRPr="00F8488C" w:rsidTr="00302200">
        <w:trPr>
          <w:jc w:val="center"/>
        </w:trPr>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−6</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80%</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94%</w:t>
            </w:r>
          </w:p>
        </w:tc>
        <w:tc>
          <w:tcPr>
            <w:tcW w:w="134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2,2</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−4</w:t>
            </w:r>
          </w:p>
        </w:tc>
        <w:tc>
          <w:tcPr>
            <w:tcW w:w="1186"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2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1 024</w:t>
            </w:r>
          </w:p>
        </w:tc>
      </w:tr>
      <w:tr w:rsidR="000B169C" w:rsidRPr="00F8488C" w:rsidTr="00302200">
        <w:trPr>
          <w:jc w:val="center"/>
        </w:trPr>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−6</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80%</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94%</w:t>
            </w:r>
          </w:p>
        </w:tc>
        <w:tc>
          <w:tcPr>
            <w:tcW w:w="134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2,4</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−4</w:t>
            </w:r>
          </w:p>
        </w:tc>
        <w:tc>
          <w:tcPr>
            <w:tcW w:w="1186"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2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1 522</w:t>
            </w:r>
          </w:p>
        </w:tc>
      </w:tr>
      <w:tr w:rsidR="000B169C" w:rsidRPr="00F8488C" w:rsidTr="00302200">
        <w:trPr>
          <w:jc w:val="center"/>
        </w:trPr>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−5</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34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1,1</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−3</w:t>
            </w:r>
          </w:p>
        </w:tc>
        <w:tc>
          <w:tcPr>
            <w:tcW w:w="1186"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2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64</w:t>
            </w:r>
          </w:p>
        </w:tc>
      </w:tr>
      <w:tr w:rsidR="000B169C" w:rsidRPr="00F8488C" w:rsidTr="00302200">
        <w:trPr>
          <w:jc w:val="center"/>
        </w:trPr>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−5</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34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1,6</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−3</w:t>
            </w:r>
          </w:p>
        </w:tc>
        <w:tc>
          <w:tcPr>
            <w:tcW w:w="1186"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2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256</w:t>
            </w:r>
          </w:p>
        </w:tc>
      </w:tr>
      <w:tr w:rsidR="000B169C" w:rsidRPr="00F8488C" w:rsidTr="00302200">
        <w:trPr>
          <w:jc w:val="center"/>
        </w:trPr>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−5</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sz w:val="20"/>
                <w:lang w:val="es-ES_tradnl"/>
              </w:rPr>
            </w:pPr>
            <w:r w:rsidRPr="00F8488C">
              <w:rPr>
                <w:lang w:val="es-ES_tradnl"/>
              </w:rPr>
              <w:t>100%</w:t>
            </w:r>
          </w:p>
        </w:tc>
        <w:tc>
          <w:tcPr>
            <w:tcW w:w="134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2</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−3</w:t>
            </w:r>
          </w:p>
        </w:tc>
        <w:tc>
          <w:tcPr>
            <w:tcW w:w="1186"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2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1 024</w:t>
            </w:r>
          </w:p>
        </w:tc>
      </w:tr>
      <w:tr w:rsidR="000B169C" w:rsidRPr="00F8488C" w:rsidTr="00302200">
        <w:trPr>
          <w:jc w:val="center"/>
        </w:trPr>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−5</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34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2,2</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−3</w:t>
            </w:r>
          </w:p>
        </w:tc>
        <w:tc>
          <w:tcPr>
            <w:tcW w:w="1186"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2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1 522</w:t>
            </w:r>
          </w:p>
        </w:tc>
      </w:tr>
      <w:tr w:rsidR="000B169C" w:rsidRPr="00F8488C" w:rsidTr="00302200">
        <w:trPr>
          <w:jc w:val="center"/>
        </w:trPr>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−4</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 15%</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34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1,2</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−2</w:t>
            </w:r>
          </w:p>
        </w:tc>
        <w:tc>
          <w:tcPr>
            <w:tcW w:w="1186"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2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64</w:t>
            </w:r>
          </w:p>
        </w:tc>
      </w:tr>
      <w:tr w:rsidR="000B169C" w:rsidRPr="00F8488C" w:rsidTr="00302200">
        <w:trPr>
          <w:jc w:val="center"/>
        </w:trPr>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−4</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b/>
                <w:sz w:val="28"/>
                <w:lang w:val="es-ES_tradnl"/>
              </w:rPr>
            </w:pPr>
            <w:r w:rsidRPr="00F8488C">
              <w:rPr>
                <w:lang w:val="es-ES_tradnl"/>
              </w:rPr>
              <w:t>≈ 15%</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sz w:val="20"/>
                <w:lang w:val="es-ES_tradnl"/>
              </w:rPr>
            </w:pPr>
            <w:r w:rsidRPr="00F8488C">
              <w:rPr>
                <w:lang w:val="es-ES_tradnl"/>
              </w:rPr>
              <w:t>100%</w:t>
            </w:r>
          </w:p>
        </w:tc>
        <w:tc>
          <w:tcPr>
            <w:tcW w:w="134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1,2</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−2</w:t>
            </w:r>
          </w:p>
        </w:tc>
        <w:tc>
          <w:tcPr>
            <w:tcW w:w="1186"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2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256</w:t>
            </w:r>
          </w:p>
        </w:tc>
      </w:tr>
      <w:tr w:rsidR="000B169C" w:rsidRPr="00F8488C" w:rsidTr="00302200">
        <w:trPr>
          <w:jc w:val="center"/>
        </w:trPr>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−4</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 15%</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34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2</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−2</w:t>
            </w:r>
          </w:p>
        </w:tc>
        <w:tc>
          <w:tcPr>
            <w:tcW w:w="1186"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2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1 024</w:t>
            </w:r>
          </w:p>
        </w:tc>
      </w:tr>
      <w:tr w:rsidR="000B169C" w:rsidRPr="00F8488C" w:rsidTr="00302200">
        <w:trPr>
          <w:jc w:val="center"/>
        </w:trPr>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−4</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 15%</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34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2,5</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−2</w:t>
            </w:r>
          </w:p>
        </w:tc>
        <w:tc>
          <w:tcPr>
            <w:tcW w:w="1186"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2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1 522</w:t>
            </w:r>
          </w:p>
        </w:tc>
      </w:tr>
      <w:tr w:rsidR="000B169C" w:rsidRPr="00F8488C" w:rsidTr="00302200">
        <w:trPr>
          <w:jc w:val="center"/>
        </w:trPr>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−3</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X</w:t>
            </w:r>
            <w:r w:rsidRPr="00F8488C">
              <w:rPr>
                <w:vertAlign w:val="superscript"/>
                <w:lang w:val="es-ES_tradnl"/>
              </w:rPr>
              <w:t>(2)</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34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1,1</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−1</w:t>
            </w:r>
          </w:p>
        </w:tc>
        <w:tc>
          <w:tcPr>
            <w:tcW w:w="1186"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2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64</w:t>
            </w:r>
          </w:p>
        </w:tc>
      </w:tr>
      <w:tr w:rsidR="000B169C" w:rsidRPr="00F8488C" w:rsidTr="00302200">
        <w:trPr>
          <w:jc w:val="center"/>
        </w:trPr>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−3</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X</w:t>
            </w:r>
            <w:r w:rsidRPr="00F8488C">
              <w:rPr>
                <w:vertAlign w:val="superscript"/>
                <w:lang w:val="es-ES_tradnl"/>
              </w:rPr>
              <w:t>(2)</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34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1,3</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−1</w:t>
            </w:r>
          </w:p>
        </w:tc>
        <w:tc>
          <w:tcPr>
            <w:tcW w:w="1186"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2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256</w:t>
            </w:r>
          </w:p>
        </w:tc>
      </w:tr>
      <w:tr w:rsidR="000B169C" w:rsidRPr="00F8488C" w:rsidTr="00302200">
        <w:trPr>
          <w:jc w:val="center"/>
        </w:trPr>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−3</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b/>
                <w:sz w:val="28"/>
                <w:lang w:val="es-ES_tradnl"/>
              </w:rPr>
            </w:pPr>
            <w:r w:rsidRPr="00F8488C">
              <w:rPr>
                <w:lang w:val="es-ES_tradnl"/>
              </w:rPr>
              <w:t>X</w:t>
            </w:r>
            <w:r w:rsidRPr="00F8488C">
              <w:rPr>
                <w:vertAlign w:val="superscript"/>
                <w:lang w:val="es-ES_tradnl"/>
              </w:rPr>
              <w:t>(2)</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sz w:val="20"/>
                <w:lang w:val="es-ES_tradnl"/>
              </w:rPr>
            </w:pPr>
            <w:r w:rsidRPr="00F8488C">
              <w:rPr>
                <w:lang w:val="es-ES_tradnl"/>
              </w:rPr>
              <w:t>100%</w:t>
            </w:r>
          </w:p>
        </w:tc>
        <w:tc>
          <w:tcPr>
            <w:tcW w:w="134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1,7</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−1</w:t>
            </w:r>
          </w:p>
        </w:tc>
        <w:tc>
          <w:tcPr>
            <w:tcW w:w="1186"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2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1 024</w:t>
            </w:r>
          </w:p>
        </w:tc>
      </w:tr>
      <w:tr w:rsidR="000B169C" w:rsidRPr="00F8488C" w:rsidTr="00302200">
        <w:trPr>
          <w:jc w:val="center"/>
        </w:trPr>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−3</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84"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X</w:t>
            </w:r>
            <w:r w:rsidRPr="00F8488C">
              <w:rPr>
                <w:vertAlign w:val="superscript"/>
                <w:lang w:val="es-ES_tradnl"/>
              </w:rPr>
              <w:t>(2)</w:t>
            </w:r>
          </w:p>
        </w:tc>
        <w:tc>
          <w:tcPr>
            <w:tcW w:w="118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34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2</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−1</w:t>
            </w:r>
          </w:p>
        </w:tc>
        <w:tc>
          <w:tcPr>
            <w:tcW w:w="1186"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2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1 522</w:t>
            </w:r>
          </w:p>
        </w:tc>
      </w:tr>
      <w:tr w:rsidR="000B169C" w:rsidRPr="005D5005" w:rsidTr="00302200">
        <w:trPr>
          <w:jc w:val="center"/>
        </w:trPr>
        <w:tc>
          <w:tcPr>
            <w:tcW w:w="9776" w:type="dxa"/>
            <w:gridSpan w:val="8"/>
            <w:tcBorders>
              <w:top w:val="single" w:sz="4" w:space="0" w:color="auto"/>
              <w:left w:val="nil"/>
              <w:bottom w:val="nil"/>
              <w:right w:val="nil"/>
            </w:tcBorders>
            <w:hideMark/>
          </w:tcPr>
          <w:p w:rsidR="000B169C" w:rsidRPr="00F8488C" w:rsidRDefault="000B169C" w:rsidP="00302200">
            <w:pPr>
              <w:pStyle w:val="Tabletext"/>
              <w:rPr>
                <w:lang w:val="es-ES_tradnl"/>
              </w:rPr>
            </w:pPr>
            <w:r w:rsidRPr="00F8488C">
              <w:rPr>
                <w:vertAlign w:val="superscript"/>
                <w:lang w:val="es-ES_tradnl"/>
              </w:rPr>
              <w:t>(1)</w:t>
            </w:r>
            <w:r w:rsidRPr="00F8488C">
              <w:rPr>
                <w:lang w:val="es-ES_tradnl"/>
              </w:rPr>
              <w:tab/>
              <w:t>Cada error en una trama provoca el descarte de la célula.</w:t>
            </w:r>
          </w:p>
          <w:p w:rsidR="000B169C" w:rsidRPr="00F8488C" w:rsidRDefault="000B169C" w:rsidP="00302200">
            <w:pPr>
              <w:pStyle w:val="Tabletext"/>
              <w:ind w:left="284" w:hanging="284"/>
              <w:rPr>
                <w:lang w:val="es-ES_tradnl"/>
              </w:rPr>
            </w:pPr>
            <w:r w:rsidRPr="00F8488C">
              <w:rPr>
                <w:vertAlign w:val="superscript"/>
                <w:lang w:val="es-ES_tradnl"/>
              </w:rPr>
              <w:t>(2)</w:t>
            </w:r>
            <w:r w:rsidRPr="00F8488C">
              <w:rPr>
                <w:lang w:val="es-ES_tradnl"/>
              </w:rPr>
              <w:tab/>
              <w:t>Si la condición persiste durante más de 10s, la lectura de ESR y SES pierde sentido, pues el sistema entra en estado indisponible.</w:t>
            </w:r>
          </w:p>
        </w:tc>
      </w:tr>
    </w:tbl>
    <w:p w:rsidR="000B169C" w:rsidRPr="00F8488C" w:rsidRDefault="000B169C" w:rsidP="000B169C">
      <w:pPr>
        <w:pStyle w:val="Tablefin"/>
        <w:rPr>
          <w:lang w:val="es-ES_tradnl"/>
        </w:rPr>
      </w:pPr>
    </w:p>
    <w:p w:rsidR="000B169C" w:rsidRPr="00F8488C" w:rsidRDefault="000B169C" w:rsidP="000B169C">
      <w:pPr>
        <w:pStyle w:val="TableNo"/>
        <w:rPr>
          <w:lang w:val="es-ES_tradnl"/>
        </w:rPr>
      </w:pPr>
      <w:r w:rsidRPr="00F8488C">
        <w:rPr>
          <w:lang w:val="es-ES_tradnl"/>
        </w:rPr>
        <w:lastRenderedPageBreak/>
        <w:t>CUADRO 4</w:t>
      </w:r>
    </w:p>
    <w:p w:rsidR="000B169C" w:rsidRPr="00F8488C" w:rsidRDefault="000B169C" w:rsidP="000B169C">
      <w:pPr>
        <w:pStyle w:val="Tabletitle"/>
        <w:rPr>
          <w:lang w:val="es-ES_tradnl"/>
        </w:rPr>
      </w:pPr>
      <w:r w:rsidRPr="00F8488C">
        <w:rPr>
          <w:lang w:val="es-ES_tradnl"/>
        </w:rPr>
        <w:t>Parámetros PDH/Ethernet – MAQ 16</w:t>
      </w:r>
    </w:p>
    <w:tbl>
      <w:tblPr>
        <w:tblStyle w:val="TableGrid"/>
        <w:tblW w:w="9776" w:type="dxa"/>
        <w:jc w:val="center"/>
        <w:tblLook w:val="04A0" w:firstRow="1" w:lastRow="0" w:firstColumn="1" w:lastColumn="0" w:noHBand="0" w:noVBand="1"/>
      </w:tblPr>
      <w:tblGrid>
        <w:gridCol w:w="1191"/>
        <w:gridCol w:w="1191"/>
        <w:gridCol w:w="1192"/>
        <w:gridCol w:w="1192"/>
        <w:gridCol w:w="1192"/>
        <w:gridCol w:w="1295"/>
        <w:gridCol w:w="1193"/>
        <w:gridCol w:w="1330"/>
      </w:tblGrid>
      <w:tr w:rsidR="000B169C" w:rsidRPr="00F8488C" w:rsidTr="00302200">
        <w:trPr>
          <w:jc w:val="center"/>
        </w:trPr>
        <w:tc>
          <w:tcPr>
            <w:tcW w:w="4766" w:type="dxa"/>
            <w:gridSpan w:val="4"/>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head"/>
              <w:rPr>
                <w:lang w:val="es-ES_tradnl"/>
              </w:rPr>
            </w:pPr>
            <w:r w:rsidRPr="00F8488C">
              <w:rPr>
                <w:lang w:val="es-ES_tradnl"/>
              </w:rPr>
              <w:t>PDH</w:t>
            </w:r>
          </w:p>
        </w:tc>
        <w:tc>
          <w:tcPr>
            <w:tcW w:w="5010" w:type="dxa"/>
            <w:gridSpan w:val="4"/>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head"/>
              <w:rPr>
                <w:lang w:val="es-ES_tradnl"/>
              </w:rPr>
            </w:pPr>
            <w:r w:rsidRPr="00F8488C">
              <w:rPr>
                <w:lang w:val="es-ES_tradnl"/>
              </w:rPr>
              <w:t>Ethernet</w:t>
            </w:r>
          </w:p>
        </w:tc>
      </w:tr>
      <w:tr w:rsidR="000B169C" w:rsidRPr="00F8488C" w:rsidTr="00302200">
        <w:trPr>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lang w:val="es-ES_tradnl"/>
              </w:rPr>
            </w:pPr>
            <w:r w:rsidRPr="00F8488C">
              <w:rPr>
                <w:lang w:val="es-ES_tradnl"/>
              </w:rPr>
              <w:t>BER</w:t>
            </w:r>
          </w:p>
        </w:tc>
        <w:tc>
          <w:tcPr>
            <w:tcW w:w="1191"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lang w:val="es-ES_tradnl"/>
              </w:rPr>
            </w:pPr>
            <w:r w:rsidRPr="00F8488C">
              <w:rPr>
                <w:lang w:val="es-ES_tradnl"/>
              </w:rPr>
              <w:t>ESR</w:t>
            </w:r>
          </w:p>
        </w:tc>
        <w:tc>
          <w:tcPr>
            <w:tcW w:w="1192"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lang w:val="es-ES_tradnl"/>
              </w:rPr>
            </w:pPr>
            <w:r w:rsidRPr="00F8488C">
              <w:rPr>
                <w:lang w:val="es-ES_tradnl"/>
              </w:rPr>
              <w:t>SES</w:t>
            </w:r>
          </w:p>
        </w:tc>
        <w:tc>
          <w:tcPr>
            <w:tcW w:w="1192"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lang w:val="es-ES_tradnl"/>
              </w:rPr>
            </w:pPr>
            <w:r w:rsidRPr="00F8488C">
              <w:rPr>
                <w:lang w:val="es-ES_tradnl"/>
              </w:rPr>
              <w:t>Indisp.</w:t>
            </w:r>
          </w:p>
        </w:tc>
        <w:tc>
          <w:tcPr>
            <w:tcW w:w="1192"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lang w:val="es-ES_tradnl"/>
              </w:rPr>
            </w:pPr>
            <w:r w:rsidRPr="00F8488C">
              <w:rPr>
                <w:lang w:val="es-ES_tradnl"/>
              </w:rPr>
              <w:t>ESR</w:t>
            </w:r>
          </w:p>
        </w:tc>
        <w:tc>
          <w:tcPr>
            <w:tcW w:w="1295"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lang w:val="es-ES_tradnl"/>
              </w:rPr>
            </w:pPr>
            <w:r w:rsidRPr="00F8488C">
              <w:rPr>
                <w:lang w:val="es-ES_tradnl"/>
              </w:rPr>
              <w:t>FLR (=FER</w:t>
            </w:r>
            <w:r w:rsidRPr="00F8488C">
              <w:rPr>
                <w:rFonts w:eastAsia="Times New Roman Bold"/>
                <w:vertAlign w:val="superscript"/>
                <w:lang w:val="es-ES_tradnl"/>
              </w:rPr>
              <w:t>(1)</w:t>
            </w:r>
            <w:r w:rsidRPr="00F8488C">
              <w:rPr>
                <w:lang w:val="es-ES_tradnl"/>
              </w:rPr>
              <w:t>)</w:t>
            </w:r>
          </w:p>
        </w:tc>
        <w:tc>
          <w:tcPr>
            <w:tcW w:w="1193"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lang w:val="es-ES_tradnl"/>
              </w:rPr>
            </w:pPr>
            <w:r w:rsidRPr="00F8488C">
              <w:rPr>
                <w:lang w:val="es-ES_tradnl"/>
              </w:rPr>
              <w:t>SES</w:t>
            </w:r>
            <w:r w:rsidRPr="00F8488C">
              <w:rPr>
                <w:rFonts w:eastAsia="Times New Roman Bold"/>
                <w:vertAlign w:val="subscript"/>
                <w:lang w:val="es-ES_tradnl"/>
              </w:rPr>
              <w:t>ETH</w:t>
            </w:r>
          </w:p>
        </w:tc>
        <w:tc>
          <w:tcPr>
            <w:tcW w:w="1330"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lang w:val="es-ES_tradnl"/>
              </w:rPr>
            </w:pPr>
            <w:r w:rsidRPr="00F8488C">
              <w:rPr>
                <w:lang w:val="es-ES_tradnl"/>
              </w:rPr>
              <w:t>Longitud de paquetes (Bytes)</w:t>
            </w:r>
          </w:p>
        </w:tc>
      </w:tr>
      <w:tr w:rsidR="000B169C" w:rsidRPr="00F8488C" w:rsidTr="00302200">
        <w:trPr>
          <w:jc w:val="center"/>
        </w:trPr>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2,0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−6</w:t>
            </w:r>
          </w:p>
        </w:tc>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90%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98%</w:t>
            </w:r>
          </w:p>
        </w:tc>
        <w:tc>
          <w:tcPr>
            <w:tcW w:w="129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1,4</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−4</w:t>
            </w:r>
          </w:p>
        </w:tc>
        <w:tc>
          <w:tcPr>
            <w:tcW w:w="119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b/>
                <w:lang w:val="es-ES_tradnl"/>
              </w:rPr>
            </w:pPr>
            <w:r w:rsidRPr="00F8488C">
              <w:rPr>
                <w:lang w:val="es-ES_tradnl"/>
              </w:rPr>
              <w:t>0</w:t>
            </w:r>
          </w:p>
        </w:tc>
        <w:tc>
          <w:tcPr>
            <w:tcW w:w="1330"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64</w:t>
            </w:r>
          </w:p>
        </w:tc>
      </w:tr>
      <w:tr w:rsidR="000B169C" w:rsidRPr="00F8488C" w:rsidTr="00302200">
        <w:trPr>
          <w:jc w:val="center"/>
        </w:trPr>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2,0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−6</w:t>
            </w:r>
          </w:p>
        </w:tc>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90%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98%</w:t>
            </w:r>
          </w:p>
        </w:tc>
        <w:tc>
          <w:tcPr>
            <w:tcW w:w="129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2,3</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−4</w:t>
            </w:r>
          </w:p>
        </w:tc>
        <w:tc>
          <w:tcPr>
            <w:tcW w:w="119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0</w:t>
            </w:r>
          </w:p>
        </w:tc>
        <w:tc>
          <w:tcPr>
            <w:tcW w:w="1330"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1 522</w:t>
            </w:r>
          </w:p>
        </w:tc>
      </w:tr>
      <w:tr w:rsidR="000B169C" w:rsidRPr="00F8488C" w:rsidTr="00302200">
        <w:trPr>
          <w:jc w:val="center"/>
        </w:trPr>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−4</w:t>
            </w:r>
          </w:p>
        </w:tc>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29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eastAsiaTheme="minorEastAsia" w:hAnsi="Times New Roman Bold"/>
                <w:vertAlign w:val="superscript"/>
                <w:lang w:val="es-ES_tradnl"/>
              </w:rPr>
            </w:pPr>
            <w:r w:rsidRPr="00F8488C">
              <w:rPr>
                <w:lang w:val="es-ES_tradnl"/>
              </w:rPr>
              <w:t>9</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−3</w:t>
            </w:r>
          </w:p>
        </w:tc>
        <w:tc>
          <w:tcPr>
            <w:tcW w:w="119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0</w:t>
            </w:r>
          </w:p>
        </w:tc>
        <w:tc>
          <w:tcPr>
            <w:tcW w:w="1330"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64</w:t>
            </w:r>
          </w:p>
        </w:tc>
      </w:tr>
      <w:tr w:rsidR="000B169C" w:rsidRPr="00F8488C" w:rsidTr="00302200">
        <w:trPr>
          <w:jc w:val="center"/>
        </w:trPr>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−4</w:t>
            </w:r>
          </w:p>
        </w:tc>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b/>
                <w:sz w:val="28"/>
                <w:lang w:val="es-ES_tradnl"/>
              </w:rPr>
            </w:pPr>
            <w:r w:rsidRPr="00F8488C">
              <w:rPr>
                <w:lang w:val="es-ES_tradnl"/>
              </w:rPr>
              <w:t>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b/>
                <w:sz w:val="28"/>
                <w:lang w:val="es-ES_tradnl"/>
              </w:rPr>
            </w:pPr>
            <w:r w:rsidRPr="00F8488C">
              <w:rPr>
                <w:lang w:val="es-ES_tradnl"/>
              </w:rPr>
              <w:t>-</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sz w:val="20"/>
                <w:lang w:val="es-ES_tradnl"/>
              </w:rPr>
            </w:pPr>
            <w:r w:rsidRPr="00F8488C">
              <w:rPr>
                <w:lang w:val="es-ES_tradnl"/>
              </w:rPr>
              <w:t>100%</w:t>
            </w:r>
          </w:p>
        </w:tc>
        <w:tc>
          <w:tcPr>
            <w:tcW w:w="129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2</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−2</w:t>
            </w:r>
          </w:p>
        </w:tc>
        <w:tc>
          <w:tcPr>
            <w:tcW w:w="119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b/>
                <w:sz w:val="28"/>
                <w:lang w:val="es-ES_tradnl"/>
              </w:rPr>
            </w:pPr>
            <w:r w:rsidRPr="00F8488C">
              <w:rPr>
                <w:lang w:val="es-ES_tradnl"/>
              </w:rPr>
              <w:t>0</w:t>
            </w:r>
          </w:p>
        </w:tc>
        <w:tc>
          <w:tcPr>
            <w:tcW w:w="1330"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sz w:val="20"/>
                <w:lang w:val="es-ES_tradnl"/>
              </w:rPr>
            </w:pPr>
            <w:r w:rsidRPr="00F8488C">
              <w:rPr>
                <w:lang w:val="es-ES_tradnl"/>
              </w:rPr>
              <w:t>1 522</w:t>
            </w:r>
          </w:p>
        </w:tc>
      </w:tr>
      <w:tr w:rsidR="000B169C" w:rsidRPr="00F8488C" w:rsidTr="00302200">
        <w:trPr>
          <w:jc w:val="center"/>
        </w:trPr>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4,0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−4</w:t>
            </w:r>
          </w:p>
        </w:tc>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 15%</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29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b/>
                <w:lang w:val="es-ES_tradnl"/>
              </w:rPr>
            </w:pPr>
            <w:r w:rsidRPr="00F8488C">
              <w:rPr>
                <w:lang w:val="es-ES_tradnl"/>
              </w:rPr>
              <w:t>1,1</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−1</w:t>
            </w:r>
          </w:p>
        </w:tc>
        <w:tc>
          <w:tcPr>
            <w:tcW w:w="119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b/>
                <w:lang w:val="es-ES_tradnl"/>
              </w:rPr>
            </w:pPr>
            <w:r w:rsidRPr="00F8488C">
              <w:rPr>
                <w:lang w:val="es-ES_tradnl"/>
              </w:rPr>
              <w:t>0</w:t>
            </w:r>
          </w:p>
        </w:tc>
        <w:tc>
          <w:tcPr>
            <w:tcW w:w="1330"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64</w:t>
            </w:r>
          </w:p>
        </w:tc>
      </w:tr>
      <w:tr w:rsidR="000B169C" w:rsidRPr="00F8488C" w:rsidTr="00302200">
        <w:trPr>
          <w:jc w:val="center"/>
        </w:trPr>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4,0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−4</w:t>
            </w:r>
          </w:p>
        </w:tc>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 15%</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29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1,6</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−1</w:t>
            </w:r>
          </w:p>
        </w:tc>
        <w:tc>
          <w:tcPr>
            <w:tcW w:w="119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0</w:t>
            </w:r>
          </w:p>
        </w:tc>
        <w:tc>
          <w:tcPr>
            <w:tcW w:w="1330"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1 522</w:t>
            </w:r>
          </w:p>
        </w:tc>
      </w:tr>
      <w:tr w:rsidR="000B169C" w:rsidRPr="00F8488C" w:rsidTr="00302200">
        <w:trPr>
          <w:jc w:val="center"/>
        </w:trPr>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−3</w:t>
            </w:r>
          </w:p>
        </w:tc>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100%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b/>
                <w:sz w:val="28"/>
                <w:lang w:val="es-ES_tradnl"/>
              </w:rPr>
            </w:pPr>
            <w:r w:rsidRPr="00F8488C">
              <w:rPr>
                <w:lang w:val="es-ES_tradnl"/>
              </w:rPr>
              <w:t>X</w:t>
            </w:r>
            <w:r w:rsidRPr="00F8488C">
              <w:rPr>
                <w:vertAlign w:val="superscript"/>
                <w:lang w:val="es-ES_tradnl"/>
              </w:rPr>
              <w:t>(2)</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sz w:val="20"/>
                <w:lang w:val="es-ES_tradnl"/>
              </w:rPr>
            </w:pPr>
            <w:r w:rsidRPr="00F8488C">
              <w:rPr>
                <w:lang w:val="es-ES_tradnl"/>
              </w:rPr>
              <w:t>100%</w:t>
            </w:r>
          </w:p>
        </w:tc>
        <w:tc>
          <w:tcPr>
            <w:tcW w:w="129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1,1</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−1</w:t>
            </w:r>
          </w:p>
        </w:tc>
        <w:tc>
          <w:tcPr>
            <w:tcW w:w="119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b/>
                <w:sz w:val="28"/>
                <w:lang w:val="es-ES_tradnl"/>
              </w:rPr>
            </w:pPr>
            <w:r w:rsidRPr="00F8488C">
              <w:rPr>
                <w:lang w:val="es-ES_tradnl"/>
              </w:rPr>
              <w:t>0</w:t>
            </w:r>
          </w:p>
        </w:tc>
        <w:tc>
          <w:tcPr>
            <w:tcW w:w="1330"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sz w:val="20"/>
                <w:lang w:val="es-ES_tradnl"/>
              </w:rPr>
            </w:pPr>
            <w:r w:rsidRPr="00F8488C">
              <w:rPr>
                <w:lang w:val="es-ES_tradnl"/>
              </w:rPr>
              <w:t>64</w:t>
            </w:r>
          </w:p>
        </w:tc>
      </w:tr>
      <w:tr w:rsidR="000B169C" w:rsidRPr="00F8488C" w:rsidTr="00302200">
        <w:trPr>
          <w:jc w:val="center"/>
        </w:trPr>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−3</w:t>
            </w:r>
          </w:p>
        </w:tc>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X</w:t>
            </w:r>
            <w:r w:rsidRPr="00F8488C">
              <w:rPr>
                <w:vertAlign w:val="superscript"/>
                <w:lang w:val="es-ES_tradnl"/>
              </w:rPr>
              <w:t>(2)</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29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2,5</w:t>
            </w:r>
            <w:r w:rsidRPr="00F8488C">
              <w:rPr>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−1</w:t>
            </w:r>
          </w:p>
        </w:tc>
        <w:tc>
          <w:tcPr>
            <w:tcW w:w="119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0</w:t>
            </w:r>
          </w:p>
        </w:tc>
        <w:tc>
          <w:tcPr>
            <w:tcW w:w="1330"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1 522</w:t>
            </w:r>
          </w:p>
        </w:tc>
      </w:tr>
      <w:tr w:rsidR="000B169C" w:rsidRPr="005D5005" w:rsidTr="00302200">
        <w:trPr>
          <w:jc w:val="center"/>
        </w:trPr>
        <w:tc>
          <w:tcPr>
            <w:tcW w:w="9776" w:type="dxa"/>
            <w:gridSpan w:val="8"/>
            <w:tcBorders>
              <w:top w:val="single" w:sz="4" w:space="0" w:color="auto"/>
              <w:left w:val="nil"/>
              <w:bottom w:val="nil"/>
              <w:right w:val="nil"/>
            </w:tcBorders>
            <w:hideMark/>
          </w:tcPr>
          <w:p w:rsidR="000B169C" w:rsidRPr="00F8488C" w:rsidRDefault="000B169C" w:rsidP="00302200">
            <w:pPr>
              <w:pStyle w:val="Tabletext"/>
              <w:rPr>
                <w:lang w:val="es-ES_tradnl"/>
              </w:rPr>
            </w:pPr>
            <w:r w:rsidRPr="00F8488C">
              <w:rPr>
                <w:vertAlign w:val="superscript"/>
                <w:lang w:val="es-ES_tradnl"/>
              </w:rPr>
              <w:t>(1)</w:t>
            </w:r>
            <w:r w:rsidRPr="00F8488C">
              <w:rPr>
                <w:lang w:val="es-ES_tradnl"/>
              </w:rPr>
              <w:tab/>
              <w:t>Cada error en una trama provoca el descarte de la célula.</w:t>
            </w:r>
          </w:p>
          <w:p w:rsidR="000B169C" w:rsidRPr="00F8488C" w:rsidRDefault="000B169C" w:rsidP="00302200">
            <w:pPr>
              <w:pStyle w:val="Tabletext"/>
              <w:ind w:left="284" w:hanging="284"/>
              <w:rPr>
                <w:lang w:val="es-ES_tradnl"/>
              </w:rPr>
            </w:pPr>
            <w:r w:rsidRPr="00F8488C">
              <w:rPr>
                <w:vertAlign w:val="superscript"/>
                <w:lang w:val="es-ES_tradnl"/>
              </w:rPr>
              <w:t>(2)</w:t>
            </w:r>
            <w:r w:rsidRPr="00F8488C">
              <w:rPr>
                <w:lang w:val="es-ES_tradnl"/>
              </w:rPr>
              <w:tab/>
              <w:t>Si la condición persiste durante más de 10s, la lectura de ESR y SES pierde sentido, pues el sistema entra en estado indisponible.</w:t>
            </w:r>
          </w:p>
        </w:tc>
      </w:tr>
    </w:tbl>
    <w:p w:rsidR="000B169C" w:rsidRPr="00F8488C" w:rsidRDefault="000B169C" w:rsidP="000B169C">
      <w:pPr>
        <w:pStyle w:val="Tablefin"/>
        <w:rPr>
          <w:lang w:val="es-ES_tradnl"/>
        </w:rPr>
      </w:pPr>
    </w:p>
    <w:p w:rsidR="000B169C" w:rsidRPr="00F8488C" w:rsidRDefault="000B169C" w:rsidP="000B169C">
      <w:pPr>
        <w:pStyle w:val="TableNo"/>
        <w:rPr>
          <w:lang w:val="es-ES_tradnl"/>
        </w:rPr>
      </w:pPr>
      <w:r w:rsidRPr="00F8488C">
        <w:rPr>
          <w:lang w:val="es-ES_tradnl"/>
        </w:rPr>
        <w:t>CUADRO 5</w:t>
      </w:r>
    </w:p>
    <w:p w:rsidR="000B169C" w:rsidRPr="00F8488C" w:rsidRDefault="000B169C" w:rsidP="000B169C">
      <w:pPr>
        <w:pStyle w:val="Tabletitle"/>
        <w:rPr>
          <w:lang w:val="es-ES_tradnl"/>
        </w:rPr>
      </w:pPr>
      <w:r w:rsidRPr="00F8488C">
        <w:rPr>
          <w:lang w:val="es-ES_tradnl"/>
        </w:rPr>
        <w:t>Parámetros PDH/Ethernet – MAQ 1 024</w:t>
      </w:r>
    </w:p>
    <w:tbl>
      <w:tblPr>
        <w:tblStyle w:val="TableGrid"/>
        <w:tblW w:w="9776" w:type="dxa"/>
        <w:jc w:val="center"/>
        <w:tblLook w:val="04A0" w:firstRow="1" w:lastRow="0" w:firstColumn="1" w:lastColumn="0" w:noHBand="0" w:noVBand="1"/>
      </w:tblPr>
      <w:tblGrid>
        <w:gridCol w:w="1191"/>
        <w:gridCol w:w="1191"/>
        <w:gridCol w:w="1192"/>
        <w:gridCol w:w="1192"/>
        <w:gridCol w:w="1192"/>
        <w:gridCol w:w="1295"/>
        <w:gridCol w:w="1193"/>
        <w:gridCol w:w="1330"/>
      </w:tblGrid>
      <w:tr w:rsidR="000B169C" w:rsidRPr="00F8488C" w:rsidTr="00302200">
        <w:trPr>
          <w:jc w:val="center"/>
        </w:trPr>
        <w:tc>
          <w:tcPr>
            <w:tcW w:w="4766" w:type="dxa"/>
            <w:gridSpan w:val="4"/>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head"/>
              <w:rPr>
                <w:lang w:val="es-ES_tradnl"/>
              </w:rPr>
            </w:pPr>
            <w:r w:rsidRPr="00F8488C">
              <w:rPr>
                <w:lang w:val="es-ES_tradnl"/>
              </w:rPr>
              <w:t>PDH</w:t>
            </w:r>
          </w:p>
        </w:tc>
        <w:tc>
          <w:tcPr>
            <w:tcW w:w="5010" w:type="dxa"/>
            <w:gridSpan w:val="4"/>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head"/>
              <w:rPr>
                <w:lang w:val="es-ES_tradnl"/>
              </w:rPr>
            </w:pPr>
            <w:r w:rsidRPr="00F8488C">
              <w:rPr>
                <w:lang w:val="es-ES_tradnl"/>
              </w:rPr>
              <w:t>Ethernet</w:t>
            </w:r>
          </w:p>
        </w:tc>
      </w:tr>
      <w:tr w:rsidR="000B169C" w:rsidRPr="00F8488C" w:rsidTr="00302200">
        <w:trPr>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lang w:val="es-ES_tradnl"/>
              </w:rPr>
            </w:pPr>
            <w:r w:rsidRPr="00F8488C">
              <w:rPr>
                <w:lang w:val="es-ES_tradnl"/>
              </w:rPr>
              <w:t>BER</w:t>
            </w:r>
          </w:p>
        </w:tc>
        <w:tc>
          <w:tcPr>
            <w:tcW w:w="1191"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lang w:val="es-ES_tradnl"/>
              </w:rPr>
            </w:pPr>
            <w:r w:rsidRPr="00F8488C">
              <w:rPr>
                <w:lang w:val="es-ES_tradnl"/>
              </w:rPr>
              <w:t>ESR</w:t>
            </w:r>
          </w:p>
        </w:tc>
        <w:tc>
          <w:tcPr>
            <w:tcW w:w="1192"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lang w:val="es-ES_tradnl"/>
              </w:rPr>
            </w:pPr>
            <w:r w:rsidRPr="00F8488C">
              <w:rPr>
                <w:lang w:val="es-ES_tradnl"/>
              </w:rPr>
              <w:t>SES</w:t>
            </w:r>
          </w:p>
        </w:tc>
        <w:tc>
          <w:tcPr>
            <w:tcW w:w="1192"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lang w:val="es-ES_tradnl"/>
              </w:rPr>
            </w:pPr>
            <w:r w:rsidRPr="00F8488C">
              <w:rPr>
                <w:lang w:val="es-ES_tradnl"/>
              </w:rPr>
              <w:t>Indisp.</w:t>
            </w:r>
          </w:p>
        </w:tc>
        <w:tc>
          <w:tcPr>
            <w:tcW w:w="1192"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lang w:val="es-ES_tradnl"/>
              </w:rPr>
            </w:pPr>
            <w:r w:rsidRPr="00F8488C">
              <w:rPr>
                <w:lang w:val="es-ES_tradnl"/>
              </w:rPr>
              <w:t>ESR</w:t>
            </w:r>
          </w:p>
        </w:tc>
        <w:tc>
          <w:tcPr>
            <w:tcW w:w="1295"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lang w:val="es-ES_tradnl"/>
              </w:rPr>
            </w:pPr>
            <w:r w:rsidRPr="00F8488C">
              <w:rPr>
                <w:lang w:val="es-ES_tradnl"/>
              </w:rPr>
              <w:t>FLR (=FER</w:t>
            </w:r>
            <w:r w:rsidRPr="00F8488C">
              <w:rPr>
                <w:rFonts w:eastAsia="Times New Roman Bold"/>
                <w:vertAlign w:val="superscript"/>
                <w:lang w:val="es-ES_tradnl"/>
              </w:rPr>
              <w:t>(1)</w:t>
            </w:r>
            <w:r w:rsidRPr="00F8488C">
              <w:rPr>
                <w:lang w:val="es-ES_tradnl"/>
              </w:rPr>
              <w:t>)</w:t>
            </w:r>
          </w:p>
        </w:tc>
        <w:tc>
          <w:tcPr>
            <w:tcW w:w="1193"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lang w:val="es-ES_tradnl"/>
              </w:rPr>
            </w:pPr>
            <w:r w:rsidRPr="00F8488C">
              <w:rPr>
                <w:lang w:val="es-ES_tradnl"/>
              </w:rPr>
              <w:t>SES</w:t>
            </w:r>
            <w:r w:rsidRPr="00F8488C">
              <w:rPr>
                <w:rFonts w:eastAsia="Times New Roman Bold"/>
                <w:vertAlign w:val="subscript"/>
                <w:lang w:val="es-ES_tradnl"/>
              </w:rPr>
              <w:t>ETH</w:t>
            </w:r>
          </w:p>
        </w:tc>
        <w:tc>
          <w:tcPr>
            <w:tcW w:w="1330" w:type="dxa"/>
            <w:tcBorders>
              <w:top w:val="single" w:sz="4" w:space="0" w:color="auto"/>
              <w:left w:val="single" w:sz="4" w:space="0" w:color="auto"/>
              <w:bottom w:val="single" w:sz="4" w:space="0" w:color="auto"/>
              <w:right w:val="single" w:sz="4" w:space="0" w:color="auto"/>
            </w:tcBorders>
            <w:vAlign w:val="center"/>
            <w:hideMark/>
          </w:tcPr>
          <w:p w:rsidR="000B169C" w:rsidRPr="00F8488C" w:rsidRDefault="000B169C" w:rsidP="00302200">
            <w:pPr>
              <w:pStyle w:val="Tablehead"/>
              <w:rPr>
                <w:lang w:val="es-ES_tradnl"/>
              </w:rPr>
            </w:pPr>
            <w:r w:rsidRPr="00F8488C">
              <w:rPr>
                <w:lang w:val="es-ES_tradnl"/>
              </w:rPr>
              <w:t xml:space="preserve">Longitud de paquetes </w:t>
            </w:r>
            <w:r w:rsidRPr="00F8488C">
              <w:rPr>
                <w:lang w:val="es-ES_tradnl"/>
              </w:rPr>
              <w:br/>
              <w:t>(Bytes)</w:t>
            </w:r>
          </w:p>
        </w:tc>
      </w:tr>
      <w:tr w:rsidR="000B169C" w:rsidRPr="00F8488C" w:rsidTr="00302200">
        <w:trPr>
          <w:jc w:val="center"/>
        </w:trPr>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w:t>
            </w:r>
            <w:r w:rsidRPr="00F8488C">
              <w:rPr>
                <w:vertAlign w:val="superscript"/>
                <w:lang w:val="es-ES_tradnl"/>
              </w:rPr>
              <w:t>6</w:t>
            </w:r>
          </w:p>
        </w:tc>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90%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29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2*10</w:t>
            </w:r>
            <w:r w:rsidRPr="00F8488C">
              <w:rPr>
                <w:rFonts w:ascii="Times New Roman Bold" w:eastAsia="Times New Roman Bold" w:hAnsi="Times New Roman Bold" w:cs="Times New Roman Bold"/>
                <w:vertAlign w:val="superscript"/>
                <w:lang w:val="es-ES_tradnl"/>
              </w:rPr>
              <w:t>−</w:t>
            </w:r>
            <w:r w:rsidRPr="00F8488C">
              <w:rPr>
                <w:vertAlign w:val="superscript"/>
                <w:lang w:val="es-ES_tradnl"/>
              </w:rPr>
              <w:t>4</w:t>
            </w:r>
          </w:p>
        </w:tc>
        <w:tc>
          <w:tcPr>
            <w:tcW w:w="119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30"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64</w:t>
            </w:r>
          </w:p>
        </w:tc>
      </w:tr>
      <w:tr w:rsidR="000B169C" w:rsidRPr="00F8488C" w:rsidTr="00302200">
        <w:trPr>
          <w:jc w:val="center"/>
        </w:trPr>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w:t>
            </w:r>
            <w:r w:rsidRPr="00F8488C">
              <w:rPr>
                <w:vertAlign w:val="superscript"/>
                <w:lang w:val="es-ES_tradnl"/>
              </w:rPr>
              <w:t>6</w:t>
            </w:r>
          </w:p>
        </w:tc>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90%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29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4*10</w:t>
            </w:r>
            <w:r w:rsidRPr="00F8488C">
              <w:rPr>
                <w:rFonts w:ascii="Times New Roman Bold" w:eastAsia="Times New Roman Bold" w:hAnsi="Times New Roman Bold" w:cs="Times New Roman Bold"/>
                <w:vertAlign w:val="superscript"/>
                <w:lang w:val="es-ES_tradnl"/>
              </w:rPr>
              <w:t>−</w:t>
            </w:r>
            <w:r w:rsidRPr="00F8488C">
              <w:rPr>
                <w:vertAlign w:val="superscript"/>
                <w:lang w:val="es-ES_tradnl"/>
              </w:rPr>
              <w:t>4</w:t>
            </w:r>
          </w:p>
        </w:tc>
        <w:tc>
          <w:tcPr>
            <w:tcW w:w="119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30"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1 522</w:t>
            </w:r>
          </w:p>
        </w:tc>
      </w:tr>
      <w:tr w:rsidR="000B169C" w:rsidRPr="00F8488C" w:rsidTr="00302200">
        <w:trPr>
          <w:jc w:val="center"/>
        </w:trPr>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w:t>
            </w:r>
            <w:r w:rsidRPr="00F8488C">
              <w:rPr>
                <w:vertAlign w:val="superscript"/>
                <w:lang w:val="es-ES_tradnl"/>
              </w:rPr>
              <w:t>4</w:t>
            </w:r>
          </w:p>
        </w:tc>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29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9*10</w:t>
            </w:r>
            <w:r w:rsidRPr="00F8488C">
              <w:rPr>
                <w:rFonts w:ascii="Times New Roman Bold" w:eastAsia="Times New Roman Bold" w:hAnsi="Times New Roman Bold" w:cs="Times New Roman Bold"/>
                <w:vertAlign w:val="superscript"/>
                <w:lang w:val="es-ES_tradnl"/>
              </w:rPr>
              <w:t>−</w:t>
            </w:r>
            <w:r w:rsidRPr="00F8488C">
              <w:rPr>
                <w:vertAlign w:val="superscript"/>
                <w:lang w:val="es-ES_tradnl"/>
              </w:rPr>
              <w:t>3</w:t>
            </w:r>
          </w:p>
        </w:tc>
        <w:tc>
          <w:tcPr>
            <w:tcW w:w="119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30"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64</w:t>
            </w:r>
          </w:p>
        </w:tc>
      </w:tr>
      <w:tr w:rsidR="000B169C" w:rsidRPr="00F8488C" w:rsidTr="00302200">
        <w:trPr>
          <w:jc w:val="center"/>
        </w:trPr>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w:t>
            </w:r>
            <w:r w:rsidRPr="00F8488C">
              <w:rPr>
                <w:vertAlign w:val="superscript"/>
                <w:lang w:val="es-ES_tradnl"/>
              </w:rPr>
              <w:t>4</w:t>
            </w:r>
          </w:p>
        </w:tc>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29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2*10</w:t>
            </w:r>
            <w:r w:rsidRPr="00F8488C">
              <w:rPr>
                <w:rFonts w:ascii="Times New Roman Bold" w:eastAsia="Times New Roman Bold" w:hAnsi="Times New Roman Bold" w:cs="Times New Roman Bold"/>
                <w:vertAlign w:val="superscript"/>
                <w:lang w:val="es-ES_tradnl"/>
              </w:rPr>
              <w:t>−</w:t>
            </w:r>
            <w:r w:rsidRPr="00F8488C">
              <w:rPr>
                <w:vertAlign w:val="superscript"/>
                <w:lang w:val="es-ES_tradnl"/>
              </w:rPr>
              <w:t>2</w:t>
            </w:r>
          </w:p>
        </w:tc>
        <w:tc>
          <w:tcPr>
            <w:tcW w:w="119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30"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1 522</w:t>
            </w:r>
          </w:p>
        </w:tc>
      </w:tr>
      <w:tr w:rsidR="000B169C" w:rsidRPr="00F8488C" w:rsidTr="00302200">
        <w:trPr>
          <w:jc w:val="center"/>
        </w:trPr>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8,0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w:t>
            </w:r>
            <w:r w:rsidRPr="00F8488C">
              <w:rPr>
                <w:vertAlign w:val="superscript"/>
                <w:lang w:val="es-ES_tradnl"/>
              </w:rPr>
              <w:t>4</w:t>
            </w:r>
          </w:p>
        </w:tc>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15%</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w:t>
            </w:r>
          </w:p>
        </w:tc>
        <w:tc>
          <w:tcPr>
            <w:tcW w:w="1192" w:type="dxa"/>
            <w:tcBorders>
              <w:top w:val="single" w:sz="4" w:space="0" w:color="auto"/>
              <w:left w:val="single" w:sz="4" w:space="0" w:color="auto"/>
              <w:bottom w:val="single" w:sz="4" w:space="0" w:color="auto"/>
              <w:right w:val="single" w:sz="4" w:space="0" w:color="auto"/>
            </w:tcBorders>
          </w:tcPr>
          <w:p w:rsidR="000B169C" w:rsidRPr="00F8488C" w:rsidRDefault="000B169C" w:rsidP="00302200">
            <w:pPr>
              <w:pStyle w:val="Tabletext"/>
              <w:jc w:val="center"/>
              <w:rPr>
                <w:lang w:val="es-ES_tradnl"/>
              </w:rPr>
            </w:pPr>
          </w:p>
        </w:tc>
        <w:tc>
          <w:tcPr>
            <w:tcW w:w="129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1,6*10</w:t>
            </w:r>
            <w:r w:rsidRPr="00F8488C">
              <w:rPr>
                <w:rFonts w:ascii="Times New Roman Bold" w:eastAsia="Times New Roman Bold" w:hAnsi="Times New Roman Bold" w:cs="Times New Roman Bold"/>
                <w:vertAlign w:val="superscript"/>
                <w:lang w:val="es-ES_tradnl"/>
              </w:rPr>
              <w:t>−</w:t>
            </w:r>
            <w:r w:rsidRPr="00F8488C">
              <w:rPr>
                <w:vertAlign w:val="superscript"/>
                <w:lang w:val="es-ES_tradnl"/>
              </w:rPr>
              <w:t>1</w:t>
            </w:r>
          </w:p>
        </w:tc>
        <w:tc>
          <w:tcPr>
            <w:tcW w:w="119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0</w:t>
            </w:r>
          </w:p>
        </w:tc>
        <w:tc>
          <w:tcPr>
            <w:tcW w:w="1330"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64</w:t>
            </w:r>
          </w:p>
        </w:tc>
      </w:tr>
      <w:tr w:rsidR="000B169C" w:rsidRPr="00F8488C" w:rsidTr="00302200">
        <w:trPr>
          <w:jc w:val="center"/>
        </w:trPr>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8,0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−4</w:t>
            </w:r>
          </w:p>
        </w:tc>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15%</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w:t>
            </w:r>
          </w:p>
        </w:tc>
        <w:tc>
          <w:tcPr>
            <w:tcW w:w="1192" w:type="dxa"/>
            <w:tcBorders>
              <w:top w:val="single" w:sz="4" w:space="0" w:color="auto"/>
              <w:left w:val="single" w:sz="4" w:space="0" w:color="auto"/>
              <w:bottom w:val="single" w:sz="4" w:space="0" w:color="auto"/>
              <w:right w:val="single" w:sz="4" w:space="0" w:color="auto"/>
            </w:tcBorders>
          </w:tcPr>
          <w:p w:rsidR="000B169C" w:rsidRPr="00F8488C" w:rsidRDefault="000B169C" w:rsidP="00302200">
            <w:pPr>
              <w:pStyle w:val="Tabletext"/>
              <w:jc w:val="center"/>
              <w:rPr>
                <w:lang w:val="es-ES_tradnl"/>
              </w:rPr>
            </w:pPr>
          </w:p>
        </w:tc>
        <w:tc>
          <w:tcPr>
            <w:tcW w:w="129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3*10</w:t>
            </w:r>
            <w:r w:rsidRPr="00F8488C">
              <w:rPr>
                <w:rFonts w:ascii="Times New Roman Bold" w:eastAsia="Times New Roman Bold" w:hAnsi="Times New Roman Bold" w:cs="Times New Roman Bold"/>
                <w:vertAlign w:val="superscript"/>
                <w:lang w:val="es-ES_tradnl"/>
              </w:rPr>
              <w:t>−1</w:t>
            </w:r>
          </w:p>
        </w:tc>
        <w:tc>
          <w:tcPr>
            <w:tcW w:w="119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b/>
                <w:sz w:val="28"/>
                <w:lang w:val="es-ES_tradnl"/>
              </w:rPr>
            </w:pPr>
            <w:r w:rsidRPr="00F8488C">
              <w:rPr>
                <w:lang w:val="es-ES_tradnl"/>
              </w:rPr>
              <w:t>0</w:t>
            </w:r>
          </w:p>
        </w:tc>
        <w:tc>
          <w:tcPr>
            <w:tcW w:w="1330"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sz w:val="20"/>
                <w:lang w:val="es-ES_tradnl"/>
              </w:rPr>
            </w:pPr>
            <w:r w:rsidRPr="00F8488C">
              <w:rPr>
                <w:lang w:val="es-ES_tradnl"/>
              </w:rPr>
              <w:t>1 522</w:t>
            </w:r>
          </w:p>
        </w:tc>
      </w:tr>
      <w:tr w:rsidR="000B169C" w:rsidRPr="00F8488C" w:rsidTr="00302200">
        <w:trPr>
          <w:jc w:val="center"/>
        </w:trPr>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−3</w:t>
            </w:r>
          </w:p>
        </w:tc>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100%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b/>
                <w:sz w:val="28"/>
                <w:lang w:val="es-ES_tradnl"/>
              </w:rPr>
            </w:pPr>
            <w:r w:rsidRPr="00F8488C">
              <w:rPr>
                <w:lang w:val="es-ES_tradnl"/>
              </w:rPr>
              <w:t>X</w:t>
            </w:r>
            <w:r w:rsidRPr="00F8488C">
              <w:rPr>
                <w:vertAlign w:val="superscript"/>
                <w:lang w:val="es-ES_tradnl"/>
              </w:rPr>
              <w:t>(2)</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sz w:val="20"/>
                <w:lang w:val="es-ES_tradnl"/>
              </w:rPr>
            </w:pPr>
            <w:r w:rsidRPr="00F8488C">
              <w:rPr>
                <w:lang w:val="es-ES_tradnl"/>
              </w:rPr>
              <w:t>100%</w:t>
            </w:r>
          </w:p>
        </w:tc>
        <w:tc>
          <w:tcPr>
            <w:tcW w:w="129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hAnsi="Times New Roman Bold"/>
                <w:vertAlign w:val="superscript"/>
                <w:lang w:val="es-ES_tradnl"/>
              </w:rPr>
            </w:pPr>
            <w:r w:rsidRPr="00F8488C">
              <w:rPr>
                <w:lang w:val="es-ES_tradnl"/>
              </w:rPr>
              <w:t>1,1*10</w:t>
            </w:r>
            <w:r w:rsidRPr="00F8488C">
              <w:rPr>
                <w:rFonts w:ascii="Times New Roman Bold" w:eastAsia="Times New Roman Bold" w:hAnsi="Times New Roman Bold" w:cs="Times New Roman Bold"/>
                <w:vertAlign w:val="superscript"/>
                <w:lang w:val="es-ES_tradnl"/>
              </w:rPr>
              <w:t>−1</w:t>
            </w:r>
          </w:p>
        </w:tc>
        <w:tc>
          <w:tcPr>
            <w:tcW w:w="119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b/>
                <w:sz w:val="28"/>
                <w:lang w:val="es-ES_tradnl"/>
              </w:rPr>
            </w:pPr>
            <w:r w:rsidRPr="00F8488C">
              <w:rPr>
                <w:lang w:val="es-ES_tradnl"/>
              </w:rPr>
              <w:t>0</w:t>
            </w:r>
          </w:p>
        </w:tc>
        <w:tc>
          <w:tcPr>
            <w:tcW w:w="1330"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sz w:val="20"/>
                <w:lang w:val="es-ES_tradnl"/>
              </w:rPr>
            </w:pPr>
            <w:r w:rsidRPr="00F8488C">
              <w:rPr>
                <w:lang w:val="es-ES_tradnl"/>
              </w:rPr>
              <w:t>64</w:t>
            </w:r>
          </w:p>
        </w:tc>
      </w:tr>
      <w:tr w:rsidR="000B169C" w:rsidRPr="00F8488C" w:rsidTr="00302200">
        <w:trPr>
          <w:jc w:val="center"/>
        </w:trPr>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w:t>
            </w:r>
            <w:r w:rsidRPr="00F8488C">
              <w:rPr>
                <w:rFonts w:ascii="Symbol" w:eastAsia="Symbol" w:hAnsi="Symbol" w:cs="Symbol"/>
                <w:sz w:val="18"/>
                <w:szCs w:val="18"/>
                <w:lang w:val="es-ES_tradnl"/>
              </w:rPr>
              <w:t></w:t>
            </w:r>
            <w:r w:rsidRPr="00F8488C">
              <w:rPr>
                <w:lang w:val="es-ES_tradnl"/>
              </w:rPr>
              <w:t>10</w:t>
            </w:r>
            <w:r w:rsidRPr="00F8488C">
              <w:rPr>
                <w:rFonts w:ascii="Times New Roman Bold" w:eastAsia="Times New Roman Bold" w:hAnsi="Times New Roman Bold" w:cs="Times New Roman Bold"/>
                <w:vertAlign w:val="superscript"/>
                <w:lang w:val="es-ES_tradnl"/>
              </w:rPr>
              <w:t>−3</w:t>
            </w:r>
          </w:p>
        </w:tc>
        <w:tc>
          <w:tcPr>
            <w:tcW w:w="1191"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X</w:t>
            </w:r>
            <w:r w:rsidRPr="00F8488C">
              <w:rPr>
                <w:vertAlign w:val="superscript"/>
                <w:lang w:val="es-ES_tradnl"/>
              </w:rPr>
              <w:t>(2)</w:t>
            </w:r>
          </w:p>
        </w:tc>
        <w:tc>
          <w:tcPr>
            <w:tcW w:w="1192"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100%</w:t>
            </w:r>
          </w:p>
        </w:tc>
        <w:tc>
          <w:tcPr>
            <w:tcW w:w="1295"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ascii="Times New Roman Bold" w:eastAsiaTheme="minorEastAsia" w:hAnsi="Times New Roman Bold"/>
                <w:vertAlign w:val="superscript"/>
                <w:lang w:val="es-ES_tradnl"/>
              </w:rPr>
            </w:pPr>
            <w:r w:rsidRPr="00F8488C">
              <w:rPr>
                <w:lang w:val="es-ES_tradnl"/>
              </w:rPr>
              <w:t>2,3*10</w:t>
            </w:r>
            <w:r w:rsidRPr="00F8488C">
              <w:rPr>
                <w:rFonts w:ascii="Times New Roman Bold" w:eastAsia="Times New Roman Bold" w:hAnsi="Times New Roman Bold" w:cs="Times New Roman Bold"/>
                <w:vertAlign w:val="superscript"/>
                <w:lang w:val="es-ES_tradnl"/>
              </w:rPr>
              <w:t>−1</w:t>
            </w:r>
          </w:p>
        </w:tc>
        <w:tc>
          <w:tcPr>
            <w:tcW w:w="1193"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rFonts w:eastAsiaTheme="minorEastAsia"/>
                <w:lang w:val="es-ES_tradnl"/>
              </w:rPr>
            </w:pPr>
            <w:r w:rsidRPr="00F8488C">
              <w:rPr>
                <w:lang w:val="es-ES_tradnl"/>
              </w:rPr>
              <w:t>0</w:t>
            </w:r>
          </w:p>
        </w:tc>
        <w:tc>
          <w:tcPr>
            <w:tcW w:w="1330" w:type="dxa"/>
            <w:tcBorders>
              <w:top w:val="single" w:sz="4" w:space="0" w:color="auto"/>
              <w:left w:val="single" w:sz="4" w:space="0" w:color="auto"/>
              <w:bottom w:val="single" w:sz="4" w:space="0" w:color="auto"/>
              <w:right w:val="single" w:sz="4" w:space="0" w:color="auto"/>
            </w:tcBorders>
            <w:hideMark/>
          </w:tcPr>
          <w:p w:rsidR="000B169C" w:rsidRPr="00F8488C" w:rsidRDefault="000B169C" w:rsidP="00302200">
            <w:pPr>
              <w:pStyle w:val="Tabletext"/>
              <w:jc w:val="center"/>
              <w:rPr>
                <w:lang w:val="es-ES_tradnl"/>
              </w:rPr>
            </w:pPr>
            <w:r w:rsidRPr="00F8488C">
              <w:rPr>
                <w:lang w:val="es-ES_tradnl"/>
              </w:rPr>
              <w:t>1 522</w:t>
            </w:r>
          </w:p>
        </w:tc>
      </w:tr>
      <w:tr w:rsidR="000B169C" w:rsidRPr="005D5005" w:rsidTr="00302200">
        <w:trPr>
          <w:jc w:val="center"/>
        </w:trPr>
        <w:tc>
          <w:tcPr>
            <w:tcW w:w="9776" w:type="dxa"/>
            <w:gridSpan w:val="8"/>
            <w:tcBorders>
              <w:top w:val="single" w:sz="4" w:space="0" w:color="auto"/>
              <w:left w:val="nil"/>
              <w:bottom w:val="nil"/>
              <w:right w:val="nil"/>
            </w:tcBorders>
            <w:hideMark/>
          </w:tcPr>
          <w:p w:rsidR="000B169C" w:rsidRPr="00F8488C" w:rsidRDefault="000B169C" w:rsidP="00302200">
            <w:pPr>
              <w:pStyle w:val="Tabletext"/>
              <w:rPr>
                <w:lang w:val="es-ES_tradnl"/>
              </w:rPr>
            </w:pPr>
            <w:r w:rsidRPr="00F8488C">
              <w:rPr>
                <w:vertAlign w:val="superscript"/>
                <w:lang w:val="es-ES_tradnl"/>
              </w:rPr>
              <w:t>(1)</w:t>
            </w:r>
            <w:r w:rsidRPr="00F8488C">
              <w:rPr>
                <w:lang w:val="es-ES_tradnl"/>
              </w:rPr>
              <w:tab/>
              <w:t>Cada error en una trama provoca el descarte de la célula.</w:t>
            </w:r>
          </w:p>
          <w:p w:rsidR="000B169C" w:rsidRPr="00F8488C" w:rsidRDefault="000B169C" w:rsidP="00302200">
            <w:pPr>
              <w:pStyle w:val="Tabletext"/>
              <w:ind w:left="284" w:hanging="284"/>
              <w:rPr>
                <w:lang w:val="es-ES_tradnl"/>
              </w:rPr>
            </w:pPr>
            <w:r w:rsidRPr="00F8488C">
              <w:rPr>
                <w:vertAlign w:val="superscript"/>
                <w:lang w:val="es-ES_tradnl"/>
              </w:rPr>
              <w:t>(2)</w:t>
            </w:r>
            <w:r w:rsidRPr="00F8488C">
              <w:rPr>
                <w:lang w:val="es-ES_tradnl"/>
              </w:rPr>
              <w:tab/>
              <w:t>Si la condición persiste durante más de 10s, la lectura de ESR y SES pierde sentido, pues el sistema entra en estado indisponible.</w:t>
            </w:r>
          </w:p>
        </w:tc>
      </w:tr>
    </w:tbl>
    <w:p w:rsidR="000B169C" w:rsidRPr="00F8488C" w:rsidRDefault="000B169C" w:rsidP="000B169C">
      <w:pPr>
        <w:pStyle w:val="Tablefin"/>
        <w:rPr>
          <w:lang w:val="es-ES_tradnl"/>
        </w:rPr>
      </w:pPr>
    </w:p>
    <w:p w:rsidR="000B169C" w:rsidRPr="00F8488C" w:rsidRDefault="000B169C" w:rsidP="000B169C">
      <w:pPr>
        <w:pStyle w:val="Headingb"/>
        <w:rPr>
          <w:lang w:val="es-ES_tradnl"/>
        </w:rPr>
      </w:pPr>
      <w:r w:rsidRPr="00F8488C">
        <w:rPr>
          <w:lang w:val="es-ES_tradnl"/>
        </w:rPr>
        <w:t>Conclusión</w:t>
      </w:r>
    </w:p>
    <w:p w:rsidR="000B169C" w:rsidRPr="00F8488C" w:rsidRDefault="000B169C" w:rsidP="000B169C">
      <w:pPr>
        <w:rPr>
          <w:rFonts w:ascii="Times New Roman Bold" w:eastAsia="SimSun" w:hAnsi="Times New Roman Bold"/>
          <w:lang w:val="es-ES_tradnl" w:eastAsia="zh-CN"/>
        </w:rPr>
      </w:pPr>
      <w:r w:rsidRPr="00F8488C">
        <w:rPr>
          <w:lang w:val="es-ES_tradnl"/>
        </w:rPr>
        <w:t xml:space="preserve">La medición indica que, independientemente de la modulación de la longitud de trama que se adopte, los </w:t>
      </w:r>
      <w:r w:rsidRPr="00F8488C">
        <w:rPr>
          <w:rFonts w:ascii="SimSun" w:eastAsia="SimSun" w:hAnsi="SimSun" w:cs="SimSun"/>
          <w:lang w:val="es-ES_tradnl" w:eastAsia="zh-CN"/>
        </w:rPr>
        <w:t>SES</w:t>
      </w:r>
      <w:r w:rsidRPr="00F8488C">
        <w:rPr>
          <w:rFonts w:ascii="SimSun" w:eastAsia="SimSun" w:hAnsi="SimSun" w:cs="SimSun"/>
          <w:vertAlign w:val="subscript"/>
          <w:lang w:val="es-ES_tradnl" w:eastAsia="zh-CN"/>
        </w:rPr>
        <w:t xml:space="preserve">ETH </w:t>
      </w:r>
      <w:r w:rsidRPr="00F8488C">
        <w:rPr>
          <w:lang w:val="es-ES_tradnl"/>
        </w:rPr>
        <w:t>se reciben a un nivel ligeramente inferior (fracción de dB) al nivel en que los SES se detectan cuando no se trata de paquetes.</w:t>
      </w:r>
    </w:p>
    <w:p w:rsidR="000B169C" w:rsidRPr="00F8488C" w:rsidRDefault="000B169C" w:rsidP="000B169C">
      <w:pPr>
        <w:rPr>
          <w:lang w:val="es-ES_tradnl"/>
        </w:rPr>
      </w:pPr>
      <w:r w:rsidRPr="00F8488C">
        <w:rPr>
          <w:lang w:val="es-ES_tradnl"/>
        </w:rPr>
        <w:lastRenderedPageBreak/>
        <w:t>Debido a la fuerte inclinación de la curva BER en los equipos actuales, y habida cuenta de que algunos equipos declaran la pérdida de alineamiento antes de llegar a ese nivel (cuando la BER oscila entre 10</w:t>
      </w:r>
      <w:r w:rsidRPr="00F8488C">
        <w:rPr>
          <w:vertAlign w:val="superscript"/>
          <w:lang w:val="es-ES_tradnl"/>
        </w:rPr>
        <w:t>−4</w:t>
      </w:r>
      <w:r w:rsidRPr="00F8488C">
        <w:rPr>
          <w:lang w:val="es-ES_tradnl"/>
        </w:rPr>
        <w:t xml:space="preserve"> y 10</w:t>
      </w:r>
      <w:r w:rsidRPr="00F8488C">
        <w:rPr>
          <w:vertAlign w:val="superscript"/>
          <w:lang w:val="es-ES_tradnl"/>
        </w:rPr>
        <w:t>−6</w:t>
      </w:r>
      <w:r w:rsidRPr="00F8488C">
        <w:rPr>
          <w:lang w:val="es-ES_tradnl"/>
        </w:rPr>
        <w:t>), las diferencias reales entre la utilización de un umbral de paquetes real y el umbral utilizado en otros casos son inapreciables.</w:t>
      </w:r>
    </w:p>
    <w:p w:rsidR="000B169C" w:rsidRPr="00F8488C" w:rsidRDefault="000B169C" w:rsidP="000B169C">
      <w:pPr>
        <w:pStyle w:val="Reasons"/>
        <w:rPr>
          <w:lang w:val="es-ES_tradnl"/>
        </w:rPr>
      </w:pPr>
    </w:p>
    <w:p w:rsidR="000B169C" w:rsidRPr="00F8488C" w:rsidRDefault="000B169C" w:rsidP="000B169C">
      <w:pPr>
        <w:jc w:val="center"/>
        <w:rPr>
          <w:lang w:val="es-ES_tradnl"/>
        </w:rPr>
      </w:pPr>
      <w:r w:rsidRPr="00F8488C">
        <w:rPr>
          <w:lang w:val="es-ES_tradnl"/>
        </w:rPr>
        <w:t>______________</w:t>
      </w:r>
    </w:p>
    <w:p w:rsidR="000B169C" w:rsidRPr="00F8488C" w:rsidRDefault="000B169C" w:rsidP="000B169C">
      <w:pPr>
        <w:rPr>
          <w:lang w:val="es-ES_tradnl"/>
        </w:rPr>
      </w:pPr>
    </w:p>
    <w:p w:rsidR="00DC5C55" w:rsidRPr="0010336F" w:rsidRDefault="00DC5C55" w:rsidP="00DC5C55">
      <w:pPr>
        <w:pStyle w:val="RecNo"/>
        <w:spacing w:before="0"/>
        <w:rPr>
          <w:lang w:val="es-ES_tradnl"/>
        </w:rPr>
      </w:pPr>
    </w:p>
    <w:p w:rsidR="00DC5C55" w:rsidRPr="000B169C" w:rsidRDefault="00DC5C55" w:rsidP="00DC5C55">
      <w:pPr>
        <w:rPr>
          <w:lang w:val="es-ES_tradnl"/>
        </w:rPr>
      </w:pPr>
    </w:p>
    <w:sectPr w:rsidR="00DC5C55" w:rsidRPr="000B169C" w:rsidSect="00B1717A">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200" w:rsidRDefault="00302200">
      <w:r>
        <w:separator/>
      </w:r>
    </w:p>
  </w:endnote>
  <w:endnote w:type="continuationSeparator" w:id="0">
    <w:p w:rsidR="00302200" w:rsidRDefault="00302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ymbol,Times New Roman Bold">
    <w:altName w:val="Times New Roman"/>
    <w:panose1 w:val="00000000000000000000"/>
    <w:charset w:val="00"/>
    <w:family w:val="roman"/>
    <w:notTrueType/>
    <w:pitch w:val="default"/>
  </w:font>
  <w:font w:name="Tms Rmn,Times New Roman Bold">
    <w:altName w:val="Times New Roman"/>
    <w:panose1 w:val="00000000000000000000"/>
    <w:charset w:val="00"/>
    <w:family w:val="roman"/>
    <w:notTrueType/>
    <w:pitch w:val="default"/>
  </w:font>
  <w:font w:name="Times New Roman Bold,SimSu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200" w:rsidRDefault="00302200">
      <w:r>
        <w:separator/>
      </w:r>
    </w:p>
  </w:footnote>
  <w:footnote w:type="continuationSeparator" w:id="0">
    <w:p w:rsidR="00302200" w:rsidRDefault="003022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200" w:rsidRDefault="0030220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200" w:rsidRDefault="00302200" w:rsidP="00D62884">
    <w:pPr>
      <w:pStyle w:val="Header"/>
      <w:ind w:right="360" w:firstLine="360"/>
    </w:pPr>
    <w:r>
      <w:rPr>
        <w:noProof/>
        <w:lang w:val="en-GB" w:eastAsia="zh-CN"/>
      </w:rPr>
      <w:drawing>
        <wp:anchor distT="0" distB="0" distL="114300" distR="114300" simplePos="0" relativeHeight="251659264" behindDoc="1" locked="0" layoutInCell="1" allowOverlap="1" wp14:anchorId="30F94AE6" wp14:editId="66BB27B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200" w:rsidRDefault="00302200"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21B8E">
      <w:rPr>
        <w:rStyle w:val="PageNumber"/>
        <w:b/>
        <w:bCs/>
        <w:noProof/>
      </w:rPr>
      <w:t>ii</w:t>
    </w:r>
    <w:r>
      <w:rPr>
        <w:rStyle w:val="PageNumber"/>
        <w:b/>
        <w:bCs/>
      </w:rPr>
      <w:fldChar w:fldCharType="end"/>
    </w:r>
    <w:r>
      <w:tab/>
    </w:r>
    <w:fldSimple w:instr=" DOCPROPERTY &quot;Header&quot; \* MERGEFORMAT ">
      <w:r w:rsidR="00521B8E" w:rsidRPr="00521B8E">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521B8E">
      <w:rPr>
        <w:b/>
        <w:bCs/>
        <w:noProof/>
      </w:rPr>
      <w:t>UIT-R  F.2113-0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200" w:rsidRDefault="00302200">
    <w:pPr>
      <w:pStyle w:val="Header"/>
    </w:pPr>
    <w:r>
      <w:tab/>
    </w:r>
    <w:fldSimple w:instr=" DOCPROPERTY &quot;Header&quot; \* MERGEFORMAT ">
      <w:r w:rsidR="00521B8E" w:rsidRPr="00521B8E">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521B8E">
      <w:rPr>
        <w:b/>
        <w:bCs/>
        <w:noProof/>
      </w:rPr>
      <w:t>UIT-R  F.2113-0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200" w:rsidRDefault="0030220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C4EEF">
      <w:rPr>
        <w:rStyle w:val="PageNumber"/>
        <w:b/>
        <w:bCs/>
        <w:noProof/>
        <w:lang w:val="en-US"/>
      </w:rPr>
      <w:t>6</w:t>
    </w:r>
    <w:r>
      <w:rPr>
        <w:rStyle w:val="PageNumber"/>
        <w:b/>
        <w:bCs/>
      </w:rPr>
      <w:fldChar w:fldCharType="end"/>
    </w:r>
    <w:r>
      <w:rPr>
        <w:lang w:val="en-US"/>
      </w:rPr>
      <w:tab/>
    </w:r>
    <w:fldSimple w:instr=" DOCPROPERTY &quot;Header&quot; \* MERGEFORMAT ">
      <w:r w:rsidR="00521B8E" w:rsidRPr="00521B8E">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1C4EEF">
      <w:rPr>
        <w:b/>
        <w:bCs/>
        <w:noProof/>
      </w:rPr>
      <w:t>UIT-R  F.2113-0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200" w:rsidRDefault="00302200">
    <w:pPr>
      <w:pStyle w:val="Header"/>
    </w:pPr>
    <w:r>
      <w:tab/>
    </w:r>
    <w:fldSimple w:instr=" DOCPROPERTY &quot;Header&quot; \* MERGEFORMAT ">
      <w:r w:rsidR="00521B8E" w:rsidRPr="00521B8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C4EEF">
      <w:rPr>
        <w:b/>
        <w:bCs/>
        <w:noProof/>
      </w:rPr>
      <w:t>UIT-R  F.2113-0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C4EEF">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968D2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A8D5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1435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AA602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C061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8C49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BE10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2A75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8F7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8E83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3B161E"/>
    <w:multiLevelType w:val="hybridMultilevel"/>
    <w:tmpl w:val="84923764"/>
    <w:lvl w:ilvl="0" w:tplc="D44E5E98">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4356934"/>
    <w:multiLevelType w:val="hybridMultilevel"/>
    <w:tmpl w:val="59765D82"/>
    <w:lvl w:ilvl="0" w:tplc="CE9CDC76">
      <w:start w:val="1"/>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92B36F5"/>
    <w:multiLevelType w:val="hybridMultilevel"/>
    <w:tmpl w:val="58C27112"/>
    <w:lvl w:ilvl="0" w:tplc="A03EDC2E">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5141FB"/>
    <w:multiLevelType w:val="hybridMultilevel"/>
    <w:tmpl w:val="F07EDB5A"/>
    <w:lvl w:ilvl="0" w:tplc="9B521FD0">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F7B6B89"/>
    <w:multiLevelType w:val="hybridMultilevel"/>
    <w:tmpl w:val="E1229558"/>
    <w:lvl w:ilvl="0" w:tplc="A6EC55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B261882"/>
    <w:multiLevelType w:val="hybridMultilevel"/>
    <w:tmpl w:val="B836A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AE01BA"/>
    <w:multiLevelType w:val="hybridMultilevel"/>
    <w:tmpl w:val="572247D8"/>
    <w:lvl w:ilvl="0" w:tplc="8DB60AD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25D5115"/>
    <w:multiLevelType w:val="multilevel"/>
    <w:tmpl w:val="F7A62720"/>
    <w:lvl w:ilvl="0">
      <w:start w:val="1"/>
      <w:numFmt w:val="decimal"/>
      <w:lvlText w:val="%1."/>
      <w:lvlJc w:val="left"/>
      <w:pPr>
        <w:ind w:left="324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34834B16"/>
    <w:multiLevelType w:val="hybridMultilevel"/>
    <w:tmpl w:val="404631BC"/>
    <w:lvl w:ilvl="0" w:tplc="E5CE9B3E">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7B409B9"/>
    <w:multiLevelType w:val="multilevel"/>
    <w:tmpl w:val="3FE82B80"/>
    <w:lvl w:ilvl="0">
      <w:start w:val="2"/>
      <w:numFmt w:val="decimal"/>
      <w:lvlText w:val="%1"/>
      <w:lvlJc w:val="left"/>
      <w:pPr>
        <w:ind w:left="360" w:hanging="360"/>
      </w:pPr>
      <w:rPr>
        <w:rFonts w:hint="default"/>
        <w:sz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48785B8B"/>
    <w:multiLevelType w:val="hybridMultilevel"/>
    <w:tmpl w:val="6750013A"/>
    <w:lvl w:ilvl="0" w:tplc="4C5609E8">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71404F1"/>
    <w:multiLevelType w:val="hybridMultilevel"/>
    <w:tmpl w:val="F4F04D88"/>
    <w:lvl w:ilvl="0" w:tplc="497EF61A">
      <w:start w:val="3"/>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C5E7F21"/>
    <w:multiLevelType w:val="hybridMultilevel"/>
    <w:tmpl w:val="D114ABA8"/>
    <w:lvl w:ilvl="0" w:tplc="5234FAB6">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EE863EA"/>
    <w:multiLevelType w:val="hybridMultilevel"/>
    <w:tmpl w:val="4530D736"/>
    <w:lvl w:ilvl="0" w:tplc="AE70ABF4">
      <w:start w:val="2"/>
      <w:numFmt w:val="bullet"/>
      <w:lvlText w:val="–"/>
      <w:lvlJc w:val="left"/>
      <w:pPr>
        <w:tabs>
          <w:tab w:val="num" w:pos="795"/>
        </w:tabs>
        <w:ind w:left="795" w:hanging="795"/>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2"/>
  </w:num>
  <w:num w:numId="2">
    <w:abstractNumId w:val="19"/>
  </w:num>
  <w:num w:numId="3">
    <w:abstractNumId w:val="15"/>
  </w:num>
  <w:num w:numId="4">
    <w:abstractNumId w:val="16"/>
  </w:num>
  <w:num w:numId="5">
    <w:abstractNumId w:val="17"/>
  </w:num>
  <w:num w:numId="6">
    <w:abstractNumId w:val="11"/>
  </w:num>
  <w:num w:numId="7">
    <w:abstractNumId w:val="24"/>
  </w:num>
  <w:num w:numId="8">
    <w:abstractNumId w:val="10"/>
  </w:num>
  <w:num w:numId="9">
    <w:abstractNumId w:val="14"/>
  </w:num>
  <w:num w:numId="10">
    <w:abstractNumId w:val="18"/>
  </w:num>
  <w:num w:numId="11">
    <w:abstractNumId w:val="23"/>
  </w:num>
  <w:num w:numId="12">
    <w:abstractNumId w:val="20"/>
  </w:num>
  <w:num w:numId="13">
    <w:abstractNumId w:val="22"/>
  </w:num>
  <w:num w:numId="14">
    <w:abstractNumId w:val="21"/>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676F3"/>
    <w:rsid w:val="000B169C"/>
    <w:rsid w:val="001B2938"/>
    <w:rsid w:val="001C4EEF"/>
    <w:rsid w:val="0027601E"/>
    <w:rsid w:val="002D76C4"/>
    <w:rsid w:val="00302200"/>
    <w:rsid w:val="00363835"/>
    <w:rsid w:val="004532F7"/>
    <w:rsid w:val="004D0BFD"/>
    <w:rsid w:val="00521B8E"/>
    <w:rsid w:val="00593832"/>
    <w:rsid w:val="005A6102"/>
    <w:rsid w:val="00604D06"/>
    <w:rsid w:val="00607D68"/>
    <w:rsid w:val="00643006"/>
    <w:rsid w:val="006B22C3"/>
    <w:rsid w:val="006C64BB"/>
    <w:rsid w:val="0070522D"/>
    <w:rsid w:val="0072152F"/>
    <w:rsid w:val="007307D9"/>
    <w:rsid w:val="007C7328"/>
    <w:rsid w:val="00834A65"/>
    <w:rsid w:val="00847DD5"/>
    <w:rsid w:val="008B517D"/>
    <w:rsid w:val="009A3628"/>
    <w:rsid w:val="009B5F1D"/>
    <w:rsid w:val="00A213C0"/>
    <w:rsid w:val="00A47C90"/>
    <w:rsid w:val="00A6617B"/>
    <w:rsid w:val="00AB0DC8"/>
    <w:rsid w:val="00B1717A"/>
    <w:rsid w:val="00B44E24"/>
    <w:rsid w:val="00B75AE8"/>
    <w:rsid w:val="00B900D5"/>
    <w:rsid w:val="00BF7841"/>
    <w:rsid w:val="00C13937"/>
    <w:rsid w:val="00C64A6E"/>
    <w:rsid w:val="00CA0934"/>
    <w:rsid w:val="00D15AAF"/>
    <w:rsid w:val="00D50E83"/>
    <w:rsid w:val="00D62884"/>
    <w:rsid w:val="00DC5C55"/>
    <w:rsid w:val="00DE3B53"/>
    <w:rsid w:val="00DF41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D7E942C5-21E3-49F9-A24D-1D194564C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AE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75AE8"/>
    <w:pPr>
      <w:keepNext/>
      <w:keepLines/>
      <w:spacing w:before="480"/>
      <w:ind w:left="794" w:hanging="794"/>
      <w:outlineLvl w:val="0"/>
    </w:pPr>
    <w:rPr>
      <w:b/>
    </w:rPr>
  </w:style>
  <w:style w:type="paragraph" w:styleId="Heading2">
    <w:name w:val="heading 2"/>
    <w:basedOn w:val="Heading1"/>
    <w:next w:val="Normal"/>
    <w:link w:val="Heading2Char"/>
    <w:qFormat/>
    <w:rsid w:val="00B75AE8"/>
    <w:pPr>
      <w:spacing w:before="320"/>
      <w:outlineLvl w:val="1"/>
    </w:pPr>
  </w:style>
  <w:style w:type="paragraph" w:styleId="Heading3">
    <w:name w:val="heading 3"/>
    <w:basedOn w:val="Heading1"/>
    <w:next w:val="Normal"/>
    <w:link w:val="Heading3Char"/>
    <w:qFormat/>
    <w:rsid w:val="00B75AE8"/>
    <w:pPr>
      <w:spacing w:before="200"/>
      <w:outlineLvl w:val="2"/>
    </w:pPr>
  </w:style>
  <w:style w:type="paragraph" w:styleId="Heading4">
    <w:name w:val="heading 4"/>
    <w:basedOn w:val="Heading3"/>
    <w:next w:val="Normal"/>
    <w:link w:val="Heading4Char"/>
    <w:qFormat/>
    <w:rsid w:val="00B75AE8"/>
    <w:pPr>
      <w:tabs>
        <w:tab w:val="clear" w:pos="794"/>
        <w:tab w:val="left" w:pos="992"/>
      </w:tabs>
      <w:ind w:left="992" w:hanging="992"/>
      <w:outlineLvl w:val="3"/>
    </w:pPr>
  </w:style>
  <w:style w:type="paragraph" w:styleId="Heading5">
    <w:name w:val="heading 5"/>
    <w:basedOn w:val="Heading4"/>
    <w:next w:val="Normal"/>
    <w:link w:val="Heading5Char"/>
    <w:qFormat/>
    <w:rsid w:val="00B75AE8"/>
    <w:pPr>
      <w:outlineLvl w:val="4"/>
    </w:pPr>
  </w:style>
  <w:style w:type="paragraph" w:styleId="Heading6">
    <w:name w:val="heading 6"/>
    <w:basedOn w:val="Heading4"/>
    <w:next w:val="Normal"/>
    <w:link w:val="Heading6Char"/>
    <w:qFormat/>
    <w:rsid w:val="00B75AE8"/>
    <w:pPr>
      <w:tabs>
        <w:tab w:val="clear" w:pos="992"/>
        <w:tab w:val="clear" w:pos="1191"/>
      </w:tabs>
      <w:ind w:left="1588" w:hanging="1588"/>
      <w:outlineLvl w:val="5"/>
    </w:pPr>
  </w:style>
  <w:style w:type="paragraph" w:styleId="Heading7">
    <w:name w:val="heading 7"/>
    <w:basedOn w:val="Heading6"/>
    <w:next w:val="Normal"/>
    <w:link w:val="Heading7Char"/>
    <w:qFormat/>
    <w:rsid w:val="00B75AE8"/>
    <w:pPr>
      <w:outlineLvl w:val="6"/>
    </w:pPr>
  </w:style>
  <w:style w:type="paragraph" w:styleId="Heading8">
    <w:name w:val="heading 8"/>
    <w:basedOn w:val="Heading6"/>
    <w:next w:val="Normal"/>
    <w:link w:val="Heading8Char"/>
    <w:qFormat/>
    <w:rsid w:val="00B75AE8"/>
    <w:pPr>
      <w:outlineLvl w:val="7"/>
    </w:pPr>
  </w:style>
  <w:style w:type="paragraph" w:styleId="Heading9">
    <w:name w:val="heading 9"/>
    <w:basedOn w:val="Heading6"/>
    <w:next w:val="Normal"/>
    <w:link w:val="Heading9Char"/>
    <w:qFormat/>
    <w:rsid w:val="00B75AE8"/>
    <w:pPr>
      <w:jc w:val="left"/>
      <w:outlineLvl w:val="8"/>
    </w:pPr>
  </w:style>
  <w:style w:type="character" w:default="1" w:styleId="DefaultParagraphFont">
    <w:name w:val="Default Paragraph Font"/>
    <w:uiPriority w:val="1"/>
    <w:semiHidden/>
    <w:unhideWhenUsed/>
    <w:rsid w:val="00B75AE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75AE8"/>
  </w:style>
  <w:style w:type="paragraph" w:styleId="Header">
    <w:name w:val="header"/>
    <w:basedOn w:val="Normal"/>
    <w:link w:val="HeaderChar"/>
    <w:rsid w:val="00B75AE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75AE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75AE8"/>
  </w:style>
  <w:style w:type="paragraph" w:customStyle="1" w:styleId="Headingb">
    <w:name w:val="Heading_b"/>
    <w:basedOn w:val="Heading3"/>
    <w:next w:val="Normal"/>
    <w:link w:val="HeadingbChar"/>
    <w:rsid w:val="00B75AE8"/>
    <w:pPr>
      <w:spacing w:before="160"/>
      <w:ind w:left="0" w:firstLine="0"/>
      <w:outlineLvl w:val="9"/>
    </w:pPr>
  </w:style>
  <w:style w:type="paragraph" w:customStyle="1" w:styleId="Headingi">
    <w:name w:val="Heading_i"/>
    <w:basedOn w:val="Heading3"/>
    <w:next w:val="Normal"/>
    <w:rsid w:val="00B75AE8"/>
    <w:pPr>
      <w:spacing w:before="160"/>
      <w:ind w:left="0" w:firstLine="0"/>
    </w:pPr>
    <w:rPr>
      <w:b w:val="0"/>
      <w:i/>
    </w:rPr>
  </w:style>
  <w:style w:type="character" w:customStyle="1" w:styleId="href">
    <w:name w:val="href"/>
    <w:basedOn w:val="DefaultParagraphFont"/>
    <w:rsid w:val="00B75AE8"/>
  </w:style>
  <w:style w:type="paragraph" w:customStyle="1" w:styleId="enumlev1">
    <w:name w:val="enumlev1"/>
    <w:basedOn w:val="Normal"/>
    <w:link w:val="enumlev1Char"/>
    <w:rsid w:val="00B75AE8"/>
    <w:pPr>
      <w:spacing w:before="80"/>
      <w:ind w:left="794" w:hanging="794"/>
    </w:pPr>
  </w:style>
  <w:style w:type="paragraph" w:customStyle="1" w:styleId="enumlev2">
    <w:name w:val="enumlev2"/>
    <w:basedOn w:val="enumlev1"/>
    <w:rsid w:val="00B75AE8"/>
    <w:pPr>
      <w:ind w:left="1191" w:hanging="397"/>
    </w:pPr>
  </w:style>
  <w:style w:type="paragraph" w:customStyle="1" w:styleId="enumlev3">
    <w:name w:val="enumlev3"/>
    <w:basedOn w:val="enumlev2"/>
    <w:rsid w:val="00B75AE8"/>
    <w:pPr>
      <w:ind w:left="1588"/>
    </w:pPr>
  </w:style>
  <w:style w:type="paragraph" w:customStyle="1" w:styleId="Normalaftertitle">
    <w:name w:val="Normal_after_title"/>
    <w:basedOn w:val="Normal"/>
    <w:next w:val="Normal"/>
    <w:link w:val="NormalaftertitleChar"/>
    <w:rsid w:val="00B75AE8"/>
    <w:pPr>
      <w:spacing w:before="320"/>
    </w:pPr>
  </w:style>
  <w:style w:type="paragraph" w:customStyle="1" w:styleId="Note">
    <w:name w:val="Note"/>
    <w:basedOn w:val="Normal"/>
    <w:rsid w:val="00B75AE8"/>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75AE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75AE8"/>
    <w:pPr>
      <w:spacing w:before="240"/>
    </w:pPr>
    <w:rPr>
      <w:sz w:val="22"/>
      <w:lang w:val="es-ES_tradnl"/>
    </w:rPr>
  </w:style>
  <w:style w:type="paragraph" w:customStyle="1" w:styleId="Recref">
    <w:name w:val="Rec_ref"/>
    <w:basedOn w:val="Normal"/>
    <w:next w:val="Recdate"/>
    <w:rsid w:val="00B75AE8"/>
    <w:pPr>
      <w:jc w:val="center"/>
    </w:pPr>
  </w:style>
  <w:style w:type="paragraph" w:customStyle="1" w:styleId="Recdate">
    <w:name w:val="Rec_date"/>
    <w:basedOn w:val="Recref"/>
    <w:next w:val="Normalaftertitle"/>
    <w:rsid w:val="00B75AE8"/>
    <w:pPr>
      <w:jc w:val="right"/>
    </w:pPr>
  </w:style>
  <w:style w:type="paragraph" w:customStyle="1" w:styleId="AnnexNoTitle">
    <w:name w:val="Annex_NoTitle"/>
    <w:basedOn w:val="Normal"/>
    <w:next w:val="Normalaftertitle"/>
    <w:link w:val="AnnexNoTitleChar"/>
    <w:rsid w:val="00B75AE8"/>
    <w:pPr>
      <w:keepNext/>
      <w:keepLines/>
      <w:spacing w:before="480" w:after="80"/>
      <w:jc w:val="center"/>
    </w:pPr>
    <w:rPr>
      <w:b/>
      <w:sz w:val="28"/>
    </w:rPr>
  </w:style>
  <w:style w:type="paragraph" w:customStyle="1" w:styleId="AppendixNoTitle">
    <w:name w:val="Appendix_NoTitle"/>
    <w:basedOn w:val="AnnexNoTitle"/>
    <w:next w:val="Normal"/>
    <w:rsid w:val="00B75AE8"/>
  </w:style>
  <w:style w:type="paragraph" w:customStyle="1" w:styleId="Tablefin">
    <w:name w:val="Table_fin"/>
    <w:basedOn w:val="Normal"/>
    <w:next w:val="Normal"/>
    <w:rsid w:val="00B75AE8"/>
    <w:pPr>
      <w:spacing w:before="0"/>
    </w:pPr>
    <w:rPr>
      <w:sz w:val="20"/>
      <w:lang w:val="en-GB"/>
    </w:rPr>
  </w:style>
  <w:style w:type="paragraph" w:customStyle="1" w:styleId="Tablehead">
    <w:name w:val="Table_head"/>
    <w:basedOn w:val="Normal"/>
    <w:next w:val="Normal"/>
    <w:link w:val="TableheadChar"/>
    <w:rsid w:val="00B75AE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75A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B75AE8"/>
    <w:pPr>
      <w:keepNext/>
      <w:spacing w:before="360" w:after="120"/>
      <w:jc w:val="center"/>
    </w:pPr>
  </w:style>
  <w:style w:type="paragraph" w:customStyle="1" w:styleId="Tabletext">
    <w:name w:val="Table_text"/>
    <w:basedOn w:val="Normal"/>
    <w:link w:val="TabletextChar"/>
    <w:rsid w:val="00B75A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75AE8"/>
    <w:pPr>
      <w:tabs>
        <w:tab w:val="clear" w:pos="1191"/>
        <w:tab w:val="clear" w:pos="1588"/>
        <w:tab w:val="clear" w:pos="1985"/>
        <w:tab w:val="center" w:pos="4820"/>
        <w:tab w:val="right" w:pos="9639"/>
      </w:tabs>
    </w:pPr>
  </w:style>
  <w:style w:type="paragraph" w:customStyle="1" w:styleId="Equationlegend">
    <w:name w:val="Equation_legend"/>
    <w:basedOn w:val="NormalIndent"/>
    <w:rsid w:val="00B75AE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75AE8"/>
    <w:pPr>
      <w:ind w:left="794"/>
    </w:pPr>
  </w:style>
  <w:style w:type="paragraph" w:customStyle="1" w:styleId="Figurelegend">
    <w:name w:val="Figure_legend"/>
    <w:basedOn w:val="Normal"/>
    <w:rsid w:val="00B75AE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75AE8"/>
    <w:pPr>
      <w:keepNext/>
      <w:keepLines/>
      <w:spacing w:before="480" w:after="80"/>
      <w:jc w:val="center"/>
    </w:pPr>
    <w:rPr>
      <w:caps/>
      <w:sz w:val="18"/>
    </w:rPr>
  </w:style>
  <w:style w:type="paragraph" w:customStyle="1" w:styleId="tocpart">
    <w:name w:val="tocpart"/>
    <w:basedOn w:val="Normal"/>
    <w:rsid w:val="00B75AE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75AE8"/>
    <w:pPr>
      <w:keepNext/>
      <w:keepLines/>
      <w:spacing w:before="480"/>
      <w:jc w:val="center"/>
    </w:pPr>
    <w:rPr>
      <w:sz w:val="28"/>
    </w:rPr>
  </w:style>
  <w:style w:type="paragraph" w:customStyle="1" w:styleId="Arttitle">
    <w:name w:val="Art_title"/>
    <w:basedOn w:val="Normal"/>
    <w:next w:val="Normalaftertitle"/>
    <w:rsid w:val="00B75AE8"/>
    <w:pPr>
      <w:keepNext/>
      <w:keepLines/>
      <w:spacing w:before="240"/>
      <w:jc w:val="center"/>
    </w:pPr>
    <w:rPr>
      <w:b/>
      <w:sz w:val="28"/>
    </w:rPr>
  </w:style>
  <w:style w:type="paragraph" w:customStyle="1" w:styleId="Blanc">
    <w:name w:val="Blanc"/>
    <w:basedOn w:val="Normal"/>
    <w:next w:val="Tabletext"/>
    <w:rsid w:val="00B75AE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75AE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75AE8"/>
    <w:pPr>
      <w:keepNext/>
      <w:keepLines/>
      <w:spacing w:before="160"/>
      <w:ind w:left="794"/>
    </w:pPr>
    <w:rPr>
      <w:i/>
    </w:rPr>
  </w:style>
  <w:style w:type="paragraph" w:customStyle="1" w:styleId="ChapNo">
    <w:name w:val="Chap_No"/>
    <w:basedOn w:val="ArtNo"/>
    <w:next w:val="Chaptitle"/>
    <w:rsid w:val="00B75AE8"/>
    <w:rPr>
      <w:b/>
    </w:rPr>
  </w:style>
  <w:style w:type="paragraph" w:customStyle="1" w:styleId="Chaptitle">
    <w:name w:val="Chap_title"/>
    <w:basedOn w:val="Arttitle"/>
    <w:next w:val="Normalaftertitle"/>
    <w:rsid w:val="00B75AE8"/>
  </w:style>
  <w:style w:type="character" w:styleId="FootnoteReference">
    <w:name w:val="footnote reference"/>
    <w:basedOn w:val="DefaultParagraphFont"/>
    <w:rsid w:val="00B75AE8"/>
    <w:rPr>
      <w:position w:val="6"/>
      <w:sz w:val="18"/>
    </w:rPr>
  </w:style>
  <w:style w:type="paragraph" w:styleId="FootnoteText">
    <w:name w:val="footnote text"/>
    <w:basedOn w:val="Normal"/>
    <w:link w:val="FootnoteTextChar"/>
    <w:rsid w:val="00B75AE8"/>
    <w:pPr>
      <w:keepLines/>
      <w:tabs>
        <w:tab w:val="left" w:pos="255"/>
      </w:tabs>
      <w:ind w:left="255" w:hanging="255"/>
    </w:pPr>
    <w:rPr>
      <w:sz w:val="22"/>
    </w:rPr>
  </w:style>
  <w:style w:type="paragraph" w:styleId="Index1">
    <w:name w:val="index 1"/>
    <w:basedOn w:val="Normal"/>
    <w:next w:val="Normal"/>
    <w:semiHidden/>
    <w:rsid w:val="00B75AE8"/>
  </w:style>
  <w:style w:type="paragraph" w:styleId="Index2">
    <w:name w:val="index 2"/>
    <w:basedOn w:val="Normal"/>
    <w:next w:val="Normal"/>
    <w:semiHidden/>
    <w:rsid w:val="00B75AE8"/>
    <w:pPr>
      <w:ind w:left="283"/>
    </w:pPr>
  </w:style>
  <w:style w:type="paragraph" w:styleId="Index3">
    <w:name w:val="index 3"/>
    <w:basedOn w:val="Normal"/>
    <w:next w:val="Normal"/>
    <w:semiHidden/>
    <w:rsid w:val="00B75AE8"/>
    <w:pPr>
      <w:ind w:left="566"/>
    </w:pPr>
  </w:style>
  <w:style w:type="paragraph" w:styleId="IndexHeading">
    <w:name w:val="index heading"/>
    <w:basedOn w:val="Normal"/>
    <w:next w:val="Index1"/>
    <w:rsid w:val="00B75AE8"/>
  </w:style>
  <w:style w:type="paragraph" w:customStyle="1" w:styleId="Line">
    <w:name w:val="Line"/>
    <w:basedOn w:val="Normal"/>
    <w:next w:val="Normal"/>
    <w:rsid w:val="00B75AE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75AE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75AE8"/>
  </w:style>
  <w:style w:type="paragraph" w:customStyle="1" w:styleId="Partref">
    <w:name w:val="Part_ref"/>
    <w:basedOn w:val="Normal"/>
    <w:next w:val="Normal"/>
    <w:rsid w:val="00B75AE8"/>
    <w:pPr>
      <w:keepNext/>
      <w:keepLines/>
      <w:spacing w:after="280"/>
      <w:jc w:val="center"/>
    </w:pPr>
  </w:style>
  <w:style w:type="paragraph" w:customStyle="1" w:styleId="Parttitle">
    <w:name w:val="Part_title"/>
    <w:basedOn w:val="Normal"/>
    <w:next w:val="Normalaftertitle"/>
    <w:rsid w:val="00B75AE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75AE8"/>
  </w:style>
  <w:style w:type="paragraph" w:customStyle="1" w:styleId="QuestionNo">
    <w:name w:val="Question_No"/>
    <w:basedOn w:val="RecNo"/>
    <w:next w:val="Normal"/>
    <w:rsid w:val="00B75AE8"/>
  </w:style>
  <w:style w:type="paragraph" w:customStyle="1" w:styleId="Questionref">
    <w:name w:val="Question_ref"/>
    <w:basedOn w:val="Recref"/>
    <w:next w:val="Questiondate"/>
    <w:rsid w:val="00B75AE8"/>
  </w:style>
  <w:style w:type="paragraph" w:customStyle="1" w:styleId="Questiontitle">
    <w:name w:val="Question_title"/>
    <w:basedOn w:val="Normal"/>
    <w:next w:val="Questionref"/>
    <w:rsid w:val="00B75AE8"/>
  </w:style>
  <w:style w:type="paragraph" w:customStyle="1" w:styleId="Reftext">
    <w:name w:val="Ref_text"/>
    <w:basedOn w:val="Normal"/>
    <w:rsid w:val="00B75AE8"/>
    <w:pPr>
      <w:ind w:left="794" w:hanging="794"/>
    </w:pPr>
    <w:rPr>
      <w:sz w:val="22"/>
    </w:rPr>
  </w:style>
  <w:style w:type="paragraph" w:customStyle="1" w:styleId="Reftitle">
    <w:name w:val="Ref_title"/>
    <w:basedOn w:val="Normal"/>
    <w:next w:val="Reftext"/>
    <w:rsid w:val="00B75AE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75AE8"/>
  </w:style>
  <w:style w:type="paragraph" w:customStyle="1" w:styleId="RepNo">
    <w:name w:val="Rep_No"/>
    <w:basedOn w:val="RecNo"/>
    <w:next w:val="Reptitle"/>
    <w:rsid w:val="00B75AE8"/>
  </w:style>
  <w:style w:type="paragraph" w:customStyle="1" w:styleId="Repref">
    <w:name w:val="Rep_ref"/>
    <w:basedOn w:val="Recref"/>
    <w:next w:val="Repdate"/>
    <w:rsid w:val="00B75AE8"/>
  </w:style>
  <w:style w:type="paragraph" w:customStyle="1" w:styleId="Reptitle">
    <w:name w:val="Rep_title"/>
    <w:basedOn w:val="Rectitle"/>
    <w:next w:val="Repref"/>
    <w:rsid w:val="00B75AE8"/>
  </w:style>
  <w:style w:type="paragraph" w:customStyle="1" w:styleId="Resdate">
    <w:name w:val="Res_date"/>
    <w:basedOn w:val="Recdate"/>
    <w:next w:val="Normalaftertitle"/>
    <w:rsid w:val="00B75AE8"/>
  </w:style>
  <w:style w:type="paragraph" w:customStyle="1" w:styleId="ResNo">
    <w:name w:val="Res_No"/>
    <w:basedOn w:val="RecNo"/>
    <w:next w:val="Restitle"/>
    <w:rsid w:val="00B75AE8"/>
  </w:style>
  <w:style w:type="paragraph" w:customStyle="1" w:styleId="Resref">
    <w:name w:val="Res_ref"/>
    <w:basedOn w:val="Recref"/>
    <w:next w:val="Resdate"/>
    <w:rsid w:val="00B75AE8"/>
  </w:style>
  <w:style w:type="paragraph" w:customStyle="1" w:styleId="Restitle">
    <w:name w:val="Res_title"/>
    <w:basedOn w:val="Normal"/>
    <w:next w:val="Resref"/>
    <w:rsid w:val="00B75AE8"/>
    <w:pPr>
      <w:spacing w:before="240"/>
      <w:jc w:val="center"/>
    </w:pPr>
    <w:rPr>
      <w:b/>
      <w:sz w:val="28"/>
    </w:rPr>
  </w:style>
  <w:style w:type="paragraph" w:customStyle="1" w:styleId="SectionNo">
    <w:name w:val="Section_No"/>
    <w:basedOn w:val="Normal"/>
    <w:next w:val="Normal"/>
    <w:rsid w:val="00B75AE8"/>
  </w:style>
  <w:style w:type="paragraph" w:customStyle="1" w:styleId="Sectiontitle">
    <w:name w:val="Section_title"/>
    <w:basedOn w:val="Normal"/>
    <w:next w:val="Normalaftertitle"/>
    <w:rsid w:val="00B75AE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75AE8"/>
    <w:pPr>
      <w:tabs>
        <w:tab w:val="clear" w:pos="794"/>
        <w:tab w:val="clear" w:pos="1191"/>
        <w:tab w:val="clear" w:pos="1588"/>
        <w:tab w:val="clear" w:pos="1985"/>
        <w:tab w:val="right" w:pos="9611"/>
      </w:tabs>
    </w:pPr>
    <w:rPr>
      <w:i/>
    </w:rPr>
  </w:style>
  <w:style w:type="paragraph" w:styleId="TOC1">
    <w:name w:val="toc 1"/>
    <w:basedOn w:val="Normal"/>
    <w:rsid w:val="00B75AE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75AE8"/>
    <w:pPr>
      <w:tabs>
        <w:tab w:val="clear" w:pos="567"/>
        <w:tab w:val="left" w:pos="1276"/>
      </w:tabs>
      <w:spacing w:before="160"/>
      <w:ind w:left="1276" w:hanging="709"/>
    </w:pPr>
  </w:style>
  <w:style w:type="paragraph" w:styleId="TOC3">
    <w:name w:val="toc 3"/>
    <w:basedOn w:val="TOC2"/>
    <w:rsid w:val="00B75AE8"/>
    <w:pPr>
      <w:tabs>
        <w:tab w:val="clear" w:pos="1276"/>
        <w:tab w:val="left" w:pos="2155"/>
      </w:tabs>
      <w:ind w:left="2155" w:hanging="879"/>
    </w:pPr>
  </w:style>
  <w:style w:type="paragraph" w:styleId="TOC4">
    <w:name w:val="toc 4"/>
    <w:basedOn w:val="TOC3"/>
    <w:rsid w:val="00B75AE8"/>
    <w:pPr>
      <w:tabs>
        <w:tab w:val="left" w:pos="3261"/>
      </w:tabs>
      <w:spacing w:before="80"/>
      <w:ind w:left="3261" w:hanging="993"/>
    </w:pPr>
  </w:style>
  <w:style w:type="paragraph" w:styleId="TOC5">
    <w:name w:val="toc 5"/>
    <w:basedOn w:val="TOC4"/>
    <w:rsid w:val="00B75AE8"/>
  </w:style>
  <w:style w:type="paragraph" w:styleId="TOC6">
    <w:name w:val="toc 6"/>
    <w:basedOn w:val="TOC4"/>
    <w:rsid w:val="00B75AE8"/>
  </w:style>
  <w:style w:type="paragraph" w:styleId="TOC7">
    <w:name w:val="toc 7"/>
    <w:basedOn w:val="TOC4"/>
    <w:rsid w:val="00B75AE8"/>
  </w:style>
  <w:style w:type="paragraph" w:styleId="TOC8">
    <w:name w:val="toc 8"/>
    <w:basedOn w:val="TOC4"/>
    <w:rsid w:val="00B75AE8"/>
  </w:style>
  <w:style w:type="paragraph" w:customStyle="1" w:styleId="Rectitle">
    <w:name w:val="Rec_title"/>
    <w:basedOn w:val="Normal"/>
    <w:next w:val="Recref"/>
    <w:rsid w:val="00B75AE8"/>
    <w:pPr>
      <w:keepNext/>
      <w:keepLines/>
      <w:spacing w:before="240"/>
      <w:jc w:val="center"/>
    </w:pPr>
    <w:rPr>
      <w:b/>
      <w:sz w:val="28"/>
    </w:rPr>
  </w:style>
  <w:style w:type="paragraph" w:customStyle="1" w:styleId="Annexref">
    <w:name w:val="Annex_ref"/>
    <w:basedOn w:val="Normal"/>
    <w:next w:val="Normalaftertitle"/>
    <w:rsid w:val="00B75AE8"/>
    <w:pPr>
      <w:keepNext/>
      <w:keepLines/>
      <w:spacing w:after="280"/>
      <w:jc w:val="center"/>
    </w:pPr>
  </w:style>
  <w:style w:type="paragraph" w:customStyle="1" w:styleId="Appendixref">
    <w:name w:val="Appendix_ref"/>
    <w:basedOn w:val="Annexref"/>
    <w:next w:val="Normalaftertitle"/>
    <w:rsid w:val="00B75AE8"/>
  </w:style>
  <w:style w:type="paragraph" w:customStyle="1" w:styleId="Figuretitle">
    <w:name w:val="Figure_title"/>
    <w:basedOn w:val="Normal"/>
    <w:next w:val="Figure"/>
    <w:link w:val="FiguretitleChar"/>
    <w:rsid w:val="00B75AE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75AE8"/>
    <w:pPr>
      <w:keepNext/>
      <w:spacing w:before="0" w:after="120"/>
      <w:jc w:val="center"/>
    </w:pPr>
    <w:rPr>
      <w:b/>
    </w:rPr>
  </w:style>
  <w:style w:type="paragraph" w:customStyle="1" w:styleId="Summary">
    <w:name w:val="Summary"/>
    <w:basedOn w:val="Normal"/>
    <w:next w:val="Normalaftertitle"/>
    <w:link w:val="SummaryChar"/>
    <w:autoRedefine/>
    <w:rsid w:val="00B75AE8"/>
    <w:pPr>
      <w:spacing w:after="480"/>
    </w:pPr>
    <w:rPr>
      <w:sz w:val="22"/>
      <w:lang w:val="es-ES_tradnl"/>
    </w:rPr>
  </w:style>
  <w:style w:type="character" w:styleId="Hyperlink">
    <w:name w:val="Hyperlink"/>
    <w:aliases w:val="CEO_Hyperlink"/>
    <w:basedOn w:val="DefaultParagraphFont"/>
    <w:uiPriority w:val="99"/>
    <w:rsid w:val="00B1717A"/>
    <w:rPr>
      <w:color w:val="0000FF"/>
      <w:u w:val="single"/>
    </w:rPr>
  </w:style>
  <w:style w:type="paragraph" w:customStyle="1" w:styleId="Figure">
    <w:name w:val="Figure"/>
    <w:basedOn w:val="FigureNo"/>
    <w:next w:val="Normal"/>
    <w:rsid w:val="00B75AE8"/>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B75AE8"/>
    <w:pPr>
      <w:ind w:left="-85" w:firstLine="0"/>
    </w:pPr>
    <w:rPr>
      <w:lang w:val="en-US"/>
    </w:rPr>
  </w:style>
  <w:style w:type="character" w:customStyle="1" w:styleId="Heading1Char">
    <w:name w:val="Heading 1 Char"/>
    <w:basedOn w:val="DefaultParagraphFont"/>
    <w:link w:val="Heading1"/>
    <w:rsid w:val="000B169C"/>
    <w:rPr>
      <w:b/>
      <w:sz w:val="24"/>
      <w:lang w:val="fr-FR" w:eastAsia="en-US"/>
    </w:rPr>
  </w:style>
  <w:style w:type="character" w:customStyle="1" w:styleId="Heading2Char">
    <w:name w:val="Heading 2 Char"/>
    <w:basedOn w:val="DefaultParagraphFont"/>
    <w:link w:val="Heading2"/>
    <w:locked/>
    <w:rsid w:val="000B169C"/>
    <w:rPr>
      <w:b/>
      <w:sz w:val="24"/>
      <w:lang w:val="fr-FR" w:eastAsia="en-US"/>
    </w:rPr>
  </w:style>
  <w:style w:type="character" w:customStyle="1" w:styleId="Heading3Char">
    <w:name w:val="Heading 3 Char"/>
    <w:basedOn w:val="DefaultParagraphFont"/>
    <w:link w:val="Heading3"/>
    <w:locked/>
    <w:rsid w:val="000B169C"/>
    <w:rPr>
      <w:b/>
      <w:sz w:val="24"/>
      <w:lang w:val="fr-FR" w:eastAsia="en-US"/>
    </w:rPr>
  </w:style>
  <w:style w:type="character" w:customStyle="1" w:styleId="Heading4Char">
    <w:name w:val="Heading 4 Char"/>
    <w:basedOn w:val="DefaultParagraphFont"/>
    <w:link w:val="Heading4"/>
    <w:locked/>
    <w:rsid w:val="000B169C"/>
    <w:rPr>
      <w:b/>
      <w:sz w:val="24"/>
      <w:lang w:val="fr-FR" w:eastAsia="en-US"/>
    </w:rPr>
  </w:style>
  <w:style w:type="character" w:customStyle="1" w:styleId="Heading5Char">
    <w:name w:val="Heading 5 Char"/>
    <w:basedOn w:val="DefaultParagraphFont"/>
    <w:link w:val="Heading5"/>
    <w:locked/>
    <w:rsid w:val="000B169C"/>
    <w:rPr>
      <w:b/>
      <w:sz w:val="24"/>
      <w:lang w:val="fr-FR" w:eastAsia="en-US"/>
    </w:rPr>
  </w:style>
  <w:style w:type="character" w:customStyle="1" w:styleId="Heading6Char">
    <w:name w:val="Heading 6 Char"/>
    <w:basedOn w:val="DefaultParagraphFont"/>
    <w:link w:val="Heading6"/>
    <w:locked/>
    <w:rsid w:val="000B169C"/>
    <w:rPr>
      <w:b/>
      <w:sz w:val="24"/>
      <w:lang w:val="fr-FR" w:eastAsia="en-US"/>
    </w:rPr>
  </w:style>
  <w:style w:type="character" w:customStyle="1" w:styleId="Heading7Char">
    <w:name w:val="Heading 7 Char"/>
    <w:basedOn w:val="DefaultParagraphFont"/>
    <w:link w:val="Heading7"/>
    <w:locked/>
    <w:rsid w:val="000B169C"/>
    <w:rPr>
      <w:b/>
      <w:sz w:val="24"/>
      <w:lang w:val="fr-FR" w:eastAsia="en-US"/>
    </w:rPr>
  </w:style>
  <w:style w:type="character" w:customStyle="1" w:styleId="Heading8Char">
    <w:name w:val="Heading 8 Char"/>
    <w:basedOn w:val="DefaultParagraphFont"/>
    <w:link w:val="Heading8"/>
    <w:locked/>
    <w:rsid w:val="000B169C"/>
    <w:rPr>
      <w:b/>
      <w:sz w:val="24"/>
      <w:lang w:val="fr-FR" w:eastAsia="en-US"/>
    </w:rPr>
  </w:style>
  <w:style w:type="character" w:customStyle="1" w:styleId="Heading9Char">
    <w:name w:val="Heading 9 Char"/>
    <w:basedOn w:val="DefaultParagraphFont"/>
    <w:link w:val="Heading9"/>
    <w:locked/>
    <w:rsid w:val="000B169C"/>
    <w:rPr>
      <w:b/>
      <w:sz w:val="24"/>
      <w:lang w:val="fr-FR" w:eastAsia="en-US"/>
    </w:rPr>
  </w:style>
  <w:style w:type="character" w:customStyle="1" w:styleId="HeaderChar">
    <w:name w:val="Header Char"/>
    <w:basedOn w:val="DefaultParagraphFont"/>
    <w:link w:val="Header"/>
    <w:rsid w:val="000B169C"/>
    <w:rPr>
      <w:sz w:val="24"/>
      <w:lang w:val="fr-FR" w:eastAsia="en-US"/>
    </w:rPr>
  </w:style>
  <w:style w:type="character" w:customStyle="1" w:styleId="FooterChar">
    <w:name w:val="Footer Char"/>
    <w:basedOn w:val="DefaultParagraphFont"/>
    <w:link w:val="Footer"/>
    <w:rsid w:val="000B169C"/>
    <w:rPr>
      <w:noProof/>
      <w:sz w:val="18"/>
      <w:lang w:val="fr-FR" w:eastAsia="en-US"/>
    </w:rPr>
  </w:style>
  <w:style w:type="character" w:customStyle="1" w:styleId="enumlev1Char">
    <w:name w:val="enumlev1 Char"/>
    <w:basedOn w:val="DefaultParagraphFont"/>
    <w:link w:val="enumlev1"/>
    <w:locked/>
    <w:rsid w:val="000B169C"/>
    <w:rPr>
      <w:sz w:val="24"/>
      <w:lang w:val="fr-FR" w:eastAsia="en-US"/>
    </w:rPr>
  </w:style>
  <w:style w:type="character" w:customStyle="1" w:styleId="NormalaftertitleChar">
    <w:name w:val="Normal_after_title Char"/>
    <w:basedOn w:val="DefaultParagraphFont"/>
    <w:link w:val="Normalaftertitle"/>
    <w:locked/>
    <w:rsid w:val="000B169C"/>
    <w:rPr>
      <w:sz w:val="24"/>
      <w:lang w:val="fr-FR" w:eastAsia="en-US"/>
    </w:rPr>
  </w:style>
  <w:style w:type="character" w:customStyle="1" w:styleId="RecNoChar">
    <w:name w:val="Rec_No Char"/>
    <w:basedOn w:val="DefaultParagraphFont"/>
    <w:link w:val="RecNo"/>
    <w:rsid w:val="000B169C"/>
    <w:rPr>
      <w:sz w:val="28"/>
      <w:lang w:val="fr-FR" w:eastAsia="en-US"/>
    </w:rPr>
  </w:style>
  <w:style w:type="character" w:customStyle="1" w:styleId="AnnexNoTitleChar">
    <w:name w:val="Annex_NoTitle Char"/>
    <w:basedOn w:val="DefaultParagraphFont"/>
    <w:link w:val="AnnexNoTitle"/>
    <w:locked/>
    <w:rsid w:val="000B169C"/>
    <w:rPr>
      <w:b/>
      <w:sz w:val="28"/>
      <w:lang w:val="fr-FR" w:eastAsia="en-US"/>
    </w:rPr>
  </w:style>
  <w:style w:type="character" w:customStyle="1" w:styleId="TableheadChar">
    <w:name w:val="Table_head Char"/>
    <w:link w:val="Tablehead"/>
    <w:locked/>
    <w:rsid w:val="000B169C"/>
    <w:rPr>
      <w:b/>
      <w:sz w:val="22"/>
      <w:lang w:val="fr-FR" w:eastAsia="en-US"/>
    </w:rPr>
  </w:style>
  <w:style w:type="character" w:customStyle="1" w:styleId="TableNo0">
    <w:name w:val="Table_No Знак"/>
    <w:basedOn w:val="DefaultParagraphFont"/>
    <w:link w:val="TableNo"/>
    <w:locked/>
    <w:rsid w:val="000B169C"/>
    <w:rPr>
      <w:sz w:val="24"/>
      <w:lang w:val="fr-FR" w:eastAsia="en-US"/>
    </w:rPr>
  </w:style>
  <w:style w:type="character" w:customStyle="1" w:styleId="TabletextChar">
    <w:name w:val="Table_text Char"/>
    <w:basedOn w:val="DefaultParagraphFont"/>
    <w:link w:val="Tabletext"/>
    <w:locked/>
    <w:rsid w:val="000B169C"/>
    <w:rPr>
      <w:sz w:val="22"/>
      <w:lang w:val="fr-FR" w:eastAsia="en-US"/>
    </w:rPr>
  </w:style>
  <w:style w:type="character" w:customStyle="1" w:styleId="EquationChar">
    <w:name w:val="Equation Char"/>
    <w:basedOn w:val="DefaultParagraphFont"/>
    <w:link w:val="Equation"/>
    <w:locked/>
    <w:rsid w:val="000B169C"/>
    <w:rPr>
      <w:sz w:val="24"/>
      <w:lang w:val="fr-FR" w:eastAsia="en-US"/>
    </w:rPr>
  </w:style>
  <w:style w:type="character" w:customStyle="1" w:styleId="FiguretitleChar">
    <w:name w:val="Figure_title Char"/>
    <w:basedOn w:val="DefaultParagraphFont"/>
    <w:link w:val="Figuretitle"/>
    <w:locked/>
    <w:rsid w:val="000B169C"/>
    <w:rPr>
      <w:rFonts w:ascii="Times New Roman Bold" w:hAnsi="Times New Roman Bold"/>
      <w:b/>
      <w:sz w:val="18"/>
      <w:lang w:val="fr-FR" w:eastAsia="en-US"/>
    </w:rPr>
  </w:style>
  <w:style w:type="character" w:customStyle="1" w:styleId="FigureNoChar">
    <w:name w:val="Figure_No Char"/>
    <w:basedOn w:val="DefaultParagraphFont"/>
    <w:link w:val="FigureNo"/>
    <w:locked/>
    <w:rsid w:val="000B169C"/>
    <w:rPr>
      <w:caps/>
      <w:sz w:val="18"/>
      <w:lang w:val="fr-FR" w:eastAsia="en-US"/>
    </w:rPr>
  </w:style>
  <w:style w:type="character" w:customStyle="1" w:styleId="CallChar">
    <w:name w:val="Call Char"/>
    <w:basedOn w:val="DefaultParagraphFont"/>
    <w:link w:val="Call"/>
    <w:locked/>
    <w:rsid w:val="000B169C"/>
    <w:rPr>
      <w:i/>
      <w:sz w:val="24"/>
      <w:lang w:val="fr-FR" w:eastAsia="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 Char"/>
    <w:basedOn w:val="DefaultParagraphFont"/>
    <w:link w:val="FootnoteText"/>
    <w:rsid w:val="000B169C"/>
    <w:rPr>
      <w:sz w:val="22"/>
      <w:lang w:val="fr-FR" w:eastAsia="en-US"/>
    </w:rPr>
  </w:style>
  <w:style w:type="character" w:customStyle="1" w:styleId="TabletitleChar">
    <w:name w:val="Table_title Char"/>
    <w:basedOn w:val="DefaultParagraphFont"/>
    <w:link w:val="Tabletitle"/>
    <w:locked/>
    <w:rsid w:val="000B169C"/>
    <w:rPr>
      <w:b/>
      <w:sz w:val="24"/>
      <w:lang w:val="fr-FR" w:eastAsia="en-US"/>
    </w:rPr>
  </w:style>
  <w:style w:type="character" w:customStyle="1" w:styleId="SummaryChar">
    <w:name w:val="Summary Char"/>
    <w:basedOn w:val="DefaultParagraphFont"/>
    <w:link w:val="Summary"/>
    <w:rsid w:val="000B169C"/>
    <w:rPr>
      <w:sz w:val="22"/>
      <w:lang w:val="es-ES_tradnl" w:eastAsia="en-US"/>
    </w:rPr>
  </w:style>
  <w:style w:type="paragraph" w:customStyle="1" w:styleId="AnnexNo">
    <w:name w:val="Annex_No"/>
    <w:basedOn w:val="Normal"/>
    <w:next w:val="Normal"/>
    <w:link w:val="AnnexNoChar"/>
    <w:rsid w:val="000B169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s-ES_tradnl"/>
    </w:rPr>
  </w:style>
  <w:style w:type="character" w:customStyle="1" w:styleId="AnnexNoChar">
    <w:name w:val="Annex_No Char"/>
    <w:link w:val="AnnexNo"/>
    <w:locked/>
    <w:rsid w:val="000B169C"/>
    <w:rPr>
      <w:caps/>
      <w:sz w:val="28"/>
      <w:lang w:val="es-ES_tradnl" w:eastAsia="en-US"/>
    </w:rPr>
  </w:style>
  <w:style w:type="paragraph" w:customStyle="1" w:styleId="Annextitle">
    <w:name w:val="Annex_title"/>
    <w:basedOn w:val="Normal"/>
    <w:next w:val="Normal"/>
    <w:rsid w:val="000B169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s-ES_tradnl"/>
    </w:rPr>
  </w:style>
  <w:style w:type="paragraph" w:customStyle="1" w:styleId="Normalaftertitle0">
    <w:name w:val="Normal after title"/>
    <w:basedOn w:val="Normal"/>
    <w:next w:val="Normal"/>
    <w:rsid w:val="000B169C"/>
    <w:pPr>
      <w:tabs>
        <w:tab w:val="clear" w:pos="794"/>
        <w:tab w:val="clear" w:pos="1191"/>
        <w:tab w:val="clear" w:pos="1588"/>
        <w:tab w:val="clear" w:pos="1985"/>
        <w:tab w:val="left" w:pos="1134"/>
        <w:tab w:val="left" w:pos="1871"/>
        <w:tab w:val="left" w:pos="2268"/>
      </w:tabs>
      <w:spacing w:before="280"/>
      <w:jc w:val="left"/>
    </w:pPr>
    <w:rPr>
      <w:lang w:val="es-ES_tradnl"/>
    </w:rPr>
  </w:style>
  <w:style w:type="character" w:customStyle="1" w:styleId="TableNoChar">
    <w:name w:val="Table_No Char"/>
    <w:locked/>
    <w:rsid w:val="000B169C"/>
    <w:rPr>
      <w:sz w:val="24"/>
      <w:lang w:val="fr-FR" w:eastAsia="en-US"/>
    </w:rPr>
  </w:style>
  <w:style w:type="paragraph" w:customStyle="1" w:styleId="Artheading">
    <w:name w:val="Art_heading"/>
    <w:basedOn w:val="Normal"/>
    <w:next w:val="Normal"/>
    <w:rsid w:val="000B169C"/>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0B169C"/>
    <w:rPr>
      <w:vertAlign w:val="superscript"/>
    </w:rPr>
  </w:style>
  <w:style w:type="paragraph" w:customStyle="1" w:styleId="Figurewithouttitle">
    <w:name w:val="Figure_without_title"/>
    <w:basedOn w:val="FigureNo"/>
    <w:next w:val="Normal"/>
    <w:rsid w:val="000B169C"/>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0B169C"/>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link w:val="SourceChar"/>
    <w:rsid w:val="000B169C"/>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0B169C"/>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0B169C"/>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link w:val="Title1Char"/>
    <w:rsid w:val="000B169C"/>
    <w:pPr>
      <w:tabs>
        <w:tab w:val="left" w:pos="567"/>
        <w:tab w:val="left" w:pos="1701"/>
        <w:tab w:val="left" w:pos="2835"/>
      </w:tabs>
      <w:spacing w:before="240"/>
    </w:pPr>
    <w:rPr>
      <w:b w:val="0"/>
      <w:caps/>
    </w:rPr>
  </w:style>
  <w:style w:type="character" w:customStyle="1" w:styleId="Title1Char">
    <w:name w:val="Title 1 Char"/>
    <w:basedOn w:val="DefaultParagraphFont"/>
    <w:link w:val="Title1"/>
    <w:locked/>
    <w:rsid w:val="000B169C"/>
    <w:rPr>
      <w:rFonts w:eastAsia="MS Mincho"/>
      <w:caps/>
      <w:sz w:val="28"/>
      <w:lang w:val="en-GB" w:eastAsia="en-US"/>
    </w:rPr>
  </w:style>
  <w:style w:type="paragraph" w:customStyle="1" w:styleId="Title2">
    <w:name w:val="Title 2"/>
    <w:basedOn w:val="Source"/>
    <w:next w:val="Normal"/>
    <w:rsid w:val="000B169C"/>
    <w:pPr>
      <w:overflowPunct/>
      <w:autoSpaceDE/>
      <w:autoSpaceDN/>
      <w:adjustRightInd/>
      <w:spacing w:before="480"/>
      <w:textAlignment w:val="auto"/>
    </w:pPr>
    <w:rPr>
      <w:b w:val="0"/>
      <w:caps/>
    </w:rPr>
  </w:style>
  <w:style w:type="paragraph" w:customStyle="1" w:styleId="Title3">
    <w:name w:val="Title 3"/>
    <w:basedOn w:val="Title2"/>
    <w:next w:val="Normal"/>
    <w:rsid w:val="000B169C"/>
    <w:pPr>
      <w:spacing w:before="240"/>
    </w:pPr>
    <w:rPr>
      <w:caps w:val="0"/>
    </w:rPr>
  </w:style>
  <w:style w:type="paragraph" w:customStyle="1" w:styleId="Title4">
    <w:name w:val="Title 4"/>
    <w:basedOn w:val="Title3"/>
    <w:next w:val="Heading1"/>
    <w:rsid w:val="000B169C"/>
    <w:rPr>
      <w:b/>
    </w:rPr>
  </w:style>
  <w:style w:type="character" w:customStyle="1" w:styleId="Appdef">
    <w:name w:val="App_def"/>
    <w:basedOn w:val="DefaultParagraphFont"/>
    <w:rsid w:val="000B169C"/>
    <w:rPr>
      <w:rFonts w:ascii="Times New Roman" w:hAnsi="Times New Roman"/>
      <w:b/>
    </w:rPr>
  </w:style>
  <w:style w:type="character" w:customStyle="1" w:styleId="Appref">
    <w:name w:val="App_ref"/>
    <w:basedOn w:val="DefaultParagraphFont"/>
    <w:rsid w:val="000B169C"/>
  </w:style>
  <w:style w:type="character" w:customStyle="1" w:styleId="Artdef">
    <w:name w:val="Art_def"/>
    <w:basedOn w:val="DefaultParagraphFont"/>
    <w:rsid w:val="000B169C"/>
    <w:rPr>
      <w:rFonts w:ascii="Times New Roman" w:hAnsi="Times New Roman"/>
      <w:b/>
    </w:rPr>
  </w:style>
  <w:style w:type="character" w:customStyle="1" w:styleId="Artref">
    <w:name w:val="Art_ref"/>
    <w:basedOn w:val="DefaultParagraphFont"/>
    <w:rsid w:val="000B169C"/>
  </w:style>
  <w:style w:type="character" w:customStyle="1" w:styleId="Recdef">
    <w:name w:val="Rec_def"/>
    <w:basedOn w:val="DefaultParagraphFont"/>
    <w:rsid w:val="000B169C"/>
    <w:rPr>
      <w:b/>
    </w:rPr>
  </w:style>
  <w:style w:type="character" w:customStyle="1" w:styleId="Resdef">
    <w:name w:val="Res_def"/>
    <w:basedOn w:val="DefaultParagraphFont"/>
    <w:rsid w:val="000B169C"/>
    <w:rPr>
      <w:rFonts w:ascii="Times New Roman" w:hAnsi="Times New Roman"/>
      <w:b/>
    </w:rPr>
  </w:style>
  <w:style w:type="character" w:customStyle="1" w:styleId="Tablefreq">
    <w:name w:val="Table_freq"/>
    <w:basedOn w:val="DefaultParagraphFont"/>
    <w:rsid w:val="000B169C"/>
    <w:rPr>
      <w:b/>
      <w:color w:val="auto"/>
      <w:sz w:val="20"/>
    </w:rPr>
  </w:style>
  <w:style w:type="paragraph" w:customStyle="1" w:styleId="Formal">
    <w:name w:val="Formal"/>
    <w:basedOn w:val="ASN1"/>
    <w:rsid w:val="000B169C"/>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0B169C"/>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0B169C"/>
    <w:rPr>
      <w:b w:val="0"/>
      <w:i/>
    </w:rPr>
  </w:style>
  <w:style w:type="paragraph" w:customStyle="1" w:styleId="AppendixNo">
    <w:name w:val="Appendix_No"/>
    <w:basedOn w:val="AnnexNo"/>
    <w:next w:val="Annexref"/>
    <w:rsid w:val="000B169C"/>
    <w:rPr>
      <w:rFonts w:eastAsia="MS Mincho"/>
      <w:lang w:val="en-GB"/>
    </w:rPr>
  </w:style>
  <w:style w:type="paragraph" w:customStyle="1" w:styleId="Appendixtitle">
    <w:name w:val="Appendix_title"/>
    <w:basedOn w:val="Annextitle"/>
    <w:next w:val="Normal"/>
    <w:rsid w:val="000B169C"/>
    <w:rPr>
      <w:rFonts w:eastAsia="MS Mincho"/>
      <w:lang w:val="en-GB"/>
    </w:rPr>
  </w:style>
  <w:style w:type="paragraph" w:customStyle="1" w:styleId="Border">
    <w:name w:val="Border"/>
    <w:basedOn w:val="Normal"/>
    <w:rsid w:val="000B169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0B169C"/>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0B169C"/>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0B169C"/>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0B169C"/>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0B169C"/>
  </w:style>
  <w:style w:type="paragraph" w:customStyle="1" w:styleId="Proposal">
    <w:name w:val="Proposal"/>
    <w:basedOn w:val="Normal"/>
    <w:next w:val="Normal"/>
    <w:rsid w:val="000B169C"/>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0B169C"/>
    <w:pPr>
      <w:tabs>
        <w:tab w:val="clear" w:pos="794"/>
        <w:tab w:val="clear" w:pos="1191"/>
        <w:tab w:val="left" w:pos="1134"/>
      </w:tabs>
      <w:jc w:val="left"/>
    </w:pPr>
    <w:rPr>
      <w:rFonts w:eastAsia="MS Mincho"/>
      <w:lang w:val="en-GB"/>
    </w:rPr>
  </w:style>
  <w:style w:type="paragraph" w:customStyle="1" w:styleId="Section3">
    <w:name w:val="Section_3"/>
    <w:basedOn w:val="Section1"/>
    <w:rsid w:val="000B169C"/>
    <w:rPr>
      <w:b w:val="0"/>
    </w:rPr>
  </w:style>
  <w:style w:type="paragraph" w:customStyle="1" w:styleId="TableTextS5">
    <w:name w:val="Table_TextS5"/>
    <w:basedOn w:val="Normal"/>
    <w:rsid w:val="000B169C"/>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0B169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0B169C"/>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0B169C"/>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0B169C"/>
  </w:style>
  <w:style w:type="paragraph" w:customStyle="1" w:styleId="Committee">
    <w:name w:val="Committee"/>
    <w:basedOn w:val="Normal"/>
    <w:qFormat/>
    <w:rsid w:val="000B169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paragraph" w:customStyle="1" w:styleId="Normalend">
    <w:name w:val="Normal_end"/>
    <w:basedOn w:val="Normal"/>
    <w:next w:val="Normal"/>
    <w:qFormat/>
    <w:rsid w:val="000B169C"/>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0B169C"/>
  </w:style>
  <w:style w:type="paragraph" w:customStyle="1" w:styleId="Subsection1">
    <w:name w:val="Subsection_1"/>
    <w:basedOn w:val="Section1"/>
    <w:next w:val="Normal"/>
    <w:qFormat/>
    <w:rsid w:val="000B169C"/>
  </w:style>
  <w:style w:type="paragraph" w:customStyle="1" w:styleId="Volumetitle">
    <w:name w:val="Volume_title"/>
    <w:basedOn w:val="Normal"/>
    <w:qFormat/>
    <w:rsid w:val="000B169C"/>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styleId="ListParagraph">
    <w:name w:val="List Paragraph"/>
    <w:basedOn w:val="Normal"/>
    <w:uiPriority w:val="34"/>
    <w:qFormat/>
    <w:rsid w:val="000B169C"/>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styleId="BalloonText">
    <w:name w:val="Balloon Text"/>
    <w:basedOn w:val="Normal"/>
    <w:link w:val="BalloonTextChar"/>
    <w:unhideWhenUsed/>
    <w:rsid w:val="000B169C"/>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rsid w:val="000B169C"/>
    <w:rPr>
      <w:rFonts w:asciiTheme="majorHAnsi" w:eastAsiaTheme="majorEastAsia" w:hAnsiTheme="majorHAnsi" w:cstheme="majorBidi"/>
      <w:sz w:val="18"/>
      <w:szCs w:val="18"/>
      <w:lang w:val="en-GB" w:eastAsia="en-US"/>
    </w:rPr>
  </w:style>
  <w:style w:type="paragraph" w:customStyle="1" w:styleId="call0">
    <w:name w:val="call"/>
    <w:basedOn w:val="Normal"/>
    <w:next w:val="Normal"/>
    <w:rsid w:val="000B169C"/>
    <w:pPr>
      <w:keepNext/>
      <w:keepLines/>
      <w:overflowPunct/>
      <w:autoSpaceDE/>
      <w:autoSpaceDN/>
      <w:adjustRightInd/>
      <w:spacing w:before="160"/>
      <w:ind w:left="794"/>
      <w:jc w:val="left"/>
      <w:textAlignment w:val="auto"/>
    </w:pPr>
    <w:rPr>
      <w:rFonts w:eastAsia="MS Mincho"/>
      <w:i/>
      <w:lang w:val="en-GB"/>
    </w:rPr>
  </w:style>
  <w:style w:type="paragraph" w:customStyle="1" w:styleId="headfoot">
    <w:name w:val="head_foot"/>
    <w:basedOn w:val="Normal"/>
    <w:next w:val="Normal"/>
    <w:rsid w:val="000B169C"/>
    <w:pPr>
      <w:tabs>
        <w:tab w:val="clear" w:pos="794"/>
        <w:tab w:val="clear" w:pos="1191"/>
        <w:tab w:val="clear" w:pos="1588"/>
        <w:tab w:val="clear" w:pos="1985"/>
      </w:tabs>
      <w:spacing w:before="0"/>
    </w:pPr>
    <w:rPr>
      <w:rFonts w:eastAsia="MS Mincho"/>
      <w:color w:val="FF0000"/>
      <w:sz w:val="8"/>
      <w:lang w:val="en-GB" w:eastAsia="ja-JP"/>
    </w:rPr>
  </w:style>
  <w:style w:type="paragraph" w:styleId="Revision">
    <w:name w:val="Revision"/>
    <w:hidden/>
    <w:uiPriority w:val="99"/>
    <w:semiHidden/>
    <w:rsid w:val="000B169C"/>
    <w:rPr>
      <w:sz w:val="24"/>
      <w:lang w:val="fr-FR" w:eastAsia="en-US"/>
    </w:rPr>
  </w:style>
  <w:style w:type="character" w:styleId="FollowedHyperlink">
    <w:name w:val="FollowedHyperlink"/>
    <w:basedOn w:val="DefaultParagraphFont"/>
    <w:semiHidden/>
    <w:unhideWhenUsed/>
    <w:rsid w:val="000B169C"/>
    <w:rPr>
      <w:color w:val="800080" w:themeColor="followedHyperlink"/>
      <w:u w:val="single"/>
    </w:rPr>
  </w:style>
  <w:style w:type="paragraph" w:customStyle="1" w:styleId="msonormal0">
    <w:name w:val="msonormal"/>
    <w:basedOn w:val="Normal"/>
    <w:rsid w:val="000B169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character" w:customStyle="1" w:styleId="FootnoteTextChar1">
    <w:name w:val="Footnote Text Char1"/>
    <w:basedOn w:val="DefaultParagraphFont"/>
    <w:semiHidden/>
    <w:rsid w:val="000B169C"/>
    <w:rPr>
      <w:lang w:val="en-GB" w:eastAsia="en-US"/>
    </w:rPr>
  </w:style>
  <w:style w:type="character" w:customStyle="1" w:styleId="FootnoteTextChar2">
    <w:name w:val="Footnote Text Char2"/>
    <w:aliases w:val="footnote text Char1,ALTS FOOTNOTE Char1,Footnote Text Char1 Char1,Footnote Text Char Char1 Char1,Footnote Text Char4 Char Char Char1,Footnote Text Char1 Char1 Char1 Char Char1,Footnote Text Char Char1 Char1 Char Char Char1,DN Char1"/>
    <w:basedOn w:val="DefaultParagraphFont"/>
    <w:semiHidden/>
    <w:rsid w:val="000B169C"/>
    <w:rPr>
      <w:rFonts w:ascii="Times New Roman" w:hAnsi="Times New Roman"/>
      <w:lang w:val="en-GB" w:eastAsia="en-US"/>
    </w:rPr>
  </w:style>
  <w:style w:type="paragraph" w:styleId="CommentText">
    <w:name w:val="annotation text"/>
    <w:basedOn w:val="Normal"/>
    <w:link w:val="CommentTextChar"/>
    <w:semiHidden/>
    <w:unhideWhenUsed/>
    <w:rsid w:val="000B169C"/>
    <w:pPr>
      <w:textAlignment w:val="auto"/>
    </w:pPr>
    <w:rPr>
      <w:rFonts w:eastAsia="MS Mincho"/>
      <w:sz w:val="20"/>
    </w:rPr>
  </w:style>
  <w:style w:type="character" w:customStyle="1" w:styleId="CommentTextChar">
    <w:name w:val="Comment Text Char"/>
    <w:basedOn w:val="DefaultParagraphFont"/>
    <w:link w:val="CommentText"/>
    <w:semiHidden/>
    <w:rsid w:val="000B169C"/>
    <w:rPr>
      <w:rFonts w:eastAsia="MS Mincho"/>
      <w:lang w:val="fr-FR" w:eastAsia="en-US"/>
    </w:rPr>
  </w:style>
  <w:style w:type="paragraph" w:styleId="DocumentMap">
    <w:name w:val="Document Map"/>
    <w:basedOn w:val="Normal"/>
    <w:link w:val="DocumentMapChar"/>
    <w:semiHidden/>
    <w:unhideWhenUsed/>
    <w:rsid w:val="000B169C"/>
    <w:pPr>
      <w:tabs>
        <w:tab w:val="clear" w:pos="794"/>
        <w:tab w:val="clear" w:pos="1191"/>
        <w:tab w:val="clear" w:pos="1588"/>
        <w:tab w:val="clear" w:pos="1985"/>
        <w:tab w:val="left" w:pos="1134"/>
        <w:tab w:val="left" w:pos="1871"/>
        <w:tab w:val="left" w:pos="2268"/>
      </w:tabs>
      <w:jc w:val="left"/>
      <w:textAlignment w:val="auto"/>
    </w:pPr>
    <w:rPr>
      <w:rFonts w:ascii="SimSun" w:eastAsia="SimSun"/>
      <w:sz w:val="18"/>
      <w:szCs w:val="18"/>
      <w:lang w:val="en-GB"/>
    </w:rPr>
  </w:style>
  <w:style w:type="character" w:customStyle="1" w:styleId="DocumentMapChar">
    <w:name w:val="Document Map Char"/>
    <w:basedOn w:val="DefaultParagraphFont"/>
    <w:link w:val="DocumentMap"/>
    <w:semiHidden/>
    <w:rsid w:val="000B169C"/>
    <w:rPr>
      <w:rFonts w:ascii="SimSun" w:eastAsia="SimSun"/>
      <w:sz w:val="18"/>
      <w:szCs w:val="18"/>
      <w:lang w:val="en-GB" w:eastAsia="en-US"/>
    </w:rPr>
  </w:style>
  <w:style w:type="paragraph" w:styleId="CommentSubject">
    <w:name w:val="annotation subject"/>
    <w:basedOn w:val="CommentText"/>
    <w:next w:val="CommentText"/>
    <w:link w:val="CommentSubjectChar"/>
    <w:semiHidden/>
    <w:unhideWhenUsed/>
    <w:rsid w:val="000B169C"/>
    <w:pPr>
      <w:tabs>
        <w:tab w:val="clear" w:pos="794"/>
        <w:tab w:val="clear" w:pos="1191"/>
        <w:tab w:val="clear" w:pos="1588"/>
        <w:tab w:val="clear" w:pos="1985"/>
        <w:tab w:val="left" w:pos="1134"/>
        <w:tab w:val="left" w:pos="1871"/>
        <w:tab w:val="left" w:pos="2268"/>
      </w:tabs>
      <w:jc w:val="left"/>
    </w:pPr>
    <w:rPr>
      <w:rFonts w:eastAsia="Times New Roman"/>
      <w:b/>
      <w:bCs/>
      <w:lang w:val="en-GB"/>
    </w:rPr>
  </w:style>
  <w:style w:type="character" w:customStyle="1" w:styleId="CommentSubjectChar">
    <w:name w:val="Comment Subject Char"/>
    <w:basedOn w:val="CommentTextChar"/>
    <w:link w:val="CommentSubject"/>
    <w:semiHidden/>
    <w:rsid w:val="000B169C"/>
    <w:rPr>
      <w:rFonts w:eastAsia="MS Mincho"/>
      <w:b/>
      <w:bCs/>
      <w:lang w:val="en-GB" w:eastAsia="en-US"/>
    </w:rPr>
  </w:style>
  <w:style w:type="character" w:customStyle="1" w:styleId="SourceChar">
    <w:name w:val="Source Char"/>
    <w:basedOn w:val="DefaultParagraphFont"/>
    <w:link w:val="Source"/>
    <w:locked/>
    <w:rsid w:val="000B169C"/>
    <w:rPr>
      <w:rFonts w:eastAsia="MS Mincho"/>
      <w:b/>
      <w:sz w:val="28"/>
      <w:lang w:val="en-GB" w:eastAsia="en-US"/>
    </w:rPr>
  </w:style>
  <w:style w:type="character" w:customStyle="1" w:styleId="HeadingbChar">
    <w:name w:val="Heading_b Char"/>
    <w:basedOn w:val="DefaultParagraphFont"/>
    <w:link w:val="Headingb"/>
    <w:locked/>
    <w:rsid w:val="000B169C"/>
    <w:rPr>
      <w:b/>
      <w:sz w:val="24"/>
      <w:lang w:val="fr-FR" w:eastAsia="en-US"/>
    </w:rPr>
  </w:style>
  <w:style w:type="paragraph" w:customStyle="1" w:styleId="Headingsplit">
    <w:name w:val="Heading_split"/>
    <w:basedOn w:val="Headingi"/>
    <w:qFormat/>
    <w:rsid w:val="000B169C"/>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lang w:val="en-US"/>
    </w:rPr>
  </w:style>
  <w:style w:type="paragraph" w:customStyle="1" w:styleId="Normalsplit">
    <w:name w:val="Normal_split"/>
    <w:basedOn w:val="Normal"/>
    <w:qFormat/>
    <w:rsid w:val="000B169C"/>
    <w:pPr>
      <w:tabs>
        <w:tab w:val="clear" w:pos="794"/>
        <w:tab w:val="clear" w:pos="1191"/>
        <w:tab w:val="clear" w:pos="1588"/>
        <w:tab w:val="clear" w:pos="1985"/>
        <w:tab w:val="left" w:pos="1134"/>
        <w:tab w:val="left" w:pos="1871"/>
        <w:tab w:val="left" w:pos="2268"/>
      </w:tabs>
      <w:jc w:val="left"/>
      <w:textAlignment w:val="auto"/>
    </w:pPr>
    <w:rPr>
      <w:lang w:val="en-GB"/>
    </w:rPr>
  </w:style>
  <w:style w:type="paragraph" w:customStyle="1" w:styleId="Tablesplit">
    <w:name w:val="Table_split"/>
    <w:basedOn w:val="Tabletext"/>
    <w:qFormat/>
    <w:rsid w:val="000B169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b/>
      <w:sz w:val="20"/>
      <w:lang w:val="en-GB"/>
    </w:rPr>
  </w:style>
  <w:style w:type="paragraph" w:customStyle="1" w:styleId="TableText0">
    <w:name w:val="Table_Text"/>
    <w:basedOn w:val="Normal"/>
    <w:rsid w:val="000B169C"/>
    <w:pPr>
      <w:keepNext/>
      <w:overflowPunct/>
      <w:autoSpaceDE/>
      <w:autoSpaceDN/>
      <w:adjustRightInd/>
      <w:spacing w:before="142" w:after="142" w:line="199" w:lineRule="exact"/>
      <w:textAlignment w:val="auto"/>
    </w:pPr>
    <w:rPr>
      <w:rFonts w:ascii="Helv" w:eastAsia="MS Mincho" w:hAnsi="Helv" w:cs="Helv"/>
      <w:sz w:val="18"/>
      <w:lang w:val="en-GB" w:eastAsia="ru-RU"/>
    </w:rPr>
  </w:style>
  <w:style w:type="character" w:styleId="CommentReference">
    <w:name w:val="annotation reference"/>
    <w:basedOn w:val="DefaultParagraphFont"/>
    <w:semiHidden/>
    <w:unhideWhenUsed/>
    <w:rsid w:val="000B169C"/>
    <w:rPr>
      <w:sz w:val="16"/>
      <w:szCs w:val="16"/>
    </w:rPr>
  </w:style>
  <w:style w:type="character" w:customStyle="1" w:styleId="Provsplit">
    <w:name w:val="Prov_split"/>
    <w:basedOn w:val="DefaultParagraphFont"/>
    <w:qFormat/>
    <w:rsid w:val="000B169C"/>
    <w:rPr>
      <w:rFonts w:ascii="Times New Roman" w:hAnsi="Times New Roman" w:cs="Times New Roman" w:hint="default"/>
      <w:b w:val="0"/>
      <w:bCs w:val="0"/>
    </w:rPr>
  </w:style>
  <w:style w:type="character" w:customStyle="1" w:styleId="UnresolvedMention1">
    <w:name w:val="Unresolved Mention1"/>
    <w:basedOn w:val="DefaultParagraphFont"/>
    <w:uiPriority w:val="99"/>
    <w:semiHidden/>
    <w:rsid w:val="000B169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eader" Target="header5.xml"/><Relationship Id="rId10" Type="http://schemas.openxmlformats.org/officeDocument/2006/relationships/hyperlink" Target="http://www.itu.int/publ/R-REC/es"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28</TotalTime>
  <Pages>11</Pages>
  <Words>2962</Words>
  <Characters>15399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18325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10</cp:revision>
  <cp:lastPrinted>2018-05-18T09:02:00Z</cp:lastPrinted>
  <dcterms:created xsi:type="dcterms:W3CDTF">2018-05-18T08:35:00Z</dcterms:created>
  <dcterms:modified xsi:type="dcterms:W3CDTF">2018-05-18T09:07:00Z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