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1B367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2004</w:t>
            </w:r>
          </w:p>
          <w:p w:rsidR="00FE79FE" w:rsidRPr="004F65E4" w:rsidRDefault="00FE79FE" w:rsidP="001B367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372FC9">
        <w:tc>
          <w:tcPr>
            <w:tcW w:w="10089" w:type="dxa"/>
          </w:tcPr>
          <w:p w:rsidR="00013002" w:rsidRPr="00D2627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1511A6" w:rsidRDefault="00D26272" w:rsidP="00D2627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D2627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Radio-frequency channel arrangements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D2627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for fixed service systems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D2627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operating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D2627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in the 92-95 GHz range</w:t>
            </w:r>
            <w:r w:rsidRPr="00D26272">
              <w:rPr>
                <w:lang w:val="en-US" w:eastAsia="zh-CN"/>
              </w:rPr>
              <w:t xml:space="preserve"> 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677965" w:rsidRPr="00D2627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D2627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D26272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8C1BA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 w:rsidR="008C1BAC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372FC9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372FC9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372FC9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372FC9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372FC9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0269CE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6A75CC">
        <w:rPr>
          <w:sz w:val="20"/>
          <w:lang w:val="en-US"/>
        </w:rPr>
        <w:t>1</w:t>
      </w:r>
      <w:r w:rsidR="0048422F">
        <w:rPr>
          <w:sz w:val="20"/>
          <w:lang w:val="en-US"/>
        </w:rPr>
        <w:t>2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0269C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6A75CC">
        <w:rPr>
          <w:sz w:val="20"/>
          <w:lang w:val="en-US"/>
        </w:rPr>
        <w:t>1</w:t>
      </w:r>
      <w:r w:rsidR="0048422F">
        <w:rPr>
          <w:sz w:val="20"/>
          <w:lang w:val="en-US"/>
        </w:rPr>
        <w:t>2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Default="00934ED7" w:rsidP="001B3670">
      <w:pPr>
        <w:pStyle w:val="RecNo"/>
        <w:spacing w:before="0"/>
        <w:rPr>
          <w:rStyle w:val="href"/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 w:rsidR="00E406BD"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 w:rsidR="001B3670">
        <w:rPr>
          <w:rStyle w:val="href"/>
          <w:lang w:val="en-US"/>
        </w:rPr>
        <w:t>2004</w:t>
      </w:r>
    </w:p>
    <w:p w:rsidR="00185711" w:rsidRPr="00185711" w:rsidRDefault="00185711" w:rsidP="00185711">
      <w:pPr>
        <w:pStyle w:val="Rectitle"/>
        <w:rPr>
          <w:lang w:val="en-US"/>
        </w:rPr>
      </w:pPr>
      <w:r w:rsidRPr="00185711">
        <w:rPr>
          <w:lang w:val="en-US"/>
        </w:rPr>
        <w:t xml:space="preserve">Radio-frequency channel arrangements for fixed service systems </w:t>
      </w:r>
      <w:r w:rsidRPr="00185711">
        <w:rPr>
          <w:lang w:val="en-US"/>
        </w:rPr>
        <w:br/>
        <w:t>operating in the 92-95 GHz</w:t>
      </w:r>
      <w:r w:rsidRPr="00185711">
        <w:rPr>
          <w:lang w:val="en-US" w:eastAsia="ja-JP"/>
        </w:rPr>
        <w:t xml:space="preserve"> range</w:t>
      </w:r>
    </w:p>
    <w:p w:rsidR="00185711" w:rsidRPr="00185711" w:rsidRDefault="00185711" w:rsidP="00185711">
      <w:pPr>
        <w:pStyle w:val="Recref"/>
        <w:spacing w:before="360"/>
        <w:rPr>
          <w:lang w:val="en-US"/>
        </w:rPr>
      </w:pPr>
      <w:r w:rsidRPr="00185711">
        <w:rPr>
          <w:lang w:val="en-US"/>
        </w:rPr>
        <w:t>(Question ITU-R 247/5)</w:t>
      </w:r>
    </w:p>
    <w:p w:rsidR="00185711" w:rsidRPr="00185711" w:rsidRDefault="00185711" w:rsidP="00185711">
      <w:pPr>
        <w:pStyle w:val="Recdate"/>
        <w:rPr>
          <w:lang w:val="en-US"/>
        </w:rPr>
      </w:pPr>
      <w:r w:rsidRPr="00185711">
        <w:rPr>
          <w:lang w:val="en-US"/>
        </w:rPr>
        <w:t>(2012)</w:t>
      </w:r>
    </w:p>
    <w:p w:rsidR="00185711" w:rsidRPr="00173686" w:rsidRDefault="00185711" w:rsidP="00185711">
      <w:pPr>
        <w:pStyle w:val="HeadingSum"/>
        <w:rPr>
          <w:lang w:val="en-US"/>
        </w:rPr>
      </w:pPr>
      <w:r w:rsidRPr="00173686">
        <w:rPr>
          <w:lang w:val="en-US"/>
        </w:rPr>
        <w:t>Scope</w:t>
      </w:r>
    </w:p>
    <w:p w:rsidR="00185711" w:rsidRPr="00185711" w:rsidRDefault="00185711" w:rsidP="00185711">
      <w:pPr>
        <w:rPr>
          <w:sz w:val="22"/>
          <w:szCs w:val="22"/>
          <w:lang w:val="en-US" w:eastAsia="ja-JP"/>
        </w:rPr>
      </w:pPr>
      <w:r w:rsidRPr="00185711">
        <w:rPr>
          <w:sz w:val="22"/>
          <w:szCs w:val="22"/>
          <w:lang w:val="en-US"/>
        </w:rPr>
        <w:t>This Recommendation describes channel arrangements in the portions of the frequency range 92.0-95.0 GHz allocated to the fixed service. The arrangements are based on a homogeneous pattern of 50 MHz slots and are proposed for either</w:t>
      </w:r>
      <w:r>
        <w:rPr>
          <w:sz w:val="22"/>
          <w:szCs w:val="22"/>
          <w:lang w:val="en-US"/>
        </w:rPr>
        <w:t>, frequency division duplex (</w:t>
      </w:r>
      <w:r w:rsidRPr="00185711">
        <w:rPr>
          <w:sz w:val="22"/>
          <w:szCs w:val="22"/>
          <w:lang w:val="en-US"/>
        </w:rPr>
        <w:t>FDD</w:t>
      </w:r>
      <w:r>
        <w:rPr>
          <w:sz w:val="22"/>
          <w:szCs w:val="22"/>
          <w:lang w:val="en-US"/>
        </w:rPr>
        <w:t>)</w:t>
      </w:r>
      <w:r w:rsidRPr="00185711">
        <w:rPr>
          <w:sz w:val="22"/>
          <w:szCs w:val="22"/>
          <w:lang w:val="en-US"/>
        </w:rPr>
        <w:t xml:space="preserve"> or </w:t>
      </w:r>
      <w:r>
        <w:rPr>
          <w:sz w:val="22"/>
          <w:szCs w:val="22"/>
          <w:lang w:val="en-US"/>
        </w:rPr>
        <w:t>time division duplex (</w:t>
      </w:r>
      <w:r w:rsidRPr="00185711">
        <w:rPr>
          <w:sz w:val="22"/>
          <w:szCs w:val="22"/>
          <w:lang w:val="en-US"/>
        </w:rPr>
        <w:t>TDD</w:t>
      </w:r>
      <w:r>
        <w:rPr>
          <w:sz w:val="22"/>
          <w:szCs w:val="22"/>
          <w:lang w:val="en-US"/>
        </w:rPr>
        <w:t>)</w:t>
      </w:r>
      <w:r w:rsidRPr="00185711">
        <w:rPr>
          <w:sz w:val="22"/>
          <w:szCs w:val="22"/>
          <w:lang w:val="en-US"/>
        </w:rPr>
        <w:t xml:space="preserve"> applications.</w:t>
      </w:r>
    </w:p>
    <w:p w:rsidR="00185711" w:rsidRPr="00173686" w:rsidRDefault="00185711" w:rsidP="00185711">
      <w:pPr>
        <w:pStyle w:val="Normalaftertitle"/>
        <w:rPr>
          <w:lang w:val="en-US"/>
        </w:rPr>
      </w:pPr>
      <w:r w:rsidRPr="00173686">
        <w:rPr>
          <w:lang w:val="en-US"/>
        </w:rPr>
        <w:t>The ITU Radiocommunication Assembly,</w:t>
      </w:r>
    </w:p>
    <w:p w:rsidR="00185711" w:rsidRPr="00185711" w:rsidRDefault="00185711" w:rsidP="00185711">
      <w:pPr>
        <w:pStyle w:val="Call"/>
        <w:rPr>
          <w:lang w:val="en-US"/>
        </w:rPr>
      </w:pPr>
      <w:r w:rsidRPr="00185711">
        <w:rPr>
          <w:lang w:val="en-US"/>
        </w:rPr>
        <w:t>considering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a)</w:t>
      </w:r>
      <w:r w:rsidRPr="00185711">
        <w:rPr>
          <w:lang w:val="en-US"/>
        </w:rPr>
        <w:tab/>
        <w:t>that</w:t>
      </w:r>
      <w:r w:rsidRPr="00185711">
        <w:rPr>
          <w:lang w:val="en-US" w:eastAsia="ja-JP"/>
        </w:rPr>
        <w:t>, within the frequency range 92-95 GHz,</w:t>
      </w:r>
      <w:r w:rsidRPr="00185711">
        <w:rPr>
          <w:lang w:val="en-US"/>
        </w:rPr>
        <w:t xml:space="preserve"> the band</w:t>
      </w:r>
      <w:r w:rsidRPr="00185711">
        <w:rPr>
          <w:lang w:val="en-US" w:eastAsia="ja-JP"/>
        </w:rPr>
        <w:t>s</w:t>
      </w:r>
      <w:r w:rsidRPr="00185711">
        <w:rPr>
          <w:lang w:val="en-US"/>
        </w:rPr>
        <w:t xml:space="preserve"> 92.0-9</w:t>
      </w:r>
      <w:r w:rsidRPr="00185711">
        <w:rPr>
          <w:lang w:val="en-US" w:eastAsia="ja-JP"/>
        </w:rPr>
        <w:t>4</w:t>
      </w:r>
      <w:r w:rsidRPr="00185711">
        <w:rPr>
          <w:lang w:val="en-US"/>
        </w:rPr>
        <w:t xml:space="preserve">.0 GHz </w:t>
      </w:r>
      <w:r w:rsidRPr="00185711">
        <w:rPr>
          <w:lang w:val="en-US" w:eastAsia="ja-JP"/>
        </w:rPr>
        <w:t>and 94.1-95 GHz are</w:t>
      </w:r>
      <w:r w:rsidRPr="00185711">
        <w:rPr>
          <w:lang w:val="en-US"/>
        </w:rPr>
        <w:t xml:space="preserve"> allocated to the fixed service;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b)</w:t>
      </w:r>
      <w:r w:rsidRPr="00185711">
        <w:rPr>
          <w:lang w:val="en-US"/>
        </w:rPr>
        <w:tab/>
        <w:t>that the propagation characteristics of the 92.0-95.0 GHz band are ideally suited for use of short-range digital radio links in high-density networks;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c)</w:t>
      </w:r>
      <w:r w:rsidRPr="00185711">
        <w:rPr>
          <w:lang w:val="en-US"/>
        </w:rPr>
        <w:tab/>
        <w:t>that in the frequency range a high antenna directivity is achievable even with small-size antennas, increasing the density of equipment and further reducing the risk of interference within the same and other services;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d)</w:t>
      </w:r>
      <w:r w:rsidRPr="00185711">
        <w:rPr>
          <w:lang w:val="en-US"/>
        </w:rPr>
        <w:tab/>
        <w:t>that differing applications licensed by various administrations may require different radio-frequency channel arrangements;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e)</w:t>
      </w:r>
      <w:r w:rsidRPr="00185711">
        <w:rPr>
          <w:lang w:val="en-US"/>
        </w:rPr>
        <w:tab/>
        <w:t>that the applications in this frequency band may require differing channel bandwidths;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f)</w:t>
      </w:r>
      <w:r w:rsidRPr="00185711">
        <w:rPr>
          <w:lang w:val="en-US"/>
        </w:rPr>
        <w:tab/>
        <w:t>that several services with various transmission signal characteristics and capacities may be in simultaneous use in this frequency band;</w:t>
      </w:r>
    </w:p>
    <w:p w:rsidR="00185711" w:rsidRPr="00185711" w:rsidRDefault="00185711" w:rsidP="00185711">
      <w:pPr>
        <w:rPr>
          <w:color w:val="000000"/>
          <w:lang w:val="en-US"/>
        </w:rPr>
      </w:pPr>
      <w:r w:rsidRPr="00185711">
        <w:rPr>
          <w:color w:val="000000"/>
          <w:lang w:val="en-US"/>
        </w:rPr>
        <w:t>g)</w:t>
      </w:r>
      <w:r w:rsidRPr="00185711">
        <w:rPr>
          <w:color w:val="000000"/>
          <w:lang w:val="en-US"/>
        </w:rPr>
        <w:tab/>
        <w:t>that the low end of the frequency band is suitable for the longest-hop radio links because the atmospheric attenuation is less than at the top of the band,</w:t>
      </w:r>
    </w:p>
    <w:p w:rsidR="00185711" w:rsidRPr="00185711" w:rsidRDefault="00185711" w:rsidP="00185711">
      <w:pPr>
        <w:pStyle w:val="Call"/>
        <w:rPr>
          <w:lang w:val="en-US"/>
        </w:rPr>
      </w:pPr>
      <w:r w:rsidRPr="00185711">
        <w:rPr>
          <w:lang w:val="en-US"/>
        </w:rPr>
        <w:t>recommends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b/>
          <w:bCs/>
          <w:lang w:val="en-US"/>
        </w:rPr>
        <w:t>1</w:t>
      </w:r>
      <w:r w:rsidRPr="00185711">
        <w:rPr>
          <w:b/>
          <w:bCs/>
          <w:lang w:val="en-US"/>
        </w:rPr>
        <w:tab/>
      </w:r>
      <w:r w:rsidRPr="00185711">
        <w:rPr>
          <w:lang w:val="en-US"/>
        </w:rPr>
        <w:t>that the preferred radio-frequency channel arrangement for the 92.0-95.0 GHz band should be based on homogeneous patterns;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b/>
          <w:bCs/>
          <w:lang w:val="en-US"/>
        </w:rPr>
        <w:t>2</w:t>
      </w:r>
      <w:r w:rsidRPr="00185711">
        <w:rPr>
          <w:lang w:val="en-US"/>
        </w:rPr>
        <w:tab/>
        <w:t>that the channel arrangements for time division duplex (TDD) systems in the frequency range 92.0-95.0 GHz should be defined as given in Annex 1;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b/>
          <w:bCs/>
          <w:lang w:val="en-US"/>
        </w:rPr>
        <w:t>3</w:t>
      </w:r>
      <w:r w:rsidRPr="00185711">
        <w:rPr>
          <w:lang w:val="en-US"/>
        </w:rPr>
        <w:tab/>
        <w:t>that the channel arrangements for frequency division duplex (FDD) systems in the frequency range 92-95.0 GHz should be defined as given in Annex 2.</w:t>
      </w:r>
    </w:p>
    <w:p w:rsidR="00185711" w:rsidRPr="00185711" w:rsidRDefault="00185711" w:rsidP="00185711">
      <w:pPr>
        <w:rPr>
          <w:lang w:val="en-US"/>
        </w:rPr>
      </w:pPr>
    </w:p>
    <w:p w:rsidR="00185711" w:rsidRPr="00185711" w:rsidRDefault="00185711" w:rsidP="00185711">
      <w:pPr>
        <w:rPr>
          <w:lang w:val="en-US"/>
        </w:rPr>
      </w:pPr>
    </w:p>
    <w:p w:rsidR="00185711" w:rsidRPr="00185711" w:rsidRDefault="00185711" w:rsidP="00185711">
      <w:pPr>
        <w:pStyle w:val="AnnexNo"/>
        <w:rPr>
          <w:b/>
          <w:bCs/>
        </w:rPr>
      </w:pPr>
      <w:r w:rsidRPr="00185711">
        <w:rPr>
          <w:b/>
          <w:bCs/>
          <w:caps w:val="0"/>
        </w:rPr>
        <w:lastRenderedPageBreak/>
        <w:t>Annex 1</w:t>
      </w:r>
    </w:p>
    <w:p w:rsidR="00185711" w:rsidRPr="00785133" w:rsidRDefault="00185711" w:rsidP="00185711">
      <w:pPr>
        <w:pStyle w:val="Annextitle"/>
      </w:pPr>
      <w:r w:rsidRPr="00785133">
        <w:t>Radio-frequency channel arrangements in the band 92.0-95.0 GHz</w:t>
      </w:r>
      <w:r w:rsidRPr="00785133">
        <w:rPr>
          <w:rStyle w:val="FootnoteReference"/>
          <w:szCs w:val="24"/>
        </w:rPr>
        <w:footnoteReference w:customMarkFollows="1" w:id="1"/>
        <w:t>*</w:t>
      </w:r>
      <w:r w:rsidRPr="00785133">
        <w:rPr>
          <w:rFonts w:ascii="Times New Roman" w:hAnsi="Times New Roman"/>
        </w:rPr>
        <w:br/>
      </w:r>
      <w:r w:rsidRPr="00785133">
        <w:t>for systems using TDD</w:t>
      </w:r>
    </w:p>
    <w:p w:rsidR="00185711" w:rsidRPr="00185711" w:rsidRDefault="00185711" w:rsidP="00185711">
      <w:pPr>
        <w:rPr>
          <w:lang w:val="en-US"/>
        </w:rPr>
      </w:pPr>
    </w:p>
    <w:p w:rsidR="00185711" w:rsidRPr="00785133" w:rsidRDefault="00185711" w:rsidP="00185711">
      <w:pPr>
        <w:pStyle w:val="Normalaftertitle0"/>
      </w:pPr>
      <w:r w:rsidRPr="00785133">
        <w:t>Let:</w:t>
      </w:r>
      <w:r w:rsidRPr="00785133">
        <w:tab/>
      </w:r>
      <w:r w:rsidRPr="00785133">
        <w:rPr>
          <w:i/>
          <w:iCs/>
        </w:rPr>
        <w:t>f</w:t>
      </w:r>
      <w:r w:rsidRPr="00785133">
        <w:rPr>
          <w:i/>
          <w:iCs/>
          <w:position w:val="-4"/>
          <w:sz w:val="20"/>
        </w:rPr>
        <w:t>r</w:t>
      </w:r>
      <w:r w:rsidRPr="00785133">
        <w:t>:</w:t>
      </w:r>
      <w:r w:rsidRPr="00785133">
        <w:tab/>
        <w:t>be the reference frequency of 92</w:t>
      </w:r>
      <w:r w:rsidRPr="00785133">
        <w:rPr>
          <w:rFonts w:ascii="Tms Rmn" w:hAnsi="Tms Rmn" w:cs="Tms Rmn"/>
          <w:sz w:val="12"/>
          <w:szCs w:val="12"/>
        </w:rPr>
        <w:t> </w:t>
      </w:r>
      <w:r w:rsidRPr="00785133">
        <w:t>000 MHz,</w:t>
      </w:r>
    </w:p>
    <w:p w:rsidR="00185711" w:rsidRPr="00185711" w:rsidRDefault="00185711" w:rsidP="00173686">
      <w:pPr>
        <w:pStyle w:val="enumlev1"/>
        <w:tabs>
          <w:tab w:val="clear" w:pos="1191"/>
          <w:tab w:val="clear" w:pos="1588"/>
          <w:tab w:val="clear" w:pos="1985"/>
          <w:tab w:val="left" w:pos="1871"/>
        </w:tabs>
        <w:rPr>
          <w:lang w:val="en-US"/>
        </w:rPr>
      </w:pPr>
      <w:r w:rsidRPr="00185711">
        <w:rPr>
          <w:lang w:val="en-US"/>
        </w:rPr>
        <w:tab/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position w:val="-4"/>
          <w:sz w:val="20"/>
          <w:lang w:val="en-US"/>
        </w:rPr>
        <w:t>n</w:t>
      </w:r>
      <w:r w:rsidRPr="00185711">
        <w:rPr>
          <w:lang w:val="en-US"/>
        </w:rPr>
        <w:t>:</w:t>
      </w:r>
      <w:r w:rsidRPr="00185711">
        <w:rPr>
          <w:lang w:val="en-US"/>
        </w:rPr>
        <w:tab/>
        <w:t>be the centre frequency of a radio-frequency channel in the band 92-95 GHz,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then the centre frequencies of individual channels are expressed by the following relationships:</w:t>
      </w:r>
    </w:p>
    <w:p w:rsidR="00185711" w:rsidRPr="00185711" w:rsidRDefault="00185711" w:rsidP="00185711">
      <w:pPr>
        <w:pStyle w:val="enumlev1"/>
        <w:rPr>
          <w:lang w:val="en-US"/>
        </w:rPr>
      </w:pPr>
      <w:r w:rsidRPr="00185711">
        <w:rPr>
          <w:lang w:val="en-US"/>
        </w:rPr>
        <w:t>a)</w:t>
      </w:r>
      <w:r w:rsidRPr="00185711">
        <w:rPr>
          <w:lang w:val="en-US"/>
        </w:rPr>
        <w:tab/>
        <w:t>for systems with a channel separation of 100 MHz:</w:t>
      </w:r>
      <w:r w:rsidRPr="00185711">
        <w:rPr>
          <w:lang w:val="en-US"/>
        </w:rPr>
        <w:tab/>
      </w:r>
      <w:r w:rsidRPr="00185711">
        <w:rPr>
          <w:i/>
          <w:lang w:val="en-US"/>
        </w:rPr>
        <w:t>f</w:t>
      </w:r>
      <w:r w:rsidRPr="00185711">
        <w:rPr>
          <w:i/>
          <w:position w:val="-4"/>
          <w:sz w:val="20"/>
          <w:lang w:val="en-US"/>
        </w:rPr>
        <w:t>n</w:t>
      </w:r>
      <w:r w:rsidRPr="00185711">
        <w:rPr>
          <w:lang w:val="en-US"/>
        </w:rPr>
        <w:t> </w:t>
      </w:r>
      <w:r w:rsidRPr="00785133">
        <w:rPr>
          <w:rFonts w:ascii="Symbol" w:hAnsi="Symbol" w:cs="Symbol"/>
        </w:rPr>
        <w:t></w:t>
      </w:r>
      <w:r w:rsidRPr="00185711">
        <w:rPr>
          <w:lang w:val="en-US"/>
        </w:rPr>
        <w:t> </w:t>
      </w:r>
      <w:r w:rsidRPr="00185711">
        <w:rPr>
          <w:i/>
          <w:lang w:val="en-US"/>
        </w:rPr>
        <w:t>f</w:t>
      </w:r>
      <w:r w:rsidRPr="00185711">
        <w:rPr>
          <w:i/>
          <w:position w:val="-4"/>
          <w:sz w:val="20"/>
          <w:lang w:val="en-US"/>
        </w:rPr>
        <w:t>r</w:t>
      </w:r>
      <w:r w:rsidRPr="00185711">
        <w:rPr>
          <w:lang w:val="en-US"/>
        </w:rPr>
        <w:t> </w:t>
      </w:r>
      <w:r w:rsidRPr="00785133">
        <w:rPr>
          <w:rFonts w:ascii="Symbol" w:hAnsi="Symbol" w:cs="Symbol"/>
        </w:rPr>
        <w:t></w:t>
      </w:r>
      <w:r w:rsidRPr="00185711">
        <w:rPr>
          <w:lang w:val="en-US"/>
        </w:rPr>
        <w:t> 100</w:t>
      </w:r>
      <w:r w:rsidR="00173686">
        <w:rPr>
          <w:lang w:val="en-US"/>
        </w:rPr>
        <w:t xml:space="preserve"> </w:t>
      </w:r>
      <w:r w:rsidRPr="00185711">
        <w:rPr>
          <w:i/>
          <w:lang w:val="en-US"/>
        </w:rPr>
        <w:t>n</w:t>
      </w:r>
      <w:r w:rsidRPr="00185711">
        <w:rPr>
          <w:iCs/>
          <w:lang w:val="en-US"/>
        </w:rPr>
        <w:t xml:space="preserve">  </w:t>
      </w:r>
      <w:r w:rsidRPr="00185711">
        <w:rPr>
          <w:lang w:val="en-US"/>
        </w:rPr>
        <w:t>MHz</w:t>
      </w:r>
    </w:p>
    <w:p w:rsidR="00185711" w:rsidRPr="00185711" w:rsidRDefault="00185711" w:rsidP="00173686">
      <w:pPr>
        <w:pStyle w:val="enumlev1"/>
        <w:rPr>
          <w:lang w:val="en-US"/>
        </w:rPr>
      </w:pPr>
      <w:r w:rsidRPr="00185711">
        <w:rPr>
          <w:lang w:val="en-US"/>
        </w:rPr>
        <w:tab/>
        <w:t xml:space="preserve">where: </w:t>
      </w:r>
      <w:r w:rsidRPr="00185711">
        <w:rPr>
          <w:i/>
          <w:iCs/>
          <w:lang w:val="en-US"/>
        </w:rPr>
        <w:t>n</w:t>
      </w:r>
      <w:r w:rsidRPr="00185711">
        <w:rPr>
          <w:lang w:val="en-US"/>
        </w:rPr>
        <w:t xml:space="preserve"> = 1, 2, …</w:t>
      </w:r>
      <w:r w:rsidR="00173686">
        <w:rPr>
          <w:lang w:val="en-US"/>
        </w:rPr>
        <w:t>,</w:t>
      </w:r>
      <w:r w:rsidRPr="00185711">
        <w:rPr>
          <w:lang w:val="en-US"/>
        </w:rPr>
        <w:t xml:space="preserve"> 19, 22, 23, …, 29 (Note</w:t>
      </w:r>
      <w:r w:rsidR="00173686">
        <w:rPr>
          <w:lang w:val="en-US"/>
        </w:rPr>
        <w:t>s</w:t>
      </w:r>
      <w:r w:rsidRPr="00185711">
        <w:rPr>
          <w:lang w:val="en-US"/>
        </w:rPr>
        <w:t xml:space="preserve"> 1 </w:t>
      </w:r>
      <w:r w:rsidR="00173686">
        <w:rPr>
          <w:lang w:val="en-US"/>
        </w:rPr>
        <w:t xml:space="preserve">and </w:t>
      </w:r>
      <w:r w:rsidRPr="00185711">
        <w:rPr>
          <w:lang w:val="en-US"/>
        </w:rPr>
        <w:t>2)</w:t>
      </w:r>
    </w:p>
    <w:p w:rsidR="00185711" w:rsidRPr="00185711" w:rsidRDefault="00185711" w:rsidP="00185711">
      <w:pPr>
        <w:pStyle w:val="enumlev1"/>
        <w:rPr>
          <w:lang w:val="en-US"/>
        </w:rPr>
      </w:pPr>
      <w:r w:rsidRPr="00185711">
        <w:rPr>
          <w:lang w:val="en-US"/>
        </w:rPr>
        <w:t>b)</w:t>
      </w:r>
      <w:r w:rsidRPr="00185711">
        <w:rPr>
          <w:lang w:val="en-US"/>
        </w:rPr>
        <w:tab/>
        <w:t>for systems with a channel separation of 50 MHz:</w:t>
      </w:r>
      <w:r w:rsidRPr="00185711">
        <w:rPr>
          <w:lang w:val="en-US"/>
        </w:rPr>
        <w:tab/>
      </w:r>
      <w:r w:rsidRPr="00185711">
        <w:rPr>
          <w:i/>
          <w:lang w:val="en-US"/>
        </w:rPr>
        <w:t>f</w:t>
      </w:r>
      <w:r w:rsidRPr="00185711">
        <w:rPr>
          <w:i/>
          <w:position w:val="-4"/>
          <w:sz w:val="20"/>
          <w:lang w:val="en-US"/>
        </w:rPr>
        <w:t>n</w:t>
      </w:r>
      <w:r w:rsidRPr="00185711">
        <w:rPr>
          <w:lang w:val="en-US"/>
        </w:rPr>
        <w:t> </w:t>
      </w:r>
      <w:r w:rsidRPr="00785133">
        <w:rPr>
          <w:rFonts w:ascii="Symbol" w:hAnsi="Symbol" w:cs="Symbol"/>
        </w:rPr>
        <w:t></w:t>
      </w:r>
      <w:r w:rsidRPr="00185711">
        <w:rPr>
          <w:lang w:val="en-US"/>
        </w:rPr>
        <w:t> </w:t>
      </w:r>
      <w:r w:rsidRPr="00185711">
        <w:rPr>
          <w:i/>
          <w:lang w:val="en-US"/>
        </w:rPr>
        <w:t>f</w:t>
      </w:r>
      <w:r w:rsidRPr="00185711">
        <w:rPr>
          <w:i/>
          <w:position w:val="-4"/>
          <w:sz w:val="20"/>
          <w:lang w:val="en-US"/>
        </w:rPr>
        <w:t>r</w:t>
      </w:r>
      <w:r w:rsidRPr="00185711">
        <w:rPr>
          <w:lang w:val="en-US"/>
        </w:rPr>
        <w:t> +</w:t>
      </w:r>
      <w:r w:rsidR="00173686">
        <w:rPr>
          <w:lang w:val="en-US"/>
        </w:rPr>
        <w:t> </w:t>
      </w:r>
      <w:r w:rsidRPr="00185711">
        <w:rPr>
          <w:lang w:val="en-US"/>
        </w:rPr>
        <w:t>25</w:t>
      </w:r>
      <w:r w:rsidR="00173686">
        <w:rPr>
          <w:lang w:val="en-US"/>
        </w:rPr>
        <w:t> </w:t>
      </w:r>
      <w:r w:rsidRPr="00785133">
        <w:rPr>
          <w:rFonts w:ascii="Symbol" w:hAnsi="Symbol" w:cs="Symbol"/>
        </w:rPr>
        <w:t></w:t>
      </w:r>
      <w:r w:rsidRPr="00185711">
        <w:rPr>
          <w:lang w:val="en-US"/>
        </w:rPr>
        <w:t> 50</w:t>
      </w:r>
      <w:r w:rsidR="00173686">
        <w:rPr>
          <w:lang w:val="en-US"/>
        </w:rPr>
        <w:t xml:space="preserve"> </w:t>
      </w:r>
      <w:r w:rsidRPr="00185711">
        <w:rPr>
          <w:i/>
          <w:lang w:val="en-US"/>
        </w:rPr>
        <w:t>n</w:t>
      </w:r>
      <w:r w:rsidRPr="00185711">
        <w:rPr>
          <w:iCs/>
          <w:lang w:val="en-US"/>
        </w:rPr>
        <w:t xml:space="preserve">  </w:t>
      </w:r>
      <w:r w:rsidRPr="00185711">
        <w:rPr>
          <w:lang w:val="en-US"/>
        </w:rPr>
        <w:t>MHz</w:t>
      </w:r>
    </w:p>
    <w:p w:rsidR="00185711" w:rsidRPr="00185711" w:rsidRDefault="00185711" w:rsidP="00185711">
      <w:pPr>
        <w:pStyle w:val="enumlev1"/>
        <w:rPr>
          <w:lang w:val="en-US"/>
        </w:rPr>
      </w:pPr>
      <w:r w:rsidRPr="00185711">
        <w:rPr>
          <w:lang w:val="en-US"/>
        </w:rPr>
        <w:tab/>
        <w:t xml:space="preserve">where: </w:t>
      </w:r>
      <w:r w:rsidRPr="00185711">
        <w:rPr>
          <w:i/>
          <w:iCs/>
          <w:lang w:val="en-US"/>
        </w:rPr>
        <w:t>n</w:t>
      </w:r>
      <w:r w:rsidRPr="00185711">
        <w:rPr>
          <w:lang w:val="en-US"/>
        </w:rPr>
        <w:t xml:space="preserve"> = 1, 2, …, 39, 43, 44, …, 58 (Note 1).</w:t>
      </w:r>
    </w:p>
    <w:p w:rsidR="00185711" w:rsidRPr="00185711" w:rsidRDefault="00185711" w:rsidP="00185711">
      <w:pPr>
        <w:pStyle w:val="enumlev1"/>
        <w:rPr>
          <w:lang w:val="en-US"/>
        </w:rPr>
      </w:pPr>
    </w:p>
    <w:p w:rsidR="00185711" w:rsidRPr="00185711" w:rsidRDefault="00185711" w:rsidP="00185711">
      <w:pPr>
        <w:pStyle w:val="FigureNo"/>
        <w:rPr>
          <w:lang w:val="en-US"/>
        </w:rPr>
      </w:pPr>
      <w:r w:rsidRPr="00185711">
        <w:rPr>
          <w:lang w:val="en-US"/>
        </w:rPr>
        <w:t>Figure 1</w:t>
      </w:r>
    </w:p>
    <w:p w:rsidR="00185711" w:rsidRDefault="00185711" w:rsidP="00185711">
      <w:pPr>
        <w:pStyle w:val="Figuretitle"/>
        <w:rPr>
          <w:lang w:val="en-US"/>
        </w:rPr>
      </w:pPr>
      <w:r w:rsidRPr="00185711">
        <w:rPr>
          <w:lang w:val="en-US"/>
        </w:rPr>
        <w:t>Occupied spectrum: 92 to 95 GHz band (Note 1)</w:t>
      </w:r>
    </w:p>
    <w:p w:rsidR="00372FC9" w:rsidRPr="00372FC9" w:rsidRDefault="00372FC9" w:rsidP="00372FC9">
      <w:pPr>
        <w:pStyle w:val="Figure"/>
        <w:rPr>
          <w:lang w:val="en-US"/>
        </w:rPr>
      </w:pPr>
      <w:r>
        <w:rPr>
          <w:lang w:val="en-US"/>
        </w:rPr>
        <w:object w:dxaOrig="12107" w:dyaOrig="94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2.15pt;height:351.35pt" o:ole="">
            <v:imagedata r:id="rId14" o:title=""/>
          </v:shape>
          <o:OLEObject Type="Embed" ProgID="CorelDRAW.Graphic.14" ShapeID="_x0000_i1031" DrawAspect="Content" ObjectID="_1395578490" r:id="rId15"/>
        </w:object>
      </w:r>
    </w:p>
    <w:p w:rsidR="00185711" w:rsidRPr="007E0068" w:rsidRDefault="00185711" w:rsidP="007E0068">
      <w:pPr>
        <w:pStyle w:val="AnnexNo"/>
        <w:rPr>
          <w:b/>
          <w:bCs/>
          <w:caps w:val="0"/>
        </w:rPr>
      </w:pPr>
      <w:bookmarkStart w:id="3" w:name="_GoBack"/>
      <w:bookmarkEnd w:id="3"/>
      <w:r w:rsidRPr="007E0068">
        <w:rPr>
          <w:b/>
          <w:bCs/>
          <w:caps w:val="0"/>
        </w:rPr>
        <w:lastRenderedPageBreak/>
        <w:t>Annex 2</w:t>
      </w:r>
    </w:p>
    <w:p w:rsidR="00185711" w:rsidRPr="00785133" w:rsidRDefault="00185711" w:rsidP="00185711">
      <w:pPr>
        <w:pStyle w:val="Annextitle"/>
        <w:rPr>
          <w:rFonts w:ascii="Times New Roman" w:hAnsi="Times New Roman"/>
        </w:rPr>
      </w:pPr>
      <w:r w:rsidRPr="00785133">
        <w:rPr>
          <w:rFonts w:ascii="Times New Roman" w:hAnsi="Times New Roman"/>
        </w:rPr>
        <w:t>Radio-frequency channel arrangement in the band 92.0-95.0 GHz</w:t>
      </w:r>
      <w:r w:rsidRPr="00785133">
        <w:rPr>
          <w:rStyle w:val="FootnoteReference"/>
          <w:szCs w:val="24"/>
        </w:rPr>
        <w:footnoteReference w:customMarkFollows="1" w:id="2"/>
        <w:t>*</w:t>
      </w:r>
      <w:r w:rsidRPr="00785133">
        <w:rPr>
          <w:rFonts w:ascii="Times New Roman" w:hAnsi="Times New Roman"/>
          <w:szCs w:val="24"/>
        </w:rPr>
        <w:br/>
      </w:r>
      <w:r w:rsidRPr="00785133">
        <w:rPr>
          <w:rFonts w:ascii="Times New Roman" w:hAnsi="Times New Roman"/>
        </w:rPr>
        <w:t>for systems using FDD</w:t>
      </w:r>
    </w:p>
    <w:p w:rsidR="00185711" w:rsidRPr="00785133" w:rsidRDefault="00185711" w:rsidP="00185711">
      <w:pPr>
        <w:pStyle w:val="Normalaftertitle0"/>
      </w:pPr>
      <w:r w:rsidRPr="00785133">
        <w:t>The radio-frequency channel arrangement for channel separations of 100 MHz and 50 MHz shall be derived as follows:</w:t>
      </w:r>
    </w:p>
    <w:p w:rsidR="00185711" w:rsidRPr="00185711" w:rsidRDefault="00185711" w:rsidP="00185711">
      <w:pPr>
        <w:pStyle w:val="enumlev1"/>
        <w:rPr>
          <w:lang w:val="en-US" w:eastAsia="ja-JP"/>
        </w:rPr>
      </w:pPr>
      <w:r w:rsidRPr="00185711">
        <w:rPr>
          <w:lang w:val="en-US"/>
        </w:rPr>
        <w:t>Let</w:t>
      </w:r>
      <w:r w:rsidRPr="00185711">
        <w:rPr>
          <w:lang w:val="en-US"/>
        </w:rPr>
        <w:tab/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r</w:t>
      </w:r>
      <w:r w:rsidRPr="00185711">
        <w:rPr>
          <w:lang w:val="en-US"/>
        </w:rPr>
        <w:t>:</w:t>
      </w:r>
      <w:r w:rsidRPr="00185711">
        <w:rPr>
          <w:lang w:val="en-US"/>
        </w:rPr>
        <w:tab/>
        <w:t>be the reference frequency of 92 000 MHz,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n</w:t>
      </w:r>
      <w:r w:rsidRPr="00185711">
        <w:rPr>
          <w:lang w:val="en-US"/>
        </w:rPr>
        <w:t>:</w:t>
      </w:r>
      <w:r w:rsidRPr="00185711">
        <w:rPr>
          <w:lang w:val="en-US"/>
        </w:rPr>
        <w:tab/>
        <w:t>be the centre frequency (MHz) of the radio-frequency channel in the lower half of the band,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i/>
          <w:iCs/>
          <w:lang w:val="en-US"/>
        </w:rPr>
        <w:t>f</w:t>
      </w:r>
      <w:r w:rsidRPr="00185711">
        <w:rPr>
          <w:lang w:val="en-US" w:eastAsia="en-CA"/>
        </w:rPr>
        <w:t>′</w:t>
      </w:r>
      <w:r w:rsidRPr="00185711">
        <w:rPr>
          <w:i/>
          <w:iCs/>
          <w:vertAlign w:val="subscript"/>
          <w:lang w:val="en-US"/>
        </w:rPr>
        <w:t>n</w:t>
      </w:r>
      <w:r w:rsidRPr="00185711">
        <w:rPr>
          <w:lang w:val="en-US"/>
        </w:rPr>
        <w:t>:</w:t>
      </w:r>
      <w:r w:rsidRPr="00185711">
        <w:rPr>
          <w:lang w:val="en-US"/>
        </w:rPr>
        <w:tab/>
        <w:t>be the centre frequency (MHz) of the radio-frequency channel in the upper half of the band,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lang w:val="en-US"/>
        </w:rPr>
        <w:tab/>
        <w:t>TX/RX separation =</w:t>
      </w:r>
      <w:r w:rsidRPr="00185711">
        <w:rPr>
          <w:lang w:val="en-US"/>
        </w:rPr>
        <w:tab/>
        <w:t>1 500 MHz,</w:t>
      </w:r>
    </w:p>
    <w:p w:rsidR="00185711" w:rsidRPr="00185711" w:rsidRDefault="00185711" w:rsidP="00173686">
      <w:pPr>
        <w:pStyle w:val="enumlev2"/>
        <w:rPr>
          <w:lang w:val="en-US"/>
        </w:rPr>
      </w:pPr>
      <w:r w:rsidRPr="00185711">
        <w:rPr>
          <w:lang w:val="en-US"/>
        </w:rPr>
        <w:tab/>
        <w:t>band separation =</w:t>
      </w:r>
      <w:r w:rsidRPr="00185711">
        <w:rPr>
          <w:lang w:val="en-US"/>
        </w:rPr>
        <w:tab/>
        <w:t>100 MHz,</w:t>
      </w:r>
    </w:p>
    <w:p w:rsidR="00185711" w:rsidRPr="00185711" w:rsidRDefault="00185711" w:rsidP="00185711">
      <w:pPr>
        <w:rPr>
          <w:lang w:val="en-US"/>
        </w:rPr>
      </w:pPr>
      <w:r w:rsidRPr="00185711">
        <w:rPr>
          <w:lang w:val="en-US"/>
        </w:rPr>
        <w:t>then the frequencies (MHz) of individual channels are expressed by the following relationships:</w:t>
      </w:r>
    </w:p>
    <w:p w:rsidR="00185711" w:rsidRPr="00185711" w:rsidRDefault="00185711" w:rsidP="00185711">
      <w:pPr>
        <w:pStyle w:val="enumlev1"/>
        <w:rPr>
          <w:lang w:val="en-US"/>
        </w:rPr>
      </w:pPr>
      <w:r w:rsidRPr="00185711">
        <w:rPr>
          <w:lang w:val="en-US"/>
        </w:rPr>
        <w:t>a)</w:t>
      </w:r>
      <w:r w:rsidRPr="00185711">
        <w:rPr>
          <w:lang w:val="en-US"/>
        </w:rPr>
        <w:tab/>
        <w:t>for systems with a channel separation of 100 MHz: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lang w:val="en-US"/>
        </w:rPr>
        <w:t>lower half of the band:</w:t>
      </w:r>
      <w:r w:rsidRPr="00185711">
        <w:rPr>
          <w:lang w:val="en-US"/>
        </w:rPr>
        <w:tab/>
      </w:r>
      <w:r w:rsidRPr="00185711">
        <w:rPr>
          <w:lang w:val="en-US"/>
        </w:rPr>
        <w:tab/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n</w:t>
      </w:r>
      <w:r w:rsidRPr="00185711">
        <w:rPr>
          <w:lang w:val="en-US"/>
        </w:rPr>
        <w:t xml:space="preserve"> = </w:t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r</w:t>
      </w:r>
      <w:r w:rsidRPr="00185711">
        <w:rPr>
          <w:lang w:val="en-US"/>
        </w:rPr>
        <w:t xml:space="preserve"> + 100 </w:t>
      </w:r>
      <w:r w:rsidRPr="00185711">
        <w:rPr>
          <w:i/>
          <w:iCs/>
          <w:lang w:val="en-US"/>
        </w:rPr>
        <w:t>n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lang w:val="en-US"/>
        </w:rPr>
        <w:t>upper half of the band:</w:t>
      </w:r>
      <w:r w:rsidRPr="00185711">
        <w:rPr>
          <w:lang w:val="en-US"/>
        </w:rPr>
        <w:tab/>
      </w:r>
      <w:r w:rsidRPr="00185711">
        <w:rPr>
          <w:lang w:val="en-US"/>
        </w:rPr>
        <w:tab/>
      </w:r>
      <w:r w:rsidRPr="00185711">
        <w:rPr>
          <w:i/>
          <w:iCs/>
          <w:lang w:val="en-US"/>
        </w:rPr>
        <w:t>f′</w:t>
      </w:r>
      <w:r w:rsidRPr="00185711">
        <w:rPr>
          <w:i/>
          <w:iCs/>
          <w:vertAlign w:val="subscript"/>
          <w:lang w:val="en-US"/>
        </w:rPr>
        <w:t>n</w:t>
      </w:r>
      <w:r w:rsidRPr="00185711">
        <w:rPr>
          <w:lang w:val="en-US"/>
        </w:rPr>
        <w:t xml:space="preserve"> = </w:t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r</w:t>
      </w:r>
      <w:r w:rsidRPr="00185711">
        <w:rPr>
          <w:lang w:val="en-US"/>
        </w:rPr>
        <w:t xml:space="preserve"> + 1 500 + 100</w:t>
      </w:r>
      <w:r w:rsidRPr="00185711">
        <w:rPr>
          <w:i/>
          <w:iCs/>
          <w:lang w:val="en-US"/>
        </w:rPr>
        <w:t xml:space="preserve"> n</w:t>
      </w:r>
    </w:p>
    <w:p w:rsidR="00185711" w:rsidRPr="00185711" w:rsidRDefault="00185711" w:rsidP="00173686">
      <w:pPr>
        <w:pStyle w:val="enumlev2"/>
        <w:rPr>
          <w:lang w:val="en-US"/>
        </w:rPr>
      </w:pPr>
      <w:r w:rsidRPr="00185711">
        <w:rPr>
          <w:lang w:val="en-US"/>
        </w:rPr>
        <w:t xml:space="preserve">where </w:t>
      </w:r>
      <w:r w:rsidRPr="00185711">
        <w:rPr>
          <w:i/>
          <w:iCs/>
          <w:lang w:val="en-US"/>
        </w:rPr>
        <w:t>n</w:t>
      </w:r>
      <w:r w:rsidRPr="00185711">
        <w:rPr>
          <w:lang w:val="en-US"/>
        </w:rPr>
        <w:t xml:space="preserve"> = 1, 2, 3, 4, 7, 8</w:t>
      </w:r>
      <w:r w:rsidR="00173686">
        <w:rPr>
          <w:lang w:val="en-US"/>
        </w:rPr>
        <w:t xml:space="preserve">, </w:t>
      </w:r>
      <w:r w:rsidRPr="00185711">
        <w:rPr>
          <w:lang w:val="en-US"/>
        </w:rPr>
        <w:t>…</w:t>
      </w:r>
      <w:r w:rsidR="00173686">
        <w:rPr>
          <w:lang w:val="en-US"/>
        </w:rPr>
        <w:t>,</w:t>
      </w:r>
      <w:r w:rsidRPr="00185711">
        <w:rPr>
          <w:lang w:val="en-US"/>
        </w:rPr>
        <w:t xml:space="preserve"> 14 (Note</w:t>
      </w:r>
      <w:r w:rsidR="00173686">
        <w:rPr>
          <w:lang w:val="en-US"/>
        </w:rPr>
        <w:t>s</w:t>
      </w:r>
      <w:r w:rsidRPr="00185711">
        <w:rPr>
          <w:lang w:val="en-US"/>
        </w:rPr>
        <w:t xml:space="preserve"> 1</w:t>
      </w:r>
      <w:r w:rsidR="00173686">
        <w:rPr>
          <w:lang w:val="en-US"/>
        </w:rPr>
        <w:t xml:space="preserve"> and</w:t>
      </w:r>
      <w:r w:rsidRPr="00185711">
        <w:rPr>
          <w:lang w:val="en-US"/>
        </w:rPr>
        <w:t xml:space="preserve"> 2)</w:t>
      </w:r>
    </w:p>
    <w:p w:rsidR="00185711" w:rsidRPr="00185711" w:rsidRDefault="00185711" w:rsidP="00185711">
      <w:pPr>
        <w:pStyle w:val="enumlev1"/>
        <w:rPr>
          <w:lang w:val="en-US"/>
        </w:rPr>
      </w:pPr>
      <w:r w:rsidRPr="00185711">
        <w:rPr>
          <w:lang w:val="en-US"/>
        </w:rPr>
        <w:t>b)</w:t>
      </w:r>
      <w:r w:rsidRPr="00185711">
        <w:rPr>
          <w:lang w:val="en-US"/>
        </w:rPr>
        <w:tab/>
        <w:t>for systems with a channel separation of 50 MHz: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lang w:val="en-US"/>
        </w:rPr>
        <w:t>lower half of the band:</w:t>
      </w:r>
      <w:r w:rsidRPr="00185711">
        <w:rPr>
          <w:lang w:val="en-US"/>
        </w:rPr>
        <w:tab/>
      </w:r>
      <w:r w:rsidRPr="00185711">
        <w:rPr>
          <w:lang w:val="en-US"/>
        </w:rPr>
        <w:tab/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n</w:t>
      </w:r>
      <w:r w:rsidRPr="00185711">
        <w:rPr>
          <w:i/>
          <w:iCs/>
          <w:lang w:val="en-US"/>
        </w:rPr>
        <w:t xml:space="preserve"> </w:t>
      </w:r>
      <w:r w:rsidRPr="00185711">
        <w:rPr>
          <w:lang w:val="en-US"/>
        </w:rPr>
        <w:t xml:space="preserve">= </w:t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r</w:t>
      </w:r>
      <w:r w:rsidRPr="00185711">
        <w:rPr>
          <w:lang w:val="en-US"/>
        </w:rPr>
        <w:t xml:space="preserve"> + 25 + 50 </w:t>
      </w:r>
      <w:r w:rsidRPr="00185711">
        <w:rPr>
          <w:i/>
          <w:iCs/>
          <w:lang w:val="en-US"/>
        </w:rPr>
        <w:t>n</w:t>
      </w:r>
    </w:p>
    <w:p w:rsidR="00185711" w:rsidRPr="00185711" w:rsidRDefault="00185711" w:rsidP="00185711">
      <w:pPr>
        <w:pStyle w:val="enumlev2"/>
        <w:rPr>
          <w:lang w:val="en-US"/>
        </w:rPr>
      </w:pPr>
      <w:r w:rsidRPr="00185711">
        <w:rPr>
          <w:lang w:val="en-US"/>
        </w:rPr>
        <w:t>upper half of the band:</w:t>
      </w:r>
      <w:r w:rsidRPr="00185711">
        <w:rPr>
          <w:lang w:val="en-US"/>
        </w:rPr>
        <w:tab/>
      </w:r>
      <w:r w:rsidRPr="00185711">
        <w:rPr>
          <w:lang w:val="en-US"/>
        </w:rPr>
        <w:tab/>
      </w:r>
      <w:r w:rsidRPr="00185711">
        <w:rPr>
          <w:i/>
          <w:iCs/>
          <w:lang w:val="en-US"/>
        </w:rPr>
        <w:t>f</w:t>
      </w:r>
      <w:r w:rsidRPr="00185711">
        <w:rPr>
          <w:lang w:val="en-US" w:eastAsia="en-CA"/>
        </w:rPr>
        <w:t>′</w:t>
      </w:r>
      <w:r w:rsidRPr="00185711">
        <w:rPr>
          <w:i/>
          <w:iCs/>
          <w:vertAlign w:val="subscript"/>
          <w:lang w:val="en-US"/>
        </w:rPr>
        <w:t>n</w:t>
      </w:r>
      <w:r w:rsidRPr="00185711">
        <w:rPr>
          <w:lang w:val="en-US"/>
        </w:rPr>
        <w:t xml:space="preserve"> = </w:t>
      </w:r>
      <w:r w:rsidRPr="00185711">
        <w:rPr>
          <w:i/>
          <w:iCs/>
          <w:lang w:val="en-US"/>
        </w:rPr>
        <w:t>f</w:t>
      </w:r>
      <w:r w:rsidRPr="00185711">
        <w:rPr>
          <w:i/>
          <w:iCs/>
          <w:vertAlign w:val="subscript"/>
          <w:lang w:val="en-US"/>
        </w:rPr>
        <w:t>r</w:t>
      </w:r>
      <w:r w:rsidRPr="00185711">
        <w:rPr>
          <w:i/>
          <w:iCs/>
          <w:lang w:val="en-US"/>
        </w:rPr>
        <w:t xml:space="preserve"> +</w:t>
      </w:r>
      <w:r w:rsidRPr="00185711">
        <w:rPr>
          <w:lang w:val="en-US"/>
        </w:rPr>
        <w:t xml:space="preserve"> 1 525 + 50 </w:t>
      </w:r>
      <w:r w:rsidRPr="00185711">
        <w:rPr>
          <w:i/>
          <w:iCs/>
          <w:lang w:val="en-US"/>
        </w:rPr>
        <w:t>n</w:t>
      </w:r>
    </w:p>
    <w:p w:rsidR="00185711" w:rsidRPr="00173686" w:rsidRDefault="00185711" w:rsidP="00185711">
      <w:pPr>
        <w:pStyle w:val="enumlev2"/>
        <w:rPr>
          <w:lang w:val="en-US"/>
        </w:rPr>
      </w:pPr>
      <w:r w:rsidRPr="00173686">
        <w:rPr>
          <w:lang w:val="en-US"/>
        </w:rPr>
        <w:t xml:space="preserve">where </w:t>
      </w:r>
      <w:r w:rsidRPr="00173686">
        <w:rPr>
          <w:i/>
          <w:iCs/>
          <w:lang w:val="en-US"/>
        </w:rPr>
        <w:t>n</w:t>
      </w:r>
      <w:r w:rsidRPr="00173686">
        <w:rPr>
          <w:lang w:val="en-US"/>
        </w:rPr>
        <w:t xml:space="preserve"> = 1, 2, 3, …</w:t>
      </w:r>
      <w:r w:rsidR="00173686">
        <w:rPr>
          <w:lang w:val="en-US"/>
        </w:rPr>
        <w:t xml:space="preserve">, </w:t>
      </w:r>
      <w:r w:rsidRPr="00173686">
        <w:rPr>
          <w:lang w:val="en-US"/>
        </w:rPr>
        <w:t>9, 12, 13, …</w:t>
      </w:r>
      <w:r w:rsidR="00173686">
        <w:rPr>
          <w:lang w:val="en-US"/>
        </w:rPr>
        <w:t>,</w:t>
      </w:r>
      <w:r w:rsidRPr="00173686">
        <w:rPr>
          <w:lang w:val="en-US"/>
        </w:rPr>
        <w:t xml:space="preserve"> 28 (Note 1).</w:t>
      </w:r>
    </w:p>
    <w:p w:rsidR="00185711" w:rsidRPr="00185711" w:rsidRDefault="00185711" w:rsidP="00185711">
      <w:pPr>
        <w:pStyle w:val="FigureNo"/>
        <w:rPr>
          <w:lang w:val="en-US"/>
        </w:rPr>
      </w:pPr>
      <w:r w:rsidRPr="00185711">
        <w:rPr>
          <w:lang w:val="en-US"/>
        </w:rPr>
        <w:lastRenderedPageBreak/>
        <w:t>Figure 2</w:t>
      </w:r>
    </w:p>
    <w:p w:rsidR="00185711" w:rsidRDefault="00185711" w:rsidP="00185711">
      <w:pPr>
        <w:pStyle w:val="Figuretitle"/>
        <w:rPr>
          <w:lang w:val="en-US"/>
        </w:rPr>
      </w:pPr>
      <w:r w:rsidRPr="00185711">
        <w:rPr>
          <w:lang w:val="en-US"/>
        </w:rPr>
        <w:t>Occupied spectrum: 92.0 to 95.0 GHz band (Note 1)</w:t>
      </w:r>
    </w:p>
    <w:p w:rsidR="00372FC9" w:rsidRPr="00372FC9" w:rsidRDefault="00372FC9" w:rsidP="00372FC9">
      <w:pPr>
        <w:pStyle w:val="Figure"/>
        <w:rPr>
          <w:lang w:val="en-US"/>
        </w:rPr>
      </w:pPr>
      <w:r>
        <w:rPr>
          <w:lang w:val="en-US"/>
        </w:rPr>
        <w:object w:dxaOrig="12107" w:dyaOrig="10097">
          <v:shape id="_x0000_i1035" type="#_x0000_t75" style="width:452.15pt;height:377.3pt" o:ole="">
            <v:imagedata r:id="rId16" o:title=""/>
          </v:shape>
          <o:OLEObject Type="Embed" ProgID="CorelDRAW.Graphic.14" ShapeID="_x0000_i1035" DrawAspect="Content" ObjectID="_1395578491" r:id="rId17"/>
        </w:object>
      </w:r>
    </w:p>
    <w:p w:rsidR="00185711" w:rsidRPr="00185711" w:rsidRDefault="00185711" w:rsidP="00185711">
      <w:pPr>
        <w:rPr>
          <w:lang w:val="en-US"/>
        </w:rPr>
      </w:pPr>
    </w:p>
    <w:p w:rsidR="00185711" w:rsidRPr="00185711" w:rsidRDefault="00185711" w:rsidP="00185711">
      <w:pPr>
        <w:rPr>
          <w:lang w:val="en-US"/>
        </w:rPr>
      </w:pPr>
    </w:p>
    <w:p w:rsidR="00185711" w:rsidRPr="00185711" w:rsidRDefault="00173686" w:rsidP="00173686">
      <w:pPr>
        <w:jc w:val="center"/>
        <w:rPr>
          <w:lang w:val="en-US"/>
        </w:rPr>
      </w:pPr>
      <w:r>
        <w:rPr>
          <w:lang w:val="en-US"/>
        </w:rPr>
        <w:t>____________</w:t>
      </w:r>
    </w:p>
    <w:p w:rsidR="00D26272" w:rsidRPr="00D26272" w:rsidRDefault="00D26272" w:rsidP="00D26272">
      <w:pPr>
        <w:rPr>
          <w:lang w:val="en-US"/>
        </w:rPr>
      </w:pPr>
    </w:p>
    <w:sectPr w:rsidR="00D26272" w:rsidRPr="00D26272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BF4" w:rsidRDefault="00057BF4">
      <w:r>
        <w:separator/>
      </w:r>
    </w:p>
  </w:endnote>
  <w:endnote w:type="continuationSeparator" w:id="0">
    <w:p w:rsidR="00057BF4" w:rsidRDefault="0005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BF4" w:rsidRDefault="00057BF4">
      <w:r>
        <w:separator/>
      </w:r>
    </w:p>
  </w:footnote>
  <w:footnote w:type="continuationSeparator" w:id="0">
    <w:p w:rsidR="00057BF4" w:rsidRDefault="00057BF4">
      <w:r>
        <w:continuationSeparator/>
      </w:r>
    </w:p>
  </w:footnote>
  <w:footnote w:id="1">
    <w:p w:rsidR="00185711" w:rsidRPr="00185711" w:rsidRDefault="00185711" w:rsidP="00185711">
      <w:pPr>
        <w:pStyle w:val="FootnoteText"/>
        <w:rPr>
          <w:lang w:val="en-US" w:eastAsia="ja-JP"/>
        </w:rPr>
      </w:pPr>
      <w:r w:rsidRPr="00185711">
        <w:rPr>
          <w:rStyle w:val="FootnoteReference"/>
          <w:lang w:val="en-US"/>
        </w:rPr>
        <w:t>*</w:t>
      </w:r>
      <w:r w:rsidRPr="00185711">
        <w:rPr>
          <w:lang w:val="en-US"/>
        </w:rPr>
        <w:t xml:space="preserve"> </w:t>
      </w:r>
      <w:r>
        <w:rPr>
          <w:lang w:val="en-US"/>
        </w:rPr>
        <w:tab/>
      </w:r>
      <w:r w:rsidRPr="00185711">
        <w:rPr>
          <w:lang w:val="en-US"/>
        </w:rPr>
        <w:t>The band 94-94.1 GHz is not allocated to the fixed service in the Radio Regulations.</w:t>
      </w:r>
    </w:p>
  </w:footnote>
  <w:footnote w:id="2">
    <w:p w:rsidR="00185711" w:rsidRPr="00185711" w:rsidRDefault="00185711" w:rsidP="00185711">
      <w:pPr>
        <w:pStyle w:val="FootnoteText"/>
        <w:rPr>
          <w:lang w:val="en-US"/>
        </w:rPr>
      </w:pPr>
      <w:r w:rsidRPr="00185711">
        <w:rPr>
          <w:rStyle w:val="FootnoteReference"/>
          <w:lang w:val="en-US"/>
        </w:rPr>
        <w:t>*</w:t>
      </w:r>
      <w:r w:rsidRPr="00185711">
        <w:rPr>
          <w:lang w:val="en-US"/>
        </w:rPr>
        <w:t xml:space="preserve"> </w:t>
      </w:r>
      <w:r>
        <w:rPr>
          <w:lang w:val="en-US"/>
        </w:rPr>
        <w:tab/>
      </w:r>
      <w:r w:rsidRPr="00185711">
        <w:rPr>
          <w:lang w:val="en-US"/>
        </w:rPr>
        <w:t>The band 94-94.1 GHz is not allocated to the fixed service in the Radio Regulations.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Default="007D224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Default="00413059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Pr="00FC42AF" w:rsidRDefault="00A11CB5">
    <w:pPr>
      <w:pStyle w:val="Header"/>
      <w:jc w:val="left"/>
    </w:pPr>
    <w:r>
      <w:rPr>
        <w:rStyle w:val="PageNumber"/>
        <w:b/>
        <w:bCs/>
      </w:rPr>
      <w:fldChar w:fldCharType="begin"/>
    </w:r>
    <w:r w:rsidR="007D224F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B606C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7D224F" w:rsidRPr="00FC42AF">
      <w:tab/>
    </w:r>
    <w:fldSimple w:instr=" DOCPROPERTY &quot;Header&quot; \* MERGEFORMAT ">
      <w:r w:rsidR="007D224F">
        <w:rPr>
          <w:b/>
          <w:bCs/>
        </w:rPr>
        <w:t xml:space="preserve">Rec. </w:t>
      </w:r>
    </w:fldSimple>
    <w:r w:rsidR="007D224F">
      <w:rPr>
        <w:b/>
        <w:bCs/>
      </w:rPr>
      <w:t xml:space="preserve"> </w:t>
    </w:r>
    <w:r>
      <w:rPr>
        <w:b/>
        <w:bCs/>
      </w:rPr>
      <w:fldChar w:fldCharType="begin"/>
    </w:r>
    <w:r w:rsidR="007D224F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BB606C">
      <w:rPr>
        <w:b/>
        <w:bCs/>
        <w:noProof/>
      </w:rPr>
      <w:t>ITU-R  F.2004</w:t>
    </w:r>
    <w:r w:rsidR="00BB606C">
      <w:rPr>
        <w:b/>
        <w:bCs/>
        <w:noProof/>
      </w:rPr>
      <w:cr/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24F" w:rsidRDefault="007D224F" w:rsidP="001B3670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 w:rsidR="001B3670">
      <w:rPr>
        <w:b/>
        <w:bCs/>
      </w:rPr>
      <w:t xml:space="preserve"> ITU-R  F.2004</w:t>
    </w:r>
    <w:r>
      <w:tab/>
    </w:r>
    <w:r w:rsidR="00A11CB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11CB5">
      <w:rPr>
        <w:rStyle w:val="PageNumber"/>
        <w:b/>
        <w:bCs/>
      </w:rPr>
      <w:fldChar w:fldCharType="separate"/>
    </w:r>
    <w:r w:rsidR="00BB606C">
      <w:rPr>
        <w:rStyle w:val="PageNumber"/>
        <w:b/>
        <w:bCs/>
        <w:noProof/>
      </w:rPr>
      <w:t>3</w:t>
    </w:r>
    <w:r w:rsidR="00A11CB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740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69CE"/>
    <w:rsid w:val="00036EE3"/>
    <w:rsid w:val="00057BF4"/>
    <w:rsid w:val="00072484"/>
    <w:rsid w:val="00096612"/>
    <w:rsid w:val="000A4386"/>
    <w:rsid w:val="000B7683"/>
    <w:rsid w:val="000D0677"/>
    <w:rsid w:val="000E6A6E"/>
    <w:rsid w:val="00102934"/>
    <w:rsid w:val="00123703"/>
    <w:rsid w:val="00147110"/>
    <w:rsid w:val="001511A6"/>
    <w:rsid w:val="00173686"/>
    <w:rsid w:val="00185711"/>
    <w:rsid w:val="001B3670"/>
    <w:rsid w:val="002058CE"/>
    <w:rsid w:val="002165F1"/>
    <w:rsid w:val="00276D21"/>
    <w:rsid w:val="00296D7F"/>
    <w:rsid w:val="002B3CF6"/>
    <w:rsid w:val="002C768A"/>
    <w:rsid w:val="002D76C4"/>
    <w:rsid w:val="002F5199"/>
    <w:rsid w:val="00356B5D"/>
    <w:rsid w:val="00372FC9"/>
    <w:rsid w:val="003D6B3C"/>
    <w:rsid w:val="00413059"/>
    <w:rsid w:val="00420DFD"/>
    <w:rsid w:val="00437A76"/>
    <w:rsid w:val="00470E28"/>
    <w:rsid w:val="0048422F"/>
    <w:rsid w:val="004934C5"/>
    <w:rsid w:val="004F65E4"/>
    <w:rsid w:val="00556548"/>
    <w:rsid w:val="00586EF8"/>
    <w:rsid w:val="005B49AB"/>
    <w:rsid w:val="005B50E7"/>
    <w:rsid w:val="005E7B4F"/>
    <w:rsid w:val="00601882"/>
    <w:rsid w:val="00607D68"/>
    <w:rsid w:val="00613212"/>
    <w:rsid w:val="006149B1"/>
    <w:rsid w:val="00677965"/>
    <w:rsid w:val="00680D2B"/>
    <w:rsid w:val="00681B32"/>
    <w:rsid w:val="006A75CC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94726"/>
    <w:rsid w:val="007A6AA8"/>
    <w:rsid w:val="007D224F"/>
    <w:rsid w:val="007E0068"/>
    <w:rsid w:val="00807436"/>
    <w:rsid w:val="008310C9"/>
    <w:rsid w:val="00841BE0"/>
    <w:rsid w:val="00853CC5"/>
    <w:rsid w:val="008C1BAC"/>
    <w:rsid w:val="008C7848"/>
    <w:rsid w:val="00906589"/>
    <w:rsid w:val="00906AD6"/>
    <w:rsid w:val="00917AF2"/>
    <w:rsid w:val="0092418A"/>
    <w:rsid w:val="00934ED7"/>
    <w:rsid w:val="009543C3"/>
    <w:rsid w:val="00966E1B"/>
    <w:rsid w:val="009947C0"/>
    <w:rsid w:val="009F2D2C"/>
    <w:rsid w:val="00A11CB5"/>
    <w:rsid w:val="00A31928"/>
    <w:rsid w:val="00A51727"/>
    <w:rsid w:val="00A62A14"/>
    <w:rsid w:val="00A6617B"/>
    <w:rsid w:val="00A71FE5"/>
    <w:rsid w:val="00A971A1"/>
    <w:rsid w:val="00AA3AD8"/>
    <w:rsid w:val="00AB0DC8"/>
    <w:rsid w:val="00AC5993"/>
    <w:rsid w:val="00B033C8"/>
    <w:rsid w:val="00B33425"/>
    <w:rsid w:val="00B44E24"/>
    <w:rsid w:val="00B54ECC"/>
    <w:rsid w:val="00B714F3"/>
    <w:rsid w:val="00B87B6B"/>
    <w:rsid w:val="00BB606C"/>
    <w:rsid w:val="00BC5D77"/>
    <w:rsid w:val="00BF487A"/>
    <w:rsid w:val="00C46BD9"/>
    <w:rsid w:val="00C55258"/>
    <w:rsid w:val="00C73560"/>
    <w:rsid w:val="00CB0F14"/>
    <w:rsid w:val="00CD659B"/>
    <w:rsid w:val="00CE0A43"/>
    <w:rsid w:val="00CE7A98"/>
    <w:rsid w:val="00D26272"/>
    <w:rsid w:val="00D83556"/>
    <w:rsid w:val="00DF4176"/>
    <w:rsid w:val="00E17240"/>
    <w:rsid w:val="00E406BD"/>
    <w:rsid w:val="00E74595"/>
    <w:rsid w:val="00EB7C57"/>
    <w:rsid w:val="00ED2695"/>
    <w:rsid w:val="00F30C9B"/>
    <w:rsid w:val="00F354B1"/>
    <w:rsid w:val="00FB0E4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740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3D6B3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85711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3D6B3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18571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3D6B3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85711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3D6B3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18571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</TotalTime>
  <Pages>6</Pages>
  <Words>927</Words>
  <Characters>5138</Characters>
  <Application>Microsoft Office Word</Application>
  <DocSecurity>0</DocSecurity>
  <Lines>81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6027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Gachet, Christelle</cp:lastModifiedBy>
  <cp:revision>9</cp:revision>
  <cp:lastPrinted>2009-06-26T13:19:00Z</cp:lastPrinted>
  <dcterms:created xsi:type="dcterms:W3CDTF">2012-03-22T13:43:00Z</dcterms:created>
  <dcterms:modified xsi:type="dcterms:W3CDTF">2012-04-10T13:47:00Z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