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6A2558"/>
    <w:p w:rsidR="006A2558" w:rsidRPr="00575CB8" w:rsidRDefault="006A2558" w:rsidP="006A2558">
      <w:pPr>
        <w:rPr>
          <w:lang w:val="en-US"/>
        </w:rPr>
      </w:pPr>
      <w:bookmarkStart w:id="0" w:name="dbreak"/>
      <w:bookmarkEnd w:id="0"/>
    </w:p>
    <w:p w:rsidR="006A2558" w:rsidRDefault="006A2558" w:rsidP="006A2558"/>
    <w:p w:rsidR="006A2558" w:rsidRDefault="006A2558" w:rsidP="006A2558"/>
    <w:p w:rsidR="006A2558" w:rsidRDefault="006A2558" w:rsidP="006A2558"/>
    <w:p w:rsidR="006A2558" w:rsidRDefault="006A2558" w:rsidP="006A2558"/>
    <w:p w:rsidR="006A2558" w:rsidRDefault="006A2558" w:rsidP="006A2558"/>
    <w:p w:rsidR="006A2558" w:rsidRDefault="006A2558" w:rsidP="006A2558">
      <w:pPr>
        <w:tabs>
          <w:tab w:val="clear" w:pos="794"/>
          <w:tab w:val="clear" w:pos="1191"/>
          <w:tab w:val="clear" w:pos="1588"/>
          <w:tab w:val="clear" w:pos="1985"/>
          <w:tab w:val="left" w:pos="3080"/>
        </w:tabs>
      </w:pPr>
    </w:p>
    <w:p w:rsidR="006A2558" w:rsidRDefault="006A2558" w:rsidP="006A2558"/>
    <w:p w:rsidR="00205AAE" w:rsidRDefault="00205AAE" w:rsidP="006A2558"/>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6A2558" w:rsidRPr="004822E3" w:rsidTr="00A42416">
        <w:tc>
          <w:tcPr>
            <w:tcW w:w="10089" w:type="dxa"/>
          </w:tcPr>
          <w:p w:rsidR="006A2558" w:rsidRPr="0010336F" w:rsidRDefault="006A2558" w:rsidP="00A42416">
            <w:pPr>
              <w:spacing w:before="380" w:line="280" w:lineRule="exact"/>
              <w:jc w:val="right"/>
              <w:rPr>
                <w:rFonts w:ascii="Tahoma" w:hAnsi="Tahoma" w:cs="Tahoma"/>
                <w:b/>
                <w:bCs/>
                <w:iCs/>
                <w:color w:val="243285"/>
                <w:sz w:val="32"/>
                <w:szCs w:val="32"/>
                <w:lang w:val="en-US"/>
              </w:rPr>
            </w:pPr>
          </w:p>
          <w:p w:rsidR="006A2558" w:rsidRPr="0010336F" w:rsidRDefault="006A2558" w:rsidP="006A255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1766-0</w:t>
            </w:r>
          </w:p>
          <w:p w:rsidR="006A2558" w:rsidRPr="0010336F" w:rsidRDefault="006A2558" w:rsidP="006A255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04</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2006</w:t>
            </w:r>
            <w:r w:rsidRPr="0010336F">
              <w:rPr>
                <w:rFonts w:ascii="Tahoma" w:hAnsi="Tahoma" w:cs="Tahoma"/>
                <w:b/>
                <w:bCs/>
                <w:iCs/>
                <w:color w:val="243285"/>
                <w:szCs w:val="24"/>
                <w:lang w:val="es-ES_tradnl"/>
              </w:rPr>
              <w:t>)</w:t>
            </w:r>
          </w:p>
        </w:tc>
      </w:tr>
      <w:tr w:rsidR="006A2558" w:rsidRPr="00064E2D" w:rsidTr="00A42416">
        <w:tc>
          <w:tcPr>
            <w:tcW w:w="10089" w:type="dxa"/>
          </w:tcPr>
          <w:p w:rsidR="006A2558" w:rsidRPr="0010336F" w:rsidRDefault="006A2558" w:rsidP="00A42416">
            <w:pPr>
              <w:spacing w:before="80" w:line="500" w:lineRule="exact"/>
              <w:jc w:val="right"/>
              <w:rPr>
                <w:rFonts w:ascii="Tahoma" w:hAnsi="Tahoma" w:cs="Tahoma"/>
                <w:b/>
                <w:bCs/>
                <w:iCs/>
                <w:color w:val="243285"/>
                <w:sz w:val="44"/>
                <w:szCs w:val="44"/>
                <w:lang w:val="es-ES_tradnl"/>
              </w:rPr>
            </w:pPr>
          </w:p>
          <w:p w:rsidR="006A2558" w:rsidRDefault="00205AAE" w:rsidP="00205AAE">
            <w:pPr>
              <w:spacing w:before="80" w:line="500" w:lineRule="exact"/>
              <w:jc w:val="right"/>
              <w:rPr>
                <w:rFonts w:ascii="Tahoma" w:hAnsi="Tahoma" w:cs="Tahoma"/>
                <w:b/>
                <w:bCs/>
                <w:color w:val="243285"/>
                <w:sz w:val="44"/>
                <w:szCs w:val="44"/>
                <w:lang w:val="es-ES_tradnl"/>
              </w:rPr>
            </w:pPr>
            <w:r w:rsidRPr="00205AAE">
              <w:rPr>
                <w:rFonts w:ascii="Tahoma" w:hAnsi="Tahoma" w:cs="Tahoma"/>
                <w:b/>
                <w:bCs/>
                <w:color w:val="243285"/>
                <w:sz w:val="44"/>
                <w:szCs w:val="44"/>
                <w:lang w:val="es-ES_tradnl"/>
              </w:rPr>
              <w:t>Metodología para determinar</w:t>
            </w:r>
            <w:r>
              <w:rPr>
                <w:rFonts w:ascii="Tahoma" w:hAnsi="Tahoma" w:cs="Tahoma"/>
                <w:b/>
                <w:bCs/>
                <w:color w:val="243285"/>
                <w:sz w:val="44"/>
                <w:szCs w:val="44"/>
                <w:lang w:val="es-ES_tradnl"/>
              </w:rPr>
              <w:t xml:space="preserve"> </w:t>
            </w:r>
            <w:r w:rsidRPr="00205AAE">
              <w:rPr>
                <w:rFonts w:ascii="Tahoma" w:hAnsi="Tahoma" w:cs="Tahoma"/>
                <w:b/>
                <w:bCs/>
                <w:color w:val="243285"/>
                <w:sz w:val="44"/>
                <w:szCs w:val="44"/>
                <w:lang w:val="es-ES_tradnl"/>
              </w:rPr>
              <w:t>la probabilidad de que un observatorio</w:t>
            </w:r>
            <w:r>
              <w:rPr>
                <w:rFonts w:ascii="Tahoma" w:hAnsi="Tahoma" w:cs="Tahoma"/>
                <w:b/>
                <w:bCs/>
                <w:color w:val="243285"/>
                <w:sz w:val="44"/>
                <w:szCs w:val="44"/>
                <w:lang w:val="es-ES_tradnl"/>
              </w:rPr>
              <w:t xml:space="preserve"> </w:t>
            </w:r>
            <w:r w:rsidRPr="00205AAE">
              <w:rPr>
                <w:rFonts w:ascii="Tahoma" w:hAnsi="Tahoma" w:cs="Tahoma"/>
                <w:b/>
                <w:bCs/>
                <w:color w:val="243285"/>
                <w:sz w:val="44"/>
                <w:szCs w:val="44"/>
                <w:lang w:val="es-ES_tradnl"/>
              </w:rPr>
              <w:t>de</w:t>
            </w:r>
            <w:r>
              <w:rPr>
                <w:rFonts w:ascii="Tahoma" w:hAnsi="Tahoma" w:cs="Tahoma"/>
                <w:b/>
                <w:bCs/>
                <w:color w:val="243285"/>
                <w:sz w:val="44"/>
                <w:szCs w:val="44"/>
                <w:lang w:val="es-ES_tradnl"/>
              </w:rPr>
              <w:t xml:space="preserve"> </w:t>
            </w:r>
            <w:r w:rsidRPr="00205AAE">
              <w:rPr>
                <w:rFonts w:ascii="Tahoma" w:hAnsi="Tahoma" w:cs="Tahoma"/>
                <w:b/>
                <w:bCs/>
                <w:color w:val="243285"/>
                <w:sz w:val="44"/>
                <w:szCs w:val="44"/>
                <w:lang w:val="es-ES_tradnl"/>
              </w:rPr>
              <w:t>radioastronomía reciba interferencia basándose en las zonas de</w:t>
            </w:r>
            <w:r>
              <w:rPr>
                <w:rFonts w:ascii="Tahoma" w:hAnsi="Tahoma" w:cs="Tahoma"/>
                <w:b/>
                <w:bCs/>
                <w:color w:val="243285"/>
                <w:sz w:val="44"/>
                <w:szCs w:val="44"/>
                <w:lang w:val="es-ES_tradnl"/>
              </w:rPr>
              <w:t xml:space="preserve"> </w:t>
            </w:r>
            <w:r w:rsidRPr="00205AAE">
              <w:rPr>
                <w:rFonts w:ascii="Tahoma" w:hAnsi="Tahoma" w:cs="Tahoma"/>
                <w:b/>
                <w:bCs/>
                <w:color w:val="243285"/>
                <w:sz w:val="44"/>
                <w:szCs w:val="44"/>
                <w:lang w:val="es-ES_tradnl"/>
              </w:rPr>
              <w:t>exclusión calculadas para protegerse contra la interferencia de</w:t>
            </w:r>
            <w:r>
              <w:rPr>
                <w:rFonts w:ascii="Tahoma" w:hAnsi="Tahoma" w:cs="Tahoma"/>
                <w:b/>
                <w:bCs/>
                <w:color w:val="243285"/>
                <w:sz w:val="44"/>
                <w:szCs w:val="44"/>
                <w:lang w:val="es-ES_tradnl"/>
              </w:rPr>
              <w:t xml:space="preserve"> </w:t>
            </w:r>
            <w:r w:rsidRPr="00205AAE">
              <w:rPr>
                <w:rFonts w:ascii="Tahoma" w:hAnsi="Tahoma" w:cs="Tahoma"/>
                <w:b/>
                <w:bCs/>
                <w:color w:val="243285"/>
                <w:sz w:val="44"/>
                <w:szCs w:val="44"/>
                <w:lang w:val="es-ES_tradnl"/>
              </w:rPr>
              <w:t>las aplicaciones</w:t>
            </w:r>
            <w:r>
              <w:rPr>
                <w:rFonts w:ascii="Tahoma" w:hAnsi="Tahoma" w:cs="Tahoma"/>
                <w:b/>
                <w:bCs/>
                <w:color w:val="243285"/>
                <w:sz w:val="44"/>
                <w:szCs w:val="44"/>
                <w:lang w:val="es-ES_tradnl"/>
              </w:rPr>
              <w:t xml:space="preserve"> de</w:t>
            </w:r>
            <w:r>
              <w:rPr>
                <w:rFonts w:ascii="Tahoma" w:hAnsi="Tahoma" w:cs="Tahoma"/>
                <w:b/>
                <w:bCs/>
                <w:color w:val="243285"/>
                <w:sz w:val="44"/>
                <w:szCs w:val="44"/>
                <w:lang w:val="es-ES_tradnl"/>
              </w:rPr>
              <w:br/>
            </w:r>
            <w:r w:rsidRPr="00205AAE">
              <w:rPr>
                <w:rFonts w:ascii="Tahoma" w:hAnsi="Tahoma" w:cs="Tahoma"/>
                <w:b/>
                <w:bCs/>
                <w:color w:val="243285"/>
                <w:sz w:val="44"/>
                <w:szCs w:val="44"/>
                <w:lang w:val="es-ES_tradnl"/>
              </w:rPr>
              <w:t>alta densidad punto a multipunto</w:t>
            </w:r>
            <w:r>
              <w:rPr>
                <w:rFonts w:ascii="Tahoma" w:hAnsi="Tahoma" w:cs="Tahoma"/>
                <w:b/>
                <w:bCs/>
                <w:color w:val="243285"/>
                <w:sz w:val="44"/>
                <w:szCs w:val="44"/>
                <w:lang w:val="es-ES_tradnl"/>
              </w:rPr>
              <w:br/>
            </w:r>
            <w:r w:rsidRPr="00205AAE">
              <w:rPr>
                <w:rFonts w:ascii="Tahoma" w:hAnsi="Tahoma" w:cs="Tahoma"/>
                <w:b/>
                <w:bCs/>
                <w:color w:val="243285"/>
                <w:sz w:val="44"/>
                <w:szCs w:val="44"/>
                <w:lang w:val="es-ES_tradnl"/>
              </w:rPr>
              <w:t>en el</w:t>
            </w:r>
            <w:r>
              <w:rPr>
                <w:rFonts w:ascii="Tahoma" w:hAnsi="Tahoma" w:cs="Tahoma"/>
                <w:b/>
                <w:bCs/>
                <w:color w:val="243285"/>
                <w:sz w:val="44"/>
                <w:szCs w:val="44"/>
                <w:lang w:val="es-ES_tradnl"/>
              </w:rPr>
              <w:t xml:space="preserve"> </w:t>
            </w:r>
            <w:r w:rsidRPr="00205AAE">
              <w:rPr>
                <w:rFonts w:ascii="Tahoma" w:hAnsi="Tahoma" w:cs="Tahoma"/>
                <w:b/>
                <w:bCs/>
                <w:color w:val="243285"/>
                <w:sz w:val="44"/>
                <w:szCs w:val="44"/>
                <w:lang w:val="es-ES_tradnl"/>
              </w:rPr>
              <w:t>servicio fijo que funcionan</w:t>
            </w:r>
            <w:r>
              <w:rPr>
                <w:rFonts w:ascii="Tahoma" w:hAnsi="Tahoma" w:cs="Tahoma"/>
                <w:b/>
                <w:bCs/>
                <w:color w:val="243285"/>
                <w:sz w:val="44"/>
                <w:szCs w:val="44"/>
                <w:lang w:val="es-ES_tradnl"/>
              </w:rPr>
              <w:br/>
            </w:r>
            <w:r w:rsidRPr="00205AAE">
              <w:rPr>
                <w:rFonts w:ascii="Tahoma" w:hAnsi="Tahoma" w:cs="Tahoma"/>
                <w:b/>
                <w:bCs/>
                <w:color w:val="243285"/>
                <w:sz w:val="44"/>
                <w:szCs w:val="44"/>
                <w:lang w:val="es-ES_tradnl"/>
              </w:rPr>
              <w:t>en bandas en torno a 43 GHz</w:t>
            </w:r>
          </w:p>
          <w:p w:rsidR="006A2558" w:rsidRPr="0010336F" w:rsidRDefault="006A2558" w:rsidP="00A42416">
            <w:pPr>
              <w:spacing w:before="80" w:line="500" w:lineRule="exact"/>
              <w:jc w:val="right"/>
              <w:rPr>
                <w:rFonts w:ascii="Tahoma" w:hAnsi="Tahoma" w:cs="Tahoma"/>
                <w:b/>
                <w:bCs/>
                <w:iCs/>
                <w:color w:val="243285"/>
                <w:sz w:val="44"/>
                <w:szCs w:val="44"/>
                <w:lang w:val="es-ES_tradnl"/>
              </w:rPr>
            </w:pPr>
          </w:p>
        </w:tc>
      </w:tr>
      <w:tr w:rsidR="006A2558" w:rsidRPr="0026666F" w:rsidTr="00A42416">
        <w:tc>
          <w:tcPr>
            <w:tcW w:w="10089" w:type="dxa"/>
          </w:tcPr>
          <w:p w:rsidR="00205AAE" w:rsidRPr="0010336F" w:rsidRDefault="00205AAE" w:rsidP="00A42416">
            <w:pPr>
              <w:spacing w:before="80" w:line="280" w:lineRule="exact"/>
              <w:ind w:right="640"/>
              <w:rPr>
                <w:rFonts w:ascii="Tahoma" w:hAnsi="Tahoma" w:cs="Tahoma"/>
                <w:b/>
                <w:bCs/>
                <w:iCs/>
                <w:color w:val="243285"/>
                <w:sz w:val="32"/>
                <w:szCs w:val="32"/>
                <w:lang w:val="es-ES_tradnl"/>
              </w:rPr>
            </w:pPr>
          </w:p>
          <w:p w:rsidR="006A2558" w:rsidRPr="0010336F" w:rsidRDefault="006A2558" w:rsidP="00A42416">
            <w:pPr>
              <w:spacing w:before="80" w:after="180" w:line="360" w:lineRule="exact"/>
              <w:ind w:right="720"/>
              <w:rPr>
                <w:rFonts w:ascii="Tahoma" w:hAnsi="Tahoma" w:cs="Tahoma"/>
                <w:b/>
                <w:bCs/>
                <w:iCs/>
                <w:color w:val="243285"/>
                <w:sz w:val="36"/>
                <w:szCs w:val="36"/>
                <w:lang w:val="es-ES_tradnl"/>
              </w:rPr>
            </w:pPr>
          </w:p>
          <w:p w:rsidR="006A2558" w:rsidRPr="0010336F" w:rsidRDefault="006A2558" w:rsidP="00A4241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6A2558" w:rsidRPr="0010336F" w:rsidRDefault="006A2558" w:rsidP="00A42416">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6A2558" w:rsidRPr="0026666F" w:rsidRDefault="006A2558" w:rsidP="006A2558">
      <w:pPr>
        <w:spacing w:before="80"/>
        <w:rPr>
          <w:i/>
          <w:sz w:val="22"/>
          <w:lang w:val="es-ES_tradnl"/>
        </w:rPr>
      </w:pPr>
    </w:p>
    <w:p w:rsidR="006A2558" w:rsidRPr="0026666F" w:rsidRDefault="006A2558" w:rsidP="006A2558">
      <w:pPr>
        <w:spacing w:before="80"/>
        <w:rPr>
          <w:i/>
          <w:sz w:val="22"/>
          <w:lang w:val="es-ES_tradnl"/>
        </w:rPr>
      </w:pPr>
    </w:p>
    <w:p w:rsidR="006A2558" w:rsidRPr="0026666F" w:rsidRDefault="006A2558" w:rsidP="006A2558">
      <w:pPr>
        <w:spacing w:before="80"/>
        <w:rPr>
          <w:i/>
          <w:sz w:val="22"/>
          <w:lang w:val="es-ES_tradnl"/>
        </w:rPr>
      </w:pPr>
    </w:p>
    <w:p w:rsidR="006A2558" w:rsidRPr="0026666F" w:rsidRDefault="006A2558" w:rsidP="006A2558">
      <w:pPr>
        <w:spacing w:before="80"/>
        <w:rPr>
          <w:i/>
          <w:sz w:val="22"/>
          <w:lang w:val="es-ES_tradnl"/>
        </w:rPr>
      </w:pPr>
    </w:p>
    <w:p w:rsidR="006A2558" w:rsidRPr="0026666F" w:rsidRDefault="006A2558" w:rsidP="006A2558">
      <w:pPr>
        <w:spacing w:before="80"/>
        <w:rPr>
          <w:i/>
          <w:sz w:val="22"/>
          <w:lang w:val="es-ES_tradnl"/>
        </w:rPr>
      </w:pPr>
    </w:p>
    <w:p w:rsidR="006A2558" w:rsidRPr="0026666F" w:rsidRDefault="006A2558" w:rsidP="006A2558">
      <w:pPr>
        <w:spacing w:before="80"/>
        <w:rPr>
          <w:i/>
          <w:sz w:val="22"/>
          <w:lang w:val="es-ES_tradnl"/>
        </w:rPr>
      </w:pPr>
    </w:p>
    <w:p w:rsidR="006A2558" w:rsidRPr="0026666F" w:rsidRDefault="006A2558" w:rsidP="006A2558">
      <w:pPr>
        <w:pStyle w:val="Equation"/>
        <w:tabs>
          <w:tab w:val="clear" w:pos="4820"/>
          <w:tab w:val="clear" w:pos="9639"/>
          <w:tab w:val="left" w:pos="1191"/>
          <w:tab w:val="left" w:pos="1588"/>
          <w:tab w:val="left" w:pos="1985"/>
        </w:tabs>
        <w:rPr>
          <w:rFonts w:ascii="Palatino Linotype" w:hAnsi="Palatino Linotype"/>
          <w:lang w:val="es-ES_tradnl"/>
        </w:rPr>
        <w:sectPr w:rsidR="006A2558" w:rsidRPr="0026666F">
          <w:headerReference w:type="even" r:id="rId6"/>
          <w:headerReference w:type="default" r:id="rId7"/>
          <w:pgSz w:w="11907" w:h="16840" w:code="9"/>
          <w:pgMar w:top="1089" w:right="1089" w:bottom="284" w:left="1089" w:header="567" w:footer="284" w:gutter="0"/>
          <w:pgNumType w:start="1"/>
          <w:cols w:space="720"/>
        </w:sectPr>
      </w:pPr>
    </w:p>
    <w:p w:rsidR="006A2558" w:rsidRPr="006C718C" w:rsidRDefault="006A2558" w:rsidP="006A25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6A2558" w:rsidRPr="006C718C" w:rsidRDefault="006A2558" w:rsidP="006A255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A2558" w:rsidRPr="006C718C" w:rsidRDefault="006A2558" w:rsidP="006A255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A2558" w:rsidRPr="00021E8A" w:rsidRDefault="006A2558" w:rsidP="006A255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A2558" w:rsidRPr="00021E8A" w:rsidRDefault="006A2558" w:rsidP="006A255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A2558" w:rsidRPr="007C36CA" w:rsidRDefault="006A2558" w:rsidP="006A2558">
      <w:pPr>
        <w:spacing w:before="0"/>
        <w:jc w:val="center"/>
        <w:rPr>
          <w:sz w:val="22"/>
          <w:lang w:val="es-ES_tradnl"/>
        </w:rPr>
      </w:pPr>
    </w:p>
    <w:p w:rsidR="006A2558" w:rsidRPr="007C36CA" w:rsidRDefault="006A2558" w:rsidP="006A255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A2558" w:rsidRPr="00064E2D" w:rsidTr="00A42416">
        <w:tc>
          <w:tcPr>
            <w:tcW w:w="9360" w:type="dxa"/>
            <w:gridSpan w:val="2"/>
          </w:tcPr>
          <w:p w:rsidR="006A2558" w:rsidRPr="00021E8A" w:rsidRDefault="006A2558" w:rsidP="00A4241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A2558" w:rsidRPr="00763D08" w:rsidRDefault="006A2558" w:rsidP="00A424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6A2558" w:rsidRPr="00036EE3" w:rsidTr="00A42416">
        <w:tc>
          <w:tcPr>
            <w:tcW w:w="1140" w:type="dxa"/>
            <w:tcBorders>
              <w:bottom w:val="nil"/>
            </w:tcBorders>
          </w:tcPr>
          <w:p w:rsidR="006A2558" w:rsidRPr="00036EE3" w:rsidRDefault="006A2558" w:rsidP="00A42416">
            <w:pPr>
              <w:spacing w:before="180" w:after="100"/>
              <w:ind w:left="57"/>
              <w:rPr>
                <w:b/>
                <w:bCs/>
                <w:sz w:val="20"/>
                <w:lang w:val="en-US"/>
              </w:rPr>
            </w:pPr>
            <w:r w:rsidRPr="00036EE3">
              <w:rPr>
                <w:b/>
                <w:bCs/>
                <w:sz w:val="20"/>
                <w:lang w:val="en-US"/>
              </w:rPr>
              <w:t>Series</w:t>
            </w:r>
          </w:p>
        </w:tc>
        <w:tc>
          <w:tcPr>
            <w:tcW w:w="8220" w:type="dxa"/>
            <w:tcBorders>
              <w:bottom w:val="nil"/>
            </w:tcBorders>
          </w:tcPr>
          <w:p w:rsidR="006A2558" w:rsidRPr="00036EE3" w:rsidRDefault="006A2558" w:rsidP="00A424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A2558" w:rsidRPr="004532F7" w:rsidTr="00A42416">
        <w:tc>
          <w:tcPr>
            <w:tcW w:w="1140" w:type="dxa"/>
            <w:tcBorders>
              <w:top w:val="nil"/>
              <w:bottom w:val="nil"/>
            </w:tcBorders>
            <w:shd w:val="clear" w:color="auto" w:fill="auto"/>
          </w:tcPr>
          <w:p w:rsidR="006A2558" w:rsidRPr="004532F7" w:rsidRDefault="006A2558" w:rsidP="00A42416">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6A2558" w:rsidRPr="004532F7" w:rsidRDefault="006A2558" w:rsidP="00A424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A2558" w:rsidRPr="00064E2D" w:rsidTr="00A42416">
        <w:tc>
          <w:tcPr>
            <w:tcW w:w="1140" w:type="dxa"/>
            <w:tcBorders>
              <w:top w:val="nil"/>
              <w:bottom w:val="nil"/>
            </w:tcBorders>
            <w:shd w:val="clear" w:color="auto" w:fill="auto"/>
          </w:tcPr>
          <w:p w:rsidR="006A2558" w:rsidRPr="006B22C3" w:rsidRDefault="006A2558" w:rsidP="00A42416">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6A2558" w:rsidRPr="006B22C3" w:rsidRDefault="006A2558" w:rsidP="00A424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A2558" w:rsidRPr="00847DD5" w:rsidTr="00A42416">
        <w:tc>
          <w:tcPr>
            <w:tcW w:w="1140" w:type="dxa"/>
            <w:tcBorders>
              <w:top w:val="nil"/>
              <w:bottom w:val="nil"/>
            </w:tcBorders>
            <w:shd w:val="clear" w:color="auto" w:fill="auto"/>
          </w:tcPr>
          <w:p w:rsidR="006A2558" w:rsidRPr="00847DD5" w:rsidRDefault="006A2558" w:rsidP="00A42416">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6A2558" w:rsidRPr="00847DD5" w:rsidRDefault="006A2558" w:rsidP="00A424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A2558" w:rsidRPr="00ED2695" w:rsidTr="00A42416">
        <w:tc>
          <w:tcPr>
            <w:tcW w:w="1140" w:type="dxa"/>
            <w:tcBorders>
              <w:top w:val="nil"/>
              <w:bottom w:val="nil"/>
            </w:tcBorders>
            <w:shd w:val="clear" w:color="auto" w:fill="auto"/>
          </w:tcPr>
          <w:p w:rsidR="006A2558" w:rsidRPr="00ED2695" w:rsidRDefault="006A2558" w:rsidP="00A4241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A2558" w:rsidRPr="00021E8A" w:rsidRDefault="006A2558" w:rsidP="00A424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A2558" w:rsidRPr="00847DD5" w:rsidTr="00A42416">
        <w:tc>
          <w:tcPr>
            <w:tcW w:w="1140" w:type="dxa"/>
            <w:tcBorders>
              <w:top w:val="nil"/>
              <w:bottom w:val="nil"/>
            </w:tcBorders>
            <w:shd w:val="clear" w:color="auto" w:fill="F3F3F3"/>
          </w:tcPr>
          <w:p w:rsidR="006A2558" w:rsidRPr="00847DD5" w:rsidRDefault="006A2558" w:rsidP="00A42416">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6A2558" w:rsidRPr="00847DD5" w:rsidRDefault="006A2558" w:rsidP="00A424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6A2558" w:rsidRPr="00064E2D" w:rsidTr="00A42416">
        <w:tc>
          <w:tcPr>
            <w:tcW w:w="1140" w:type="dxa"/>
            <w:tcBorders>
              <w:top w:val="nil"/>
              <w:bottom w:val="nil"/>
            </w:tcBorders>
            <w:shd w:val="clear" w:color="auto" w:fill="auto"/>
          </w:tcPr>
          <w:p w:rsidR="006A2558" w:rsidRPr="0010336F" w:rsidRDefault="006A2558" w:rsidP="00A4241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6A2558" w:rsidRPr="0010336F" w:rsidRDefault="006A2558" w:rsidP="00A424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A2558" w:rsidRPr="00064E2D" w:rsidTr="00A42416">
        <w:tc>
          <w:tcPr>
            <w:tcW w:w="1140" w:type="dxa"/>
            <w:tcBorders>
              <w:top w:val="nil"/>
            </w:tcBorders>
          </w:tcPr>
          <w:p w:rsidR="006A2558" w:rsidRPr="00036EE3" w:rsidRDefault="006A2558" w:rsidP="00A42416">
            <w:pPr>
              <w:spacing w:before="30" w:after="30"/>
              <w:ind w:left="57"/>
              <w:jc w:val="left"/>
              <w:rPr>
                <w:b/>
                <w:bCs/>
                <w:sz w:val="20"/>
                <w:lang w:val="fr-CH"/>
              </w:rPr>
            </w:pPr>
            <w:r w:rsidRPr="00036EE3">
              <w:rPr>
                <w:b/>
                <w:bCs/>
                <w:sz w:val="20"/>
                <w:lang w:val="fr-CH"/>
              </w:rPr>
              <w:t>P</w:t>
            </w:r>
          </w:p>
        </w:tc>
        <w:tc>
          <w:tcPr>
            <w:tcW w:w="8220" w:type="dxa"/>
            <w:tcBorders>
              <w:top w:val="nil"/>
            </w:tcBorders>
          </w:tcPr>
          <w:p w:rsidR="006A2558" w:rsidRPr="00021E8A" w:rsidRDefault="006A2558" w:rsidP="00A42416">
            <w:pPr>
              <w:spacing w:before="30" w:after="30"/>
              <w:jc w:val="left"/>
              <w:rPr>
                <w:bCs/>
                <w:sz w:val="20"/>
                <w:lang w:val="es-ES_tradnl"/>
              </w:rPr>
            </w:pPr>
            <w:r w:rsidRPr="00021E8A">
              <w:rPr>
                <w:bCs/>
                <w:sz w:val="20"/>
                <w:lang w:val="es-ES_tradnl"/>
              </w:rPr>
              <w:t>Propagación de las ondas radioeléctricas</w:t>
            </w:r>
          </w:p>
        </w:tc>
      </w:tr>
      <w:tr w:rsidR="006A2558" w:rsidRPr="00036EE3" w:rsidTr="00A42416">
        <w:tc>
          <w:tcPr>
            <w:tcW w:w="1140" w:type="dxa"/>
          </w:tcPr>
          <w:p w:rsidR="006A2558" w:rsidRPr="00036EE3" w:rsidRDefault="006A2558" w:rsidP="00A42416">
            <w:pPr>
              <w:spacing w:before="30" w:after="30"/>
              <w:ind w:left="57"/>
              <w:jc w:val="left"/>
              <w:rPr>
                <w:b/>
                <w:bCs/>
                <w:sz w:val="20"/>
                <w:lang w:val="en-US"/>
              </w:rPr>
            </w:pPr>
            <w:r w:rsidRPr="00036EE3">
              <w:rPr>
                <w:b/>
                <w:bCs/>
                <w:sz w:val="20"/>
                <w:lang w:val="en-US"/>
              </w:rPr>
              <w:t>RA</w:t>
            </w:r>
          </w:p>
        </w:tc>
        <w:tc>
          <w:tcPr>
            <w:tcW w:w="8220" w:type="dxa"/>
          </w:tcPr>
          <w:p w:rsidR="006A2558" w:rsidRPr="00021E8A" w:rsidRDefault="006A2558" w:rsidP="00A424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6A2558" w:rsidRPr="00064E2D" w:rsidTr="00A42416">
        <w:tc>
          <w:tcPr>
            <w:tcW w:w="1140" w:type="dxa"/>
          </w:tcPr>
          <w:p w:rsidR="006A2558" w:rsidRPr="00036EE3" w:rsidRDefault="006A2558" w:rsidP="00A42416">
            <w:pPr>
              <w:spacing w:before="30" w:after="30"/>
              <w:ind w:left="57"/>
              <w:jc w:val="left"/>
              <w:rPr>
                <w:b/>
                <w:bCs/>
                <w:sz w:val="20"/>
                <w:lang w:val="en-US"/>
              </w:rPr>
            </w:pPr>
            <w:r w:rsidRPr="00036EE3">
              <w:rPr>
                <w:b/>
                <w:bCs/>
                <w:sz w:val="20"/>
                <w:lang w:val="en-US"/>
              </w:rPr>
              <w:t>RS</w:t>
            </w:r>
          </w:p>
        </w:tc>
        <w:tc>
          <w:tcPr>
            <w:tcW w:w="8220" w:type="dxa"/>
          </w:tcPr>
          <w:p w:rsidR="006A2558" w:rsidRPr="00021E8A" w:rsidRDefault="006A2558" w:rsidP="00A424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A2558" w:rsidRPr="00036EE3" w:rsidTr="00A42416">
        <w:tc>
          <w:tcPr>
            <w:tcW w:w="1140" w:type="dxa"/>
          </w:tcPr>
          <w:p w:rsidR="006A2558" w:rsidRPr="00036EE3" w:rsidRDefault="006A2558" w:rsidP="00A42416">
            <w:pPr>
              <w:spacing w:before="30" w:after="30"/>
              <w:ind w:left="57"/>
              <w:jc w:val="left"/>
              <w:rPr>
                <w:b/>
                <w:bCs/>
                <w:sz w:val="20"/>
                <w:lang w:val="en-US"/>
              </w:rPr>
            </w:pPr>
            <w:r w:rsidRPr="00036EE3">
              <w:rPr>
                <w:b/>
                <w:bCs/>
                <w:sz w:val="20"/>
                <w:lang w:val="en-US"/>
              </w:rPr>
              <w:t>S</w:t>
            </w:r>
          </w:p>
        </w:tc>
        <w:tc>
          <w:tcPr>
            <w:tcW w:w="8220" w:type="dxa"/>
          </w:tcPr>
          <w:p w:rsidR="006A2558" w:rsidRPr="00021E8A" w:rsidRDefault="006A2558" w:rsidP="00A42416">
            <w:pPr>
              <w:spacing w:before="30" w:after="30"/>
              <w:jc w:val="left"/>
              <w:rPr>
                <w:bCs/>
                <w:sz w:val="20"/>
                <w:lang w:val="en-US"/>
              </w:rPr>
            </w:pPr>
            <w:r w:rsidRPr="00021E8A">
              <w:rPr>
                <w:bCs/>
                <w:sz w:val="20"/>
              </w:rPr>
              <w:t>Servicio fijo por satélite</w:t>
            </w:r>
          </w:p>
        </w:tc>
      </w:tr>
      <w:tr w:rsidR="006A2558" w:rsidRPr="00036EE3" w:rsidTr="00A42416">
        <w:tc>
          <w:tcPr>
            <w:tcW w:w="1140" w:type="dxa"/>
          </w:tcPr>
          <w:p w:rsidR="006A2558" w:rsidRPr="00036EE3" w:rsidRDefault="006A2558" w:rsidP="00A42416">
            <w:pPr>
              <w:spacing w:before="30" w:after="30"/>
              <w:ind w:left="57"/>
              <w:jc w:val="left"/>
              <w:rPr>
                <w:b/>
                <w:bCs/>
                <w:sz w:val="20"/>
                <w:lang w:val="en-US"/>
              </w:rPr>
            </w:pPr>
            <w:r w:rsidRPr="00036EE3">
              <w:rPr>
                <w:b/>
                <w:bCs/>
                <w:sz w:val="20"/>
                <w:lang w:val="en-US"/>
              </w:rPr>
              <w:t>SA</w:t>
            </w:r>
          </w:p>
        </w:tc>
        <w:tc>
          <w:tcPr>
            <w:tcW w:w="8220" w:type="dxa"/>
          </w:tcPr>
          <w:p w:rsidR="006A2558" w:rsidRPr="00021E8A" w:rsidRDefault="006A2558" w:rsidP="00A42416">
            <w:pPr>
              <w:spacing w:before="30" w:after="30"/>
              <w:jc w:val="left"/>
              <w:rPr>
                <w:bCs/>
                <w:sz w:val="20"/>
                <w:lang w:val="en-US"/>
              </w:rPr>
            </w:pPr>
            <w:r w:rsidRPr="00021E8A">
              <w:rPr>
                <w:bCs/>
                <w:sz w:val="20"/>
              </w:rPr>
              <w:t>Aplicaciones espaciales y meteorología</w:t>
            </w:r>
          </w:p>
        </w:tc>
      </w:tr>
      <w:tr w:rsidR="006A2558" w:rsidRPr="00064E2D" w:rsidTr="00A42416">
        <w:tc>
          <w:tcPr>
            <w:tcW w:w="1140" w:type="dxa"/>
          </w:tcPr>
          <w:p w:rsidR="006A2558" w:rsidRPr="00036EE3" w:rsidRDefault="006A2558" w:rsidP="00A42416">
            <w:pPr>
              <w:spacing w:before="30" w:after="30"/>
              <w:ind w:left="57"/>
              <w:jc w:val="left"/>
              <w:rPr>
                <w:b/>
                <w:bCs/>
                <w:sz w:val="20"/>
                <w:lang w:val="en-US"/>
              </w:rPr>
            </w:pPr>
            <w:r w:rsidRPr="00036EE3">
              <w:rPr>
                <w:b/>
                <w:bCs/>
                <w:sz w:val="20"/>
                <w:lang w:val="en-US"/>
              </w:rPr>
              <w:t>SF</w:t>
            </w:r>
          </w:p>
        </w:tc>
        <w:tc>
          <w:tcPr>
            <w:tcW w:w="8220" w:type="dxa"/>
          </w:tcPr>
          <w:p w:rsidR="006A2558" w:rsidRPr="00021E8A" w:rsidRDefault="006A2558" w:rsidP="00A4241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A2558" w:rsidRPr="00036EE3" w:rsidTr="00A42416">
        <w:tc>
          <w:tcPr>
            <w:tcW w:w="1140" w:type="dxa"/>
            <w:shd w:val="clear" w:color="auto" w:fill="auto"/>
          </w:tcPr>
          <w:p w:rsidR="006A2558" w:rsidRPr="001240BC" w:rsidRDefault="006A2558" w:rsidP="00A42416">
            <w:pPr>
              <w:spacing w:before="30" w:after="30"/>
              <w:ind w:left="57"/>
              <w:jc w:val="left"/>
              <w:rPr>
                <w:b/>
                <w:bCs/>
                <w:sz w:val="20"/>
                <w:lang w:val="en-US"/>
              </w:rPr>
            </w:pPr>
            <w:r w:rsidRPr="001240BC">
              <w:rPr>
                <w:b/>
                <w:bCs/>
                <w:sz w:val="20"/>
                <w:lang w:val="en-US"/>
              </w:rPr>
              <w:t>SM</w:t>
            </w:r>
          </w:p>
        </w:tc>
        <w:tc>
          <w:tcPr>
            <w:tcW w:w="8220" w:type="dxa"/>
            <w:shd w:val="clear" w:color="auto" w:fill="auto"/>
          </w:tcPr>
          <w:p w:rsidR="006A2558" w:rsidRPr="001240BC" w:rsidRDefault="006A2558" w:rsidP="00A42416">
            <w:pPr>
              <w:spacing w:before="30" w:after="30"/>
              <w:jc w:val="left"/>
              <w:rPr>
                <w:sz w:val="20"/>
                <w:lang w:val="en-US"/>
              </w:rPr>
            </w:pPr>
            <w:r w:rsidRPr="001240BC">
              <w:rPr>
                <w:sz w:val="20"/>
              </w:rPr>
              <w:t>Gestión del espectro</w:t>
            </w:r>
          </w:p>
        </w:tc>
      </w:tr>
      <w:tr w:rsidR="006A2558" w:rsidRPr="00036EE3" w:rsidTr="00A42416">
        <w:tc>
          <w:tcPr>
            <w:tcW w:w="1140" w:type="dxa"/>
          </w:tcPr>
          <w:p w:rsidR="006A2558" w:rsidRPr="00036EE3" w:rsidRDefault="006A2558" w:rsidP="00A42416">
            <w:pPr>
              <w:spacing w:before="30" w:after="30"/>
              <w:ind w:left="57"/>
              <w:jc w:val="left"/>
              <w:rPr>
                <w:b/>
                <w:bCs/>
                <w:sz w:val="20"/>
                <w:lang w:val="en-US"/>
              </w:rPr>
            </w:pPr>
            <w:r w:rsidRPr="00036EE3">
              <w:rPr>
                <w:b/>
                <w:bCs/>
                <w:sz w:val="20"/>
                <w:lang w:val="en-US"/>
              </w:rPr>
              <w:t>SNG</w:t>
            </w:r>
          </w:p>
        </w:tc>
        <w:tc>
          <w:tcPr>
            <w:tcW w:w="8220" w:type="dxa"/>
          </w:tcPr>
          <w:p w:rsidR="006A2558" w:rsidRPr="00021E8A" w:rsidRDefault="006A2558" w:rsidP="00A42416">
            <w:pPr>
              <w:spacing w:before="30" w:after="30"/>
              <w:jc w:val="left"/>
              <w:rPr>
                <w:bCs/>
                <w:sz w:val="20"/>
                <w:lang w:val="en-US"/>
              </w:rPr>
            </w:pPr>
            <w:r w:rsidRPr="00021E8A">
              <w:rPr>
                <w:bCs/>
                <w:sz w:val="20"/>
              </w:rPr>
              <w:t>Periodismo electrónico por satélite</w:t>
            </w:r>
          </w:p>
        </w:tc>
      </w:tr>
      <w:tr w:rsidR="006A2558" w:rsidRPr="00064E2D" w:rsidTr="00A42416">
        <w:tc>
          <w:tcPr>
            <w:tcW w:w="1140" w:type="dxa"/>
          </w:tcPr>
          <w:p w:rsidR="006A2558" w:rsidRPr="00036EE3" w:rsidRDefault="006A2558" w:rsidP="00A42416">
            <w:pPr>
              <w:spacing w:before="30" w:after="30"/>
              <w:ind w:left="57"/>
              <w:jc w:val="left"/>
              <w:rPr>
                <w:b/>
                <w:bCs/>
                <w:sz w:val="20"/>
                <w:lang w:val="en-US"/>
              </w:rPr>
            </w:pPr>
            <w:r w:rsidRPr="00036EE3">
              <w:rPr>
                <w:b/>
                <w:bCs/>
                <w:sz w:val="20"/>
                <w:lang w:val="en-US"/>
              </w:rPr>
              <w:t>TF</w:t>
            </w:r>
          </w:p>
        </w:tc>
        <w:tc>
          <w:tcPr>
            <w:tcW w:w="8220" w:type="dxa"/>
          </w:tcPr>
          <w:p w:rsidR="006A2558" w:rsidRPr="00021E8A" w:rsidRDefault="006A2558" w:rsidP="00A42416">
            <w:pPr>
              <w:spacing w:before="30" w:after="30"/>
              <w:jc w:val="left"/>
              <w:rPr>
                <w:bCs/>
                <w:sz w:val="20"/>
                <w:lang w:val="es-ES_tradnl"/>
              </w:rPr>
            </w:pPr>
            <w:r w:rsidRPr="00021E8A">
              <w:rPr>
                <w:bCs/>
                <w:sz w:val="20"/>
                <w:lang w:val="es-ES_tradnl"/>
              </w:rPr>
              <w:t>Emisiones de frecuencias patrón y señales horarias</w:t>
            </w:r>
          </w:p>
        </w:tc>
      </w:tr>
      <w:tr w:rsidR="006A2558" w:rsidRPr="00036EE3" w:rsidTr="00A42416">
        <w:tc>
          <w:tcPr>
            <w:tcW w:w="1140" w:type="dxa"/>
          </w:tcPr>
          <w:p w:rsidR="006A2558" w:rsidRPr="00036EE3" w:rsidRDefault="006A2558" w:rsidP="00A42416">
            <w:pPr>
              <w:spacing w:before="30" w:after="30"/>
              <w:ind w:left="57"/>
              <w:jc w:val="left"/>
              <w:rPr>
                <w:b/>
                <w:bCs/>
                <w:sz w:val="20"/>
                <w:lang w:val="en-US"/>
              </w:rPr>
            </w:pPr>
            <w:r w:rsidRPr="00036EE3">
              <w:rPr>
                <w:b/>
                <w:bCs/>
                <w:sz w:val="20"/>
                <w:lang w:val="en-US"/>
              </w:rPr>
              <w:t>V</w:t>
            </w:r>
          </w:p>
        </w:tc>
        <w:tc>
          <w:tcPr>
            <w:tcW w:w="8220" w:type="dxa"/>
          </w:tcPr>
          <w:p w:rsidR="006A2558" w:rsidRPr="00021E8A" w:rsidRDefault="006A2558" w:rsidP="00A42416">
            <w:pPr>
              <w:spacing w:before="30" w:after="140"/>
              <w:jc w:val="left"/>
              <w:rPr>
                <w:bCs/>
                <w:sz w:val="20"/>
                <w:lang w:val="en-US"/>
              </w:rPr>
            </w:pPr>
            <w:r w:rsidRPr="00021E8A">
              <w:rPr>
                <w:bCs/>
                <w:sz w:val="20"/>
              </w:rPr>
              <w:t>Vocabulario y cuestiones afines</w:t>
            </w:r>
          </w:p>
        </w:tc>
      </w:tr>
    </w:tbl>
    <w:p w:rsidR="006A2558" w:rsidRPr="00036EE3" w:rsidRDefault="006A2558" w:rsidP="006A255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A2558" w:rsidTr="00A42416">
        <w:tc>
          <w:tcPr>
            <w:tcW w:w="720" w:type="dxa"/>
          </w:tcPr>
          <w:p w:rsidR="006A2558" w:rsidRDefault="006A2558" w:rsidP="00A42416">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6A2558" w:rsidRPr="00064E2D" w:rsidTr="00A42416">
        <w:tc>
          <w:tcPr>
            <w:tcW w:w="9360" w:type="dxa"/>
          </w:tcPr>
          <w:p w:rsidR="006A2558" w:rsidRPr="00763D08" w:rsidRDefault="006A2558" w:rsidP="00A4241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6A2558" w:rsidRPr="00763D08" w:rsidRDefault="006A2558" w:rsidP="006A2558">
      <w:pPr>
        <w:spacing w:before="0"/>
        <w:jc w:val="center"/>
        <w:rPr>
          <w:sz w:val="22"/>
          <w:lang w:val="es-ES_tradnl"/>
        </w:rPr>
      </w:pPr>
    </w:p>
    <w:p w:rsidR="006A2558" w:rsidRPr="00763D08" w:rsidRDefault="006A2558" w:rsidP="006A2558">
      <w:pPr>
        <w:spacing w:before="60"/>
        <w:jc w:val="right"/>
        <w:rPr>
          <w:i/>
          <w:iCs/>
          <w:sz w:val="20"/>
          <w:lang w:val="es-ES_tradnl"/>
        </w:rPr>
      </w:pPr>
      <w:r w:rsidRPr="00763D08">
        <w:rPr>
          <w:i/>
          <w:iCs/>
          <w:sz w:val="20"/>
          <w:lang w:val="es-ES_tradnl"/>
        </w:rPr>
        <w:t>Publicación electrónica</w:t>
      </w:r>
    </w:p>
    <w:p w:rsidR="006A2558" w:rsidRPr="00763D08" w:rsidRDefault="006A2558" w:rsidP="00205AAE">
      <w:pPr>
        <w:spacing w:before="0" w:after="40"/>
        <w:jc w:val="right"/>
        <w:rPr>
          <w:sz w:val="20"/>
          <w:lang w:val="es-ES_tradnl"/>
        </w:rPr>
      </w:pPr>
      <w:r w:rsidRPr="00763D08">
        <w:rPr>
          <w:sz w:val="20"/>
          <w:lang w:val="es-ES_tradnl"/>
        </w:rPr>
        <w:t>Ginebra, 20</w:t>
      </w:r>
      <w:r>
        <w:rPr>
          <w:sz w:val="20"/>
          <w:lang w:val="es-ES_tradnl"/>
        </w:rPr>
        <w:t>1</w:t>
      </w:r>
      <w:r w:rsidR="00205AAE">
        <w:rPr>
          <w:sz w:val="20"/>
          <w:lang w:val="es-ES_tradnl"/>
        </w:rPr>
        <w:t>7</w:t>
      </w:r>
    </w:p>
    <w:p w:rsidR="006A2558" w:rsidRPr="00763D08" w:rsidRDefault="006A2558" w:rsidP="006A2558">
      <w:pPr>
        <w:spacing w:before="0"/>
        <w:jc w:val="center"/>
        <w:rPr>
          <w:sz w:val="22"/>
          <w:lang w:val="es-ES_tradnl"/>
        </w:rPr>
      </w:pPr>
    </w:p>
    <w:p w:rsidR="006A2558" w:rsidRPr="00763D08" w:rsidRDefault="006A2558" w:rsidP="006A255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w:t>
      </w:r>
      <w:r w:rsidR="00205AAE">
        <w:rPr>
          <w:sz w:val="20"/>
          <w:lang w:val="es-ES_tradnl"/>
        </w:rPr>
        <w:t>7</w:t>
      </w:r>
    </w:p>
    <w:p w:rsidR="006A2558" w:rsidRPr="006C718C" w:rsidRDefault="006A2558" w:rsidP="006A255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A2558" w:rsidRPr="006C718C" w:rsidRDefault="006A2558" w:rsidP="00205AAE">
      <w:pPr>
        <w:spacing w:before="160"/>
        <w:rPr>
          <w:i/>
          <w:sz w:val="20"/>
          <w:highlight w:val="yellow"/>
          <w:lang w:val="es-ES_tradnl"/>
        </w:rPr>
        <w:sectPr w:rsidR="006A2558" w:rsidRPr="006C718C" w:rsidSect="00A42416">
          <w:headerReference w:type="even" r:id="rId10"/>
          <w:headerReference w:type="default" r:id="rId11"/>
          <w:pgSz w:w="11907" w:h="16834" w:code="9"/>
          <w:pgMar w:top="1418" w:right="1134" w:bottom="1134" w:left="1134" w:header="720" w:footer="482" w:gutter="0"/>
          <w:pgNumType w:fmt="lowerRoman" w:start="2"/>
          <w:cols w:space="720"/>
        </w:sectPr>
      </w:pPr>
    </w:p>
    <w:p w:rsidR="006A2558" w:rsidRPr="0010336F" w:rsidRDefault="006A2558" w:rsidP="006A2558">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sidRPr="006A2558">
        <w:rPr>
          <w:rStyle w:val="href"/>
          <w:lang w:val="es-ES_tradnl"/>
        </w:rPr>
        <w:t xml:space="preserve"> </w:t>
      </w:r>
      <w:r w:rsidRPr="000E1448">
        <w:rPr>
          <w:rStyle w:val="href"/>
          <w:lang w:val="es-ES_tradnl"/>
        </w:rPr>
        <w:t>1766</w:t>
      </w:r>
      <w:r>
        <w:rPr>
          <w:rStyle w:val="FootnoteReference"/>
          <w:lang w:val="es-ES_tradnl"/>
        </w:rPr>
        <w:footnoteReference w:customMarkFollows="1" w:id="1"/>
        <w:t>*</w:t>
      </w:r>
      <w:r w:rsidRPr="00307AD0">
        <w:rPr>
          <w:sz w:val="24"/>
          <w:vertAlign w:val="superscript"/>
          <w:lang w:val="es-ES_tradnl"/>
        </w:rPr>
        <w:t>,</w:t>
      </w:r>
      <w:r w:rsidRPr="00307AD0">
        <w:rPr>
          <w:sz w:val="24"/>
          <w:lang w:val="es-ES_tradnl"/>
        </w:rPr>
        <w:t xml:space="preserve"> </w:t>
      </w:r>
      <w:r>
        <w:rPr>
          <w:rStyle w:val="FootnoteReference"/>
          <w:lang w:val="es-ES_tradnl"/>
        </w:rPr>
        <w:footnoteReference w:customMarkFollows="1" w:id="2"/>
        <w:t>**</w:t>
      </w:r>
    </w:p>
    <w:p w:rsidR="006A2558" w:rsidRDefault="006A2558" w:rsidP="00205AAE">
      <w:pPr>
        <w:pStyle w:val="Rectitle"/>
        <w:rPr>
          <w:lang w:val="es-ES_tradnl"/>
        </w:rPr>
      </w:pPr>
      <w:r w:rsidRPr="000E1448">
        <w:rPr>
          <w:lang w:val="es-ES_tradnl"/>
        </w:rPr>
        <w:t>Metodología para determinar la probabilidad de que un observatorio</w:t>
      </w:r>
      <w:r>
        <w:rPr>
          <w:lang w:val="es-ES_tradnl"/>
        </w:rPr>
        <w:t xml:space="preserve"> </w:t>
      </w:r>
      <w:r>
        <w:rPr>
          <w:lang w:val="es-ES_tradnl"/>
        </w:rPr>
        <w:br/>
      </w:r>
      <w:r w:rsidR="00205AAE" w:rsidRPr="000E1448">
        <w:rPr>
          <w:lang w:val="es-ES_tradnl"/>
        </w:rPr>
        <w:t xml:space="preserve">de </w:t>
      </w:r>
      <w:r w:rsidRPr="000E1448">
        <w:rPr>
          <w:lang w:val="es-ES_tradnl"/>
        </w:rPr>
        <w:t>radioastronomía reciba interferencia basándose en las zonas</w:t>
      </w:r>
      <w:r>
        <w:rPr>
          <w:lang w:val="es-ES_tradnl"/>
        </w:rPr>
        <w:t xml:space="preserve"> </w:t>
      </w:r>
      <w:r>
        <w:rPr>
          <w:lang w:val="es-ES_tradnl"/>
        </w:rPr>
        <w:br/>
      </w:r>
      <w:r w:rsidR="00205AAE" w:rsidRPr="000E1448">
        <w:rPr>
          <w:lang w:val="es-ES_tradnl"/>
        </w:rPr>
        <w:t xml:space="preserve">de </w:t>
      </w:r>
      <w:r w:rsidRPr="000E1448">
        <w:rPr>
          <w:lang w:val="es-ES_tradnl"/>
        </w:rPr>
        <w:t>exclusión calculadas para protegerse contra la interferencia</w:t>
      </w:r>
      <w:r w:rsidR="00205AAE">
        <w:rPr>
          <w:lang w:val="es-ES_tradnl"/>
        </w:rPr>
        <w:t xml:space="preserve"> </w:t>
      </w:r>
      <w:r>
        <w:rPr>
          <w:lang w:val="es-ES_tradnl"/>
        </w:rPr>
        <w:br/>
      </w:r>
      <w:r w:rsidR="00205AAE" w:rsidRPr="000E1448">
        <w:rPr>
          <w:lang w:val="es-ES_tradnl"/>
        </w:rPr>
        <w:t xml:space="preserve">de </w:t>
      </w:r>
      <w:r w:rsidRPr="000E1448">
        <w:rPr>
          <w:lang w:val="es-ES_tradnl"/>
        </w:rPr>
        <w:t>las</w:t>
      </w:r>
      <w:r>
        <w:rPr>
          <w:lang w:val="es-ES_tradnl"/>
        </w:rPr>
        <w:t xml:space="preserve"> </w:t>
      </w:r>
      <w:r w:rsidRPr="000E1448">
        <w:rPr>
          <w:lang w:val="es-ES_tradnl"/>
        </w:rPr>
        <w:t xml:space="preserve">aplicaciones de alta densidad punto a multipunto </w:t>
      </w:r>
      <w:r w:rsidR="00205AAE">
        <w:rPr>
          <w:lang w:val="es-ES_tradnl"/>
        </w:rPr>
        <w:t>en</w:t>
      </w:r>
      <w:r>
        <w:rPr>
          <w:lang w:val="es-ES_tradnl"/>
        </w:rPr>
        <w:br/>
      </w:r>
      <w:r w:rsidR="00205AAE" w:rsidRPr="000E1448">
        <w:rPr>
          <w:lang w:val="es-ES_tradnl"/>
        </w:rPr>
        <w:t xml:space="preserve">el </w:t>
      </w:r>
      <w:r w:rsidRPr="000E1448">
        <w:rPr>
          <w:lang w:val="es-ES_tradnl"/>
        </w:rPr>
        <w:t>servicio</w:t>
      </w:r>
      <w:r>
        <w:rPr>
          <w:lang w:val="es-ES_tradnl"/>
        </w:rPr>
        <w:t xml:space="preserve"> </w:t>
      </w:r>
      <w:r w:rsidRPr="000E1448">
        <w:rPr>
          <w:lang w:val="es-ES_tradnl"/>
        </w:rPr>
        <w:t>fijo</w:t>
      </w:r>
      <w:r>
        <w:rPr>
          <w:lang w:val="es-ES_tradnl"/>
        </w:rPr>
        <w:t xml:space="preserve"> </w:t>
      </w:r>
      <w:r w:rsidRPr="000E1448">
        <w:rPr>
          <w:lang w:val="es-ES_tradnl"/>
        </w:rPr>
        <w:t>que funcionan en bandas en torno a 43 GHz</w:t>
      </w:r>
    </w:p>
    <w:p w:rsidR="006A2558" w:rsidRPr="00D85C0E" w:rsidRDefault="006A2558" w:rsidP="006A2558">
      <w:pPr>
        <w:pStyle w:val="Recdate"/>
        <w:rPr>
          <w:lang w:val="es-ES_tradnl"/>
        </w:rPr>
      </w:pPr>
      <w:r>
        <w:rPr>
          <w:lang w:val="es-ES_tradnl"/>
        </w:rPr>
        <w:t>(2006)</w:t>
      </w:r>
    </w:p>
    <w:p w:rsidR="006A2558" w:rsidRPr="000E1448" w:rsidRDefault="006A2558" w:rsidP="006A2558">
      <w:pPr>
        <w:pStyle w:val="HeadingSum"/>
      </w:pPr>
      <w:r>
        <w:t>Cometido</w:t>
      </w:r>
    </w:p>
    <w:p w:rsidR="006A2558" w:rsidRPr="000E1448" w:rsidRDefault="006A2558" w:rsidP="006A2558">
      <w:pPr>
        <w:pStyle w:val="Summary"/>
      </w:pPr>
      <w:r w:rsidRPr="000E1448">
        <w:t>Esta Recomendación proporciona una metodología para obtener las zonas de exclusión en torno a los emplazamientos de radioastronomía para transmisiones de aplicaciones de alta densidad punto a multipunto (P-MP) del servicio fijo (</w:t>
      </w:r>
      <w:r w:rsidRPr="000E1448">
        <w:rPr>
          <w:rFonts w:hint="eastAsia"/>
        </w:rPr>
        <w:t>HDFS</w:t>
      </w:r>
      <w:r w:rsidRPr="000E1448">
        <w:t>), que pueden utilizar las administraciones en las discusiones nacionales y bilaterales como método para proteger los emplazamientos de radioastronomía contra la posible interferencia procedente de las estaciones P</w:t>
      </w:r>
      <w:r w:rsidRPr="000E1448">
        <w:noBreakHyphen/>
        <w:t xml:space="preserve">MP </w:t>
      </w:r>
      <w:r w:rsidRPr="000E1448">
        <w:rPr>
          <w:rFonts w:hint="eastAsia"/>
        </w:rPr>
        <w:t>HDFS</w:t>
      </w:r>
      <w:r w:rsidRPr="000E1448">
        <w:t>.</w:t>
      </w:r>
    </w:p>
    <w:p w:rsidR="006A2558" w:rsidRPr="00275079" w:rsidRDefault="006A2558" w:rsidP="006A2558">
      <w:pPr>
        <w:pStyle w:val="Normalaftertitle"/>
        <w:rPr>
          <w:lang w:val="es-ES_tradnl"/>
        </w:rPr>
      </w:pPr>
      <w:r w:rsidRPr="00275079">
        <w:rPr>
          <w:lang w:val="es-ES_tradnl"/>
        </w:rPr>
        <w:t>La Asamblea de Radiocomunicaciones de la UIT,</w:t>
      </w:r>
    </w:p>
    <w:p w:rsidR="006A2558" w:rsidRPr="000E1448" w:rsidRDefault="006A2558" w:rsidP="006A2558">
      <w:pPr>
        <w:pStyle w:val="Call"/>
        <w:rPr>
          <w:lang w:val="es-ES_tradnl"/>
        </w:rPr>
      </w:pPr>
      <w:r w:rsidRPr="000E1448">
        <w:rPr>
          <w:lang w:val="es-ES_tradnl"/>
        </w:rPr>
        <w:t>considerando</w:t>
      </w:r>
    </w:p>
    <w:p w:rsidR="006A2558" w:rsidRPr="000E1448" w:rsidRDefault="006A2558" w:rsidP="006A2558">
      <w:pPr>
        <w:rPr>
          <w:lang w:val="es-ES_tradnl"/>
        </w:rPr>
      </w:pPr>
      <w:r w:rsidRPr="00427F01">
        <w:rPr>
          <w:i/>
          <w:iCs/>
          <w:lang w:val="es-ES_tradnl"/>
        </w:rPr>
        <w:t>a)</w:t>
      </w:r>
      <w:r w:rsidRPr="000E1448">
        <w:rPr>
          <w:lang w:val="es-ES_tradnl"/>
        </w:rPr>
        <w:tab/>
        <w:t xml:space="preserve">que la banda de frecuencias </w:t>
      </w:r>
      <w:r w:rsidRPr="000E1448">
        <w:rPr>
          <w:snapToGrid w:val="0"/>
          <w:lang w:val="es-ES_tradnl"/>
        </w:rPr>
        <w:t>42,5</w:t>
      </w:r>
      <w:r w:rsidRPr="000E1448">
        <w:rPr>
          <w:snapToGrid w:val="0"/>
          <w:lang w:val="es-ES_tradnl"/>
        </w:rPr>
        <w:noBreakHyphen/>
        <w:t>43,5 GHz se utiliza o está prevista su utilización para observaciones del continuum;</w:t>
      </w:r>
    </w:p>
    <w:p w:rsidR="006A2558" w:rsidRPr="000E1448" w:rsidRDefault="006A2558" w:rsidP="006A2558">
      <w:pPr>
        <w:rPr>
          <w:snapToGrid w:val="0"/>
          <w:lang w:val="es-ES_tradnl"/>
        </w:rPr>
      </w:pPr>
      <w:r w:rsidRPr="00427F01">
        <w:rPr>
          <w:i/>
          <w:iCs/>
          <w:snapToGrid w:val="0"/>
          <w:lang w:val="es-ES_tradnl"/>
        </w:rPr>
        <w:t>b)</w:t>
      </w:r>
      <w:r w:rsidRPr="000E1448">
        <w:rPr>
          <w:snapToGrid w:val="0"/>
          <w:lang w:val="es-ES_tradnl"/>
        </w:rPr>
        <w:tab/>
        <w:t xml:space="preserve">que las bandas de frecuencias </w:t>
      </w:r>
      <w:r w:rsidRPr="000E1448">
        <w:rPr>
          <w:lang w:val="es-ES_tradnl"/>
        </w:rPr>
        <w:t>42,77</w:t>
      </w:r>
      <w:r w:rsidRPr="000E1448">
        <w:rPr>
          <w:lang w:val="es-ES_tradnl"/>
        </w:rPr>
        <w:noBreakHyphen/>
        <w:t>42,87 GHz; 43,07</w:t>
      </w:r>
      <w:r w:rsidRPr="000E1448">
        <w:rPr>
          <w:lang w:val="es-ES_tradnl"/>
        </w:rPr>
        <w:noBreakHyphen/>
        <w:t>43,17 GHz y 43,37</w:t>
      </w:r>
      <w:r w:rsidRPr="000E1448">
        <w:rPr>
          <w:lang w:val="es-ES_tradnl"/>
        </w:rPr>
        <w:noBreakHyphen/>
        <w:t>43,47 GHz son utilizadas por los radioastrónomos para observar las rayas espectrales del monóxido de silicio;</w:t>
      </w:r>
    </w:p>
    <w:p w:rsidR="006A2558" w:rsidRPr="000E1448" w:rsidRDefault="006A2558" w:rsidP="006A2558">
      <w:pPr>
        <w:rPr>
          <w:lang w:val="es-ES_tradnl"/>
        </w:rPr>
      </w:pPr>
      <w:r w:rsidRPr="00E32C0A">
        <w:rPr>
          <w:i/>
          <w:iCs/>
          <w:lang w:val="es-ES_tradnl"/>
        </w:rPr>
        <w:t>c)</w:t>
      </w:r>
      <w:r w:rsidRPr="000E1448">
        <w:rPr>
          <w:lang w:val="es-ES_tradnl"/>
        </w:rPr>
        <w:tab/>
        <w:t>que estas observaciones pueden realizarse utilizando una sola antena o mediante una red de antenas que utilizan técnicas de interferometría con línea de base muy larga (VLBI);</w:t>
      </w:r>
    </w:p>
    <w:p w:rsidR="006A2558" w:rsidRPr="000E1448" w:rsidRDefault="006A2558" w:rsidP="006A2558">
      <w:pPr>
        <w:rPr>
          <w:lang w:val="es-ES_tradnl"/>
        </w:rPr>
      </w:pPr>
      <w:r w:rsidRPr="00E32C0A">
        <w:rPr>
          <w:i/>
          <w:iCs/>
          <w:lang w:val="es-ES_tradnl"/>
        </w:rPr>
        <w:t>d)</w:t>
      </w:r>
      <w:r w:rsidRPr="000E1448">
        <w:rPr>
          <w:lang w:val="es-ES_tradnl"/>
        </w:rPr>
        <w:tab/>
        <w:t>que estas observaciones utilizan antenas de muy alta ganancia y amplificadores de muy bajo nivel de ruido para recibir emisiones radioeléctricas cósmicas extremadamente débiles sobre las que los astrónomos no tienen control;</w:t>
      </w:r>
    </w:p>
    <w:p w:rsidR="006A2558" w:rsidRPr="000E1448" w:rsidRDefault="006A2558" w:rsidP="006A2558">
      <w:pPr>
        <w:rPr>
          <w:lang w:val="es-ES_tradnl"/>
        </w:rPr>
      </w:pPr>
      <w:r w:rsidRPr="00E32C0A">
        <w:rPr>
          <w:i/>
          <w:iCs/>
          <w:lang w:val="es-ES_tradnl"/>
        </w:rPr>
        <w:t>e)</w:t>
      </w:r>
      <w:r w:rsidRPr="000E1448">
        <w:rPr>
          <w:lang w:val="es-ES_tradnl"/>
        </w:rPr>
        <w:tab/>
        <w:t>que las aplicaciones de alta densidad punto a multipunto (P-MP) del servicio fijo (HDFS) podrían exigir la instalación de un gran número de terminales para los cuales sería imposible efectuar la coordinación individual;</w:t>
      </w:r>
    </w:p>
    <w:p w:rsidR="006A2558" w:rsidRPr="000E1448" w:rsidRDefault="006A2558" w:rsidP="006A2558">
      <w:pPr>
        <w:rPr>
          <w:lang w:val="es-ES_tradnl"/>
        </w:rPr>
      </w:pPr>
      <w:r w:rsidRPr="00E32C0A">
        <w:rPr>
          <w:i/>
          <w:iCs/>
          <w:lang w:val="es-ES_tradnl"/>
        </w:rPr>
        <w:t>f)</w:t>
      </w:r>
      <w:r w:rsidRPr="000E1448">
        <w:rPr>
          <w:lang w:val="es-ES_tradnl"/>
        </w:rPr>
        <w:tab/>
        <w:t>que las administraciones que desean proteger los emplazamientos del servicio de radioastronomía (SRA) contra la interferencia procedente de las estaciones P-MP HDFS pueden considerar la utilización de una zona de exclusión en torno a dichos emplazamientos en sus discus</w:t>
      </w:r>
      <w:r>
        <w:rPr>
          <w:lang w:val="es-ES_tradnl"/>
        </w:rPr>
        <w:t>iones nacionales y bilaterales;</w:t>
      </w:r>
    </w:p>
    <w:p w:rsidR="006A2558" w:rsidRPr="000E1448" w:rsidRDefault="006A2558" w:rsidP="006A2558">
      <w:pPr>
        <w:rPr>
          <w:lang w:val="es-ES_tradnl"/>
        </w:rPr>
      </w:pPr>
      <w:r w:rsidRPr="00E32C0A">
        <w:rPr>
          <w:i/>
          <w:iCs/>
          <w:lang w:val="es-ES_tradnl"/>
        </w:rPr>
        <w:t>g)</w:t>
      </w:r>
      <w:r w:rsidRPr="000E1448">
        <w:rPr>
          <w:lang w:val="es-ES_tradnl"/>
        </w:rPr>
        <w:tab/>
        <w:t>que la determinación del tamaño de la zona de exclusión podría mejorarse considerando la topología y los datos demográficos en torno a los emplazamientos del SRA,</w:t>
      </w:r>
    </w:p>
    <w:p w:rsidR="006A2558" w:rsidRPr="000E1448" w:rsidRDefault="006A2558" w:rsidP="006A2558">
      <w:pPr>
        <w:pStyle w:val="Call"/>
        <w:rPr>
          <w:lang w:val="es-ES_tradnl"/>
        </w:rPr>
      </w:pPr>
      <w:r w:rsidRPr="000E1448">
        <w:rPr>
          <w:lang w:val="es-ES_tradnl"/>
        </w:rPr>
        <w:t>reconociendo</w:t>
      </w:r>
    </w:p>
    <w:p w:rsidR="006A2558" w:rsidRPr="000E1448" w:rsidRDefault="006A2558" w:rsidP="00A42416">
      <w:pPr>
        <w:rPr>
          <w:lang w:val="es-ES_tradnl"/>
        </w:rPr>
      </w:pPr>
      <w:r w:rsidRPr="00E32C0A">
        <w:rPr>
          <w:i/>
          <w:iCs/>
          <w:lang w:val="es-ES_tradnl"/>
        </w:rPr>
        <w:t>a)</w:t>
      </w:r>
      <w:r w:rsidRPr="000E1448">
        <w:rPr>
          <w:lang w:val="es-ES_tradnl"/>
        </w:rPr>
        <w:tab/>
        <w:t>que la banda de frecuencias 42,5</w:t>
      </w:r>
      <w:r w:rsidRPr="000E1448">
        <w:rPr>
          <w:lang w:val="es-ES_tradnl"/>
        </w:rPr>
        <w:noBreakHyphen/>
        <w:t>43,5 GHz está atribuida al servicio de radioastronomía (SRA) a título primario en todo el mundo;</w:t>
      </w:r>
    </w:p>
    <w:p w:rsidR="006A2558" w:rsidRPr="000E1448" w:rsidRDefault="006A2558" w:rsidP="006A2558">
      <w:pPr>
        <w:rPr>
          <w:lang w:val="es-ES_tradnl"/>
        </w:rPr>
      </w:pPr>
      <w:r w:rsidRPr="00E32C0A">
        <w:rPr>
          <w:i/>
          <w:iCs/>
          <w:lang w:val="es-ES_tradnl"/>
        </w:rPr>
        <w:lastRenderedPageBreak/>
        <w:t>b)</w:t>
      </w:r>
      <w:r w:rsidRPr="000E1448">
        <w:rPr>
          <w:lang w:val="es-ES_tradnl"/>
        </w:rPr>
        <w:tab/>
        <w:t>que el número 5.149 del Reglamento de Radiocomunicaciones (RR) indica que «se insta a las administraciones a que, al hacer asignaciones a estaciones de otros servicios a los que están atribuidas las bandas 42,5</w:t>
      </w:r>
      <w:r w:rsidRPr="000E1448">
        <w:rPr>
          <w:lang w:val="es-ES_tradnl"/>
        </w:rPr>
        <w:noBreakHyphen/>
        <w:t>43,5 GHz; 42,77</w:t>
      </w:r>
      <w:r w:rsidRPr="000E1448">
        <w:rPr>
          <w:lang w:val="es-ES_tradnl"/>
        </w:rPr>
        <w:noBreakHyphen/>
        <w:t>42,87 GHz; 43,07</w:t>
      </w:r>
      <w:r w:rsidRPr="000E1448">
        <w:rPr>
          <w:lang w:val="es-ES_tradnl"/>
        </w:rPr>
        <w:noBreakHyphen/>
        <w:t>43,17 GHz y 43,37</w:t>
      </w:r>
      <w:r w:rsidRPr="000E1448">
        <w:rPr>
          <w:lang w:val="es-ES_tradnl"/>
        </w:rPr>
        <w:noBreakHyphen/>
        <w:t>43,47 GHz, tomen todas las medidas prácticamente posibles para proteger el servicio de radioastronomía contra las interferencias perjudiciales»;</w:t>
      </w:r>
    </w:p>
    <w:p w:rsidR="006A2558" w:rsidRPr="000E1448" w:rsidRDefault="006A2558" w:rsidP="006A2558">
      <w:pPr>
        <w:rPr>
          <w:lang w:val="es-ES_tradnl"/>
        </w:rPr>
      </w:pPr>
      <w:r w:rsidRPr="00E32C0A">
        <w:rPr>
          <w:i/>
          <w:iCs/>
          <w:lang w:val="es-ES_tradnl"/>
        </w:rPr>
        <w:t>c)</w:t>
      </w:r>
      <w:r w:rsidRPr="000E1448">
        <w:rPr>
          <w:lang w:val="es-ES_tradnl"/>
        </w:rPr>
        <w:tab/>
        <w:t>que la banda 42,5</w:t>
      </w:r>
      <w:r w:rsidRPr="000E1448">
        <w:rPr>
          <w:lang w:val="es-ES_tradnl"/>
        </w:rPr>
        <w:noBreakHyphen/>
        <w:t>43,5 GHz está también atribuida al servicio fijo a título primario;</w:t>
      </w:r>
    </w:p>
    <w:p w:rsidR="006A2558" w:rsidRPr="000E1448" w:rsidRDefault="006A2558" w:rsidP="006A2558">
      <w:pPr>
        <w:pStyle w:val="Index1"/>
        <w:rPr>
          <w:lang w:val="es-ES_tradnl"/>
        </w:rPr>
      </w:pPr>
      <w:r w:rsidRPr="00E32C0A">
        <w:rPr>
          <w:i/>
          <w:iCs/>
          <w:lang w:val="es-ES_tradnl"/>
        </w:rPr>
        <w:t>d)</w:t>
      </w:r>
      <w:r w:rsidRPr="000E1448">
        <w:rPr>
          <w:lang w:val="es-ES_tradnl"/>
        </w:rPr>
        <w:tab/>
        <w:t>que el número 5.547 del RR indica que la banda 42,5</w:t>
      </w:r>
      <w:r w:rsidRPr="000E1448">
        <w:rPr>
          <w:lang w:val="es-ES_tradnl"/>
        </w:rPr>
        <w:noBreakHyphen/>
        <w:t>43,5 GHz está disponible para aplicaciones de alta densidad en el servicio fijo y que las administraciones deben tener en cuenta esta circunstancia cuando consideren las disposiciones reglamentarias relativas a esta banda,</w:t>
      </w:r>
    </w:p>
    <w:p w:rsidR="006A2558" w:rsidRPr="000E1448" w:rsidRDefault="006A2558" w:rsidP="006A2558">
      <w:pPr>
        <w:pStyle w:val="Call"/>
        <w:rPr>
          <w:lang w:val="es-ES_tradnl"/>
        </w:rPr>
      </w:pPr>
      <w:r w:rsidRPr="000E1448">
        <w:rPr>
          <w:lang w:val="es-ES_tradnl"/>
        </w:rPr>
        <w:t>observando</w:t>
      </w:r>
    </w:p>
    <w:p w:rsidR="006A2558" w:rsidRPr="000E1448" w:rsidRDefault="006A2558" w:rsidP="006A2558">
      <w:pPr>
        <w:rPr>
          <w:lang w:val="es-ES_tradnl"/>
        </w:rPr>
      </w:pPr>
      <w:r w:rsidRPr="00E32C0A">
        <w:rPr>
          <w:i/>
          <w:iCs/>
          <w:lang w:val="es-ES_tradnl"/>
        </w:rPr>
        <w:t>a)</w:t>
      </w:r>
      <w:r w:rsidRPr="000E1448">
        <w:rPr>
          <w:lang w:val="es-ES_tradnl"/>
        </w:rPr>
        <w:tab/>
        <w:t>que la Resolución 79 (CMR</w:t>
      </w:r>
      <w:r w:rsidRPr="000E1448">
        <w:rPr>
          <w:lang w:val="es-ES_tradnl"/>
        </w:rPr>
        <w:noBreakHyphen/>
        <w:t>2000) invita al UIT-R a «realizar estudios sobre la distancia de coordinación entre estaciones de radioastronomía que funcionan en la banda 42,5</w:t>
      </w:r>
      <w:r w:rsidRPr="000E1448">
        <w:rPr>
          <w:lang w:val="es-ES_tradnl"/>
        </w:rPr>
        <w:noBreakHyphen/>
        <w:t>43,5 GHz y estaciones HDFS asociadas, con objeto de elaborar Recomendaciones UIT-R»;</w:t>
      </w:r>
    </w:p>
    <w:p w:rsidR="006A2558" w:rsidRPr="000E1448" w:rsidRDefault="006A2558" w:rsidP="0015012A">
      <w:pPr>
        <w:rPr>
          <w:lang w:val="es-ES_tradnl"/>
        </w:rPr>
      </w:pPr>
      <w:r w:rsidRPr="00E32C0A">
        <w:rPr>
          <w:i/>
          <w:iCs/>
          <w:lang w:val="es-ES_tradnl"/>
        </w:rPr>
        <w:t>b)</w:t>
      </w:r>
      <w:r w:rsidRPr="000E1448">
        <w:rPr>
          <w:lang w:val="es-ES_tradnl"/>
        </w:rPr>
        <w:tab/>
        <w:t xml:space="preserve">que </w:t>
      </w:r>
      <w:r>
        <w:rPr>
          <w:lang w:val="es-ES_tradnl"/>
        </w:rPr>
        <w:t>la</w:t>
      </w:r>
      <w:r w:rsidRPr="000E1448">
        <w:rPr>
          <w:lang w:val="es-ES_tradnl"/>
        </w:rPr>
        <w:t xml:space="preserve"> Recomendación UIT-R</w:t>
      </w:r>
      <w:r w:rsidR="0015012A">
        <w:rPr>
          <w:lang w:val="es-ES_tradnl"/>
        </w:rPr>
        <w:t xml:space="preserve"> </w:t>
      </w:r>
      <w:r w:rsidRPr="000E1448">
        <w:rPr>
          <w:lang w:val="es-ES_tradnl"/>
        </w:rPr>
        <w:t>F.</w:t>
      </w:r>
      <w:r>
        <w:rPr>
          <w:lang w:val="es-ES_tradnl"/>
        </w:rPr>
        <w:t>1760</w:t>
      </w:r>
      <w:r w:rsidRPr="000E1448">
        <w:rPr>
          <w:lang w:val="es-ES_tradnl"/>
        </w:rPr>
        <w:t xml:space="preserve"> describe una metodología </w:t>
      </w:r>
      <w:r>
        <w:rPr>
          <w:lang w:val="es-ES_tradnl"/>
        </w:rPr>
        <w:t>de cálculo de</w:t>
      </w:r>
      <w:r w:rsidRPr="000E1448">
        <w:rPr>
          <w:lang w:val="es-ES_tradnl"/>
        </w:rPr>
        <w:t xml:space="preserve"> </w:t>
      </w:r>
      <w:r>
        <w:rPr>
          <w:lang w:val="es-ES_tradnl"/>
        </w:rPr>
        <w:t>la distribución de la</w:t>
      </w:r>
      <w:r w:rsidRPr="000E1448">
        <w:rPr>
          <w:lang w:val="es-ES_tradnl"/>
        </w:rPr>
        <w:t xml:space="preserve"> potencia isótropa radiada equivalente combinada (p.i.r.e.c.) de </w:t>
      </w:r>
      <w:r>
        <w:rPr>
          <w:lang w:val="es-ES_tradnl"/>
        </w:rPr>
        <w:t>aplicaciones punto a multipunto de alta densidad del servicio fijo en bandas por encima de 30 GHz</w:t>
      </w:r>
      <w:r w:rsidRPr="000E1448">
        <w:rPr>
          <w:lang w:val="es-ES_tradnl"/>
        </w:rPr>
        <w:t>,</w:t>
      </w:r>
    </w:p>
    <w:p w:rsidR="006A2558" w:rsidRPr="000E1448" w:rsidRDefault="006A2558" w:rsidP="006A2558">
      <w:pPr>
        <w:pStyle w:val="Call"/>
        <w:rPr>
          <w:lang w:val="es-ES_tradnl"/>
        </w:rPr>
      </w:pPr>
      <w:r w:rsidRPr="000E1448">
        <w:rPr>
          <w:lang w:val="es-ES_tradnl"/>
        </w:rPr>
        <w:t>recomienda</w:t>
      </w:r>
    </w:p>
    <w:p w:rsidR="006A2558" w:rsidRPr="000E1448" w:rsidRDefault="006A2558" w:rsidP="006A2558">
      <w:pPr>
        <w:rPr>
          <w:snapToGrid w:val="0"/>
          <w:lang w:val="es-ES_tradnl"/>
        </w:rPr>
      </w:pPr>
      <w:r w:rsidRPr="000E1448">
        <w:rPr>
          <w:b/>
          <w:bCs/>
          <w:snapToGrid w:val="0"/>
          <w:lang w:val="es-ES_tradnl"/>
        </w:rPr>
        <w:t>1</w:t>
      </w:r>
      <w:r w:rsidRPr="000E1448">
        <w:rPr>
          <w:snapToGrid w:val="0"/>
          <w:lang w:val="es-ES_tradnl"/>
        </w:rPr>
        <w:tab/>
        <w:t xml:space="preserve">que se utilice el Anexo 1 para determinar la probabilidad de que una observación del SRA reciba interferencia procedente de una instalación de P-MP HDFS fuera de una zona de exclusión (ZE) especificada basándose en las distribuciones de </w:t>
      </w:r>
      <w:r w:rsidRPr="000E1448">
        <w:rPr>
          <w:lang w:val="es-ES_tradnl"/>
        </w:rPr>
        <w:t>p.i.r.e.c.</w:t>
      </w:r>
      <w:r w:rsidRPr="000E1448">
        <w:rPr>
          <w:snapToGrid w:val="0"/>
          <w:lang w:val="es-ES_tradnl"/>
        </w:rPr>
        <w:t>;</w:t>
      </w:r>
    </w:p>
    <w:p w:rsidR="006A2558" w:rsidRDefault="006A2558" w:rsidP="0015012A">
      <w:pPr>
        <w:rPr>
          <w:snapToGrid w:val="0"/>
          <w:lang w:val="es-ES_tradnl"/>
        </w:rPr>
      </w:pPr>
      <w:r w:rsidRPr="000E1448">
        <w:rPr>
          <w:b/>
          <w:bCs/>
          <w:snapToGrid w:val="0"/>
          <w:lang w:val="es-ES_tradnl"/>
        </w:rPr>
        <w:t>2</w:t>
      </w:r>
      <w:r w:rsidRPr="000E1448">
        <w:rPr>
          <w:snapToGrid w:val="0"/>
          <w:lang w:val="es-ES_tradnl"/>
        </w:rPr>
        <w:tab/>
        <w:t>que se utilice el Anexo</w:t>
      </w:r>
      <w:r w:rsidR="0015012A">
        <w:rPr>
          <w:snapToGrid w:val="0"/>
          <w:lang w:val="es-ES_tradnl"/>
        </w:rPr>
        <w:t> </w:t>
      </w:r>
      <w:r w:rsidRPr="000E1448">
        <w:rPr>
          <w:snapToGrid w:val="0"/>
          <w:lang w:val="es-ES_tradnl"/>
        </w:rPr>
        <w:t>2 para determinar la ZE en torno al emplazamiento del SRA, definida por unas pérdidas de propagación a partir de dicho emplazamiento fuera de la cual las estaciones P-MP HDFS pueden instalarse sin peligro de que causen interferencia inaceptable al SRA, utilizando la metodología del Anexo 1 para calcular la probabilidad de interferencia.</w:t>
      </w:r>
    </w:p>
    <w:p w:rsidR="006A2558" w:rsidRPr="000E1448" w:rsidRDefault="006A2558" w:rsidP="006A2558">
      <w:pPr>
        <w:rPr>
          <w:snapToGrid w:val="0"/>
          <w:lang w:val="es-ES_tradnl"/>
        </w:rPr>
      </w:pPr>
    </w:p>
    <w:p w:rsidR="006A2558" w:rsidRPr="00187A69" w:rsidRDefault="006A2558" w:rsidP="006A2558">
      <w:pPr>
        <w:pStyle w:val="AnnexNoTitle"/>
        <w:rPr>
          <w:lang w:val="es-ES_tradnl"/>
        </w:rPr>
      </w:pPr>
      <w:bookmarkStart w:id="4" w:name="_Toc151539970"/>
      <w:r w:rsidRPr="00187A69">
        <w:rPr>
          <w:lang w:val="es-ES_tradnl"/>
        </w:rPr>
        <w:t>Anexo 1</w:t>
      </w:r>
      <w:r w:rsidRPr="00187A69">
        <w:rPr>
          <w:lang w:val="es-ES_tradnl"/>
        </w:rPr>
        <w:br/>
      </w:r>
      <w:r w:rsidRPr="00187A69">
        <w:rPr>
          <w:lang w:val="es-ES_tradnl"/>
        </w:rPr>
        <w:br/>
        <w:t>Metodología para determinar la probabilidad de que un</w:t>
      </w:r>
      <w:r>
        <w:rPr>
          <w:lang w:val="es-ES_tradnl"/>
        </w:rPr>
        <w:t>a</w:t>
      </w:r>
      <w:r w:rsidRPr="00187A69">
        <w:rPr>
          <w:lang w:val="es-ES_tradnl"/>
        </w:rPr>
        <w:t xml:space="preserve"> </w:t>
      </w:r>
      <w:r>
        <w:rPr>
          <w:lang w:val="es-ES_tradnl"/>
        </w:rPr>
        <w:t xml:space="preserve">observación del SRA </w:t>
      </w:r>
      <w:r w:rsidRPr="00187A69">
        <w:rPr>
          <w:lang w:val="es-ES_tradnl"/>
        </w:rPr>
        <w:t xml:space="preserve">reciba interferencia </w:t>
      </w:r>
      <w:r>
        <w:rPr>
          <w:lang w:val="es-ES_tradnl"/>
        </w:rPr>
        <w:t xml:space="preserve">procedente de una instalación de </w:t>
      </w:r>
      <w:r w:rsidRPr="00187A69">
        <w:rPr>
          <w:lang w:val="es-ES_tradnl"/>
        </w:rPr>
        <w:t>P-MP HDFS</w:t>
      </w:r>
      <w:r>
        <w:rPr>
          <w:lang w:val="es-ES_tradnl"/>
        </w:rPr>
        <w:t xml:space="preserve"> fuera </w:t>
      </w:r>
      <w:r>
        <w:rPr>
          <w:lang w:val="es-ES_tradnl"/>
        </w:rPr>
        <w:br/>
        <w:t xml:space="preserve">de una ZE especificada basándose en las distribuciones de </w:t>
      </w:r>
      <w:r w:rsidRPr="00187A69">
        <w:rPr>
          <w:lang w:val="es-ES_tradnl"/>
        </w:rPr>
        <w:t>p.i.r.e.c.</w:t>
      </w:r>
      <w:bookmarkEnd w:id="4"/>
    </w:p>
    <w:p w:rsidR="006A2558" w:rsidRPr="000E1448" w:rsidRDefault="006A2558" w:rsidP="006A2558">
      <w:pPr>
        <w:pStyle w:val="Heading1"/>
        <w:rPr>
          <w:lang w:val="es-ES_tradnl"/>
        </w:rPr>
      </w:pPr>
      <w:bookmarkStart w:id="5" w:name="_Toc151539971"/>
      <w:r w:rsidRPr="000E1448">
        <w:rPr>
          <w:lang w:val="es-ES_tradnl"/>
        </w:rPr>
        <w:t>1</w:t>
      </w:r>
      <w:r w:rsidRPr="000E1448">
        <w:rPr>
          <w:lang w:val="es-ES_tradnl"/>
        </w:rPr>
        <w:tab/>
        <w:t>Introducción</w:t>
      </w:r>
      <w:bookmarkEnd w:id="5"/>
    </w:p>
    <w:p w:rsidR="006A2558" w:rsidRPr="000E1448" w:rsidRDefault="006A2558" w:rsidP="006A2558">
      <w:pPr>
        <w:rPr>
          <w:lang w:val="es-ES_tradnl"/>
        </w:rPr>
      </w:pPr>
      <w:r w:rsidRPr="000E1448">
        <w:rPr>
          <w:lang w:val="es-ES_tradnl"/>
        </w:rPr>
        <w:t>Para garantizar al SRA el nivel requerido de protección, es preciso poder predecir los niveles de interferencia que puede aparecer en un emplazamiento del SRA causada por instalaciones de estaciones P-MP HDFS. Este nivel de interferencia dependerá de las características supuestas para cada servicio y del terreno y los ecos parásitos en torno al emplazamiento del SRA.</w:t>
      </w:r>
    </w:p>
    <w:p w:rsidR="006A2558" w:rsidRPr="000E1448" w:rsidRDefault="006A2558" w:rsidP="00A42416">
      <w:pPr>
        <w:rPr>
          <w:lang w:val="es-ES_tradnl"/>
        </w:rPr>
      </w:pPr>
      <w:r w:rsidRPr="000E1448">
        <w:rPr>
          <w:lang w:val="es-ES_tradnl"/>
        </w:rPr>
        <w:t>Un cierto número de parámetros de entrada no están disponibles como constante numérica pero varían de acuerdo a una distribución. Por ejemplo, las pérdidas de propagación entre dos puntos dependen de varios parámetros incluido el porcentaje de tiempo. La metodología descrita en el presente Anexo se basa en las técnicas de Monte Carlo donde se aplica una convolución a estas distribuciones de entrada mediante una ecuación de interferencia para elaborar una distribución de la interferencia en función de la probabilidad de que se rebasen estos niveles de interferencia.</w:t>
      </w:r>
    </w:p>
    <w:p w:rsidR="006A2558" w:rsidRPr="000E1448" w:rsidRDefault="006A2558" w:rsidP="006A2558">
      <w:pPr>
        <w:rPr>
          <w:lang w:val="es-ES_tradnl"/>
        </w:rPr>
      </w:pPr>
      <w:r w:rsidRPr="000E1448">
        <w:rPr>
          <w:lang w:val="es-ES_tradnl"/>
        </w:rPr>
        <w:lastRenderedPageBreak/>
        <w:t>Este método permite la comparación con los umbrales del SRA definidos en la Recomendación UIT</w:t>
      </w:r>
      <w:r w:rsidRPr="000E1448">
        <w:rPr>
          <w:lang w:val="es-ES_tradnl"/>
        </w:rPr>
        <w:noBreakHyphen/>
        <w:t>R RA.769, que se definen en términos de umbral de interferencia (potencia media durante la observación) y probabilidad de que resulte interferida una observación.</w:t>
      </w:r>
    </w:p>
    <w:p w:rsidR="006A2558" w:rsidRPr="000E1448" w:rsidRDefault="006A2558" w:rsidP="006A2558">
      <w:pPr>
        <w:rPr>
          <w:lang w:val="es-ES_tradnl"/>
        </w:rPr>
      </w:pPr>
      <w:r w:rsidRPr="000E1448">
        <w:rPr>
          <w:lang w:val="es-ES_tradnl"/>
        </w:rPr>
        <w:t>El cálculo requiere tres etapas:</w:t>
      </w:r>
    </w:p>
    <w:p w:rsidR="006A2558" w:rsidRPr="000E1448" w:rsidRDefault="006A2558" w:rsidP="006A2558">
      <w:pPr>
        <w:pStyle w:val="enumlev1"/>
        <w:rPr>
          <w:lang w:val="es-ES_tradnl"/>
        </w:rPr>
      </w:pPr>
      <w:r w:rsidRPr="000E1448">
        <w:rPr>
          <w:lang w:val="es-ES_tradnl"/>
        </w:rPr>
        <w:t>1</w:t>
      </w:r>
      <w:r w:rsidRPr="000E1448">
        <w:rPr>
          <w:lang w:val="es-ES_tradnl"/>
        </w:rPr>
        <w:tab/>
        <w:t>definición del modelo del SRA;</w:t>
      </w:r>
    </w:p>
    <w:p w:rsidR="006A2558" w:rsidRPr="000E1448" w:rsidRDefault="006A2558" w:rsidP="006A2558">
      <w:pPr>
        <w:pStyle w:val="enumlev1"/>
        <w:rPr>
          <w:lang w:val="es-ES_tradnl"/>
        </w:rPr>
      </w:pPr>
      <w:r w:rsidRPr="000E1448">
        <w:rPr>
          <w:lang w:val="es-ES_tradnl"/>
        </w:rPr>
        <w:t>2</w:t>
      </w:r>
      <w:r w:rsidRPr="000E1448">
        <w:rPr>
          <w:lang w:val="es-ES_tradnl"/>
        </w:rPr>
        <w:tab/>
        <w:t>definición del modelo P-MP HDFS;</w:t>
      </w:r>
    </w:p>
    <w:p w:rsidR="006A2558" w:rsidRPr="000E1448" w:rsidRDefault="006A2558" w:rsidP="006A2558">
      <w:pPr>
        <w:pStyle w:val="enumlev1"/>
        <w:rPr>
          <w:lang w:val="es-ES_tradnl"/>
        </w:rPr>
      </w:pPr>
      <w:r w:rsidRPr="000E1448">
        <w:rPr>
          <w:lang w:val="es-ES_tradnl"/>
        </w:rPr>
        <w:t>3</w:t>
      </w:r>
      <w:r w:rsidRPr="000E1448">
        <w:rPr>
          <w:lang w:val="es-ES_tradnl"/>
        </w:rPr>
        <w:tab/>
        <w:t>cálculo de la interferencia.</w:t>
      </w:r>
    </w:p>
    <w:p w:rsidR="006A2558" w:rsidRPr="000E1448" w:rsidRDefault="006A2558" w:rsidP="006A2558">
      <w:pPr>
        <w:rPr>
          <w:lang w:val="es-ES_tradnl"/>
        </w:rPr>
      </w:pPr>
      <w:r w:rsidRPr="000E1448">
        <w:rPr>
          <w:lang w:val="es-ES_tradnl"/>
        </w:rPr>
        <w:t>En los siguientes puntos se describe cada una de estas etapas.</w:t>
      </w:r>
    </w:p>
    <w:p w:rsidR="006A2558" w:rsidRPr="000E1448" w:rsidRDefault="006A2558" w:rsidP="006A2558">
      <w:pPr>
        <w:pStyle w:val="Heading1"/>
        <w:rPr>
          <w:lang w:val="es-ES_tradnl"/>
        </w:rPr>
      </w:pPr>
      <w:bookmarkStart w:id="6" w:name="_Toc151539972"/>
      <w:r w:rsidRPr="000E1448">
        <w:rPr>
          <w:lang w:val="es-ES_tradnl"/>
        </w:rPr>
        <w:t>2</w:t>
      </w:r>
      <w:r w:rsidRPr="000E1448">
        <w:rPr>
          <w:lang w:val="es-ES_tradnl"/>
        </w:rPr>
        <w:tab/>
        <w:t>Modelo del SRA</w:t>
      </w:r>
      <w:bookmarkEnd w:id="6"/>
    </w:p>
    <w:p w:rsidR="006A2558" w:rsidRPr="000E1448" w:rsidRDefault="006A2558" w:rsidP="006A2558">
      <w:pPr>
        <w:pStyle w:val="Heading2"/>
        <w:rPr>
          <w:lang w:val="es-ES_tradnl"/>
        </w:rPr>
      </w:pPr>
      <w:bookmarkStart w:id="7" w:name="_Toc151539973"/>
      <w:r w:rsidRPr="000E1448">
        <w:rPr>
          <w:lang w:val="es-ES_tradnl"/>
        </w:rPr>
        <w:t>2.1</w:t>
      </w:r>
      <w:r w:rsidRPr="000E1448">
        <w:rPr>
          <w:lang w:val="es-ES_tradnl"/>
        </w:rPr>
        <w:tab/>
        <w:t>Umbral de interferencia</w:t>
      </w:r>
      <w:bookmarkEnd w:id="7"/>
    </w:p>
    <w:p w:rsidR="006A2558" w:rsidRPr="000E1448" w:rsidRDefault="006A2558" w:rsidP="006A2558">
      <w:pPr>
        <w:rPr>
          <w:lang w:val="es-ES_tradnl"/>
        </w:rPr>
      </w:pPr>
      <w:r w:rsidRPr="000E1448">
        <w:rPr>
          <w:lang w:val="es-ES_tradnl"/>
        </w:rPr>
        <w:t>La base del modelo del SRA es el criterio de protección de las mediciones de radioastronomía descrito en la Recomendación UIT-R RA.769. Para proteger el servicio de radioastronomía es necesario que una observación esté libre de interferencias con una probabilidad del (100 </w:t>
      </w:r>
      <w:r w:rsidRPr="00323AE9">
        <w:sym w:font="Symbol" w:char="F02D"/>
      </w:r>
      <w:r w:rsidRPr="000E1448">
        <w:rPr>
          <w:lang w:val="es-ES_tradnl"/>
        </w:rPr>
        <w:t> </w:t>
      </w:r>
      <w:r w:rsidRPr="000E1448">
        <w:rPr>
          <w:i/>
          <w:iCs/>
          <w:lang w:val="es-ES_tradnl"/>
        </w:rPr>
        <w:t>x</w:t>
      </w:r>
      <w:r>
        <w:rPr>
          <w:lang w:val="es-ES_tradnl"/>
        </w:rPr>
        <w:t>)%.</w:t>
      </w:r>
    </w:p>
    <w:p w:rsidR="006A2558" w:rsidRPr="000E1448" w:rsidRDefault="006A2558" w:rsidP="006A2558">
      <w:pPr>
        <w:rPr>
          <w:lang w:val="es-ES_tradnl"/>
        </w:rPr>
      </w:pPr>
      <w:r w:rsidRPr="000E1448">
        <w:rPr>
          <w:lang w:val="es-ES_tradnl"/>
        </w:rPr>
        <w:t xml:space="preserve">Una observación no sufre interferencia si la potencia interferente media a lo largo del periodo de integración </w:t>
      </w:r>
      <w:r w:rsidRPr="00D85C0E">
        <w:rPr>
          <w:i/>
          <w:lang w:val="es-ES_tradnl"/>
        </w:rPr>
        <w:t>T</w:t>
      </w:r>
      <w:r w:rsidRPr="000E1448">
        <w:rPr>
          <w:lang w:val="es-ES_tradnl"/>
        </w:rPr>
        <w:t xml:space="preserve"> es inferior a los niveles especificados en el Anexo 1 a la Recomendación UIT</w:t>
      </w:r>
      <w:r w:rsidRPr="000E1448">
        <w:rPr>
          <w:lang w:val="es-ES_tradnl"/>
        </w:rPr>
        <w:noBreakHyphen/>
        <w:t xml:space="preserve">R RA.769. En esta Recomendación y en otros análisis de compartición con el SRA se utiliza normalmente un valor de </w:t>
      </w:r>
      <w:r w:rsidRPr="00D85C0E">
        <w:rPr>
          <w:i/>
          <w:lang w:val="es-ES_tradnl"/>
        </w:rPr>
        <w:t>T</w:t>
      </w:r>
      <w:r w:rsidRPr="000E1448">
        <w:rPr>
          <w:lang w:val="es-ES_tradnl"/>
        </w:rPr>
        <w:t> = 2 000 s.</w:t>
      </w:r>
    </w:p>
    <w:p w:rsidR="006A2558" w:rsidRPr="000E1448" w:rsidRDefault="006A2558" w:rsidP="006A2558">
      <w:pPr>
        <w:rPr>
          <w:lang w:val="es-ES_tradnl"/>
        </w:rPr>
      </w:pPr>
      <w:r w:rsidRPr="000E1448">
        <w:rPr>
          <w:lang w:val="es-ES_tradnl"/>
        </w:rPr>
        <w:t>Este periodo de integración también determina la sensibilidad del receptor y, por consiguiente, el umbral o nivel medio de la interferencia. Estos valores varían dependiendo del tipo de observación; por ejemplo, observaciones del continuum u observaciones de rayas espectrales. Las observaciones del continuum son más sensibles que las de las rayas espectrales y, por tanto, requieren un umbral inferior. El funcionamiento de un telescopio como parte de un sistema VLBI da lugar a unos valores umbral más elevados a causa de la baja correlación de las fuentes de interferencia.</w:t>
      </w:r>
    </w:p>
    <w:p w:rsidR="006A2558" w:rsidRPr="000E1448" w:rsidRDefault="006A2558" w:rsidP="00DC02F2">
      <w:pPr>
        <w:rPr>
          <w:lang w:val="es-ES_tradnl"/>
        </w:rPr>
      </w:pPr>
      <w:r w:rsidRPr="000E1448">
        <w:rPr>
          <w:lang w:val="es-ES_tradnl"/>
        </w:rPr>
        <w:t>Los valores que aparecen en el Cuadro 1 de la Recomendación UIT-R RA.769</w:t>
      </w:r>
      <w:r w:rsidRPr="000E1448">
        <w:rPr>
          <w:lang w:val="es-ES_tradnl"/>
        </w:rPr>
        <w:noBreakHyphen/>
        <w:t>2 se refieren a valores medios de los niveles umbrales de interferencia en términos de densidad espectral del flujo de potencia basándose en una ganancia supuesta del receptor de 0</w:t>
      </w:r>
      <w:r w:rsidR="00DC02F2">
        <w:rPr>
          <w:lang w:val="es-ES_tradnl"/>
        </w:rPr>
        <w:t> </w:t>
      </w:r>
      <w:r w:rsidRPr="000E1448">
        <w:rPr>
          <w:lang w:val="es-ES_tradnl"/>
        </w:rPr>
        <w:t>dBi. Ello corresponde a una antena con los lóbulos laterales que figuran en la Recomendación UIT-R</w:t>
      </w:r>
      <w:r w:rsidR="00DC02F2">
        <w:rPr>
          <w:lang w:val="es-ES_tradnl"/>
        </w:rPr>
        <w:t> </w:t>
      </w:r>
      <w:r w:rsidRPr="000E1448">
        <w:rPr>
          <w:lang w:val="es-ES_tradnl"/>
        </w:rPr>
        <w:t>SA.509 para un ángulo con respecto al eje de 19</w:t>
      </w:r>
      <w:r w:rsidRPr="00323AE9">
        <w:sym w:font="Symbol" w:char="F0B0"/>
      </w:r>
      <w:r w:rsidRPr="000E1448">
        <w:rPr>
          <w:lang w:val="es-ES_tradnl"/>
        </w:rPr>
        <w:t xml:space="preserve">. A fin de poder establecer modelos de telescopios del SRA para ángulos de elevación menores e incluir otros diagramas de ganancia para el telescopio, es necesario definir el umbral en términos de interferencia en el receptor; es decir, utilizando el valor </w:t>
      </w:r>
      <w:r w:rsidRPr="00323AE9">
        <w:sym w:font="Symbol" w:char="F044"/>
      </w:r>
      <w:r w:rsidRPr="00D85C0E">
        <w:rPr>
          <w:i/>
          <w:lang w:val="es-ES_tradnl"/>
        </w:rPr>
        <w:t>P</w:t>
      </w:r>
      <w:r w:rsidRPr="00D85C0E">
        <w:rPr>
          <w:i/>
          <w:vertAlign w:val="subscript"/>
          <w:lang w:val="es-ES_tradnl"/>
        </w:rPr>
        <w:t>H</w:t>
      </w:r>
      <w:r w:rsidRPr="000E1448">
        <w:rPr>
          <w:lang w:val="es-ES_tradnl"/>
        </w:rPr>
        <w:t xml:space="preserve"> definido en la ecuación (4) de la citada Recomendación.</w:t>
      </w:r>
    </w:p>
    <w:p w:rsidR="006A2558" w:rsidRPr="000E1448" w:rsidRDefault="006A2558" w:rsidP="006A2558">
      <w:pPr>
        <w:rPr>
          <w:lang w:val="es-ES_tradnl"/>
        </w:rPr>
      </w:pPr>
      <w:r w:rsidRPr="000E1448">
        <w:rPr>
          <w:lang w:val="es-ES_tradnl"/>
        </w:rPr>
        <w:t>Como se ha indicado anteriormente, una observación debe estar libre de interferencia con una probabilidad del (100 </w:t>
      </w:r>
      <w:r w:rsidRPr="00323AE9">
        <w:sym w:font="Symbol" w:char="F02D"/>
      </w:r>
      <w:r w:rsidRPr="000E1448">
        <w:rPr>
          <w:lang w:val="es-ES_tradnl"/>
        </w:rPr>
        <w:t> </w:t>
      </w:r>
      <w:r w:rsidRPr="000E1448">
        <w:rPr>
          <w:i/>
          <w:iCs/>
          <w:lang w:val="es-ES_tradnl"/>
        </w:rPr>
        <w:t>x</w:t>
      </w:r>
      <w:r w:rsidRPr="000E1448">
        <w:rPr>
          <w:lang w:val="es-ES_tradnl"/>
        </w:rPr>
        <w:t>)%; es decir, no debe rebasarse este valor umbral. La Recomendación UIT</w:t>
      </w:r>
      <w:r w:rsidRPr="000E1448">
        <w:rPr>
          <w:lang w:val="es-ES_tradnl"/>
        </w:rPr>
        <w:noBreakHyphen/>
        <w:t>R RA.1513 indica que para una red sencilla, en este caso para una instalación P</w:t>
      </w:r>
      <w:r w:rsidRPr="000E1448">
        <w:rPr>
          <w:lang w:val="es-ES_tradnl"/>
        </w:rPr>
        <w:noBreakHyphen/>
        <w:t xml:space="preserve">MP HDFS, debe utilizarse un valor de </w:t>
      </w:r>
      <w:r w:rsidRPr="000E1448">
        <w:rPr>
          <w:i/>
          <w:iCs/>
          <w:lang w:val="es-ES_tradnl"/>
        </w:rPr>
        <w:t>x</w:t>
      </w:r>
      <w:r w:rsidRPr="000E1448">
        <w:rPr>
          <w:lang w:val="es-ES_tradnl"/>
        </w:rPr>
        <w:t xml:space="preserve"> = 2%.</w:t>
      </w:r>
    </w:p>
    <w:p w:rsidR="006A2558" w:rsidRPr="000E1448" w:rsidRDefault="006A2558" w:rsidP="006A2558">
      <w:pPr>
        <w:pStyle w:val="Heading2"/>
        <w:rPr>
          <w:lang w:val="es-ES_tradnl"/>
        </w:rPr>
      </w:pPr>
      <w:bookmarkStart w:id="8" w:name="_Toc151539974"/>
      <w:r w:rsidRPr="000E1448">
        <w:rPr>
          <w:lang w:val="es-ES_tradnl"/>
        </w:rPr>
        <w:t>2.2</w:t>
      </w:r>
      <w:r w:rsidRPr="000E1448">
        <w:rPr>
          <w:lang w:val="es-ES_tradnl"/>
        </w:rPr>
        <w:tab/>
        <w:t>Emplazamiento</w:t>
      </w:r>
      <w:bookmarkEnd w:id="8"/>
    </w:p>
    <w:p w:rsidR="006A2558" w:rsidRPr="000E1448" w:rsidRDefault="006A2558" w:rsidP="006A2558">
      <w:pPr>
        <w:rPr>
          <w:lang w:val="es-ES_tradnl"/>
        </w:rPr>
      </w:pPr>
      <w:r w:rsidRPr="000E1448">
        <w:rPr>
          <w:lang w:val="es-ES_tradnl"/>
        </w:rPr>
        <w:t>El emplazamiento de la antena del SRA viene definido por su latitud, su longitud y su altura sobre el terreno local.</w:t>
      </w:r>
    </w:p>
    <w:p w:rsidR="006A2558" w:rsidRPr="000E1448" w:rsidRDefault="006A2558" w:rsidP="006A2558">
      <w:pPr>
        <w:pStyle w:val="Heading2"/>
        <w:rPr>
          <w:lang w:val="es-ES_tradnl"/>
        </w:rPr>
      </w:pPr>
      <w:bookmarkStart w:id="9" w:name="_Toc151539975"/>
      <w:r w:rsidRPr="000E1448">
        <w:rPr>
          <w:lang w:val="es-ES_tradnl"/>
        </w:rPr>
        <w:lastRenderedPageBreak/>
        <w:t>2.3</w:t>
      </w:r>
      <w:r w:rsidRPr="000E1448">
        <w:rPr>
          <w:lang w:val="es-ES_tradnl"/>
        </w:rPr>
        <w:tab/>
        <w:t>Diagrama de ganancia</w:t>
      </w:r>
      <w:bookmarkEnd w:id="9"/>
    </w:p>
    <w:p w:rsidR="006A2558" w:rsidRPr="000E1448" w:rsidRDefault="006A2558" w:rsidP="00DC02F2">
      <w:pPr>
        <w:keepNext/>
        <w:keepLines/>
        <w:rPr>
          <w:lang w:val="es-ES_tradnl"/>
        </w:rPr>
      </w:pPr>
      <w:r w:rsidRPr="000E1448">
        <w:rPr>
          <w:lang w:val="es-ES_tradnl"/>
        </w:rPr>
        <w:t>La antena del SRA debe modelarse mediante un diagrama de ganancia adecuado tal como el que se especifica en las Recomendaciones</w:t>
      </w:r>
      <w:r w:rsidR="00DC02F2">
        <w:rPr>
          <w:lang w:val="es-ES_tradnl"/>
        </w:rPr>
        <w:t xml:space="preserve"> </w:t>
      </w:r>
      <w:r w:rsidRPr="000E1448">
        <w:rPr>
          <w:lang w:val="es-ES_tradnl"/>
        </w:rPr>
        <w:t>UIT</w:t>
      </w:r>
      <w:r w:rsidRPr="000E1448">
        <w:rPr>
          <w:lang w:val="es-ES_tradnl"/>
        </w:rPr>
        <w:noBreakHyphen/>
        <w:t>R S.1328 o UIT</w:t>
      </w:r>
      <w:r w:rsidRPr="000E1448">
        <w:rPr>
          <w:lang w:val="es-ES_tradnl"/>
        </w:rPr>
        <w:noBreakHyphen/>
        <w:t>R RA.</w:t>
      </w:r>
      <w:r>
        <w:rPr>
          <w:lang w:val="es-ES_tradnl"/>
        </w:rPr>
        <w:t>1680</w:t>
      </w:r>
      <w:r w:rsidRPr="000E1448">
        <w:rPr>
          <w:lang w:val="es-ES_tradnl"/>
        </w:rPr>
        <w:t xml:space="preserve"> o, si se dispone de ellos, basándose en los datos medidos. Como se ha indicado anteriormente, el nivel umbral de interferencia se basa en la interferencia media a lo largo de un periodo de observación, normalmente de 2 000 s. Suponiendo que el entorno de propagación y la instalación de P</w:t>
      </w:r>
      <w:r w:rsidRPr="000E1448">
        <w:rPr>
          <w:lang w:val="es-ES_tradnl"/>
        </w:rPr>
        <w:noBreakHyphen/>
        <w:t>MP HDFS es constante a lo largo de dicho periodo, la interferencia media se calculará utilizando la ganancia media a lo largo del periodo de observación.</w:t>
      </w:r>
    </w:p>
    <w:p w:rsidR="006A2558" w:rsidRPr="000E1448" w:rsidRDefault="006A2558" w:rsidP="006A2558">
      <w:pPr>
        <w:rPr>
          <w:lang w:val="es-ES_tradnl"/>
        </w:rPr>
      </w:pPr>
      <w:r w:rsidRPr="000E1448">
        <w:rPr>
          <w:lang w:val="es-ES_tradnl"/>
        </w:rPr>
        <w:t>La ganancia media de un telescopio del SRA puede determinarse:</w:t>
      </w:r>
    </w:p>
    <w:p w:rsidR="006A2558" w:rsidRPr="000E1448" w:rsidRDefault="006A2558" w:rsidP="006A2558">
      <w:pPr>
        <w:pStyle w:val="enumlev1"/>
        <w:rPr>
          <w:lang w:val="es-ES_tradnl"/>
        </w:rPr>
      </w:pPr>
      <w:r>
        <w:rPr>
          <w:lang w:val="es-ES_tradnl"/>
        </w:rPr>
        <w:t>–</w:t>
      </w:r>
      <w:r w:rsidRPr="000E1448">
        <w:rPr>
          <w:lang w:val="es-ES_tradnl"/>
        </w:rPr>
        <w:tab/>
        <w:t>ubicando un cierto número de puntos de prueba (por ejemplo, cada 3</w:t>
      </w:r>
      <w:r>
        <w:sym w:font="Symbol" w:char="F0B0"/>
      </w:r>
      <w:r w:rsidRPr="000E1448">
        <w:rPr>
          <w:lang w:val="es-ES_tradnl"/>
        </w:rPr>
        <w:t>) sobre el horizonte en torno al emplazamiento de prueba del SRA;</w:t>
      </w:r>
    </w:p>
    <w:p w:rsidR="006A2558" w:rsidRPr="000E1448" w:rsidRDefault="006A2558" w:rsidP="006A2558">
      <w:pPr>
        <w:pStyle w:val="enumlev1"/>
        <w:rPr>
          <w:lang w:val="es-ES_tradnl"/>
        </w:rPr>
      </w:pPr>
      <w:r>
        <w:rPr>
          <w:lang w:val="es-ES_tradnl"/>
        </w:rPr>
        <w:t>–</w:t>
      </w:r>
      <w:r w:rsidRPr="000E1448">
        <w:rPr>
          <w:lang w:val="es-ES_tradnl"/>
        </w:rPr>
        <w:tab/>
        <w:t>fijando la antena del SRA al diagrama de ganancia seleccionado como se describe anteriormente;</w:t>
      </w:r>
    </w:p>
    <w:p w:rsidR="006A2558" w:rsidRPr="000E1448" w:rsidRDefault="006A2558" w:rsidP="006A2558">
      <w:pPr>
        <w:pStyle w:val="enumlev1"/>
        <w:rPr>
          <w:lang w:val="es-ES_tradnl"/>
        </w:rPr>
      </w:pPr>
      <w:r>
        <w:rPr>
          <w:lang w:val="es-ES_tradnl"/>
        </w:rPr>
        <w:t>–</w:t>
      </w:r>
      <w:r w:rsidRPr="000E1448">
        <w:rPr>
          <w:lang w:val="es-ES_tradnl"/>
        </w:rPr>
        <w:tab/>
        <w:t>seleccionando la elevación de la antena al valor mínimo para las observaciones en este emplazamiento (por ejemplo 5</w:t>
      </w:r>
      <w:r>
        <w:sym w:font="Symbol" w:char="F0B0"/>
      </w:r>
      <w:r w:rsidRPr="000E1448">
        <w:rPr>
          <w:lang w:val="es-ES_tradnl"/>
        </w:rPr>
        <w:t>) y con un acimut = 0;</w:t>
      </w:r>
    </w:p>
    <w:p w:rsidR="006A2558" w:rsidRPr="000E1448" w:rsidRDefault="006A2558" w:rsidP="006A2558">
      <w:pPr>
        <w:pStyle w:val="enumlev1"/>
        <w:rPr>
          <w:lang w:val="es-ES_tradnl"/>
        </w:rPr>
      </w:pPr>
      <w:r>
        <w:rPr>
          <w:lang w:val="es-ES_tradnl"/>
        </w:rPr>
        <w:t>–</w:t>
      </w:r>
      <w:r w:rsidRPr="000E1448">
        <w:rPr>
          <w:lang w:val="es-ES_tradnl"/>
        </w:rPr>
        <w:tab/>
        <w:t>aumentando la elevación de la antena a una velocidad igual a la de la rotación de la Tierra durante 2 000 s;</w:t>
      </w:r>
    </w:p>
    <w:p w:rsidR="006A2558" w:rsidRPr="000E1448" w:rsidRDefault="006A2558" w:rsidP="006A2558">
      <w:pPr>
        <w:pStyle w:val="enumlev1"/>
        <w:rPr>
          <w:lang w:val="es-ES_tradnl"/>
        </w:rPr>
      </w:pPr>
      <w:r>
        <w:rPr>
          <w:lang w:val="es-ES_tradnl"/>
        </w:rPr>
        <w:t>–</w:t>
      </w:r>
      <w:r w:rsidRPr="000E1448">
        <w:rPr>
          <w:lang w:val="es-ES_tradnl"/>
        </w:rPr>
        <w:tab/>
        <w:t>determinando la ganancia media en cada punto de prueba a lo largo de este periodo. El valor medio debe expresarse en unidades lineales y no en dBi, aunque el cuadro resultante puede presentarse en dBi.</w:t>
      </w:r>
    </w:p>
    <w:p w:rsidR="006A2558" w:rsidRPr="000E1448" w:rsidRDefault="006A2558" w:rsidP="006A2558">
      <w:pPr>
        <w:rPr>
          <w:lang w:val="es-ES_tradnl"/>
        </w:rPr>
      </w:pPr>
      <w:r w:rsidRPr="000E1448">
        <w:rPr>
          <w:lang w:val="es-ES_tradnl"/>
        </w:rPr>
        <w:t>El cuadro de {(ganancia media a lo largo de 2 000 s), (ángulo a partir del acimut del SRA)} puede utilizarse para representar el diagrama de ganancia media de la antena del SRA hacia el horizonte a lo largo de un periodo de observación.</w:t>
      </w:r>
    </w:p>
    <w:p w:rsidR="006A2558" w:rsidRPr="000E1448" w:rsidRDefault="006A2558" w:rsidP="006A2558">
      <w:pPr>
        <w:pStyle w:val="Heading2"/>
        <w:rPr>
          <w:lang w:val="es-ES_tradnl"/>
        </w:rPr>
      </w:pPr>
      <w:bookmarkStart w:id="10" w:name="_Toc151539976"/>
      <w:r w:rsidRPr="000E1448">
        <w:rPr>
          <w:lang w:val="es-ES_tradnl"/>
        </w:rPr>
        <w:t>2.4</w:t>
      </w:r>
      <w:r w:rsidRPr="000E1448">
        <w:rPr>
          <w:lang w:val="es-ES_tradnl"/>
        </w:rPr>
        <w:tab/>
        <w:t>Resumen</w:t>
      </w:r>
      <w:bookmarkEnd w:id="10"/>
    </w:p>
    <w:p w:rsidR="006A2558" w:rsidRDefault="006A2558" w:rsidP="006A2558">
      <w:pPr>
        <w:rPr>
          <w:lang w:val="es-ES_tradnl"/>
        </w:rPr>
      </w:pPr>
      <w:r w:rsidRPr="000E1448">
        <w:rPr>
          <w:lang w:val="es-ES_tradnl"/>
        </w:rPr>
        <w:t>Los parámetros de entrada necesarios para definir el modelo del SRA se resumen en el Cuadro 1.</w:t>
      </w:r>
    </w:p>
    <w:p w:rsidR="006A2558" w:rsidRPr="00632B53" w:rsidRDefault="006A2558" w:rsidP="006A2558">
      <w:pPr>
        <w:pStyle w:val="TableNo"/>
      </w:pPr>
      <w:bookmarkStart w:id="11" w:name="_Toc151539977"/>
      <w:r w:rsidRPr="00632B53">
        <w:t>CUADRO 1</w:t>
      </w:r>
    </w:p>
    <w:p w:rsidR="006A2558" w:rsidRDefault="006A2558" w:rsidP="006A2558">
      <w:pPr>
        <w:pStyle w:val="Tabletitle"/>
      </w:pPr>
      <w:r>
        <w:t>Parámetros del modelo SRA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6A2558" w:rsidRPr="00A3040B" w:rsidTr="00A42416">
        <w:trPr>
          <w:jc w:val="center"/>
        </w:trPr>
        <w:tc>
          <w:tcPr>
            <w:tcW w:w="3402" w:type="dxa"/>
          </w:tcPr>
          <w:p w:rsidR="006A2558" w:rsidRPr="00A3040B" w:rsidRDefault="006A2558" w:rsidP="00A42416">
            <w:pPr>
              <w:pStyle w:val="Tablehead"/>
              <w:rPr>
                <w:lang w:val="es-ES_tradnl"/>
              </w:rPr>
            </w:pPr>
            <w:r w:rsidRPr="00A3040B">
              <w:rPr>
                <w:lang w:val="es-ES_tradnl"/>
              </w:rPr>
              <w:t>Parámetro de entrada</w:t>
            </w:r>
          </w:p>
        </w:tc>
        <w:tc>
          <w:tcPr>
            <w:tcW w:w="6237" w:type="dxa"/>
          </w:tcPr>
          <w:p w:rsidR="006A2558" w:rsidRPr="00A3040B" w:rsidRDefault="006A2558" w:rsidP="00A42416">
            <w:pPr>
              <w:pStyle w:val="Tablehead"/>
              <w:rPr>
                <w:lang w:val="es-ES_tradnl"/>
              </w:rPr>
            </w:pPr>
            <w:r w:rsidRPr="00A3040B">
              <w:rPr>
                <w:lang w:val="es-ES_tradnl"/>
              </w:rPr>
              <w:t>Origen</w:t>
            </w:r>
          </w:p>
        </w:tc>
      </w:tr>
      <w:tr w:rsidR="006A2558" w:rsidRPr="00064E2D" w:rsidTr="00A42416">
        <w:trPr>
          <w:jc w:val="center"/>
        </w:trPr>
        <w:tc>
          <w:tcPr>
            <w:tcW w:w="3402" w:type="dxa"/>
          </w:tcPr>
          <w:p w:rsidR="006A2558" w:rsidRPr="00A3040B" w:rsidRDefault="006A2558" w:rsidP="00A42416">
            <w:pPr>
              <w:pStyle w:val="Tabletext"/>
              <w:keepNext/>
              <w:jc w:val="left"/>
              <w:rPr>
                <w:lang w:val="es-ES_tradnl"/>
              </w:rPr>
            </w:pPr>
            <w:r w:rsidRPr="00A3040B">
              <w:rPr>
                <w:lang w:val="es-ES_tradnl"/>
              </w:rPr>
              <w:t>Umbral de interferencia</w:t>
            </w:r>
          </w:p>
        </w:tc>
        <w:tc>
          <w:tcPr>
            <w:tcW w:w="6237" w:type="dxa"/>
          </w:tcPr>
          <w:p w:rsidR="006A2558" w:rsidRPr="00A3040B" w:rsidRDefault="006A2558" w:rsidP="00A42416">
            <w:pPr>
              <w:pStyle w:val="Tabletext"/>
              <w:keepNext/>
              <w:jc w:val="left"/>
              <w:rPr>
                <w:lang w:val="es-ES_tradnl"/>
              </w:rPr>
            </w:pPr>
            <w:r w:rsidRPr="00A3040B">
              <w:rPr>
                <w:lang w:val="es-ES_tradnl"/>
              </w:rPr>
              <w:t>Interferencia media a lo largo de los 2 000 s del periodo de observación calculado a partir de la Recomendación UIT</w:t>
            </w:r>
            <w:r w:rsidRPr="00A3040B">
              <w:rPr>
                <w:lang w:val="es-ES_tradnl"/>
              </w:rPr>
              <w:noBreakHyphen/>
              <w:t>R RA.769 para el tipo de observación pertinente</w:t>
            </w:r>
          </w:p>
        </w:tc>
      </w:tr>
      <w:tr w:rsidR="006A2558" w:rsidRPr="00064E2D" w:rsidTr="00A42416">
        <w:trPr>
          <w:jc w:val="center"/>
        </w:trPr>
        <w:tc>
          <w:tcPr>
            <w:tcW w:w="3402" w:type="dxa"/>
          </w:tcPr>
          <w:p w:rsidR="006A2558" w:rsidRPr="00A3040B" w:rsidRDefault="006A2558" w:rsidP="00A42416">
            <w:pPr>
              <w:pStyle w:val="Tabletext"/>
              <w:keepNext/>
              <w:jc w:val="left"/>
              <w:rPr>
                <w:lang w:val="es-ES_tradnl"/>
              </w:rPr>
            </w:pPr>
            <w:r w:rsidRPr="00A3040B">
              <w:rPr>
                <w:lang w:val="es-ES_tradnl"/>
              </w:rPr>
              <w:t>Probabilidad aceptable de que una observación reciba interferencia</w:t>
            </w:r>
          </w:p>
        </w:tc>
        <w:tc>
          <w:tcPr>
            <w:tcW w:w="6237" w:type="dxa"/>
          </w:tcPr>
          <w:p w:rsidR="006A2558" w:rsidRPr="00A3040B" w:rsidRDefault="006A2558" w:rsidP="00A42416">
            <w:pPr>
              <w:pStyle w:val="Tabletext"/>
              <w:keepNext/>
              <w:jc w:val="left"/>
              <w:rPr>
                <w:lang w:val="es-ES_tradnl"/>
              </w:rPr>
            </w:pPr>
            <w:r w:rsidRPr="00A3040B">
              <w:rPr>
                <w:lang w:val="es-ES_tradnl"/>
              </w:rPr>
              <w:t>De una red P</w:t>
            </w:r>
            <w:r w:rsidRPr="00A3040B">
              <w:rPr>
                <w:lang w:val="es-ES_tradnl"/>
              </w:rPr>
              <w:noBreakHyphen/>
              <w:t>MP HDFS, el 2% según la Recomendación UIT</w:t>
            </w:r>
            <w:r w:rsidRPr="00A3040B">
              <w:rPr>
                <w:lang w:val="es-ES_tradnl"/>
              </w:rPr>
              <w:noBreakHyphen/>
              <w:t>R RA.1513</w:t>
            </w:r>
          </w:p>
        </w:tc>
      </w:tr>
      <w:tr w:rsidR="006A2558" w:rsidRPr="00064E2D" w:rsidTr="00A42416">
        <w:trPr>
          <w:jc w:val="center"/>
        </w:trPr>
        <w:tc>
          <w:tcPr>
            <w:tcW w:w="3402" w:type="dxa"/>
          </w:tcPr>
          <w:p w:rsidR="006A2558" w:rsidRPr="00A3040B" w:rsidRDefault="006A2558" w:rsidP="00A42416">
            <w:pPr>
              <w:pStyle w:val="Tabletext"/>
              <w:keepNext/>
              <w:jc w:val="left"/>
              <w:rPr>
                <w:lang w:val="es-ES_tradnl"/>
              </w:rPr>
            </w:pPr>
            <w:r w:rsidRPr="00A3040B">
              <w:rPr>
                <w:lang w:val="es-ES_tradnl"/>
              </w:rPr>
              <w:t>Latitud del SRA</w:t>
            </w:r>
          </w:p>
        </w:tc>
        <w:tc>
          <w:tcPr>
            <w:tcW w:w="6237" w:type="dxa"/>
          </w:tcPr>
          <w:p w:rsidR="006A2558" w:rsidRPr="00A3040B" w:rsidRDefault="006A2558" w:rsidP="00A42416">
            <w:pPr>
              <w:pStyle w:val="Tabletext"/>
              <w:keepNext/>
              <w:jc w:val="left"/>
              <w:rPr>
                <w:lang w:val="es-ES_tradnl"/>
              </w:rPr>
            </w:pPr>
            <w:r w:rsidRPr="00A3040B">
              <w:rPr>
                <w:lang w:val="es-ES_tradnl"/>
              </w:rPr>
              <w:t>A partir del emplazamiento del SRA</w:t>
            </w:r>
          </w:p>
        </w:tc>
      </w:tr>
      <w:tr w:rsidR="006A2558" w:rsidRPr="00064E2D" w:rsidTr="00A42416">
        <w:trPr>
          <w:jc w:val="center"/>
        </w:trPr>
        <w:tc>
          <w:tcPr>
            <w:tcW w:w="3402" w:type="dxa"/>
          </w:tcPr>
          <w:p w:rsidR="006A2558" w:rsidRPr="00A3040B" w:rsidRDefault="006A2558" w:rsidP="00A42416">
            <w:pPr>
              <w:pStyle w:val="Tabletext"/>
              <w:keepNext/>
              <w:jc w:val="left"/>
              <w:rPr>
                <w:lang w:val="es-ES_tradnl"/>
              </w:rPr>
            </w:pPr>
            <w:r w:rsidRPr="00A3040B">
              <w:rPr>
                <w:lang w:val="es-ES_tradnl"/>
              </w:rPr>
              <w:t>Longitud del SRA</w:t>
            </w:r>
          </w:p>
        </w:tc>
        <w:tc>
          <w:tcPr>
            <w:tcW w:w="6237" w:type="dxa"/>
          </w:tcPr>
          <w:p w:rsidR="006A2558" w:rsidRPr="00A3040B" w:rsidRDefault="006A2558" w:rsidP="00A42416">
            <w:pPr>
              <w:pStyle w:val="Tabletext"/>
              <w:keepNext/>
              <w:jc w:val="left"/>
              <w:rPr>
                <w:lang w:val="es-ES_tradnl"/>
              </w:rPr>
            </w:pPr>
            <w:r w:rsidRPr="00A3040B">
              <w:rPr>
                <w:lang w:val="es-ES_tradnl"/>
              </w:rPr>
              <w:t>A partir del emplazamiento del SRA</w:t>
            </w:r>
          </w:p>
        </w:tc>
      </w:tr>
      <w:tr w:rsidR="006A2558" w:rsidRPr="00064E2D" w:rsidTr="00A42416">
        <w:trPr>
          <w:jc w:val="center"/>
        </w:trPr>
        <w:tc>
          <w:tcPr>
            <w:tcW w:w="3402" w:type="dxa"/>
          </w:tcPr>
          <w:p w:rsidR="006A2558" w:rsidRPr="00A3040B" w:rsidRDefault="006A2558" w:rsidP="00A42416">
            <w:pPr>
              <w:pStyle w:val="Tabletext"/>
              <w:keepNext/>
              <w:jc w:val="left"/>
              <w:rPr>
                <w:lang w:val="es-ES_tradnl"/>
              </w:rPr>
            </w:pPr>
            <w:r w:rsidRPr="00A3040B">
              <w:rPr>
                <w:lang w:val="es-ES_tradnl"/>
              </w:rPr>
              <w:t>Altura de la antena del SRA sobre el suelo</w:t>
            </w:r>
          </w:p>
        </w:tc>
        <w:tc>
          <w:tcPr>
            <w:tcW w:w="6237" w:type="dxa"/>
          </w:tcPr>
          <w:p w:rsidR="006A2558" w:rsidRPr="00A3040B" w:rsidRDefault="006A2558" w:rsidP="00A42416">
            <w:pPr>
              <w:pStyle w:val="Tabletext"/>
              <w:keepNext/>
              <w:jc w:val="left"/>
              <w:rPr>
                <w:lang w:val="es-ES_tradnl"/>
              </w:rPr>
            </w:pPr>
            <w:r w:rsidRPr="00A3040B">
              <w:rPr>
                <w:lang w:val="es-ES_tradnl"/>
              </w:rPr>
              <w:t>A partir del emplazamiento del SRA</w:t>
            </w:r>
          </w:p>
        </w:tc>
      </w:tr>
      <w:tr w:rsidR="006A2558" w:rsidRPr="00064E2D" w:rsidTr="00A42416">
        <w:trPr>
          <w:jc w:val="center"/>
        </w:trPr>
        <w:tc>
          <w:tcPr>
            <w:tcW w:w="3402" w:type="dxa"/>
          </w:tcPr>
          <w:p w:rsidR="006A2558" w:rsidRPr="00A3040B" w:rsidRDefault="006A2558" w:rsidP="00A42416">
            <w:pPr>
              <w:pStyle w:val="Tabletext"/>
              <w:jc w:val="left"/>
              <w:rPr>
                <w:lang w:val="es-ES_tradnl"/>
              </w:rPr>
            </w:pPr>
            <w:r w:rsidRPr="00A3040B">
              <w:rPr>
                <w:lang w:val="es-ES_tradnl"/>
              </w:rPr>
              <w:t>Ganancia media a lo largo de la observación</w:t>
            </w:r>
          </w:p>
        </w:tc>
        <w:tc>
          <w:tcPr>
            <w:tcW w:w="6237" w:type="dxa"/>
          </w:tcPr>
          <w:p w:rsidR="006A2558" w:rsidRPr="00A3040B" w:rsidRDefault="006A2558" w:rsidP="00A42416">
            <w:pPr>
              <w:pStyle w:val="Tabletext"/>
              <w:jc w:val="left"/>
              <w:rPr>
                <w:lang w:val="es-ES_tradnl"/>
              </w:rPr>
            </w:pPr>
            <w:r w:rsidRPr="00A3040B">
              <w:rPr>
                <w:lang w:val="es-ES_tradnl"/>
              </w:rPr>
              <w:t>Cuadro de {(ganancia media a lo largo de 2 000 s), (ángulo a partir del acimut del SRA)}, calculado utilizando el algoritmo descrito anteriormente</w:t>
            </w:r>
          </w:p>
        </w:tc>
      </w:tr>
    </w:tbl>
    <w:p w:rsidR="006A2558" w:rsidRDefault="006A2558" w:rsidP="006A2558">
      <w:pPr>
        <w:pStyle w:val="Tablefin"/>
        <w:rPr>
          <w:lang w:val="es-ES_tradnl"/>
        </w:rPr>
      </w:pPr>
    </w:p>
    <w:p w:rsidR="006A2558" w:rsidRPr="000E1448" w:rsidRDefault="006A2558" w:rsidP="006A2558">
      <w:pPr>
        <w:pStyle w:val="Heading1"/>
        <w:rPr>
          <w:lang w:val="es-ES_tradnl"/>
        </w:rPr>
      </w:pPr>
      <w:r w:rsidRPr="000E1448">
        <w:rPr>
          <w:lang w:val="es-ES_tradnl"/>
        </w:rPr>
        <w:lastRenderedPageBreak/>
        <w:t>3</w:t>
      </w:r>
      <w:r w:rsidRPr="000E1448">
        <w:rPr>
          <w:lang w:val="es-ES_tradnl"/>
        </w:rPr>
        <w:tab/>
        <w:t>Modelo P</w:t>
      </w:r>
      <w:r w:rsidRPr="000E1448">
        <w:rPr>
          <w:lang w:val="es-ES_tradnl"/>
        </w:rPr>
        <w:noBreakHyphen/>
        <w:t>MP HDFS</w:t>
      </w:r>
      <w:bookmarkEnd w:id="11"/>
    </w:p>
    <w:p w:rsidR="006A2558" w:rsidRPr="000E1448" w:rsidRDefault="006A2558" w:rsidP="006A2558">
      <w:pPr>
        <w:pStyle w:val="Heading2"/>
        <w:rPr>
          <w:lang w:val="es-ES_tradnl"/>
        </w:rPr>
      </w:pPr>
      <w:bookmarkStart w:id="12" w:name="_Toc151539978"/>
      <w:r w:rsidRPr="000E1448">
        <w:rPr>
          <w:lang w:val="es-ES_tradnl"/>
        </w:rPr>
        <w:t>3.1</w:t>
      </w:r>
      <w:r w:rsidRPr="000E1448">
        <w:rPr>
          <w:lang w:val="es-ES_tradnl"/>
        </w:rPr>
        <w:tab/>
        <w:t>Distribuciones de p.i.r.e.c.</w:t>
      </w:r>
      <w:bookmarkEnd w:id="12"/>
    </w:p>
    <w:p w:rsidR="006A2558" w:rsidRPr="000E1448" w:rsidRDefault="006A2558" w:rsidP="006A2558">
      <w:pPr>
        <w:rPr>
          <w:lang w:val="es-ES_tradnl"/>
        </w:rPr>
      </w:pPr>
      <w:r w:rsidRPr="000E1448">
        <w:rPr>
          <w:lang w:val="es-ES_tradnl"/>
        </w:rPr>
        <w:t xml:space="preserve">Los sistemas de P-MP HDFS podrían emplear una gama de servicios, arquitecturas y características. Para soportar la regulación de esta banda, pueden definirse modelos de referencia con características tales como máximo tamaño de célula, p.i.r.e., alturas de antena, etc. A partir de estos modelos de referencia es posible obtener distribuciones de la p.i.r.e. combinada (p.i.r.e.c.) que definen la probabilidad de que la p.i.r.e.c. dentro de una zona o bloque de edificios no supere un cierto valor. El algoritmo para determinar estas distribuciones de p.i.r.e.c. se describe en </w:t>
      </w:r>
      <w:r>
        <w:rPr>
          <w:lang w:val="es-ES_tradnl"/>
        </w:rPr>
        <w:t>la</w:t>
      </w:r>
      <w:r w:rsidRPr="000E1448">
        <w:rPr>
          <w:lang w:val="es-ES_tradnl"/>
        </w:rPr>
        <w:t xml:space="preserve"> Recomendación UIT</w:t>
      </w:r>
      <w:r w:rsidRPr="000E1448">
        <w:rPr>
          <w:lang w:val="es-ES_tradnl"/>
        </w:rPr>
        <w:noBreakHyphen/>
        <w:t>R F.</w:t>
      </w:r>
      <w:r>
        <w:rPr>
          <w:lang w:val="es-ES_tradnl"/>
        </w:rPr>
        <w:t xml:space="preserve">1760 – </w:t>
      </w:r>
      <w:r w:rsidRPr="00307AD0">
        <w:rPr>
          <w:lang w:val="es-ES_tradnl"/>
        </w:rPr>
        <w:t>Metodología de cálculo de la distribución de la potencia isótropa radiada equivalente combinada de aplicaciones punto a multipunto de alta densidad del servicio fijo en bandas por encima de 30 GHz que se han identificado para dicha utilización</w:t>
      </w:r>
      <w:r w:rsidRPr="000E1448">
        <w:rPr>
          <w:lang w:val="es-ES_tradnl"/>
        </w:rPr>
        <w:t>.</w:t>
      </w:r>
    </w:p>
    <w:p w:rsidR="006A2558" w:rsidRPr="000E1448" w:rsidRDefault="006A2558" w:rsidP="006A2558">
      <w:pPr>
        <w:rPr>
          <w:lang w:val="es-ES_tradnl"/>
        </w:rPr>
      </w:pPr>
      <w:r w:rsidRPr="000E1448">
        <w:rPr>
          <w:lang w:val="es-ES_tradnl"/>
        </w:rPr>
        <w:t>La p.i.r.e.c. engloba las características de todos los transmisores en el interior del bloque de edificios, incluidos aspectos tales como control de potencia, diagramas de ganancia, combinación y ecos parásitos. La instalación de terminales P-MP HDFS variará según los bloques de edificios; sin embargo, es probable que un número elevado de bloques de edificios produzca una gama de p.i.r.e.c. como la definida por la distribución.</w:t>
      </w:r>
    </w:p>
    <w:p w:rsidR="006A2558" w:rsidRPr="000E1448" w:rsidRDefault="006A2558" w:rsidP="006A2558">
      <w:pPr>
        <w:rPr>
          <w:lang w:val="es-ES_tradnl"/>
        </w:rPr>
      </w:pPr>
      <w:r w:rsidRPr="000E1448">
        <w:rPr>
          <w:lang w:val="es-ES_tradnl"/>
        </w:rPr>
        <w:t>Una hipótesis podría basarse en una amplia instalación de un solo modelo de referencia P</w:t>
      </w:r>
      <w:r w:rsidRPr="000E1448">
        <w:rPr>
          <w:lang w:val="es-ES_tradnl"/>
        </w:rPr>
        <w:noBreakHyphen/>
        <w:t>MP HDFS, en cuyo caso la entrada sería una sola distribución de p.i.r.e.c. Sin embargo, instalaciones más complejas podrían implicar distintos tipos de modelos de referencia P</w:t>
      </w:r>
      <w:r w:rsidRPr="000E1448">
        <w:rPr>
          <w:lang w:val="es-ES_tradnl"/>
        </w:rPr>
        <w:noBreakHyphen/>
        <w:t>MP HDFS y en este caso habría múltiples distribuciones de p.i.r.e.c.</w:t>
      </w:r>
    </w:p>
    <w:p w:rsidR="006A2558" w:rsidRPr="000E1448" w:rsidRDefault="006A2558" w:rsidP="006A2558">
      <w:pPr>
        <w:pStyle w:val="Heading2"/>
        <w:rPr>
          <w:lang w:val="es-ES_tradnl"/>
        </w:rPr>
      </w:pPr>
      <w:bookmarkStart w:id="13" w:name="_Toc151539979"/>
      <w:r w:rsidRPr="000E1448">
        <w:rPr>
          <w:lang w:val="es-ES_tradnl"/>
        </w:rPr>
        <w:t>3.2</w:t>
      </w:r>
      <w:r w:rsidRPr="000E1448">
        <w:rPr>
          <w:lang w:val="es-ES_tradnl"/>
        </w:rPr>
        <w:tab/>
        <w:t>Altura del transmisor</w:t>
      </w:r>
      <w:bookmarkEnd w:id="13"/>
    </w:p>
    <w:p w:rsidR="006A2558" w:rsidRPr="000E1448" w:rsidRDefault="006A2558" w:rsidP="006A2558">
      <w:pPr>
        <w:rPr>
          <w:lang w:val="es-ES_tradnl"/>
        </w:rPr>
      </w:pPr>
      <w:r w:rsidRPr="000E1448">
        <w:rPr>
          <w:lang w:val="es-ES_tradnl"/>
        </w:rPr>
        <w:t>La altura del transmisor será la máxima que puede utilizarse para cada modelo de referencia y, por consiguiente, viene asociada con la distribución de p.i.r.e.c.</w:t>
      </w:r>
    </w:p>
    <w:p w:rsidR="006A2558" w:rsidRPr="000E1448" w:rsidRDefault="006A2558" w:rsidP="006A2558">
      <w:pPr>
        <w:pStyle w:val="Heading2"/>
        <w:rPr>
          <w:lang w:val="es-ES_tradnl"/>
        </w:rPr>
      </w:pPr>
      <w:bookmarkStart w:id="14" w:name="_Toc151539980"/>
      <w:r w:rsidRPr="000E1448">
        <w:rPr>
          <w:lang w:val="es-ES_tradnl"/>
        </w:rPr>
        <w:t>3.3</w:t>
      </w:r>
      <w:r w:rsidRPr="000E1448">
        <w:rPr>
          <w:lang w:val="es-ES_tradnl"/>
        </w:rPr>
        <w:tab/>
        <w:t>Zona de instalación</w:t>
      </w:r>
      <w:bookmarkEnd w:id="14"/>
    </w:p>
    <w:p w:rsidR="006A2558" w:rsidRPr="000E1448" w:rsidRDefault="006A2558" w:rsidP="006A2558">
      <w:pPr>
        <w:rPr>
          <w:lang w:val="es-ES_tradnl"/>
        </w:rPr>
      </w:pPr>
      <w:r w:rsidRPr="000E1448">
        <w:rPr>
          <w:lang w:val="es-ES_tradnl"/>
        </w:rPr>
        <w:t>La zona de instalación (ZI) representa los emplazamientos donde podría haber transmisores P</w:t>
      </w:r>
      <w:r w:rsidRPr="000E1448">
        <w:rPr>
          <w:lang w:val="es-ES_tradnl"/>
        </w:rPr>
        <w:noBreakHyphen/>
        <w:t>MP HDFS y está típicamente entre:</w:t>
      </w:r>
    </w:p>
    <w:p w:rsidR="006A2558" w:rsidRPr="000E1448" w:rsidRDefault="006A2558" w:rsidP="006A2558">
      <w:pPr>
        <w:pStyle w:val="enumlev1"/>
        <w:rPr>
          <w:lang w:val="es-ES_tradnl"/>
        </w:rPr>
      </w:pPr>
      <w:r>
        <w:rPr>
          <w:lang w:val="es-ES_tradnl"/>
        </w:rPr>
        <w:t>–</w:t>
      </w:r>
      <w:r w:rsidRPr="000E1448">
        <w:rPr>
          <w:lang w:val="es-ES_tradnl"/>
        </w:rPr>
        <w:tab/>
        <w:t>la zona de exclusión (ZE) en torno al emplazamiento del SRA en el que la instalación P</w:t>
      </w:r>
      <w:r w:rsidRPr="000E1448">
        <w:rPr>
          <w:lang w:val="es-ES_tradnl"/>
        </w:rPr>
        <w:noBreakHyphen/>
        <w:t xml:space="preserve">MP HDFS no está permitida. Podría expresarse en forma de una distancia a partir del emplazamiento del SRA, </w:t>
      </w:r>
      <w:r w:rsidRPr="00D85C0E">
        <w:rPr>
          <w:i/>
          <w:lang w:val="es-ES_tradnl"/>
        </w:rPr>
        <w:t>D</w:t>
      </w:r>
      <w:r w:rsidRPr="000E1448">
        <w:rPr>
          <w:lang w:val="es-ES_tradnl"/>
        </w:rPr>
        <w:t>, o emplazamientos para los cuales las pérdidas de propagación, determinadas utilizando un modelo tal como el que describe la Recomendación UIT</w:t>
      </w:r>
      <w:r w:rsidRPr="000E1448">
        <w:rPr>
          <w:lang w:val="es-ES_tradnl"/>
        </w:rPr>
        <w:noBreakHyphen/>
        <w:t xml:space="preserve">R P.452, sean mayores que un valor especificado; es decir, </w:t>
      </w:r>
      <w:r w:rsidRPr="00D85C0E">
        <w:rPr>
          <w:i/>
          <w:lang w:val="es-ES_tradnl"/>
        </w:rPr>
        <w:t>L</w:t>
      </w:r>
      <w:r w:rsidRPr="000E1448">
        <w:rPr>
          <w:vertAlign w:val="subscript"/>
          <w:lang w:val="es-ES_tradnl"/>
        </w:rPr>
        <w:t>452</w:t>
      </w:r>
      <w:r w:rsidRPr="000E1448">
        <w:rPr>
          <w:lang w:val="es-ES_tradnl"/>
        </w:rPr>
        <w:t xml:space="preserve"> &gt; </w:t>
      </w:r>
      <w:r w:rsidRPr="00D85C0E">
        <w:rPr>
          <w:i/>
          <w:lang w:val="es-ES_tradnl"/>
        </w:rPr>
        <w:t>X</w:t>
      </w:r>
      <w:r w:rsidRPr="000E1448">
        <w:rPr>
          <w:lang w:val="es-ES_tradnl"/>
        </w:rPr>
        <w:t xml:space="preserve"> dB;</w:t>
      </w:r>
    </w:p>
    <w:p w:rsidR="006A2558" w:rsidRPr="000E1448" w:rsidRDefault="006A2558" w:rsidP="006A2558">
      <w:pPr>
        <w:pStyle w:val="enumlev1"/>
        <w:rPr>
          <w:lang w:val="es-ES_tradnl"/>
        </w:rPr>
      </w:pPr>
      <w:r>
        <w:rPr>
          <w:lang w:val="es-ES_tradnl"/>
        </w:rPr>
        <w:t>–</w:t>
      </w:r>
      <w:r w:rsidRPr="000E1448">
        <w:rPr>
          <w:lang w:val="es-ES_tradnl"/>
        </w:rPr>
        <w:tab/>
        <w:t>la máxima distancia D</w:t>
      </w:r>
      <w:r w:rsidRPr="000E1448">
        <w:rPr>
          <w:vertAlign w:val="subscript"/>
          <w:lang w:val="es-ES_tradnl"/>
        </w:rPr>
        <w:t>máx</w:t>
      </w:r>
      <w:r w:rsidRPr="000E1448">
        <w:rPr>
          <w:lang w:val="es-ES_tradnl"/>
        </w:rPr>
        <w:t xml:space="preserve"> a partir de la cual una instalación adicional aportaría un aumento despreciable en el nivel de interferencia calculado y, por consiguiente, no es necesario considerarla.</w:t>
      </w:r>
    </w:p>
    <w:p w:rsidR="006A2558" w:rsidRPr="000E1448" w:rsidRDefault="006A2558" w:rsidP="006A2558">
      <w:pPr>
        <w:rPr>
          <w:lang w:val="es-ES_tradnl"/>
        </w:rPr>
      </w:pPr>
      <w:r w:rsidRPr="000E1448">
        <w:rPr>
          <w:lang w:val="es-ES_tradnl"/>
        </w:rPr>
        <w:t>Las ZE basadas en la distancia consisten en círculos centrados alrededor del emplazamiento del SRA. Las ZE basadas en las pérdidas de propagación pueden ser polígonos.</w:t>
      </w:r>
    </w:p>
    <w:p w:rsidR="006A2558" w:rsidRPr="000E1448" w:rsidRDefault="006A2558" w:rsidP="00210EFF">
      <w:pPr>
        <w:rPr>
          <w:lang w:val="es-ES_tradnl"/>
        </w:rPr>
      </w:pPr>
      <w:r w:rsidRPr="000E1448">
        <w:rPr>
          <w:lang w:val="es-ES_tradnl"/>
        </w:rPr>
        <w:t xml:space="preserve">La máxima distancia a considerar variará dependiendo del emplazamiento de la ZE. Por ejemplo, con una ZE definida por </w:t>
      </w:r>
      <w:r w:rsidRPr="00D85C0E">
        <w:rPr>
          <w:i/>
          <w:lang w:val="es-ES_tradnl"/>
        </w:rPr>
        <w:t>D</w:t>
      </w:r>
      <w:r w:rsidR="00100EEE">
        <w:rPr>
          <w:lang w:val="es-ES_tradnl"/>
        </w:rPr>
        <w:t> </w:t>
      </w:r>
      <w:r w:rsidR="00100EEE" w:rsidRPr="000E1448">
        <w:rPr>
          <w:lang w:val="es-ES_tradnl"/>
        </w:rPr>
        <w:t>=</w:t>
      </w:r>
      <w:r w:rsidR="00100EEE">
        <w:rPr>
          <w:lang w:val="es-ES_tradnl"/>
        </w:rPr>
        <w:t> </w:t>
      </w:r>
      <w:r w:rsidRPr="000E1448">
        <w:rPr>
          <w:lang w:val="es-ES_tradnl"/>
        </w:rPr>
        <w:t>50 km, no es necesario considerar la instalación de estaciones P</w:t>
      </w:r>
      <w:r w:rsidRPr="000E1448">
        <w:rPr>
          <w:lang w:val="es-ES_tradnl"/>
        </w:rPr>
        <w:noBreakHyphen/>
        <w:t>MP</w:t>
      </w:r>
      <w:r w:rsidR="00100EEE">
        <w:rPr>
          <w:lang w:val="es-ES_tradnl"/>
        </w:rPr>
        <w:t xml:space="preserve"> </w:t>
      </w:r>
      <w:r w:rsidRPr="000E1448">
        <w:rPr>
          <w:lang w:val="es-ES_tradnl"/>
        </w:rPr>
        <w:t xml:space="preserve">HDFS más allá de </w:t>
      </w:r>
      <w:r w:rsidRPr="00D85C0E">
        <w:rPr>
          <w:i/>
          <w:lang w:val="es-ES_tradnl"/>
        </w:rPr>
        <w:t>D</w:t>
      </w:r>
      <w:r w:rsidRPr="00D85C0E">
        <w:rPr>
          <w:i/>
          <w:vertAlign w:val="subscript"/>
          <w:lang w:val="es-ES_tradnl"/>
        </w:rPr>
        <w:t>máx</w:t>
      </w:r>
      <w:r w:rsidR="00100EEE">
        <w:rPr>
          <w:lang w:val="es-ES_tradnl"/>
        </w:rPr>
        <w:t> </w:t>
      </w:r>
      <w:r w:rsidRPr="000E1448">
        <w:rPr>
          <w:lang w:val="es-ES_tradnl"/>
        </w:rPr>
        <w:t>=</w:t>
      </w:r>
      <w:r w:rsidR="00100EEE">
        <w:rPr>
          <w:lang w:val="es-ES_tradnl"/>
        </w:rPr>
        <w:t> </w:t>
      </w:r>
      <w:r w:rsidRPr="000E1448">
        <w:rPr>
          <w:lang w:val="es-ES_tradnl"/>
        </w:rPr>
        <w:t xml:space="preserve">110 km. El valor de </w:t>
      </w:r>
      <w:r w:rsidRPr="00D85C0E">
        <w:rPr>
          <w:i/>
          <w:lang w:val="es-ES_tradnl"/>
        </w:rPr>
        <w:t>D</w:t>
      </w:r>
      <w:r w:rsidRPr="00D85C0E">
        <w:rPr>
          <w:i/>
          <w:vertAlign w:val="subscript"/>
          <w:lang w:val="es-ES_tradnl"/>
        </w:rPr>
        <w:t>máx</w:t>
      </w:r>
      <w:r w:rsidRPr="000E1448">
        <w:rPr>
          <w:lang w:val="es-ES_tradnl"/>
        </w:rPr>
        <w:t xml:space="preserve"> puede determinarse añadiendo más estaciones interferentes hasta que el incremento en el nivel de interferencia sea despreciable. Si la</w:t>
      </w:r>
      <w:r w:rsidR="00210EFF">
        <w:rPr>
          <w:lang w:val="es-ES_tradnl"/>
        </w:rPr>
        <w:t xml:space="preserve"> </w:t>
      </w:r>
      <w:r w:rsidRPr="000E1448">
        <w:rPr>
          <w:lang w:val="es-ES_tradnl"/>
        </w:rPr>
        <w:t>ZI es un estrecho anillo alrededor del emplazamiento del SRA es probable que deba aumentarse el valor de</w:t>
      </w:r>
      <w:r w:rsidR="00210EFF">
        <w:rPr>
          <w:lang w:val="es-ES_tradnl"/>
        </w:rPr>
        <w:t> </w:t>
      </w:r>
      <w:r w:rsidRPr="00D85C0E">
        <w:rPr>
          <w:i/>
          <w:lang w:val="es-ES_tradnl"/>
        </w:rPr>
        <w:t>D</w:t>
      </w:r>
      <w:r w:rsidRPr="00D85C0E">
        <w:rPr>
          <w:i/>
          <w:vertAlign w:val="subscript"/>
          <w:lang w:val="es-ES_tradnl"/>
        </w:rPr>
        <w:t>máx</w:t>
      </w:r>
      <w:r w:rsidRPr="000E1448">
        <w:rPr>
          <w:lang w:val="es-ES_tradnl"/>
        </w:rPr>
        <w:t>.</w:t>
      </w:r>
    </w:p>
    <w:p w:rsidR="006A2558" w:rsidRPr="000E1448" w:rsidRDefault="006A2558" w:rsidP="006A2558">
      <w:pPr>
        <w:rPr>
          <w:lang w:val="es-ES_tradnl"/>
        </w:rPr>
      </w:pPr>
      <w:r w:rsidRPr="000E1448">
        <w:rPr>
          <w:lang w:val="es-ES_tradnl"/>
        </w:rPr>
        <w:lastRenderedPageBreak/>
        <w:t>En el interior de la ZI debe localizarse un conjunto de puntos de prueba a intervalos regulares, cada uno de ellos representando un bloque de edificios. La zona utilizada para obtener la p.i.r.e.c. determina la distancia de separación entre los puntos de prueba.</w:t>
      </w:r>
    </w:p>
    <w:p w:rsidR="006A2558" w:rsidRPr="000E1448" w:rsidRDefault="006A2558" w:rsidP="006A2558">
      <w:pPr>
        <w:rPr>
          <w:lang w:val="es-ES_tradnl"/>
        </w:rPr>
      </w:pPr>
      <w:r w:rsidRPr="000E1448">
        <w:rPr>
          <w:lang w:val="es-ES_tradnl"/>
        </w:rPr>
        <w:t>La ZI podría contener una distribución uniforme de bloques de edificios, todo ello representando el mismo modelo de referencia P</w:t>
      </w:r>
      <w:r w:rsidRPr="000E1448">
        <w:rPr>
          <w:lang w:val="es-ES_tradnl"/>
        </w:rPr>
        <w:noBreakHyphen/>
        <w:t>MP HDFS, o podrían ser emplazamientos con distintos tipos de servicio, arquitectura, etc., representados por distintas distribuciones de p.i.r.e.c. La ZI podría incluir también zonas sin instalaciones P</w:t>
      </w:r>
      <w:r w:rsidRPr="000E1448">
        <w:rPr>
          <w:lang w:val="es-ES_tradnl"/>
        </w:rPr>
        <w:noBreakHyphen/>
        <w:t>MP HDFS.</w:t>
      </w:r>
    </w:p>
    <w:p w:rsidR="006A2558" w:rsidRPr="000E1448" w:rsidRDefault="006A2558" w:rsidP="006A2558">
      <w:pPr>
        <w:rPr>
          <w:lang w:val="es-ES_tradnl"/>
        </w:rPr>
      </w:pPr>
      <w:r w:rsidRPr="000E1448">
        <w:rPr>
          <w:lang w:val="es-ES_tradnl"/>
        </w:rPr>
        <w:t>La distribución de p.i.r.e.c. podría representar emisiones en banda o fuera de banda (OoB) procedentes de transmisores P</w:t>
      </w:r>
      <w:r w:rsidRPr="000E1448">
        <w:rPr>
          <w:lang w:val="es-ES_tradnl"/>
        </w:rPr>
        <w:noBreakHyphen/>
        <w:t xml:space="preserve">MP HDFS. En el caso del análisis OoB podría producirse una alteración de la señal con respecto a la transmisión en banda, </w:t>
      </w:r>
      <w:r w:rsidRPr="00D85C0E">
        <w:rPr>
          <w:i/>
          <w:lang w:val="es-ES_tradnl"/>
        </w:rPr>
        <w:t>A</w:t>
      </w:r>
      <w:r w:rsidRPr="00D85C0E">
        <w:rPr>
          <w:i/>
          <w:vertAlign w:val="subscript"/>
          <w:lang w:val="es-ES_tradnl"/>
        </w:rPr>
        <w:t>OoB</w:t>
      </w:r>
      <w:r w:rsidRPr="000E1448">
        <w:rPr>
          <w:lang w:val="es-ES_tradnl"/>
        </w:rPr>
        <w:t>.</w:t>
      </w:r>
    </w:p>
    <w:p w:rsidR="006A2558" w:rsidRPr="000E1448" w:rsidRDefault="006A2558" w:rsidP="006A2558">
      <w:pPr>
        <w:rPr>
          <w:lang w:val="es-ES_tradnl"/>
        </w:rPr>
      </w:pPr>
      <w:r w:rsidRPr="000E1448">
        <w:rPr>
          <w:lang w:val="es-ES_tradnl"/>
        </w:rPr>
        <w:t>En el Anexo 2 a la presente Recomendación se especifican varios métodos y algoritmos para definir una zona de instalación (ZI).</w:t>
      </w:r>
    </w:p>
    <w:p w:rsidR="006A2558" w:rsidRPr="000E1448" w:rsidRDefault="006A2558" w:rsidP="006A2558">
      <w:pPr>
        <w:pStyle w:val="Heading2"/>
        <w:rPr>
          <w:lang w:val="es-ES_tradnl"/>
        </w:rPr>
      </w:pPr>
      <w:bookmarkStart w:id="15" w:name="_Toc151539981"/>
      <w:r w:rsidRPr="000E1448">
        <w:rPr>
          <w:lang w:val="es-ES_tradnl"/>
        </w:rPr>
        <w:t>3.4</w:t>
      </w:r>
      <w:r w:rsidRPr="000E1448">
        <w:rPr>
          <w:lang w:val="es-ES_tradnl"/>
        </w:rPr>
        <w:tab/>
        <w:t>Resumen</w:t>
      </w:r>
      <w:bookmarkEnd w:id="15"/>
    </w:p>
    <w:p w:rsidR="006A2558" w:rsidRDefault="006A2558" w:rsidP="006A2558">
      <w:pPr>
        <w:rPr>
          <w:lang w:val="es-ES_tradnl"/>
        </w:rPr>
      </w:pPr>
      <w:r w:rsidRPr="000E1448">
        <w:rPr>
          <w:lang w:val="es-ES_tradnl"/>
        </w:rPr>
        <w:t>Los parámetros de entrada necesarios para definir el sistema P</w:t>
      </w:r>
      <w:r w:rsidRPr="000E1448">
        <w:rPr>
          <w:lang w:val="es-ES_tradnl"/>
        </w:rPr>
        <w:noBreakHyphen/>
        <w:t>MP HDFS en el modelo se resumen en el Cuadro 2.</w:t>
      </w:r>
    </w:p>
    <w:p w:rsidR="006A2558" w:rsidRPr="000E1448" w:rsidRDefault="006A2558" w:rsidP="006A2558">
      <w:pPr>
        <w:pStyle w:val="TableNo"/>
        <w:rPr>
          <w:lang w:val="es-ES_tradnl"/>
        </w:rPr>
      </w:pPr>
      <w:r w:rsidRPr="000E1448">
        <w:rPr>
          <w:lang w:val="es-ES_tradnl"/>
        </w:rPr>
        <w:t>CUADRO 2</w:t>
      </w:r>
    </w:p>
    <w:p w:rsidR="006A2558" w:rsidRPr="000E1448" w:rsidRDefault="006A2558" w:rsidP="006A2558">
      <w:pPr>
        <w:pStyle w:val="Tabletitle"/>
        <w:rPr>
          <w:lang w:val="es-ES_tradnl"/>
        </w:rPr>
      </w:pPr>
      <w:r w:rsidRPr="000E1448">
        <w:rPr>
          <w:lang w:val="es-ES_tradnl"/>
        </w:rPr>
        <w:t>Parámetros del modelo P-MP HDFS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6A2558" w:rsidTr="00A42416">
        <w:trPr>
          <w:jc w:val="center"/>
        </w:trPr>
        <w:tc>
          <w:tcPr>
            <w:tcW w:w="3402" w:type="dxa"/>
          </w:tcPr>
          <w:p w:rsidR="006A2558" w:rsidRDefault="006A2558" w:rsidP="00A42416">
            <w:pPr>
              <w:pStyle w:val="Tablehead"/>
            </w:pPr>
            <w:r>
              <w:t>Parámetro</w:t>
            </w:r>
          </w:p>
        </w:tc>
        <w:tc>
          <w:tcPr>
            <w:tcW w:w="6237" w:type="dxa"/>
          </w:tcPr>
          <w:p w:rsidR="006A2558" w:rsidRDefault="006A2558" w:rsidP="00A42416">
            <w:pPr>
              <w:pStyle w:val="Tablehead"/>
            </w:pPr>
            <w:r>
              <w:t>Origen</w:t>
            </w:r>
          </w:p>
        </w:tc>
      </w:tr>
      <w:tr w:rsidR="006A2558" w:rsidRPr="00064E2D" w:rsidTr="00A42416">
        <w:trPr>
          <w:jc w:val="center"/>
        </w:trPr>
        <w:tc>
          <w:tcPr>
            <w:tcW w:w="3402" w:type="dxa"/>
          </w:tcPr>
          <w:p w:rsidR="006A2558" w:rsidRPr="00B473BB" w:rsidRDefault="006A2558" w:rsidP="00A42416">
            <w:pPr>
              <w:pStyle w:val="Tabletext"/>
              <w:keepNext/>
              <w:rPr>
                <w:lang w:val="es-ES_tradnl"/>
              </w:rPr>
            </w:pPr>
            <w:r w:rsidRPr="00B473BB">
              <w:rPr>
                <w:lang w:val="es-ES_tradnl"/>
              </w:rPr>
              <w:t>Distribuciones de p.i.r.e.c.</w:t>
            </w:r>
          </w:p>
        </w:tc>
        <w:tc>
          <w:tcPr>
            <w:tcW w:w="6237" w:type="dxa"/>
          </w:tcPr>
          <w:p w:rsidR="006A2558" w:rsidRPr="00B473BB" w:rsidRDefault="006A2558" w:rsidP="00A42416">
            <w:pPr>
              <w:pStyle w:val="Tabletext"/>
              <w:keepNext/>
              <w:rPr>
                <w:lang w:val="es-ES_tradnl"/>
              </w:rPr>
            </w:pPr>
            <w:r w:rsidRPr="00B473BB">
              <w:rPr>
                <w:lang w:val="es-ES_tradnl"/>
              </w:rPr>
              <w:t>Calculadas utilizando el algoritmo que aparece en el proyecto de nueva Recomendación U</w:t>
            </w:r>
            <w:r>
              <w:rPr>
                <w:lang w:val="es-ES_tradnl"/>
              </w:rPr>
              <w:t>IT</w:t>
            </w:r>
            <w:r>
              <w:rPr>
                <w:lang w:val="es-ES_tradnl"/>
              </w:rPr>
              <w:noBreakHyphen/>
              <w:t>R F.1760</w:t>
            </w:r>
          </w:p>
        </w:tc>
      </w:tr>
      <w:tr w:rsidR="006A2558" w:rsidRPr="00064E2D" w:rsidTr="00A42416">
        <w:trPr>
          <w:jc w:val="center"/>
        </w:trPr>
        <w:tc>
          <w:tcPr>
            <w:tcW w:w="3402" w:type="dxa"/>
          </w:tcPr>
          <w:p w:rsidR="006A2558" w:rsidRPr="00B473BB" w:rsidRDefault="006A2558" w:rsidP="00A42416">
            <w:pPr>
              <w:pStyle w:val="Tabletext"/>
              <w:rPr>
                <w:lang w:val="es-ES_tradnl"/>
              </w:rPr>
            </w:pPr>
            <w:r w:rsidRPr="00B473BB">
              <w:rPr>
                <w:lang w:val="es-ES_tradnl"/>
              </w:rPr>
              <w:t>Altura del transmisor</w:t>
            </w:r>
          </w:p>
        </w:tc>
        <w:tc>
          <w:tcPr>
            <w:tcW w:w="6237" w:type="dxa"/>
          </w:tcPr>
          <w:p w:rsidR="006A2558" w:rsidRPr="00B473BB" w:rsidRDefault="006A2558" w:rsidP="00A42416">
            <w:pPr>
              <w:pStyle w:val="Tabletext"/>
              <w:rPr>
                <w:lang w:val="es-ES_tradnl"/>
              </w:rPr>
            </w:pPr>
            <w:r w:rsidRPr="00B473BB">
              <w:rPr>
                <w:lang w:val="es-ES_tradnl"/>
              </w:rPr>
              <w:t>Definida para cada modelo de referencia; es decir, puede variar según la distribución de la p.i.r.e.c.</w:t>
            </w:r>
          </w:p>
        </w:tc>
      </w:tr>
      <w:tr w:rsidR="006A2558" w:rsidRPr="00064E2D" w:rsidTr="00A42416">
        <w:trPr>
          <w:jc w:val="center"/>
        </w:trPr>
        <w:tc>
          <w:tcPr>
            <w:tcW w:w="3402" w:type="dxa"/>
          </w:tcPr>
          <w:p w:rsidR="006A2558" w:rsidRPr="00B473BB" w:rsidRDefault="006A2558" w:rsidP="00A42416">
            <w:pPr>
              <w:pStyle w:val="Tabletext"/>
              <w:rPr>
                <w:lang w:val="es-ES_tradnl"/>
              </w:rPr>
            </w:pPr>
            <w:r w:rsidRPr="00B473BB">
              <w:rPr>
                <w:lang w:val="es-ES_tradnl"/>
              </w:rPr>
              <w:t>Zona de instalación</w:t>
            </w:r>
          </w:p>
        </w:tc>
        <w:tc>
          <w:tcPr>
            <w:tcW w:w="6237" w:type="dxa"/>
          </w:tcPr>
          <w:p w:rsidR="006A2558" w:rsidRPr="00B473BB" w:rsidRDefault="006A2558" w:rsidP="00A42416">
            <w:pPr>
              <w:pStyle w:val="Tabletext"/>
              <w:rPr>
                <w:lang w:val="es-ES_tradnl"/>
              </w:rPr>
            </w:pPr>
            <w:r w:rsidRPr="00B473BB">
              <w:rPr>
                <w:lang w:val="es-ES_tradnl"/>
              </w:rPr>
              <w:t xml:space="preserve">Un conjunto de puntos de prueba entre la ZE y la máxima distancia a considerar, </w:t>
            </w:r>
            <w:r w:rsidRPr="00D85C0E">
              <w:rPr>
                <w:i/>
                <w:lang w:val="es-ES_tradnl"/>
              </w:rPr>
              <w:t>D</w:t>
            </w:r>
            <w:r w:rsidRPr="00D85C0E">
              <w:rPr>
                <w:i/>
                <w:vertAlign w:val="subscript"/>
                <w:lang w:val="es-ES_tradnl"/>
              </w:rPr>
              <w:t>máx</w:t>
            </w:r>
            <w:r w:rsidRPr="00B473BB">
              <w:rPr>
                <w:lang w:val="es-ES_tradnl"/>
              </w:rPr>
              <w:t>. Cada punto de prueba está asociado a una altura de</w:t>
            </w:r>
            <w:r>
              <w:rPr>
                <w:lang w:val="es-ES_tradnl"/>
              </w:rPr>
              <w:t>l</w:t>
            </w:r>
            <w:r w:rsidRPr="00B473BB">
              <w:rPr>
                <w:lang w:val="es-ES_tradnl"/>
              </w:rPr>
              <w:t xml:space="preserve"> transmisor y a una distribución de p.i.r.e.c</w:t>
            </w:r>
            <w:r w:rsidR="00A42416">
              <w:rPr>
                <w:lang w:val="es-ES_tradnl"/>
              </w:rPr>
              <w:t>.</w:t>
            </w:r>
          </w:p>
        </w:tc>
      </w:tr>
      <w:tr w:rsidR="006A2558" w:rsidRPr="00064E2D" w:rsidTr="00A42416">
        <w:trPr>
          <w:jc w:val="center"/>
        </w:trPr>
        <w:tc>
          <w:tcPr>
            <w:tcW w:w="3402" w:type="dxa"/>
          </w:tcPr>
          <w:p w:rsidR="006A2558" w:rsidRPr="00B473BB" w:rsidRDefault="006A2558" w:rsidP="00A42416">
            <w:pPr>
              <w:pStyle w:val="Tabletext"/>
              <w:rPr>
                <w:lang w:val="es-ES_tradnl"/>
              </w:rPr>
            </w:pPr>
            <w:r w:rsidRPr="00B473BB">
              <w:rPr>
                <w:lang w:val="es-ES_tradnl"/>
              </w:rPr>
              <w:t xml:space="preserve">Si es necesario, </w:t>
            </w:r>
            <w:r w:rsidRPr="00D85C0E">
              <w:rPr>
                <w:i/>
                <w:lang w:val="es-ES_tradnl"/>
              </w:rPr>
              <w:t>A</w:t>
            </w:r>
            <w:r w:rsidRPr="00D85C0E">
              <w:rPr>
                <w:i/>
                <w:vertAlign w:val="subscript"/>
                <w:lang w:val="es-ES_tradnl"/>
              </w:rPr>
              <w:t>OoB</w:t>
            </w:r>
          </w:p>
        </w:tc>
        <w:tc>
          <w:tcPr>
            <w:tcW w:w="6237" w:type="dxa"/>
          </w:tcPr>
          <w:p w:rsidR="006A2558" w:rsidRPr="00B473BB" w:rsidRDefault="006A2558" w:rsidP="00A42416">
            <w:pPr>
              <w:pStyle w:val="Tabletext"/>
              <w:rPr>
                <w:lang w:val="es-ES_tradnl"/>
              </w:rPr>
            </w:pPr>
            <w:r w:rsidRPr="00B473BB">
              <w:rPr>
                <w:lang w:val="es-ES_tradnl"/>
              </w:rPr>
              <w:t xml:space="preserve">Si es necesario, una atenuación entre el funcionamiento en banda y </w:t>
            </w:r>
            <w:r>
              <w:rPr>
                <w:lang w:val="es-ES_tradnl"/>
              </w:rPr>
              <w:t>OoB</w:t>
            </w:r>
            <w:r w:rsidRPr="00B473BB">
              <w:rPr>
                <w:lang w:val="es-ES_tradnl"/>
              </w:rPr>
              <w:t>. Para el análisis en banda este campo puede fijarse al valor cero</w:t>
            </w:r>
          </w:p>
        </w:tc>
      </w:tr>
    </w:tbl>
    <w:p w:rsidR="006A2558" w:rsidRPr="00226800" w:rsidRDefault="006A2558" w:rsidP="006A2558">
      <w:pPr>
        <w:pStyle w:val="Tablefin"/>
        <w:rPr>
          <w:lang w:val="es-ES_tradnl"/>
        </w:rPr>
      </w:pPr>
    </w:p>
    <w:p w:rsidR="006A2558" w:rsidRPr="000E1448" w:rsidRDefault="006A2558" w:rsidP="006A2558">
      <w:pPr>
        <w:pStyle w:val="Heading1"/>
        <w:rPr>
          <w:lang w:val="es-ES_tradnl"/>
        </w:rPr>
      </w:pPr>
      <w:bookmarkStart w:id="16" w:name="_Toc151539982"/>
      <w:r w:rsidRPr="000E1448">
        <w:rPr>
          <w:lang w:val="es-ES_tradnl"/>
        </w:rPr>
        <w:t>4</w:t>
      </w:r>
      <w:r w:rsidRPr="000E1448">
        <w:rPr>
          <w:lang w:val="es-ES_tradnl"/>
        </w:rPr>
        <w:tab/>
        <w:t>Cálculo de la interferencia</w:t>
      </w:r>
      <w:bookmarkEnd w:id="16"/>
    </w:p>
    <w:p w:rsidR="006A2558" w:rsidRPr="000E1448" w:rsidRDefault="006A2558" w:rsidP="006A2558">
      <w:pPr>
        <w:rPr>
          <w:lang w:val="es-ES_tradnl"/>
        </w:rPr>
      </w:pPr>
      <w:r w:rsidRPr="000E1448">
        <w:rPr>
          <w:lang w:val="es-ES_tradnl"/>
        </w:rPr>
        <w:t>La metodología de Monte Carlo consiste en calcular la interferencia media combinada para una serie de muestras. Se trata de realizar la convolución de tres variables de entrada, la instalación del sistema P</w:t>
      </w:r>
      <w:r w:rsidRPr="000E1448">
        <w:rPr>
          <w:lang w:val="es-ES_tradnl"/>
        </w:rPr>
        <w:noBreakHyphen/>
        <w:t>MP HDFS, el entorno de propagación y el acimut de la observación del SRA. Esta convolución se representa en la Fig. 1.</w:t>
      </w:r>
    </w:p>
    <w:p w:rsidR="006A2558" w:rsidRPr="000E1448" w:rsidRDefault="006A2558" w:rsidP="006A2558">
      <w:pPr>
        <w:pStyle w:val="FigureNo"/>
        <w:rPr>
          <w:lang w:val="es-ES_tradnl"/>
        </w:rPr>
      </w:pPr>
      <w:r w:rsidRPr="000E1448">
        <w:rPr>
          <w:lang w:val="es-ES_tradnl"/>
        </w:rPr>
        <w:lastRenderedPageBreak/>
        <w:t>figura 1</w:t>
      </w:r>
    </w:p>
    <w:p w:rsidR="006A2558" w:rsidRPr="000E1448" w:rsidRDefault="006A2558" w:rsidP="006A2558">
      <w:pPr>
        <w:pStyle w:val="Figuretitle"/>
        <w:rPr>
          <w:lang w:val="es-ES_tradnl"/>
        </w:rPr>
      </w:pPr>
      <w:r w:rsidRPr="000E1448">
        <w:rPr>
          <w:lang w:val="es-ES_tradnl"/>
        </w:rPr>
        <w:t>Método de Monte Carlo para calcular la interferencia combinada</w:t>
      </w:r>
    </w:p>
    <w:p w:rsidR="006A2558" w:rsidRDefault="006A2558" w:rsidP="006A2558">
      <w:pPr>
        <w:pStyle w:val="Figure"/>
      </w:pPr>
      <w:r>
        <w:object w:dxaOrig="8944" w:dyaOrig="4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03pt" o:ole="" o:allowoverlap="f">
            <v:imagedata r:id="rId12" o:title=""/>
          </v:shape>
          <o:OLEObject Type="Embed" ProgID="CorelDraw.Graphic.12" ShapeID="_x0000_i1025" DrawAspect="Content" ObjectID="_1574161728" r:id="rId13"/>
        </w:object>
      </w:r>
    </w:p>
    <w:p w:rsidR="006A2558" w:rsidRPr="000E1448" w:rsidRDefault="006A2558" w:rsidP="006A2558">
      <w:pPr>
        <w:rPr>
          <w:lang w:val="es-ES_tradnl"/>
        </w:rPr>
      </w:pPr>
      <w:r w:rsidRPr="000E1448">
        <w:rPr>
          <w:lang w:val="es-ES_tradnl"/>
        </w:rPr>
        <w:t xml:space="preserve">Para cada muestra la interferencia media combinada </w:t>
      </w:r>
      <w:r w:rsidRPr="00D85C0E">
        <w:rPr>
          <w:i/>
          <w:lang w:val="es-ES_tradnl"/>
        </w:rPr>
        <w:t>I</w:t>
      </w:r>
      <w:r w:rsidRPr="000E1448">
        <w:rPr>
          <w:lang w:val="es-ES_tradnl"/>
        </w:rPr>
        <w:t xml:space="preserve"> se calcula mediante la siguiente ecuación:</w:t>
      </w:r>
    </w:p>
    <w:p w:rsidR="006A2558" w:rsidRPr="00226800" w:rsidRDefault="006A2558" w:rsidP="006A2558">
      <w:pPr>
        <w:pStyle w:val="Blanc"/>
        <w:rPr>
          <w:lang w:val="es-ES_tradnl"/>
        </w:rPr>
      </w:pPr>
    </w:p>
    <w:p w:rsidR="006A2558" w:rsidRPr="000E1448" w:rsidRDefault="006A2558" w:rsidP="006A2558">
      <w:pPr>
        <w:pStyle w:val="Equation"/>
        <w:rPr>
          <w:lang w:val="es-ES_tradnl"/>
        </w:rPr>
      </w:pPr>
      <w:r w:rsidRPr="000E1448">
        <w:rPr>
          <w:lang w:val="es-ES_tradnl"/>
        </w:rPr>
        <w:tab/>
      </w:r>
      <w:r w:rsidRPr="000E1448">
        <w:rPr>
          <w:lang w:val="es-ES_tradnl"/>
        </w:rPr>
        <w:tab/>
      </w:r>
      <w:r w:rsidRPr="007F6F6B">
        <w:rPr>
          <w:position w:val="-36"/>
        </w:rPr>
        <w:object w:dxaOrig="5380" w:dyaOrig="620">
          <v:shape id="_x0000_i1026" type="#_x0000_t75" style="width:269.5pt;height:31pt" o:ole="" fillcolor="window">
            <v:imagedata r:id="rId14" o:title=""/>
          </v:shape>
          <o:OLEObject Type="Embed" ProgID="Equation.3" ShapeID="_x0000_i1026" DrawAspect="Content" ObjectID="_1574161729" r:id="rId15"/>
        </w:object>
      </w:r>
      <w:r w:rsidRPr="000E1448">
        <w:rPr>
          <w:lang w:val="es-ES_tradnl"/>
        </w:rPr>
        <w:tab/>
        <w:t>(1)</w:t>
      </w:r>
    </w:p>
    <w:p w:rsidR="006A2558" w:rsidRPr="00226800" w:rsidRDefault="006A2558" w:rsidP="006A2558">
      <w:pPr>
        <w:pStyle w:val="Blanc"/>
        <w:rPr>
          <w:lang w:val="es-ES_tradnl"/>
        </w:rPr>
      </w:pPr>
    </w:p>
    <w:p w:rsidR="006A2558" w:rsidRPr="000E1448" w:rsidRDefault="006A2558" w:rsidP="006A2558">
      <w:pPr>
        <w:keepNext/>
        <w:spacing w:before="0"/>
        <w:rPr>
          <w:lang w:val="es-ES_tradnl"/>
        </w:rPr>
      </w:pPr>
      <w:r w:rsidRPr="000E1448">
        <w:rPr>
          <w:lang w:val="es-ES_tradnl"/>
        </w:rPr>
        <w:t>siendo:</w:t>
      </w:r>
    </w:p>
    <w:p w:rsidR="006A2558" w:rsidRPr="000E1448" w:rsidRDefault="006A2558" w:rsidP="006A2558">
      <w:pPr>
        <w:pStyle w:val="Equationlegend"/>
        <w:rPr>
          <w:lang w:val="es-ES_tradnl"/>
        </w:rPr>
      </w:pPr>
      <w:r w:rsidRPr="000E1448">
        <w:rPr>
          <w:lang w:val="es-ES_tradnl"/>
        </w:rPr>
        <w:tab/>
      </w:r>
      <w:r w:rsidRPr="000E1448">
        <w:rPr>
          <w:i/>
          <w:iCs/>
          <w:lang w:val="es-ES_tradnl"/>
        </w:rPr>
        <w:t>i</w:t>
      </w:r>
      <w:r>
        <w:rPr>
          <w:lang w:val="es-ES_tradnl"/>
        </w:rPr>
        <w:t>:</w:t>
      </w:r>
      <w:r w:rsidRPr="000E1448">
        <w:rPr>
          <w:lang w:val="es-ES_tradnl"/>
        </w:rPr>
        <w:tab/>
      </w:r>
      <w:r w:rsidRPr="000E1448">
        <w:rPr>
          <w:i/>
          <w:iCs/>
          <w:lang w:val="es-ES_tradnl"/>
        </w:rPr>
        <w:t>i</w:t>
      </w:r>
      <w:r w:rsidRPr="00D85C0E">
        <w:rPr>
          <w:iCs/>
          <w:lang w:val="es-ES_tradnl"/>
        </w:rPr>
        <w:t>-ésimo</w:t>
      </w:r>
      <w:r w:rsidRPr="000E1448">
        <w:rPr>
          <w:lang w:val="es-ES_tradnl"/>
        </w:rPr>
        <w:t xml:space="preserve"> número de muestra</w:t>
      </w:r>
    </w:p>
    <w:p w:rsidR="006A2558" w:rsidRPr="000E1448" w:rsidRDefault="006A2558" w:rsidP="006A2558">
      <w:pPr>
        <w:pStyle w:val="Equationlegend"/>
        <w:rPr>
          <w:lang w:val="es-ES_tradnl"/>
        </w:rPr>
      </w:pPr>
      <w:r w:rsidRPr="000E1448">
        <w:rPr>
          <w:lang w:val="es-ES_tradnl"/>
        </w:rPr>
        <w:tab/>
      </w:r>
      <w:r w:rsidRPr="000E1448">
        <w:rPr>
          <w:i/>
          <w:iCs/>
          <w:lang w:val="es-ES_tradnl"/>
        </w:rPr>
        <w:t>j</w:t>
      </w:r>
      <w:r>
        <w:rPr>
          <w:lang w:val="es-ES_tradnl"/>
        </w:rPr>
        <w:t>:</w:t>
      </w:r>
      <w:r w:rsidRPr="000E1448">
        <w:rPr>
          <w:lang w:val="es-ES_tradnl"/>
        </w:rPr>
        <w:tab/>
      </w:r>
      <w:r w:rsidRPr="000E1448">
        <w:rPr>
          <w:i/>
          <w:iCs/>
          <w:lang w:val="es-ES_tradnl"/>
        </w:rPr>
        <w:t>j</w:t>
      </w:r>
      <w:r w:rsidRPr="00D85C0E">
        <w:rPr>
          <w:iCs/>
          <w:lang w:val="es-ES_tradnl"/>
        </w:rPr>
        <w:t>-ésimo</w:t>
      </w:r>
      <w:r w:rsidRPr="000E1448">
        <w:rPr>
          <w:lang w:val="es-ES_tradnl"/>
        </w:rPr>
        <w:t xml:space="preserve"> bloque de edificios</w:t>
      </w:r>
    </w:p>
    <w:p w:rsidR="006A2558" w:rsidRPr="000E1448" w:rsidRDefault="006A2558" w:rsidP="006A2558">
      <w:pPr>
        <w:pStyle w:val="Equationlegend"/>
        <w:rPr>
          <w:lang w:val="es-ES_tradnl"/>
        </w:rPr>
      </w:pPr>
      <w:r w:rsidRPr="000E1448">
        <w:rPr>
          <w:lang w:val="es-ES_tradnl"/>
        </w:rPr>
        <w:tab/>
      </w:r>
      <w:r w:rsidRPr="000E1448">
        <w:rPr>
          <w:i/>
          <w:iCs/>
          <w:lang w:val="es-ES_tradnl"/>
        </w:rPr>
        <w:t>PIREC</w:t>
      </w:r>
      <w:r w:rsidRPr="000E1448">
        <w:rPr>
          <w:lang w:val="es-ES_tradnl"/>
        </w:rPr>
        <w:t>(</w:t>
      </w:r>
      <w:r w:rsidRPr="000E1448">
        <w:rPr>
          <w:i/>
          <w:iCs/>
          <w:lang w:val="es-ES_tradnl"/>
        </w:rPr>
        <w:t>p</w:t>
      </w:r>
      <w:r w:rsidRPr="000E1448">
        <w:rPr>
          <w:i/>
          <w:iCs/>
          <w:vertAlign w:val="subscript"/>
          <w:lang w:val="es-ES_tradnl"/>
        </w:rPr>
        <w:t>i,j</w:t>
      </w:r>
      <w:r w:rsidRPr="000E1448">
        <w:rPr>
          <w:lang w:val="es-ES_tradnl"/>
        </w:rPr>
        <w:t>)</w:t>
      </w:r>
      <w:r>
        <w:rPr>
          <w:lang w:val="es-ES_tradnl"/>
        </w:rPr>
        <w:t>:</w:t>
      </w:r>
      <w:r w:rsidRPr="000E1448">
        <w:rPr>
          <w:lang w:val="es-ES_tradnl"/>
        </w:rPr>
        <w:tab/>
        <w:t xml:space="preserve">p.i.r.e. combinada para una probabilidad </w:t>
      </w:r>
      <w:r w:rsidRPr="000E1448">
        <w:rPr>
          <w:i/>
          <w:iCs/>
          <w:lang w:val="es-ES_tradnl"/>
        </w:rPr>
        <w:t>p</w:t>
      </w:r>
      <w:r w:rsidRPr="000E1448">
        <w:rPr>
          <w:i/>
          <w:iCs/>
          <w:vertAlign w:val="subscript"/>
          <w:lang w:val="es-ES_tradnl"/>
        </w:rPr>
        <w:t>i,j</w:t>
      </w:r>
    </w:p>
    <w:p w:rsidR="006A2558" w:rsidRPr="000E1448" w:rsidRDefault="006A2558" w:rsidP="006A2558">
      <w:pPr>
        <w:pStyle w:val="Equationlegend"/>
        <w:rPr>
          <w:lang w:val="es-ES_tradnl"/>
        </w:rPr>
      </w:pPr>
      <w:r w:rsidRPr="000E1448">
        <w:rPr>
          <w:lang w:val="es-ES_tradnl"/>
        </w:rPr>
        <w:tab/>
      </w:r>
      <w:r w:rsidRPr="000E1448">
        <w:rPr>
          <w:i/>
          <w:iCs/>
          <w:lang w:val="es-ES_tradnl"/>
        </w:rPr>
        <w:t>p</w:t>
      </w:r>
      <w:r w:rsidRPr="000E1448">
        <w:rPr>
          <w:i/>
          <w:iCs/>
          <w:vertAlign w:val="subscript"/>
          <w:lang w:val="es-ES_tradnl"/>
        </w:rPr>
        <w:t>i,j</w:t>
      </w:r>
      <w:r>
        <w:rPr>
          <w:lang w:val="es-ES_tradnl"/>
        </w:rPr>
        <w:t>:</w:t>
      </w:r>
      <w:r w:rsidRPr="000E1448">
        <w:rPr>
          <w:lang w:val="es-ES_tradnl"/>
        </w:rPr>
        <w:tab/>
        <w:t xml:space="preserve">probabilidad para la </w:t>
      </w:r>
      <w:r w:rsidRPr="000E1448">
        <w:rPr>
          <w:i/>
          <w:lang w:val="es-ES_tradnl"/>
        </w:rPr>
        <w:t>i</w:t>
      </w:r>
      <w:r w:rsidRPr="000E1448">
        <w:rPr>
          <w:lang w:val="es-ES_tradnl"/>
        </w:rPr>
        <w:t xml:space="preserve">-ésima muestra del </w:t>
      </w:r>
      <w:r w:rsidRPr="000E1448">
        <w:rPr>
          <w:i/>
          <w:lang w:val="es-ES_tradnl"/>
        </w:rPr>
        <w:t>j</w:t>
      </w:r>
      <w:r w:rsidRPr="000E1448">
        <w:rPr>
          <w:lang w:val="es-ES_tradnl"/>
        </w:rPr>
        <w:t>-ésimo bloque de edificios</w:t>
      </w:r>
    </w:p>
    <w:p w:rsidR="006A2558" w:rsidRPr="000E1448" w:rsidRDefault="006A2558" w:rsidP="006A2558">
      <w:pPr>
        <w:pStyle w:val="Equationlegend"/>
        <w:rPr>
          <w:lang w:val="es-ES_tradnl"/>
        </w:rPr>
      </w:pPr>
      <w:r w:rsidRPr="000E1448">
        <w:rPr>
          <w:lang w:val="es-ES_tradnl"/>
        </w:rPr>
        <w:tab/>
      </w:r>
      <w:r w:rsidRPr="000E1448">
        <w:rPr>
          <w:i/>
          <w:iCs/>
          <w:lang w:val="es-ES_tradnl"/>
        </w:rPr>
        <w:t>L</w:t>
      </w:r>
      <w:r w:rsidRPr="000E1448">
        <w:rPr>
          <w:vertAlign w:val="subscript"/>
          <w:lang w:val="es-ES_tradnl"/>
        </w:rPr>
        <w:t>452</w:t>
      </w:r>
      <w:r w:rsidRPr="000E1448">
        <w:rPr>
          <w:lang w:val="es-ES_tradnl"/>
        </w:rPr>
        <w:t>(</w:t>
      </w:r>
      <w:r w:rsidRPr="000E1448">
        <w:rPr>
          <w:i/>
          <w:iCs/>
          <w:lang w:val="es-ES_tradnl"/>
        </w:rPr>
        <w:t>p</w:t>
      </w:r>
      <w:r w:rsidRPr="000E1448">
        <w:rPr>
          <w:i/>
          <w:iCs/>
          <w:vertAlign w:val="subscript"/>
          <w:lang w:val="es-ES_tradnl"/>
        </w:rPr>
        <w:t>i</w:t>
      </w:r>
      <w:r w:rsidRPr="000E1448">
        <w:rPr>
          <w:i/>
          <w:iCs/>
          <w:lang w:val="es-ES_tradnl"/>
        </w:rPr>
        <w:t>, j</w:t>
      </w:r>
      <w:r w:rsidRPr="000E1448">
        <w:rPr>
          <w:lang w:val="es-ES_tradnl"/>
        </w:rPr>
        <w:t>)</w:t>
      </w:r>
      <w:r>
        <w:rPr>
          <w:lang w:val="es-ES_tradnl"/>
        </w:rPr>
        <w:t>:</w:t>
      </w:r>
      <w:r w:rsidRPr="000E1448">
        <w:rPr>
          <w:lang w:val="es-ES_tradnl"/>
        </w:rPr>
        <w:tab/>
        <w:t xml:space="preserve">pérdidas indicadas en la Recomendación UIT-R P.452 para una probabilidad </w:t>
      </w:r>
      <w:r w:rsidRPr="000E1448">
        <w:rPr>
          <w:i/>
          <w:iCs/>
          <w:lang w:val="es-ES_tradnl"/>
        </w:rPr>
        <w:t>p</w:t>
      </w:r>
      <w:r w:rsidRPr="000E1448">
        <w:rPr>
          <w:i/>
          <w:iCs/>
          <w:vertAlign w:val="subscript"/>
          <w:lang w:val="es-ES_tradnl"/>
        </w:rPr>
        <w:t>i</w:t>
      </w:r>
      <w:r w:rsidRPr="000E1448">
        <w:rPr>
          <w:lang w:val="es-ES_tradnl"/>
        </w:rPr>
        <w:t xml:space="preserve"> desde el </w:t>
      </w:r>
      <w:r w:rsidRPr="000E1448">
        <w:rPr>
          <w:i/>
          <w:iCs/>
          <w:lang w:val="es-ES_tradnl"/>
        </w:rPr>
        <w:t>j</w:t>
      </w:r>
      <w:r w:rsidRPr="000E1448">
        <w:rPr>
          <w:lang w:val="es-ES_tradnl"/>
        </w:rPr>
        <w:t xml:space="preserve">-ésimo bloque de edificios </w:t>
      </w:r>
    </w:p>
    <w:p w:rsidR="006A2558" w:rsidRPr="000E1448" w:rsidRDefault="006A2558" w:rsidP="006A2558">
      <w:pPr>
        <w:pStyle w:val="Equationlegend"/>
        <w:rPr>
          <w:lang w:val="es-ES_tradnl"/>
        </w:rPr>
      </w:pPr>
      <w:r w:rsidRPr="000E1448">
        <w:rPr>
          <w:lang w:val="es-ES_tradnl"/>
        </w:rPr>
        <w:tab/>
      </w:r>
      <w:r w:rsidRPr="000E1448">
        <w:rPr>
          <w:i/>
          <w:iCs/>
          <w:lang w:val="es-ES_tradnl"/>
        </w:rPr>
        <w:t>p</w:t>
      </w:r>
      <w:r w:rsidRPr="000E1448">
        <w:rPr>
          <w:i/>
          <w:iCs/>
          <w:vertAlign w:val="subscript"/>
          <w:lang w:val="es-ES_tradnl"/>
        </w:rPr>
        <w:t>i</w:t>
      </w:r>
      <w:r>
        <w:rPr>
          <w:lang w:val="es-ES_tradnl"/>
        </w:rPr>
        <w:t>:</w:t>
      </w:r>
      <w:r w:rsidRPr="000E1448">
        <w:rPr>
          <w:lang w:val="es-ES_tradnl"/>
        </w:rPr>
        <w:tab/>
        <w:t>probabilidad que debe utilizarse en la Recomendación UIT</w:t>
      </w:r>
      <w:r w:rsidRPr="000E1448">
        <w:rPr>
          <w:lang w:val="es-ES_tradnl"/>
        </w:rPr>
        <w:noBreakHyphen/>
        <w:t xml:space="preserve">R P.452 para la </w:t>
      </w:r>
      <w:r w:rsidRPr="000E1448">
        <w:rPr>
          <w:i/>
          <w:iCs/>
          <w:lang w:val="es-ES_tradnl"/>
        </w:rPr>
        <w:t>i</w:t>
      </w:r>
      <w:r w:rsidRPr="000E1448">
        <w:rPr>
          <w:lang w:val="es-ES_tradnl"/>
        </w:rPr>
        <w:noBreakHyphen/>
        <w:t xml:space="preserve">ésima muestra </w:t>
      </w:r>
    </w:p>
    <w:p w:rsidR="006A2558" w:rsidRPr="000E1448" w:rsidRDefault="006A2558" w:rsidP="006A2558">
      <w:pPr>
        <w:pStyle w:val="Equationlegend"/>
        <w:rPr>
          <w:lang w:val="es-ES_tradnl"/>
        </w:rPr>
      </w:pPr>
      <w:r w:rsidRPr="000E1448">
        <w:rPr>
          <w:lang w:val="es-ES_tradnl"/>
        </w:rPr>
        <w:tab/>
      </w:r>
      <w:r w:rsidRPr="000E1448">
        <w:rPr>
          <w:i/>
          <w:iCs/>
          <w:lang w:val="es-ES_tradnl"/>
        </w:rPr>
        <w:t>G</w:t>
      </w:r>
      <w:r w:rsidRPr="000E1448">
        <w:rPr>
          <w:i/>
          <w:iCs/>
          <w:vertAlign w:val="subscript"/>
          <w:lang w:val="es-ES_tradnl"/>
        </w:rPr>
        <w:t>SRA</w:t>
      </w:r>
      <w:r w:rsidRPr="000E1448">
        <w:rPr>
          <w:lang w:val="es-ES_tradnl"/>
        </w:rPr>
        <w:t>(</w:t>
      </w:r>
      <w:r w:rsidRPr="000E1448">
        <w:rPr>
          <w:i/>
          <w:iCs/>
          <w:lang w:val="es-ES_tradnl"/>
        </w:rPr>
        <w:t>j, az</w:t>
      </w:r>
      <w:r w:rsidRPr="000E1448">
        <w:rPr>
          <w:i/>
          <w:iCs/>
          <w:vertAlign w:val="subscript"/>
          <w:lang w:val="es-ES_tradnl"/>
        </w:rPr>
        <w:t>i</w:t>
      </w:r>
      <w:r w:rsidRPr="000E1448">
        <w:rPr>
          <w:lang w:val="es-ES_tradnl"/>
        </w:rPr>
        <w:t>)</w:t>
      </w:r>
      <w:r>
        <w:rPr>
          <w:lang w:val="es-ES_tradnl"/>
        </w:rPr>
        <w:t>:</w:t>
      </w:r>
      <w:r w:rsidRPr="000E1448">
        <w:rPr>
          <w:lang w:val="es-ES_tradnl"/>
        </w:rPr>
        <w:tab/>
        <w:t xml:space="preserve">ganancia media de recepción del SRA a lo largo del periodo de observación en dirección del </w:t>
      </w:r>
      <w:r w:rsidRPr="000E1448">
        <w:rPr>
          <w:i/>
          <w:lang w:val="es-ES_tradnl"/>
        </w:rPr>
        <w:t>j</w:t>
      </w:r>
      <w:r w:rsidRPr="000E1448">
        <w:rPr>
          <w:lang w:val="es-ES_tradnl"/>
        </w:rPr>
        <w:t>-ésimo bloque de edificios para un ángulo de puntería del SRA </w:t>
      </w:r>
      <w:r w:rsidRPr="000E1448">
        <w:rPr>
          <w:i/>
          <w:iCs/>
          <w:lang w:val="es-ES_tradnl"/>
        </w:rPr>
        <w:t>az</w:t>
      </w:r>
      <w:r w:rsidRPr="000E1448">
        <w:rPr>
          <w:i/>
          <w:iCs/>
          <w:vertAlign w:val="subscript"/>
          <w:lang w:val="es-ES_tradnl"/>
        </w:rPr>
        <w:t>i</w:t>
      </w:r>
    </w:p>
    <w:p w:rsidR="006A2558" w:rsidRPr="000E1448" w:rsidRDefault="006A2558" w:rsidP="006A2558">
      <w:pPr>
        <w:pStyle w:val="Equationlegend"/>
        <w:rPr>
          <w:lang w:val="es-ES_tradnl"/>
        </w:rPr>
      </w:pPr>
      <w:r w:rsidRPr="000E1448">
        <w:rPr>
          <w:lang w:val="es-ES_tradnl"/>
        </w:rPr>
        <w:tab/>
      </w:r>
      <w:r w:rsidRPr="000E1448">
        <w:rPr>
          <w:i/>
          <w:iCs/>
          <w:lang w:val="es-ES_tradnl"/>
        </w:rPr>
        <w:t>A</w:t>
      </w:r>
      <w:r w:rsidRPr="000E1448">
        <w:rPr>
          <w:i/>
          <w:iCs/>
          <w:vertAlign w:val="subscript"/>
          <w:lang w:val="es-ES_tradnl"/>
        </w:rPr>
        <w:t>OoB</w:t>
      </w:r>
      <w:r>
        <w:rPr>
          <w:lang w:val="es-ES_tradnl"/>
        </w:rPr>
        <w:t>:</w:t>
      </w:r>
      <w:r w:rsidRPr="000E1448">
        <w:rPr>
          <w:lang w:val="es-ES_tradnl"/>
        </w:rPr>
        <w:tab/>
        <w:t>atenuación entre las emisiones en banda y fuera de banda. En el caso de análisis en banda este campo puede ignorarse o fijarse a un valor cero.</w:t>
      </w:r>
    </w:p>
    <w:p w:rsidR="006A2558" w:rsidRPr="000E1448" w:rsidRDefault="006A2558" w:rsidP="006A2558">
      <w:pPr>
        <w:rPr>
          <w:lang w:val="es-ES_tradnl"/>
        </w:rPr>
      </w:pPr>
      <w:r w:rsidRPr="000E1448">
        <w:rPr>
          <w:lang w:val="es-ES_tradnl"/>
        </w:rPr>
        <w:t xml:space="preserve">Obsérvese que </w:t>
      </w:r>
      <w:r w:rsidRPr="000E1448">
        <w:rPr>
          <w:i/>
          <w:iCs/>
          <w:lang w:val="es-ES_tradnl"/>
        </w:rPr>
        <w:t>L</w:t>
      </w:r>
      <w:r w:rsidRPr="000E1448">
        <w:rPr>
          <w:vertAlign w:val="subscript"/>
          <w:lang w:val="es-ES_tradnl"/>
        </w:rPr>
        <w:t>452</w:t>
      </w:r>
      <w:r w:rsidRPr="000E1448">
        <w:rPr>
          <w:lang w:val="es-ES_tradnl"/>
        </w:rPr>
        <w:t xml:space="preserve"> se supone que es un número positivo que representa una pérdida.</w:t>
      </w:r>
    </w:p>
    <w:p w:rsidR="006A2558" w:rsidRPr="000E1448" w:rsidRDefault="006A2558" w:rsidP="006A2558">
      <w:pPr>
        <w:rPr>
          <w:lang w:val="es-ES_tradnl"/>
        </w:rPr>
      </w:pPr>
      <w:r w:rsidRPr="000E1448">
        <w:rPr>
          <w:lang w:val="es-ES_tradnl"/>
        </w:rPr>
        <w:t>Las alturas de antena del transmisor P-MP HDFS y del receptor del SRA se utilizan con el modelo de propagación de la Recomendación UIT</w:t>
      </w:r>
      <w:r w:rsidRPr="000E1448">
        <w:rPr>
          <w:lang w:val="es-ES_tradnl"/>
        </w:rPr>
        <w:noBreakHyphen/>
        <w:t>R P.452 para determinar las pérdidas.</w:t>
      </w:r>
    </w:p>
    <w:p w:rsidR="006A2558" w:rsidRPr="000E1448" w:rsidRDefault="006A2558" w:rsidP="006A2558">
      <w:pPr>
        <w:rPr>
          <w:lang w:val="es-ES_tradnl"/>
        </w:rPr>
      </w:pPr>
      <w:r w:rsidRPr="000E1448">
        <w:rPr>
          <w:lang w:val="es-ES_tradnl"/>
        </w:rPr>
        <w:t>Basándose en la ecuación (1), la probabilidad de que una observación reciba interferencia puede calcularse realizando los siguientes pasos:</w:t>
      </w:r>
    </w:p>
    <w:p w:rsidR="006A2558" w:rsidRPr="000E1448" w:rsidRDefault="006A2558" w:rsidP="006A2558">
      <w:pPr>
        <w:pStyle w:val="enumlev1"/>
        <w:rPr>
          <w:lang w:val="es-ES_tradnl"/>
        </w:rPr>
      </w:pPr>
      <w:r>
        <w:rPr>
          <w:lang w:val="es-ES_tradnl"/>
        </w:rPr>
        <w:t xml:space="preserve">Paso </w:t>
      </w:r>
      <w:r w:rsidRPr="000E1448">
        <w:rPr>
          <w:lang w:val="es-ES_tradnl"/>
        </w:rPr>
        <w:t>1</w:t>
      </w:r>
      <w:r>
        <w:rPr>
          <w:lang w:val="es-ES_tradnl"/>
        </w:rPr>
        <w:t>:</w:t>
      </w:r>
      <w:r w:rsidRPr="000E1448">
        <w:rPr>
          <w:lang w:val="es-ES_tradnl"/>
        </w:rPr>
        <w:tab/>
      </w:r>
      <w:r>
        <w:rPr>
          <w:lang w:val="es-ES_tradnl"/>
        </w:rPr>
        <w:tab/>
      </w:r>
      <w:r w:rsidRPr="000E1448">
        <w:rPr>
          <w:lang w:val="es-ES_tradnl"/>
        </w:rPr>
        <w:t xml:space="preserve">Se fija el cómputo de muestras </w:t>
      </w:r>
      <w:r w:rsidRPr="00D85C0E">
        <w:rPr>
          <w:i/>
          <w:lang w:val="es-ES_tradnl"/>
        </w:rPr>
        <w:t>N</w:t>
      </w:r>
      <w:r w:rsidRPr="000E1448">
        <w:rPr>
          <w:lang w:val="es-ES_tradnl"/>
        </w:rPr>
        <w:t xml:space="preserve"> = 0</w:t>
      </w:r>
      <w:r>
        <w:rPr>
          <w:lang w:val="es-ES_tradnl"/>
        </w:rPr>
        <w:t>.</w:t>
      </w:r>
    </w:p>
    <w:p w:rsidR="006A2558" w:rsidRPr="000E1448" w:rsidRDefault="006A2558" w:rsidP="006A2558">
      <w:pPr>
        <w:pStyle w:val="enumlev1"/>
        <w:rPr>
          <w:lang w:val="es-ES_tradnl"/>
        </w:rPr>
      </w:pPr>
      <w:r>
        <w:rPr>
          <w:lang w:val="es-ES_tradnl"/>
        </w:rPr>
        <w:t xml:space="preserve">Paso </w:t>
      </w:r>
      <w:r w:rsidRPr="000E1448">
        <w:rPr>
          <w:lang w:val="es-ES_tradnl"/>
        </w:rPr>
        <w:t>2</w:t>
      </w:r>
      <w:r>
        <w:rPr>
          <w:lang w:val="es-ES_tradnl"/>
        </w:rPr>
        <w:t>:</w:t>
      </w:r>
      <w:r w:rsidRPr="000E1448">
        <w:rPr>
          <w:lang w:val="es-ES_tradnl"/>
        </w:rPr>
        <w:tab/>
      </w:r>
      <w:r>
        <w:rPr>
          <w:lang w:val="es-ES_tradnl"/>
        </w:rPr>
        <w:tab/>
      </w:r>
      <w:r w:rsidRPr="000E1448">
        <w:rPr>
          <w:lang w:val="es-ES_tradnl"/>
        </w:rPr>
        <w:t xml:space="preserve">Se fijan los observaciones interferidas </w:t>
      </w:r>
      <w:r w:rsidRPr="00D85C0E">
        <w:rPr>
          <w:i/>
          <w:lang w:val="es-ES_tradnl"/>
        </w:rPr>
        <w:t>M</w:t>
      </w:r>
      <w:r w:rsidRPr="000E1448">
        <w:rPr>
          <w:lang w:val="es-ES_tradnl"/>
        </w:rPr>
        <w:t xml:space="preserve"> = 0</w:t>
      </w:r>
      <w:r>
        <w:rPr>
          <w:lang w:val="es-ES_tradnl"/>
        </w:rPr>
        <w:t>.</w:t>
      </w:r>
    </w:p>
    <w:p w:rsidR="006A2558" w:rsidRPr="000E1448" w:rsidRDefault="006A2558" w:rsidP="006A2558">
      <w:pPr>
        <w:pStyle w:val="enumlev1"/>
        <w:rPr>
          <w:lang w:val="es-ES_tradnl"/>
        </w:rPr>
      </w:pPr>
      <w:r>
        <w:rPr>
          <w:lang w:val="es-ES_tradnl"/>
        </w:rPr>
        <w:t xml:space="preserve">Paso </w:t>
      </w:r>
      <w:r w:rsidRPr="000E1448">
        <w:rPr>
          <w:lang w:val="es-ES_tradnl"/>
        </w:rPr>
        <w:t>3</w:t>
      </w:r>
      <w:r>
        <w:rPr>
          <w:lang w:val="es-ES_tradnl"/>
        </w:rPr>
        <w:t>:</w:t>
      </w:r>
      <w:r w:rsidRPr="000E1448">
        <w:rPr>
          <w:lang w:val="es-ES_tradnl"/>
        </w:rPr>
        <w:tab/>
      </w:r>
      <w:r>
        <w:rPr>
          <w:lang w:val="es-ES_tradnl"/>
        </w:rPr>
        <w:tab/>
      </w:r>
      <w:r w:rsidRPr="000E1448">
        <w:rPr>
          <w:lang w:val="es-ES_tradnl"/>
        </w:rPr>
        <w:t xml:space="preserve">Mientras el cómputo de muestras sea </w:t>
      </w:r>
      <w:r w:rsidRPr="00D85C0E">
        <w:rPr>
          <w:i/>
          <w:lang w:val="es-ES_tradnl"/>
        </w:rPr>
        <w:t>N</w:t>
      </w:r>
      <w:r w:rsidRPr="000E1448">
        <w:rPr>
          <w:lang w:val="es-ES_tradnl"/>
        </w:rPr>
        <w:t xml:space="preserve"> &lt; </w:t>
      </w:r>
      <w:r w:rsidRPr="00D85C0E">
        <w:rPr>
          <w:i/>
          <w:lang w:val="es-ES_tradnl"/>
        </w:rPr>
        <w:t>N</w:t>
      </w:r>
      <w:r w:rsidRPr="00D85C0E">
        <w:rPr>
          <w:i/>
          <w:vertAlign w:val="subscript"/>
          <w:lang w:val="es-ES_tradnl"/>
        </w:rPr>
        <w:t>máx</w:t>
      </w:r>
      <w:r w:rsidRPr="000E1448">
        <w:rPr>
          <w:lang w:val="es-ES_tradnl"/>
        </w:rPr>
        <w:t xml:space="preserve"> se repiten los </w:t>
      </w:r>
      <w:r>
        <w:rPr>
          <w:lang w:val="es-ES_tradnl"/>
        </w:rPr>
        <w:t>P</w:t>
      </w:r>
      <w:r w:rsidRPr="000E1448">
        <w:rPr>
          <w:lang w:val="es-ES_tradnl"/>
        </w:rPr>
        <w:t>asos 4 a 17</w:t>
      </w:r>
      <w:r>
        <w:rPr>
          <w:lang w:val="es-ES_tradnl"/>
        </w:rPr>
        <w:t>.</w:t>
      </w:r>
    </w:p>
    <w:p w:rsidR="006A2558" w:rsidRPr="000E1448" w:rsidRDefault="006A2558" w:rsidP="006A2558">
      <w:pPr>
        <w:pStyle w:val="enumlev1"/>
        <w:rPr>
          <w:lang w:val="es-ES_tradnl"/>
        </w:rPr>
      </w:pPr>
      <w:r>
        <w:rPr>
          <w:lang w:val="es-ES_tradnl"/>
        </w:rPr>
        <w:t xml:space="preserve">Paso </w:t>
      </w:r>
      <w:r w:rsidRPr="000E1448">
        <w:rPr>
          <w:lang w:val="es-ES_tradnl"/>
        </w:rPr>
        <w:t>4</w:t>
      </w:r>
      <w:r>
        <w:rPr>
          <w:lang w:val="es-ES_tradnl"/>
        </w:rPr>
        <w:t>:</w:t>
      </w:r>
      <w:r w:rsidRPr="000E1448">
        <w:rPr>
          <w:lang w:val="es-ES_tradnl"/>
        </w:rPr>
        <w:tab/>
      </w:r>
      <w:r>
        <w:rPr>
          <w:lang w:val="es-ES_tradnl"/>
        </w:rPr>
        <w:tab/>
      </w:r>
      <w:r w:rsidRPr="000E1448">
        <w:rPr>
          <w:lang w:val="es-ES_tradnl"/>
        </w:rPr>
        <w:t>Se calcula el acimut de la antena del SRA Az = aleatorio (–180, +180)</w:t>
      </w:r>
      <w:r>
        <w:rPr>
          <w:lang w:val="es-ES_tradnl"/>
        </w:rPr>
        <w:t>.</w:t>
      </w:r>
    </w:p>
    <w:p w:rsidR="006A2558" w:rsidRPr="000E1448" w:rsidRDefault="006A2558" w:rsidP="006A2558">
      <w:pPr>
        <w:pStyle w:val="enumlev1"/>
        <w:ind w:left="1191" w:hanging="1191"/>
        <w:rPr>
          <w:lang w:val="es-ES_tradnl"/>
        </w:rPr>
      </w:pPr>
      <w:r>
        <w:rPr>
          <w:lang w:val="es-ES_tradnl"/>
        </w:rPr>
        <w:lastRenderedPageBreak/>
        <w:t xml:space="preserve">Paso </w:t>
      </w:r>
      <w:r w:rsidRPr="000E1448">
        <w:rPr>
          <w:lang w:val="es-ES_tradnl"/>
        </w:rPr>
        <w:t>5</w:t>
      </w:r>
      <w:r>
        <w:rPr>
          <w:lang w:val="es-ES_tradnl"/>
        </w:rPr>
        <w:t>:</w:t>
      </w:r>
      <w:r w:rsidRPr="000E1448">
        <w:rPr>
          <w:lang w:val="es-ES_tradnl"/>
        </w:rPr>
        <w:tab/>
      </w:r>
      <w:r>
        <w:rPr>
          <w:lang w:val="es-ES_tradnl"/>
        </w:rPr>
        <w:tab/>
      </w:r>
      <w:r w:rsidRPr="000E1448">
        <w:rPr>
          <w:lang w:val="es-ES_tradnl"/>
        </w:rPr>
        <w:t xml:space="preserve">Se calcula el porcentaje de tiempo </w:t>
      </w:r>
      <w:r w:rsidRPr="000E1448">
        <w:rPr>
          <w:i/>
          <w:iCs/>
          <w:lang w:val="es-ES_tradnl"/>
        </w:rPr>
        <w:t>p</w:t>
      </w:r>
      <w:r w:rsidRPr="000E1448">
        <w:rPr>
          <w:i/>
          <w:iCs/>
          <w:vertAlign w:val="subscript"/>
          <w:lang w:val="es-ES_tradnl"/>
        </w:rPr>
        <w:t xml:space="preserve">i </w:t>
      </w:r>
      <w:r w:rsidRPr="000E1448">
        <w:rPr>
          <w:lang w:val="es-ES_tradnl"/>
        </w:rPr>
        <w:t>de la Recomendación UIT-R P.452 = valor aleatorio entre (0, 100)</w:t>
      </w:r>
      <w:r>
        <w:rPr>
          <w:lang w:val="es-ES_tradnl"/>
        </w:rPr>
        <w:t>.</w:t>
      </w:r>
    </w:p>
    <w:p w:rsidR="006A2558" w:rsidRPr="000E1448" w:rsidRDefault="006A2558" w:rsidP="006A2558">
      <w:pPr>
        <w:pStyle w:val="enumlev1"/>
        <w:rPr>
          <w:lang w:val="es-ES_tradnl"/>
        </w:rPr>
      </w:pPr>
      <w:r>
        <w:rPr>
          <w:lang w:val="es-ES_tradnl"/>
        </w:rPr>
        <w:t xml:space="preserve">Paso </w:t>
      </w:r>
      <w:r w:rsidRPr="000E1448">
        <w:rPr>
          <w:lang w:val="es-ES_tradnl"/>
        </w:rPr>
        <w:t>6</w:t>
      </w:r>
      <w:r>
        <w:rPr>
          <w:lang w:val="es-ES_tradnl"/>
        </w:rPr>
        <w:t>:</w:t>
      </w:r>
      <w:r w:rsidRPr="000E1448">
        <w:rPr>
          <w:lang w:val="es-ES_tradnl"/>
        </w:rPr>
        <w:tab/>
      </w:r>
      <w:r>
        <w:rPr>
          <w:lang w:val="es-ES_tradnl"/>
        </w:rPr>
        <w:tab/>
      </w:r>
      <w:r w:rsidRPr="000E1448">
        <w:rPr>
          <w:lang w:val="es-ES_tradnl"/>
        </w:rPr>
        <w:t xml:space="preserve">Se fija la interferencia media combinada </w:t>
      </w:r>
      <w:r w:rsidRPr="000E1448">
        <w:rPr>
          <w:i/>
          <w:iCs/>
          <w:lang w:val="es-ES_tradnl"/>
        </w:rPr>
        <w:t>I</w:t>
      </w:r>
      <w:r w:rsidRPr="000E1448">
        <w:rPr>
          <w:lang w:val="es-ES_tradnl"/>
        </w:rPr>
        <w:t xml:space="preserve"> = 0</w:t>
      </w:r>
      <w:r>
        <w:rPr>
          <w:lang w:val="es-ES_tradnl"/>
        </w:rPr>
        <w:t>.</w:t>
      </w:r>
    </w:p>
    <w:p w:rsidR="006A2558" w:rsidRPr="000E1448" w:rsidRDefault="006A2558" w:rsidP="006A2558">
      <w:pPr>
        <w:pStyle w:val="enumlev1"/>
        <w:rPr>
          <w:lang w:val="es-ES_tradnl"/>
        </w:rPr>
      </w:pPr>
      <w:r>
        <w:rPr>
          <w:lang w:val="es-ES_tradnl"/>
        </w:rPr>
        <w:t xml:space="preserve">Paso </w:t>
      </w:r>
      <w:r w:rsidRPr="000E1448">
        <w:rPr>
          <w:lang w:val="es-ES_tradnl"/>
        </w:rPr>
        <w:t>7</w:t>
      </w:r>
      <w:r>
        <w:rPr>
          <w:lang w:val="es-ES_tradnl"/>
        </w:rPr>
        <w:t>:</w:t>
      </w:r>
      <w:r w:rsidRPr="000E1448">
        <w:rPr>
          <w:lang w:val="es-ES_tradnl"/>
        </w:rPr>
        <w:tab/>
      </w:r>
      <w:r>
        <w:rPr>
          <w:lang w:val="es-ES_tradnl"/>
        </w:rPr>
        <w:tab/>
      </w:r>
      <w:r w:rsidRPr="000E1448">
        <w:rPr>
          <w:lang w:val="es-ES_tradnl"/>
        </w:rPr>
        <w:t xml:space="preserve">Para cada punto de prueba dentro de la ZI, </w:t>
      </w:r>
      <w:r w:rsidRPr="000E1448">
        <w:rPr>
          <w:i/>
          <w:iCs/>
          <w:lang w:val="es-ES_tradnl"/>
        </w:rPr>
        <w:t>j</w:t>
      </w:r>
      <w:r w:rsidRPr="000E1448">
        <w:rPr>
          <w:lang w:val="es-ES_tradnl"/>
        </w:rPr>
        <w:t xml:space="preserve">, se repiten los </w:t>
      </w:r>
      <w:r>
        <w:rPr>
          <w:lang w:val="es-ES_tradnl"/>
        </w:rPr>
        <w:t>P</w:t>
      </w:r>
      <w:r w:rsidRPr="000E1448">
        <w:rPr>
          <w:lang w:val="es-ES_tradnl"/>
        </w:rPr>
        <w:t>asos 8 a 14</w:t>
      </w:r>
      <w:r>
        <w:rPr>
          <w:lang w:val="es-ES_tradnl"/>
        </w:rPr>
        <w:t>.</w:t>
      </w:r>
    </w:p>
    <w:p w:rsidR="006A2558" w:rsidRPr="000E1448" w:rsidRDefault="006A2558" w:rsidP="006A2558">
      <w:pPr>
        <w:pStyle w:val="enumlev1"/>
        <w:ind w:left="1191" w:hanging="1191"/>
        <w:rPr>
          <w:lang w:val="es-ES_tradnl"/>
        </w:rPr>
      </w:pPr>
      <w:r>
        <w:rPr>
          <w:lang w:val="es-ES_tradnl"/>
        </w:rPr>
        <w:t xml:space="preserve">Paso </w:t>
      </w:r>
      <w:r w:rsidRPr="000E1448">
        <w:rPr>
          <w:lang w:val="es-ES_tradnl"/>
        </w:rPr>
        <w:t>8</w:t>
      </w:r>
      <w:r>
        <w:rPr>
          <w:lang w:val="es-ES_tradnl"/>
        </w:rPr>
        <w:t>:</w:t>
      </w:r>
      <w:r w:rsidRPr="000E1448">
        <w:rPr>
          <w:lang w:val="es-ES_tradnl"/>
        </w:rPr>
        <w:tab/>
      </w:r>
      <w:r>
        <w:rPr>
          <w:lang w:val="es-ES_tradnl"/>
        </w:rPr>
        <w:tab/>
      </w:r>
      <w:r w:rsidRPr="000E1448">
        <w:rPr>
          <w:lang w:val="es-ES_tradnl"/>
        </w:rPr>
        <w:t xml:space="preserve">Se calcula la probabilidad de instalación del bloque de edificios para el </w:t>
      </w:r>
      <w:r w:rsidRPr="000E1448">
        <w:rPr>
          <w:i/>
          <w:iCs/>
          <w:lang w:val="es-ES_tradnl"/>
        </w:rPr>
        <w:t>j</w:t>
      </w:r>
      <w:r w:rsidRPr="000E1448">
        <w:rPr>
          <w:lang w:val="es-ES_tradnl"/>
        </w:rPr>
        <w:t xml:space="preserve">-ésimo punto de prueba </w:t>
      </w:r>
      <w:r w:rsidRPr="000E1448">
        <w:rPr>
          <w:i/>
          <w:iCs/>
          <w:lang w:val="es-ES_tradnl"/>
        </w:rPr>
        <w:t>p</w:t>
      </w:r>
      <w:r w:rsidRPr="000E1448">
        <w:rPr>
          <w:i/>
          <w:iCs/>
          <w:vertAlign w:val="subscript"/>
          <w:lang w:val="es-ES_tradnl"/>
        </w:rPr>
        <w:t>i,j</w:t>
      </w:r>
      <w:r w:rsidRPr="000E1448">
        <w:rPr>
          <w:lang w:val="es-ES_tradnl"/>
        </w:rPr>
        <w:t xml:space="preserve"> = valor aleatorio entre (0, 1)</w:t>
      </w:r>
      <w:r>
        <w:rPr>
          <w:lang w:val="es-ES_tradnl"/>
        </w:rPr>
        <w:t>.</w:t>
      </w:r>
    </w:p>
    <w:p w:rsidR="006A2558" w:rsidRPr="000E1448" w:rsidRDefault="006A2558" w:rsidP="006A2558">
      <w:pPr>
        <w:pStyle w:val="enumlev1"/>
        <w:tabs>
          <w:tab w:val="left" w:pos="2552"/>
        </w:tabs>
        <w:ind w:left="2552" w:hanging="2552"/>
        <w:rPr>
          <w:lang w:val="es-ES_tradnl"/>
        </w:rPr>
      </w:pPr>
      <w:r>
        <w:rPr>
          <w:lang w:val="es-ES_tradnl"/>
        </w:rPr>
        <w:tab/>
      </w:r>
      <w:r>
        <w:rPr>
          <w:lang w:val="es-ES_tradnl"/>
        </w:rPr>
        <w:tab/>
        <w:t xml:space="preserve">Subpaso </w:t>
      </w:r>
      <w:r w:rsidRPr="000E1448">
        <w:rPr>
          <w:lang w:val="es-ES_tradnl"/>
        </w:rPr>
        <w:t>9a</w:t>
      </w:r>
      <w:r>
        <w:rPr>
          <w:lang w:val="es-ES_tradnl"/>
        </w:rPr>
        <w:t>:</w:t>
      </w:r>
      <w:r w:rsidRPr="000E1448">
        <w:rPr>
          <w:lang w:val="es-ES_tradnl"/>
        </w:rPr>
        <w:tab/>
        <w:t xml:space="preserve">En el caso de sistemas AMDF, utilizando la distribución de p.i.r.e.c. para el </w:t>
      </w:r>
      <w:r w:rsidRPr="000E1448">
        <w:rPr>
          <w:i/>
          <w:iCs/>
          <w:lang w:val="es-ES_tradnl"/>
        </w:rPr>
        <w:t>j</w:t>
      </w:r>
      <w:r w:rsidRPr="000E1448">
        <w:rPr>
          <w:lang w:val="es-ES_tradnl"/>
        </w:rPr>
        <w:t>-ésimo punto de prueba, se determina el valor de p.i.r.e.c (</w:t>
      </w:r>
      <w:r w:rsidRPr="000E1448">
        <w:rPr>
          <w:i/>
          <w:iCs/>
          <w:lang w:val="es-ES_tradnl"/>
        </w:rPr>
        <w:t>p</w:t>
      </w:r>
      <w:r w:rsidRPr="000E1448">
        <w:rPr>
          <w:i/>
          <w:iCs/>
          <w:vertAlign w:val="subscript"/>
          <w:lang w:val="es-ES_tradnl"/>
        </w:rPr>
        <w:t>i,j</w:t>
      </w:r>
      <w:r w:rsidRPr="000E1448">
        <w:rPr>
          <w:lang w:val="es-ES_tradnl"/>
        </w:rPr>
        <w:t>)</w:t>
      </w:r>
      <w:r>
        <w:rPr>
          <w:lang w:val="es-ES_tradnl"/>
        </w:rPr>
        <w:t>.</w:t>
      </w:r>
    </w:p>
    <w:p w:rsidR="006A2558" w:rsidRPr="000E1448" w:rsidRDefault="006A2558" w:rsidP="006A2558">
      <w:pPr>
        <w:pStyle w:val="enumlev1"/>
        <w:tabs>
          <w:tab w:val="left" w:pos="2552"/>
        </w:tabs>
        <w:ind w:left="2552" w:hanging="2552"/>
        <w:rPr>
          <w:lang w:val="es-ES_tradnl"/>
        </w:rPr>
      </w:pPr>
      <w:r>
        <w:rPr>
          <w:lang w:val="es-ES_tradnl"/>
        </w:rPr>
        <w:tab/>
      </w:r>
      <w:r>
        <w:rPr>
          <w:lang w:val="es-ES_tradnl"/>
        </w:rPr>
        <w:tab/>
        <w:t xml:space="preserve">Subpaso </w:t>
      </w:r>
      <w:r w:rsidRPr="000E1448">
        <w:rPr>
          <w:lang w:val="es-ES_tradnl"/>
        </w:rPr>
        <w:t>9b</w:t>
      </w:r>
      <w:r>
        <w:rPr>
          <w:lang w:val="es-ES_tradnl"/>
        </w:rPr>
        <w:t>:</w:t>
      </w:r>
      <w:r w:rsidRPr="000E1448">
        <w:rPr>
          <w:lang w:val="es-ES_tradnl"/>
        </w:rPr>
        <w:tab/>
        <w:t xml:space="preserve">En el caso de sistemas AMDT, utilizando la distribución p.i.r.e.c. para el </w:t>
      </w:r>
      <w:r w:rsidRPr="000E1448">
        <w:rPr>
          <w:i/>
          <w:iCs/>
          <w:lang w:val="es-ES_tradnl"/>
        </w:rPr>
        <w:t>j</w:t>
      </w:r>
      <w:r w:rsidRPr="000E1448">
        <w:rPr>
          <w:lang w:val="es-ES_tradnl"/>
        </w:rPr>
        <w:t>-ésimo punto de prueba, puede terminarse el valor de p.i.r.e.c. (</w:t>
      </w:r>
      <w:r w:rsidRPr="000E1448">
        <w:rPr>
          <w:i/>
          <w:iCs/>
          <w:lang w:val="es-ES_tradnl"/>
        </w:rPr>
        <w:t>p</w:t>
      </w:r>
      <w:r w:rsidRPr="000E1448">
        <w:rPr>
          <w:i/>
          <w:iCs/>
          <w:vertAlign w:val="subscript"/>
          <w:lang w:val="es-ES_tradnl"/>
        </w:rPr>
        <w:t>i,j</w:t>
      </w:r>
      <w:r w:rsidRPr="000E1448">
        <w:rPr>
          <w:lang w:val="es-ES_tradnl"/>
        </w:rPr>
        <w:t xml:space="preserve">), eligiendo aleatoriamente </w:t>
      </w:r>
      <w:r w:rsidRPr="000E1448">
        <w:rPr>
          <w:i/>
          <w:iCs/>
          <w:lang w:val="es-ES_tradnl"/>
        </w:rPr>
        <w:t>x</w:t>
      </w:r>
      <w:r w:rsidRPr="000E1448">
        <w:rPr>
          <w:lang w:val="es-ES_tradnl"/>
        </w:rPr>
        <w:t xml:space="preserve"> muestras, donde </w:t>
      </w:r>
      <w:r w:rsidRPr="000E1448">
        <w:rPr>
          <w:i/>
          <w:iCs/>
          <w:lang w:val="es-ES_tradnl"/>
        </w:rPr>
        <w:t>x</w:t>
      </w:r>
      <w:r w:rsidRPr="000E1448">
        <w:rPr>
          <w:lang w:val="es-ES_tradnl"/>
        </w:rPr>
        <w:t xml:space="preserve"> representa el número de subdivisiones de intervalos de tiempo de los sistemas AMDT; a continuación puede calcularse la p.i.r.e.c. promediando las </w:t>
      </w:r>
      <w:r w:rsidRPr="000E1448">
        <w:rPr>
          <w:i/>
          <w:lang w:val="es-ES_tradnl"/>
        </w:rPr>
        <w:t>x</w:t>
      </w:r>
      <w:r w:rsidRPr="000E1448">
        <w:rPr>
          <w:lang w:val="es-ES_tradnl"/>
        </w:rPr>
        <w:t xml:space="preserve"> muestras</w:t>
      </w:r>
      <w:r>
        <w:rPr>
          <w:lang w:val="es-ES_tradnl"/>
        </w:rPr>
        <w:t>.</w:t>
      </w:r>
    </w:p>
    <w:p w:rsidR="006A2558" w:rsidRPr="000E1448" w:rsidRDefault="006A2558" w:rsidP="006A2558">
      <w:pPr>
        <w:pStyle w:val="enumlev1"/>
        <w:ind w:left="1191" w:hanging="1191"/>
        <w:rPr>
          <w:lang w:val="es-ES_tradnl"/>
        </w:rPr>
      </w:pPr>
      <w:r>
        <w:rPr>
          <w:lang w:val="es-ES_tradnl"/>
        </w:rPr>
        <w:t xml:space="preserve">Paso </w:t>
      </w:r>
      <w:r w:rsidRPr="000E1448">
        <w:rPr>
          <w:lang w:val="es-ES_tradnl"/>
        </w:rPr>
        <w:t>10</w:t>
      </w:r>
      <w:r>
        <w:rPr>
          <w:lang w:val="es-ES_tradnl"/>
        </w:rPr>
        <w:t>:</w:t>
      </w:r>
      <w:r w:rsidRPr="000E1448">
        <w:rPr>
          <w:lang w:val="es-ES_tradnl"/>
        </w:rPr>
        <w:tab/>
        <w:t>Se calculan las pérdidas de la Recomendación UIT</w:t>
      </w:r>
      <w:r w:rsidRPr="000E1448">
        <w:rPr>
          <w:lang w:val="es-ES_tradnl"/>
        </w:rPr>
        <w:noBreakHyphen/>
        <w:t xml:space="preserve">R P.452 entre el </w:t>
      </w:r>
      <w:r w:rsidRPr="000E1448">
        <w:rPr>
          <w:i/>
          <w:lang w:val="es-ES_tradnl"/>
        </w:rPr>
        <w:t>j</w:t>
      </w:r>
      <w:r w:rsidRPr="000E1448">
        <w:rPr>
          <w:lang w:val="es-ES_tradnl"/>
        </w:rPr>
        <w:t xml:space="preserve">-ésimo punto de prueba y el emplazamiento del SRA para el </w:t>
      </w:r>
      <w:r w:rsidRPr="000E1448">
        <w:rPr>
          <w:i/>
          <w:iCs/>
          <w:lang w:val="es-ES_tradnl"/>
        </w:rPr>
        <w:t>p</w:t>
      </w:r>
      <w:r w:rsidRPr="000E1448">
        <w:rPr>
          <w:i/>
          <w:iCs/>
          <w:vertAlign w:val="subscript"/>
          <w:lang w:val="es-ES_tradnl"/>
        </w:rPr>
        <w:t>i</w:t>
      </w:r>
      <w:r w:rsidRPr="000E1448">
        <w:rPr>
          <w:lang w:val="es-ES_tradnl"/>
        </w:rPr>
        <w:t xml:space="preserve">% del tiempo, </w:t>
      </w:r>
      <w:r w:rsidRPr="000E1448">
        <w:rPr>
          <w:i/>
          <w:iCs/>
          <w:lang w:val="es-ES_tradnl"/>
        </w:rPr>
        <w:t>L</w:t>
      </w:r>
      <w:r w:rsidRPr="000E1448">
        <w:rPr>
          <w:vertAlign w:val="subscript"/>
          <w:lang w:val="es-ES_tradnl"/>
        </w:rPr>
        <w:t>452</w:t>
      </w:r>
      <w:r w:rsidRPr="000E1448">
        <w:rPr>
          <w:lang w:val="es-ES_tradnl"/>
        </w:rPr>
        <w:t>(</w:t>
      </w:r>
      <w:r w:rsidRPr="000E1448">
        <w:rPr>
          <w:i/>
          <w:iCs/>
          <w:lang w:val="es-ES_tradnl"/>
        </w:rPr>
        <w:t>p</w:t>
      </w:r>
      <w:r w:rsidRPr="000E1448">
        <w:rPr>
          <w:i/>
          <w:iCs/>
          <w:vertAlign w:val="subscript"/>
          <w:lang w:val="es-ES_tradnl"/>
        </w:rPr>
        <w:t>i</w:t>
      </w:r>
      <w:r w:rsidRPr="000E1448">
        <w:rPr>
          <w:i/>
          <w:iCs/>
          <w:lang w:val="es-ES_tradnl"/>
        </w:rPr>
        <w:t>,j</w:t>
      </w:r>
      <w:r w:rsidRPr="000E1448">
        <w:rPr>
          <w:lang w:val="es-ES_tradnl"/>
        </w:rPr>
        <w:t>)</w:t>
      </w:r>
      <w:r>
        <w:rPr>
          <w:lang w:val="es-ES_tradnl"/>
        </w:rPr>
        <w:t>.</w:t>
      </w:r>
    </w:p>
    <w:p w:rsidR="006A2558" w:rsidRPr="000E1448" w:rsidRDefault="006A2558" w:rsidP="006A2558">
      <w:pPr>
        <w:pStyle w:val="enumlev1"/>
        <w:ind w:left="1191" w:hanging="1191"/>
        <w:rPr>
          <w:lang w:val="es-ES_tradnl"/>
        </w:rPr>
      </w:pPr>
      <w:r>
        <w:rPr>
          <w:lang w:val="es-ES_tradnl"/>
        </w:rPr>
        <w:t xml:space="preserve">Paso </w:t>
      </w:r>
      <w:r w:rsidRPr="000E1448">
        <w:rPr>
          <w:lang w:val="es-ES_tradnl"/>
        </w:rPr>
        <w:t>11</w:t>
      </w:r>
      <w:r>
        <w:rPr>
          <w:lang w:val="es-ES_tradnl"/>
        </w:rPr>
        <w:t>:</w:t>
      </w:r>
      <w:r>
        <w:rPr>
          <w:lang w:val="es-ES_tradnl"/>
        </w:rPr>
        <w:tab/>
      </w:r>
      <w:r w:rsidRPr="000E1448">
        <w:rPr>
          <w:lang w:val="es-ES_tradnl"/>
        </w:rPr>
        <w:t xml:space="preserve">Se calcula la diferencia en acimut </w:t>
      </w:r>
      <w:r w:rsidRPr="009613E0">
        <w:sym w:font="Symbol" w:char="F0D1"/>
      </w:r>
      <w:r w:rsidRPr="00D85C0E">
        <w:rPr>
          <w:i/>
          <w:lang w:val="es-ES_tradnl"/>
        </w:rPr>
        <w:t>Az</w:t>
      </w:r>
      <w:r w:rsidRPr="00D85C0E">
        <w:rPr>
          <w:i/>
          <w:vertAlign w:val="subscript"/>
          <w:lang w:val="es-ES_tradnl"/>
        </w:rPr>
        <w:t>j</w:t>
      </w:r>
      <w:r w:rsidRPr="000E1448">
        <w:rPr>
          <w:lang w:val="es-ES_tradnl"/>
        </w:rPr>
        <w:t xml:space="preserve"> entre el acimut de observación del SRA y el acimut en el emplazamiento del SRA hacia el </w:t>
      </w:r>
      <w:r w:rsidRPr="000E1448">
        <w:rPr>
          <w:i/>
          <w:lang w:val="es-ES_tradnl"/>
        </w:rPr>
        <w:t>j</w:t>
      </w:r>
      <w:r w:rsidRPr="000E1448">
        <w:rPr>
          <w:lang w:val="es-ES_tradnl"/>
        </w:rPr>
        <w:t>-ésimo punto de prueba</w:t>
      </w:r>
      <w:r>
        <w:rPr>
          <w:lang w:val="es-ES_tradnl"/>
        </w:rPr>
        <w:t>.</w:t>
      </w:r>
      <w:r w:rsidRPr="000E1448">
        <w:rPr>
          <w:lang w:val="es-ES_tradnl"/>
        </w:rPr>
        <w:t xml:space="preserve"> </w:t>
      </w:r>
    </w:p>
    <w:p w:rsidR="006A2558" w:rsidRPr="000E1448" w:rsidRDefault="006A2558" w:rsidP="006A2558">
      <w:pPr>
        <w:pStyle w:val="enumlev1"/>
        <w:ind w:left="1191" w:hanging="1191"/>
        <w:rPr>
          <w:lang w:val="es-ES_tradnl"/>
        </w:rPr>
      </w:pPr>
      <w:r>
        <w:rPr>
          <w:lang w:val="es-ES_tradnl"/>
        </w:rPr>
        <w:t xml:space="preserve">Paso </w:t>
      </w:r>
      <w:r w:rsidRPr="000E1448">
        <w:rPr>
          <w:lang w:val="es-ES_tradnl"/>
        </w:rPr>
        <w:t>12</w:t>
      </w:r>
      <w:r>
        <w:rPr>
          <w:lang w:val="es-ES_tradnl"/>
        </w:rPr>
        <w:t>:</w:t>
      </w:r>
      <w:r w:rsidRPr="000E1448">
        <w:rPr>
          <w:lang w:val="es-ES_tradnl"/>
        </w:rPr>
        <w:tab/>
        <w:t xml:space="preserve">Se calcula la ganancia media </w:t>
      </w:r>
      <w:r w:rsidRPr="000E1448">
        <w:rPr>
          <w:i/>
          <w:iCs/>
          <w:lang w:val="es-ES_tradnl"/>
        </w:rPr>
        <w:t>G</w:t>
      </w:r>
      <w:r w:rsidRPr="000E1448">
        <w:rPr>
          <w:i/>
          <w:iCs/>
          <w:vertAlign w:val="subscript"/>
          <w:lang w:val="es-ES_tradnl"/>
        </w:rPr>
        <w:t>SRA, j</w:t>
      </w:r>
      <w:r w:rsidRPr="000E1448">
        <w:rPr>
          <w:lang w:val="es-ES_tradnl"/>
        </w:rPr>
        <w:t xml:space="preserve"> en el emplazamiento del SRA hacia el </w:t>
      </w:r>
      <w:r w:rsidRPr="000E1448">
        <w:rPr>
          <w:i/>
          <w:lang w:val="es-ES_tradnl"/>
        </w:rPr>
        <w:t>j</w:t>
      </w:r>
      <w:r w:rsidRPr="000E1448">
        <w:rPr>
          <w:lang w:val="es-ES_tradnl"/>
        </w:rPr>
        <w:t xml:space="preserve">-ésimo punto de prueba determinando la ganancia media asociada con la diferencia en acimut </w:t>
      </w:r>
      <w:r w:rsidRPr="009613E0">
        <w:sym w:font="Symbol" w:char="F0D1"/>
      </w:r>
      <w:r w:rsidRPr="000E1448">
        <w:rPr>
          <w:i/>
          <w:iCs/>
          <w:lang w:val="es-ES_tradnl"/>
        </w:rPr>
        <w:t>Az</w:t>
      </w:r>
      <w:r w:rsidRPr="000E1448">
        <w:rPr>
          <w:i/>
          <w:iCs/>
          <w:vertAlign w:val="subscript"/>
          <w:lang w:val="es-ES_tradnl"/>
        </w:rPr>
        <w:t>j</w:t>
      </w:r>
      <w:r w:rsidRPr="000E1448">
        <w:rPr>
          <w:lang w:val="es-ES_tradnl"/>
        </w:rPr>
        <w:t>, utilizando interpolación lineal cuando sea necesario</w:t>
      </w:r>
      <w:r>
        <w:rPr>
          <w:lang w:val="es-ES_tradnl"/>
        </w:rPr>
        <w:t>.</w:t>
      </w:r>
    </w:p>
    <w:p w:rsidR="006A2558" w:rsidRPr="000E1448" w:rsidRDefault="006A2558" w:rsidP="006A2558">
      <w:pPr>
        <w:pStyle w:val="enumlev1"/>
        <w:ind w:left="1191" w:hanging="1191"/>
        <w:rPr>
          <w:lang w:val="es-ES_tradnl"/>
        </w:rPr>
      </w:pPr>
      <w:r>
        <w:rPr>
          <w:lang w:val="es-ES_tradnl"/>
        </w:rPr>
        <w:t xml:space="preserve">Paso </w:t>
      </w:r>
      <w:r w:rsidRPr="000E1448">
        <w:rPr>
          <w:lang w:val="es-ES_tradnl"/>
        </w:rPr>
        <w:t>13</w:t>
      </w:r>
      <w:r>
        <w:rPr>
          <w:lang w:val="es-ES_tradnl"/>
        </w:rPr>
        <w:t>:</w:t>
      </w:r>
      <w:r>
        <w:rPr>
          <w:lang w:val="es-ES_tradnl"/>
        </w:rPr>
        <w:tab/>
      </w:r>
      <w:r w:rsidRPr="000E1448">
        <w:rPr>
          <w:lang w:val="es-ES_tradnl"/>
        </w:rPr>
        <w:t xml:space="preserve">Se calcula la interferencia desde este punto de prueba en el emplazamiento del SRA mediante la expresión (teniendo en cuenta que para el análisis en banda </w:t>
      </w:r>
      <w:r w:rsidRPr="000E1448">
        <w:rPr>
          <w:i/>
          <w:iCs/>
          <w:lang w:val="es-ES_tradnl"/>
        </w:rPr>
        <w:t>A</w:t>
      </w:r>
      <w:r w:rsidRPr="000E1448">
        <w:rPr>
          <w:i/>
          <w:iCs/>
          <w:vertAlign w:val="subscript"/>
          <w:lang w:val="es-ES_tradnl"/>
        </w:rPr>
        <w:t>OoB</w:t>
      </w:r>
      <w:r>
        <w:rPr>
          <w:lang w:val="es-ES_tradnl"/>
        </w:rPr>
        <w:t> </w:t>
      </w:r>
      <w:r w:rsidRPr="000E1448">
        <w:rPr>
          <w:lang w:val="es-ES_tradnl"/>
        </w:rPr>
        <w:t>= 0):</w:t>
      </w:r>
    </w:p>
    <w:p w:rsidR="006A2558" w:rsidRPr="00226800" w:rsidRDefault="006A2558" w:rsidP="006A2558">
      <w:pPr>
        <w:pStyle w:val="Blanc"/>
        <w:rPr>
          <w:lang w:val="es-ES_tradnl"/>
        </w:rPr>
      </w:pPr>
    </w:p>
    <w:p w:rsidR="006A2558" w:rsidRPr="000E1448" w:rsidRDefault="006A2558" w:rsidP="006A2558">
      <w:pPr>
        <w:pStyle w:val="enumlev2"/>
        <w:tabs>
          <w:tab w:val="clear" w:pos="794"/>
          <w:tab w:val="clear" w:pos="1191"/>
          <w:tab w:val="clear" w:pos="1588"/>
          <w:tab w:val="clear" w:pos="1985"/>
          <w:tab w:val="left" w:pos="3119"/>
        </w:tabs>
        <w:ind w:left="794" w:firstLine="0"/>
        <w:rPr>
          <w:lang w:val="es-ES_tradnl"/>
        </w:rPr>
      </w:pPr>
      <w:r>
        <w:rPr>
          <w:i/>
          <w:iCs/>
          <w:lang w:val="es-ES_tradnl"/>
        </w:rPr>
        <w:tab/>
      </w:r>
      <w:r w:rsidRPr="000E1448">
        <w:rPr>
          <w:i/>
          <w:iCs/>
          <w:lang w:val="es-ES_tradnl"/>
        </w:rPr>
        <w:t>I</w:t>
      </w:r>
      <w:r w:rsidRPr="000E1448">
        <w:rPr>
          <w:i/>
          <w:iCs/>
          <w:vertAlign w:val="subscript"/>
          <w:lang w:val="es-ES_tradnl"/>
        </w:rPr>
        <w:t>j</w:t>
      </w:r>
      <w:r w:rsidRPr="000E1448">
        <w:rPr>
          <w:lang w:val="es-ES_tradnl"/>
        </w:rPr>
        <w:t xml:space="preserve"> = </w:t>
      </w:r>
      <w:r w:rsidRPr="000E1448">
        <w:rPr>
          <w:i/>
          <w:iCs/>
          <w:lang w:val="es-ES_tradnl"/>
        </w:rPr>
        <w:t>PIREC</w:t>
      </w:r>
      <w:r w:rsidRPr="000E1448">
        <w:rPr>
          <w:lang w:val="es-ES_tradnl"/>
        </w:rPr>
        <w:t>(</w:t>
      </w:r>
      <w:r w:rsidRPr="000E1448">
        <w:rPr>
          <w:i/>
          <w:iCs/>
          <w:lang w:val="es-ES_tradnl"/>
        </w:rPr>
        <w:t>p</w:t>
      </w:r>
      <w:r w:rsidRPr="000E1448">
        <w:rPr>
          <w:i/>
          <w:iCs/>
          <w:vertAlign w:val="subscript"/>
          <w:lang w:val="es-ES_tradnl"/>
        </w:rPr>
        <w:t>i,j</w:t>
      </w:r>
      <w:r w:rsidRPr="000E1448">
        <w:rPr>
          <w:lang w:val="es-ES_tradnl"/>
        </w:rPr>
        <w:t xml:space="preserve">) – </w:t>
      </w:r>
      <w:r w:rsidRPr="000E1448">
        <w:rPr>
          <w:i/>
          <w:iCs/>
          <w:lang w:val="es-ES_tradnl"/>
        </w:rPr>
        <w:t>L</w:t>
      </w:r>
      <w:r w:rsidRPr="000E1448">
        <w:rPr>
          <w:vertAlign w:val="subscript"/>
          <w:lang w:val="es-ES_tradnl"/>
        </w:rPr>
        <w:t>452</w:t>
      </w:r>
      <w:r w:rsidRPr="000E1448">
        <w:rPr>
          <w:lang w:val="es-ES_tradnl"/>
        </w:rPr>
        <w:t>(</w:t>
      </w:r>
      <w:r w:rsidRPr="00D85C0E">
        <w:rPr>
          <w:i/>
          <w:lang w:val="es-ES_tradnl"/>
        </w:rPr>
        <w:t>p</w:t>
      </w:r>
      <w:r w:rsidRPr="00D85C0E">
        <w:rPr>
          <w:i/>
          <w:vertAlign w:val="subscript"/>
          <w:lang w:val="es-ES_tradnl"/>
        </w:rPr>
        <w:t>i</w:t>
      </w:r>
      <w:r w:rsidRPr="000E1448">
        <w:rPr>
          <w:lang w:val="es-ES_tradnl"/>
        </w:rPr>
        <w:t>,</w:t>
      </w:r>
      <w:r w:rsidRPr="00D85C0E">
        <w:rPr>
          <w:i/>
          <w:lang w:val="es-ES_tradnl"/>
        </w:rPr>
        <w:t>j</w:t>
      </w:r>
      <w:r w:rsidRPr="000E1448">
        <w:rPr>
          <w:lang w:val="es-ES_tradnl"/>
        </w:rPr>
        <w:t xml:space="preserve">) + </w:t>
      </w:r>
      <w:r w:rsidRPr="000E1448">
        <w:rPr>
          <w:i/>
          <w:iCs/>
          <w:lang w:val="es-ES_tradnl"/>
        </w:rPr>
        <w:t>G</w:t>
      </w:r>
      <w:r w:rsidRPr="000E1448">
        <w:rPr>
          <w:i/>
          <w:iCs/>
          <w:vertAlign w:val="subscript"/>
          <w:lang w:val="es-ES_tradnl"/>
        </w:rPr>
        <w:t>SRA,j</w:t>
      </w:r>
      <w:r w:rsidRPr="000E1448">
        <w:rPr>
          <w:i/>
          <w:iCs/>
          <w:lang w:val="es-ES_tradnl"/>
        </w:rPr>
        <w:t xml:space="preserve"> </w:t>
      </w:r>
      <w:r w:rsidRPr="000E1448">
        <w:rPr>
          <w:lang w:val="es-ES_tradnl"/>
        </w:rPr>
        <w:t xml:space="preserve">– </w:t>
      </w:r>
      <w:r w:rsidRPr="000E1448">
        <w:rPr>
          <w:i/>
          <w:iCs/>
          <w:lang w:val="es-ES_tradnl"/>
        </w:rPr>
        <w:t>A</w:t>
      </w:r>
      <w:r w:rsidRPr="000E1448">
        <w:rPr>
          <w:i/>
          <w:iCs/>
          <w:vertAlign w:val="subscript"/>
          <w:lang w:val="es-ES_tradnl"/>
        </w:rPr>
        <w:t>OoB</w:t>
      </w:r>
    </w:p>
    <w:p w:rsidR="006A2558" w:rsidRPr="00226800" w:rsidRDefault="006A2558" w:rsidP="006A2558">
      <w:pPr>
        <w:pStyle w:val="Blanc"/>
        <w:keepNext w:val="0"/>
        <w:keepLines w:val="0"/>
        <w:rPr>
          <w:lang w:val="es-ES_tradnl"/>
        </w:rPr>
      </w:pPr>
    </w:p>
    <w:p w:rsidR="006A2558" w:rsidRPr="000E1448" w:rsidRDefault="006A2558" w:rsidP="006A2558">
      <w:pPr>
        <w:pStyle w:val="enumlev1"/>
        <w:rPr>
          <w:lang w:val="es-ES_tradnl"/>
        </w:rPr>
      </w:pPr>
      <w:r>
        <w:rPr>
          <w:lang w:val="es-ES_tradnl"/>
        </w:rPr>
        <w:t xml:space="preserve">Paso </w:t>
      </w:r>
      <w:r w:rsidRPr="000E1448">
        <w:rPr>
          <w:lang w:val="es-ES_tradnl"/>
        </w:rPr>
        <w:t>14</w:t>
      </w:r>
      <w:r>
        <w:rPr>
          <w:lang w:val="es-ES_tradnl"/>
        </w:rPr>
        <w:t>:</w:t>
      </w:r>
      <w:r>
        <w:rPr>
          <w:lang w:val="es-ES_tradnl"/>
        </w:rPr>
        <w:tab/>
      </w:r>
      <w:r w:rsidRPr="000E1448">
        <w:rPr>
          <w:lang w:val="es-ES_tradnl"/>
        </w:rPr>
        <w:t xml:space="preserve">Se incrementa la interferencia media combinada </w:t>
      </w:r>
      <w:r w:rsidRPr="000E1448">
        <w:rPr>
          <w:i/>
          <w:iCs/>
          <w:lang w:val="es-ES_tradnl"/>
        </w:rPr>
        <w:t>I</w:t>
      </w:r>
      <w:r w:rsidRPr="000E1448">
        <w:rPr>
          <w:lang w:val="es-ES_tradnl"/>
        </w:rPr>
        <w:t xml:space="preserve"> en el valor </w:t>
      </w:r>
      <w:r w:rsidRPr="000E1448">
        <w:rPr>
          <w:i/>
          <w:iCs/>
          <w:lang w:val="es-ES_tradnl"/>
        </w:rPr>
        <w:t>I</w:t>
      </w:r>
      <w:r w:rsidRPr="000E1448">
        <w:rPr>
          <w:i/>
          <w:iCs/>
          <w:vertAlign w:val="subscript"/>
          <w:lang w:val="es-ES_tradnl"/>
        </w:rPr>
        <w:t>j</w:t>
      </w:r>
      <w:r w:rsidRPr="000E1448">
        <w:rPr>
          <w:lang w:val="es-ES_tradnl"/>
        </w:rPr>
        <w:t>:</w:t>
      </w:r>
    </w:p>
    <w:p w:rsidR="006A2558" w:rsidRPr="00226800" w:rsidRDefault="006A2558" w:rsidP="006A2558">
      <w:pPr>
        <w:pStyle w:val="Blanc"/>
        <w:rPr>
          <w:lang w:val="es-ES_tradnl"/>
        </w:rPr>
      </w:pPr>
    </w:p>
    <w:p w:rsidR="006A2558" w:rsidRPr="000E1448" w:rsidRDefault="006A2558" w:rsidP="006A2558">
      <w:pPr>
        <w:pStyle w:val="enumlev1"/>
        <w:tabs>
          <w:tab w:val="clear" w:pos="794"/>
          <w:tab w:val="clear" w:pos="1191"/>
          <w:tab w:val="clear" w:pos="1588"/>
          <w:tab w:val="clear" w:pos="1985"/>
          <w:tab w:val="left" w:pos="3119"/>
        </w:tabs>
        <w:ind w:left="0" w:firstLine="0"/>
        <w:rPr>
          <w:lang w:val="es-ES_tradnl"/>
        </w:rPr>
      </w:pPr>
      <w:r w:rsidRPr="000E1448">
        <w:rPr>
          <w:lang w:val="es-ES_tradnl"/>
        </w:rPr>
        <w:tab/>
      </w:r>
      <w:r w:rsidRPr="000E1448">
        <w:rPr>
          <w:i/>
          <w:iCs/>
          <w:lang w:val="es-ES_tradnl"/>
        </w:rPr>
        <w:t>I</w:t>
      </w:r>
      <w:r w:rsidRPr="000E1448">
        <w:rPr>
          <w:lang w:val="es-ES_tradnl"/>
        </w:rPr>
        <w:t xml:space="preserve"> </w:t>
      </w:r>
      <w:r w:rsidRPr="009613E0">
        <w:sym w:font="Symbol" w:char="F0DE"/>
      </w:r>
      <w:r w:rsidRPr="000E1448">
        <w:rPr>
          <w:lang w:val="es-ES_tradnl"/>
        </w:rPr>
        <w:t xml:space="preserve"> </w:t>
      </w:r>
      <w:r w:rsidRPr="000E1448">
        <w:rPr>
          <w:i/>
          <w:iCs/>
          <w:lang w:val="es-ES_tradnl"/>
        </w:rPr>
        <w:t>I</w:t>
      </w:r>
      <w:r w:rsidRPr="000E1448">
        <w:rPr>
          <w:lang w:val="es-ES_tradnl"/>
        </w:rPr>
        <w:t xml:space="preserve"> + 10^(</w:t>
      </w:r>
      <w:r w:rsidRPr="000E1448">
        <w:rPr>
          <w:i/>
          <w:iCs/>
          <w:lang w:val="es-ES_tradnl"/>
        </w:rPr>
        <w:t>I</w:t>
      </w:r>
      <w:r w:rsidRPr="000E1448">
        <w:rPr>
          <w:i/>
          <w:iCs/>
          <w:vertAlign w:val="subscript"/>
          <w:lang w:val="es-ES_tradnl"/>
        </w:rPr>
        <w:t>j</w:t>
      </w:r>
      <w:r w:rsidRPr="000E1448">
        <w:rPr>
          <w:lang w:val="es-ES_tradnl"/>
        </w:rPr>
        <w:t>/10)</w:t>
      </w:r>
    </w:p>
    <w:p w:rsidR="006A2558" w:rsidRPr="00226800" w:rsidRDefault="006A2558" w:rsidP="006A2558">
      <w:pPr>
        <w:pStyle w:val="Blanc"/>
        <w:rPr>
          <w:lang w:val="es-ES_tradnl"/>
        </w:rPr>
      </w:pPr>
    </w:p>
    <w:p w:rsidR="006A2558" w:rsidRPr="000E1448" w:rsidRDefault="006A2558" w:rsidP="006A2558">
      <w:pPr>
        <w:pStyle w:val="enumlev1"/>
        <w:ind w:left="1191" w:hanging="1191"/>
        <w:rPr>
          <w:lang w:val="es-ES_tradnl"/>
        </w:rPr>
      </w:pPr>
      <w:r>
        <w:rPr>
          <w:lang w:val="es-ES_tradnl"/>
        </w:rPr>
        <w:t xml:space="preserve">Paso </w:t>
      </w:r>
      <w:r w:rsidRPr="000E1448">
        <w:rPr>
          <w:lang w:val="es-ES_tradnl"/>
        </w:rPr>
        <w:t>15</w:t>
      </w:r>
      <w:r>
        <w:rPr>
          <w:lang w:val="es-ES_tradnl"/>
        </w:rPr>
        <w:t>:</w:t>
      </w:r>
      <w:r>
        <w:rPr>
          <w:lang w:val="es-ES_tradnl"/>
        </w:rPr>
        <w:tab/>
      </w:r>
      <w:r w:rsidRPr="000E1448">
        <w:rPr>
          <w:lang w:val="es-ES_tradnl"/>
        </w:rPr>
        <w:t xml:space="preserve">Cuando se han incluido todos los puntos de prueba, se convierte la interferencia media combinada </w:t>
      </w:r>
      <w:r w:rsidRPr="000E1448">
        <w:rPr>
          <w:i/>
          <w:iCs/>
          <w:lang w:val="es-ES_tradnl"/>
        </w:rPr>
        <w:t>I</w:t>
      </w:r>
      <w:r w:rsidRPr="000E1448">
        <w:rPr>
          <w:lang w:val="es-ES_tradnl"/>
        </w:rPr>
        <w:t xml:space="preserve"> en dB:</w:t>
      </w:r>
    </w:p>
    <w:p w:rsidR="006A2558" w:rsidRPr="00226800" w:rsidRDefault="006A2558" w:rsidP="006A2558">
      <w:pPr>
        <w:pStyle w:val="Blanc"/>
        <w:rPr>
          <w:lang w:val="es-ES_tradnl"/>
        </w:rPr>
      </w:pPr>
    </w:p>
    <w:p w:rsidR="006A2558" w:rsidRPr="000E1448" w:rsidRDefault="006A2558" w:rsidP="006A2558">
      <w:pPr>
        <w:pStyle w:val="enumlev1"/>
        <w:tabs>
          <w:tab w:val="clear" w:pos="794"/>
          <w:tab w:val="clear" w:pos="1191"/>
          <w:tab w:val="clear" w:pos="1588"/>
          <w:tab w:val="clear" w:pos="1985"/>
          <w:tab w:val="left" w:pos="3119"/>
        </w:tabs>
        <w:ind w:left="0" w:firstLine="0"/>
        <w:rPr>
          <w:lang w:val="es-ES_tradnl"/>
        </w:rPr>
      </w:pPr>
      <w:r w:rsidRPr="000E1448">
        <w:rPr>
          <w:lang w:val="es-ES_tradnl"/>
        </w:rPr>
        <w:tab/>
      </w:r>
      <w:r w:rsidRPr="000E1448">
        <w:rPr>
          <w:i/>
          <w:iCs/>
          <w:lang w:val="es-ES_tradnl"/>
        </w:rPr>
        <w:t>I</w:t>
      </w:r>
      <w:r w:rsidRPr="000E1448">
        <w:rPr>
          <w:lang w:val="es-ES_tradnl"/>
        </w:rPr>
        <w:t xml:space="preserve"> </w:t>
      </w:r>
      <w:r w:rsidRPr="009613E0">
        <w:sym w:font="Symbol" w:char="F0DE"/>
      </w:r>
      <w:r w:rsidRPr="000E1448">
        <w:rPr>
          <w:lang w:val="es-ES_tradnl"/>
        </w:rPr>
        <w:t xml:space="preserve"> 10 log</w:t>
      </w:r>
      <w:r w:rsidRPr="000E1448">
        <w:rPr>
          <w:vertAlign w:val="subscript"/>
          <w:lang w:val="es-ES_tradnl"/>
        </w:rPr>
        <w:t>10 </w:t>
      </w:r>
      <w:r w:rsidRPr="000E1448">
        <w:rPr>
          <w:lang w:val="es-ES_tradnl"/>
        </w:rPr>
        <w:t>(</w:t>
      </w:r>
      <w:r w:rsidRPr="000E1448">
        <w:rPr>
          <w:i/>
          <w:iCs/>
          <w:lang w:val="es-ES_tradnl"/>
        </w:rPr>
        <w:t>I</w:t>
      </w:r>
      <w:r w:rsidRPr="000E1448">
        <w:rPr>
          <w:lang w:val="es-ES_tradnl"/>
        </w:rPr>
        <w:t>)</w:t>
      </w:r>
    </w:p>
    <w:p w:rsidR="006A2558" w:rsidRPr="00226800" w:rsidRDefault="006A2558" w:rsidP="006A2558">
      <w:pPr>
        <w:pStyle w:val="Blanc"/>
        <w:rPr>
          <w:lang w:val="es-ES_tradnl"/>
        </w:rPr>
      </w:pPr>
    </w:p>
    <w:p w:rsidR="006A2558" w:rsidRPr="000E1448" w:rsidRDefault="006A2558" w:rsidP="006A2558">
      <w:pPr>
        <w:pStyle w:val="enumlev1"/>
        <w:ind w:left="1191" w:hanging="1191"/>
        <w:rPr>
          <w:lang w:val="es-ES_tradnl"/>
        </w:rPr>
      </w:pPr>
      <w:r>
        <w:rPr>
          <w:lang w:val="es-ES_tradnl"/>
        </w:rPr>
        <w:t xml:space="preserve">Paso </w:t>
      </w:r>
      <w:r w:rsidRPr="000E1448">
        <w:rPr>
          <w:lang w:val="es-ES_tradnl"/>
        </w:rPr>
        <w:t>16</w:t>
      </w:r>
      <w:r>
        <w:rPr>
          <w:lang w:val="es-ES_tradnl"/>
        </w:rPr>
        <w:t>:</w:t>
      </w:r>
      <w:r>
        <w:rPr>
          <w:lang w:val="es-ES_tradnl"/>
        </w:rPr>
        <w:tab/>
      </w:r>
      <w:r w:rsidRPr="000E1448">
        <w:rPr>
          <w:lang w:val="es-ES_tradnl"/>
        </w:rPr>
        <w:t>Si la interferencia media combinada</w:t>
      </w:r>
      <w:r w:rsidRPr="000E1448">
        <w:rPr>
          <w:i/>
          <w:iCs/>
          <w:lang w:val="es-ES_tradnl"/>
        </w:rPr>
        <w:t xml:space="preserve"> I </w:t>
      </w:r>
      <w:r w:rsidRPr="000E1448">
        <w:rPr>
          <w:lang w:val="es-ES_tradnl"/>
        </w:rPr>
        <w:t xml:space="preserve">supera el valor umbral del SRA se incrementa el cómputo de observaciones interferidas, </w:t>
      </w:r>
      <w:r w:rsidRPr="00D85C0E">
        <w:rPr>
          <w:i/>
          <w:lang w:val="es-ES_tradnl"/>
        </w:rPr>
        <w:t>M</w:t>
      </w:r>
      <w:r>
        <w:rPr>
          <w:lang w:val="es-ES_tradnl"/>
        </w:rPr>
        <w:t>.</w:t>
      </w:r>
    </w:p>
    <w:p w:rsidR="006A2558" w:rsidRPr="000E1448" w:rsidRDefault="006A2558" w:rsidP="006A2558">
      <w:pPr>
        <w:pStyle w:val="enumlev1"/>
        <w:rPr>
          <w:lang w:val="es-ES_tradnl"/>
        </w:rPr>
      </w:pPr>
      <w:r>
        <w:rPr>
          <w:lang w:val="es-ES_tradnl"/>
        </w:rPr>
        <w:t xml:space="preserve">Paso </w:t>
      </w:r>
      <w:r w:rsidRPr="000E1448">
        <w:rPr>
          <w:lang w:val="es-ES_tradnl"/>
        </w:rPr>
        <w:t>17</w:t>
      </w:r>
      <w:r>
        <w:rPr>
          <w:lang w:val="es-ES_tradnl"/>
        </w:rPr>
        <w:t>:</w:t>
      </w:r>
      <w:r>
        <w:rPr>
          <w:lang w:val="es-ES_tradnl"/>
        </w:rPr>
        <w:tab/>
      </w:r>
      <w:r w:rsidRPr="000E1448">
        <w:rPr>
          <w:lang w:val="es-ES_tradnl"/>
        </w:rPr>
        <w:t xml:space="preserve">Se incrementa el cómputo de muestras, </w:t>
      </w:r>
      <w:r w:rsidRPr="00D85C0E">
        <w:rPr>
          <w:i/>
          <w:lang w:val="es-ES_tradnl"/>
        </w:rPr>
        <w:t>N</w:t>
      </w:r>
      <w:r>
        <w:rPr>
          <w:lang w:val="es-ES_tradnl"/>
        </w:rPr>
        <w:t>.</w:t>
      </w:r>
    </w:p>
    <w:p w:rsidR="006A2558" w:rsidRPr="000E1448" w:rsidRDefault="006A2558" w:rsidP="006A2558">
      <w:pPr>
        <w:pStyle w:val="enumlev1"/>
        <w:rPr>
          <w:lang w:val="es-ES_tradnl"/>
        </w:rPr>
      </w:pPr>
      <w:r>
        <w:rPr>
          <w:lang w:val="es-ES_tradnl"/>
        </w:rPr>
        <w:t xml:space="preserve">Paso </w:t>
      </w:r>
      <w:r w:rsidRPr="000E1448">
        <w:rPr>
          <w:lang w:val="es-ES_tradnl"/>
        </w:rPr>
        <w:t>18</w:t>
      </w:r>
      <w:r>
        <w:rPr>
          <w:lang w:val="es-ES_tradnl"/>
        </w:rPr>
        <w:t>:</w:t>
      </w:r>
      <w:r w:rsidRPr="000E1448">
        <w:rPr>
          <w:lang w:val="es-ES_tradnl"/>
        </w:rPr>
        <w:tab/>
        <w:t xml:space="preserve">Se calcula la probabilidad de que una observación reciba interferencia, </w:t>
      </w:r>
      <w:r w:rsidRPr="000E1448">
        <w:rPr>
          <w:i/>
          <w:iCs/>
          <w:lang w:val="es-ES_tradnl"/>
        </w:rPr>
        <w:t>P</w:t>
      </w:r>
      <w:r w:rsidRPr="000E1448">
        <w:rPr>
          <w:i/>
          <w:iCs/>
          <w:vertAlign w:val="subscript"/>
          <w:lang w:val="es-ES_tradnl"/>
        </w:rPr>
        <w:t>ob</w:t>
      </w:r>
      <w:r w:rsidRPr="000E1448">
        <w:rPr>
          <w:lang w:val="es-ES_tradnl"/>
        </w:rPr>
        <w:t xml:space="preserve"> = 100</w:t>
      </w:r>
      <w:r>
        <w:rPr>
          <w:lang w:val="es-ES_tradnl"/>
        </w:rPr>
        <w:t> </w:t>
      </w:r>
      <w:r w:rsidRPr="000E1448">
        <w:rPr>
          <w:lang w:val="es-ES_tradnl"/>
        </w:rPr>
        <w:t>M/N.</w:t>
      </w:r>
    </w:p>
    <w:p w:rsidR="006A2558" w:rsidRPr="000E1448" w:rsidRDefault="006A2558" w:rsidP="006A2558">
      <w:pPr>
        <w:pStyle w:val="Note"/>
        <w:rPr>
          <w:lang w:val="es-ES_tradnl"/>
        </w:rPr>
      </w:pPr>
      <w:r w:rsidRPr="000E1448">
        <w:rPr>
          <w:lang w:val="es-ES_tradnl"/>
        </w:rPr>
        <w:t>NOTA</w:t>
      </w:r>
      <w:r>
        <w:rPr>
          <w:lang w:val="es-ES_tradnl"/>
        </w:rPr>
        <w:t> </w:t>
      </w:r>
      <w:r w:rsidRPr="000E1448">
        <w:rPr>
          <w:lang w:val="es-ES_tradnl"/>
        </w:rPr>
        <w:t>1</w:t>
      </w:r>
      <w:r>
        <w:rPr>
          <w:lang w:val="es-ES_tradnl"/>
        </w:rPr>
        <w:t> </w:t>
      </w:r>
      <w:r w:rsidRPr="000E1448">
        <w:rPr>
          <w:lang w:val="es-ES_tradnl"/>
        </w:rPr>
        <w:t>–</w:t>
      </w:r>
      <w:r>
        <w:rPr>
          <w:lang w:val="es-ES_tradnl"/>
        </w:rPr>
        <w:t> </w:t>
      </w:r>
      <w:r w:rsidRPr="000E1448">
        <w:rPr>
          <w:lang w:val="es-ES_tradnl"/>
        </w:rPr>
        <w:t>Número de muestras necesario para que la prueba tenga significación estadística.</w:t>
      </w:r>
    </w:p>
    <w:p w:rsidR="006A2558" w:rsidRPr="000E1448" w:rsidRDefault="006A2558" w:rsidP="006A2558">
      <w:pPr>
        <w:rPr>
          <w:lang w:val="es-ES_tradnl"/>
        </w:rPr>
      </w:pPr>
      <w:r w:rsidRPr="000E1448">
        <w:rPr>
          <w:lang w:val="es-ES_tradnl"/>
        </w:rPr>
        <w:t xml:space="preserve">Un método para determinar la significación de los resultados es la prueba de distribución </w:t>
      </w:r>
      <w:r w:rsidRPr="000E1448">
        <w:rPr>
          <w:i/>
          <w:lang w:val="es-ES_tradnl"/>
        </w:rPr>
        <w:t>t</w:t>
      </w:r>
      <w:r w:rsidRPr="000E1448">
        <w:rPr>
          <w:lang w:val="es-ES_tradnl"/>
        </w:rPr>
        <w:t xml:space="preserve"> de Student. Se basa en calcular el cociente entre la diferencia con respecto a la media de la población y el error típico estimado, es decir:</w:t>
      </w:r>
    </w:p>
    <w:p w:rsidR="006A2558" w:rsidRPr="00226800" w:rsidRDefault="006A2558" w:rsidP="006A2558">
      <w:pPr>
        <w:pStyle w:val="Blanc"/>
        <w:rPr>
          <w:lang w:val="es-ES_tradnl"/>
        </w:rPr>
      </w:pPr>
    </w:p>
    <w:p w:rsidR="006A2558" w:rsidRPr="009613E0" w:rsidRDefault="006A2558" w:rsidP="006A2558">
      <w:pPr>
        <w:pStyle w:val="Equation"/>
      </w:pPr>
      <w:r w:rsidRPr="000E1448">
        <w:rPr>
          <w:lang w:val="es-ES_tradnl"/>
        </w:rPr>
        <w:tab/>
      </w:r>
      <w:r w:rsidRPr="000E1448">
        <w:rPr>
          <w:lang w:val="es-ES_tradnl"/>
        </w:rPr>
        <w:tab/>
      </w:r>
      <w:r w:rsidRPr="009613E0">
        <w:rPr>
          <w:position w:val="-32"/>
        </w:rPr>
        <w:object w:dxaOrig="1240" w:dyaOrig="700">
          <v:shape id="_x0000_i1027" type="#_x0000_t75" style="width:62.5pt;height:35.5pt" o:ole="" fillcolor="window">
            <v:imagedata r:id="rId16" o:title=""/>
          </v:shape>
          <o:OLEObject Type="Embed" ProgID="Equation.3" ShapeID="_x0000_i1027" DrawAspect="Content" ObjectID="_1574161730" r:id="rId17"/>
        </w:object>
      </w:r>
    </w:p>
    <w:p w:rsidR="006A2558" w:rsidRPr="000E1448" w:rsidRDefault="006A2558" w:rsidP="006A2558">
      <w:pPr>
        <w:keepNext/>
        <w:rPr>
          <w:lang w:val="es-ES_tradnl"/>
        </w:rPr>
      </w:pPr>
      <w:r w:rsidRPr="000E1448">
        <w:rPr>
          <w:lang w:val="es-ES_tradnl"/>
        </w:rPr>
        <w:lastRenderedPageBreak/>
        <w:t>donde:</w:t>
      </w:r>
    </w:p>
    <w:p w:rsidR="006A2558" w:rsidRPr="000E1448" w:rsidRDefault="006A2558" w:rsidP="006A2558">
      <w:pPr>
        <w:pStyle w:val="Equationlegend"/>
        <w:rPr>
          <w:lang w:val="es-ES_tradnl"/>
        </w:rPr>
      </w:pPr>
      <w:r w:rsidRPr="000E1448">
        <w:rPr>
          <w:lang w:val="es-ES_tradnl"/>
        </w:rPr>
        <w:tab/>
      </w:r>
      <w:r w:rsidRPr="009613E0">
        <w:rPr>
          <w:position w:val="-6"/>
        </w:rPr>
        <w:object w:dxaOrig="220" w:dyaOrig="260">
          <v:shape id="_x0000_i1028" type="#_x0000_t75" style="width:11.5pt;height:13pt" o:ole="" fillcolor="window">
            <v:imagedata r:id="rId18" o:title=""/>
          </v:shape>
          <o:OLEObject Type="Embed" ProgID="Equation.3" ShapeID="_x0000_i1028" DrawAspect="Content" ObjectID="_1574161731" r:id="rId19"/>
        </w:object>
      </w:r>
      <w:r>
        <w:rPr>
          <w:lang w:val="es-ES_tradnl"/>
        </w:rPr>
        <w:t>:</w:t>
      </w:r>
      <w:r w:rsidRPr="000E1448">
        <w:rPr>
          <w:lang w:val="es-ES_tradnl"/>
        </w:rPr>
        <w:tab/>
        <w:t>media calculada a partir de las muestras</w:t>
      </w:r>
    </w:p>
    <w:p w:rsidR="006A2558" w:rsidRPr="000E1448" w:rsidRDefault="006A2558" w:rsidP="00565305">
      <w:pPr>
        <w:pStyle w:val="Equationlegend"/>
        <w:rPr>
          <w:lang w:val="es-ES_tradnl"/>
        </w:rPr>
      </w:pPr>
      <w:r w:rsidRPr="000E1448">
        <w:rPr>
          <w:lang w:val="es-ES_tradnl"/>
        </w:rPr>
        <w:tab/>
      </w:r>
      <w:r w:rsidR="00565305">
        <w:rPr>
          <w:lang w:val="es-ES_tradnl"/>
        </w:rPr>
        <w:sym w:font="Symbol" w:char="F06D"/>
      </w:r>
      <w:r>
        <w:rPr>
          <w:lang w:val="es-ES_tradnl"/>
        </w:rPr>
        <w:t>:</w:t>
      </w:r>
      <w:r w:rsidRPr="000E1448">
        <w:rPr>
          <w:lang w:val="es-ES_tradnl"/>
        </w:rPr>
        <w:tab/>
        <w:t>media de población total</w:t>
      </w:r>
    </w:p>
    <w:p w:rsidR="006A2558" w:rsidRPr="000E1448" w:rsidRDefault="006A2558" w:rsidP="00565305">
      <w:pPr>
        <w:pStyle w:val="Equationlegend"/>
        <w:rPr>
          <w:lang w:val="es-ES_tradnl"/>
        </w:rPr>
      </w:pPr>
      <w:r w:rsidRPr="000E1448">
        <w:rPr>
          <w:lang w:val="es-ES_tradnl"/>
        </w:rPr>
        <w:tab/>
      </w:r>
      <w:r w:rsidR="00565305" w:rsidRPr="00565305">
        <w:rPr>
          <w:i/>
          <w:iCs/>
          <w:lang w:val="es-ES_tradnl"/>
        </w:rPr>
        <w:t>s</w:t>
      </w:r>
      <w:r w:rsidR="00565305" w:rsidRPr="00565305">
        <w:rPr>
          <w:i/>
          <w:iCs/>
          <w:vertAlign w:val="subscript"/>
          <w:lang w:val="es-ES_tradnl"/>
        </w:rPr>
        <w:t>n</w:t>
      </w:r>
      <w:r w:rsidR="00565305" w:rsidRPr="00565305">
        <w:rPr>
          <w:vertAlign w:val="subscript"/>
          <w:lang w:val="es-ES_tradnl"/>
        </w:rPr>
        <w:t>–1</w:t>
      </w:r>
      <w:r>
        <w:rPr>
          <w:lang w:val="es-ES_tradnl"/>
        </w:rPr>
        <w:t>:</w:t>
      </w:r>
      <w:r w:rsidRPr="000E1448">
        <w:rPr>
          <w:lang w:val="es-ES_tradnl"/>
        </w:rPr>
        <w:tab/>
        <w:t>desviación típica de la muestra</w:t>
      </w:r>
    </w:p>
    <w:p w:rsidR="006A2558" w:rsidRPr="000E1448" w:rsidRDefault="006A2558" w:rsidP="006A2558">
      <w:pPr>
        <w:pStyle w:val="Equationlegend"/>
        <w:rPr>
          <w:lang w:val="es-ES_tradnl"/>
        </w:rPr>
      </w:pPr>
      <w:r w:rsidRPr="000E1448">
        <w:rPr>
          <w:lang w:val="es-ES_tradnl"/>
        </w:rPr>
        <w:tab/>
      </w:r>
      <w:r w:rsidRPr="000E1448">
        <w:rPr>
          <w:i/>
          <w:iCs/>
          <w:lang w:val="es-ES_tradnl"/>
        </w:rPr>
        <w:t>n</w:t>
      </w:r>
      <w:r>
        <w:rPr>
          <w:lang w:val="es-ES_tradnl"/>
        </w:rPr>
        <w:t>:</w:t>
      </w:r>
      <w:r w:rsidRPr="000E1448">
        <w:rPr>
          <w:lang w:val="es-ES_tradnl"/>
        </w:rPr>
        <w:tab/>
        <w:t>tamaño de la muestra.</w:t>
      </w:r>
    </w:p>
    <w:p w:rsidR="006A2558" w:rsidRPr="000E1448" w:rsidRDefault="006A2558" w:rsidP="00565305">
      <w:pPr>
        <w:rPr>
          <w:lang w:val="es-ES_tradnl"/>
        </w:rPr>
      </w:pPr>
      <w:r w:rsidRPr="000E1448">
        <w:rPr>
          <w:lang w:val="es-ES_tradnl"/>
        </w:rPr>
        <w:t xml:space="preserve">A continuación puede compararse este número con la probabilidad de la distribución </w:t>
      </w:r>
      <w:r w:rsidRPr="000E1448">
        <w:rPr>
          <w:i/>
          <w:lang w:val="es-ES_tradnl"/>
        </w:rPr>
        <w:t>t</w:t>
      </w:r>
      <w:r w:rsidRPr="000E1448">
        <w:rPr>
          <w:lang w:val="es-ES_tradnl"/>
        </w:rPr>
        <w:t xml:space="preserve"> de una hipótesis (por ejemplo, que </w:t>
      </w:r>
      <w:r w:rsidR="00565305">
        <w:rPr>
          <w:lang w:val="es-ES_tradnl"/>
        </w:rPr>
        <w:sym w:font="Symbol" w:char="F06D"/>
      </w:r>
      <w:r w:rsidR="00565305">
        <w:rPr>
          <w:lang w:val="es-ES_tradnl"/>
        </w:rPr>
        <w:t> &gt; </w:t>
      </w:r>
      <w:r w:rsidR="00565305" w:rsidRPr="00565305">
        <w:rPr>
          <w:lang w:val="es-ES_tradnl"/>
        </w:rPr>
        <w:t>2%</w:t>
      </w:r>
      <w:r w:rsidRPr="000E1448">
        <w:rPr>
          <w:lang w:val="es-ES_tradnl"/>
        </w:rPr>
        <w:t>) hasta el nivel de certidumbre requerido.</w:t>
      </w:r>
    </w:p>
    <w:p w:rsidR="006A2558" w:rsidRPr="000E1448" w:rsidRDefault="006A2558" w:rsidP="006A2558">
      <w:pPr>
        <w:rPr>
          <w:lang w:val="es-ES_tradnl"/>
        </w:rPr>
      </w:pPr>
      <w:r w:rsidRPr="000E1448">
        <w:rPr>
          <w:lang w:val="es-ES_tradnl"/>
        </w:rPr>
        <w:t>Los siguientes pasos muestran cómo puede realizarse el algoritmo:</w:t>
      </w:r>
    </w:p>
    <w:p w:rsidR="006A2558" w:rsidRPr="000E1448" w:rsidRDefault="006A2558" w:rsidP="006A2558">
      <w:pPr>
        <w:pStyle w:val="enumlev1"/>
        <w:ind w:left="1191" w:hanging="1191"/>
        <w:rPr>
          <w:lang w:val="es-ES_tradnl"/>
        </w:rPr>
      </w:pPr>
      <w:r>
        <w:rPr>
          <w:lang w:val="es-ES_tradnl"/>
        </w:rPr>
        <w:t xml:space="preserve">Paso </w:t>
      </w:r>
      <w:r w:rsidRPr="000E1448">
        <w:rPr>
          <w:lang w:val="es-ES_tradnl"/>
        </w:rPr>
        <w:t>1</w:t>
      </w:r>
      <w:r>
        <w:rPr>
          <w:lang w:val="es-ES_tradnl"/>
        </w:rPr>
        <w:t>:</w:t>
      </w:r>
      <w:r>
        <w:rPr>
          <w:lang w:val="es-ES_tradnl"/>
        </w:rPr>
        <w:tab/>
      </w:r>
      <w:r w:rsidRPr="000E1448">
        <w:rPr>
          <w:lang w:val="es-ES_tradnl"/>
        </w:rPr>
        <w:tab/>
        <w:t xml:space="preserve">Se fija la simulación para determinar la probabilidad </w:t>
      </w:r>
      <w:r w:rsidRPr="000E1448">
        <w:rPr>
          <w:i/>
          <w:iCs/>
          <w:lang w:val="es-ES_tradnl"/>
        </w:rPr>
        <w:t>I</w:t>
      </w:r>
      <w:r w:rsidRPr="000E1448">
        <w:rPr>
          <w:lang w:val="es-ES_tradnl"/>
        </w:rPr>
        <w:t xml:space="preserve"> rebasada cada 1 000 pasos de tiempo</w:t>
      </w:r>
      <w:r>
        <w:rPr>
          <w:lang w:val="es-ES_tradnl"/>
        </w:rPr>
        <w:t>.</w:t>
      </w:r>
    </w:p>
    <w:p w:rsidR="006A2558" w:rsidRPr="000E1448" w:rsidRDefault="006A2558" w:rsidP="006A2558">
      <w:pPr>
        <w:pStyle w:val="enumlev1"/>
        <w:rPr>
          <w:lang w:val="es-ES_tradnl"/>
        </w:rPr>
      </w:pPr>
      <w:r>
        <w:rPr>
          <w:lang w:val="es-ES_tradnl"/>
        </w:rPr>
        <w:t xml:space="preserve">Paso </w:t>
      </w:r>
      <w:r w:rsidRPr="000E1448">
        <w:rPr>
          <w:lang w:val="es-ES_tradnl"/>
        </w:rPr>
        <w:t>2</w:t>
      </w:r>
      <w:r>
        <w:rPr>
          <w:lang w:val="es-ES_tradnl"/>
        </w:rPr>
        <w:t>:</w:t>
      </w:r>
      <w:r w:rsidRPr="000E1448">
        <w:rPr>
          <w:lang w:val="es-ES_tradnl"/>
        </w:rPr>
        <w:tab/>
      </w:r>
      <w:r>
        <w:rPr>
          <w:lang w:val="es-ES_tradnl"/>
        </w:rPr>
        <w:tab/>
      </w:r>
      <w:r w:rsidRPr="000E1448">
        <w:rPr>
          <w:lang w:val="es-ES_tradnl"/>
        </w:rPr>
        <w:t>Se ejecuta para 5 conjuntos de 1 000 pasos de tiempo</w:t>
      </w:r>
      <w:r>
        <w:rPr>
          <w:lang w:val="es-ES_tradnl"/>
        </w:rPr>
        <w:t>.</w:t>
      </w:r>
      <w:r w:rsidRPr="000E1448">
        <w:rPr>
          <w:lang w:val="es-ES_tradnl"/>
        </w:rPr>
        <w:t xml:space="preserve"> </w:t>
      </w:r>
    </w:p>
    <w:p w:rsidR="006A2558" w:rsidRPr="000E1448" w:rsidRDefault="006A2558" w:rsidP="006A2558">
      <w:pPr>
        <w:pStyle w:val="enumlev1"/>
        <w:ind w:left="1191" w:hanging="1191"/>
        <w:rPr>
          <w:lang w:val="es-ES_tradnl"/>
        </w:rPr>
      </w:pPr>
      <w:r>
        <w:rPr>
          <w:lang w:val="es-ES_tradnl"/>
        </w:rPr>
        <w:t xml:space="preserve">Paso </w:t>
      </w:r>
      <w:r w:rsidRPr="000E1448">
        <w:rPr>
          <w:lang w:val="es-ES_tradnl"/>
        </w:rPr>
        <w:t>3</w:t>
      </w:r>
      <w:r>
        <w:rPr>
          <w:lang w:val="es-ES_tradnl"/>
        </w:rPr>
        <w:t>:</w:t>
      </w:r>
      <w:r w:rsidRPr="000E1448">
        <w:rPr>
          <w:lang w:val="es-ES_tradnl"/>
        </w:rPr>
        <w:tab/>
      </w:r>
      <w:r>
        <w:rPr>
          <w:lang w:val="es-ES_tradnl"/>
        </w:rPr>
        <w:tab/>
      </w:r>
      <w:r w:rsidRPr="000E1448">
        <w:rPr>
          <w:lang w:val="es-ES_tradnl"/>
        </w:rPr>
        <w:t xml:space="preserve">Se fijan los datos de prueba para obtener una significación </w:t>
      </w:r>
      <w:r w:rsidRPr="000E1448">
        <w:rPr>
          <w:i/>
          <w:lang w:val="es-ES_tradnl"/>
        </w:rPr>
        <w:t>t</w:t>
      </w:r>
      <w:r w:rsidRPr="000E1448">
        <w:rPr>
          <w:lang w:val="es-ES_tradnl"/>
        </w:rPr>
        <w:t xml:space="preserve"> hasta el nivel de certidumbre requerido</w:t>
      </w:r>
      <w:r>
        <w:rPr>
          <w:lang w:val="es-ES_tradnl"/>
        </w:rPr>
        <w:t>.</w:t>
      </w:r>
    </w:p>
    <w:p w:rsidR="006A2558" w:rsidRPr="000E1448" w:rsidRDefault="006A2558" w:rsidP="006A2558">
      <w:pPr>
        <w:pStyle w:val="enumlev1"/>
        <w:rPr>
          <w:lang w:val="es-ES_tradnl"/>
        </w:rPr>
      </w:pPr>
      <w:r>
        <w:rPr>
          <w:lang w:val="es-ES_tradnl"/>
        </w:rPr>
        <w:t xml:space="preserve">Paso </w:t>
      </w:r>
      <w:r w:rsidRPr="000E1448">
        <w:rPr>
          <w:lang w:val="es-ES_tradnl"/>
        </w:rPr>
        <w:t>4</w:t>
      </w:r>
      <w:r>
        <w:rPr>
          <w:lang w:val="es-ES_tradnl"/>
        </w:rPr>
        <w:t>:</w:t>
      </w:r>
      <w:r w:rsidRPr="000E1448">
        <w:rPr>
          <w:lang w:val="es-ES_tradnl"/>
        </w:rPr>
        <w:tab/>
      </w:r>
      <w:r>
        <w:rPr>
          <w:lang w:val="es-ES_tradnl"/>
        </w:rPr>
        <w:tab/>
      </w:r>
      <w:r w:rsidRPr="000E1448">
        <w:rPr>
          <w:lang w:val="es-ES_tradnl"/>
        </w:rPr>
        <w:t xml:space="preserve">Si no es significativo, se ejecutan otros 1 000 pasos y se vuelve al </w:t>
      </w:r>
      <w:r>
        <w:rPr>
          <w:lang w:val="es-ES_tradnl"/>
        </w:rPr>
        <w:t>P</w:t>
      </w:r>
      <w:r w:rsidRPr="000E1448">
        <w:rPr>
          <w:lang w:val="es-ES_tradnl"/>
        </w:rPr>
        <w:t>aso 3</w:t>
      </w:r>
      <w:r>
        <w:rPr>
          <w:lang w:val="es-ES_tradnl"/>
        </w:rPr>
        <w:t>.</w:t>
      </w:r>
    </w:p>
    <w:p w:rsidR="006A2558" w:rsidRPr="000E1448" w:rsidRDefault="006A2558" w:rsidP="006A2558">
      <w:pPr>
        <w:pStyle w:val="enumlev1"/>
        <w:rPr>
          <w:lang w:val="es-ES_tradnl"/>
        </w:rPr>
      </w:pPr>
      <w:r>
        <w:rPr>
          <w:lang w:val="es-ES_tradnl"/>
        </w:rPr>
        <w:t xml:space="preserve">Paso </w:t>
      </w:r>
      <w:r w:rsidRPr="000E1448">
        <w:rPr>
          <w:lang w:val="es-ES_tradnl"/>
        </w:rPr>
        <w:t>5</w:t>
      </w:r>
      <w:r>
        <w:rPr>
          <w:lang w:val="es-ES_tradnl"/>
        </w:rPr>
        <w:t>:</w:t>
      </w:r>
      <w:r w:rsidRPr="000E1448">
        <w:rPr>
          <w:lang w:val="es-ES_tradnl"/>
        </w:rPr>
        <w:tab/>
      </w:r>
      <w:r>
        <w:rPr>
          <w:lang w:val="es-ES_tradnl"/>
        </w:rPr>
        <w:tab/>
      </w:r>
      <w:r w:rsidRPr="000E1448">
        <w:rPr>
          <w:lang w:val="es-ES_tradnl"/>
        </w:rPr>
        <w:t>Cuando sea significativo se informa de los resultados.</w:t>
      </w:r>
    </w:p>
    <w:p w:rsidR="006A2558" w:rsidRPr="000E1448" w:rsidRDefault="006A2558" w:rsidP="006A2558">
      <w:pPr>
        <w:pStyle w:val="Note"/>
        <w:rPr>
          <w:lang w:val="es-ES_tradnl"/>
        </w:rPr>
      </w:pPr>
      <w:r w:rsidRPr="000E1448">
        <w:rPr>
          <w:lang w:val="es-ES_tradnl"/>
        </w:rPr>
        <w:t>NOTA</w:t>
      </w:r>
      <w:r>
        <w:rPr>
          <w:lang w:val="es-ES_tradnl"/>
        </w:rPr>
        <w:t> </w:t>
      </w:r>
      <w:r w:rsidRPr="000E1448">
        <w:rPr>
          <w:lang w:val="es-ES_tradnl"/>
        </w:rPr>
        <w:t>2</w:t>
      </w:r>
      <w:r>
        <w:rPr>
          <w:lang w:val="es-ES_tradnl"/>
        </w:rPr>
        <w:t> </w:t>
      </w:r>
      <w:r w:rsidRPr="000E1448">
        <w:rPr>
          <w:lang w:val="es-ES_tradnl"/>
        </w:rPr>
        <w:t>–</w:t>
      </w:r>
      <w:r>
        <w:rPr>
          <w:lang w:val="es-ES_tradnl"/>
        </w:rPr>
        <w:t> </w:t>
      </w:r>
      <w:r w:rsidRPr="000E1448">
        <w:rPr>
          <w:lang w:val="es-ES_tradnl"/>
        </w:rPr>
        <w:t>Debe utilizarse la Recomendación UIT-R P.452.</w:t>
      </w:r>
    </w:p>
    <w:p w:rsidR="006A2558" w:rsidRPr="000E1448" w:rsidRDefault="006A2558" w:rsidP="006A2558">
      <w:pPr>
        <w:rPr>
          <w:lang w:val="es-ES_tradnl"/>
        </w:rPr>
      </w:pPr>
      <w:r w:rsidRPr="000E1448">
        <w:rPr>
          <w:lang w:val="es-ES_tradnl"/>
        </w:rPr>
        <w:t xml:space="preserve">El porcentaje de tiempo </w:t>
      </w:r>
      <w:r w:rsidRPr="00D85C0E">
        <w:rPr>
          <w:i/>
          <w:lang w:val="es-ES_tradnl"/>
        </w:rPr>
        <w:t>P</w:t>
      </w:r>
      <w:r w:rsidRPr="000E1448">
        <w:rPr>
          <w:lang w:val="es-ES_tradnl"/>
        </w:rPr>
        <w:t xml:space="preserve"> de la Recomendación UIT</w:t>
      </w:r>
      <w:r w:rsidRPr="000E1448">
        <w:rPr>
          <w:lang w:val="es-ES_tradnl"/>
        </w:rPr>
        <w:noBreakHyphen/>
        <w:t>R P.452 es un número aleatorio perteneciente a una distribución uniforme entre el 0 y el 100%. Para que sea compatible con las gamas de probabilidad aceptadas por la metodología en esta Recomendación deben aplicarse los siguientes límites:</w:t>
      </w:r>
    </w:p>
    <w:p w:rsidR="006A2558" w:rsidRPr="000E1448" w:rsidRDefault="006A2558" w:rsidP="006A2558">
      <w:pPr>
        <w:pStyle w:val="enumlev1"/>
        <w:rPr>
          <w:lang w:val="es-ES_tradnl"/>
        </w:rPr>
      </w:pPr>
      <w:r w:rsidRPr="000E1448">
        <w:rPr>
          <w:lang w:val="es-ES_tradnl"/>
        </w:rPr>
        <w:t>–</w:t>
      </w:r>
      <w:r w:rsidRPr="000E1448">
        <w:rPr>
          <w:lang w:val="es-ES_tradnl"/>
        </w:rPr>
        <w:tab/>
        <w:t xml:space="preserve">si </w:t>
      </w:r>
      <w:r w:rsidRPr="00D85C0E">
        <w:rPr>
          <w:i/>
          <w:lang w:val="es-ES_tradnl"/>
        </w:rPr>
        <w:t>P</w:t>
      </w:r>
      <w:r w:rsidRPr="000E1448">
        <w:rPr>
          <w:lang w:val="es-ES_tradnl"/>
        </w:rPr>
        <w:t xml:space="preserve"> es mayor que el 50%, se fija </w:t>
      </w:r>
      <w:r w:rsidRPr="00D85C0E">
        <w:rPr>
          <w:i/>
          <w:lang w:val="es-ES_tradnl"/>
        </w:rPr>
        <w:t>P</w:t>
      </w:r>
      <w:r w:rsidRPr="000E1448">
        <w:rPr>
          <w:lang w:val="es-ES_tradnl"/>
        </w:rPr>
        <w:t xml:space="preserve"> = 50%;</w:t>
      </w:r>
    </w:p>
    <w:p w:rsidR="006A2558" w:rsidRPr="000E1448" w:rsidRDefault="006A2558" w:rsidP="006A2558">
      <w:pPr>
        <w:pStyle w:val="enumlev1"/>
        <w:rPr>
          <w:lang w:val="es-ES_tradnl"/>
        </w:rPr>
      </w:pPr>
      <w:r w:rsidRPr="000E1448">
        <w:rPr>
          <w:lang w:val="es-ES_tradnl"/>
        </w:rPr>
        <w:t>–</w:t>
      </w:r>
      <w:r w:rsidRPr="000E1448">
        <w:rPr>
          <w:lang w:val="es-ES_tradnl"/>
        </w:rPr>
        <w:tab/>
        <w:t xml:space="preserve">si </w:t>
      </w:r>
      <w:r w:rsidRPr="00D85C0E">
        <w:rPr>
          <w:i/>
          <w:lang w:val="es-ES_tradnl"/>
        </w:rPr>
        <w:t>P</w:t>
      </w:r>
      <w:r w:rsidRPr="000E1448">
        <w:rPr>
          <w:lang w:val="es-ES_tradnl"/>
        </w:rPr>
        <w:t xml:space="preserve"> es menor que el 0,001%, se fija </w:t>
      </w:r>
      <w:r w:rsidRPr="00D85C0E">
        <w:rPr>
          <w:i/>
          <w:lang w:val="es-ES_tradnl"/>
        </w:rPr>
        <w:t>P</w:t>
      </w:r>
      <w:r w:rsidRPr="000E1448">
        <w:rPr>
          <w:lang w:val="es-ES_tradnl"/>
        </w:rPr>
        <w:t xml:space="preserve"> = 0,001%.</w:t>
      </w:r>
    </w:p>
    <w:p w:rsidR="006A2558" w:rsidRPr="000E1448" w:rsidRDefault="006A2558" w:rsidP="006A2558">
      <w:pPr>
        <w:rPr>
          <w:lang w:val="es-ES_tradnl"/>
        </w:rPr>
      </w:pPr>
      <w:r w:rsidRPr="000E1448">
        <w:rPr>
          <w:lang w:val="es-ES_tradnl"/>
        </w:rPr>
        <w:t>Cuando se dispone de bases de datos del terreno y de los ecos parásitos, deben utilizarse para calcular las pérdidas de la Recomendación UIT</w:t>
      </w:r>
      <w:r w:rsidRPr="000E1448">
        <w:rPr>
          <w:lang w:val="es-ES_tradnl"/>
        </w:rPr>
        <w:noBreakHyphen/>
        <w:t>R P.452.</w:t>
      </w:r>
    </w:p>
    <w:p w:rsidR="006A2558" w:rsidRPr="000E1448" w:rsidRDefault="006A2558" w:rsidP="006A2558">
      <w:pPr>
        <w:pStyle w:val="Heading1"/>
        <w:rPr>
          <w:lang w:val="es-ES_tradnl"/>
        </w:rPr>
      </w:pPr>
      <w:bookmarkStart w:id="17" w:name="_Toc151539983"/>
      <w:r w:rsidRPr="000E1448">
        <w:rPr>
          <w:lang w:val="es-ES_tradnl"/>
        </w:rPr>
        <w:t>5</w:t>
      </w:r>
      <w:r w:rsidRPr="000E1448">
        <w:rPr>
          <w:lang w:val="es-ES_tradnl"/>
        </w:rPr>
        <w:tab/>
        <w:t>Resultado de la metodología</w:t>
      </w:r>
      <w:bookmarkEnd w:id="17"/>
    </w:p>
    <w:p w:rsidR="006A2558" w:rsidRPr="000E1448" w:rsidRDefault="006A2558" w:rsidP="006A2558">
      <w:pPr>
        <w:rPr>
          <w:lang w:val="es-ES_tradnl"/>
        </w:rPr>
      </w:pPr>
      <w:r w:rsidRPr="000E1448">
        <w:rPr>
          <w:lang w:val="es-ES_tradnl"/>
        </w:rPr>
        <w:t xml:space="preserve">El resultado de la metodología es la obtención de la probabilidad de que una observación reciba interferencia, </w:t>
      </w:r>
      <w:r w:rsidRPr="00D85C0E">
        <w:rPr>
          <w:i/>
          <w:lang w:val="es-ES_tradnl"/>
        </w:rPr>
        <w:t>P</w:t>
      </w:r>
      <w:r w:rsidRPr="00D85C0E">
        <w:rPr>
          <w:i/>
          <w:vertAlign w:val="subscript"/>
          <w:lang w:val="es-ES_tradnl"/>
        </w:rPr>
        <w:t>ob</w:t>
      </w:r>
      <w:r w:rsidRPr="000E1448">
        <w:rPr>
          <w:lang w:val="es-ES_tradnl"/>
        </w:rPr>
        <w:t>.</w:t>
      </w:r>
    </w:p>
    <w:p w:rsidR="006A2558" w:rsidRPr="000E1448" w:rsidRDefault="006A2558" w:rsidP="006A2558">
      <w:pPr>
        <w:rPr>
          <w:lang w:val="es-ES_tradnl"/>
        </w:rPr>
      </w:pPr>
      <w:r w:rsidRPr="000E1448">
        <w:rPr>
          <w:lang w:val="es-ES_tradnl"/>
        </w:rPr>
        <w:t>Este valor puede compararse con la probabilidad aceptable de que la observación reciba interferencia, a saber, el 2% para una red P-MP HDFS.</w:t>
      </w:r>
    </w:p>
    <w:p w:rsidR="006A2558" w:rsidRPr="000E1448" w:rsidRDefault="006A2558" w:rsidP="006A2558">
      <w:pPr>
        <w:rPr>
          <w:lang w:val="es-ES_tradnl"/>
        </w:rPr>
      </w:pPr>
      <w:r w:rsidRPr="000E1448">
        <w:rPr>
          <w:lang w:val="es-ES_tradnl"/>
        </w:rPr>
        <w:t>Por consiguiente, para proteger el emplazamiento del SRA debe cumplirse la siguiente condición:</w:t>
      </w:r>
    </w:p>
    <w:p w:rsidR="006A2558" w:rsidRPr="00226800" w:rsidRDefault="006A2558" w:rsidP="006A2558">
      <w:pPr>
        <w:pStyle w:val="Blanc"/>
        <w:rPr>
          <w:lang w:val="es-ES_tradnl"/>
        </w:rPr>
      </w:pPr>
    </w:p>
    <w:p w:rsidR="006A2558" w:rsidRPr="000E1448" w:rsidRDefault="006A2558" w:rsidP="006A2558">
      <w:pPr>
        <w:pStyle w:val="Equation"/>
        <w:spacing w:before="240"/>
        <w:rPr>
          <w:lang w:val="es-ES_tradnl"/>
        </w:rPr>
      </w:pPr>
      <w:r w:rsidRPr="000E1448">
        <w:rPr>
          <w:lang w:val="es-ES_tradnl"/>
        </w:rPr>
        <w:tab/>
      </w:r>
      <w:r w:rsidRPr="000E1448">
        <w:rPr>
          <w:lang w:val="es-ES_tradnl"/>
        </w:rPr>
        <w:tab/>
      </w:r>
      <w:r w:rsidRPr="00D85C0E">
        <w:rPr>
          <w:i/>
          <w:lang w:val="es-ES_tradnl"/>
        </w:rPr>
        <w:t>P</w:t>
      </w:r>
      <w:r w:rsidRPr="00D85C0E">
        <w:rPr>
          <w:i/>
          <w:vertAlign w:val="subscript"/>
          <w:lang w:val="es-ES_tradnl"/>
        </w:rPr>
        <w:t>ob</w:t>
      </w:r>
      <w:r w:rsidRPr="000E1448">
        <w:rPr>
          <w:lang w:val="es-ES_tradnl"/>
        </w:rPr>
        <w:t xml:space="preserve"> </w:t>
      </w:r>
      <w:r w:rsidRPr="009613E0">
        <w:sym w:font="Symbol" w:char="F0A3"/>
      </w:r>
      <w:r w:rsidRPr="000E1448">
        <w:rPr>
          <w:lang w:val="es-ES_tradnl"/>
        </w:rPr>
        <w:t xml:space="preserve"> 2%</w:t>
      </w:r>
      <w:r w:rsidRPr="000E1448">
        <w:rPr>
          <w:lang w:val="es-ES_tradnl"/>
        </w:rPr>
        <w:tab/>
        <w:t>(2)</w:t>
      </w:r>
    </w:p>
    <w:p w:rsidR="006A2558" w:rsidRPr="00AF1F8D" w:rsidRDefault="006A2558" w:rsidP="006A2558">
      <w:pPr>
        <w:pStyle w:val="AppendixNoTitle"/>
        <w:rPr>
          <w:lang w:val="es-ES_tradnl"/>
        </w:rPr>
      </w:pPr>
      <w:bookmarkStart w:id="18" w:name="_Toc151539984"/>
      <w:r>
        <w:rPr>
          <w:lang w:val="es-ES_tradnl"/>
        </w:rPr>
        <w:lastRenderedPageBreak/>
        <w:t>Adjunto</w:t>
      </w:r>
      <w:r w:rsidRPr="00AF1F8D">
        <w:rPr>
          <w:lang w:val="es-ES_tradnl"/>
        </w:rPr>
        <w:t xml:space="preserve"> 1</w:t>
      </w:r>
      <w:r w:rsidRPr="00AF1F8D">
        <w:rPr>
          <w:lang w:val="es-ES_tradnl"/>
        </w:rPr>
        <w:br/>
      </w:r>
      <w:r>
        <w:rPr>
          <w:lang w:val="es-ES_tradnl"/>
        </w:rPr>
        <w:t>al</w:t>
      </w:r>
      <w:r w:rsidRPr="00AF1F8D">
        <w:rPr>
          <w:lang w:val="es-ES_tradnl"/>
        </w:rPr>
        <w:t xml:space="preserve"> Anexo 1</w:t>
      </w:r>
      <w:r w:rsidRPr="00AF1F8D">
        <w:rPr>
          <w:lang w:val="es-ES_tradnl"/>
        </w:rPr>
        <w:br/>
      </w:r>
      <w:r w:rsidRPr="00AF1F8D">
        <w:rPr>
          <w:lang w:val="es-ES_tradnl"/>
        </w:rPr>
        <w:br/>
        <w:t>Ejemplo de cálculo</w:t>
      </w:r>
      <w:bookmarkEnd w:id="18"/>
    </w:p>
    <w:p w:rsidR="006A2558" w:rsidRPr="000E1448" w:rsidRDefault="006A2558" w:rsidP="00565305">
      <w:pPr>
        <w:pStyle w:val="Normalaftertitle"/>
        <w:keepNext/>
        <w:keepLines/>
        <w:rPr>
          <w:lang w:val="es-ES_tradnl"/>
        </w:rPr>
      </w:pPr>
      <w:r w:rsidRPr="000E1448">
        <w:rPr>
          <w:lang w:val="es-ES_tradnl"/>
        </w:rPr>
        <w:t xml:space="preserve">En este </w:t>
      </w:r>
      <w:r>
        <w:rPr>
          <w:lang w:val="es-ES_tradnl"/>
        </w:rPr>
        <w:t>Adjunto</w:t>
      </w:r>
      <w:r w:rsidRPr="000E1448">
        <w:rPr>
          <w:lang w:val="es-ES_tradnl"/>
        </w:rPr>
        <w:t xml:space="preserve"> aparece un ejemplo de utilización de la metodología del Anexo 1 para determinar la probabilidad de que una observación realizada en Jodrell Bank esté expuesta a la interferencia procedente de una instalación a gran escala de redes P-MP HDFS.</w:t>
      </w:r>
    </w:p>
    <w:p w:rsidR="006A2558" w:rsidRPr="000E1448" w:rsidRDefault="006A2558" w:rsidP="006A2558">
      <w:pPr>
        <w:pStyle w:val="Headingb"/>
        <w:rPr>
          <w:lang w:val="es-ES_tradnl"/>
        </w:rPr>
      </w:pPr>
      <w:r w:rsidRPr="000E1448">
        <w:rPr>
          <w:lang w:val="es-ES_tradnl"/>
        </w:rPr>
        <w:t>Modelo del SRA</w:t>
      </w:r>
    </w:p>
    <w:p w:rsidR="006A2558" w:rsidRDefault="006A2558" w:rsidP="006A2558">
      <w:pPr>
        <w:rPr>
          <w:lang w:val="es-ES_tradnl"/>
        </w:rPr>
      </w:pPr>
      <w:r w:rsidRPr="000E1448">
        <w:rPr>
          <w:lang w:val="es-ES_tradnl"/>
        </w:rPr>
        <w:t>Los parámetros del Cuadro 3 fueron los datos de partida del modelo de Jodrell Bank.</w:t>
      </w:r>
    </w:p>
    <w:p w:rsidR="006A2558" w:rsidRPr="000E1448" w:rsidRDefault="006A2558" w:rsidP="006A2558">
      <w:pPr>
        <w:pStyle w:val="TableNo"/>
        <w:rPr>
          <w:lang w:val="es-ES_tradnl"/>
        </w:rPr>
      </w:pPr>
      <w:r w:rsidRPr="000E1448">
        <w:rPr>
          <w:lang w:val="es-ES_tradnl"/>
        </w:rPr>
        <w:t>CUADRO 3</w:t>
      </w:r>
    </w:p>
    <w:p w:rsidR="006A2558" w:rsidRPr="000E1448" w:rsidRDefault="006A2558" w:rsidP="006A2558">
      <w:pPr>
        <w:pStyle w:val="Tabletitle"/>
        <w:rPr>
          <w:lang w:val="es-ES_tradnl"/>
        </w:rPr>
      </w:pPr>
      <w:r w:rsidRPr="000E1448">
        <w:rPr>
          <w:lang w:val="es-ES_tradnl"/>
        </w:rPr>
        <w:t>Parámetros de partida del SRA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3686"/>
      </w:tblGrid>
      <w:tr w:rsidR="006A2558" w:rsidRPr="009613E0" w:rsidTr="00A42416">
        <w:trPr>
          <w:jc w:val="center"/>
        </w:trPr>
        <w:tc>
          <w:tcPr>
            <w:tcW w:w="3686" w:type="dxa"/>
          </w:tcPr>
          <w:p w:rsidR="006A2558" w:rsidRPr="009613E0" w:rsidRDefault="006A2558" w:rsidP="00A42416">
            <w:pPr>
              <w:pStyle w:val="Tabletext"/>
              <w:rPr>
                <w:lang w:val="es-ES_tradnl"/>
              </w:rPr>
            </w:pPr>
            <w:r>
              <w:rPr>
                <w:lang w:val="es-ES_tradnl"/>
              </w:rPr>
              <w:t>Banda de frecuencias</w:t>
            </w:r>
          </w:p>
        </w:tc>
        <w:tc>
          <w:tcPr>
            <w:tcW w:w="3686" w:type="dxa"/>
          </w:tcPr>
          <w:p w:rsidR="006A2558" w:rsidRPr="009613E0" w:rsidRDefault="006A2558" w:rsidP="00A42416">
            <w:pPr>
              <w:pStyle w:val="Tabletext"/>
              <w:rPr>
                <w:lang w:val="es-ES_tradnl"/>
              </w:rPr>
            </w:pPr>
            <w:r w:rsidRPr="009613E0">
              <w:rPr>
                <w:lang w:val="es-ES_tradnl"/>
              </w:rPr>
              <w:t>43 GHz</w:t>
            </w:r>
          </w:p>
        </w:tc>
      </w:tr>
      <w:tr w:rsidR="006A2558" w:rsidRPr="009613E0" w:rsidTr="00A42416">
        <w:trPr>
          <w:jc w:val="center"/>
        </w:trPr>
        <w:tc>
          <w:tcPr>
            <w:tcW w:w="3686" w:type="dxa"/>
          </w:tcPr>
          <w:p w:rsidR="006A2558" w:rsidRPr="009613E0" w:rsidRDefault="006A2558" w:rsidP="00A42416">
            <w:pPr>
              <w:pStyle w:val="Tabletext"/>
              <w:rPr>
                <w:lang w:val="es-ES_tradnl"/>
              </w:rPr>
            </w:pPr>
            <w:r w:rsidRPr="009613E0">
              <w:rPr>
                <w:lang w:val="es-ES_tradnl"/>
              </w:rPr>
              <w:t>Tipo de observació</w:t>
            </w:r>
            <w:r>
              <w:rPr>
                <w:lang w:val="es-ES_tradnl"/>
              </w:rPr>
              <w:t>n</w:t>
            </w:r>
          </w:p>
        </w:tc>
        <w:tc>
          <w:tcPr>
            <w:tcW w:w="3686" w:type="dxa"/>
          </w:tcPr>
          <w:p w:rsidR="006A2558" w:rsidRPr="009613E0" w:rsidRDefault="006A2558" w:rsidP="00A42416">
            <w:pPr>
              <w:pStyle w:val="Tabletext"/>
              <w:rPr>
                <w:lang w:val="es-ES_tradnl"/>
              </w:rPr>
            </w:pPr>
            <w:r w:rsidRPr="009613E0">
              <w:rPr>
                <w:lang w:val="es-ES_tradnl"/>
              </w:rPr>
              <w:t xml:space="preserve">Análisis del continuum </w:t>
            </w:r>
          </w:p>
        </w:tc>
      </w:tr>
      <w:tr w:rsidR="006A2558" w:rsidRPr="009613E0" w:rsidTr="00A42416">
        <w:trPr>
          <w:jc w:val="center"/>
        </w:trPr>
        <w:tc>
          <w:tcPr>
            <w:tcW w:w="3686" w:type="dxa"/>
          </w:tcPr>
          <w:p w:rsidR="006A2558" w:rsidRPr="009613E0" w:rsidRDefault="006A2558" w:rsidP="00A42416">
            <w:pPr>
              <w:pStyle w:val="Tabletext"/>
              <w:rPr>
                <w:lang w:val="es-ES_tradnl"/>
              </w:rPr>
            </w:pPr>
            <w:r w:rsidRPr="009613E0">
              <w:rPr>
                <w:lang w:val="es-ES_tradnl"/>
              </w:rPr>
              <w:t>Mínima elevación</w:t>
            </w:r>
          </w:p>
        </w:tc>
        <w:tc>
          <w:tcPr>
            <w:tcW w:w="3686" w:type="dxa"/>
          </w:tcPr>
          <w:p w:rsidR="006A2558" w:rsidRPr="009613E0" w:rsidRDefault="006A2558" w:rsidP="00A42416">
            <w:pPr>
              <w:pStyle w:val="Tabletext"/>
              <w:rPr>
                <w:lang w:val="es-ES_tradnl"/>
              </w:rPr>
            </w:pPr>
            <w:r w:rsidRPr="009613E0">
              <w:rPr>
                <w:lang w:val="es-ES_tradnl"/>
              </w:rPr>
              <w:t>5</w:t>
            </w:r>
            <w:r w:rsidRPr="009613E0">
              <w:rPr>
                <w:lang w:val="es-ES_tradnl"/>
              </w:rPr>
              <w:sym w:font="Symbol" w:char="F0B0"/>
            </w:r>
          </w:p>
        </w:tc>
      </w:tr>
      <w:tr w:rsidR="006A2558" w:rsidRPr="009613E0" w:rsidTr="00A42416">
        <w:trPr>
          <w:jc w:val="center"/>
        </w:trPr>
        <w:tc>
          <w:tcPr>
            <w:tcW w:w="3686" w:type="dxa"/>
          </w:tcPr>
          <w:p w:rsidR="006A2558" w:rsidRPr="009613E0" w:rsidRDefault="006A2558" w:rsidP="00A42416">
            <w:pPr>
              <w:pStyle w:val="Tabletext"/>
              <w:rPr>
                <w:lang w:val="es-ES_tradnl"/>
              </w:rPr>
            </w:pPr>
            <w:r>
              <w:rPr>
                <w:lang w:val="es-ES_tradnl"/>
              </w:rPr>
              <w:t>Latitud del emplazamiento</w:t>
            </w:r>
          </w:p>
        </w:tc>
        <w:tc>
          <w:tcPr>
            <w:tcW w:w="3686" w:type="dxa"/>
          </w:tcPr>
          <w:p w:rsidR="006A2558" w:rsidRPr="009613E0" w:rsidRDefault="006A2558" w:rsidP="00565305">
            <w:pPr>
              <w:pStyle w:val="Tabletext"/>
              <w:rPr>
                <w:lang w:val="es-ES_tradnl"/>
              </w:rPr>
            </w:pPr>
            <w:r w:rsidRPr="009613E0">
              <w:rPr>
                <w:lang w:val="es-ES_tradnl"/>
              </w:rPr>
              <w:t>+53</w:t>
            </w:r>
            <w:r w:rsidRPr="009613E0">
              <w:rPr>
                <w:lang w:val="es-ES_tradnl"/>
              </w:rPr>
              <w:sym w:font="Symbol" w:char="F0B0"/>
            </w:r>
            <w:r w:rsidRPr="009613E0">
              <w:rPr>
                <w:lang w:val="es-ES_tradnl"/>
              </w:rPr>
              <w:t xml:space="preserve"> 14</w:t>
            </w:r>
            <w:r w:rsidR="00565305">
              <w:rPr>
                <w:lang w:val="es-ES_tradnl"/>
              </w:rPr>
              <w:t>'</w:t>
            </w:r>
            <w:r w:rsidRPr="009613E0">
              <w:rPr>
                <w:lang w:val="es-ES_tradnl"/>
              </w:rPr>
              <w:t xml:space="preserve"> 1</w:t>
            </w:r>
            <w:r>
              <w:rPr>
                <w:lang w:val="es-ES_tradnl"/>
              </w:rPr>
              <w:t>,</w:t>
            </w:r>
            <w:r w:rsidRPr="009613E0">
              <w:rPr>
                <w:lang w:val="es-ES_tradnl"/>
              </w:rPr>
              <w:t>2</w:t>
            </w:r>
            <w:r w:rsidR="00565305">
              <w:rPr>
                <w:lang w:val="es-ES_tradnl"/>
              </w:rPr>
              <w:t>"</w:t>
            </w:r>
          </w:p>
        </w:tc>
      </w:tr>
      <w:tr w:rsidR="006A2558" w:rsidRPr="009613E0" w:rsidTr="00A42416">
        <w:trPr>
          <w:jc w:val="center"/>
        </w:trPr>
        <w:tc>
          <w:tcPr>
            <w:tcW w:w="3686" w:type="dxa"/>
          </w:tcPr>
          <w:p w:rsidR="006A2558" w:rsidRPr="009613E0" w:rsidRDefault="006A2558" w:rsidP="00A42416">
            <w:pPr>
              <w:pStyle w:val="Tabletext"/>
              <w:rPr>
                <w:lang w:val="es-ES_tradnl"/>
              </w:rPr>
            </w:pPr>
            <w:r>
              <w:rPr>
                <w:lang w:val="es-ES_tradnl"/>
              </w:rPr>
              <w:t>Longitud del emplazamiento</w:t>
            </w:r>
          </w:p>
        </w:tc>
        <w:tc>
          <w:tcPr>
            <w:tcW w:w="3686" w:type="dxa"/>
          </w:tcPr>
          <w:p w:rsidR="006A2558" w:rsidRPr="009613E0" w:rsidRDefault="006A2558" w:rsidP="00565305">
            <w:pPr>
              <w:pStyle w:val="Tabletext"/>
              <w:rPr>
                <w:lang w:val="es-ES_tradnl"/>
              </w:rPr>
            </w:pPr>
            <w:r w:rsidRPr="009613E0">
              <w:rPr>
                <w:lang w:val="es-ES_tradnl"/>
              </w:rPr>
              <w:t>–02</w:t>
            </w:r>
            <w:r w:rsidRPr="009613E0">
              <w:rPr>
                <w:lang w:val="es-ES_tradnl"/>
              </w:rPr>
              <w:sym w:font="Symbol" w:char="F0B0"/>
            </w:r>
            <w:r w:rsidRPr="009613E0">
              <w:rPr>
                <w:lang w:val="es-ES_tradnl"/>
              </w:rPr>
              <w:t xml:space="preserve"> 18</w:t>
            </w:r>
            <w:r w:rsidR="00565305">
              <w:rPr>
                <w:lang w:val="es-ES_tradnl"/>
              </w:rPr>
              <w:t>'</w:t>
            </w:r>
            <w:r w:rsidRPr="009613E0">
              <w:rPr>
                <w:lang w:val="es-ES_tradnl"/>
              </w:rPr>
              <w:t xml:space="preserve"> 8,9</w:t>
            </w:r>
            <w:r w:rsidR="00565305">
              <w:rPr>
                <w:lang w:val="es-ES_tradnl"/>
              </w:rPr>
              <w:t>"</w:t>
            </w:r>
          </w:p>
        </w:tc>
      </w:tr>
      <w:tr w:rsidR="006A2558" w:rsidRPr="009613E0" w:rsidTr="00A42416">
        <w:trPr>
          <w:jc w:val="center"/>
        </w:trPr>
        <w:tc>
          <w:tcPr>
            <w:tcW w:w="3686" w:type="dxa"/>
          </w:tcPr>
          <w:p w:rsidR="006A2558" w:rsidRPr="009613E0" w:rsidRDefault="006A2558" w:rsidP="00A42416">
            <w:pPr>
              <w:pStyle w:val="Tabletext"/>
              <w:rPr>
                <w:lang w:val="es-ES_tradnl"/>
              </w:rPr>
            </w:pPr>
            <w:r>
              <w:rPr>
                <w:lang w:val="es-ES_tradnl"/>
              </w:rPr>
              <w:t>Altura de la antena</w:t>
            </w:r>
          </w:p>
        </w:tc>
        <w:tc>
          <w:tcPr>
            <w:tcW w:w="3686" w:type="dxa"/>
          </w:tcPr>
          <w:p w:rsidR="006A2558" w:rsidRPr="009613E0" w:rsidRDefault="006A2558" w:rsidP="00A42416">
            <w:pPr>
              <w:pStyle w:val="Tabletext"/>
              <w:rPr>
                <w:lang w:val="es-ES_tradnl"/>
              </w:rPr>
            </w:pPr>
            <w:r w:rsidRPr="009613E0">
              <w:rPr>
                <w:lang w:val="es-ES_tradnl"/>
              </w:rPr>
              <w:t>30 m sobre el suelo</w:t>
            </w:r>
          </w:p>
        </w:tc>
      </w:tr>
      <w:tr w:rsidR="006A2558" w:rsidRPr="009613E0" w:rsidTr="00A42416">
        <w:trPr>
          <w:jc w:val="center"/>
        </w:trPr>
        <w:tc>
          <w:tcPr>
            <w:tcW w:w="3686" w:type="dxa"/>
          </w:tcPr>
          <w:p w:rsidR="006A2558" w:rsidRPr="009613E0" w:rsidRDefault="006A2558" w:rsidP="00A42416">
            <w:pPr>
              <w:pStyle w:val="Tabletext"/>
              <w:rPr>
                <w:lang w:val="es-ES_tradnl"/>
              </w:rPr>
            </w:pPr>
            <w:r>
              <w:rPr>
                <w:lang w:val="es-ES_tradnl"/>
              </w:rPr>
              <w:t>Modelo de diagrama de ganancia</w:t>
            </w:r>
          </w:p>
        </w:tc>
        <w:tc>
          <w:tcPr>
            <w:tcW w:w="3686" w:type="dxa"/>
          </w:tcPr>
          <w:p w:rsidR="006A2558" w:rsidRPr="009613E0" w:rsidRDefault="006A2558" w:rsidP="00A42416">
            <w:pPr>
              <w:pStyle w:val="Tabletext"/>
              <w:rPr>
                <w:lang w:val="es-ES_tradnl"/>
              </w:rPr>
            </w:pPr>
            <w:r w:rsidRPr="009613E0">
              <w:rPr>
                <w:lang w:val="es-ES_tradnl"/>
              </w:rPr>
              <w:t>Rec. UIT-R S.1428</w:t>
            </w:r>
          </w:p>
        </w:tc>
      </w:tr>
    </w:tbl>
    <w:p w:rsidR="006A2558" w:rsidRDefault="006A2558" w:rsidP="006A2558">
      <w:pPr>
        <w:pStyle w:val="Tablefin"/>
      </w:pPr>
    </w:p>
    <w:p w:rsidR="006A2558" w:rsidRDefault="006A2558" w:rsidP="006A2558">
      <w:pPr>
        <w:rPr>
          <w:lang w:val="es-ES_tradnl"/>
        </w:rPr>
      </w:pPr>
      <w:r w:rsidRPr="009613E0">
        <w:rPr>
          <w:lang w:val="es-ES_tradnl"/>
        </w:rPr>
        <w:t xml:space="preserve">A partir del tipo de observación y </w:t>
      </w:r>
      <w:r>
        <w:rPr>
          <w:lang w:val="es-ES_tradnl"/>
        </w:rPr>
        <w:t xml:space="preserve">de </w:t>
      </w:r>
      <w:r w:rsidRPr="009613E0">
        <w:rPr>
          <w:lang w:val="es-ES_tradnl"/>
        </w:rPr>
        <w:t>la frecuencia se obtuvieron de las Recomendaciones UIT</w:t>
      </w:r>
      <w:r w:rsidRPr="009613E0">
        <w:rPr>
          <w:lang w:val="es-ES_tradnl"/>
        </w:rPr>
        <w:noBreakHyphen/>
        <w:t>R</w:t>
      </w:r>
      <w:r>
        <w:rPr>
          <w:lang w:val="es-ES_tradnl"/>
        </w:rPr>
        <w:t> </w:t>
      </w:r>
      <w:r w:rsidRPr="009613E0">
        <w:rPr>
          <w:lang w:val="es-ES_tradnl"/>
        </w:rPr>
        <w:t>RA.769 y UIT-R</w:t>
      </w:r>
      <w:r>
        <w:rPr>
          <w:lang w:val="es-ES_tradnl"/>
        </w:rPr>
        <w:t> </w:t>
      </w:r>
      <w:r w:rsidRPr="009613E0">
        <w:rPr>
          <w:lang w:val="es-ES_tradnl"/>
        </w:rPr>
        <w:t>RA.1513</w:t>
      </w:r>
      <w:r>
        <w:rPr>
          <w:lang w:val="es-ES_tradnl"/>
        </w:rPr>
        <w:t xml:space="preserve"> </w:t>
      </w:r>
      <w:r w:rsidRPr="009613E0">
        <w:rPr>
          <w:lang w:val="es-ES_tradnl"/>
        </w:rPr>
        <w:t>los umbrales de interferencia del Cuadro 4.</w:t>
      </w:r>
    </w:p>
    <w:p w:rsidR="006A2558" w:rsidRPr="009613E0" w:rsidRDefault="006A2558" w:rsidP="006A2558">
      <w:pPr>
        <w:pStyle w:val="TableNo"/>
      </w:pPr>
      <w:r w:rsidRPr="009613E0">
        <w:t>CUADRO 4</w:t>
      </w:r>
    </w:p>
    <w:p w:rsidR="006A2558" w:rsidRPr="009613E0" w:rsidRDefault="006A2558" w:rsidP="006A2558">
      <w:pPr>
        <w:pStyle w:val="Tabletitle"/>
      </w:pPr>
      <w:r w:rsidRPr="009613E0">
        <w:t>Umbrales del SRA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3686"/>
      </w:tblGrid>
      <w:tr w:rsidR="006A2558" w:rsidRPr="009613E0" w:rsidTr="00A42416">
        <w:trPr>
          <w:jc w:val="center"/>
        </w:trPr>
        <w:tc>
          <w:tcPr>
            <w:tcW w:w="3686" w:type="dxa"/>
          </w:tcPr>
          <w:p w:rsidR="006A2558" w:rsidRPr="009613E0" w:rsidRDefault="006A2558" w:rsidP="00A42416">
            <w:pPr>
              <w:pStyle w:val="Tabletext"/>
              <w:keepNext/>
              <w:jc w:val="left"/>
              <w:rPr>
                <w:lang w:val="es-ES_tradnl"/>
              </w:rPr>
            </w:pPr>
            <w:r w:rsidRPr="009613E0">
              <w:rPr>
                <w:lang w:val="es-ES_tradnl"/>
              </w:rPr>
              <w:t>Umbral de la interferencia media</w:t>
            </w:r>
            <w:r>
              <w:rPr>
                <w:lang w:val="es-ES_tradnl"/>
              </w:rPr>
              <w:t xml:space="preserve"> durante 2 000 s de observación</w:t>
            </w:r>
          </w:p>
        </w:tc>
        <w:tc>
          <w:tcPr>
            <w:tcW w:w="3686" w:type="dxa"/>
          </w:tcPr>
          <w:p w:rsidR="006A2558" w:rsidRPr="009613E0" w:rsidRDefault="006A2558" w:rsidP="00A42416">
            <w:pPr>
              <w:pStyle w:val="Tabletext"/>
              <w:keepNext/>
              <w:rPr>
                <w:lang w:val="es-ES_tradnl"/>
              </w:rPr>
            </w:pPr>
            <w:r w:rsidRPr="009613E0">
              <w:rPr>
                <w:lang w:val="es-ES_tradnl"/>
              </w:rPr>
              <w:t>–220,6 dB(W/MHz)</w:t>
            </w:r>
          </w:p>
        </w:tc>
      </w:tr>
      <w:tr w:rsidR="006A2558" w:rsidRPr="009613E0" w:rsidTr="00A42416">
        <w:trPr>
          <w:jc w:val="center"/>
        </w:trPr>
        <w:tc>
          <w:tcPr>
            <w:tcW w:w="3686" w:type="dxa"/>
          </w:tcPr>
          <w:p w:rsidR="006A2558" w:rsidRPr="009613E0" w:rsidRDefault="006A2558" w:rsidP="00A42416">
            <w:pPr>
              <w:pStyle w:val="Tabletext"/>
              <w:jc w:val="left"/>
              <w:rPr>
                <w:lang w:val="es-ES_tradnl"/>
              </w:rPr>
            </w:pPr>
            <w:r w:rsidRPr="009613E0">
              <w:rPr>
                <w:lang w:val="es-ES_tradnl"/>
              </w:rPr>
              <w:t xml:space="preserve">Probabilidad aceptable de que la observación reciba interferencia, </w:t>
            </w:r>
            <w:r w:rsidRPr="00D85C0E">
              <w:rPr>
                <w:i/>
                <w:lang w:val="es-ES_tradnl"/>
              </w:rPr>
              <w:t>P</w:t>
            </w:r>
            <w:r w:rsidRPr="00D85C0E">
              <w:rPr>
                <w:i/>
                <w:vertAlign w:val="subscript"/>
                <w:lang w:val="es-ES_tradnl"/>
              </w:rPr>
              <w:t>ob</w:t>
            </w:r>
          </w:p>
        </w:tc>
        <w:tc>
          <w:tcPr>
            <w:tcW w:w="3686" w:type="dxa"/>
          </w:tcPr>
          <w:p w:rsidR="006A2558" w:rsidRPr="009613E0" w:rsidRDefault="006A2558" w:rsidP="00A42416">
            <w:pPr>
              <w:pStyle w:val="Tabletext"/>
              <w:rPr>
                <w:lang w:val="es-ES_tradnl"/>
              </w:rPr>
            </w:pPr>
            <w:r w:rsidRPr="009613E0">
              <w:rPr>
                <w:lang w:val="es-ES_tradnl"/>
              </w:rPr>
              <w:t>2%</w:t>
            </w:r>
          </w:p>
        </w:tc>
      </w:tr>
    </w:tbl>
    <w:p w:rsidR="006A2558" w:rsidRDefault="006A2558" w:rsidP="006A2558">
      <w:pPr>
        <w:pStyle w:val="Tablefin"/>
      </w:pPr>
    </w:p>
    <w:p w:rsidR="006A2558" w:rsidRDefault="006A2558" w:rsidP="006A2558">
      <w:pPr>
        <w:rPr>
          <w:lang w:val="es-ES_tradnl"/>
        </w:rPr>
      </w:pPr>
      <w:r w:rsidRPr="009613E0">
        <w:rPr>
          <w:lang w:val="es-ES_tradnl"/>
        </w:rPr>
        <w:t xml:space="preserve">Para el mínimo ángulo de elevación y un periodo de observación de 2 000 s, se obtuvieron las gamas de acimut y ángulo de elevación de la antena </w:t>
      </w:r>
      <w:r>
        <w:rPr>
          <w:lang w:val="es-ES_tradnl"/>
        </w:rPr>
        <w:t xml:space="preserve">que figuran en </w:t>
      </w:r>
      <w:r w:rsidRPr="009613E0">
        <w:rPr>
          <w:lang w:val="es-ES_tradnl"/>
        </w:rPr>
        <w:t>el Cuadro 5.</w:t>
      </w:r>
    </w:p>
    <w:p w:rsidR="006A2558" w:rsidRPr="000E1448" w:rsidRDefault="006A2558" w:rsidP="006A2558">
      <w:pPr>
        <w:pStyle w:val="TableNo"/>
        <w:rPr>
          <w:lang w:val="es-ES_tradnl"/>
        </w:rPr>
      </w:pPr>
      <w:bookmarkStart w:id="19" w:name="recibido"/>
      <w:bookmarkEnd w:id="19"/>
      <w:r w:rsidRPr="000E1448">
        <w:rPr>
          <w:lang w:val="es-ES_tradnl"/>
        </w:rPr>
        <w:t>CUADRO 5</w:t>
      </w:r>
    </w:p>
    <w:p w:rsidR="006A2558" w:rsidRPr="000E1448" w:rsidRDefault="006A2558" w:rsidP="006A2558">
      <w:pPr>
        <w:pStyle w:val="Tabletitle"/>
        <w:rPr>
          <w:lang w:val="es-ES_tradnl"/>
        </w:rPr>
      </w:pPr>
      <w:r w:rsidRPr="000E1448">
        <w:rPr>
          <w:lang w:val="es-ES_tradnl"/>
        </w:rPr>
        <w:t>Gama de acimut y ángulos de elevación del SRA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9"/>
        <w:gridCol w:w="1701"/>
        <w:gridCol w:w="1704"/>
      </w:tblGrid>
      <w:tr w:rsidR="006A2558" w:rsidTr="00A42416">
        <w:trPr>
          <w:jc w:val="center"/>
        </w:trPr>
        <w:tc>
          <w:tcPr>
            <w:tcW w:w="2259" w:type="dxa"/>
          </w:tcPr>
          <w:p w:rsidR="006A2558" w:rsidRPr="000E1448" w:rsidRDefault="006A2558" w:rsidP="00A42416">
            <w:pPr>
              <w:pStyle w:val="Tablehead"/>
              <w:rPr>
                <w:lang w:val="es-ES_tradnl"/>
              </w:rPr>
            </w:pPr>
          </w:p>
        </w:tc>
        <w:tc>
          <w:tcPr>
            <w:tcW w:w="1701" w:type="dxa"/>
          </w:tcPr>
          <w:p w:rsidR="006A2558" w:rsidRDefault="006A2558" w:rsidP="00A42416">
            <w:pPr>
              <w:pStyle w:val="Tablehead"/>
            </w:pPr>
            <w:r>
              <w:t>Inicio</w:t>
            </w:r>
          </w:p>
        </w:tc>
        <w:tc>
          <w:tcPr>
            <w:tcW w:w="1704" w:type="dxa"/>
          </w:tcPr>
          <w:p w:rsidR="006A2558" w:rsidRDefault="006A2558" w:rsidP="00A42416">
            <w:pPr>
              <w:pStyle w:val="Tablehead"/>
            </w:pPr>
            <w:r>
              <w:t>Fin</w:t>
            </w:r>
          </w:p>
        </w:tc>
      </w:tr>
      <w:tr w:rsidR="006A2558" w:rsidTr="00A42416">
        <w:trPr>
          <w:jc w:val="center"/>
        </w:trPr>
        <w:tc>
          <w:tcPr>
            <w:tcW w:w="2259" w:type="dxa"/>
          </w:tcPr>
          <w:p w:rsidR="006A2558" w:rsidRDefault="006A2558" w:rsidP="00A42416">
            <w:pPr>
              <w:pStyle w:val="Tabletext"/>
              <w:jc w:val="center"/>
            </w:pPr>
            <w:r>
              <w:t>Acimut</w:t>
            </w:r>
          </w:p>
        </w:tc>
        <w:tc>
          <w:tcPr>
            <w:tcW w:w="1701" w:type="dxa"/>
          </w:tcPr>
          <w:p w:rsidR="006A2558" w:rsidRDefault="006A2558" w:rsidP="00A42416">
            <w:pPr>
              <w:pStyle w:val="Tabletext"/>
              <w:jc w:val="center"/>
            </w:pPr>
            <w:r>
              <w:t>0</w:t>
            </w:r>
            <w:r>
              <w:sym w:font="Symbol" w:char="F0B0"/>
            </w:r>
          </w:p>
        </w:tc>
        <w:tc>
          <w:tcPr>
            <w:tcW w:w="1704" w:type="dxa"/>
          </w:tcPr>
          <w:p w:rsidR="006A2558" w:rsidRDefault="006A2558" w:rsidP="00A42416">
            <w:pPr>
              <w:pStyle w:val="Tabletext"/>
              <w:jc w:val="center"/>
            </w:pPr>
            <w:r>
              <w:t>0</w:t>
            </w:r>
            <w:r>
              <w:sym w:font="Symbol" w:char="F0B0"/>
            </w:r>
          </w:p>
        </w:tc>
      </w:tr>
      <w:tr w:rsidR="006A2558" w:rsidTr="00A42416">
        <w:trPr>
          <w:jc w:val="center"/>
        </w:trPr>
        <w:tc>
          <w:tcPr>
            <w:tcW w:w="2259" w:type="dxa"/>
            <w:tcBorders>
              <w:bottom w:val="single" w:sz="4" w:space="0" w:color="auto"/>
            </w:tcBorders>
          </w:tcPr>
          <w:p w:rsidR="006A2558" w:rsidRDefault="006A2558" w:rsidP="00A42416">
            <w:pPr>
              <w:pStyle w:val="Tabletext"/>
              <w:jc w:val="center"/>
            </w:pPr>
            <w:r>
              <w:t>Elevación</w:t>
            </w:r>
          </w:p>
        </w:tc>
        <w:tc>
          <w:tcPr>
            <w:tcW w:w="1701" w:type="dxa"/>
            <w:tcBorders>
              <w:bottom w:val="single" w:sz="4" w:space="0" w:color="auto"/>
            </w:tcBorders>
          </w:tcPr>
          <w:p w:rsidR="006A2558" w:rsidRDefault="006A2558" w:rsidP="00A42416">
            <w:pPr>
              <w:pStyle w:val="Tabletext"/>
              <w:jc w:val="center"/>
            </w:pPr>
            <w:r>
              <w:t>5</w:t>
            </w:r>
            <w:r>
              <w:sym w:font="Symbol" w:char="F0B0"/>
            </w:r>
          </w:p>
        </w:tc>
        <w:tc>
          <w:tcPr>
            <w:tcW w:w="1704" w:type="dxa"/>
            <w:tcBorders>
              <w:bottom w:val="single" w:sz="4" w:space="0" w:color="auto"/>
            </w:tcBorders>
          </w:tcPr>
          <w:p w:rsidR="006A2558" w:rsidRDefault="006A2558" w:rsidP="00A42416">
            <w:pPr>
              <w:pStyle w:val="Tabletext"/>
              <w:jc w:val="center"/>
            </w:pPr>
            <w:r>
              <w:t>13,33</w:t>
            </w:r>
            <w:r>
              <w:sym w:font="Symbol" w:char="F0B0"/>
            </w:r>
            <w:r>
              <w:rPr>
                <w:vertAlign w:val="superscript"/>
              </w:rPr>
              <w:t xml:space="preserve"> (1)</w:t>
            </w:r>
          </w:p>
        </w:tc>
      </w:tr>
      <w:tr w:rsidR="006A2558" w:rsidRPr="00064E2D" w:rsidTr="00A42416">
        <w:trPr>
          <w:jc w:val="center"/>
        </w:trPr>
        <w:tc>
          <w:tcPr>
            <w:tcW w:w="5664" w:type="dxa"/>
            <w:gridSpan w:val="3"/>
            <w:tcBorders>
              <w:left w:val="nil"/>
              <w:bottom w:val="nil"/>
              <w:right w:val="nil"/>
            </w:tcBorders>
            <w:tcMar>
              <w:left w:w="0" w:type="dxa"/>
              <w:right w:w="0" w:type="dxa"/>
            </w:tcMar>
          </w:tcPr>
          <w:p w:rsidR="006A2558" w:rsidRPr="007F6F6B" w:rsidRDefault="006A2558" w:rsidP="00A42416">
            <w:pPr>
              <w:pStyle w:val="Tablelegend"/>
              <w:spacing w:before="40" w:after="40"/>
              <w:ind w:right="0" w:hanging="284"/>
              <w:jc w:val="left"/>
              <w:rPr>
                <w:lang w:val="es-ES_tradnl"/>
              </w:rPr>
            </w:pPr>
            <w:r w:rsidRPr="007F6F6B">
              <w:rPr>
                <w:szCs w:val="22"/>
                <w:vertAlign w:val="superscript"/>
                <w:lang w:val="es-ES_tradnl"/>
              </w:rPr>
              <w:t>(1)</w:t>
            </w:r>
            <w:r w:rsidRPr="007F6F6B">
              <w:rPr>
                <w:lang w:val="es-ES_tradnl"/>
              </w:rPr>
              <w:tab/>
              <w:t>En 2 000 s la Tierra gira 8,33</w:t>
            </w:r>
            <w:r>
              <w:sym w:font="Symbol" w:char="F0B0"/>
            </w:r>
            <w:r w:rsidRPr="007F6F6B">
              <w:rPr>
                <w:lang w:val="es-ES_tradnl"/>
              </w:rPr>
              <w:t>, y, por consiguiente, 13,33</w:t>
            </w:r>
            <w:r>
              <w:sym w:font="Symbol" w:char="F0B0"/>
            </w:r>
            <w:r w:rsidRPr="007F6F6B">
              <w:rPr>
                <w:lang w:val="es-ES_tradnl"/>
              </w:rPr>
              <w:t>=</w:t>
            </w:r>
            <w:r>
              <w:rPr>
                <w:lang w:val="es-ES_tradnl"/>
              </w:rPr>
              <w:t> </w:t>
            </w:r>
            <w:r w:rsidRPr="007F6F6B">
              <w:rPr>
                <w:lang w:val="es-ES_tradnl"/>
              </w:rPr>
              <w:t>5</w:t>
            </w:r>
            <w:r>
              <w:sym w:font="Symbol" w:char="F0B0"/>
            </w:r>
            <w:r w:rsidRPr="007F6F6B">
              <w:rPr>
                <w:lang w:val="es-ES_tradnl"/>
              </w:rPr>
              <w:t xml:space="preserve"> + 8,33</w:t>
            </w:r>
            <w:r>
              <w:sym w:font="Symbol" w:char="F0B0"/>
            </w:r>
            <w:r w:rsidRPr="007F6F6B">
              <w:rPr>
                <w:lang w:val="es-ES_tradnl"/>
              </w:rPr>
              <w:t>.</w:t>
            </w:r>
          </w:p>
        </w:tc>
      </w:tr>
    </w:tbl>
    <w:p w:rsidR="006A2558" w:rsidRPr="007F6F6B" w:rsidRDefault="006A2558" w:rsidP="006A2558">
      <w:pPr>
        <w:pStyle w:val="Tablefin"/>
        <w:rPr>
          <w:lang w:val="es-ES_tradnl"/>
        </w:rPr>
      </w:pPr>
    </w:p>
    <w:p w:rsidR="006A2558" w:rsidRDefault="006A2558" w:rsidP="006A2558">
      <w:pPr>
        <w:rPr>
          <w:lang w:val="es-ES_tradnl"/>
        </w:rPr>
      </w:pPr>
      <w:r w:rsidRPr="000E1448">
        <w:rPr>
          <w:lang w:val="es-ES_tradnl"/>
        </w:rPr>
        <w:lastRenderedPageBreak/>
        <w:t>Utilizando un conjunto de puntos de prueba sobre el horizonte cada 3</w:t>
      </w:r>
      <w:r>
        <w:sym w:font="Symbol" w:char="F0B0"/>
      </w:r>
      <w:r w:rsidRPr="000E1448">
        <w:rPr>
          <w:lang w:val="es-ES_tradnl"/>
        </w:rPr>
        <w:t>, se calculó la ganancia media del diagrama de ganancia definido en la Recomendación UIT</w:t>
      </w:r>
      <w:r w:rsidRPr="000E1448">
        <w:rPr>
          <w:lang w:val="es-ES_tradnl"/>
        </w:rPr>
        <w:noBreakHyphen/>
        <w:t>R S.1428, como muestra la Fig. 2.</w:t>
      </w:r>
    </w:p>
    <w:p w:rsidR="006A2558" w:rsidRPr="003F2042" w:rsidRDefault="006A2558" w:rsidP="006A2558">
      <w:pPr>
        <w:pStyle w:val="FigureNo"/>
        <w:rPr>
          <w:lang w:val="es-ES_tradnl"/>
        </w:rPr>
      </w:pPr>
      <w:r w:rsidRPr="003F2042">
        <w:rPr>
          <w:lang w:val="es-ES_tradnl"/>
        </w:rPr>
        <w:t>FIGURA 2</w:t>
      </w:r>
    </w:p>
    <w:p w:rsidR="006A2558" w:rsidRDefault="006A2558" w:rsidP="006A2558">
      <w:pPr>
        <w:pStyle w:val="Figuretitle"/>
        <w:rPr>
          <w:lang w:val="es-ES_tradnl"/>
        </w:rPr>
      </w:pPr>
      <w:r w:rsidRPr="003F2042">
        <w:rPr>
          <w:lang w:val="es-ES_tradnl"/>
        </w:rPr>
        <w:t>Ganancia media de la antena del SRA basada</w:t>
      </w:r>
      <w:r>
        <w:rPr>
          <w:lang w:val="es-ES_tradnl"/>
        </w:rPr>
        <w:br/>
      </w:r>
      <w:r w:rsidRPr="003F2042">
        <w:rPr>
          <w:lang w:val="es-ES_tradnl"/>
        </w:rPr>
        <w:t>en la Recomendaci</w:t>
      </w:r>
      <w:r>
        <w:rPr>
          <w:lang w:val="es-ES_tradnl"/>
        </w:rPr>
        <w:t>ón UIT</w:t>
      </w:r>
      <w:r>
        <w:rPr>
          <w:lang w:val="es-ES_tradnl"/>
        </w:rPr>
        <w:noBreakHyphen/>
        <w:t>R</w:t>
      </w:r>
      <w:r w:rsidRPr="003F2042">
        <w:rPr>
          <w:lang w:val="es-ES_tradnl"/>
        </w:rPr>
        <w:t xml:space="preserve"> S.1428</w:t>
      </w:r>
    </w:p>
    <w:p w:rsidR="006A2558" w:rsidRPr="00D85C0E" w:rsidRDefault="006A2558" w:rsidP="006A2558">
      <w:pPr>
        <w:pStyle w:val="Figure"/>
        <w:rPr>
          <w:lang w:val="es-ES_tradnl"/>
        </w:rPr>
      </w:pPr>
      <w:r>
        <w:object w:dxaOrig="9579" w:dyaOrig="6039">
          <v:shape id="_x0000_i1029" type="#_x0000_t75" style="width:479.5pt;height:302.5pt" o:ole="" o:allowoverlap="f">
            <v:imagedata r:id="rId20" o:title=""/>
          </v:shape>
          <o:OLEObject Type="Embed" ProgID="CorelDraw.Graphic.12" ShapeID="_x0000_i1029" DrawAspect="Content" ObjectID="_1574161732" r:id="rId21"/>
        </w:object>
      </w:r>
    </w:p>
    <w:p w:rsidR="006A2558" w:rsidRPr="000E1448" w:rsidRDefault="006A2558" w:rsidP="006A2558">
      <w:pPr>
        <w:pStyle w:val="Headingb"/>
        <w:rPr>
          <w:lang w:val="es-ES_tradnl"/>
        </w:rPr>
      </w:pPr>
      <w:r w:rsidRPr="000E1448">
        <w:rPr>
          <w:lang w:val="es-ES_tradnl"/>
        </w:rPr>
        <w:t>Modelo P</w:t>
      </w:r>
      <w:r w:rsidRPr="000E1448">
        <w:rPr>
          <w:lang w:val="es-ES_tradnl"/>
        </w:rPr>
        <w:noBreakHyphen/>
        <w:t>MP HDFS</w:t>
      </w:r>
    </w:p>
    <w:p w:rsidR="006A2558" w:rsidRPr="000E1448" w:rsidRDefault="006A2558" w:rsidP="006A2558">
      <w:pPr>
        <w:rPr>
          <w:lang w:val="es-ES_tradnl"/>
        </w:rPr>
      </w:pPr>
      <w:r w:rsidRPr="000E1448">
        <w:rPr>
          <w:lang w:val="es-ES_tradnl"/>
        </w:rPr>
        <w:t>El modelo de referencia utilizado para calcular la distribución de p.i.r.e.c. define las características del P</w:t>
      </w:r>
      <w:r w:rsidRPr="000E1448">
        <w:rPr>
          <w:lang w:val="es-ES_tradnl"/>
        </w:rPr>
        <w:noBreakHyphen/>
        <w:t>MP HDFS. En este caso, se trataba de una red de acceso inalámbrico fijo de banda ancha (BFWA) con antenas de estación de base (EB) de 20 m, dando servicio a clientes comerciales con antenas de 5 m y considerando la dirección del enlace ascendente desde el cliente a la estación de base.</w:t>
      </w:r>
    </w:p>
    <w:p w:rsidR="006A2558" w:rsidRPr="000E1448" w:rsidRDefault="006A2558" w:rsidP="006A2558">
      <w:pPr>
        <w:rPr>
          <w:lang w:val="es-ES_tradnl"/>
        </w:rPr>
      </w:pPr>
      <w:r w:rsidRPr="000E1448">
        <w:rPr>
          <w:lang w:val="es-ES_tradnl"/>
        </w:rPr>
        <w:t xml:space="preserve">El objetivo del análisis era determinar si una ZE basada en un valor de </w:t>
      </w:r>
      <w:r w:rsidRPr="00D85C0E">
        <w:rPr>
          <w:i/>
          <w:lang w:val="es-ES_tradnl"/>
        </w:rPr>
        <w:t>L</w:t>
      </w:r>
      <w:r w:rsidRPr="000E1448">
        <w:rPr>
          <w:vertAlign w:val="subscript"/>
          <w:lang w:val="es-ES_tradnl"/>
        </w:rPr>
        <w:t>452</w:t>
      </w:r>
      <w:r w:rsidRPr="000E1448">
        <w:rPr>
          <w:lang w:val="es-ES_tradnl"/>
        </w:rPr>
        <w:t xml:space="preserve">(10%) </w:t>
      </w:r>
      <w:r>
        <w:sym w:font="Symbol" w:char="F0B3"/>
      </w:r>
      <w:r w:rsidRPr="000E1448">
        <w:rPr>
          <w:lang w:val="es-ES_tradnl"/>
        </w:rPr>
        <w:t xml:space="preserve"> 161 dB sería suficiente para proteger al SRA contra las emisiones </w:t>
      </w:r>
      <w:r>
        <w:rPr>
          <w:lang w:val="es-ES_tradnl"/>
        </w:rPr>
        <w:t>OoB</w:t>
      </w:r>
      <w:r w:rsidRPr="000E1448">
        <w:rPr>
          <w:lang w:val="es-ES_tradnl"/>
        </w:rPr>
        <w:t xml:space="preserve"> de instalaciones a gran escala de este tipo de redes P</w:t>
      </w:r>
      <w:r w:rsidRPr="000E1448">
        <w:rPr>
          <w:lang w:val="es-ES_tradnl"/>
        </w:rPr>
        <w:noBreakHyphen/>
        <w:t>MP HDFS.</w:t>
      </w:r>
    </w:p>
    <w:p w:rsidR="006A2558" w:rsidRDefault="006A2558" w:rsidP="006A2558">
      <w:pPr>
        <w:rPr>
          <w:lang w:val="es-ES_tradnl"/>
        </w:rPr>
      </w:pPr>
      <w:r w:rsidRPr="000E1448">
        <w:rPr>
          <w:lang w:val="es-ES_tradnl"/>
        </w:rPr>
        <w:t>Para obtener la distribución de p.i.r.e.c. de la Fig. 3 como un histograma y una función de distribución acumulativa (FDA) se utilizó el algoritmo que figura en el anteproyecto de nueva Recomendación UIT</w:t>
      </w:r>
      <w:r w:rsidRPr="000E1448">
        <w:rPr>
          <w:lang w:val="es-ES_tradnl"/>
        </w:rPr>
        <w:noBreakHyphen/>
        <w:t>R F.</w:t>
      </w:r>
      <w:r>
        <w:rPr>
          <w:lang w:val="es-ES_tradnl"/>
        </w:rPr>
        <w:t>1760</w:t>
      </w:r>
      <w:r w:rsidRPr="000E1448">
        <w:rPr>
          <w:lang w:val="es-ES_tradnl"/>
        </w:rPr>
        <w:t>.</w:t>
      </w:r>
    </w:p>
    <w:p w:rsidR="006A2558" w:rsidRPr="00B87CBC" w:rsidRDefault="006A2558" w:rsidP="006A2558">
      <w:pPr>
        <w:pStyle w:val="FigureNo"/>
        <w:rPr>
          <w:lang w:val="es-ES_tradnl"/>
        </w:rPr>
      </w:pPr>
      <w:r w:rsidRPr="00B87CBC">
        <w:rPr>
          <w:lang w:val="es-ES_tradnl"/>
        </w:rPr>
        <w:lastRenderedPageBreak/>
        <w:t>FIGURA 3</w:t>
      </w:r>
    </w:p>
    <w:p w:rsidR="006A2558" w:rsidRDefault="006A2558" w:rsidP="006A2558">
      <w:pPr>
        <w:pStyle w:val="Figuretitle"/>
        <w:rPr>
          <w:lang w:val="es-ES_tradnl"/>
        </w:rPr>
      </w:pPr>
      <w:r>
        <w:rPr>
          <w:lang w:val="es-ES_tradnl"/>
        </w:rPr>
        <w:t xml:space="preserve">Histograma y </w:t>
      </w:r>
      <w:r w:rsidRPr="00B87CBC">
        <w:rPr>
          <w:lang w:val="es-ES_tradnl"/>
        </w:rPr>
        <w:t xml:space="preserve">FDA </w:t>
      </w:r>
      <w:r>
        <w:rPr>
          <w:lang w:val="es-ES_tradnl"/>
        </w:rPr>
        <w:t xml:space="preserve">de la p.i.r.e.c. para el modelo de referencia </w:t>
      </w:r>
      <w:r w:rsidRPr="00B87CBC">
        <w:rPr>
          <w:lang w:val="es-ES_tradnl"/>
        </w:rPr>
        <w:t>P-MP HDFS</w:t>
      </w:r>
    </w:p>
    <w:p w:rsidR="006A2558" w:rsidRPr="00D85C0E" w:rsidRDefault="006A2558" w:rsidP="006A2558">
      <w:pPr>
        <w:pStyle w:val="Figure"/>
        <w:rPr>
          <w:lang w:val="es-ES_tradnl"/>
        </w:rPr>
      </w:pPr>
      <w:r>
        <w:object w:dxaOrig="9215" w:dyaOrig="3272">
          <v:shape id="_x0000_i1030" type="#_x0000_t75" style="width:460.5pt;height:163.5pt" o:ole="" o:allowoverlap="f">
            <v:imagedata r:id="rId22" o:title=""/>
          </v:shape>
          <o:OLEObject Type="Embed" ProgID="CorelDraw.Graphic.12" ShapeID="_x0000_i1030" DrawAspect="Content" ObjectID="_1574161733" r:id="rId23"/>
        </w:object>
      </w:r>
    </w:p>
    <w:p w:rsidR="006A2558" w:rsidRPr="000E1448" w:rsidRDefault="006A2558" w:rsidP="006A2558">
      <w:pPr>
        <w:rPr>
          <w:lang w:val="es-ES_tradnl"/>
        </w:rPr>
      </w:pPr>
      <w:r w:rsidRPr="000E1448">
        <w:rPr>
          <w:lang w:val="es-ES_tradnl"/>
        </w:rPr>
        <w:t>Cada bloque de edificios representa todas las transmisiones en una zona de 4 × 4 km.</w:t>
      </w:r>
    </w:p>
    <w:p w:rsidR="006A2558" w:rsidRPr="000E1448" w:rsidRDefault="006A2558" w:rsidP="006A2558">
      <w:pPr>
        <w:rPr>
          <w:lang w:val="es-ES_tradnl"/>
        </w:rPr>
      </w:pPr>
      <w:r w:rsidRPr="000E1448">
        <w:rPr>
          <w:lang w:val="es-ES_tradnl"/>
        </w:rPr>
        <w:t xml:space="preserve">Se consideró que el equipo del cliente se encontraba 5 m sobre el suelo y se estimó una atenuación de la señal </w:t>
      </w:r>
      <w:r>
        <w:rPr>
          <w:lang w:val="es-ES_tradnl"/>
        </w:rPr>
        <w:t>OoB</w:t>
      </w:r>
      <w:r w:rsidRPr="000E1448">
        <w:rPr>
          <w:lang w:val="es-ES_tradnl"/>
        </w:rPr>
        <w:t xml:space="preserve"> de 46,79 dB con respecto a las emisiones en banda.</w:t>
      </w:r>
    </w:p>
    <w:p w:rsidR="006A2558" w:rsidRDefault="006A2558" w:rsidP="006A2558">
      <w:pPr>
        <w:rPr>
          <w:lang w:val="es-ES_tradnl"/>
        </w:rPr>
      </w:pPr>
      <w:r w:rsidRPr="000E1448">
        <w:rPr>
          <w:lang w:val="es-ES_tradnl"/>
        </w:rPr>
        <w:t xml:space="preserve">La ZE de </w:t>
      </w:r>
      <w:r w:rsidRPr="000E1448">
        <w:rPr>
          <w:i/>
          <w:iCs/>
          <w:lang w:val="es-ES_tradnl"/>
        </w:rPr>
        <w:t>L</w:t>
      </w:r>
      <w:r w:rsidRPr="000E1448">
        <w:rPr>
          <w:vertAlign w:val="subscript"/>
          <w:lang w:val="es-ES_tradnl"/>
        </w:rPr>
        <w:t>452</w:t>
      </w:r>
      <w:r w:rsidRPr="000E1448">
        <w:rPr>
          <w:lang w:val="es-ES_tradnl"/>
        </w:rPr>
        <w:t>(10%) </w:t>
      </w:r>
      <w:r>
        <w:sym w:font="Symbol" w:char="F0B3"/>
      </w:r>
      <w:r w:rsidRPr="000E1448">
        <w:rPr>
          <w:lang w:val="es-ES_tradnl"/>
        </w:rPr>
        <w:t> 161 dB corresponde a una zona de instalación (ZI) de puntos de prueba como la que se representa en la Fig. 4.</w:t>
      </w:r>
    </w:p>
    <w:p w:rsidR="006A2558" w:rsidRPr="00136E26" w:rsidRDefault="006A2558" w:rsidP="006A2558">
      <w:pPr>
        <w:pStyle w:val="FigureNo"/>
        <w:rPr>
          <w:lang w:val="es-ES_tradnl"/>
        </w:rPr>
      </w:pPr>
      <w:r w:rsidRPr="00136E26">
        <w:rPr>
          <w:lang w:val="es-ES_tradnl"/>
        </w:rPr>
        <w:t>FIGURA 4</w:t>
      </w:r>
    </w:p>
    <w:p w:rsidR="006A2558" w:rsidRPr="00136E26" w:rsidRDefault="006A2558" w:rsidP="006A2558">
      <w:pPr>
        <w:pStyle w:val="Figuretitle"/>
        <w:rPr>
          <w:lang w:val="es-ES_tradnl"/>
        </w:rPr>
      </w:pPr>
      <w:r>
        <w:rPr>
          <w:lang w:val="es-ES_tradnl"/>
        </w:rPr>
        <w:t xml:space="preserve">ZI para la ZE definida por el valor </w:t>
      </w:r>
      <w:r w:rsidRPr="00D85C0E">
        <w:rPr>
          <w:i/>
          <w:lang w:val="es-ES_tradnl"/>
        </w:rPr>
        <w:t>L</w:t>
      </w:r>
      <w:r w:rsidRPr="00136E26">
        <w:rPr>
          <w:vertAlign w:val="subscript"/>
          <w:lang w:val="es-ES_tradnl"/>
        </w:rPr>
        <w:t>452</w:t>
      </w:r>
      <w:r w:rsidRPr="00136E26">
        <w:rPr>
          <w:lang w:val="es-ES_tradnl"/>
        </w:rPr>
        <w:t xml:space="preserve">(10%) </w:t>
      </w:r>
      <w:r>
        <w:sym w:font="Symbol" w:char="F0B3"/>
      </w:r>
      <w:r w:rsidRPr="00136E26">
        <w:rPr>
          <w:lang w:val="es-ES_tradnl"/>
        </w:rPr>
        <w:t xml:space="preserve"> 161 dB</w:t>
      </w:r>
    </w:p>
    <w:p w:rsidR="006A2558" w:rsidRDefault="006A2558" w:rsidP="006A2558">
      <w:pPr>
        <w:pStyle w:val="Figure"/>
      </w:pPr>
      <w:r>
        <w:object w:dxaOrig="6093" w:dyaOrig="4133">
          <v:shape id="_x0000_i1031" type="#_x0000_t75" style="width:304.5pt;height:207.5pt" o:ole="" o:allowoverlap="f">
            <v:imagedata r:id="rId24" o:title=""/>
          </v:shape>
          <o:OLEObject Type="Embed" ProgID="CorelDraw.Graphic.12" ShapeID="_x0000_i1031" DrawAspect="Content" ObjectID="_1574161734" r:id="rId25"/>
        </w:object>
      </w:r>
    </w:p>
    <w:p w:rsidR="006A2558" w:rsidRPr="000E1448" w:rsidRDefault="006A2558" w:rsidP="006A2558">
      <w:pPr>
        <w:pStyle w:val="Headingb"/>
        <w:rPr>
          <w:lang w:val="es-ES_tradnl"/>
        </w:rPr>
      </w:pPr>
      <w:r w:rsidRPr="000E1448">
        <w:rPr>
          <w:lang w:val="es-ES_tradnl"/>
        </w:rPr>
        <w:t>Interferencia calculada</w:t>
      </w:r>
    </w:p>
    <w:p w:rsidR="006A2558" w:rsidRDefault="006A2558" w:rsidP="006A2558">
      <w:pPr>
        <w:rPr>
          <w:lang w:val="es-ES_tradnl"/>
        </w:rPr>
      </w:pPr>
      <w:r w:rsidRPr="000E1448">
        <w:rPr>
          <w:lang w:val="es-ES_tradnl"/>
        </w:rPr>
        <w:t>Utilizando los parámetros definidos anteriormente se calculó para 10 000 muestras una distribución de interferencia en función de la probabilidad de rebasar la interferencia. Este gráfico se representa en la Fig. 5. El umbral del SRA aparece en el gráfico como un pequeño triángulo negro.</w:t>
      </w:r>
    </w:p>
    <w:p w:rsidR="006A2558" w:rsidRPr="00417EF5" w:rsidRDefault="006A2558" w:rsidP="006A2558">
      <w:pPr>
        <w:pStyle w:val="FigureNo"/>
        <w:rPr>
          <w:lang w:val="es-ES_tradnl"/>
        </w:rPr>
      </w:pPr>
      <w:r w:rsidRPr="00417EF5">
        <w:rPr>
          <w:lang w:val="es-ES_tradnl"/>
        </w:rPr>
        <w:lastRenderedPageBreak/>
        <w:t>FIGURA 5</w:t>
      </w:r>
    </w:p>
    <w:p w:rsidR="006A2558" w:rsidRDefault="006A2558" w:rsidP="006A2558">
      <w:pPr>
        <w:pStyle w:val="Figuretitle"/>
        <w:rPr>
          <w:lang w:val="es-ES_tradnl"/>
        </w:rPr>
      </w:pPr>
      <w:r w:rsidRPr="00417EF5">
        <w:rPr>
          <w:lang w:val="es-ES_tradnl"/>
        </w:rPr>
        <w:t xml:space="preserve">Ejemplo de la FDA de la interferencia causada por un sistema P-MP HDFS </w:t>
      </w:r>
      <w:r>
        <w:rPr>
          <w:lang w:val="es-ES_tradnl"/>
        </w:rPr>
        <w:t>en el SRA</w:t>
      </w:r>
    </w:p>
    <w:p w:rsidR="006A2558" w:rsidRDefault="006A2558" w:rsidP="006A2558">
      <w:pPr>
        <w:pStyle w:val="Figure"/>
      </w:pPr>
      <w:r>
        <w:object w:dxaOrig="9844" w:dyaOrig="5732">
          <v:shape id="_x0000_i1032" type="#_x0000_t75" style="width:478pt;height:278pt" o:ole="" o:allowoverlap="f">
            <v:imagedata r:id="rId26" o:title=""/>
          </v:shape>
          <o:OLEObject Type="Embed" ProgID="CorelDraw.Graphic.12" ShapeID="_x0000_i1032" DrawAspect="Content" ObjectID="_1574161735" r:id="rId27"/>
        </w:object>
      </w:r>
    </w:p>
    <w:p w:rsidR="006A2558" w:rsidRPr="000E1448" w:rsidRDefault="006A2558" w:rsidP="006A2558">
      <w:pPr>
        <w:pStyle w:val="Headingb"/>
        <w:rPr>
          <w:lang w:val="es-ES_tradnl"/>
        </w:rPr>
      </w:pPr>
      <w:r w:rsidRPr="000E1448">
        <w:rPr>
          <w:lang w:val="es-ES_tradnl"/>
        </w:rPr>
        <w:t>Resultado de la metodología</w:t>
      </w:r>
    </w:p>
    <w:p w:rsidR="006A2558" w:rsidRDefault="006A2558" w:rsidP="006A2558">
      <w:pPr>
        <w:rPr>
          <w:lang w:val="es-ES_tradnl"/>
        </w:rPr>
      </w:pPr>
      <w:r w:rsidRPr="000E1448">
        <w:rPr>
          <w:lang w:val="es-ES_tradnl"/>
        </w:rPr>
        <w:t xml:space="preserve">El valor calculado </w:t>
      </w:r>
      <w:r w:rsidRPr="00D85C0E">
        <w:rPr>
          <w:i/>
          <w:lang w:val="es-ES_tradnl"/>
        </w:rPr>
        <w:t>P</w:t>
      </w:r>
      <w:r w:rsidRPr="00D85C0E">
        <w:rPr>
          <w:i/>
          <w:vertAlign w:val="subscript"/>
          <w:lang w:val="es-ES_tradnl"/>
        </w:rPr>
        <w:t>ob</w:t>
      </w:r>
      <w:r w:rsidRPr="000E1448">
        <w:rPr>
          <w:lang w:val="es-ES_tradnl"/>
        </w:rPr>
        <w:t xml:space="preserve"> = 4% fue superior al nivel requerido del 2%. Por consiguiente, la ZE debería aumentarse para proteger el observatorio del SRA.</w:t>
      </w:r>
    </w:p>
    <w:p w:rsidR="00A42416" w:rsidRDefault="00A42416" w:rsidP="006A2558">
      <w:pPr>
        <w:rPr>
          <w:lang w:val="es-ES_tradnl"/>
        </w:rPr>
      </w:pPr>
    </w:p>
    <w:p w:rsidR="006A2558" w:rsidRDefault="006A2558" w:rsidP="006A2558">
      <w:pPr>
        <w:pStyle w:val="AnnexNoTitle"/>
        <w:rPr>
          <w:lang w:val="es-ES_tradnl"/>
        </w:rPr>
      </w:pPr>
      <w:bookmarkStart w:id="20" w:name="_Toc151539985"/>
      <w:r w:rsidRPr="006A0CA2">
        <w:rPr>
          <w:lang w:val="es-ES_tradnl"/>
        </w:rPr>
        <w:t>Anexo 2</w:t>
      </w:r>
      <w:r w:rsidRPr="006A0CA2">
        <w:rPr>
          <w:lang w:val="es-ES_tradnl"/>
        </w:rPr>
        <w:br/>
      </w:r>
      <w:r w:rsidRPr="006A0CA2">
        <w:rPr>
          <w:lang w:val="es-ES_tradnl"/>
        </w:rPr>
        <w:br/>
        <w:t>Metodología para determinar la zona de exclusi</w:t>
      </w:r>
      <w:r>
        <w:rPr>
          <w:lang w:val="es-ES_tradnl"/>
        </w:rPr>
        <w:t>ón (ZE) en torno a un emplazamiento del SRA definida por las pérdidas de propagación</w:t>
      </w:r>
      <w:r>
        <w:rPr>
          <w:lang w:val="es-ES_tradnl"/>
        </w:rPr>
        <w:br/>
        <w:t>a partir del emplazamiento del SRA fuera de la cual las</w:t>
      </w:r>
      <w:r>
        <w:rPr>
          <w:lang w:val="es-ES_tradnl"/>
        </w:rPr>
        <w:br/>
        <w:t>estaciones del sistema P</w:t>
      </w:r>
      <w:r>
        <w:rPr>
          <w:lang w:val="es-ES_tradnl"/>
        </w:rPr>
        <w:noBreakHyphen/>
        <w:t>MP HDFS pueden instalarse</w:t>
      </w:r>
      <w:r>
        <w:rPr>
          <w:lang w:val="es-ES_tradnl"/>
        </w:rPr>
        <w:br/>
        <w:t>sin peligro de que causen interferencia al SRA</w:t>
      </w:r>
      <w:bookmarkEnd w:id="20"/>
    </w:p>
    <w:p w:rsidR="006A2558" w:rsidRPr="000E1448" w:rsidRDefault="006A2558" w:rsidP="006A2558">
      <w:pPr>
        <w:pStyle w:val="Normalaftertitle"/>
        <w:rPr>
          <w:lang w:val="es-ES_tradnl"/>
        </w:rPr>
      </w:pPr>
      <w:r w:rsidRPr="000E1448">
        <w:rPr>
          <w:lang w:val="es-ES_tradnl"/>
        </w:rPr>
        <w:t>Este Anexo proporciona una metodología que puede utilizarse para obtener una ZE en torno a un emplazamiento del SRA para las estaciones transmisoras de sistemas P</w:t>
      </w:r>
      <w:r w:rsidRPr="000E1448">
        <w:rPr>
          <w:lang w:val="es-ES_tradnl"/>
        </w:rPr>
        <w:noBreakHyphen/>
        <w:t>MP HDFS que pueden utilizar las administraciones en las discusiones nacionales y bilaterales como método para proteger los emplazamiento del SRA contra la interferencia potencial procedente de estaciones P</w:t>
      </w:r>
      <w:r w:rsidRPr="000E1448">
        <w:rPr>
          <w:lang w:val="es-ES_tradnl"/>
        </w:rPr>
        <w:noBreakHyphen/>
        <w:t>MP HDFS.</w:t>
      </w:r>
    </w:p>
    <w:p w:rsidR="006A2558" w:rsidRPr="000E1448" w:rsidRDefault="006A2558" w:rsidP="006A2558">
      <w:pPr>
        <w:pStyle w:val="Heading1"/>
        <w:rPr>
          <w:lang w:val="es-ES_tradnl"/>
        </w:rPr>
      </w:pPr>
      <w:bookmarkStart w:id="21" w:name="_Toc151539986"/>
      <w:r w:rsidRPr="000E1448">
        <w:rPr>
          <w:lang w:val="es-ES_tradnl"/>
        </w:rPr>
        <w:t>1</w:t>
      </w:r>
      <w:r w:rsidRPr="000E1448">
        <w:rPr>
          <w:lang w:val="es-ES_tradnl"/>
        </w:rPr>
        <w:tab/>
        <w:t>Zona de exclusión con arreglo a las pérdidas de propagación</w:t>
      </w:r>
      <w:bookmarkEnd w:id="21"/>
    </w:p>
    <w:p w:rsidR="006A2558" w:rsidRPr="000E1448" w:rsidRDefault="006A2558" w:rsidP="006A2558">
      <w:pPr>
        <w:rPr>
          <w:lang w:val="es-ES_tradnl"/>
        </w:rPr>
      </w:pPr>
      <w:r w:rsidRPr="000E1448">
        <w:rPr>
          <w:lang w:val="es-ES_tradnl"/>
        </w:rPr>
        <w:t>Un método para proteger a servicios tales como el SRA contra la interferencia consiste en definir una zona de exclusión (ZE) en torno al emplazamiento dentro de la cual no se permite las transmisiones. Un método para definir una ZE se basa en la distancia, pero ello puede dar lugar a unas ZE de gran tamaño pues a menudo aparecen acimuts de caso más desfavorable para los que se necesitan grandes distancias de separación.</w:t>
      </w:r>
    </w:p>
    <w:p w:rsidR="006A2558" w:rsidRPr="000E1448" w:rsidRDefault="006A2558" w:rsidP="006A2558">
      <w:pPr>
        <w:rPr>
          <w:lang w:val="es-ES_tradnl"/>
        </w:rPr>
      </w:pPr>
      <w:r w:rsidRPr="000E1448">
        <w:rPr>
          <w:lang w:val="es-ES_tradnl"/>
        </w:rPr>
        <w:lastRenderedPageBreak/>
        <w:t>Un método más eficaz para determinar las ZE es definirlas basándose en las pérdidas de propagación, de manera que la distancia de separación requerida varía según el acimut. Los contornos de coordinación incluyen un grado de pérdidas de propagación teniendo en cuenta las diferentes características de la propagación de las ondas radioeléctricas sobre la tierra y el mar. Este método puede ampliarse para utilizar las características del terreno local y un detallado modelo de propagación como el que se describe en la Recomendación UIT</w:t>
      </w:r>
      <w:r w:rsidRPr="000E1448">
        <w:rPr>
          <w:lang w:val="es-ES_tradnl"/>
        </w:rPr>
        <w:noBreakHyphen/>
        <w:t>R P.452.</w:t>
      </w:r>
    </w:p>
    <w:p w:rsidR="006A2558" w:rsidRDefault="006A2558" w:rsidP="006A2558">
      <w:pPr>
        <w:rPr>
          <w:lang w:val="es-ES_tradnl"/>
        </w:rPr>
      </w:pPr>
      <w:r w:rsidRPr="000E1448">
        <w:rPr>
          <w:lang w:val="es-ES_tradnl"/>
        </w:rPr>
        <w:t>La ZE se define permitiendo las transmisiones en emplazamientos en los cuales las pérdidas de propagación hacia el emplazamiento del SRA calculadas con arreglo a la Recomendación</w:t>
      </w:r>
      <w:r>
        <w:rPr>
          <w:lang w:val="es-ES_tradnl"/>
        </w:rPr>
        <w:t xml:space="preserve"> </w:t>
      </w:r>
      <w:r w:rsidRPr="000E1448">
        <w:rPr>
          <w:lang w:val="es-ES_tradnl"/>
        </w:rPr>
        <w:t>UIT</w:t>
      </w:r>
      <w:r w:rsidRPr="000E1448">
        <w:rPr>
          <w:lang w:val="es-ES_tradnl"/>
        </w:rPr>
        <w:noBreakHyphen/>
        <w:t xml:space="preserve">R P.452, o </w:t>
      </w:r>
      <w:r w:rsidRPr="00D85C0E">
        <w:rPr>
          <w:i/>
          <w:lang w:val="es-ES_tradnl"/>
        </w:rPr>
        <w:t>L</w:t>
      </w:r>
      <w:r w:rsidRPr="000E1448">
        <w:rPr>
          <w:vertAlign w:val="subscript"/>
          <w:lang w:val="es-ES_tradnl"/>
        </w:rPr>
        <w:t>452</w:t>
      </w:r>
      <w:r w:rsidRPr="000E1448">
        <w:rPr>
          <w:lang w:val="es-ES_tradnl"/>
        </w:rPr>
        <w:t>, para un porcentaje de tiempo especificado tal como el 10%, son mayores que un valor definido; es decir:</w:t>
      </w:r>
    </w:p>
    <w:p w:rsidR="00BE1B47" w:rsidRPr="00064E2D" w:rsidRDefault="00BE1B47" w:rsidP="00BE1B47">
      <w:pPr>
        <w:pStyle w:val="Blanc"/>
        <w:rPr>
          <w:lang w:val="es-ES_tradnl"/>
        </w:rPr>
      </w:pPr>
    </w:p>
    <w:p w:rsidR="006A2558" w:rsidRPr="000E1448" w:rsidRDefault="006A2558" w:rsidP="006A2558">
      <w:pPr>
        <w:pStyle w:val="Equation"/>
        <w:spacing w:before="240"/>
        <w:rPr>
          <w:lang w:val="es-ES_tradnl"/>
        </w:rPr>
      </w:pPr>
      <w:r w:rsidRPr="000E1448">
        <w:rPr>
          <w:lang w:val="es-ES_tradnl"/>
        </w:rPr>
        <w:tab/>
      </w:r>
      <w:r w:rsidRPr="000E1448">
        <w:rPr>
          <w:lang w:val="es-ES_tradnl"/>
        </w:rPr>
        <w:tab/>
      </w:r>
      <w:r w:rsidRPr="00D85C0E">
        <w:rPr>
          <w:i/>
          <w:lang w:val="es-ES_tradnl"/>
        </w:rPr>
        <w:t>L</w:t>
      </w:r>
      <w:r w:rsidRPr="000E1448">
        <w:rPr>
          <w:vertAlign w:val="subscript"/>
          <w:lang w:val="es-ES_tradnl"/>
        </w:rPr>
        <w:t>452</w:t>
      </w:r>
      <w:r w:rsidRPr="000E1448">
        <w:rPr>
          <w:lang w:val="es-ES_tradnl"/>
        </w:rPr>
        <w:t xml:space="preserve">(10%) </w:t>
      </w:r>
      <w:r>
        <w:sym w:font="Symbol" w:char="F0B3"/>
      </w:r>
      <w:r w:rsidRPr="000E1448">
        <w:rPr>
          <w:lang w:val="es-ES_tradnl"/>
        </w:rPr>
        <w:t xml:space="preserve"> </w:t>
      </w:r>
      <w:r w:rsidRPr="00D85C0E">
        <w:rPr>
          <w:i/>
          <w:lang w:val="es-ES_tradnl"/>
        </w:rPr>
        <w:t>X</w:t>
      </w:r>
      <w:r w:rsidRPr="000E1448">
        <w:rPr>
          <w:lang w:val="es-ES_tradnl"/>
        </w:rPr>
        <w:t xml:space="preserve"> dB</w:t>
      </w:r>
      <w:r w:rsidRPr="000E1448">
        <w:rPr>
          <w:lang w:val="es-ES_tradnl"/>
        </w:rPr>
        <w:tab/>
        <w:t>(</w:t>
      </w:r>
      <w:r>
        <w:rPr>
          <w:lang w:val="es-ES_tradnl"/>
        </w:rPr>
        <w:t>3</w:t>
      </w:r>
      <w:r w:rsidRPr="000E1448">
        <w:rPr>
          <w:lang w:val="es-ES_tradnl"/>
        </w:rPr>
        <w:t>)</w:t>
      </w:r>
    </w:p>
    <w:p w:rsidR="00BE1B47" w:rsidRPr="00064E2D" w:rsidRDefault="00BE1B47" w:rsidP="00BE1B47">
      <w:pPr>
        <w:pStyle w:val="Blanc"/>
        <w:rPr>
          <w:lang w:val="es-ES_tradnl"/>
        </w:rPr>
      </w:pPr>
    </w:p>
    <w:p w:rsidR="006A2558" w:rsidRDefault="006A2558" w:rsidP="006A2558">
      <w:pPr>
        <w:rPr>
          <w:lang w:val="es-ES_tradnl"/>
        </w:rPr>
      </w:pPr>
      <w:r w:rsidRPr="000E1448">
        <w:rPr>
          <w:lang w:val="es-ES_tradnl"/>
        </w:rPr>
        <w:t>La Fig. 6 muestra ejemplos de instalaciones de sistemas P</w:t>
      </w:r>
      <w:r w:rsidRPr="000E1448">
        <w:rPr>
          <w:lang w:val="es-ES_tradnl"/>
        </w:rPr>
        <w:noBreakHyphen/>
        <w:t>MP HDFS fuera de las ZE definidas por la distancia y por el valor L</w:t>
      </w:r>
      <w:r w:rsidRPr="000E1448">
        <w:rPr>
          <w:vertAlign w:val="subscript"/>
          <w:lang w:val="es-ES_tradnl"/>
        </w:rPr>
        <w:t>452</w:t>
      </w:r>
      <w:r w:rsidRPr="000E1448">
        <w:rPr>
          <w:lang w:val="es-ES_tradnl"/>
        </w:rPr>
        <w:t>.</w:t>
      </w:r>
    </w:p>
    <w:p w:rsidR="006A2558" w:rsidRPr="0039089A" w:rsidRDefault="006A2558" w:rsidP="006A2558">
      <w:pPr>
        <w:pStyle w:val="FigureNo"/>
        <w:rPr>
          <w:lang w:val="es-ES_tradnl"/>
        </w:rPr>
      </w:pPr>
      <w:r w:rsidRPr="0039089A">
        <w:rPr>
          <w:lang w:val="es-ES_tradnl"/>
        </w:rPr>
        <w:t>FIGURA 6</w:t>
      </w:r>
    </w:p>
    <w:p w:rsidR="006A2558" w:rsidRDefault="006A2558" w:rsidP="006A2558">
      <w:pPr>
        <w:pStyle w:val="Figuretitle"/>
        <w:rPr>
          <w:vertAlign w:val="subscript"/>
          <w:lang w:val="es-ES_tradnl"/>
        </w:rPr>
      </w:pPr>
      <w:r w:rsidRPr="0039089A">
        <w:rPr>
          <w:lang w:val="es-ES_tradnl"/>
        </w:rPr>
        <w:t xml:space="preserve">ZE basadas en la distancia y </w:t>
      </w:r>
      <w:r>
        <w:rPr>
          <w:lang w:val="es-ES_tradnl"/>
        </w:rPr>
        <w:t xml:space="preserve">en </w:t>
      </w:r>
      <w:r w:rsidRPr="00D85C0E">
        <w:rPr>
          <w:i/>
          <w:lang w:val="es-ES_tradnl"/>
        </w:rPr>
        <w:t>L</w:t>
      </w:r>
      <w:r w:rsidRPr="0039089A">
        <w:rPr>
          <w:vertAlign w:val="subscript"/>
          <w:lang w:val="es-ES_tradnl"/>
        </w:rPr>
        <w:t>452</w:t>
      </w:r>
    </w:p>
    <w:p w:rsidR="006A2558" w:rsidRDefault="00BE1B47" w:rsidP="006A2558">
      <w:pPr>
        <w:pStyle w:val="Figure"/>
      </w:pPr>
      <w:r>
        <w:object w:dxaOrig="4886" w:dyaOrig="2248">
          <v:shape id="_x0000_i1033" type="#_x0000_t75" style="width:411pt;height:195.5pt" o:ole="">
            <v:imagedata r:id="rId28" o:title=""/>
          </v:shape>
          <o:OLEObject Type="Embed" ProgID="CorelDraw.Graphic.16" ShapeID="_x0000_i1033" DrawAspect="Content" ObjectID="_1574161736" r:id="rId29"/>
        </w:object>
      </w:r>
    </w:p>
    <w:p w:rsidR="006A2558" w:rsidRPr="000E1448" w:rsidRDefault="006A2558" w:rsidP="006A2558">
      <w:pPr>
        <w:rPr>
          <w:lang w:val="es-ES_tradnl"/>
        </w:rPr>
      </w:pPr>
      <w:r w:rsidRPr="000E1448">
        <w:rPr>
          <w:lang w:val="es-ES_tradnl"/>
        </w:rPr>
        <w:t xml:space="preserve">Normalmente, las ZE basadas en el valor </w:t>
      </w:r>
      <w:r w:rsidRPr="00D85C0E">
        <w:rPr>
          <w:i/>
          <w:lang w:val="es-ES_tradnl"/>
        </w:rPr>
        <w:t>L</w:t>
      </w:r>
      <w:r w:rsidRPr="000E1448">
        <w:rPr>
          <w:vertAlign w:val="subscript"/>
          <w:lang w:val="es-ES_tradnl"/>
        </w:rPr>
        <w:t>452</w:t>
      </w:r>
      <w:r w:rsidRPr="000E1448">
        <w:rPr>
          <w:lang w:val="es-ES_tradnl"/>
        </w:rPr>
        <w:t xml:space="preserve"> tienen una superficie más pequeña que las basadas en la distancia. Por ejemplo, las dos instalaciones representadas en la Fig. 7 protegen el emplazamiento del SRA contra la interferencia producida por el mismo modelo de referencia P</w:t>
      </w:r>
      <w:r w:rsidRPr="000E1448">
        <w:rPr>
          <w:lang w:val="es-ES_tradnl"/>
        </w:rPr>
        <w:noBreakHyphen/>
        <w:t>MP HDFS.</w:t>
      </w:r>
    </w:p>
    <w:p w:rsidR="006A2558" w:rsidRPr="009A5C9B" w:rsidRDefault="006A2558" w:rsidP="006A2558">
      <w:pPr>
        <w:pStyle w:val="FigureNo"/>
        <w:rPr>
          <w:lang w:val="es-ES_tradnl"/>
        </w:rPr>
      </w:pPr>
      <w:r w:rsidRPr="009A5C9B">
        <w:rPr>
          <w:lang w:val="es-ES_tradnl"/>
        </w:rPr>
        <w:lastRenderedPageBreak/>
        <w:t>FIGURA 7</w:t>
      </w:r>
    </w:p>
    <w:p w:rsidR="006A2558" w:rsidRDefault="006A2558" w:rsidP="006A2558">
      <w:pPr>
        <w:pStyle w:val="Figuretitle"/>
        <w:rPr>
          <w:vertAlign w:val="subscript"/>
          <w:lang w:val="es-ES_tradnl"/>
        </w:rPr>
      </w:pPr>
      <w:r w:rsidRPr="009A5C9B">
        <w:rPr>
          <w:lang w:val="es-ES_tradnl"/>
        </w:rPr>
        <w:t>Ejemplos de ZE basadas en la distan</w:t>
      </w:r>
      <w:bookmarkStart w:id="22" w:name="_GoBack"/>
      <w:bookmarkEnd w:id="22"/>
      <w:r w:rsidRPr="009A5C9B">
        <w:rPr>
          <w:lang w:val="es-ES_tradnl"/>
        </w:rPr>
        <w:t xml:space="preserve">cia y en el valor de </w:t>
      </w:r>
      <w:r w:rsidRPr="00D85C0E">
        <w:rPr>
          <w:i/>
          <w:lang w:val="es-ES_tradnl"/>
        </w:rPr>
        <w:t>L</w:t>
      </w:r>
      <w:r w:rsidRPr="009A5C9B">
        <w:rPr>
          <w:vertAlign w:val="subscript"/>
          <w:lang w:val="es-ES_tradnl"/>
        </w:rPr>
        <w:t>452</w:t>
      </w:r>
    </w:p>
    <w:p w:rsidR="006A2558" w:rsidRPr="00D85C0E" w:rsidRDefault="00BE1B47" w:rsidP="006A2558">
      <w:pPr>
        <w:pStyle w:val="Figure"/>
        <w:rPr>
          <w:lang w:val="es-ES_tradnl"/>
        </w:rPr>
      </w:pPr>
      <w:r>
        <w:object w:dxaOrig="9678" w:dyaOrig="3325">
          <v:shape id="_x0000_i1034" type="#_x0000_t75" style="width:479pt;height:164pt" o:ole="" o:allowoverlap="f">
            <v:imagedata r:id="rId30" o:title=""/>
          </v:shape>
          <o:OLEObject Type="Embed" ProgID="CorelDraw.Graphic.16" ShapeID="_x0000_i1034" DrawAspect="Content" ObjectID="_1574161737" r:id="rId31"/>
        </w:object>
      </w:r>
    </w:p>
    <w:p w:rsidR="006A2558" w:rsidRPr="000E1448" w:rsidRDefault="006A2558" w:rsidP="006A2558">
      <w:pPr>
        <w:rPr>
          <w:lang w:val="es-ES_tradnl"/>
        </w:rPr>
      </w:pPr>
      <w:r w:rsidRPr="000E1448">
        <w:rPr>
          <w:lang w:val="es-ES_tradnl"/>
        </w:rPr>
        <w:t>En ambos casos se suprimieron los puntos de prueba ubicados en el mar. Para estos dos casos los ejemplos de ZE se definieron como indica el Cuadro 6.</w:t>
      </w:r>
    </w:p>
    <w:p w:rsidR="006A2558" w:rsidRPr="000E1448" w:rsidRDefault="006A2558" w:rsidP="006A2558">
      <w:pPr>
        <w:pStyle w:val="TableNo"/>
        <w:rPr>
          <w:lang w:val="es-ES_tradnl"/>
        </w:rPr>
      </w:pPr>
      <w:r w:rsidRPr="000E1448">
        <w:rPr>
          <w:lang w:val="es-ES_tradnl"/>
        </w:rPr>
        <w:t>CUADRO 6</w:t>
      </w:r>
    </w:p>
    <w:p w:rsidR="006A2558" w:rsidRPr="000E1448" w:rsidRDefault="006A2558" w:rsidP="006A2558">
      <w:pPr>
        <w:pStyle w:val="Tabletitle"/>
        <w:rPr>
          <w:lang w:val="es-ES_tradnl"/>
        </w:rPr>
      </w:pPr>
      <w:r w:rsidRPr="000E1448">
        <w:rPr>
          <w:lang w:val="es-ES_tradnl"/>
        </w:rPr>
        <w:t>Comparación de métodos de cálculo de la ZE utilizando los resultados del ejemplo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6A2558" w:rsidRPr="00064E2D" w:rsidTr="00A42416">
        <w:trPr>
          <w:jc w:val="center"/>
        </w:trPr>
        <w:tc>
          <w:tcPr>
            <w:tcW w:w="3175" w:type="dxa"/>
          </w:tcPr>
          <w:p w:rsidR="006A2558" w:rsidRDefault="006A2558" w:rsidP="00A42416">
            <w:pPr>
              <w:pStyle w:val="Tablehead"/>
            </w:pPr>
            <w:r>
              <w:t>Tipo de ZE</w:t>
            </w:r>
          </w:p>
        </w:tc>
        <w:tc>
          <w:tcPr>
            <w:tcW w:w="3232" w:type="dxa"/>
          </w:tcPr>
          <w:p w:rsidR="006A2558" w:rsidRDefault="006A2558" w:rsidP="00A42416">
            <w:pPr>
              <w:pStyle w:val="Tablehead"/>
            </w:pPr>
            <w:r>
              <w:t>Basada en la distancia</w:t>
            </w:r>
          </w:p>
        </w:tc>
        <w:tc>
          <w:tcPr>
            <w:tcW w:w="3232" w:type="dxa"/>
          </w:tcPr>
          <w:p w:rsidR="006A2558" w:rsidRPr="00624E67" w:rsidRDefault="006A2558" w:rsidP="00A42416">
            <w:pPr>
              <w:pStyle w:val="Tablehead"/>
              <w:rPr>
                <w:lang w:val="es-ES_tradnl"/>
              </w:rPr>
            </w:pPr>
            <w:r>
              <w:rPr>
                <w:lang w:val="es-ES_tradnl"/>
              </w:rPr>
              <w:t>Basada</w:t>
            </w:r>
            <w:r w:rsidRPr="00624E67">
              <w:rPr>
                <w:lang w:val="es-ES_tradnl"/>
              </w:rPr>
              <w:t xml:space="preserve"> en el valor de </w:t>
            </w:r>
            <w:r w:rsidRPr="003F7BB1">
              <w:rPr>
                <w:i/>
                <w:lang w:val="es-ES_tradnl"/>
              </w:rPr>
              <w:t>L</w:t>
            </w:r>
            <w:r w:rsidRPr="00624E67">
              <w:rPr>
                <w:vertAlign w:val="subscript"/>
                <w:lang w:val="es-ES_tradnl"/>
              </w:rPr>
              <w:t>452</w:t>
            </w:r>
            <w:r w:rsidRPr="00624E67">
              <w:rPr>
                <w:lang w:val="es-ES_tradnl"/>
              </w:rPr>
              <w:t>(10%)</w:t>
            </w:r>
          </w:p>
        </w:tc>
      </w:tr>
      <w:tr w:rsidR="006A2558" w:rsidTr="00A42416">
        <w:trPr>
          <w:jc w:val="center"/>
        </w:trPr>
        <w:tc>
          <w:tcPr>
            <w:tcW w:w="3175" w:type="dxa"/>
          </w:tcPr>
          <w:p w:rsidR="006A2558" w:rsidRDefault="006A2558" w:rsidP="00A42416">
            <w:pPr>
              <w:pStyle w:val="Tabletext"/>
              <w:jc w:val="center"/>
            </w:pPr>
            <w:r>
              <w:t>Parámetro de la ZE</w:t>
            </w:r>
          </w:p>
        </w:tc>
        <w:tc>
          <w:tcPr>
            <w:tcW w:w="3232" w:type="dxa"/>
          </w:tcPr>
          <w:p w:rsidR="006A2558" w:rsidRDefault="006A2558" w:rsidP="00A42416">
            <w:pPr>
              <w:pStyle w:val="Tabletext"/>
              <w:jc w:val="center"/>
            </w:pPr>
            <w:r w:rsidRPr="003F7BB1">
              <w:rPr>
                <w:i/>
              </w:rPr>
              <w:t>D</w:t>
            </w:r>
            <w:r>
              <w:t xml:space="preserve"> </w:t>
            </w:r>
            <w:r>
              <w:sym w:font="Symbol" w:char="F0B3"/>
            </w:r>
            <w:r>
              <w:t xml:space="preserve"> 66 km</w:t>
            </w:r>
          </w:p>
        </w:tc>
        <w:tc>
          <w:tcPr>
            <w:tcW w:w="3232" w:type="dxa"/>
          </w:tcPr>
          <w:p w:rsidR="006A2558" w:rsidRDefault="006A2558" w:rsidP="00A42416">
            <w:pPr>
              <w:pStyle w:val="Tabletext"/>
              <w:jc w:val="center"/>
            </w:pPr>
            <w:r w:rsidRPr="003F7BB1">
              <w:rPr>
                <w:i/>
              </w:rPr>
              <w:t>L</w:t>
            </w:r>
            <w:r>
              <w:rPr>
                <w:vertAlign w:val="subscript"/>
              </w:rPr>
              <w:t>452</w:t>
            </w:r>
            <w:r>
              <w:t xml:space="preserve">(10%) </w:t>
            </w:r>
            <w:r>
              <w:sym w:font="Symbol" w:char="F0B3"/>
            </w:r>
            <w:r>
              <w:t xml:space="preserve"> 176 dB</w:t>
            </w:r>
          </w:p>
        </w:tc>
      </w:tr>
      <w:tr w:rsidR="006A2558" w:rsidTr="00A42416">
        <w:trPr>
          <w:jc w:val="center"/>
        </w:trPr>
        <w:tc>
          <w:tcPr>
            <w:tcW w:w="3175" w:type="dxa"/>
          </w:tcPr>
          <w:p w:rsidR="006A2558" w:rsidRDefault="006A2558" w:rsidP="00A42416">
            <w:pPr>
              <w:pStyle w:val="Tabletext"/>
              <w:jc w:val="center"/>
            </w:pPr>
            <w:r>
              <w:t>Tamaño de la ZE</w:t>
            </w:r>
          </w:p>
        </w:tc>
        <w:tc>
          <w:tcPr>
            <w:tcW w:w="3232" w:type="dxa"/>
          </w:tcPr>
          <w:p w:rsidR="006A2558" w:rsidRDefault="006A2558" w:rsidP="00A42416">
            <w:pPr>
              <w:pStyle w:val="Tabletext"/>
              <w:jc w:val="center"/>
            </w:pPr>
            <w:r>
              <w:t>14 186 km</w:t>
            </w:r>
            <w:r w:rsidRPr="003F7BB1">
              <w:rPr>
                <w:szCs w:val="22"/>
                <w:vertAlign w:val="superscript"/>
              </w:rPr>
              <w:t>2</w:t>
            </w:r>
          </w:p>
        </w:tc>
        <w:tc>
          <w:tcPr>
            <w:tcW w:w="3232" w:type="dxa"/>
          </w:tcPr>
          <w:p w:rsidR="006A2558" w:rsidRDefault="006A2558" w:rsidP="00A42416">
            <w:pPr>
              <w:pStyle w:val="Tabletext"/>
              <w:jc w:val="center"/>
            </w:pPr>
            <w:r>
              <w:t>5 162 km</w:t>
            </w:r>
            <w:r w:rsidRPr="003F7BB1">
              <w:rPr>
                <w:szCs w:val="22"/>
                <w:vertAlign w:val="superscript"/>
              </w:rPr>
              <w:t>2</w:t>
            </w:r>
          </w:p>
        </w:tc>
      </w:tr>
    </w:tbl>
    <w:p w:rsidR="006A2558" w:rsidRDefault="006A2558" w:rsidP="006A2558">
      <w:pPr>
        <w:pStyle w:val="Tablefin"/>
      </w:pPr>
    </w:p>
    <w:p w:rsidR="006A2558" w:rsidRDefault="006A2558" w:rsidP="006A2558">
      <w:pPr>
        <w:rPr>
          <w:lang w:val="es-ES_tradnl"/>
        </w:rPr>
      </w:pPr>
      <w:r w:rsidRPr="00624E67">
        <w:rPr>
          <w:lang w:val="es-ES_tradnl"/>
        </w:rPr>
        <w:t xml:space="preserve">Las ZE basadas en el valor de </w:t>
      </w:r>
      <w:r w:rsidRPr="003F7BB1">
        <w:rPr>
          <w:i/>
          <w:lang w:val="es-ES_tradnl"/>
        </w:rPr>
        <w:t>L</w:t>
      </w:r>
      <w:r w:rsidRPr="00624E67">
        <w:rPr>
          <w:vertAlign w:val="subscript"/>
          <w:lang w:val="es-ES_tradnl"/>
        </w:rPr>
        <w:t>452</w:t>
      </w:r>
      <w:r w:rsidRPr="00624E67">
        <w:rPr>
          <w:lang w:val="es-ES_tradnl"/>
        </w:rPr>
        <w:t>(10%)</w:t>
      </w:r>
      <w:r>
        <w:rPr>
          <w:lang w:val="es-ES_tradnl"/>
        </w:rPr>
        <w:t xml:space="preserve"> son, por consiguiente, un método más eficaz y flexible para proteger a servicios tales como el SRA contra la interferencia.</w:t>
      </w:r>
    </w:p>
    <w:p w:rsidR="006A2558" w:rsidRPr="000E1448" w:rsidRDefault="006A2558" w:rsidP="006A2558">
      <w:pPr>
        <w:pStyle w:val="Heading1"/>
        <w:rPr>
          <w:lang w:val="es-ES_tradnl"/>
        </w:rPr>
      </w:pPr>
      <w:bookmarkStart w:id="23" w:name="_Toc151539987"/>
      <w:r w:rsidRPr="000E1448">
        <w:rPr>
          <w:lang w:val="es-ES_tradnl"/>
        </w:rPr>
        <w:t>2</w:t>
      </w:r>
      <w:r w:rsidRPr="000E1448">
        <w:rPr>
          <w:lang w:val="es-ES_tradnl"/>
        </w:rPr>
        <w:tab/>
        <w:t>Obtención del tamaño de la zona de exclusión (ZE)</w:t>
      </w:r>
      <w:bookmarkEnd w:id="23"/>
    </w:p>
    <w:p w:rsidR="006A2558" w:rsidRPr="000E1448" w:rsidRDefault="006A2558" w:rsidP="006A2558">
      <w:pPr>
        <w:rPr>
          <w:lang w:val="es-ES_tradnl"/>
        </w:rPr>
      </w:pPr>
      <w:r w:rsidRPr="000E1448">
        <w:rPr>
          <w:lang w:val="es-ES_tradnl"/>
        </w:rPr>
        <w:t xml:space="preserve">La determinación del valor adecuado de </w:t>
      </w:r>
      <w:r w:rsidRPr="005E5F55">
        <w:rPr>
          <w:i/>
          <w:lang w:val="es-ES_tradnl"/>
        </w:rPr>
        <w:t>X</w:t>
      </w:r>
      <w:r w:rsidRPr="000E1448">
        <w:rPr>
          <w:lang w:val="es-ES_tradnl"/>
        </w:rPr>
        <w:t xml:space="preserve"> para determinar el tamaño de la ZE de manera que la condición </w:t>
      </w:r>
      <w:r w:rsidRPr="005E5F55">
        <w:rPr>
          <w:i/>
          <w:lang w:val="es-ES_tradnl"/>
        </w:rPr>
        <w:t>L</w:t>
      </w:r>
      <w:r w:rsidRPr="000E1448">
        <w:rPr>
          <w:vertAlign w:val="subscript"/>
          <w:lang w:val="es-ES_tradnl"/>
        </w:rPr>
        <w:t>452</w:t>
      </w:r>
      <w:r w:rsidRPr="000E1448">
        <w:rPr>
          <w:lang w:val="es-ES_tradnl"/>
        </w:rPr>
        <w:t xml:space="preserve">(10%) </w:t>
      </w:r>
      <w:r>
        <w:sym w:font="Symbol" w:char="F0B3"/>
      </w:r>
      <w:r w:rsidRPr="000E1448">
        <w:rPr>
          <w:lang w:val="es-ES_tradnl"/>
        </w:rPr>
        <w:t> </w:t>
      </w:r>
      <w:r w:rsidRPr="005E5F55">
        <w:rPr>
          <w:i/>
          <w:lang w:val="es-ES_tradnl"/>
        </w:rPr>
        <w:t>X</w:t>
      </w:r>
      <w:r w:rsidRPr="000E1448">
        <w:rPr>
          <w:lang w:val="es-ES_tradnl"/>
        </w:rPr>
        <w:t xml:space="preserve"> protegería al SRA requiere aplicar un procedimiento iterativo, como se indica en los pasos señalados a continuación. El algoritmo utiliza la metodología del Anexo 1 </w:t>
      </w:r>
      <w:r>
        <w:rPr>
          <w:lang w:val="es-ES_tradnl"/>
        </w:rPr>
        <w:t>a esta Recomendación</w:t>
      </w:r>
      <w:r w:rsidRPr="000E1448">
        <w:rPr>
          <w:lang w:val="es-ES_tradnl"/>
        </w:rPr>
        <w:t xml:space="preserve"> para calcular la </w:t>
      </w:r>
      <w:r w:rsidRPr="005E5F55">
        <w:rPr>
          <w:i/>
          <w:lang w:val="es-ES_tradnl"/>
        </w:rPr>
        <w:t>P</w:t>
      </w:r>
      <w:r w:rsidRPr="005E5F55">
        <w:rPr>
          <w:i/>
          <w:vertAlign w:val="subscript"/>
          <w:lang w:val="es-ES_tradnl"/>
        </w:rPr>
        <w:t>ob</w:t>
      </w:r>
      <w:r w:rsidRPr="000E1448">
        <w:rPr>
          <w:lang w:val="es-ES_tradnl"/>
        </w:rPr>
        <w:t xml:space="preserve">, probabilidad de que una observación del SRA reciba interferencia para un valor particular de </w:t>
      </w:r>
      <w:r w:rsidRPr="005E5F55">
        <w:rPr>
          <w:i/>
          <w:lang w:val="es-ES_tradnl"/>
        </w:rPr>
        <w:t>X</w:t>
      </w:r>
      <w:r w:rsidRPr="000E1448">
        <w:rPr>
          <w:lang w:val="es-ES_tradnl"/>
        </w:rPr>
        <w:t>.</w:t>
      </w:r>
    </w:p>
    <w:p w:rsidR="006A2558" w:rsidRPr="000E1448" w:rsidRDefault="006A2558" w:rsidP="006A2558">
      <w:pPr>
        <w:pStyle w:val="enumlev1"/>
        <w:rPr>
          <w:lang w:val="es-ES_tradnl"/>
        </w:rPr>
      </w:pPr>
      <w:r>
        <w:rPr>
          <w:lang w:val="es-ES_tradnl"/>
        </w:rPr>
        <w:t xml:space="preserve">Paso </w:t>
      </w:r>
      <w:r w:rsidRPr="000E1448">
        <w:rPr>
          <w:lang w:val="es-ES_tradnl"/>
        </w:rPr>
        <w:t>1</w:t>
      </w:r>
      <w:r>
        <w:rPr>
          <w:lang w:val="es-ES_tradnl"/>
        </w:rPr>
        <w:t>:</w:t>
      </w:r>
      <w:r w:rsidRPr="000E1448">
        <w:rPr>
          <w:lang w:val="es-ES_tradnl"/>
        </w:rPr>
        <w:tab/>
      </w:r>
      <w:r>
        <w:rPr>
          <w:lang w:val="es-ES_tradnl"/>
        </w:rPr>
        <w:tab/>
      </w:r>
      <w:r w:rsidRPr="000E1448">
        <w:rPr>
          <w:lang w:val="es-ES_tradnl"/>
        </w:rPr>
        <w:t xml:space="preserve">Se realiza una estimación inicial de </w:t>
      </w:r>
      <w:r w:rsidRPr="005E5F55">
        <w:rPr>
          <w:i/>
          <w:lang w:val="es-ES_tradnl"/>
        </w:rPr>
        <w:t>X</w:t>
      </w:r>
      <w:r w:rsidRPr="000E1448">
        <w:rPr>
          <w:vertAlign w:val="subscript"/>
          <w:lang w:val="es-ES_tradnl"/>
        </w:rPr>
        <w:t>1</w:t>
      </w:r>
      <w:r w:rsidRPr="000E1448">
        <w:rPr>
          <w:lang w:val="es-ES_tradnl"/>
        </w:rPr>
        <w:t xml:space="preserve"> (por ejemplo </w:t>
      </w:r>
      <w:r w:rsidRPr="005E5F55">
        <w:rPr>
          <w:i/>
          <w:lang w:val="es-ES_tradnl"/>
        </w:rPr>
        <w:t>X</w:t>
      </w:r>
      <w:r w:rsidRPr="000E1448">
        <w:rPr>
          <w:vertAlign w:val="subscript"/>
          <w:lang w:val="es-ES_tradnl"/>
        </w:rPr>
        <w:t>1</w:t>
      </w:r>
      <w:r w:rsidRPr="000E1448">
        <w:rPr>
          <w:lang w:val="es-ES_tradnl"/>
        </w:rPr>
        <w:t> = 200 dB).</w:t>
      </w:r>
    </w:p>
    <w:p w:rsidR="006A2558" w:rsidRPr="000E1448" w:rsidRDefault="006A2558" w:rsidP="006A2558">
      <w:pPr>
        <w:pStyle w:val="enumlev1"/>
        <w:ind w:left="1191" w:hanging="1191"/>
        <w:rPr>
          <w:lang w:val="es-ES_tradnl"/>
        </w:rPr>
      </w:pPr>
      <w:r>
        <w:rPr>
          <w:lang w:val="es-ES_tradnl"/>
        </w:rPr>
        <w:t xml:space="preserve">Paso </w:t>
      </w:r>
      <w:r w:rsidRPr="000E1448">
        <w:rPr>
          <w:lang w:val="es-ES_tradnl"/>
        </w:rPr>
        <w:t>2</w:t>
      </w:r>
      <w:r>
        <w:rPr>
          <w:lang w:val="es-ES_tradnl"/>
        </w:rPr>
        <w:t>:</w:t>
      </w:r>
      <w:r w:rsidRPr="000E1448">
        <w:rPr>
          <w:lang w:val="es-ES_tradnl"/>
        </w:rPr>
        <w:tab/>
      </w:r>
      <w:r>
        <w:rPr>
          <w:lang w:val="es-ES_tradnl"/>
        </w:rPr>
        <w:tab/>
      </w:r>
      <w:r w:rsidRPr="000E1448">
        <w:rPr>
          <w:lang w:val="es-ES_tradnl"/>
        </w:rPr>
        <w:t>Se calcula la probabilidad de que una observación reciba interferencia procedente de una instalación de P</w:t>
      </w:r>
      <w:r w:rsidRPr="000E1448">
        <w:rPr>
          <w:lang w:val="es-ES_tradnl"/>
        </w:rPr>
        <w:noBreakHyphen/>
        <w:t>MP HDFS </w:t>
      </w:r>
      <w:r w:rsidRPr="005E5F55">
        <w:rPr>
          <w:i/>
          <w:lang w:val="es-ES_tradnl"/>
        </w:rPr>
        <w:t>P</w:t>
      </w:r>
      <w:r w:rsidRPr="005E5F55">
        <w:rPr>
          <w:i/>
          <w:vertAlign w:val="subscript"/>
          <w:lang w:val="es-ES_tradnl"/>
        </w:rPr>
        <w:t>ob</w:t>
      </w:r>
      <w:r w:rsidRPr="000E1448">
        <w:rPr>
          <w:vertAlign w:val="subscript"/>
          <w:lang w:val="es-ES_tradnl"/>
        </w:rPr>
        <w:t>-1</w:t>
      </w:r>
      <w:r w:rsidRPr="000E1448">
        <w:rPr>
          <w:lang w:val="es-ES_tradnl"/>
        </w:rPr>
        <w:t> = </w:t>
      </w:r>
      <w:r w:rsidRPr="005E5F55">
        <w:rPr>
          <w:i/>
          <w:lang w:val="es-ES_tradnl"/>
        </w:rPr>
        <w:t>P</w:t>
      </w:r>
      <w:r w:rsidRPr="005E5F55">
        <w:rPr>
          <w:i/>
          <w:vertAlign w:val="subscript"/>
          <w:lang w:val="es-ES_tradnl"/>
        </w:rPr>
        <w:t>ob</w:t>
      </w:r>
      <w:r w:rsidRPr="000E1448">
        <w:rPr>
          <w:lang w:val="es-ES_tradnl"/>
        </w:rPr>
        <w:t>(</w:t>
      </w:r>
      <w:r w:rsidRPr="005E5F55">
        <w:rPr>
          <w:i/>
          <w:lang w:val="es-ES_tradnl"/>
        </w:rPr>
        <w:t>X</w:t>
      </w:r>
      <w:r w:rsidRPr="000E1448">
        <w:rPr>
          <w:vertAlign w:val="subscript"/>
          <w:lang w:val="es-ES_tradnl"/>
        </w:rPr>
        <w:t>1</w:t>
      </w:r>
      <w:r w:rsidRPr="000E1448">
        <w:rPr>
          <w:lang w:val="es-ES_tradnl"/>
        </w:rPr>
        <w:t xml:space="preserve">), utilizando la ZI definida por los emplazamientos para los cuales el valor de </w:t>
      </w:r>
      <w:r w:rsidRPr="005E5F55">
        <w:rPr>
          <w:i/>
          <w:lang w:val="es-ES_tradnl"/>
        </w:rPr>
        <w:t>L</w:t>
      </w:r>
      <w:r w:rsidRPr="000E1448">
        <w:rPr>
          <w:vertAlign w:val="subscript"/>
          <w:lang w:val="es-ES_tradnl"/>
        </w:rPr>
        <w:t>452</w:t>
      </w:r>
      <w:r w:rsidRPr="000E1448">
        <w:rPr>
          <w:lang w:val="es-ES_tradnl"/>
        </w:rPr>
        <w:t>(10%) </w:t>
      </w:r>
      <w:r>
        <w:sym w:font="Symbol" w:char="F0B3"/>
      </w:r>
      <w:r w:rsidRPr="000E1448">
        <w:rPr>
          <w:lang w:val="es-ES_tradnl"/>
        </w:rPr>
        <w:t> </w:t>
      </w:r>
      <w:r w:rsidRPr="005E5F55">
        <w:rPr>
          <w:i/>
          <w:lang w:val="es-ES_tradnl"/>
        </w:rPr>
        <w:t>X</w:t>
      </w:r>
      <w:r w:rsidRPr="000E1448">
        <w:rPr>
          <w:vertAlign w:val="subscript"/>
          <w:lang w:val="es-ES_tradnl"/>
        </w:rPr>
        <w:t>1</w:t>
      </w:r>
      <w:r w:rsidRPr="000E1448">
        <w:rPr>
          <w:lang w:val="es-ES_tradnl"/>
        </w:rPr>
        <w:t>.</w:t>
      </w:r>
    </w:p>
    <w:p w:rsidR="006A2558" w:rsidRPr="000E1448" w:rsidRDefault="006A2558" w:rsidP="006A2558">
      <w:pPr>
        <w:pStyle w:val="enumlev1"/>
        <w:rPr>
          <w:lang w:val="es-ES_tradnl"/>
        </w:rPr>
      </w:pPr>
      <w:r>
        <w:rPr>
          <w:lang w:val="es-ES_tradnl"/>
        </w:rPr>
        <w:t xml:space="preserve">Paso </w:t>
      </w:r>
      <w:r w:rsidRPr="000E1448">
        <w:rPr>
          <w:lang w:val="es-ES_tradnl"/>
        </w:rPr>
        <w:t>3</w:t>
      </w:r>
      <w:r>
        <w:rPr>
          <w:lang w:val="es-ES_tradnl"/>
        </w:rPr>
        <w:t>:</w:t>
      </w:r>
      <w:r w:rsidRPr="000E1448">
        <w:rPr>
          <w:lang w:val="es-ES_tradnl"/>
        </w:rPr>
        <w:tab/>
      </w:r>
      <w:r>
        <w:rPr>
          <w:lang w:val="es-ES_tradnl"/>
        </w:rPr>
        <w:tab/>
      </w:r>
      <w:r w:rsidRPr="000E1448">
        <w:rPr>
          <w:lang w:val="es-ES_tradnl"/>
        </w:rPr>
        <w:t xml:space="preserve">Si </w:t>
      </w:r>
      <w:r w:rsidRPr="005E5F55">
        <w:rPr>
          <w:i/>
          <w:lang w:val="es-ES_tradnl"/>
        </w:rPr>
        <w:t>P</w:t>
      </w:r>
      <w:r w:rsidRPr="005E5F55">
        <w:rPr>
          <w:i/>
          <w:vertAlign w:val="subscript"/>
          <w:lang w:val="es-ES_tradnl"/>
        </w:rPr>
        <w:t>ob</w:t>
      </w:r>
      <w:r w:rsidRPr="000E1448">
        <w:rPr>
          <w:vertAlign w:val="subscript"/>
          <w:lang w:val="es-ES_tradnl"/>
        </w:rPr>
        <w:t>-1</w:t>
      </w:r>
      <w:r w:rsidRPr="000E1448">
        <w:rPr>
          <w:lang w:val="es-ES_tradnl"/>
        </w:rPr>
        <w:t xml:space="preserve"> &gt; 2% (valor umbral del SRA) se toma la siguiente estimación </w:t>
      </w:r>
      <w:r w:rsidRPr="005E5F55">
        <w:rPr>
          <w:i/>
          <w:lang w:val="es-ES_tradnl"/>
        </w:rPr>
        <w:t>X</w:t>
      </w:r>
      <w:r w:rsidRPr="000E1448">
        <w:rPr>
          <w:vertAlign w:val="subscript"/>
          <w:lang w:val="es-ES_tradnl"/>
        </w:rPr>
        <w:t>2</w:t>
      </w:r>
      <w:r w:rsidRPr="000E1448">
        <w:rPr>
          <w:lang w:val="es-ES_tradnl"/>
        </w:rPr>
        <w:t xml:space="preserve"> = </w:t>
      </w:r>
      <w:r w:rsidRPr="005E5F55">
        <w:rPr>
          <w:i/>
          <w:lang w:val="es-ES_tradnl"/>
        </w:rPr>
        <w:t>X</w:t>
      </w:r>
      <w:r w:rsidRPr="000E1448">
        <w:rPr>
          <w:vertAlign w:val="subscript"/>
          <w:lang w:val="es-ES_tradnl"/>
        </w:rPr>
        <w:t xml:space="preserve">1 </w:t>
      </w:r>
      <w:r w:rsidRPr="000E1448">
        <w:rPr>
          <w:lang w:val="es-ES_tradnl"/>
        </w:rPr>
        <w:t>+ 16 dB.</w:t>
      </w:r>
    </w:p>
    <w:p w:rsidR="006A2558" w:rsidRPr="000E1448" w:rsidRDefault="006A2558" w:rsidP="006A2558">
      <w:pPr>
        <w:pStyle w:val="enumlev1"/>
        <w:rPr>
          <w:lang w:val="es-ES_tradnl"/>
        </w:rPr>
      </w:pPr>
      <w:r>
        <w:rPr>
          <w:lang w:val="es-ES_tradnl"/>
        </w:rPr>
        <w:t xml:space="preserve">Paso </w:t>
      </w:r>
      <w:r w:rsidRPr="000E1448">
        <w:rPr>
          <w:lang w:val="es-ES_tradnl"/>
        </w:rPr>
        <w:t>4</w:t>
      </w:r>
      <w:r>
        <w:rPr>
          <w:lang w:val="es-ES_tradnl"/>
        </w:rPr>
        <w:t>:</w:t>
      </w:r>
      <w:r w:rsidRPr="000E1448">
        <w:rPr>
          <w:lang w:val="es-ES_tradnl"/>
        </w:rPr>
        <w:tab/>
      </w:r>
      <w:r>
        <w:rPr>
          <w:lang w:val="es-ES_tradnl"/>
        </w:rPr>
        <w:tab/>
      </w:r>
      <w:r w:rsidRPr="000E1448">
        <w:rPr>
          <w:lang w:val="es-ES_tradnl"/>
        </w:rPr>
        <w:t xml:space="preserve">Si </w:t>
      </w:r>
      <w:r w:rsidRPr="005E5F55">
        <w:rPr>
          <w:i/>
          <w:lang w:val="es-ES_tradnl"/>
        </w:rPr>
        <w:t>P</w:t>
      </w:r>
      <w:r w:rsidRPr="005E5F55">
        <w:rPr>
          <w:i/>
          <w:vertAlign w:val="subscript"/>
          <w:lang w:val="es-ES_tradnl"/>
        </w:rPr>
        <w:t>ob</w:t>
      </w:r>
      <w:r w:rsidRPr="000E1448">
        <w:rPr>
          <w:vertAlign w:val="subscript"/>
          <w:lang w:val="es-ES_tradnl"/>
        </w:rPr>
        <w:t>-1</w:t>
      </w:r>
      <w:r w:rsidRPr="000E1448">
        <w:rPr>
          <w:lang w:val="es-ES_tradnl"/>
        </w:rPr>
        <w:t xml:space="preserve"> &lt; 2% (valor umbral del SRA) se toma la siguiente estimación </w:t>
      </w:r>
      <w:r w:rsidRPr="005E5F55">
        <w:rPr>
          <w:i/>
          <w:lang w:val="es-ES_tradnl"/>
        </w:rPr>
        <w:t>X</w:t>
      </w:r>
      <w:r w:rsidRPr="000E1448">
        <w:rPr>
          <w:vertAlign w:val="subscript"/>
          <w:lang w:val="es-ES_tradnl"/>
        </w:rPr>
        <w:t>2</w:t>
      </w:r>
      <w:r w:rsidRPr="000E1448">
        <w:rPr>
          <w:lang w:val="es-ES_tradnl"/>
        </w:rPr>
        <w:t xml:space="preserve"> = </w:t>
      </w:r>
      <w:r w:rsidRPr="005E5F55">
        <w:rPr>
          <w:i/>
          <w:lang w:val="es-ES_tradnl"/>
        </w:rPr>
        <w:t>X</w:t>
      </w:r>
      <w:r w:rsidRPr="000E1448">
        <w:rPr>
          <w:vertAlign w:val="subscript"/>
          <w:lang w:val="es-ES_tradnl"/>
        </w:rPr>
        <w:t xml:space="preserve">1 </w:t>
      </w:r>
      <w:r w:rsidRPr="000E1448">
        <w:rPr>
          <w:lang w:val="es-ES_tradnl"/>
        </w:rPr>
        <w:t>– 16 dB.</w:t>
      </w:r>
    </w:p>
    <w:p w:rsidR="006A2558" w:rsidRPr="000E1448" w:rsidRDefault="006A2558" w:rsidP="006A2558">
      <w:pPr>
        <w:pStyle w:val="enumlev1"/>
        <w:ind w:left="1191" w:hanging="1191"/>
        <w:rPr>
          <w:lang w:val="es-ES_tradnl"/>
        </w:rPr>
      </w:pPr>
      <w:r>
        <w:rPr>
          <w:lang w:val="es-ES_tradnl"/>
        </w:rPr>
        <w:t xml:space="preserve">Paso </w:t>
      </w:r>
      <w:r w:rsidRPr="000E1448">
        <w:rPr>
          <w:lang w:val="es-ES_tradnl"/>
        </w:rPr>
        <w:t>5</w:t>
      </w:r>
      <w:r>
        <w:rPr>
          <w:lang w:val="es-ES_tradnl"/>
        </w:rPr>
        <w:t>:</w:t>
      </w:r>
      <w:r w:rsidRPr="000E1448">
        <w:rPr>
          <w:lang w:val="es-ES_tradnl"/>
        </w:rPr>
        <w:tab/>
      </w:r>
      <w:r>
        <w:rPr>
          <w:lang w:val="es-ES_tradnl"/>
        </w:rPr>
        <w:tab/>
      </w:r>
      <w:r w:rsidRPr="000E1448">
        <w:rPr>
          <w:lang w:val="es-ES_tradnl"/>
        </w:rPr>
        <w:t xml:space="preserve">Se repiten los </w:t>
      </w:r>
      <w:r>
        <w:rPr>
          <w:lang w:val="es-ES_tradnl"/>
        </w:rPr>
        <w:t>P</w:t>
      </w:r>
      <w:r w:rsidRPr="000E1448">
        <w:rPr>
          <w:lang w:val="es-ES_tradnl"/>
        </w:rPr>
        <w:t xml:space="preserve">asos 2 a 5 hasta que </w:t>
      </w:r>
      <w:r w:rsidRPr="005E5F55">
        <w:rPr>
          <w:i/>
          <w:lang w:val="es-ES_tradnl"/>
        </w:rPr>
        <w:t>X</w:t>
      </w:r>
      <w:r w:rsidRPr="005E5F55">
        <w:rPr>
          <w:i/>
          <w:vertAlign w:val="subscript"/>
          <w:lang w:val="es-ES_tradnl"/>
        </w:rPr>
        <w:t>n</w:t>
      </w:r>
      <w:r w:rsidRPr="000E1448">
        <w:rPr>
          <w:lang w:val="es-ES_tradnl"/>
        </w:rPr>
        <w:t xml:space="preserve"> y </w:t>
      </w:r>
      <w:r w:rsidRPr="005E5F55">
        <w:rPr>
          <w:i/>
          <w:lang w:val="es-ES_tradnl"/>
        </w:rPr>
        <w:t>X</w:t>
      </w:r>
      <w:r w:rsidRPr="005E5F55">
        <w:rPr>
          <w:i/>
          <w:vertAlign w:val="subscript"/>
          <w:lang w:val="es-ES_tradnl"/>
        </w:rPr>
        <w:t>n</w:t>
      </w:r>
      <w:r w:rsidRPr="000E1448">
        <w:rPr>
          <w:vertAlign w:val="subscript"/>
          <w:lang w:val="es-ES_tradnl"/>
        </w:rPr>
        <w:t xml:space="preserve">+1 </w:t>
      </w:r>
      <w:r w:rsidRPr="000E1448">
        <w:rPr>
          <w:lang w:val="es-ES_tradnl"/>
        </w:rPr>
        <w:t xml:space="preserve">den lugar a unos valores </w:t>
      </w:r>
      <w:r w:rsidRPr="005E5F55">
        <w:rPr>
          <w:i/>
          <w:lang w:val="es-ES_tradnl"/>
        </w:rPr>
        <w:t>P</w:t>
      </w:r>
      <w:r w:rsidRPr="005E5F55">
        <w:rPr>
          <w:i/>
          <w:vertAlign w:val="subscript"/>
          <w:lang w:val="es-ES_tradnl"/>
        </w:rPr>
        <w:t>ob</w:t>
      </w:r>
      <w:r w:rsidRPr="000E1448">
        <w:rPr>
          <w:vertAlign w:val="subscript"/>
          <w:lang w:val="es-ES_tradnl"/>
        </w:rPr>
        <w:t>-</w:t>
      </w:r>
      <w:r w:rsidRPr="005E5F55">
        <w:rPr>
          <w:i/>
          <w:vertAlign w:val="subscript"/>
          <w:lang w:val="es-ES_tradnl"/>
        </w:rPr>
        <w:t>n</w:t>
      </w:r>
      <w:r w:rsidRPr="000E1448">
        <w:rPr>
          <w:lang w:val="es-ES_tradnl"/>
        </w:rPr>
        <w:t xml:space="preserve"> y </w:t>
      </w:r>
      <w:r w:rsidRPr="005E5F55">
        <w:rPr>
          <w:i/>
          <w:lang w:val="es-ES_tradnl"/>
        </w:rPr>
        <w:t>P</w:t>
      </w:r>
      <w:r w:rsidRPr="005E5F55">
        <w:rPr>
          <w:i/>
          <w:vertAlign w:val="subscript"/>
          <w:lang w:val="es-ES_tradnl"/>
        </w:rPr>
        <w:t>ob</w:t>
      </w:r>
      <w:r w:rsidRPr="000E1448">
        <w:rPr>
          <w:vertAlign w:val="subscript"/>
          <w:lang w:val="es-ES_tradnl"/>
        </w:rPr>
        <w:t>-</w:t>
      </w:r>
      <w:r w:rsidRPr="005E5F55">
        <w:rPr>
          <w:i/>
          <w:vertAlign w:val="subscript"/>
          <w:lang w:val="es-ES_tradnl"/>
        </w:rPr>
        <w:t>n</w:t>
      </w:r>
      <w:r w:rsidRPr="000E1448">
        <w:rPr>
          <w:vertAlign w:val="subscript"/>
          <w:lang w:val="es-ES_tradnl"/>
        </w:rPr>
        <w:t>+1</w:t>
      </w:r>
      <w:r w:rsidRPr="000E1448">
        <w:rPr>
          <w:lang w:val="es-ES_tradnl"/>
        </w:rPr>
        <w:t xml:space="preserve"> que acoten el umbral requerido del 2%.</w:t>
      </w:r>
    </w:p>
    <w:p w:rsidR="006A2558" w:rsidRPr="000E1448" w:rsidRDefault="006A2558" w:rsidP="006A2558">
      <w:pPr>
        <w:pStyle w:val="enumlev1"/>
        <w:ind w:left="1191" w:hanging="1191"/>
        <w:rPr>
          <w:lang w:val="es-ES_tradnl"/>
        </w:rPr>
      </w:pPr>
      <w:r>
        <w:rPr>
          <w:lang w:val="es-ES_tradnl"/>
        </w:rPr>
        <w:t xml:space="preserve">Paso </w:t>
      </w:r>
      <w:r w:rsidRPr="000E1448">
        <w:rPr>
          <w:lang w:val="es-ES_tradnl"/>
        </w:rPr>
        <w:t>6</w:t>
      </w:r>
      <w:r>
        <w:rPr>
          <w:lang w:val="es-ES_tradnl"/>
        </w:rPr>
        <w:t>:</w:t>
      </w:r>
      <w:r w:rsidRPr="000E1448">
        <w:rPr>
          <w:lang w:val="es-ES_tradnl"/>
        </w:rPr>
        <w:tab/>
      </w:r>
      <w:r>
        <w:rPr>
          <w:lang w:val="es-ES_tradnl"/>
        </w:rPr>
        <w:tab/>
      </w:r>
      <w:r w:rsidRPr="000E1448">
        <w:rPr>
          <w:lang w:val="es-ES_tradnl"/>
        </w:rPr>
        <w:t xml:space="preserve">Se recortan los valores de </w:t>
      </w:r>
      <w:r w:rsidRPr="005E5F55">
        <w:rPr>
          <w:i/>
          <w:lang w:val="es-ES_tradnl"/>
        </w:rPr>
        <w:t>X</w:t>
      </w:r>
      <w:r w:rsidRPr="005E5F55">
        <w:rPr>
          <w:i/>
          <w:vertAlign w:val="subscript"/>
          <w:lang w:val="es-ES_tradnl"/>
        </w:rPr>
        <w:t>n</w:t>
      </w:r>
      <w:r w:rsidRPr="000E1448">
        <w:rPr>
          <w:lang w:val="es-ES_tradnl"/>
        </w:rPr>
        <w:t xml:space="preserve"> y </w:t>
      </w:r>
      <w:r w:rsidRPr="005E5F55">
        <w:rPr>
          <w:i/>
          <w:lang w:val="es-ES_tradnl"/>
        </w:rPr>
        <w:t>X</w:t>
      </w:r>
      <w:r w:rsidRPr="005E5F55">
        <w:rPr>
          <w:i/>
          <w:vertAlign w:val="subscript"/>
          <w:lang w:val="es-ES_tradnl"/>
        </w:rPr>
        <w:t>n</w:t>
      </w:r>
      <w:r w:rsidRPr="000E1448">
        <w:rPr>
          <w:vertAlign w:val="subscript"/>
          <w:lang w:val="es-ES_tradnl"/>
        </w:rPr>
        <w:t>+1</w:t>
      </w:r>
      <w:r w:rsidRPr="000E1448">
        <w:rPr>
          <w:lang w:val="es-ES_tradnl"/>
        </w:rPr>
        <w:t xml:space="preserve"> hasta que la diferencia entre ambos sea 1 dB; es decir </w:t>
      </w:r>
      <w:r>
        <w:rPr>
          <w:position w:val="-14"/>
        </w:rPr>
        <w:object w:dxaOrig="1460" w:dyaOrig="400">
          <v:shape id="_x0000_i1035" type="#_x0000_t75" style="width:73pt;height:20.5pt" o:ole="" fillcolor="window">
            <v:imagedata r:id="rId32" o:title=""/>
          </v:shape>
          <o:OLEObject Type="Embed" ProgID="Equation.3" ShapeID="_x0000_i1035" DrawAspect="Content" ObjectID="_1574161738" r:id="rId33"/>
        </w:object>
      </w:r>
      <w:r w:rsidRPr="000E1448">
        <w:rPr>
          <w:lang w:val="es-ES_tradnl"/>
        </w:rPr>
        <w:t> dB.</w:t>
      </w:r>
    </w:p>
    <w:p w:rsidR="006A2558" w:rsidRPr="000E1448" w:rsidRDefault="006A2558" w:rsidP="006A2558">
      <w:pPr>
        <w:pStyle w:val="enumlev1"/>
        <w:ind w:left="1191" w:hanging="1191"/>
        <w:rPr>
          <w:lang w:val="es-ES_tradnl"/>
        </w:rPr>
      </w:pPr>
      <w:r>
        <w:rPr>
          <w:lang w:val="es-ES_tradnl"/>
        </w:rPr>
        <w:t xml:space="preserve">Paso </w:t>
      </w:r>
      <w:r w:rsidRPr="000E1448">
        <w:rPr>
          <w:lang w:val="es-ES_tradnl"/>
        </w:rPr>
        <w:t>7</w:t>
      </w:r>
      <w:r>
        <w:rPr>
          <w:lang w:val="es-ES_tradnl"/>
        </w:rPr>
        <w:t>:</w:t>
      </w:r>
      <w:r w:rsidRPr="000E1448">
        <w:rPr>
          <w:lang w:val="es-ES_tradnl"/>
        </w:rPr>
        <w:tab/>
      </w:r>
      <w:r>
        <w:rPr>
          <w:lang w:val="es-ES_tradnl"/>
        </w:rPr>
        <w:tab/>
      </w:r>
      <w:r w:rsidRPr="000E1448">
        <w:rPr>
          <w:lang w:val="es-ES_tradnl"/>
        </w:rPr>
        <w:t>El resultado es el mayor valor entre X</w:t>
      </w:r>
      <w:r w:rsidRPr="000E1448">
        <w:rPr>
          <w:vertAlign w:val="subscript"/>
          <w:lang w:val="es-ES_tradnl"/>
        </w:rPr>
        <w:t>n</w:t>
      </w:r>
      <w:r w:rsidRPr="000E1448">
        <w:rPr>
          <w:lang w:val="es-ES_tradnl"/>
        </w:rPr>
        <w:t xml:space="preserve"> y X</w:t>
      </w:r>
      <w:r w:rsidRPr="000E1448">
        <w:rPr>
          <w:vertAlign w:val="subscript"/>
          <w:lang w:val="es-ES_tradnl"/>
        </w:rPr>
        <w:t>n+1</w:t>
      </w:r>
      <w:r w:rsidRPr="000E1448">
        <w:rPr>
          <w:lang w:val="es-ES_tradnl"/>
        </w:rPr>
        <w:t xml:space="preserve">; es decir, aquél para el cual se obtiene una </w:t>
      </w:r>
      <w:r w:rsidRPr="005E5F55">
        <w:rPr>
          <w:i/>
          <w:lang w:val="es-ES_tradnl"/>
        </w:rPr>
        <w:t>P</w:t>
      </w:r>
      <w:r w:rsidRPr="005E5F55">
        <w:rPr>
          <w:i/>
          <w:vertAlign w:val="subscript"/>
          <w:lang w:val="es-ES_tradnl"/>
        </w:rPr>
        <w:t>ob</w:t>
      </w:r>
      <w:r w:rsidRPr="000E1448">
        <w:rPr>
          <w:lang w:val="es-ES_tradnl"/>
        </w:rPr>
        <w:t xml:space="preserve"> &lt; 2%.</w:t>
      </w:r>
    </w:p>
    <w:p w:rsidR="006A2558" w:rsidRPr="007E12DE" w:rsidRDefault="006A2558" w:rsidP="006A2558">
      <w:pPr>
        <w:pStyle w:val="Note"/>
        <w:keepNext/>
        <w:rPr>
          <w:lang w:val="es-ES_tradnl"/>
        </w:rPr>
      </w:pPr>
      <w:r>
        <w:rPr>
          <w:lang w:val="es-ES_tradnl"/>
        </w:rPr>
        <w:lastRenderedPageBreak/>
        <w:t>NOTAS:</w:t>
      </w:r>
    </w:p>
    <w:p w:rsidR="006A2558" w:rsidRPr="007E12DE" w:rsidRDefault="006A2558" w:rsidP="006A2558">
      <w:pPr>
        <w:pStyle w:val="Note"/>
        <w:ind w:left="720" w:hanging="720"/>
        <w:rPr>
          <w:lang w:val="es-ES_tradnl"/>
        </w:rPr>
      </w:pPr>
      <w:r w:rsidRPr="007E12DE">
        <w:rPr>
          <w:lang w:val="es-ES_tradnl"/>
        </w:rPr>
        <w:t>a)</w:t>
      </w:r>
      <w:r w:rsidRPr="007E12DE">
        <w:rPr>
          <w:lang w:val="es-ES_tradnl"/>
        </w:rPr>
        <w:tab/>
        <w:t>Pueden utilizarse incrementos inferiores o mayores a 16 dB para buscar un par acotado de X</w:t>
      </w:r>
      <w:r w:rsidRPr="007E12DE">
        <w:rPr>
          <w:vertAlign w:val="subscript"/>
          <w:lang w:val="es-ES_tradnl"/>
        </w:rPr>
        <w:t>n</w:t>
      </w:r>
      <w:r w:rsidRPr="007E12DE">
        <w:rPr>
          <w:lang w:val="es-ES_tradnl"/>
        </w:rPr>
        <w:t>,</w:t>
      </w:r>
      <w:r>
        <w:rPr>
          <w:lang w:val="es-ES_tradnl"/>
        </w:rPr>
        <w:t xml:space="preserve"> si ha lugar.</w:t>
      </w:r>
    </w:p>
    <w:p w:rsidR="006A2558" w:rsidRPr="00401F82" w:rsidRDefault="006A2558" w:rsidP="006A2558">
      <w:pPr>
        <w:pStyle w:val="Note"/>
        <w:ind w:left="720" w:hanging="720"/>
        <w:rPr>
          <w:lang w:val="es-ES_tradnl"/>
        </w:rPr>
      </w:pPr>
      <w:r w:rsidRPr="00401F82">
        <w:rPr>
          <w:lang w:val="es-ES_tradnl"/>
        </w:rPr>
        <w:t>b)</w:t>
      </w:r>
      <w:r w:rsidRPr="00401F82">
        <w:rPr>
          <w:lang w:val="es-ES_tradnl"/>
        </w:rPr>
        <w:tab/>
        <w:t>Si bien es posible continuar realizando la iteración hasta que la diferencia entre X</w:t>
      </w:r>
      <w:r>
        <w:rPr>
          <w:vertAlign w:val="subscript"/>
          <w:lang w:val="es-ES_tradnl"/>
        </w:rPr>
        <w:t>n</w:t>
      </w:r>
      <w:r w:rsidRPr="00401F82">
        <w:rPr>
          <w:lang w:val="es-ES_tradnl"/>
        </w:rPr>
        <w:t xml:space="preserve"> y X</w:t>
      </w:r>
      <w:r w:rsidRPr="00401F82">
        <w:rPr>
          <w:vertAlign w:val="subscript"/>
          <w:lang w:val="es-ES_tradnl"/>
        </w:rPr>
        <w:t>n+1</w:t>
      </w:r>
      <w:r w:rsidRPr="00401F82">
        <w:rPr>
          <w:lang w:val="es-ES_tradnl"/>
        </w:rPr>
        <w:t xml:space="preserve"> </w:t>
      </w:r>
      <w:r>
        <w:rPr>
          <w:lang w:val="es-ES_tradnl"/>
        </w:rPr>
        <w:t xml:space="preserve">sea menor de </w:t>
      </w:r>
      <w:r w:rsidRPr="00401F82">
        <w:rPr>
          <w:lang w:val="es-ES_tradnl"/>
        </w:rPr>
        <w:t xml:space="preserve">1 dB, </w:t>
      </w:r>
      <w:r>
        <w:rPr>
          <w:lang w:val="es-ES_tradnl"/>
        </w:rPr>
        <w:t>cabe señalar que hay límites en la precisión del modelo de propagación descrito en la Recomendación UIT</w:t>
      </w:r>
      <w:r>
        <w:rPr>
          <w:lang w:val="es-ES_tradnl"/>
        </w:rPr>
        <w:noBreakHyphen/>
        <w:t>R P.</w:t>
      </w:r>
      <w:r w:rsidRPr="00401F82">
        <w:rPr>
          <w:lang w:val="es-ES_tradnl"/>
        </w:rPr>
        <w:t>452.</w:t>
      </w:r>
    </w:p>
    <w:p w:rsidR="006A2558" w:rsidRPr="000E1448" w:rsidRDefault="006A2558" w:rsidP="006A2558">
      <w:pPr>
        <w:pStyle w:val="Heading1"/>
        <w:rPr>
          <w:lang w:val="es-ES_tradnl"/>
        </w:rPr>
      </w:pPr>
      <w:bookmarkStart w:id="24" w:name="_Toc151539988"/>
      <w:r w:rsidRPr="000E1448">
        <w:rPr>
          <w:lang w:val="es-ES_tradnl"/>
        </w:rPr>
        <w:t>3</w:t>
      </w:r>
      <w:r w:rsidRPr="000E1448">
        <w:rPr>
          <w:lang w:val="es-ES_tradnl"/>
        </w:rPr>
        <w:tab/>
        <w:t>Tipos de ZE</w:t>
      </w:r>
      <w:bookmarkEnd w:id="24"/>
    </w:p>
    <w:p w:rsidR="006A2558" w:rsidRPr="000E1448" w:rsidRDefault="006A2558" w:rsidP="006A2558">
      <w:pPr>
        <w:pStyle w:val="Heading2"/>
        <w:rPr>
          <w:lang w:val="es-ES_tradnl"/>
        </w:rPr>
      </w:pPr>
      <w:bookmarkStart w:id="25" w:name="_Toc151539989"/>
      <w:r w:rsidRPr="000E1448">
        <w:rPr>
          <w:lang w:val="es-ES_tradnl"/>
        </w:rPr>
        <w:t>3.1</w:t>
      </w:r>
      <w:r w:rsidRPr="000E1448">
        <w:rPr>
          <w:lang w:val="es-ES_tradnl"/>
        </w:rPr>
        <w:tab/>
        <w:t>Modelos de referencia P-MP HDFS</w:t>
      </w:r>
      <w:bookmarkEnd w:id="25"/>
    </w:p>
    <w:p w:rsidR="006A2558" w:rsidRPr="000E1448" w:rsidRDefault="006A2558" w:rsidP="006A2558">
      <w:pPr>
        <w:rPr>
          <w:lang w:val="es-ES_tradnl"/>
        </w:rPr>
      </w:pPr>
      <w:r w:rsidRPr="000E1448">
        <w:rPr>
          <w:lang w:val="es-ES_tradnl"/>
        </w:rPr>
        <w:t>El tamaño de la ZE dependerá del modelo de referencia P</w:t>
      </w:r>
      <w:r w:rsidRPr="000E1448">
        <w:rPr>
          <w:lang w:val="es-ES_tradnl"/>
        </w:rPr>
        <w:noBreakHyphen/>
        <w:t>MP HDFS especificado mediante la distribución de p.i.r.e.c. y la altura de antena. El valor de L</w:t>
      </w:r>
      <w:r w:rsidRPr="000E1448">
        <w:rPr>
          <w:vertAlign w:val="subscript"/>
          <w:lang w:val="es-ES_tradnl"/>
        </w:rPr>
        <w:t>452</w:t>
      </w:r>
      <w:r w:rsidRPr="000E1448">
        <w:rPr>
          <w:lang w:val="es-ES_tradnl"/>
        </w:rPr>
        <w:t>(10%) utiliza esta altura y la ZE es válida para antenas cuya altura es inferior o igual a este valor.</w:t>
      </w:r>
    </w:p>
    <w:p w:rsidR="006A2558" w:rsidRPr="000E1448" w:rsidRDefault="006A2558" w:rsidP="006A2558">
      <w:pPr>
        <w:rPr>
          <w:lang w:val="es-ES_tradnl"/>
        </w:rPr>
      </w:pPr>
      <w:r w:rsidRPr="000E1448">
        <w:rPr>
          <w:lang w:val="es-ES_tradnl"/>
        </w:rPr>
        <w:t>Dentro de la banda puede considerarse un cierto número de distintos modelos de referencia P</w:t>
      </w:r>
      <w:r w:rsidRPr="000E1448">
        <w:rPr>
          <w:lang w:val="es-ES_tradnl"/>
        </w:rPr>
        <w:noBreakHyphen/>
        <w:t>MP HDFS, por ejemplo considerando:</w:t>
      </w:r>
    </w:p>
    <w:p w:rsidR="006A2558" w:rsidRPr="000E1448" w:rsidRDefault="006A2558" w:rsidP="006A2558">
      <w:pPr>
        <w:pStyle w:val="enumlev1"/>
        <w:rPr>
          <w:lang w:val="es-ES_tradnl"/>
        </w:rPr>
      </w:pPr>
      <w:r>
        <w:rPr>
          <w:lang w:val="es-ES_tradnl"/>
        </w:rPr>
        <w:t>–</w:t>
      </w:r>
      <w:r w:rsidRPr="000E1448">
        <w:rPr>
          <w:lang w:val="es-ES_tradnl"/>
        </w:rPr>
        <w:tab/>
        <w:t>arquitectura: punto a multipunto (P</w:t>
      </w:r>
      <w:r w:rsidRPr="000E1448">
        <w:rPr>
          <w:lang w:val="es-ES_tradnl"/>
        </w:rPr>
        <w:noBreakHyphen/>
        <w:t>MP) o multipunto a multipunto (MP-MP);</w:t>
      </w:r>
    </w:p>
    <w:p w:rsidR="006A2558" w:rsidRPr="000E1448" w:rsidRDefault="006A2558" w:rsidP="006A2558">
      <w:pPr>
        <w:pStyle w:val="enumlev1"/>
        <w:rPr>
          <w:lang w:val="es-ES_tradnl"/>
        </w:rPr>
      </w:pPr>
      <w:r>
        <w:rPr>
          <w:lang w:val="es-ES_tradnl"/>
        </w:rPr>
        <w:t>–</w:t>
      </w:r>
      <w:r w:rsidRPr="000E1448">
        <w:rPr>
          <w:lang w:val="es-ES_tradnl"/>
        </w:rPr>
        <w:tab/>
        <w:t>sentido: enlace ascendente (UL) o enlace descendente (DL);</w:t>
      </w:r>
    </w:p>
    <w:p w:rsidR="006A2558" w:rsidRPr="000E1448" w:rsidRDefault="006A2558" w:rsidP="006A2558">
      <w:pPr>
        <w:pStyle w:val="enumlev1"/>
        <w:rPr>
          <w:lang w:val="es-ES_tradnl"/>
        </w:rPr>
      </w:pPr>
      <w:r>
        <w:rPr>
          <w:lang w:val="es-ES_tradnl"/>
        </w:rPr>
        <w:t>–</w:t>
      </w:r>
      <w:r w:rsidRPr="000E1448">
        <w:rPr>
          <w:lang w:val="es-ES_tradnl"/>
        </w:rPr>
        <w:tab/>
        <w:t>entorno: urbano de alta densidad o rural de baja densidad.</w:t>
      </w:r>
    </w:p>
    <w:p w:rsidR="006A2558" w:rsidRDefault="006A2558" w:rsidP="006A2558">
      <w:pPr>
        <w:rPr>
          <w:lang w:val="es-ES_tradnl"/>
        </w:rPr>
      </w:pPr>
      <w:r w:rsidRPr="000E1448">
        <w:rPr>
          <w:lang w:val="es-ES_tradnl"/>
        </w:rPr>
        <w:t>Cada modelo de referencia daría lugar a distintos tamaños de ZE, por consiguiente podría establecerse un conjunto como el descrito en el Cuadro 7</w:t>
      </w:r>
      <w:r>
        <w:rPr>
          <w:lang w:val="es-ES_tradnl"/>
        </w:rPr>
        <w:t>.</w:t>
      </w:r>
    </w:p>
    <w:p w:rsidR="006A2558" w:rsidRPr="000E1448" w:rsidRDefault="006A2558" w:rsidP="006A2558">
      <w:pPr>
        <w:pStyle w:val="TableNo"/>
        <w:rPr>
          <w:lang w:val="es-ES_tradnl"/>
        </w:rPr>
      </w:pPr>
      <w:r w:rsidRPr="000E1448">
        <w:rPr>
          <w:lang w:val="es-ES_tradnl"/>
        </w:rPr>
        <w:t>CUADRO 7</w:t>
      </w:r>
    </w:p>
    <w:p w:rsidR="006A2558" w:rsidRPr="000E1448" w:rsidRDefault="006A2558" w:rsidP="006A2558">
      <w:pPr>
        <w:pStyle w:val="Tabletitle"/>
        <w:rPr>
          <w:lang w:val="es-ES_tradnl"/>
        </w:rPr>
      </w:pPr>
      <w:r w:rsidRPr="000E1448">
        <w:rPr>
          <w:lang w:val="es-ES_tradnl"/>
        </w:rPr>
        <w:t>Conjunto de ZE para una serie de modelos de referencia P-MP HDFS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6A2558" w:rsidTr="00A42416">
        <w:trPr>
          <w:jc w:val="center"/>
        </w:trPr>
        <w:tc>
          <w:tcPr>
            <w:tcW w:w="3175" w:type="dxa"/>
          </w:tcPr>
          <w:p w:rsidR="006A2558" w:rsidRDefault="006A2558" w:rsidP="00A42416">
            <w:pPr>
              <w:pStyle w:val="Tablehead"/>
            </w:pPr>
            <w:r>
              <w:t>Sistema P</w:t>
            </w:r>
            <w:r>
              <w:noBreakHyphen/>
              <w:t xml:space="preserve">MP HDFS </w:t>
            </w:r>
          </w:p>
        </w:tc>
        <w:tc>
          <w:tcPr>
            <w:tcW w:w="3232" w:type="dxa"/>
          </w:tcPr>
          <w:p w:rsidR="006A2558" w:rsidRDefault="006A2558" w:rsidP="00A42416">
            <w:pPr>
              <w:pStyle w:val="Tablehead"/>
            </w:pPr>
            <w:r>
              <w:t>ZE</w:t>
            </w:r>
          </w:p>
        </w:tc>
        <w:tc>
          <w:tcPr>
            <w:tcW w:w="3232" w:type="dxa"/>
          </w:tcPr>
          <w:p w:rsidR="006A2558" w:rsidRDefault="006A2558" w:rsidP="00A42416">
            <w:pPr>
              <w:pStyle w:val="Tablehead"/>
            </w:pPr>
            <w:r>
              <w:t>Máxima altura</w:t>
            </w:r>
          </w:p>
        </w:tc>
      </w:tr>
      <w:tr w:rsidR="006A2558" w:rsidTr="00A42416">
        <w:trPr>
          <w:jc w:val="center"/>
        </w:trPr>
        <w:tc>
          <w:tcPr>
            <w:tcW w:w="3175" w:type="dxa"/>
          </w:tcPr>
          <w:p w:rsidR="006A2558" w:rsidRDefault="006A2558" w:rsidP="00A42416">
            <w:pPr>
              <w:pStyle w:val="Tabletext"/>
              <w:jc w:val="center"/>
            </w:pPr>
            <w:r>
              <w:t>Modelo de referencia</w:t>
            </w:r>
            <w:r>
              <w:noBreakHyphen/>
              <w:t>1</w:t>
            </w:r>
          </w:p>
        </w:tc>
        <w:tc>
          <w:tcPr>
            <w:tcW w:w="3232" w:type="dxa"/>
          </w:tcPr>
          <w:p w:rsidR="006A2558" w:rsidRDefault="006A2558" w:rsidP="00A42416">
            <w:pPr>
              <w:pStyle w:val="Tabletext"/>
              <w:jc w:val="center"/>
            </w:pPr>
            <w:r>
              <w:t xml:space="preserve">ZE: </w:t>
            </w:r>
            <w:r w:rsidRPr="005E5F55">
              <w:rPr>
                <w:i/>
              </w:rPr>
              <w:t>L</w:t>
            </w:r>
            <w:r>
              <w:rPr>
                <w:vertAlign w:val="subscript"/>
              </w:rPr>
              <w:t>452</w:t>
            </w:r>
            <w:r>
              <w:t xml:space="preserve">(10%) </w:t>
            </w:r>
            <w:r>
              <w:sym w:font="Symbol" w:char="F0B3"/>
            </w:r>
            <w:r>
              <w:t xml:space="preserve"> </w:t>
            </w:r>
            <w:r w:rsidRPr="005E5F55">
              <w:rPr>
                <w:i/>
              </w:rPr>
              <w:t>X</w:t>
            </w:r>
            <w:r>
              <w:rPr>
                <w:vertAlign w:val="subscript"/>
              </w:rPr>
              <w:t>1</w:t>
            </w:r>
          </w:p>
        </w:tc>
        <w:tc>
          <w:tcPr>
            <w:tcW w:w="3232" w:type="dxa"/>
          </w:tcPr>
          <w:p w:rsidR="006A2558" w:rsidRDefault="006A2558" w:rsidP="00A42416">
            <w:pPr>
              <w:pStyle w:val="Tabletext"/>
              <w:jc w:val="center"/>
            </w:pPr>
            <w:r>
              <w:t xml:space="preserve">Altura </w:t>
            </w:r>
            <w:r>
              <w:sym w:font="Symbol" w:char="F0A3"/>
            </w:r>
            <w:r>
              <w:t xml:space="preserve"> </w:t>
            </w:r>
            <w:r w:rsidRPr="005E5F55">
              <w:rPr>
                <w:i/>
              </w:rPr>
              <w:t>H</w:t>
            </w:r>
            <w:r>
              <w:rPr>
                <w:vertAlign w:val="subscript"/>
              </w:rPr>
              <w:t>1</w:t>
            </w:r>
          </w:p>
        </w:tc>
      </w:tr>
      <w:tr w:rsidR="006A2558" w:rsidTr="00A42416">
        <w:trPr>
          <w:jc w:val="center"/>
        </w:trPr>
        <w:tc>
          <w:tcPr>
            <w:tcW w:w="3175" w:type="dxa"/>
          </w:tcPr>
          <w:p w:rsidR="006A2558" w:rsidRDefault="006A2558" w:rsidP="00A42416">
            <w:pPr>
              <w:pStyle w:val="Tabletext"/>
              <w:jc w:val="center"/>
            </w:pPr>
            <w:r>
              <w:t>:</w:t>
            </w:r>
          </w:p>
        </w:tc>
        <w:tc>
          <w:tcPr>
            <w:tcW w:w="3232" w:type="dxa"/>
          </w:tcPr>
          <w:p w:rsidR="006A2558" w:rsidRDefault="006A2558" w:rsidP="00A42416">
            <w:pPr>
              <w:pStyle w:val="Tabletext"/>
              <w:jc w:val="center"/>
            </w:pPr>
            <w:r>
              <w:t>:</w:t>
            </w:r>
          </w:p>
        </w:tc>
        <w:tc>
          <w:tcPr>
            <w:tcW w:w="3232" w:type="dxa"/>
          </w:tcPr>
          <w:p w:rsidR="006A2558" w:rsidRDefault="006A2558" w:rsidP="00A42416">
            <w:pPr>
              <w:pStyle w:val="Tabletext"/>
              <w:jc w:val="center"/>
            </w:pPr>
            <w:r>
              <w:t>:</w:t>
            </w:r>
          </w:p>
        </w:tc>
      </w:tr>
      <w:tr w:rsidR="006A2558" w:rsidTr="00A42416">
        <w:trPr>
          <w:jc w:val="center"/>
        </w:trPr>
        <w:tc>
          <w:tcPr>
            <w:tcW w:w="3175" w:type="dxa"/>
          </w:tcPr>
          <w:p w:rsidR="006A2558" w:rsidRDefault="006A2558" w:rsidP="00A42416">
            <w:pPr>
              <w:pStyle w:val="Tabletext"/>
              <w:jc w:val="center"/>
            </w:pPr>
            <w:r>
              <w:t>Modelo de referencia</w:t>
            </w:r>
            <w:r>
              <w:noBreakHyphen/>
            </w:r>
            <w:r w:rsidRPr="005E5F55">
              <w:rPr>
                <w:i/>
              </w:rPr>
              <w:t>n</w:t>
            </w:r>
          </w:p>
        </w:tc>
        <w:tc>
          <w:tcPr>
            <w:tcW w:w="3232" w:type="dxa"/>
          </w:tcPr>
          <w:p w:rsidR="006A2558" w:rsidRDefault="006A2558" w:rsidP="00A42416">
            <w:pPr>
              <w:pStyle w:val="Tabletext"/>
              <w:jc w:val="center"/>
            </w:pPr>
            <w:r>
              <w:t xml:space="preserve">ZE: </w:t>
            </w:r>
            <w:r w:rsidRPr="005E5F55">
              <w:rPr>
                <w:i/>
              </w:rPr>
              <w:t>L</w:t>
            </w:r>
            <w:r>
              <w:rPr>
                <w:vertAlign w:val="subscript"/>
              </w:rPr>
              <w:t>452</w:t>
            </w:r>
            <w:r>
              <w:t xml:space="preserve">(10%) </w:t>
            </w:r>
            <w:r>
              <w:sym w:font="Symbol" w:char="F0B3"/>
            </w:r>
            <w:r>
              <w:t xml:space="preserve"> </w:t>
            </w:r>
            <w:r w:rsidRPr="005E5F55">
              <w:rPr>
                <w:i/>
              </w:rPr>
              <w:t>X</w:t>
            </w:r>
            <w:r w:rsidRPr="005E5F55">
              <w:rPr>
                <w:i/>
                <w:vertAlign w:val="subscript"/>
              </w:rPr>
              <w:t>n</w:t>
            </w:r>
          </w:p>
        </w:tc>
        <w:tc>
          <w:tcPr>
            <w:tcW w:w="3232" w:type="dxa"/>
          </w:tcPr>
          <w:p w:rsidR="006A2558" w:rsidRDefault="006A2558" w:rsidP="00A42416">
            <w:pPr>
              <w:pStyle w:val="Tabletext"/>
              <w:jc w:val="center"/>
            </w:pPr>
            <w:r>
              <w:t xml:space="preserve">Altura </w:t>
            </w:r>
            <w:r>
              <w:sym w:font="Symbol" w:char="F0A3"/>
            </w:r>
            <w:r>
              <w:t xml:space="preserve"> </w:t>
            </w:r>
            <w:r w:rsidRPr="005E5F55">
              <w:rPr>
                <w:i/>
              </w:rPr>
              <w:t>H</w:t>
            </w:r>
            <w:r w:rsidRPr="005E5F55">
              <w:rPr>
                <w:i/>
                <w:vertAlign w:val="subscript"/>
              </w:rPr>
              <w:t>n</w:t>
            </w:r>
          </w:p>
        </w:tc>
      </w:tr>
    </w:tbl>
    <w:p w:rsidR="006A2558" w:rsidRDefault="006A2558" w:rsidP="006A2558">
      <w:pPr>
        <w:pStyle w:val="Tablefin"/>
      </w:pPr>
    </w:p>
    <w:p w:rsidR="006A2558" w:rsidRPr="000E1448" w:rsidRDefault="006A2558" w:rsidP="006A2558">
      <w:pPr>
        <w:rPr>
          <w:lang w:val="es-ES_tradnl"/>
        </w:rPr>
      </w:pPr>
      <w:r w:rsidRPr="000E1448">
        <w:rPr>
          <w:lang w:val="es-ES_tradnl"/>
        </w:rPr>
        <w:t>El emplazamiento del SRA podría protegerse utilizando el mayor tamaño de ZE y la altura asociada o determinando para cada modelo de referencia su propia ZE (por ejemplo, mediante segmentación de banda). Para que sea eficaz, cada ZE debe ir asociada con las hipótesis de los modelos de referencia utilizadas para obtener las p.i.r.e.c.</w:t>
      </w:r>
    </w:p>
    <w:p w:rsidR="006A2558" w:rsidRPr="000E1448" w:rsidRDefault="006A2558" w:rsidP="006A2558">
      <w:pPr>
        <w:pStyle w:val="Heading2"/>
        <w:rPr>
          <w:lang w:val="es-ES_tradnl"/>
        </w:rPr>
      </w:pPr>
      <w:bookmarkStart w:id="26" w:name="_Toc151539990"/>
      <w:r w:rsidRPr="000E1448">
        <w:rPr>
          <w:lang w:val="es-ES_tradnl"/>
        </w:rPr>
        <w:t>3.2</w:t>
      </w:r>
      <w:r w:rsidRPr="000E1448">
        <w:rPr>
          <w:lang w:val="es-ES_tradnl"/>
        </w:rPr>
        <w:tab/>
        <w:t>ZE basadas en datos demográficos</w:t>
      </w:r>
      <w:bookmarkEnd w:id="26"/>
    </w:p>
    <w:p w:rsidR="006A2558" w:rsidRPr="000E1448" w:rsidRDefault="006A2558" w:rsidP="006A2558">
      <w:pPr>
        <w:rPr>
          <w:lang w:val="es-ES_tradnl"/>
        </w:rPr>
      </w:pPr>
      <w:r w:rsidRPr="000E1448">
        <w:rPr>
          <w:lang w:val="es-ES_tradnl"/>
        </w:rPr>
        <w:t>La zona de instalación (ZI) discutida anteriormente supone una distribución uniforme de un solo modelo de referencia en torno al emplazamiento del SRA. Ello puede desembocar en situaciones conservadoras; por ejemplo, podría dar lugar a instalación de estaciones P</w:t>
      </w:r>
      <w:r w:rsidRPr="000E1448">
        <w:rPr>
          <w:lang w:val="es-ES_tradnl"/>
        </w:rPr>
        <w:noBreakHyphen/>
        <w:t>MP HDFS en zonas montañosas. Estos emplazamientos, que no es probable que supongan un mercado para los operadores de sistemas P</w:t>
      </w:r>
      <w:r w:rsidRPr="000E1448">
        <w:rPr>
          <w:lang w:val="es-ES_tradnl"/>
        </w:rPr>
        <w:noBreakHyphen/>
        <w:t>MP HDFS, podrían causar elevados niveles de interferencia si hubiese visibilidad directa con el emplazamiento del SRA.</w:t>
      </w:r>
    </w:p>
    <w:p w:rsidR="006A2558" w:rsidRPr="000E1448" w:rsidRDefault="006A2558" w:rsidP="006A2558">
      <w:pPr>
        <w:rPr>
          <w:lang w:val="es-ES_tradnl"/>
        </w:rPr>
      </w:pPr>
      <w:r w:rsidRPr="000E1448">
        <w:rPr>
          <w:lang w:val="es-ES_tradnl"/>
        </w:rPr>
        <w:t>Por consiguiente, puede ser más realista excluir emplazamientos donde no estén planificadas estaciones de P</w:t>
      </w:r>
      <w:r w:rsidRPr="000E1448">
        <w:rPr>
          <w:lang w:val="es-ES_tradnl"/>
        </w:rPr>
        <w:noBreakHyphen/>
        <w:t>MP HDFS y utilizar modelos de referencia que varían según el emplazamiento.</w:t>
      </w:r>
    </w:p>
    <w:p w:rsidR="006A2558" w:rsidRDefault="006A2558" w:rsidP="006A2558">
      <w:pPr>
        <w:rPr>
          <w:lang w:val="es-ES_tradnl"/>
        </w:rPr>
      </w:pPr>
      <w:r w:rsidRPr="000E1448">
        <w:rPr>
          <w:lang w:val="es-ES_tradnl"/>
        </w:rPr>
        <w:t>En la Fig. 8 se muestra un ejemplo donde se suponen dos modelos de referencia instalados según la densidad de población. Esta ZI se utilizaría como punto de partida para calcular la ZE requerida.</w:t>
      </w:r>
    </w:p>
    <w:p w:rsidR="006A2558" w:rsidRPr="00A7611F" w:rsidRDefault="006A2558" w:rsidP="006A2558">
      <w:pPr>
        <w:pStyle w:val="FigureNo"/>
        <w:rPr>
          <w:lang w:val="es-ES_tradnl"/>
        </w:rPr>
      </w:pPr>
      <w:r w:rsidRPr="00A7611F">
        <w:rPr>
          <w:lang w:val="es-ES_tradnl"/>
        </w:rPr>
        <w:lastRenderedPageBreak/>
        <w:t>FIGURA 8</w:t>
      </w:r>
    </w:p>
    <w:p w:rsidR="006A2558" w:rsidRDefault="006A2558" w:rsidP="006A2558">
      <w:pPr>
        <w:pStyle w:val="Figuretitle"/>
        <w:rPr>
          <w:lang w:val="es-ES_tradnl"/>
        </w:rPr>
      </w:pPr>
      <w:r w:rsidRPr="0093344F">
        <w:rPr>
          <w:lang w:val="es-ES_tradnl"/>
        </w:rPr>
        <w:t>Zona de instalación de sistemas P-MP HDFS basada en la demograf</w:t>
      </w:r>
      <w:r>
        <w:rPr>
          <w:lang w:val="es-ES_tradnl"/>
        </w:rPr>
        <w:t xml:space="preserve">ía en torno al observatorio de </w:t>
      </w:r>
      <w:r w:rsidRPr="0093344F">
        <w:rPr>
          <w:lang w:val="es-ES_tradnl"/>
        </w:rPr>
        <w:t>Jodrell Bank:</w:t>
      </w:r>
      <w:r>
        <w:rPr>
          <w:lang w:val="es-ES_tradnl"/>
        </w:rPr>
        <w:br/>
        <w:t>ZI de línea de base y ZI incluida la repercusión de un ejemplo de ZE</w:t>
      </w:r>
    </w:p>
    <w:p w:rsidR="006A2558" w:rsidRPr="005E5F55" w:rsidRDefault="00BE1B47" w:rsidP="006A2558">
      <w:pPr>
        <w:pStyle w:val="Figure"/>
        <w:rPr>
          <w:lang w:val="es-ES_tradnl"/>
        </w:rPr>
      </w:pPr>
      <w:r>
        <w:object w:dxaOrig="5810" w:dyaOrig="2067">
          <v:shape id="_x0000_i1036" type="#_x0000_t75" style="width:482pt;height:171.5pt" o:ole="">
            <v:imagedata r:id="rId34" o:title=""/>
          </v:shape>
          <o:OLEObject Type="Embed" ProgID="CorelDraw.Graphic.16" ShapeID="_x0000_i1036" DrawAspect="Content" ObjectID="_1574161739" r:id="rId35"/>
        </w:object>
      </w:r>
    </w:p>
    <w:p w:rsidR="006A2558" w:rsidRDefault="006A2558" w:rsidP="006A2558">
      <w:pPr>
        <w:rPr>
          <w:lang w:val="es-ES_tradnl"/>
        </w:rPr>
      </w:pPr>
      <w:r w:rsidRPr="0093344F">
        <w:rPr>
          <w:lang w:val="es-ES_tradnl"/>
        </w:rPr>
        <w:t xml:space="preserve">En la Fig. 8 los círculos representan modelos de referencia </w:t>
      </w:r>
      <w:r>
        <w:rPr>
          <w:lang w:val="es-ES_tradnl"/>
        </w:rPr>
        <w:t>P</w:t>
      </w:r>
      <w:r>
        <w:rPr>
          <w:lang w:val="es-ES_tradnl"/>
        </w:rPr>
        <w:noBreakHyphen/>
        <w:t>MP </w:t>
      </w:r>
      <w:r w:rsidRPr="0093344F">
        <w:rPr>
          <w:lang w:val="es-ES_tradnl"/>
        </w:rPr>
        <w:t>HDFS</w:t>
      </w:r>
      <w:r>
        <w:rPr>
          <w:lang w:val="es-ES_tradnl"/>
        </w:rPr>
        <w:t xml:space="preserve"> para zonas urbanas y las cruces representan zonas rurales.</w:t>
      </w:r>
    </w:p>
    <w:p w:rsidR="006A2558" w:rsidRPr="000E1448" w:rsidRDefault="006A2558" w:rsidP="006A2558">
      <w:pPr>
        <w:pStyle w:val="Heading2"/>
        <w:rPr>
          <w:lang w:val="es-ES_tradnl"/>
        </w:rPr>
      </w:pPr>
      <w:bookmarkStart w:id="27" w:name="_Toc151539991"/>
      <w:r w:rsidRPr="000E1448">
        <w:rPr>
          <w:lang w:val="es-ES_tradnl"/>
        </w:rPr>
        <w:t>3.3</w:t>
      </w:r>
      <w:r w:rsidRPr="000E1448">
        <w:rPr>
          <w:lang w:val="es-ES_tradnl"/>
        </w:rPr>
        <w:tab/>
        <w:t>Zonas múltiples</w:t>
      </w:r>
      <w:bookmarkEnd w:id="27"/>
    </w:p>
    <w:p w:rsidR="006A2558" w:rsidRPr="000E1448" w:rsidRDefault="006A2558" w:rsidP="006A2558">
      <w:pPr>
        <w:rPr>
          <w:lang w:val="es-ES_tradnl"/>
        </w:rPr>
      </w:pPr>
      <w:r w:rsidRPr="000E1448">
        <w:rPr>
          <w:lang w:val="es-ES_tradnl"/>
        </w:rPr>
        <w:t>El método descrito anteriormente se basaba en una sola ZE: dentro de la ZE no se permitían transmisiones. Esta zona de exclusión podría combinarse con una zona restringida, con diferente comportamiento en cada una de ellas:</w:t>
      </w:r>
    </w:p>
    <w:p w:rsidR="006A2558" w:rsidRPr="000E1448" w:rsidRDefault="006A2558" w:rsidP="006A2558">
      <w:pPr>
        <w:rPr>
          <w:lang w:val="es-ES_tradnl"/>
        </w:rPr>
      </w:pPr>
      <w:r w:rsidRPr="000E1448">
        <w:rPr>
          <w:b/>
          <w:lang w:val="es-ES_tradnl"/>
        </w:rPr>
        <w:t>Zona no restringida (ZNR)</w:t>
      </w:r>
      <w:r w:rsidRPr="000E1448">
        <w:rPr>
          <w:lang w:val="es-ES_tradnl"/>
        </w:rPr>
        <w:t>: En la ZNR, los operadores del sistema P</w:t>
      </w:r>
      <w:r w:rsidRPr="000E1448">
        <w:rPr>
          <w:lang w:val="es-ES_tradnl"/>
        </w:rPr>
        <w:noBreakHyphen/>
        <w:t>MP HDFS no tendrían más restricciones para explotar sus sistemas que las relativas entre operadores.</w:t>
      </w:r>
    </w:p>
    <w:p w:rsidR="006A2558" w:rsidRPr="000E1448" w:rsidRDefault="006A2558" w:rsidP="006A2558">
      <w:pPr>
        <w:rPr>
          <w:lang w:val="es-ES_tradnl"/>
        </w:rPr>
      </w:pPr>
      <w:r w:rsidRPr="000E1448">
        <w:rPr>
          <w:b/>
          <w:lang w:val="es-ES_tradnl"/>
        </w:rPr>
        <w:t>Zona restringida (ZR)</w:t>
      </w:r>
      <w:r w:rsidRPr="000E1448">
        <w:rPr>
          <w:lang w:val="es-ES_tradnl"/>
        </w:rPr>
        <w:t>: Dentro de la ZR, los operadores de sistemas P</w:t>
      </w:r>
      <w:r w:rsidRPr="000E1448">
        <w:rPr>
          <w:lang w:val="es-ES_tradnl"/>
        </w:rPr>
        <w:noBreakHyphen/>
        <w:t>MP HDFS podrían transmitir de conformidad con las restricciones definidas y acordadas sobre el funcionamiento.</w:t>
      </w:r>
    </w:p>
    <w:p w:rsidR="006A2558" w:rsidRPr="000E1448" w:rsidRDefault="006A2558" w:rsidP="006A2558">
      <w:pPr>
        <w:rPr>
          <w:lang w:val="es-ES_tradnl"/>
        </w:rPr>
      </w:pPr>
      <w:r w:rsidRPr="000E1448">
        <w:rPr>
          <w:b/>
          <w:lang w:val="es-ES_tradnl"/>
        </w:rPr>
        <w:t>Zona de exclusión (ZE)</w:t>
      </w:r>
      <w:r w:rsidRPr="000E1448">
        <w:rPr>
          <w:lang w:val="es-ES_tradnl"/>
        </w:rPr>
        <w:t>: Dentro de la zona de exclusión no se permitiría ninguna transmisión del sistema P</w:t>
      </w:r>
      <w:r w:rsidRPr="000E1448">
        <w:rPr>
          <w:lang w:val="es-ES_tradnl"/>
        </w:rPr>
        <w:noBreakHyphen/>
        <w:t>MP HDFS.</w:t>
      </w:r>
    </w:p>
    <w:p w:rsidR="006A2558" w:rsidRPr="000E1448" w:rsidRDefault="006A2558" w:rsidP="006A2558">
      <w:pPr>
        <w:rPr>
          <w:lang w:val="es-ES_tradnl"/>
        </w:rPr>
      </w:pPr>
      <w:r w:rsidRPr="000E1448">
        <w:rPr>
          <w:lang w:val="es-ES_tradnl"/>
        </w:rPr>
        <w:t>Como ejemplo de restricciones de la ZR podría citarse el de evitar la orientación de las antenas en un ángulo definido del emplazamiento del SRA. Ello requeriría múltiples p.i.r.e.c., una para su utilización en la ZNR y otra para su utilización en la ZR.</w:t>
      </w:r>
    </w:p>
    <w:p w:rsidR="006A2558" w:rsidRPr="000E1448" w:rsidRDefault="006A2558" w:rsidP="006A2558">
      <w:pPr>
        <w:pStyle w:val="Heading2"/>
        <w:rPr>
          <w:lang w:val="es-ES_tradnl"/>
        </w:rPr>
      </w:pPr>
      <w:bookmarkStart w:id="28" w:name="_Toc151539992"/>
      <w:r w:rsidRPr="000E1448">
        <w:rPr>
          <w:lang w:val="es-ES_tradnl"/>
        </w:rPr>
        <w:t>3.4</w:t>
      </w:r>
      <w:r w:rsidRPr="000E1448">
        <w:rPr>
          <w:lang w:val="es-ES_tradnl"/>
        </w:rPr>
        <w:tab/>
        <w:t xml:space="preserve">ZE en banda y </w:t>
      </w:r>
      <w:r>
        <w:rPr>
          <w:lang w:val="es-ES_tradnl"/>
        </w:rPr>
        <w:t>OoB</w:t>
      </w:r>
      <w:bookmarkEnd w:id="28"/>
    </w:p>
    <w:p w:rsidR="006A2558" w:rsidRPr="000E1448" w:rsidRDefault="006A2558" w:rsidP="006A2558">
      <w:pPr>
        <w:rPr>
          <w:lang w:val="es-ES_tradnl"/>
        </w:rPr>
      </w:pPr>
      <w:r w:rsidRPr="000E1448">
        <w:rPr>
          <w:lang w:val="es-ES_tradnl"/>
        </w:rPr>
        <w:t>Además de proteger al SRA contra el funcionamiento en la misma frecuencia de los sistemas P</w:t>
      </w:r>
      <w:r w:rsidRPr="000E1448">
        <w:rPr>
          <w:lang w:val="es-ES_tradnl"/>
        </w:rPr>
        <w:noBreakHyphen/>
        <w:t xml:space="preserve">MP HDFS, esta metodología también puede utilizarse para determinar las ZE necesarias a fin de proteger al SRA contra las emisiones </w:t>
      </w:r>
      <w:r>
        <w:rPr>
          <w:lang w:val="es-ES_tradnl"/>
        </w:rPr>
        <w:t>OoB</w:t>
      </w:r>
      <w:r w:rsidRPr="000E1448">
        <w:rPr>
          <w:lang w:val="es-ES_tradnl"/>
        </w:rPr>
        <w:t xml:space="preserve">. El algoritmo para calcular la probabilidad de que una observación reciba interferencia, </w:t>
      </w:r>
      <w:r w:rsidRPr="005E5F55">
        <w:rPr>
          <w:i/>
          <w:lang w:val="es-ES_tradnl"/>
        </w:rPr>
        <w:t>P</w:t>
      </w:r>
      <w:r w:rsidRPr="005E5F55">
        <w:rPr>
          <w:i/>
          <w:vertAlign w:val="subscript"/>
          <w:lang w:val="es-ES_tradnl"/>
        </w:rPr>
        <w:t>ob</w:t>
      </w:r>
      <w:r w:rsidRPr="000E1448">
        <w:rPr>
          <w:lang w:val="es-ES_tradnl"/>
        </w:rPr>
        <w:t xml:space="preserve">, incluye un término que tiene en cuenta </w:t>
      </w:r>
      <w:r w:rsidRPr="005E5F55">
        <w:rPr>
          <w:i/>
          <w:lang w:val="es-ES_tradnl"/>
        </w:rPr>
        <w:t>A</w:t>
      </w:r>
      <w:r w:rsidRPr="005E5F55">
        <w:rPr>
          <w:i/>
          <w:vertAlign w:val="subscript"/>
          <w:lang w:val="es-ES_tradnl"/>
        </w:rPr>
        <w:t>OoB</w:t>
      </w:r>
      <w:r w:rsidRPr="000E1448">
        <w:rPr>
          <w:lang w:val="es-ES_tradnl"/>
        </w:rPr>
        <w:t xml:space="preserve"> para la atenuación entre las emisiones en banda y </w:t>
      </w:r>
      <w:r>
        <w:rPr>
          <w:lang w:val="es-ES_tradnl"/>
        </w:rPr>
        <w:t>OoB</w:t>
      </w:r>
      <w:r w:rsidRPr="000E1448">
        <w:rPr>
          <w:lang w:val="es-ES_tradnl"/>
        </w:rPr>
        <w:t>.</w:t>
      </w:r>
    </w:p>
    <w:p w:rsidR="006A2558" w:rsidRPr="000E1448" w:rsidRDefault="006A2558" w:rsidP="006A2558">
      <w:pPr>
        <w:rPr>
          <w:lang w:val="es-ES_tradnl"/>
        </w:rPr>
      </w:pPr>
      <w:r w:rsidRPr="000E1448">
        <w:rPr>
          <w:lang w:val="es-ES_tradnl"/>
        </w:rPr>
        <w:t>Este método puede emplearse para generar dos ZE, una para el funcionamiento cofrecuencia y otra para el funcionamiento en banda adyacente.</w:t>
      </w:r>
    </w:p>
    <w:p w:rsidR="006A2558" w:rsidRPr="00773286" w:rsidRDefault="006A2558" w:rsidP="006A2558">
      <w:pPr>
        <w:pStyle w:val="AppendixNoTitle"/>
        <w:rPr>
          <w:lang w:val="es-ES_tradnl"/>
        </w:rPr>
      </w:pPr>
      <w:bookmarkStart w:id="29" w:name="_Toc151539993"/>
      <w:r>
        <w:rPr>
          <w:lang w:val="es-ES_tradnl"/>
        </w:rPr>
        <w:lastRenderedPageBreak/>
        <w:t>Adjunto</w:t>
      </w:r>
      <w:r w:rsidRPr="00773286">
        <w:rPr>
          <w:lang w:val="es-ES_tradnl"/>
        </w:rPr>
        <w:t xml:space="preserve"> 1</w:t>
      </w:r>
      <w:r w:rsidRPr="00773286">
        <w:rPr>
          <w:lang w:val="es-ES_tradnl"/>
        </w:rPr>
        <w:br/>
      </w:r>
      <w:r>
        <w:rPr>
          <w:lang w:val="es-ES_tradnl"/>
        </w:rPr>
        <w:t>al</w:t>
      </w:r>
      <w:r w:rsidRPr="00773286">
        <w:rPr>
          <w:lang w:val="es-ES_tradnl"/>
        </w:rPr>
        <w:t xml:space="preserve"> Anexo 2</w:t>
      </w:r>
      <w:r w:rsidRPr="00773286">
        <w:rPr>
          <w:lang w:val="es-ES_tradnl"/>
        </w:rPr>
        <w:br/>
      </w:r>
      <w:r w:rsidRPr="00773286">
        <w:rPr>
          <w:lang w:val="es-ES_tradnl"/>
        </w:rPr>
        <w:br/>
        <w:t>Ejemplo de cálculo</w:t>
      </w:r>
      <w:bookmarkEnd w:id="29"/>
    </w:p>
    <w:p w:rsidR="006A2558" w:rsidRPr="000E1448" w:rsidRDefault="006A2558" w:rsidP="006A2558">
      <w:pPr>
        <w:pStyle w:val="Normalaftertitle"/>
        <w:rPr>
          <w:lang w:val="es-ES_tradnl"/>
        </w:rPr>
      </w:pPr>
      <w:r w:rsidRPr="000E1448">
        <w:rPr>
          <w:lang w:val="es-ES_tradnl"/>
        </w:rPr>
        <w:t xml:space="preserve">En este </w:t>
      </w:r>
      <w:r>
        <w:rPr>
          <w:lang w:val="es-ES_tradnl"/>
        </w:rPr>
        <w:t>Adjunto</w:t>
      </w:r>
      <w:r w:rsidRPr="000E1448">
        <w:rPr>
          <w:lang w:val="es-ES_tradnl"/>
        </w:rPr>
        <w:t xml:space="preserve"> aparece un ejemplo de utilización de la metodología del Anexo 2 para determinar la ZE necesaria a fin de proteger el observatorio de Jodrell Bank contra la interferencia inaceptable procedente de instalaciones a gran escala de redes P</w:t>
      </w:r>
      <w:r w:rsidRPr="000E1448">
        <w:rPr>
          <w:lang w:val="es-ES_tradnl"/>
        </w:rPr>
        <w:noBreakHyphen/>
        <w:t>MP HDFS.</w:t>
      </w:r>
    </w:p>
    <w:p w:rsidR="006A2558" w:rsidRPr="000E1448" w:rsidRDefault="006A2558" w:rsidP="006A2558">
      <w:pPr>
        <w:pStyle w:val="Headingb"/>
        <w:rPr>
          <w:lang w:val="es-ES_tradnl"/>
        </w:rPr>
      </w:pPr>
      <w:r w:rsidRPr="000E1448">
        <w:rPr>
          <w:lang w:val="es-ES_tradnl"/>
        </w:rPr>
        <w:t>Modelo del SRA</w:t>
      </w:r>
    </w:p>
    <w:p w:rsidR="006A2558" w:rsidRPr="000E1448" w:rsidRDefault="006A2558" w:rsidP="006A2558">
      <w:pPr>
        <w:rPr>
          <w:lang w:val="es-ES_tradnl"/>
        </w:rPr>
      </w:pPr>
      <w:r w:rsidRPr="000E1448">
        <w:rPr>
          <w:lang w:val="es-ES_tradnl"/>
        </w:rPr>
        <w:t xml:space="preserve">El modelo del SRA se indica en el </w:t>
      </w:r>
      <w:r>
        <w:rPr>
          <w:lang w:val="es-ES_tradnl"/>
        </w:rPr>
        <w:t>Adjunto</w:t>
      </w:r>
      <w:r w:rsidRPr="000E1448">
        <w:rPr>
          <w:lang w:val="es-ES_tradnl"/>
        </w:rPr>
        <w:t xml:space="preserve"> 1 </w:t>
      </w:r>
      <w:r>
        <w:rPr>
          <w:lang w:val="es-ES_tradnl"/>
        </w:rPr>
        <w:t>al</w:t>
      </w:r>
      <w:r w:rsidRPr="000E1448">
        <w:rPr>
          <w:lang w:val="es-ES_tradnl"/>
        </w:rPr>
        <w:t xml:space="preserve"> Anexo 1.</w:t>
      </w:r>
    </w:p>
    <w:p w:rsidR="006A2558" w:rsidRPr="000E1448" w:rsidRDefault="006A2558" w:rsidP="006A2558">
      <w:pPr>
        <w:pStyle w:val="Headingb"/>
        <w:rPr>
          <w:lang w:val="es-ES_tradnl"/>
        </w:rPr>
      </w:pPr>
      <w:r w:rsidRPr="000E1448">
        <w:rPr>
          <w:lang w:val="es-ES_tradnl"/>
        </w:rPr>
        <w:t>Modelo HF</w:t>
      </w:r>
      <w:r w:rsidRPr="000E1448">
        <w:rPr>
          <w:lang w:val="es-ES_tradnl"/>
        </w:rPr>
        <w:noBreakHyphen/>
        <w:t>FS</w:t>
      </w:r>
    </w:p>
    <w:p w:rsidR="006A2558" w:rsidRPr="000E1448" w:rsidRDefault="006A2558" w:rsidP="006A2558">
      <w:pPr>
        <w:rPr>
          <w:lang w:val="es-ES_tradnl"/>
        </w:rPr>
      </w:pPr>
      <w:r w:rsidRPr="000E1448">
        <w:rPr>
          <w:lang w:val="es-ES_tradnl"/>
        </w:rPr>
        <w:t>El modelo P</w:t>
      </w:r>
      <w:r w:rsidRPr="000E1448">
        <w:rPr>
          <w:lang w:val="es-ES_tradnl"/>
        </w:rPr>
        <w:noBreakHyphen/>
        <w:t xml:space="preserve">MP HDFS se describe en el </w:t>
      </w:r>
      <w:r>
        <w:rPr>
          <w:lang w:val="es-ES_tradnl"/>
        </w:rPr>
        <w:t>Adjunto</w:t>
      </w:r>
      <w:r w:rsidRPr="000E1448">
        <w:rPr>
          <w:lang w:val="es-ES_tradnl"/>
        </w:rPr>
        <w:t xml:space="preserve"> 1 </w:t>
      </w:r>
      <w:r>
        <w:rPr>
          <w:lang w:val="es-ES_tradnl"/>
        </w:rPr>
        <w:t>al</w:t>
      </w:r>
      <w:r w:rsidRPr="000E1448">
        <w:rPr>
          <w:lang w:val="es-ES_tradnl"/>
        </w:rPr>
        <w:t xml:space="preserve"> Anexo 1.</w:t>
      </w:r>
    </w:p>
    <w:p w:rsidR="006A2558" w:rsidRPr="000E1448" w:rsidRDefault="006A2558" w:rsidP="006A2558">
      <w:pPr>
        <w:pStyle w:val="Headingb"/>
        <w:rPr>
          <w:lang w:val="es-ES_tradnl"/>
        </w:rPr>
      </w:pPr>
      <w:r w:rsidRPr="000E1448">
        <w:rPr>
          <w:lang w:val="es-ES_tradnl"/>
        </w:rPr>
        <w:t>Cálculo de la interferencia</w:t>
      </w:r>
    </w:p>
    <w:p w:rsidR="006A2558" w:rsidRDefault="006A2558" w:rsidP="006A2558">
      <w:pPr>
        <w:rPr>
          <w:lang w:val="es-ES_tradnl"/>
        </w:rPr>
      </w:pPr>
      <w:r w:rsidRPr="000E1448">
        <w:rPr>
          <w:lang w:val="es-ES_tradnl"/>
        </w:rPr>
        <w:t>El Cuadro 8 identifica las iteraciones necesarias para calcular el tamaño de la ZE.</w:t>
      </w:r>
    </w:p>
    <w:p w:rsidR="006A2558" w:rsidRPr="000E1448" w:rsidRDefault="006A2558" w:rsidP="006A2558">
      <w:pPr>
        <w:pStyle w:val="TableNo"/>
        <w:rPr>
          <w:lang w:val="es-ES_tradnl"/>
        </w:rPr>
      </w:pPr>
      <w:r w:rsidRPr="000E1448">
        <w:rPr>
          <w:lang w:val="es-ES_tradnl"/>
        </w:rPr>
        <w:t>CUADRO 8</w:t>
      </w:r>
    </w:p>
    <w:p w:rsidR="006A2558" w:rsidRPr="000E1448" w:rsidRDefault="006A2558" w:rsidP="00064E2D">
      <w:pPr>
        <w:pStyle w:val="Tabletitle"/>
        <w:rPr>
          <w:lang w:val="es-ES_tradnl"/>
        </w:rPr>
      </w:pPr>
      <w:r w:rsidRPr="000E1448">
        <w:rPr>
          <w:lang w:val="es-ES_tradnl"/>
        </w:rPr>
        <w:t>Iteración para obtener el tamaño de la ZE utilizando</w:t>
      </w:r>
      <w:r w:rsidR="00064E2D">
        <w:rPr>
          <w:lang w:val="es-ES_tradnl"/>
        </w:rPr>
        <w:t xml:space="preserve"> </w:t>
      </w:r>
      <w:r w:rsidRPr="000E1448">
        <w:rPr>
          <w:lang w:val="es-ES_tradnl"/>
        </w:rPr>
        <w:t>las metodologías</w:t>
      </w:r>
      <w:r w:rsidR="00064E2D">
        <w:rPr>
          <w:lang w:val="es-ES_tradnl"/>
        </w:rPr>
        <w:br/>
      </w:r>
      <w:r w:rsidRPr="000E1448">
        <w:rPr>
          <w:lang w:val="es-ES_tradnl"/>
        </w:rPr>
        <w:t>de los Anexos 1 y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1985"/>
      </w:tblGrid>
      <w:tr w:rsidR="006A2558" w:rsidTr="00A42416">
        <w:trPr>
          <w:jc w:val="center"/>
        </w:trPr>
        <w:tc>
          <w:tcPr>
            <w:tcW w:w="1985" w:type="dxa"/>
          </w:tcPr>
          <w:p w:rsidR="006A2558" w:rsidRDefault="006A2558" w:rsidP="00A42416">
            <w:pPr>
              <w:pStyle w:val="Tablehead"/>
            </w:pPr>
            <w:r>
              <w:t>Iteración</w:t>
            </w:r>
          </w:p>
        </w:tc>
        <w:tc>
          <w:tcPr>
            <w:tcW w:w="3402" w:type="dxa"/>
          </w:tcPr>
          <w:p w:rsidR="006A2558" w:rsidRPr="00147E5C" w:rsidRDefault="006A2558" w:rsidP="00A42416">
            <w:pPr>
              <w:pStyle w:val="Tablehead"/>
              <w:rPr>
                <w:lang w:val="es-ES_tradnl"/>
              </w:rPr>
            </w:pPr>
            <w:r w:rsidRPr="00147E5C">
              <w:rPr>
                <w:lang w:val="es-ES_tradnl"/>
              </w:rPr>
              <w:t>Tamaño de la ZE</w:t>
            </w:r>
            <w:r w:rsidRPr="00147E5C">
              <w:rPr>
                <w:lang w:val="es-ES_tradnl"/>
              </w:rPr>
              <w:br/>
            </w:r>
            <w:r w:rsidRPr="005E5F55">
              <w:rPr>
                <w:i/>
                <w:lang w:val="es-ES_tradnl"/>
              </w:rPr>
              <w:t>L</w:t>
            </w:r>
            <w:r w:rsidRPr="00147E5C">
              <w:rPr>
                <w:vertAlign w:val="subscript"/>
                <w:lang w:val="es-ES_tradnl"/>
              </w:rPr>
              <w:t>452</w:t>
            </w:r>
            <w:r w:rsidRPr="00147E5C">
              <w:rPr>
                <w:lang w:val="es-ES_tradnl"/>
              </w:rPr>
              <w:t xml:space="preserve">(10%) </w:t>
            </w:r>
            <w:r>
              <w:sym w:font="Symbol" w:char="F0B3"/>
            </w:r>
            <w:r w:rsidRPr="00147E5C">
              <w:rPr>
                <w:lang w:val="es-ES_tradnl"/>
              </w:rPr>
              <w:t xml:space="preserve"> </w:t>
            </w:r>
            <w:r w:rsidRPr="005E5F55">
              <w:rPr>
                <w:i/>
                <w:lang w:val="es-ES_tradnl"/>
              </w:rPr>
              <w:t>X</w:t>
            </w:r>
            <w:r w:rsidRPr="00147E5C">
              <w:rPr>
                <w:lang w:val="es-ES_tradnl"/>
              </w:rPr>
              <w:t xml:space="preserve"> dB</w:t>
            </w:r>
          </w:p>
        </w:tc>
        <w:tc>
          <w:tcPr>
            <w:tcW w:w="1985" w:type="dxa"/>
          </w:tcPr>
          <w:p w:rsidR="006A2558" w:rsidRPr="005E5F55" w:rsidRDefault="006A2558" w:rsidP="00A42416">
            <w:pPr>
              <w:pStyle w:val="Tablehead"/>
              <w:rPr>
                <w:i/>
              </w:rPr>
            </w:pPr>
            <w:r w:rsidRPr="005E5F55">
              <w:rPr>
                <w:i/>
              </w:rPr>
              <w:t>P</w:t>
            </w:r>
            <w:r w:rsidRPr="005E5F55">
              <w:rPr>
                <w:i/>
                <w:vertAlign w:val="subscript"/>
              </w:rPr>
              <w:t>ob</w:t>
            </w:r>
            <w:r w:rsidRPr="007F6F6B">
              <w:rPr>
                <w:rFonts w:ascii="Times New Roman Bold" w:hAnsi="Times New Roman Bold"/>
                <w:i/>
                <w:szCs w:val="22"/>
              </w:rPr>
              <w:br/>
            </w:r>
            <w:r w:rsidRPr="007F6F6B">
              <w:rPr>
                <w:rFonts w:ascii="Times New Roman Bold" w:hAnsi="Times New Roman Bold"/>
                <w:szCs w:val="22"/>
              </w:rPr>
              <w:t>(%)</w:t>
            </w:r>
          </w:p>
        </w:tc>
      </w:tr>
      <w:tr w:rsidR="006A2558" w:rsidTr="00A42416">
        <w:trPr>
          <w:jc w:val="center"/>
        </w:trPr>
        <w:tc>
          <w:tcPr>
            <w:tcW w:w="1985" w:type="dxa"/>
          </w:tcPr>
          <w:p w:rsidR="006A2558" w:rsidRDefault="006A2558" w:rsidP="00A42416">
            <w:pPr>
              <w:pStyle w:val="Tabletext"/>
              <w:jc w:val="center"/>
            </w:pPr>
            <w:r>
              <w:t>1</w:t>
            </w:r>
          </w:p>
        </w:tc>
        <w:tc>
          <w:tcPr>
            <w:tcW w:w="3402" w:type="dxa"/>
          </w:tcPr>
          <w:p w:rsidR="006A2558" w:rsidRDefault="006A2558" w:rsidP="00A42416">
            <w:pPr>
              <w:pStyle w:val="Tabletext"/>
              <w:jc w:val="center"/>
            </w:pPr>
            <w:r>
              <w:t>200</w:t>
            </w:r>
          </w:p>
        </w:tc>
        <w:tc>
          <w:tcPr>
            <w:tcW w:w="1985" w:type="dxa"/>
          </w:tcPr>
          <w:p w:rsidR="006A2558" w:rsidRDefault="006A2558" w:rsidP="00A42416">
            <w:pPr>
              <w:pStyle w:val="Tabletext"/>
              <w:jc w:val="center"/>
            </w:pPr>
            <w:r>
              <w:t>0,0</w:t>
            </w:r>
          </w:p>
        </w:tc>
      </w:tr>
      <w:tr w:rsidR="006A2558" w:rsidTr="00A42416">
        <w:trPr>
          <w:jc w:val="center"/>
        </w:trPr>
        <w:tc>
          <w:tcPr>
            <w:tcW w:w="1985" w:type="dxa"/>
          </w:tcPr>
          <w:p w:rsidR="006A2558" w:rsidRDefault="006A2558" w:rsidP="00A42416">
            <w:pPr>
              <w:pStyle w:val="Tabletext"/>
              <w:jc w:val="center"/>
            </w:pPr>
            <w:r>
              <w:t>2</w:t>
            </w:r>
          </w:p>
        </w:tc>
        <w:tc>
          <w:tcPr>
            <w:tcW w:w="3402" w:type="dxa"/>
          </w:tcPr>
          <w:p w:rsidR="006A2558" w:rsidRDefault="006A2558" w:rsidP="00A42416">
            <w:pPr>
              <w:pStyle w:val="Tabletext"/>
              <w:jc w:val="center"/>
            </w:pPr>
            <w:r>
              <w:t>180</w:t>
            </w:r>
          </w:p>
        </w:tc>
        <w:tc>
          <w:tcPr>
            <w:tcW w:w="1985" w:type="dxa"/>
          </w:tcPr>
          <w:p w:rsidR="006A2558" w:rsidRDefault="006A2558" w:rsidP="00A42416">
            <w:pPr>
              <w:pStyle w:val="Tabletext"/>
              <w:jc w:val="center"/>
            </w:pPr>
            <w:r>
              <w:t>0,0</w:t>
            </w:r>
          </w:p>
        </w:tc>
      </w:tr>
      <w:tr w:rsidR="006A2558" w:rsidTr="00A42416">
        <w:trPr>
          <w:jc w:val="center"/>
        </w:trPr>
        <w:tc>
          <w:tcPr>
            <w:tcW w:w="1985" w:type="dxa"/>
          </w:tcPr>
          <w:p w:rsidR="006A2558" w:rsidRDefault="006A2558" w:rsidP="00A42416">
            <w:pPr>
              <w:pStyle w:val="Tabletext"/>
              <w:jc w:val="center"/>
            </w:pPr>
            <w:r>
              <w:t>3</w:t>
            </w:r>
          </w:p>
        </w:tc>
        <w:tc>
          <w:tcPr>
            <w:tcW w:w="3402" w:type="dxa"/>
          </w:tcPr>
          <w:p w:rsidR="006A2558" w:rsidRDefault="006A2558" w:rsidP="00A42416">
            <w:pPr>
              <w:pStyle w:val="Tabletext"/>
              <w:jc w:val="center"/>
            </w:pPr>
            <w:r>
              <w:t>160</w:t>
            </w:r>
          </w:p>
        </w:tc>
        <w:tc>
          <w:tcPr>
            <w:tcW w:w="1985" w:type="dxa"/>
          </w:tcPr>
          <w:p w:rsidR="006A2558" w:rsidRDefault="006A2558" w:rsidP="00A42416">
            <w:pPr>
              <w:pStyle w:val="Tabletext"/>
              <w:jc w:val="center"/>
            </w:pPr>
            <w:r>
              <w:t>4,3</w:t>
            </w:r>
          </w:p>
        </w:tc>
      </w:tr>
      <w:tr w:rsidR="006A2558" w:rsidTr="00A42416">
        <w:trPr>
          <w:jc w:val="center"/>
        </w:trPr>
        <w:tc>
          <w:tcPr>
            <w:tcW w:w="1985" w:type="dxa"/>
          </w:tcPr>
          <w:p w:rsidR="006A2558" w:rsidRDefault="006A2558" w:rsidP="00A42416">
            <w:pPr>
              <w:pStyle w:val="Tabletext"/>
              <w:jc w:val="center"/>
            </w:pPr>
            <w:r>
              <w:t>4</w:t>
            </w:r>
          </w:p>
        </w:tc>
        <w:tc>
          <w:tcPr>
            <w:tcW w:w="3402" w:type="dxa"/>
          </w:tcPr>
          <w:p w:rsidR="006A2558" w:rsidRDefault="006A2558" w:rsidP="00A42416">
            <w:pPr>
              <w:pStyle w:val="Tabletext"/>
              <w:jc w:val="center"/>
            </w:pPr>
            <w:r>
              <w:t>170</w:t>
            </w:r>
          </w:p>
        </w:tc>
        <w:tc>
          <w:tcPr>
            <w:tcW w:w="1985" w:type="dxa"/>
          </w:tcPr>
          <w:p w:rsidR="006A2558" w:rsidRDefault="006A2558" w:rsidP="00A42416">
            <w:pPr>
              <w:pStyle w:val="Tabletext"/>
              <w:jc w:val="center"/>
            </w:pPr>
            <w:r>
              <w:t>0,1</w:t>
            </w:r>
          </w:p>
        </w:tc>
      </w:tr>
      <w:tr w:rsidR="006A2558" w:rsidTr="00A42416">
        <w:trPr>
          <w:jc w:val="center"/>
        </w:trPr>
        <w:tc>
          <w:tcPr>
            <w:tcW w:w="1985" w:type="dxa"/>
          </w:tcPr>
          <w:p w:rsidR="006A2558" w:rsidRDefault="006A2558" w:rsidP="00A42416">
            <w:pPr>
              <w:pStyle w:val="Tabletext"/>
              <w:jc w:val="center"/>
            </w:pPr>
            <w:r>
              <w:t>5</w:t>
            </w:r>
          </w:p>
        </w:tc>
        <w:tc>
          <w:tcPr>
            <w:tcW w:w="3402" w:type="dxa"/>
          </w:tcPr>
          <w:p w:rsidR="006A2558" w:rsidRDefault="006A2558" w:rsidP="00A42416">
            <w:pPr>
              <w:pStyle w:val="Tabletext"/>
              <w:jc w:val="center"/>
            </w:pPr>
            <w:r>
              <w:t>165</w:t>
            </w:r>
          </w:p>
        </w:tc>
        <w:tc>
          <w:tcPr>
            <w:tcW w:w="1985" w:type="dxa"/>
          </w:tcPr>
          <w:p w:rsidR="006A2558" w:rsidRDefault="006A2558" w:rsidP="00A42416">
            <w:pPr>
              <w:pStyle w:val="Tabletext"/>
              <w:jc w:val="center"/>
            </w:pPr>
            <w:r>
              <w:t>0,3</w:t>
            </w:r>
          </w:p>
        </w:tc>
      </w:tr>
      <w:tr w:rsidR="006A2558" w:rsidTr="00A42416">
        <w:trPr>
          <w:jc w:val="center"/>
        </w:trPr>
        <w:tc>
          <w:tcPr>
            <w:tcW w:w="1985" w:type="dxa"/>
          </w:tcPr>
          <w:p w:rsidR="006A2558" w:rsidRDefault="006A2558" w:rsidP="00A42416">
            <w:pPr>
              <w:pStyle w:val="Tabletext"/>
              <w:jc w:val="center"/>
            </w:pPr>
            <w:r>
              <w:t>6</w:t>
            </w:r>
          </w:p>
        </w:tc>
        <w:tc>
          <w:tcPr>
            <w:tcW w:w="3402" w:type="dxa"/>
          </w:tcPr>
          <w:p w:rsidR="006A2558" w:rsidRDefault="006A2558" w:rsidP="00A42416">
            <w:pPr>
              <w:pStyle w:val="Tabletext"/>
              <w:jc w:val="center"/>
            </w:pPr>
            <w:r>
              <w:t>162</w:t>
            </w:r>
          </w:p>
        </w:tc>
        <w:tc>
          <w:tcPr>
            <w:tcW w:w="1985" w:type="dxa"/>
          </w:tcPr>
          <w:p w:rsidR="006A2558" w:rsidRDefault="006A2558" w:rsidP="00A42416">
            <w:pPr>
              <w:pStyle w:val="Tabletext"/>
              <w:jc w:val="center"/>
            </w:pPr>
            <w:r>
              <w:t>1,0</w:t>
            </w:r>
          </w:p>
        </w:tc>
      </w:tr>
      <w:tr w:rsidR="006A2558" w:rsidTr="00A42416">
        <w:trPr>
          <w:jc w:val="center"/>
        </w:trPr>
        <w:tc>
          <w:tcPr>
            <w:tcW w:w="1985" w:type="dxa"/>
          </w:tcPr>
          <w:p w:rsidR="006A2558" w:rsidRDefault="006A2558" w:rsidP="00A42416">
            <w:pPr>
              <w:pStyle w:val="Tabletext"/>
              <w:jc w:val="center"/>
            </w:pPr>
            <w:r>
              <w:t>7</w:t>
            </w:r>
          </w:p>
        </w:tc>
        <w:tc>
          <w:tcPr>
            <w:tcW w:w="3402" w:type="dxa"/>
          </w:tcPr>
          <w:p w:rsidR="006A2558" w:rsidRDefault="006A2558" w:rsidP="00A42416">
            <w:pPr>
              <w:pStyle w:val="Tabletext"/>
              <w:jc w:val="center"/>
            </w:pPr>
            <w:r>
              <w:t>161</w:t>
            </w:r>
          </w:p>
        </w:tc>
        <w:tc>
          <w:tcPr>
            <w:tcW w:w="1985" w:type="dxa"/>
          </w:tcPr>
          <w:p w:rsidR="006A2558" w:rsidRDefault="006A2558" w:rsidP="00A42416">
            <w:pPr>
              <w:pStyle w:val="Tabletext"/>
              <w:jc w:val="center"/>
            </w:pPr>
            <w:r>
              <w:t>4,0</w:t>
            </w:r>
          </w:p>
        </w:tc>
      </w:tr>
    </w:tbl>
    <w:p w:rsidR="006A2558" w:rsidRDefault="006A2558" w:rsidP="006A2558">
      <w:pPr>
        <w:pStyle w:val="Tablefin"/>
      </w:pPr>
    </w:p>
    <w:p w:rsidR="006A2558" w:rsidRPr="009577BA" w:rsidRDefault="006A2558" w:rsidP="006A2558">
      <w:pPr>
        <w:rPr>
          <w:lang w:val="es-ES_tradnl"/>
        </w:rPr>
      </w:pPr>
      <w:r w:rsidRPr="009577BA">
        <w:rPr>
          <w:lang w:val="es-ES_tradnl"/>
        </w:rPr>
        <w:t>Se llegó a la conclusión de que un tamaño adecuado de ZE para proteger al SRA contra el modelo de referencia P</w:t>
      </w:r>
      <w:r w:rsidRPr="009577BA">
        <w:rPr>
          <w:lang w:val="es-ES_tradnl"/>
        </w:rPr>
        <w:noBreakHyphen/>
        <w:t xml:space="preserve">MP HDFS </w:t>
      </w:r>
      <w:r>
        <w:rPr>
          <w:lang w:val="es-ES_tradnl"/>
        </w:rPr>
        <w:t>de este ejemplo era</w:t>
      </w:r>
      <w:r w:rsidRPr="009577BA">
        <w:rPr>
          <w:lang w:val="es-ES_tradnl"/>
        </w:rPr>
        <w:t>:</w:t>
      </w:r>
    </w:p>
    <w:p w:rsidR="006A2558" w:rsidRDefault="006A2558" w:rsidP="006A2558">
      <w:pPr>
        <w:pStyle w:val="Equation"/>
        <w:spacing w:before="240"/>
        <w:rPr>
          <w:lang w:val="es-ES_tradnl"/>
        </w:rPr>
      </w:pPr>
      <w:r w:rsidRPr="000E1448">
        <w:rPr>
          <w:lang w:val="es-ES_tradnl"/>
        </w:rPr>
        <w:tab/>
      </w:r>
      <w:r w:rsidRPr="000E1448">
        <w:rPr>
          <w:lang w:val="es-ES_tradnl"/>
        </w:rPr>
        <w:tab/>
      </w:r>
      <w:r w:rsidRPr="005E5F55">
        <w:rPr>
          <w:i/>
          <w:lang w:val="es-ES_tradnl"/>
        </w:rPr>
        <w:t>L</w:t>
      </w:r>
      <w:r w:rsidRPr="000E1448">
        <w:rPr>
          <w:vertAlign w:val="subscript"/>
          <w:lang w:val="es-ES_tradnl"/>
        </w:rPr>
        <w:t>452</w:t>
      </w:r>
      <w:r w:rsidRPr="000E1448">
        <w:rPr>
          <w:lang w:val="es-ES_tradnl"/>
        </w:rPr>
        <w:t xml:space="preserve">(10%) </w:t>
      </w:r>
      <w:r>
        <w:sym w:font="Symbol" w:char="F0B3"/>
      </w:r>
      <w:r w:rsidRPr="000E1448">
        <w:rPr>
          <w:lang w:val="es-ES_tradnl"/>
        </w:rPr>
        <w:t xml:space="preserve"> 162 dB</w:t>
      </w:r>
    </w:p>
    <w:p w:rsidR="006A2558" w:rsidRPr="00064E2D" w:rsidRDefault="006A2558" w:rsidP="006A2558">
      <w:pPr>
        <w:pStyle w:val="Blanc"/>
        <w:rPr>
          <w:lang w:val="es-ES_tradnl"/>
        </w:rPr>
      </w:pPr>
    </w:p>
    <w:p w:rsidR="006A2558" w:rsidRPr="000E1448" w:rsidRDefault="006A2558" w:rsidP="006A2558">
      <w:pPr>
        <w:rPr>
          <w:lang w:val="es-ES_tradnl"/>
        </w:rPr>
      </w:pPr>
      <w:r w:rsidRPr="000E1448">
        <w:rPr>
          <w:lang w:val="es-ES_tradnl"/>
        </w:rPr>
        <w:t>Esta ZE de ejemplo se representa en la Fig. 9.</w:t>
      </w:r>
    </w:p>
    <w:p w:rsidR="006A2558" w:rsidRPr="00EC2F0B" w:rsidRDefault="006A2558" w:rsidP="006A2558">
      <w:pPr>
        <w:pStyle w:val="FigureNo"/>
        <w:rPr>
          <w:lang w:val="es-ES_tradnl"/>
        </w:rPr>
      </w:pPr>
      <w:r w:rsidRPr="00EC2F0B">
        <w:rPr>
          <w:lang w:val="es-ES_tradnl"/>
        </w:rPr>
        <w:lastRenderedPageBreak/>
        <w:t>FIGURA 9</w:t>
      </w:r>
    </w:p>
    <w:p w:rsidR="006A2558" w:rsidRDefault="006A2558" w:rsidP="006A2558">
      <w:pPr>
        <w:pStyle w:val="Figuretitle"/>
        <w:rPr>
          <w:lang w:val="es-ES_tradnl"/>
        </w:rPr>
      </w:pPr>
      <w:r w:rsidRPr="00EC2F0B">
        <w:rPr>
          <w:lang w:val="es-ES_tradnl"/>
        </w:rPr>
        <w:t xml:space="preserve">Ejemplo de ZE: Contorno de </w:t>
      </w:r>
      <w:r w:rsidRPr="007F6F6B">
        <w:rPr>
          <w:i/>
          <w:lang w:val="es-ES_tradnl"/>
        </w:rPr>
        <w:t>L</w:t>
      </w:r>
      <w:r w:rsidRPr="00EC2F0B">
        <w:rPr>
          <w:vertAlign w:val="subscript"/>
          <w:lang w:val="es-ES_tradnl"/>
        </w:rPr>
        <w:t xml:space="preserve">452 </w:t>
      </w:r>
      <w:r w:rsidRPr="00EC2F0B">
        <w:rPr>
          <w:lang w:val="es-ES_tradnl"/>
        </w:rPr>
        <w:t>(10%) = 162 dB</w:t>
      </w:r>
    </w:p>
    <w:p w:rsidR="006A2558" w:rsidRPr="005E5F55" w:rsidRDefault="00064E2D" w:rsidP="006A2558">
      <w:pPr>
        <w:pStyle w:val="Figure"/>
        <w:rPr>
          <w:lang w:val="es-ES_tradnl"/>
        </w:rPr>
      </w:pPr>
      <w:r>
        <w:object w:dxaOrig="2929" w:dyaOrig="2835">
          <v:shape id="_x0000_i1039" type="#_x0000_t75" style="width:255pt;height:247pt" o:ole="">
            <v:imagedata r:id="rId36" o:title=""/>
          </v:shape>
          <o:OLEObject Type="Embed" ProgID="CorelDraw.Graphic.16" ShapeID="_x0000_i1039" DrawAspect="Content" ObjectID="_1574161740" r:id="rId37"/>
        </w:object>
      </w:r>
    </w:p>
    <w:p w:rsidR="006A2558" w:rsidRDefault="006A2558" w:rsidP="00A42416">
      <w:pPr>
        <w:pStyle w:val="Reasons"/>
      </w:pPr>
    </w:p>
    <w:p w:rsidR="006A2558" w:rsidRDefault="006A2558">
      <w:pPr>
        <w:jc w:val="center"/>
      </w:pPr>
      <w:r>
        <w:t>______________</w:t>
      </w:r>
    </w:p>
    <w:p w:rsidR="006A2558" w:rsidRPr="00A6617B" w:rsidRDefault="006A2558" w:rsidP="006A2558"/>
    <w:sectPr w:rsidR="006A2558" w:rsidRPr="00A6617B" w:rsidSect="006A2558">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416" w:rsidRDefault="00A42416">
      <w:r>
        <w:separator/>
      </w:r>
    </w:p>
  </w:endnote>
  <w:endnote w:type="continuationSeparator" w:id="0">
    <w:p w:rsidR="00A42416" w:rsidRDefault="00A42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416" w:rsidRDefault="00A42416">
      <w:r>
        <w:separator/>
      </w:r>
    </w:p>
  </w:footnote>
  <w:footnote w:type="continuationSeparator" w:id="0">
    <w:p w:rsidR="00A42416" w:rsidRDefault="00A42416">
      <w:r>
        <w:continuationSeparator/>
      </w:r>
    </w:p>
  </w:footnote>
  <w:footnote w:id="1">
    <w:p w:rsidR="00A42416" w:rsidRPr="00D85C0E" w:rsidRDefault="00A42416" w:rsidP="006A2558">
      <w:pPr>
        <w:pStyle w:val="FootnoteText"/>
        <w:rPr>
          <w:lang w:val="es-ES_tradnl"/>
        </w:rPr>
      </w:pPr>
      <w:r w:rsidRPr="00D85C0E">
        <w:rPr>
          <w:rStyle w:val="FootnoteReference"/>
          <w:lang w:val="es-ES_tradnl"/>
        </w:rPr>
        <w:t>*</w:t>
      </w:r>
      <w:r w:rsidRPr="00D85C0E">
        <w:rPr>
          <w:lang w:val="es-ES_tradnl"/>
        </w:rPr>
        <w:tab/>
      </w:r>
      <w:r w:rsidRPr="000E1448">
        <w:rPr>
          <w:lang w:val="es-ES_tradnl"/>
        </w:rPr>
        <w:t xml:space="preserve">Esta Recomendación debe señalarse a la atención de la Comisión de Estudio 7 </w:t>
      </w:r>
      <w:r>
        <w:rPr>
          <w:lang w:val="es-ES_tradnl"/>
        </w:rPr>
        <w:t>de Radiocomunicaciones</w:t>
      </w:r>
      <w:r w:rsidRPr="000E1448">
        <w:rPr>
          <w:lang w:val="es-ES_tradnl"/>
        </w:rPr>
        <w:t>.</w:t>
      </w:r>
    </w:p>
  </w:footnote>
  <w:footnote w:id="2">
    <w:p w:rsidR="00A42416" w:rsidRPr="00307AD0" w:rsidRDefault="00A42416" w:rsidP="0085028F">
      <w:pPr>
        <w:pStyle w:val="FootnoteText"/>
        <w:rPr>
          <w:lang w:val="es-ES_tradnl"/>
        </w:rPr>
      </w:pPr>
      <w:r w:rsidRPr="00307AD0">
        <w:rPr>
          <w:rStyle w:val="FootnoteReference"/>
          <w:lang w:val="es-ES_tradnl"/>
        </w:rPr>
        <w:t>**</w:t>
      </w:r>
      <w:r w:rsidRPr="00307AD0">
        <w:rPr>
          <w:lang w:val="es-ES_tradnl"/>
        </w:rPr>
        <w:tab/>
      </w:r>
      <w:r w:rsidRPr="00A3040B">
        <w:rPr>
          <w:lang w:val="es-ES_tradnl"/>
        </w:rPr>
        <w:t>La Comisión de Estudio 5 de Radiocomunicaciones introdujo en 2017</w:t>
      </w:r>
      <w:r>
        <w:rPr>
          <w:lang w:val="es-ES_tradnl"/>
        </w:rPr>
        <w:t xml:space="preserve"> </w:t>
      </w:r>
      <w:r w:rsidRPr="00A3040B">
        <w:rPr>
          <w:lang w:val="es-ES_tradnl"/>
        </w:rPr>
        <w:t xml:space="preserve">modificaciones </w:t>
      </w:r>
      <w:r>
        <w:rPr>
          <w:lang w:val="es-ES_tradnl"/>
        </w:rPr>
        <w:t xml:space="preserve">de </w:t>
      </w:r>
      <w:r w:rsidRPr="00A3040B">
        <w:rPr>
          <w:lang w:val="es-ES_tradnl"/>
        </w:rPr>
        <w:t>redacci</w:t>
      </w:r>
      <w:r>
        <w:rPr>
          <w:lang w:val="es-ES_tradnl"/>
        </w:rPr>
        <w:t>ó</w:t>
      </w:r>
      <w:r w:rsidRPr="00A3040B">
        <w:rPr>
          <w:lang w:val="es-ES_tradnl"/>
        </w:rPr>
        <w:t>n en esta Recomendación,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416" w:rsidRDefault="00A4241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416" w:rsidRDefault="00A42416" w:rsidP="00A42416">
    <w:pPr>
      <w:pStyle w:val="Header"/>
      <w:ind w:right="360" w:firstLine="360"/>
    </w:pPr>
    <w:r>
      <w:rPr>
        <w:noProof/>
        <w:lang w:val="es-ES_tradnl" w:eastAsia="zh-CN"/>
      </w:rPr>
      <w:drawing>
        <wp:anchor distT="0" distB="0" distL="114300" distR="114300" simplePos="0" relativeHeight="251659264" behindDoc="1" locked="0" layoutInCell="1" allowOverlap="1" wp14:anchorId="52D07717" wp14:editId="2275919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416" w:rsidRDefault="00A42416" w:rsidP="00A4241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64E2D">
      <w:rPr>
        <w:rStyle w:val="PageNumber"/>
        <w:b/>
        <w:bCs/>
        <w:noProof/>
      </w:rPr>
      <w:t>ii</w:t>
    </w:r>
    <w:r>
      <w:rPr>
        <w:rStyle w:val="PageNumber"/>
        <w:b/>
        <w:bCs/>
      </w:rPr>
      <w:fldChar w:fldCharType="end"/>
    </w:r>
    <w:r>
      <w:tab/>
    </w:r>
    <w:r w:rsidR="00064E2D">
      <w:fldChar w:fldCharType="begin"/>
    </w:r>
    <w:r w:rsidR="00064E2D">
      <w:instrText xml:space="preserve"> DOCPROPERTY "Header" \* MERGEFORMAT </w:instrText>
    </w:r>
    <w:r w:rsidR="00064E2D">
      <w:fldChar w:fldCharType="separate"/>
    </w:r>
    <w:r w:rsidR="00BE1B47" w:rsidRPr="00BE1B47">
      <w:rPr>
        <w:b/>
        <w:bCs/>
        <w:lang w:val="en-US"/>
      </w:rPr>
      <w:t xml:space="preserve">Rec. </w:t>
    </w:r>
    <w:r w:rsidR="00064E2D">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064E2D">
      <w:rPr>
        <w:b/>
        <w:bCs/>
        <w:noProof/>
      </w:rPr>
      <w:t>UIT-R  F. 1766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416" w:rsidRDefault="00A42416">
    <w:pPr>
      <w:pStyle w:val="Header"/>
    </w:pPr>
    <w:r>
      <w:tab/>
    </w:r>
    <w:r w:rsidR="00064E2D">
      <w:fldChar w:fldCharType="begin"/>
    </w:r>
    <w:r w:rsidR="00064E2D">
      <w:instrText xml:space="preserve"> DOCPROPERTY "Header" \* MERGEFORMAT </w:instrText>
    </w:r>
    <w:r w:rsidR="00064E2D">
      <w:fldChar w:fldCharType="separate"/>
    </w:r>
    <w:r w:rsidR="00BE1B47" w:rsidRPr="00BE1B47">
      <w:rPr>
        <w:lang w:val="en-US"/>
      </w:rPr>
      <w:t xml:space="preserve">Rec. </w:t>
    </w:r>
    <w:r w:rsidR="00064E2D">
      <w:rPr>
        <w:lang w:val="en-US"/>
      </w:rPr>
      <w:fldChar w:fldCharType="end"/>
    </w:r>
    <w:r>
      <w:rPr>
        <w:b/>
        <w:bCs/>
      </w:rPr>
      <w:t xml:space="preserve">  </w:t>
    </w:r>
    <w:r>
      <w:rPr>
        <w:b/>
        <w:bCs/>
      </w:rPr>
      <w:fldChar w:fldCharType="begin"/>
    </w:r>
    <w:r>
      <w:rPr>
        <w:b/>
        <w:bCs/>
      </w:rPr>
      <w:instrText>styleref href</w:instrText>
    </w:r>
    <w:r>
      <w:rPr>
        <w:b/>
        <w:bCs/>
      </w:rPr>
      <w:fldChar w:fldCharType="separate"/>
    </w:r>
    <w:r w:rsidR="00BE1B47">
      <w:rPr>
        <w:b/>
        <w:bCs/>
        <w:noProof/>
      </w:rPr>
      <w:t>UIT-R  F. 1766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416" w:rsidRDefault="00A4241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64E2D">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E1B47" w:rsidRPr="00BE1B4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64E2D">
      <w:rPr>
        <w:b/>
        <w:bCs/>
        <w:noProof/>
      </w:rPr>
      <w:t>UIT-R  F. 1766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416" w:rsidRDefault="00A42416">
    <w:pPr>
      <w:pStyle w:val="Header"/>
    </w:pPr>
    <w:r>
      <w:tab/>
    </w:r>
    <w:r w:rsidR="00064E2D">
      <w:fldChar w:fldCharType="begin"/>
    </w:r>
    <w:r w:rsidR="00064E2D">
      <w:instrText xml:space="preserve"> DOCPROPERTY "Header" \* MERGEFORMAT </w:instrText>
    </w:r>
    <w:r w:rsidR="00064E2D">
      <w:fldChar w:fldCharType="separate"/>
    </w:r>
    <w:r w:rsidR="00BE1B47" w:rsidRPr="00BE1B47">
      <w:rPr>
        <w:b/>
        <w:bCs/>
      </w:rPr>
      <w:t xml:space="preserve">Rec. </w:t>
    </w:r>
    <w:r w:rsidR="00064E2D">
      <w:rPr>
        <w:b/>
        <w:bCs/>
      </w:rPr>
      <w:fldChar w:fldCharType="end"/>
    </w:r>
    <w:r>
      <w:rPr>
        <w:b/>
        <w:bCs/>
      </w:rPr>
      <w:t xml:space="preserve"> </w:t>
    </w:r>
    <w:r>
      <w:rPr>
        <w:b/>
        <w:bCs/>
      </w:rPr>
      <w:fldChar w:fldCharType="begin"/>
    </w:r>
    <w:r>
      <w:rPr>
        <w:b/>
        <w:bCs/>
      </w:rPr>
      <w:instrText>styleref href</w:instrText>
    </w:r>
    <w:r>
      <w:rPr>
        <w:b/>
        <w:bCs/>
      </w:rPr>
      <w:fldChar w:fldCharType="separate"/>
    </w:r>
    <w:r w:rsidR="00064E2D">
      <w:rPr>
        <w:b/>
        <w:bCs/>
        <w:noProof/>
      </w:rPr>
      <w:t>UIT-R  F. 1766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64E2D">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558"/>
    <w:rsid w:val="00064E2D"/>
    <w:rsid w:val="00100EEE"/>
    <w:rsid w:val="0015012A"/>
    <w:rsid w:val="00205AAE"/>
    <w:rsid w:val="00210EFF"/>
    <w:rsid w:val="00217EBF"/>
    <w:rsid w:val="00242AEE"/>
    <w:rsid w:val="002D76C4"/>
    <w:rsid w:val="00427F01"/>
    <w:rsid w:val="0052529D"/>
    <w:rsid w:val="00565305"/>
    <w:rsid w:val="00607D68"/>
    <w:rsid w:val="006A2558"/>
    <w:rsid w:val="007468DA"/>
    <w:rsid w:val="0085028F"/>
    <w:rsid w:val="009066CB"/>
    <w:rsid w:val="009B3BA9"/>
    <w:rsid w:val="009E00A8"/>
    <w:rsid w:val="00A42416"/>
    <w:rsid w:val="00A6617B"/>
    <w:rsid w:val="00AB0DC8"/>
    <w:rsid w:val="00B44E24"/>
    <w:rsid w:val="00BE1B47"/>
    <w:rsid w:val="00DC02F2"/>
    <w:rsid w:val="00DF4176"/>
    <w:rsid w:val="00E32C0A"/>
    <w:rsid w:val="00FD4B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docId w15:val="{FE8F52F9-181F-4836-BF9A-DA5150EA9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5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A2558"/>
    <w:rPr>
      <w:color w:val="0000FF"/>
      <w:u w:val="single"/>
    </w:rPr>
  </w:style>
  <w:style w:type="table" w:styleId="TableGrid">
    <w:name w:val="Table Grid"/>
    <w:basedOn w:val="TableNormal"/>
    <w:rsid w:val="006A25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semiHidden/>
    <w:rsid w:val="006A2558"/>
    <w:rPr>
      <w:sz w:val="22"/>
      <w:lang w:val="fr-FR" w:eastAsia="en-US"/>
    </w:rPr>
  </w:style>
  <w:style w:type="character" w:customStyle="1" w:styleId="Heading1Char">
    <w:name w:val="Heading 1 Char"/>
    <w:basedOn w:val="DefaultParagraphFont"/>
    <w:link w:val="Heading1"/>
    <w:rsid w:val="006A2558"/>
    <w:rPr>
      <w:b/>
      <w:sz w:val="24"/>
      <w:lang w:val="fr-FR" w:eastAsia="en-US"/>
    </w:rPr>
  </w:style>
  <w:style w:type="character" w:customStyle="1" w:styleId="Heading2Char">
    <w:name w:val="Heading 2 Char"/>
    <w:basedOn w:val="DefaultParagraphFont"/>
    <w:link w:val="Heading2"/>
    <w:rsid w:val="006A2558"/>
    <w:rPr>
      <w:b/>
      <w:sz w:val="24"/>
      <w:lang w:val="fr-FR" w:eastAsia="en-US"/>
    </w:rPr>
  </w:style>
  <w:style w:type="character" w:customStyle="1" w:styleId="Heading3Char">
    <w:name w:val="Heading 3 Char"/>
    <w:basedOn w:val="DefaultParagraphFont"/>
    <w:link w:val="Heading3"/>
    <w:rsid w:val="006A2558"/>
    <w:rPr>
      <w:b/>
      <w:sz w:val="24"/>
      <w:lang w:val="fr-FR" w:eastAsia="en-US"/>
    </w:rPr>
  </w:style>
  <w:style w:type="character" w:customStyle="1" w:styleId="Heading4Char">
    <w:name w:val="Heading 4 Char"/>
    <w:basedOn w:val="DefaultParagraphFont"/>
    <w:link w:val="Heading4"/>
    <w:rsid w:val="006A2558"/>
    <w:rPr>
      <w:b/>
      <w:sz w:val="24"/>
      <w:lang w:val="fr-FR" w:eastAsia="en-US"/>
    </w:rPr>
  </w:style>
  <w:style w:type="character" w:customStyle="1" w:styleId="Heading5Char">
    <w:name w:val="Heading 5 Char"/>
    <w:basedOn w:val="DefaultParagraphFont"/>
    <w:link w:val="Heading5"/>
    <w:rsid w:val="006A2558"/>
    <w:rPr>
      <w:b/>
      <w:sz w:val="24"/>
      <w:lang w:val="fr-FR" w:eastAsia="en-US"/>
    </w:rPr>
  </w:style>
  <w:style w:type="character" w:customStyle="1" w:styleId="Heading6Char">
    <w:name w:val="Heading 6 Char"/>
    <w:basedOn w:val="DefaultParagraphFont"/>
    <w:link w:val="Heading6"/>
    <w:rsid w:val="006A2558"/>
    <w:rPr>
      <w:b/>
      <w:sz w:val="24"/>
      <w:lang w:val="fr-FR" w:eastAsia="en-US"/>
    </w:rPr>
  </w:style>
  <w:style w:type="character" w:customStyle="1" w:styleId="Heading7Char">
    <w:name w:val="Heading 7 Char"/>
    <w:basedOn w:val="DefaultParagraphFont"/>
    <w:link w:val="Heading7"/>
    <w:rsid w:val="006A2558"/>
    <w:rPr>
      <w:b/>
      <w:sz w:val="24"/>
      <w:lang w:val="fr-FR" w:eastAsia="en-US"/>
    </w:rPr>
  </w:style>
  <w:style w:type="character" w:customStyle="1" w:styleId="Heading8Char">
    <w:name w:val="Heading 8 Char"/>
    <w:basedOn w:val="DefaultParagraphFont"/>
    <w:link w:val="Heading8"/>
    <w:rsid w:val="006A2558"/>
    <w:rPr>
      <w:b/>
      <w:sz w:val="24"/>
      <w:lang w:val="fr-FR" w:eastAsia="en-US"/>
    </w:rPr>
  </w:style>
  <w:style w:type="character" w:customStyle="1" w:styleId="Heading9Char">
    <w:name w:val="Heading 9 Char"/>
    <w:basedOn w:val="DefaultParagraphFont"/>
    <w:link w:val="Heading9"/>
    <w:rsid w:val="006A2558"/>
    <w:rPr>
      <w:b/>
      <w:sz w:val="24"/>
      <w:lang w:val="fr-FR" w:eastAsia="en-US"/>
    </w:rPr>
  </w:style>
  <w:style w:type="character" w:customStyle="1" w:styleId="HeaderChar">
    <w:name w:val="Header Char"/>
    <w:basedOn w:val="DefaultParagraphFont"/>
    <w:link w:val="Header"/>
    <w:rsid w:val="006A2558"/>
    <w:rPr>
      <w:sz w:val="24"/>
      <w:lang w:val="fr-FR" w:eastAsia="en-US"/>
    </w:rPr>
  </w:style>
  <w:style w:type="character" w:customStyle="1" w:styleId="FooterChar">
    <w:name w:val="Footer Char"/>
    <w:basedOn w:val="DefaultParagraphFont"/>
    <w:link w:val="Footer"/>
    <w:rsid w:val="006A2558"/>
    <w:rPr>
      <w:noProof/>
      <w:sz w:val="18"/>
      <w:lang w:val="fr-FR" w:eastAsia="en-US"/>
    </w:rPr>
  </w:style>
  <w:style w:type="character" w:styleId="FollowedHyperlink">
    <w:name w:val="FollowedHyperlink"/>
    <w:rsid w:val="006A2558"/>
    <w:rPr>
      <w:color w:val="954F72"/>
      <w:u w:val="single"/>
    </w:rPr>
  </w:style>
  <w:style w:type="paragraph" w:customStyle="1" w:styleId="Reasons">
    <w:name w:val="Reasons"/>
    <w:basedOn w:val="Normal"/>
    <w:qFormat/>
    <w:rsid w:val="006A255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image" Target="media/image13.emf"/><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136</TotalTime>
  <Pages>21</Pages>
  <Words>6034</Words>
  <Characters>33189</Characters>
  <Application>Microsoft Office Word</Application>
  <DocSecurity>0</DocSecurity>
  <Lines>276</Lines>
  <Paragraphs>78</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Template BR_Rec_2005.dot</vt:lpstr>
      <vt:lpstr>Política sobre Derechos de Propiedad Intelectual (IPR)</vt:lpstr>
      <vt:lpstr>1	Introducción</vt:lpstr>
      <vt:lpstr>2	Modelo del SRA</vt:lpstr>
      <vt:lpstr>    2.1	Umbral de interferencia</vt:lpstr>
      <vt:lpstr>    2.2	Emplazamiento</vt:lpstr>
      <vt:lpstr>    2.3	Diagrama de ganancia</vt:lpstr>
      <vt:lpstr>    2.4	Resumen</vt:lpstr>
      <vt:lpstr>3	Modelo P-MP HDFS</vt:lpstr>
      <vt:lpstr>    3.1	Distribuciones de p.i.r.e.c.</vt:lpstr>
      <vt:lpstr>    3.2	Altura del transmisor</vt:lpstr>
      <vt:lpstr>    3.3	Zona de instalación</vt:lpstr>
      <vt:lpstr>    3.4	Resumen</vt:lpstr>
      <vt:lpstr>4	Cálculo de la interferencia</vt:lpstr>
      <vt:lpstr>5	Resultado de la metodología</vt:lpstr>
      <vt:lpstr>1	Zona de exclusión con arreglo a las pérdidas de propagación</vt:lpstr>
      <vt:lpstr>2	Obtención del tamaño de la zona de exclusión (ZE)</vt:lpstr>
      <vt:lpstr>3	Tipos de ZE</vt:lpstr>
      <vt:lpstr>    3.1	Modelos de referencia P-MP HDFS</vt:lpstr>
      <vt:lpstr>    3.2	ZE basadas en datos demográficos</vt:lpstr>
      <vt:lpstr>    3.3	Zonas múltiples</vt:lpstr>
      <vt:lpstr>    3.4	ZE en banda y OoB</vt:lpstr>
    </vt:vector>
  </TitlesOfParts>
  <Manager/>
  <Company>ITU</Company>
  <LinksUpToDate>false</LinksUpToDate>
  <CharactersWithSpaces>39145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12</cp:revision>
  <cp:lastPrinted>2017-12-07T09:16:00Z</cp:lastPrinted>
  <dcterms:created xsi:type="dcterms:W3CDTF">2017-12-07T08:57:00Z</dcterms:created>
  <dcterms:modified xsi:type="dcterms:W3CDTF">2017-12-07T13:18:00Z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