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p w:rsidR="00E55EF0" w:rsidRDefault="00E55EF0" w:rsidP="00E55EF0"/>
    <w:tbl>
      <w:tblPr>
        <w:tblW w:w="10089" w:type="dxa"/>
        <w:tblLook w:val="01E0" w:firstRow="1" w:lastRow="1" w:firstColumn="1" w:lastColumn="1" w:noHBand="0" w:noVBand="0"/>
      </w:tblPr>
      <w:tblGrid>
        <w:gridCol w:w="10089"/>
      </w:tblGrid>
      <w:tr w:rsidR="00E55EF0" w:rsidRPr="00A443C2" w:rsidTr="00E55EF0">
        <w:tc>
          <w:tcPr>
            <w:tcW w:w="10089" w:type="dxa"/>
          </w:tcPr>
          <w:p w:rsidR="00E55EF0" w:rsidRPr="00B033C8" w:rsidRDefault="00E55EF0" w:rsidP="00E55EF0">
            <w:pPr>
              <w:spacing w:before="380" w:line="280" w:lineRule="exact"/>
              <w:jc w:val="right"/>
              <w:rPr>
                <w:rFonts w:ascii="Tahoma" w:hAnsi="Tahoma" w:cs="Tahoma"/>
                <w:b/>
                <w:bCs/>
                <w:iCs/>
                <w:color w:val="243285"/>
                <w:sz w:val="32"/>
                <w:szCs w:val="32"/>
                <w:lang w:val="en-US"/>
              </w:rPr>
            </w:pPr>
          </w:p>
          <w:p w:rsidR="00E55EF0" w:rsidRPr="00A443C2" w:rsidRDefault="00E55EF0" w:rsidP="003577A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3577A8">
              <w:rPr>
                <w:rFonts w:ascii="Tahoma" w:hAnsi="Tahoma" w:cs="Tahoma"/>
                <w:b/>
                <w:bCs/>
                <w:iCs/>
                <w:color w:val="243285"/>
                <w:sz w:val="36"/>
                <w:szCs w:val="36"/>
              </w:rPr>
              <w:t>1612</w:t>
            </w:r>
          </w:p>
          <w:p w:rsidR="00E55EF0" w:rsidRPr="00A443C2" w:rsidRDefault="00E55EF0" w:rsidP="003577A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3577A8">
              <w:rPr>
                <w:rFonts w:ascii="Tahoma" w:hAnsi="Tahoma" w:cs="Tahoma"/>
                <w:b/>
                <w:bCs/>
                <w:iCs/>
                <w:color w:val="243285"/>
                <w:szCs w:val="24"/>
              </w:rPr>
              <w:t>2</w:t>
            </w:r>
            <w:r w:rsidRPr="00A443C2">
              <w:rPr>
                <w:rFonts w:ascii="Tahoma" w:hAnsi="Tahoma" w:cs="Tahoma"/>
                <w:b/>
                <w:bCs/>
                <w:iCs/>
                <w:color w:val="243285"/>
                <w:szCs w:val="24"/>
              </w:rPr>
              <w:t>/</w:t>
            </w:r>
            <w:r w:rsidR="003577A8">
              <w:rPr>
                <w:rFonts w:ascii="Tahoma" w:hAnsi="Tahoma" w:cs="Tahoma"/>
                <w:b/>
                <w:bCs/>
                <w:iCs/>
                <w:color w:val="243285"/>
                <w:szCs w:val="24"/>
              </w:rPr>
              <w:t>2003</w:t>
            </w:r>
            <w:r w:rsidRPr="00A443C2">
              <w:rPr>
                <w:rFonts w:ascii="Tahoma" w:hAnsi="Tahoma" w:cs="Tahoma"/>
                <w:b/>
                <w:bCs/>
                <w:iCs/>
                <w:color w:val="243285"/>
                <w:szCs w:val="24"/>
              </w:rPr>
              <w:t>)</w:t>
            </w:r>
          </w:p>
        </w:tc>
      </w:tr>
      <w:tr w:rsidR="00E55EF0" w:rsidRPr="00F54FBD" w:rsidTr="00E55EF0">
        <w:tc>
          <w:tcPr>
            <w:tcW w:w="10089" w:type="dxa"/>
          </w:tcPr>
          <w:p w:rsidR="00E55EF0" w:rsidRDefault="00E55EF0" w:rsidP="00E55EF0">
            <w:pPr>
              <w:spacing w:before="80" w:line="500" w:lineRule="exact"/>
              <w:jc w:val="right"/>
              <w:rPr>
                <w:rFonts w:ascii="Tahoma" w:hAnsi="Tahoma" w:cs="Tahoma"/>
                <w:b/>
                <w:bCs/>
                <w:iCs/>
                <w:color w:val="243285"/>
                <w:sz w:val="44"/>
                <w:szCs w:val="44"/>
              </w:rPr>
            </w:pPr>
          </w:p>
          <w:p w:rsidR="00E55EF0" w:rsidRPr="003577A8" w:rsidRDefault="003577A8" w:rsidP="003577A8">
            <w:pPr>
              <w:spacing w:before="80" w:line="500" w:lineRule="exact"/>
              <w:jc w:val="right"/>
              <w:rPr>
                <w:rFonts w:ascii="Tahoma" w:hAnsi="Tahoma" w:cs="Tahoma"/>
                <w:b/>
                <w:bCs/>
                <w:iCs/>
                <w:color w:val="243285"/>
                <w:sz w:val="44"/>
                <w:szCs w:val="44"/>
              </w:rPr>
            </w:pPr>
            <w:r>
              <w:rPr>
                <w:rFonts w:ascii="Tahoma" w:hAnsi="Tahoma" w:cs="Tahoma"/>
                <w:b/>
                <w:bCs/>
                <w:sz w:val="44"/>
                <w:szCs w:val="44"/>
              </w:rPr>
              <w:t>E</w:t>
            </w:r>
            <w:r w:rsidRPr="003577A8">
              <w:rPr>
                <w:rFonts w:ascii="Tahoma" w:hAnsi="Tahoma" w:cs="Tahoma"/>
                <w:b/>
                <w:bCs/>
                <w:sz w:val="44"/>
                <w:szCs w:val="44"/>
              </w:rPr>
              <w:t>valuation du brouillage causé par le service fixe utilisant des stations placées</w:t>
            </w:r>
            <w:r>
              <w:rPr>
                <w:rFonts w:ascii="Tahoma" w:hAnsi="Tahoma" w:cs="Tahoma"/>
                <w:b/>
                <w:bCs/>
                <w:sz w:val="44"/>
                <w:szCs w:val="44"/>
              </w:rPr>
              <w:t xml:space="preserve"> </w:t>
            </w:r>
            <w:r w:rsidRPr="003577A8">
              <w:rPr>
                <w:rFonts w:ascii="Tahoma" w:hAnsi="Tahoma" w:cs="Tahoma"/>
                <w:b/>
                <w:bCs/>
                <w:sz w:val="44"/>
                <w:szCs w:val="44"/>
              </w:rPr>
              <w:t>sur des plates-formes à haute altitude pour la protection du service de</w:t>
            </w:r>
            <w:r>
              <w:rPr>
                <w:rFonts w:ascii="Tahoma" w:hAnsi="Tahoma" w:cs="Tahoma"/>
                <w:b/>
                <w:bCs/>
                <w:sz w:val="44"/>
                <w:szCs w:val="44"/>
              </w:rPr>
              <w:t xml:space="preserve"> </w:t>
            </w:r>
            <w:r w:rsidRPr="003577A8">
              <w:rPr>
                <w:rFonts w:ascii="Tahoma" w:hAnsi="Tahoma" w:cs="Tahoma"/>
                <w:b/>
                <w:bCs/>
                <w:sz w:val="44"/>
                <w:szCs w:val="44"/>
              </w:rPr>
              <w:t>radioastronomie contre les émissions sur les liaisons montantes des</w:t>
            </w:r>
            <w:r>
              <w:rPr>
                <w:rFonts w:ascii="Tahoma" w:hAnsi="Tahoma" w:cs="Tahoma"/>
                <w:b/>
                <w:bCs/>
                <w:sz w:val="44"/>
                <w:szCs w:val="44"/>
              </w:rPr>
              <w:t xml:space="preserve"> </w:t>
            </w:r>
            <w:r w:rsidRPr="003577A8">
              <w:rPr>
                <w:rFonts w:ascii="Tahoma" w:hAnsi="Tahoma" w:cs="Tahoma"/>
                <w:b/>
                <w:bCs/>
                <w:sz w:val="44"/>
                <w:szCs w:val="44"/>
              </w:rPr>
              <w:t>systèmes des stations placées sur des plates-formes à</w:t>
            </w:r>
            <w:r>
              <w:rPr>
                <w:rFonts w:ascii="Tahoma" w:hAnsi="Tahoma" w:cs="Tahoma"/>
                <w:b/>
                <w:bCs/>
                <w:sz w:val="44"/>
                <w:szCs w:val="44"/>
              </w:rPr>
              <w:t xml:space="preserve"> </w:t>
            </w:r>
            <w:r w:rsidRPr="003577A8">
              <w:rPr>
                <w:rFonts w:ascii="Tahoma" w:hAnsi="Tahoma" w:cs="Tahoma"/>
                <w:b/>
                <w:bCs/>
                <w:sz w:val="44"/>
                <w:szCs w:val="44"/>
              </w:rPr>
              <w:t>haute altitude dans la bande 31,3-31,8 GHz</w:t>
            </w:r>
          </w:p>
          <w:p w:rsidR="00E55EF0" w:rsidRPr="00F54FBD" w:rsidRDefault="00E55EF0" w:rsidP="00E55EF0">
            <w:pPr>
              <w:spacing w:before="80" w:line="500" w:lineRule="exact"/>
              <w:jc w:val="right"/>
              <w:rPr>
                <w:rFonts w:ascii="Tahoma" w:hAnsi="Tahoma" w:cs="Tahoma"/>
                <w:b/>
                <w:bCs/>
                <w:iCs/>
                <w:color w:val="243285"/>
                <w:sz w:val="44"/>
                <w:szCs w:val="44"/>
              </w:rPr>
            </w:pPr>
          </w:p>
        </w:tc>
      </w:tr>
      <w:tr w:rsidR="00E55EF0" w:rsidRPr="00F54FBD" w:rsidTr="00E55EF0">
        <w:tc>
          <w:tcPr>
            <w:tcW w:w="10089" w:type="dxa"/>
          </w:tcPr>
          <w:p w:rsidR="00E55EF0" w:rsidRPr="00F54FBD" w:rsidRDefault="00E55EF0" w:rsidP="00E55EF0">
            <w:pPr>
              <w:spacing w:before="80" w:line="280" w:lineRule="exact"/>
              <w:ind w:right="640"/>
              <w:rPr>
                <w:rFonts w:ascii="Tahoma" w:hAnsi="Tahoma" w:cs="Tahoma"/>
                <w:b/>
                <w:bCs/>
                <w:iCs/>
                <w:color w:val="243285"/>
                <w:sz w:val="32"/>
                <w:szCs w:val="32"/>
              </w:rPr>
            </w:pPr>
          </w:p>
          <w:p w:rsidR="00E55EF0" w:rsidRPr="00F54FBD" w:rsidRDefault="00E55EF0" w:rsidP="00E55EF0">
            <w:pPr>
              <w:spacing w:before="80" w:after="180" w:line="360" w:lineRule="exact"/>
              <w:ind w:right="720"/>
              <w:rPr>
                <w:rFonts w:ascii="Tahoma" w:hAnsi="Tahoma" w:cs="Tahoma"/>
                <w:b/>
                <w:bCs/>
                <w:iCs/>
                <w:color w:val="243285"/>
                <w:sz w:val="36"/>
                <w:szCs w:val="36"/>
              </w:rPr>
            </w:pPr>
          </w:p>
          <w:p w:rsidR="00E55EF0" w:rsidRPr="00F54FBD" w:rsidRDefault="00E55EF0" w:rsidP="00E55EF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E55EF0" w:rsidRPr="00F54FBD" w:rsidRDefault="00E55EF0" w:rsidP="00E55EF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E55EF0" w:rsidRPr="00F54FBD" w:rsidRDefault="00E55EF0" w:rsidP="00E55EF0">
      <w:pPr>
        <w:spacing w:before="80"/>
        <w:rPr>
          <w:i/>
          <w:sz w:val="22"/>
        </w:rPr>
      </w:pPr>
    </w:p>
    <w:p w:rsidR="00E55EF0" w:rsidRPr="00F54FBD" w:rsidRDefault="00E55EF0" w:rsidP="00E55EF0">
      <w:pPr>
        <w:spacing w:before="80"/>
        <w:rPr>
          <w:i/>
          <w:sz w:val="22"/>
        </w:rPr>
      </w:pPr>
    </w:p>
    <w:p w:rsidR="00E55EF0" w:rsidRPr="00F54FBD" w:rsidRDefault="00E55EF0" w:rsidP="00E55EF0">
      <w:pPr>
        <w:spacing w:before="80"/>
        <w:rPr>
          <w:i/>
          <w:sz w:val="22"/>
        </w:rPr>
      </w:pPr>
    </w:p>
    <w:p w:rsidR="00E55EF0" w:rsidRPr="00F54FBD" w:rsidRDefault="00E55EF0" w:rsidP="00E55EF0">
      <w:pPr>
        <w:spacing w:before="80"/>
        <w:rPr>
          <w:i/>
          <w:sz w:val="22"/>
        </w:rPr>
      </w:pPr>
    </w:p>
    <w:p w:rsidR="00E55EF0" w:rsidRPr="00F54FBD" w:rsidRDefault="00E55EF0" w:rsidP="00E55EF0">
      <w:pPr>
        <w:spacing w:before="80"/>
        <w:rPr>
          <w:i/>
          <w:sz w:val="22"/>
        </w:rPr>
      </w:pPr>
    </w:p>
    <w:p w:rsidR="00E55EF0" w:rsidRPr="00F54FBD" w:rsidRDefault="00E55EF0" w:rsidP="00E55EF0">
      <w:pPr>
        <w:pStyle w:val="Equation"/>
        <w:tabs>
          <w:tab w:val="clear" w:pos="4820"/>
          <w:tab w:val="clear" w:pos="9639"/>
          <w:tab w:val="left" w:pos="1191"/>
          <w:tab w:val="left" w:pos="1588"/>
          <w:tab w:val="left" w:pos="1985"/>
        </w:tabs>
        <w:rPr>
          <w:rFonts w:ascii="Palatino Linotype" w:hAnsi="Palatino Linotype"/>
        </w:rPr>
        <w:sectPr w:rsidR="00E55EF0" w:rsidRPr="00F54FBD">
          <w:headerReference w:type="even" r:id="rId8"/>
          <w:headerReference w:type="default" r:id="rId9"/>
          <w:pgSz w:w="11907" w:h="16840" w:code="9"/>
          <w:pgMar w:top="1089" w:right="1089" w:bottom="284" w:left="1089" w:header="567" w:footer="284" w:gutter="0"/>
          <w:pgNumType w:start="1"/>
          <w:cols w:space="720"/>
        </w:sectPr>
      </w:pPr>
    </w:p>
    <w:p w:rsidR="00E55EF0" w:rsidRPr="00F54FBD"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55EF0" w:rsidRPr="00F54FBD" w:rsidRDefault="00E55EF0" w:rsidP="00E55EF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55EF0" w:rsidRPr="00F54FBD" w:rsidRDefault="00E55EF0" w:rsidP="00E55EF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55EF0" w:rsidRPr="00E44CBB" w:rsidRDefault="00E55EF0" w:rsidP="00E55EF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55EF0" w:rsidRPr="00E44CBB" w:rsidRDefault="00E55EF0" w:rsidP="00E55EF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55EF0" w:rsidRPr="0051551D" w:rsidRDefault="00E55EF0" w:rsidP="00E55EF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5EF0" w:rsidRPr="009454F8" w:rsidTr="00E55EF0">
        <w:tc>
          <w:tcPr>
            <w:tcW w:w="9360" w:type="dxa"/>
            <w:gridSpan w:val="2"/>
          </w:tcPr>
          <w:p w:rsidR="00E55EF0" w:rsidRPr="009454F8" w:rsidRDefault="00E55EF0" w:rsidP="00E55EF0">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E55EF0" w:rsidRPr="009454F8"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55EF0" w:rsidRPr="00036EE3" w:rsidTr="00E55EF0">
        <w:tc>
          <w:tcPr>
            <w:tcW w:w="1140" w:type="dxa"/>
            <w:tcBorders>
              <w:bottom w:val="nil"/>
            </w:tcBorders>
          </w:tcPr>
          <w:p w:rsidR="00E55EF0" w:rsidRPr="00614CC6" w:rsidRDefault="00E55EF0" w:rsidP="00E55EF0">
            <w:pPr>
              <w:spacing w:before="90" w:after="100"/>
              <w:ind w:left="57"/>
              <w:rPr>
                <w:b/>
                <w:bCs/>
                <w:sz w:val="20"/>
                <w:lang w:val="en-US"/>
              </w:rPr>
            </w:pPr>
            <w:r w:rsidRPr="00614CC6">
              <w:rPr>
                <w:b/>
                <w:bCs/>
                <w:sz w:val="20"/>
                <w:lang w:val="en-US"/>
              </w:rPr>
              <w:t>Séries</w:t>
            </w:r>
          </w:p>
        </w:tc>
        <w:tc>
          <w:tcPr>
            <w:tcW w:w="8220" w:type="dxa"/>
            <w:tcBorders>
              <w:bottom w:val="nil"/>
            </w:tcBorders>
          </w:tcPr>
          <w:p w:rsidR="00E55EF0" w:rsidRPr="00614CC6"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55EF0" w:rsidRPr="005E427C" w:rsidTr="00E55EF0">
        <w:tc>
          <w:tcPr>
            <w:tcW w:w="1140" w:type="dxa"/>
            <w:tcBorders>
              <w:top w:val="nil"/>
              <w:bottom w:val="nil"/>
            </w:tcBorders>
            <w:shd w:val="clear" w:color="auto" w:fill="auto"/>
          </w:tcPr>
          <w:p w:rsidR="00E55EF0" w:rsidRPr="005E427C" w:rsidRDefault="00E55EF0" w:rsidP="00E55EF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55EF0" w:rsidRPr="005E427C"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55EF0" w:rsidRPr="009454F8" w:rsidTr="00E55EF0">
        <w:tc>
          <w:tcPr>
            <w:tcW w:w="1140" w:type="dxa"/>
            <w:tcBorders>
              <w:top w:val="nil"/>
              <w:bottom w:val="nil"/>
            </w:tcBorders>
          </w:tcPr>
          <w:p w:rsidR="00E55EF0" w:rsidRPr="00614CC6" w:rsidRDefault="00E55EF0" w:rsidP="00E55EF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55EF0" w:rsidRPr="00614CC6"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55EF0" w:rsidRPr="00E80F1D" w:rsidTr="00E55EF0">
        <w:tc>
          <w:tcPr>
            <w:tcW w:w="1140" w:type="dxa"/>
            <w:tcBorders>
              <w:top w:val="nil"/>
              <w:bottom w:val="nil"/>
            </w:tcBorders>
            <w:shd w:val="clear" w:color="auto" w:fill="auto"/>
          </w:tcPr>
          <w:p w:rsidR="00E55EF0" w:rsidRPr="00E80F1D" w:rsidRDefault="00E55EF0" w:rsidP="00E55EF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55EF0" w:rsidRPr="00E80F1D"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55EF0" w:rsidRPr="00ED2695" w:rsidTr="00E55EF0">
        <w:tc>
          <w:tcPr>
            <w:tcW w:w="1140" w:type="dxa"/>
            <w:tcBorders>
              <w:top w:val="nil"/>
              <w:bottom w:val="nil"/>
            </w:tcBorders>
            <w:shd w:val="clear" w:color="auto" w:fill="auto"/>
          </w:tcPr>
          <w:p w:rsidR="00E55EF0" w:rsidRPr="00614CC6" w:rsidRDefault="00E55EF0" w:rsidP="00E55EF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55EF0" w:rsidRPr="00614CC6"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55EF0" w:rsidRPr="00E80F1D" w:rsidTr="00E55EF0">
        <w:tc>
          <w:tcPr>
            <w:tcW w:w="1140" w:type="dxa"/>
            <w:tcBorders>
              <w:top w:val="nil"/>
              <w:bottom w:val="nil"/>
            </w:tcBorders>
            <w:shd w:val="clear" w:color="auto" w:fill="F3F3F3"/>
          </w:tcPr>
          <w:p w:rsidR="00E55EF0" w:rsidRPr="00E80F1D" w:rsidRDefault="00E55EF0" w:rsidP="00E55EF0">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E55EF0" w:rsidRPr="00E80F1D" w:rsidRDefault="00E55EF0" w:rsidP="00E55E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E55EF0" w:rsidRPr="00B21066" w:rsidTr="00E55EF0">
        <w:tc>
          <w:tcPr>
            <w:tcW w:w="1140" w:type="dxa"/>
            <w:tcBorders>
              <w:top w:val="nil"/>
              <w:bottom w:val="nil"/>
            </w:tcBorders>
            <w:shd w:val="clear" w:color="auto" w:fill="auto"/>
          </w:tcPr>
          <w:p w:rsidR="00E55EF0" w:rsidRPr="00B21066" w:rsidRDefault="00E55EF0" w:rsidP="00E55EF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55EF0" w:rsidRPr="00B21066" w:rsidRDefault="00E55EF0" w:rsidP="00E55E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55EF0" w:rsidRPr="00036EE3" w:rsidTr="00E55EF0">
        <w:tc>
          <w:tcPr>
            <w:tcW w:w="1140" w:type="dxa"/>
            <w:tcBorders>
              <w:top w:val="nil"/>
            </w:tcBorders>
          </w:tcPr>
          <w:p w:rsidR="00E55EF0" w:rsidRPr="00614CC6" w:rsidRDefault="00E55EF0" w:rsidP="00E55EF0">
            <w:pPr>
              <w:spacing w:before="30" w:after="30"/>
              <w:ind w:left="57"/>
              <w:jc w:val="left"/>
              <w:rPr>
                <w:b/>
                <w:bCs/>
                <w:sz w:val="20"/>
                <w:lang w:val="fr-CH"/>
              </w:rPr>
            </w:pPr>
            <w:r w:rsidRPr="00614CC6">
              <w:rPr>
                <w:b/>
                <w:bCs/>
                <w:sz w:val="20"/>
                <w:lang w:val="fr-CH"/>
              </w:rPr>
              <w:t>P</w:t>
            </w:r>
          </w:p>
        </w:tc>
        <w:tc>
          <w:tcPr>
            <w:tcW w:w="8220" w:type="dxa"/>
            <w:tcBorders>
              <w:top w:val="nil"/>
            </w:tcBorders>
          </w:tcPr>
          <w:p w:rsidR="00E55EF0" w:rsidRPr="00614CC6" w:rsidRDefault="00E55EF0" w:rsidP="00E55EF0">
            <w:pPr>
              <w:spacing w:before="30" w:after="30"/>
              <w:jc w:val="left"/>
              <w:rPr>
                <w:sz w:val="20"/>
                <w:lang w:val="fr-CH"/>
              </w:rPr>
            </w:pPr>
            <w:r w:rsidRPr="00614CC6">
              <w:rPr>
                <w:sz w:val="20"/>
              </w:rPr>
              <w:t>Propagation des ondes radioélectriques</w:t>
            </w:r>
          </w:p>
        </w:tc>
      </w:tr>
      <w:tr w:rsidR="00E55EF0" w:rsidRPr="00036EE3"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RA</w:t>
            </w:r>
          </w:p>
        </w:tc>
        <w:tc>
          <w:tcPr>
            <w:tcW w:w="8220" w:type="dxa"/>
          </w:tcPr>
          <w:p w:rsidR="00E55EF0" w:rsidRPr="00614CC6" w:rsidRDefault="00E55EF0" w:rsidP="00E55E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55EF0" w:rsidRPr="00036EE3"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RS</w:t>
            </w:r>
          </w:p>
        </w:tc>
        <w:tc>
          <w:tcPr>
            <w:tcW w:w="8220" w:type="dxa"/>
          </w:tcPr>
          <w:p w:rsidR="00E55EF0" w:rsidRPr="00614CC6" w:rsidRDefault="00E55EF0" w:rsidP="00E55E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55EF0" w:rsidRPr="00036EE3"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S</w:t>
            </w:r>
          </w:p>
        </w:tc>
        <w:tc>
          <w:tcPr>
            <w:tcW w:w="8220" w:type="dxa"/>
          </w:tcPr>
          <w:p w:rsidR="00E55EF0" w:rsidRPr="00614CC6" w:rsidRDefault="00E55EF0" w:rsidP="00E55EF0">
            <w:pPr>
              <w:spacing w:before="30" w:after="30"/>
              <w:jc w:val="left"/>
              <w:rPr>
                <w:sz w:val="20"/>
                <w:lang w:val="en-US"/>
              </w:rPr>
            </w:pPr>
            <w:r w:rsidRPr="00614CC6">
              <w:rPr>
                <w:sz w:val="20"/>
              </w:rPr>
              <w:t>Service fixe par satellite</w:t>
            </w:r>
          </w:p>
        </w:tc>
      </w:tr>
      <w:tr w:rsidR="00E55EF0" w:rsidRPr="00036EE3"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SA</w:t>
            </w:r>
          </w:p>
        </w:tc>
        <w:tc>
          <w:tcPr>
            <w:tcW w:w="8220" w:type="dxa"/>
          </w:tcPr>
          <w:p w:rsidR="00E55EF0" w:rsidRPr="00614CC6" w:rsidRDefault="00E55EF0" w:rsidP="00E55EF0">
            <w:pPr>
              <w:spacing w:before="30" w:after="30"/>
              <w:jc w:val="left"/>
              <w:rPr>
                <w:sz w:val="20"/>
                <w:lang w:val="en-US"/>
              </w:rPr>
            </w:pPr>
            <w:r w:rsidRPr="00614CC6">
              <w:rPr>
                <w:sz w:val="20"/>
              </w:rPr>
              <w:t>Applications spatiales et météorologie</w:t>
            </w:r>
          </w:p>
        </w:tc>
      </w:tr>
      <w:tr w:rsidR="00E55EF0" w:rsidRPr="00614CC6"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SF</w:t>
            </w:r>
          </w:p>
        </w:tc>
        <w:tc>
          <w:tcPr>
            <w:tcW w:w="8220" w:type="dxa"/>
          </w:tcPr>
          <w:p w:rsidR="00E55EF0" w:rsidRPr="00614CC6" w:rsidRDefault="00E55EF0" w:rsidP="00E55EF0">
            <w:pPr>
              <w:spacing w:before="30" w:after="30"/>
              <w:jc w:val="left"/>
              <w:rPr>
                <w:sz w:val="20"/>
              </w:rPr>
            </w:pPr>
            <w:r w:rsidRPr="00614CC6">
              <w:rPr>
                <w:sz w:val="20"/>
              </w:rPr>
              <w:t>Partage des fréquences et coordination entre les systèmes du service fixe par satellite et du service fixe</w:t>
            </w:r>
          </w:p>
        </w:tc>
      </w:tr>
      <w:tr w:rsidR="00E55EF0" w:rsidRPr="00036EE3" w:rsidTr="00E55EF0">
        <w:tc>
          <w:tcPr>
            <w:tcW w:w="1140" w:type="dxa"/>
            <w:shd w:val="clear" w:color="auto" w:fill="auto"/>
          </w:tcPr>
          <w:p w:rsidR="00E55EF0" w:rsidRPr="00592F9F" w:rsidRDefault="00E55EF0" w:rsidP="00E55EF0">
            <w:pPr>
              <w:spacing w:before="30" w:after="30"/>
              <w:ind w:left="57"/>
              <w:jc w:val="left"/>
              <w:rPr>
                <w:b/>
                <w:bCs/>
                <w:sz w:val="20"/>
                <w:lang w:val="en-US"/>
              </w:rPr>
            </w:pPr>
            <w:r w:rsidRPr="00592F9F">
              <w:rPr>
                <w:b/>
                <w:bCs/>
                <w:sz w:val="20"/>
                <w:lang w:val="en-US"/>
              </w:rPr>
              <w:t>SM</w:t>
            </w:r>
          </w:p>
        </w:tc>
        <w:tc>
          <w:tcPr>
            <w:tcW w:w="8220" w:type="dxa"/>
            <w:shd w:val="clear" w:color="auto" w:fill="auto"/>
          </w:tcPr>
          <w:p w:rsidR="00E55EF0" w:rsidRPr="00592F9F" w:rsidRDefault="00E55EF0" w:rsidP="00E55EF0">
            <w:pPr>
              <w:spacing w:before="30" w:after="30"/>
              <w:jc w:val="left"/>
              <w:rPr>
                <w:sz w:val="20"/>
                <w:lang w:val="en-US"/>
              </w:rPr>
            </w:pPr>
            <w:r w:rsidRPr="00592F9F">
              <w:rPr>
                <w:sz w:val="20"/>
              </w:rPr>
              <w:t>Gestion du spectre</w:t>
            </w:r>
          </w:p>
        </w:tc>
      </w:tr>
      <w:tr w:rsidR="00E55EF0" w:rsidRPr="00036EE3"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SNG</w:t>
            </w:r>
          </w:p>
        </w:tc>
        <w:tc>
          <w:tcPr>
            <w:tcW w:w="8220" w:type="dxa"/>
          </w:tcPr>
          <w:p w:rsidR="00E55EF0" w:rsidRPr="00614CC6" w:rsidRDefault="00E55EF0" w:rsidP="00E55EF0">
            <w:pPr>
              <w:spacing w:before="30" w:after="30"/>
              <w:jc w:val="left"/>
              <w:rPr>
                <w:sz w:val="20"/>
                <w:lang w:val="en-US"/>
              </w:rPr>
            </w:pPr>
            <w:r w:rsidRPr="00614CC6">
              <w:rPr>
                <w:sz w:val="20"/>
              </w:rPr>
              <w:t>Reportage d'actualités par satellite</w:t>
            </w:r>
          </w:p>
        </w:tc>
      </w:tr>
      <w:tr w:rsidR="00E55EF0" w:rsidRPr="00614CC6"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TF</w:t>
            </w:r>
          </w:p>
        </w:tc>
        <w:tc>
          <w:tcPr>
            <w:tcW w:w="8220" w:type="dxa"/>
          </w:tcPr>
          <w:p w:rsidR="00E55EF0" w:rsidRPr="00614CC6" w:rsidRDefault="00E55EF0" w:rsidP="00E55EF0">
            <w:pPr>
              <w:spacing w:before="30" w:after="30"/>
              <w:jc w:val="left"/>
              <w:rPr>
                <w:sz w:val="20"/>
              </w:rPr>
            </w:pPr>
            <w:r w:rsidRPr="00614CC6">
              <w:rPr>
                <w:sz w:val="20"/>
              </w:rPr>
              <w:t>Emissions de fréquences étalon et de signaux horaires</w:t>
            </w:r>
          </w:p>
        </w:tc>
      </w:tr>
      <w:tr w:rsidR="00E55EF0" w:rsidRPr="00036EE3" w:rsidTr="00E55EF0">
        <w:tc>
          <w:tcPr>
            <w:tcW w:w="1140" w:type="dxa"/>
          </w:tcPr>
          <w:p w:rsidR="00E55EF0" w:rsidRPr="00614CC6" w:rsidRDefault="00E55EF0" w:rsidP="00E55EF0">
            <w:pPr>
              <w:spacing w:before="30" w:after="30"/>
              <w:ind w:left="57"/>
              <w:jc w:val="left"/>
              <w:rPr>
                <w:b/>
                <w:bCs/>
                <w:sz w:val="20"/>
                <w:lang w:val="en-US"/>
              </w:rPr>
            </w:pPr>
            <w:r w:rsidRPr="00614CC6">
              <w:rPr>
                <w:b/>
                <w:bCs/>
                <w:sz w:val="20"/>
                <w:lang w:val="en-US"/>
              </w:rPr>
              <w:t>V</w:t>
            </w:r>
          </w:p>
        </w:tc>
        <w:tc>
          <w:tcPr>
            <w:tcW w:w="8220" w:type="dxa"/>
          </w:tcPr>
          <w:p w:rsidR="00E55EF0" w:rsidRPr="00614CC6" w:rsidRDefault="00E55EF0" w:rsidP="00E55EF0">
            <w:pPr>
              <w:spacing w:before="30" w:after="140"/>
              <w:jc w:val="left"/>
              <w:rPr>
                <w:sz w:val="20"/>
                <w:lang w:val="en-US"/>
              </w:rPr>
            </w:pPr>
            <w:r w:rsidRPr="00614CC6">
              <w:rPr>
                <w:sz w:val="20"/>
              </w:rPr>
              <w:t>Vocabulaire et sujets associés</w:t>
            </w:r>
          </w:p>
        </w:tc>
      </w:tr>
    </w:tbl>
    <w:p w:rsidR="00E55EF0" w:rsidRPr="00036EE3" w:rsidRDefault="00E55EF0" w:rsidP="00E55EF0">
      <w:pPr>
        <w:spacing w:before="0"/>
        <w:jc w:val="center"/>
        <w:rPr>
          <w:sz w:val="20"/>
          <w:lang w:val="en-US"/>
        </w:rPr>
      </w:pPr>
    </w:p>
    <w:p w:rsidR="00E55EF0" w:rsidRPr="00036EE3" w:rsidRDefault="00E55EF0" w:rsidP="00E55EF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55EF0" w:rsidRPr="00756B4D" w:rsidTr="00E55EF0">
        <w:tc>
          <w:tcPr>
            <w:tcW w:w="9360" w:type="dxa"/>
          </w:tcPr>
          <w:p w:rsidR="00E55EF0" w:rsidRPr="00756B4D" w:rsidRDefault="00E55EF0" w:rsidP="00E55EF0">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55EF0" w:rsidRPr="00756B4D" w:rsidRDefault="00E55EF0" w:rsidP="00E55EF0">
      <w:pPr>
        <w:spacing w:before="0"/>
        <w:jc w:val="center"/>
        <w:rPr>
          <w:sz w:val="22"/>
        </w:rPr>
      </w:pPr>
    </w:p>
    <w:p w:rsidR="00E55EF0" w:rsidRPr="00614CC6" w:rsidRDefault="00E55EF0" w:rsidP="00E55EF0">
      <w:pPr>
        <w:spacing w:before="100"/>
        <w:jc w:val="right"/>
        <w:rPr>
          <w:i/>
          <w:iCs/>
          <w:sz w:val="20"/>
        </w:rPr>
      </w:pPr>
      <w:r w:rsidRPr="00614CC6">
        <w:rPr>
          <w:i/>
          <w:iCs/>
          <w:sz w:val="20"/>
        </w:rPr>
        <w:t>Publication électronique</w:t>
      </w:r>
    </w:p>
    <w:p w:rsidR="00E55EF0" w:rsidRPr="00614CC6" w:rsidRDefault="00E55EF0" w:rsidP="00414E60">
      <w:pPr>
        <w:spacing w:before="0"/>
        <w:jc w:val="right"/>
        <w:rPr>
          <w:sz w:val="20"/>
        </w:rPr>
      </w:pPr>
      <w:r w:rsidRPr="00614CC6">
        <w:rPr>
          <w:sz w:val="20"/>
        </w:rPr>
        <w:t>Genève, 20</w:t>
      </w:r>
      <w:r>
        <w:rPr>
          <w:sz w:val="20"/>
        </w:rPr>
        <w:t>1</w:t>
      </w:r>
      <w:r w:rsidR="00414E60">
        <w:rPr>
          <w:sz w:val="20"/>
        </w:rPr>
        <w:t>1</w:t>
      </w:r>
    </w:p>
    <w:p w:rsidR="00E55EF0" w:rsidRPr="00614CC6" w:rsidRDefault="00E55EF0" w:rsidP="00E55EF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414E60">
        <w:rPr>
          <w:sz w:val="20"/>
        </w:rPr>
        <w:t>11</w:t>
      </w:r>
    </w:p>
    <w:p w:rsidR="00E55EF0" w:rsidRPr="00614CC6" w:rsidRDefault="00E55EF0" w:rsidP="00E55EF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55EF0" w:rsidRPr="00614CC6" w:rsidRDefault="00E55EF0" w:rsidP="00E55EF0">
      <w:pPr>
        <w:spacing w:before="160"/>
        <w:rPr>
          <w:i/>
          <w:sz w:val="20"/>
          <w:highlight w:val="yellow"/>
        </w:rPr>
        <w:sectPr w:rsidR="00E55EF0" w:rsidRPr="00614CC6" w:rsidSect="00E55EF0">
          <w:headerReference w:type="even" r:id="rId12"/>
          <w:headerReference w:type="default" r:id="rId13"/>
          <w:pgSz w:w="11907" w:h="16834" w:code="9"/>
          <w:pgMar w:top="1418" w:right="1134" w:bottom="1134" w:left="1134" w:header="720" w:footer="482" w:gutter="0"/>
          <w:pgNumType w:fmt="lowerRoman" w:start="2"/>
          <w:cols w:space="720"/>
        </w:sectPr>
      </w:pPr>
    </w:p>
    <w:p w:rsidR="00E55EF0" w:rsidRPr="00756B4D" w:rsidRDefault="00E55EF0" w:rsidP="0081500C">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414E60">
        <w:rPr>
          <w:rStyle w:val="href"/>
        </w:rPr>
        <w:t>1612</w:t>
      </w:r>
      <w:r w:rsidR="00414E60">
        <w:rPr>
          <w:rStyle w:val="FootnoteReference"/>
        </w:rPr>
        <w:footnoteReference w:id="1"/>
      </w:r>
    </w:p>
    <w:p w:rsidR="00E55EF0" w:rsidRDefault="0081500C" w:rsidP="00E55EF0">
      <w:pPr>
        <w:pStyle w:val="Rectitle"/>
      </w:pPr>
      <w:r>
        <w:t>E</w:t>
      </w:r>
      <w:r w:rsidR="00E55EF0">
        <w:t>valuation du brouillage causé par le service fixe utilisant des stations placées</w:t>
      </w:r>
      <w:r w:rsidR="00E55EF0">
        <w:br/>
        <w:t>sur des plates-formes à haute altitude pour la protection du service de</w:t>
      </w:r>
      <w:r w:rsidR="00E55EF0">
        <w:br/>
        <w:t>radioastronomie contre les émissions sur les liaisons montantes des</w:t>
      </w:r>
      <w:r w:rsidR="00E55EF0">
        <w:br/>
        <w:t>systèmes des stations placées sur des plates-formes à</w:t>
      </w:r>
      <w:r w:rsidR="00E55EF0">
        <w:br/>
        <w:t>haute altitude dans la bande 31,3-31,8 GHz</w:t>
      </w:r>
    </w:p>
    <w:p w:rsidR="00E55EF0" w:rsidRDefault="00E55EF0" w:rsidP="00E55EF0">
      <w:pPr>
        <w:pStyle w:val="Recdate"/>
      </w:pPr>
      <w:r>
        <w:t>(2003)</w:t>
      </w:r>
    </w:p>
    <w:p w:rsidR="00E55EF0" w:rsidRPr="00ED72B0" w:rsidRDefault="00E55EF0" w:rsidP="00414E60">
      <w:pPr>
        <w:pStyle w:val="HeadingSum"/>
        <w:rPr>
          <w:lang w:val="fr-CH"/>
        </w:rPr>
      </w:pPr>
      <w:r w:rsidRPr="00ED72B0">
        <w:rPr>
          <w:lang w:val="fr-CH"/>
        </w:rPr>
        <w:t>Domaine d'application</w:t>
      </w:r>
    </w:p>
    <w:p w:rsidR="00E55EF0" w:rsidRPr="00ED72B0" w:rsidRDefault="00E55EF0" w:rsidP="00414E60">
      <w:pPr>
        <w:pStyle w:val="Summary"/>
        <w:rPr>
          <w:lang w:val="fr-CH"/>
        </w:rPr>
      </w:pPr>
      <w:r w:rsidRPr="00ED72B0">
        <w:rPr>
          <w:lang w:val="fr-CH"/>
        </w:rPr>
        <w:t>La présente Recommandation porte sur l'évaluation des brouillages dus aux rayonnements non désirés provenant des liaisons montantes de systèmes utilisant des stations placées sur des plates</w:t>
      </w:r>
      <w:r w:rsidRPr="00ED72B0">
        <w:rPr>
          <w:lang w:val="fr-CH"/>
        </w:rPr>
        <w:noBreakHyphen/>
        <w:t>formes à haute altitude (HAPS) du service fixe dans la bande 31,3-31,8 GHz pour la protection des stations du service de radioastronomie (SRA). Les Annexes 1 à 3 décrivent les paramètres types de la station du SRA victime et des stations au sol HAPS brouilleuses, les modèles de propagation à utiliser et l'incidence des brouillages calculée à l'aide des paramètres types.</w:t>
      </w:r>
    </w:p>
    <w:p w:rsidR="00E55EF0" w:rsidRDefault="00E55EF0" w:rsidP="00E55EF0">
      <w:pPr>
        <w:pStyle w:val="Normalaftertitle"/>
        <w:rPr>
          <w:lang w:val="fr-CH"/>
        </w:rPr>
      </w:pPr>
      <w:r>
        <w:rPr>
          <w:lang w:val="fr-CH"/>
        </w:rPr>
        <w:t>L'Assemblée des radiocommunications de l'UIT,</w:t>
      </w:r>
    </w:p>
    <w:p w:rsidR="00E55EF0" w:rsidRDefault="00E55EF0" w:rsidP="00E55EF0">
      <w:pPr>
        <w:pStyle w:val="Call"/>
      </w:pPr>
      <w:proofErr w:type="gramStart"/>
      <w:r>
        <w:t>considérant</w:t>
      </w:r>
      <w:proofErr w:type="gramEnd"/>
    </w:p>
    <w:p w:rsidR="00E55EF0" w:rsidRDefault="00E55EF0" w:rsidP="00E55EF0">
      <w:pPr>
        <w:rPr>
          <w:lang w:val="fr-CH"/>
        </w:rPr>
      </w:pPr>
      <w:r>
        <w:rPr>
          <w:lang w:val="fr-CH"/>
        </w:rPr>
        <w:t>a)</w:t>
      </w:r>
      <w:r>
        <w:rPr>
          <w:lang w:val="fr-CH"/>
        </w:rPr>
        <w:tab/>
        <w:t>que de nouvelles technologies faisant intervenir des stations placées sur des plates-formes à haute altitude (HAPS) dans la stratosphère sont en cours de mise au point;</w:t>
      </w:r>
    </w:p>
    <w:p w:rsidR="00E55EF0" w:rsidRDefault="00E55EF0" w:rsidP="00E55EF0">
      <w:pPr>
        <w:rPr>
          <w:lang w:val="fr-CH"/>
        </w:rPr>
      </w:pPr>
      <w:r>
        <w:rPr>
          <w:lang w:val="fr-CH"/>
        </w:rPr>
        <w:t>b)</w:t>
      </w:r>
      <w:r>
        <w:rPr>
          <w:lang w:val="fr-CH"/>
        </w:rPr>
        <w:tab/>
        <w:t>qu'il est nécessaire de protéger de façon appropriée le SRA, le SETS (passive) et le service de recherche spatiale (passive) dans la bande 31,3-31,8 GHz, compte tenu des critères de brouillage indiqués dans les Recommandations UIT-R pertinentes,</w:t>
      </w:r>
    </w:p>
    <w:p w:rsidR="00E55EF0" w:rsidRPr="0032069D" w:rsidRDefault="00E55EF0" w:rsidP="00E55EF0">
      <w:pPr>
        <w:rPr>
          <w:i/>
          <w:iCs/>
          <w:lang w:val="fr-CH"/>
        </w:rPr>
      </w:pPr>
      <w:r w:rsidRPr="0032069D">
        <w:rPr>
          <w:i/>
          <w:iCs/>
          <w:lang w:val="fr-CH"/>
        </w:rPr>
        <w:tab/>
      </w:r>
      <w:proofErr w:type="gramStart"/>
      <w:r w:rsidRPr="0032069D">
        <w:rPr>
          <w:i/>
          <w:iCs/>
          <w:lang w:val="fr-CH"/>
        </w:rPr>
        <w:t>reconnaissant</w:t>
      </w:r>
      <w:proofErr w:type="gramEnd"/>
    </w:p>
    <w:p w:rsidR="00E55EF0" w:rsidRDefault="00ED72B0" w:rsidP="00E55EF0">
      <w:pPr>
        <w:rPr>
          <w:lang w:val="fr-CH"/>
        </w:rPr>
      </w:pPr>
      <w:r>
        <w:rPr>
          <w:lang w:val="fr-CH"/>
        </w:rPr>
        <w:t>a)</w:t>
      </w:r>
      <w:r w:rsidR="00E55EF0">
        <w:rPr>
          <w:lang w:val="fr-CH"/>
        </w:rPr>
        <w:tab/>
        <w:t>que les bandes 27,9-28,2 GHz et 31,0-31,3 GHz peuvent de plus être utilisées pour des stations HAPS du service fixe dans certains pays à condition que ces stations ne causent pas de brouillage préjudiciable et ne prétendent à aucune protection,</w:t>
      </w:r>
    </w:p>
    <w:p w:rsidR="00E55EF0" w:rsidRDefault="00E55EF0" w:rsidP="00E55EF0">
      <w:pPr>
        <w:pStyle w:val="Call"/>
      </w:pPr>
      <w:proofErr w:type="gramStart"/>
      <w:r>
        <w:t>recommande</w:t>
      </w:r>
      <w:proofErr w:type="gramEnd"/>
    </w:p>
    <w:p w:rsidR="00E55EF0" w:rsidRDefault="00E55EF0" w:rsidP="00E55EF0">
      <w:r>
        <w:rPr>
          <w:b/>
          <w:bCs/>
          <w:lang w:val="fr-CH"/>
        </w:rPr>
        <w:t>1</w:t>
      </w:r>
      <w:r>
        <w:rPr>
          <w:lang w:val="fr-CH"/>
        </w:rPr>
        <w:tab/>
        <w:t>d'utiliser la méthodologie présentée dans les Annexes 1, 2 et 3 pour l'évaluation des brouillages causés par les liaisons montantes de systèmes HAPS aux stations du SRA dans la bande </w:t>
      </w:r>
      <w:r>
        <w:t>31,3-31,8 GHz;</w:t>
      </w:r>
    </w:p>
    <w:p w:rsidR="00E55EF0" w:rsidRDefault="00E55EF0" w:rsidP="00E55EF0">
      <w:r>
        <w:rPr>
          <w:b/>
          <w:bCs/>
        </w:rPr>
        <w:t>2</w:t>
      </w:r>
      <w:r>
        <w:rPr>
          <w:b/>
          <w:bCs/>
        </w:rPr>
        <w:tab/>
      </w:r>
      <w:r>
        <w:t>de choisir l'emplacement des dirigeables HAPS et des stations au sol HAPS par rapport à celui des stations du SRA de manière telle que celles-ci soient protégées contre les rayonnements non désirés provenant des liaisons montantes HAPS dans la bande 31,3-31,8 GHz;</w:t>
      </w:r>
    </w:p>
    <w:p w:rsidR="00E55EF0" w:rsidRDefault="00E55EF0" w:rsidP="00E55EF0">
      <w:r>
        <w:rPr>
          <w:b/>
          <w:bCs/>
        </w:rPr>
        <w:t>3</w:t>
      </w:r>
      <w:r>
        <w:tab/>
        <w:t>d'exclure de la zone de service du service fixe utilisant des stations HAPS une ou plusieurs cellules de faisceau ponctuel entourant une station du SRA afin de protéger cette station contre les rayonnements non désirés provenant des liaisons montantes H</w:t>
      </w:r>
      <w:r w:rsidR="00ED72B0">
        <w:t>APS dans la bande 31,3</w:t>
      </w:r>
      <w:r w:rsidR="00ED72B0">
        <w:noBreakHyphen/>
        <w:t>31,8 GHz;</w:t>
      </w:r>
    </w:p>
    <w:p w:rsidR="00E55EF0" w:rsidRDefault="00E55EF0" w:rsidP="00E55EF0">
      <w:r w:rsidRPr="00D818AD">
        <w:rPr>
          <w:b/>
          <w:bCs/>
        </w:rPr>
        <w:t>4</w:t>
      </w:r>
      <w:r>
        <w:rPr>
          <w:b/>
          <w:bCs/>
        </w:rPr>
        <w:tab/>
      </w:r>
      <w:r>
        <w:t xml:space="preserve">d'utiliser la </w:t>
      </w:r>
      <w:r>
        <w:rPr>
          <w:lang w:val="fr-CH"/>
        </w:rPr>
        <w:t xml:space="preserve">Recommandation </w:t>
      </w:r>
      <w:r>
        <w:t>UIT-R F.1569, qui contient des paramètres types décrivant le système HAPS, pour l'évaluation de l'incidence des rayonnements non désirés sur les stations du SRA dans la bande des 31 GHz.</w:t>
      </w:r>
    </w:p>
    <w:p w:rsidR="00E55EF0" w:rsidRDefault="00E55EF0" w:rsidP="00E55EF0">
      <w:r>
        <w:lastRenderedPageBreak/>
        <w:t>NOTE 1 – Il faut prendre en considération le brouillage cumulatif causé par le service fixe, y compris par les stations HAPS.</w:t>
      </w:r>
    </w:p>
    <w:p w:rsidR="00E55EF0" w:rsidRDefault="00E55EF0" w:rsidP="00E55EF0"/>
    <w:p w:rsidR="00E55EF0" w:rsidRDefault="00E55EF0" w:rsidP="00E55EF0"/>
    <w:p w:rsidR="00E55EF0" w:rsidRDefault="00E55EF0" w:rsidP="00E55EF0"/>
    <w:p w:rsidR="00E55EF0" w:rsidRDefault="00E55EF0" w:rsidP="00E55EF0">
      <w:pPr>
        <w:pStyle w:val="AnnexNoTitle"/>
      </w:pPr>
      <w:r>
        <w:t>Annexe 1</w:t>
      </w:r>
      <w:r>
        <w:br/>
      </w:r>
      <w:r>
        <w:br/>
      </w:r>
      <w:r>
        <w:rPr>
          <w:rFonts w:ascii="Times New Roman Bold" w:hAnsi="Times New Roman Bold"/>
        </w:rPr>
        <w:t>Paramètres types d'une station du SRA et modèle à utiliser</w:t>
      </w:r>
      <w:r>
        <w:rPr>
          <w:rFonts w:ascii="Times New Roman Bold" w:hAnsi="Times New Roman Bold"/>
        </w:rPr>
        <w:br/>
        <w:t>pour l'évaluation de l'effet d'une station au sol HAPS</w:t>
      </w:r>
      <w:r>
        <w:rPr>
          <w:rFonts w:ascii="Times New Roman Bold" w:hAnsi="Times New Roman Bold"/>
        </w:rPr>
        <w:br/>
        <w:t xml:space="preserve">sur une station </w:t>
      </w:r>
      <w:r>
        <w:rPr>
          <w:szCs w:val="18"/>
        </w:rPr>
        <w:t>du SRA</w:t>
      </w:r>
    </w:p>
    <w:p w:rsidR="00E55EF0" w:rsidRDefault="00E55EF0" w:rsidP="00E55EF0">
      <w:pPr>
        <w:pStyle w:val="Heading1"/>
      </w:pPr>
      <w:r>
        <w:t>1</w:t>
      </w:r>
      <w:r>
        <w:tab/>
        <w:t>Paramètres associés aux émissions sur une liaison montante d'un système HAPS</w:t>
      </w:r>
    </w:p>
    <w:p w:rsidR="00E55EF0" w:rsidRDefault="00E55EF0" w:rsidP="00E55EF0">
      <w:pPr>
        <w:rPr>
          <w:color w:val="000000"/>
        </w:rPr>
      </w:pPr>
      <w:r>
        <w:t xml:space="preserve">Les paramètres concernant les systèmes HAPS sont fondés sur la </w:t>
      </w:r>
      <w:r>
        <w:rPr>
          <w:lang w:val="fr-CH"/>
        </w:rPr>
        <w:t xml:space="preserve">Recommandation </w:t>
      </w:r>
      <w:r>
        <w:t xml:space="preserve">UIT-R F.1569 (altitude: 20-25 km, angle d'élévation opérationnel minimal: 20°, conditions: pluvieuses). L'empreinte d'un faisceau ponctuel est appelée cellule. Dans cette étude, on adopte un facteur de réutilisation des fréquences de quatre, à savoir, la bande disponible de </w:t>
      </w:r>
      <w:r>
        <w:rPr>
          <w:rFonts w:hint="eastAsia"/>
          <w:color w:val="000000"/>
        </w:rPr>
        <w:t>300</w:t>
      </w:r>
      <w:r>
        <w:rPr>
          <w:color w:val="000000"/>
        </w:rPr>
        <w:t xml:space="preserve"> </w:t>
      </w:r>
      <w:r>
        <w:rPr>
          <w:rFonts w:hint="eastAsia"/>
          <w:color w:val="000000"/>
        </w:rPr>
        <w:t>MHz (31,0-31</w:t>
      </w:r>
      <w:r>
        <w:rPr>
          <w:color w:val="000000"/>
        </w:rPr>
        <w:t>,</w:t>
      </w:r>
      <w:r>
        <w:rPr>
          <w:rFonts w:hint="eastAsia"/>
          <w:color w:val="000000"/>
        </w:rPr>
        <w:t>3 GHz)</w:t>
      </w:r>
      <w:r>
        <w:rPr>
          <w:color w:val="000000"/>
        </w:rPr>
        <w:t xml:space="preserve"> est divisée en quatre sous</w:t>
      </w:r>
      <w:r>
        <w:rPr>
          <w:color w:val="000000"/>
        </w:rPr>
        <w:noBreakHyphen/>
        <w:t>bandes de 75 MHz chacune qui sont utilisées simultanément pour les émissions sur la liaison montante dans plusieurs cellules. Sur la liaison montante, on utilise une commande automatique de puissance, la puissance étant augmentée ou diminuée de 6 dB, selon les conditions météorologiques.</w:t>
      </w:r>
    </w:p>
    <w:p w:rsidR="00E55EF0" w:rsidRDefault="00E55EF0" w:rsidP="00E55EF0">
      <w:pPr>
        <w:rPr>
          <w:lang w:eastAsia="ja-JP"/>
        </w:rPr>
      </w:pPr>
      <w:r>
        <w:rPr>
          <w:color w:val="000000"/>
        </w:rPr>
        <w:t xml:space="preserve">Le niveau des émissions hors bande sur la liaison montante HAPS employé dans cette étude est de </w:t>
      </w:r>
      <w:r>
        <w:rPr>
          <w:color w:val="000000"/>
        </w:rPr>
        <w:fldChar w:fldCharType="begin"/>
      </w:r>
      <w:r>
        <w:rPr>
          <w:color w:val="000000"/>
        </w:rPr>
        <w:instrText xml:space="preserve"> EQ  </w:instrText>
      </w:r>
      <w:r>
        <w:instrText>–1</w:instrText>
      </w:r>
      <w:r>
        <w:rPr>
          <w:rFonts w:hint="eastAsia"/>
        </w:rPr>
        <w:instrText>00 dB(W/MHz)</w:instrText>
      </w:r>
      <w:r>
        <w:rPr>
          <w:color w:val="000000"/>
        </w:rPr>
        <w:fldChar w:fldCharType="end"/>
      </w:r>
      <w:r>
        <w:rPr>
          <w:rFonts w:hint="eastAsia"/>
        </w:rPr>
        <w:t xml:space="preserve"> </w:t>
      </w:r>
      <w:r>
        <w:rPr>
          <w:color w:val="000000"/>
        </w:rPr>
        <w:t>en condition pluvieuse, en supposant que la commande automatique de la puissance d'émission est utilisée sur la liaison montante. La détermination du niveau des émissions hors bande est décrite au § 11 d</w:t>
      </w:r>
      <w:r>
        <w:rPr>
          <w:lang w:eastAsia="ja-JP"/>
        </w:rPr>
        <w:t xml:space="preserve">e la </w:t>
      </w:r>
      <w:r>
        <w:rPr>
          <w:lang w:val="fr-CH" w:eastAsia="ja-JP"/>
        </w:rPr>
        <w:t>Recommandation</w:t>
      </w:r>
      <w:r>
        <w:rPr>
          <w:rFonts w:hint="eastAsia"/>
          <w:lang w:eastAsia="ja-JP"/>
        </w:rPr>
        <w:t xml:space="preserve"> </w:t>
      </w:r>
      <w:r>
        <w:rPr>
          <w:lang w:eastAsia="ja-JP"/>
        </w:rPr>
        <w:t>UIT</w:t>
      </w:r>
      <w:r>
        <w:rPr>
          <w:lang w:eastAsia="ja-JP"/>
        </w:rPr>
        <w:noBreakHyphen/>
      </w:r>
      <w:r>
        <w:rPr>
          <w:rFonts w:hint="eastAsia"/>
          <w:lang w:eastAsia="ja-JP"/>
        </w:rPr>
        <w:t>R</w:t>
      </w:r>
      <w:r>
        <w:rPr>
          <w:lang w:eastAsia="ja-JP"/>
        </w:rPr>
        <w:t> </w:t>
      </w:r>
      <w:r>
        <w:rPr>
          <w:rFonts w:hint="eastAsia"/>
          <w:lang w:eastAsia="ja-JP"/>
        </w:rPr>
        <w:t>F.</w:t>
      </w:r>
      <w:r>
        <w:rPr>
          <w:lang w:eastAsia="ja-JP"/>
        </w:rPr>
        <w:t>1569</w:t>
      </w:r>
      <w:r>
        <w:rPr>
          <w:rFonts w:hint="eastAsia"/>
        </w:rPr>
        <w:t>.</w:t>
      </w:r>
    </w:p>
    <w:p w:rsidR="00E55EF0" w:rsidRDefault="00E55EF0" w:rsidP="00E55EF0">
      <w:pPr>
        <w:pStyle w:val="Heading1"/>
      </w:pPr>
      <w:r>
        <w:t>2</w:t>
      </w:r>
      <w:r>
        <w:tab/>
        <w:t>Paramètres d'une station du SRA</w:t>
      </w:r>
    </w:p>
    <w:p w:rsidR="00E55EF0" w:rsidRDefault="00E55EF0" w:rsidP="00E55EF0">
      <w:r>
        <w:t>Les paramètres d'une antenne de station du SRA utilisés dans cette étude sont présentés au Tableau 1. On suppose que cette antenne pointe, en azimut, vers la station au sol HAPS, avec l'angle d'élévation opérationnel minimal associé au radiotélescope considéré. Le gain de l'antenne de réception pour le brouillage est calculé selon la Recommandation UIT-R SA.509 pour des espacements angulaires supérieurs à un degré entre l'axe de visée de l'antenne SRA et la direction d'incidence du brouillage.</w:t>
      </w:r>
    </w:p>
    <w:p w:rsidR="00E55EF0" w:rsidRDefault="00E55EF0" w:rsidP="00E55EF0">
      <w:pPr>
        <w:pStyle w:val="TableNo"/>
        <w:rPr>
          <w:lang w:val="fr-CH"/>
        </w:rPr>
      </w:pPr>
      <w:r>
        <w:rPr>
          <w:rFonts w:hint="eastAsia"/>
          <w:lang w:val="fr-CH"/>
        </w:rPr>
        <w:t>TABLE</w:t>
      </w:r>
      <w:r>
        <w:rPr>
          <w:lang w:val="fr-CH"/>
        </w:rPr>
        <w:t>AU</w:t>
      </w:r>
      <w:r>
        <w:rPr>
          <w:rFonts w:hint="eastAsia"/>
          <w:lang w:val="fr-CH"/>
        </w:rPr>
        <w:t xml:space="preserve"> </w:t>
      </w:r>
      <w:r>
        <w:rPr>
          <w:lang w:val="fr-CH"/>
        </w:rPr>
        <w:t xml:space="preserve"> </w:t>
      </w:r>
      <w:r>
        <w:rPr>
          <w:rFonts w:hint="eastAsia"/>
          <w:lang w:val="fr-CH"/>
        </w:rPr>
        <w:t>1</w:t>
      </w:r>
    </w:p>
    <w:p w:rsidR="00E55EF0" w:rsidRDefault="00E55EF0" w:rsidP="00E55EF0">
      <w:pPr>
        <w:pStyle w:val="Tabletitle"/>
        <w:rPr>
          <w:lang w:val="fr-CH"/>
        </w:rPr>
      </w:pPr>
      <w:r>
        <w:rPr>
          <w:lang w:val="fr-CH"/>
        </w:rPr>
        <w:t>Paramètres d'une antenne</w:t>
      </w:r>
      <w:r>
        <w:rPr>
          <w:rFonts w:hint="eastAsia"/>
          <w:lang w:val="fr-CH"/>
        </w:rPr>
        <w:t xml:space="preserve"> </w:t>
      </w:r>
      <w:r>
        <w:rPr>
          <w:lang w:val="fr-CH"/>
        </w:rPr>
        <w:t>de station du SRA utilisés</w:t>
      </w:r>
      <w:r>
        <w:rPr>
          <w:rFonts w:hint="eastAsia"/>
          <w:lang w:val="fr-CH"/>
        </w:rPr>
        <w:t xml:space="preserve"> </w:t>
      </w:r>
      <w:r>
        <w:rPr>
          <w:lang w:val="fr-CH"/>
        </w:rPr>
        <w:t>dans cette étude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418"/>
        <w:gridCol w:w="1418"/>
        <w:gridCol w:w="1418"/>
        <w:gridCol w:w="3260"/>
      </w:tblGrid>
      <w:tr w:rsidR="00E55EF0" w:rsidTr="00E55EF0">
        <w:trPr>
          <w:jc w:val="center"/>
        </w:trPr>
        <w:tc>
          <w:tcPr>
            <w:tcW w:w="2126" w:type="dxa"/>
          </w:tcPr>
          <w:p w:rsidR="00E55EF0" w:rsidRDefault="00E55EF0" w:rsidP="00E55EF0">
            <w:pPr>
              <w:pStyle w:val="Tablehead"/>
              <w:framePr w:hSpace="181" w:wrap="notBeside" w:vAnchor="text" w:hAnchor="text" w:xAlign="center" w:y="1"/>
              <w:rPr>
                <w:lang w:val="fr-CH"/>
              </w:rPr>
            </w:pPr>
          </w:p>
        </w:tc>
        <w:tc>
          <w:tcPr>
            <w:tcW w:w="1418" w:type="dxa"/>
          </w:tcPr>
          <w:p w:rsidR="00E55EF0" w:rsidRDefault="00E55EF0" w:rsidP="00E55EF0">
            <w:pPr>
              <w:pStyle w:val="Tablehead"/>
              <w:framePr w:hSpace="181" w:wrap="notBeside" w:vAnchor="text" w:hAnchor="text" w:xAlign="center" w:y="1"/>
              <w:rPr>
                <w:lang w:val="de-DE"/>
              </w:rPr>
            </w:pPr>
            <w:r>
              <w:rPr>
                <w:rFonts w:hint="eastAsia"/>
                <w:i/>
                <w:iCs/>
                <w:color w:val="000000"/>
                <w:lang w:val="de-DE"/>
              </w:rPr>
              <w:t>G</w:t>
            </w:r>
            <w:r>
              <w:rPr>
                <w:i/>
                <w:iCs/>
                <w:color w:val="000000"/>
                <w:vertAlign w:val="subscript"/>
                <w:lang w:val="de-DE"/>
              </w:rPr>
              <w:t>max</w:t>
            </w:r>
            <w:r>
              <w:rPr>
                <w:color w:val="000000"/>
                <w:lang w:val="de-DE"/>
              </w:rPr>
              <w:br/>
            </w:r>
            <w:r>
              <w:rPr>
                <w:rFonts w:hint="eastAsia"/>
                <w:color w:val="000000"/>
                <w:lang w:val="de-DE"/>
              </w:rPr>
              <w:t>(dBi)</w:t>
            </w:r>
          </w:p>
        </w:tc>
        <w:tc>
          <w:tcPr>
            <w:tcW w:w="1418" w:type="dxa"/>
          </w:tcPr>
          <w:p w:rsidR="00E55EF0" w:rsidRDefault="00E55EF0" w:rsidP="00E55EF0">
            <w:pPr>
              <w:pStyle w:val="Tablehead"/>
              <w:framePr w:hSpace="181" w:wrap="notBeside" w:vAnchor="text" w:hAnchor="text" w:xAlign="center" w:y="1"/>
              <w:rPr>
                <w:lang w:val="de-DE"/>
              </w:rPr>
            </w:pPr>
            <w:r>
              <w:rPr>
                <w:rFonts w:hint="eastAsia"/>
                <w:color w:val="000000"/>
                <w:lang w:val="de-DE"/>
              </w:rPr>
              <w:t>Diam</w:t>
            </w:r>
            <w:r>
              <w:rPr>
                <w:color w:val="000000"/>
                <w:lang w:val="de-DE"/>
              </w:rPr>
              <w:t>ètre</w:t>
            </w:r>
            <w:r>
              <w:rPr>
                <w:color w:val="000000"/>
                <w:lang w:val="de-DE"/>
              </w:rPr>
              <w:br/>
            </w:r>
            <w:r>
              <w:rPr>
                <w:rFonts w:hint="eastAsia"/>
                <w:color w:val="000000"/>
                <w:lang w:val="de-DE"/>
              </w:rPr>
              <w:t>(m)</w:t>
            </w:r>
          </w:p>
        </w:tc>
        <w:tc>
          <w:tcPr>
            <w:tcW w:w="1418" w:type="dxa"/>
          </w:tcPr>
          <w:p w:rsidR="00E55EF0" w:rsidRDefault="00E55EF0" w:rsidP="00E55EF0">
            <w:pPr>
              <w:pStyle w:val="Tablehead"/>
              <w:framePr w:hSpace="181" w:wrap="notBeside" w:vAnchor="text" w:hAnchor="text" w:xAlign="center" w:y="1"/>
              <w:rPr>
                <w:lang w:val="fr-CH"/>
              </w:rPr>
            </w:pPr>
            <w:proofErr w:type="gramStart"/>
            <w:r>
              <w:rPr>
                <w:rFonts w:hint="eastAsia"/>
                <w:color w:val="000000"/>
                <w:lang w:val="fr-CH"/>
              </w:rPr>
              <w:t>Altitude</w:t>
            </w:r>
            <w:proofErr w:type="gramEnd"/>
            <w:r>
              <w:rPr>
                <w:color w:val="000000"/>
                <w:lang w:val="fr-CH"/>
              </w:rPr>
              <w:br/>
            </w:r>
            <w:r>
              <w:rPr>
                <w:rFonts w:hint="eastAsia"/>
                <w:color w:val="000000"/>
                <w:lang w:val="fr-CH"/>
              </w:rPr>
              <w:t>(km)</w:t>
            </w:r>
          </w:p>
        </w:tc>
        <w:tc>
          <w:tcPr>
            <w:tcW w:w="3260" w:type="dxa"/>
          </w:tcPr>
          <w:p w:rsidR="00E55EF0" w:rsidRDefault="00E55EF0" w:rsidP="00E55EF0">
            <w:pPr>
              <w:pStyle w:val="Tablehead"/>
              <w:framePr w:hSpace="181" w:wrap="notBeside" w:vAnchor="text" w:hAnchor="text" w:xAlign="center" w:y="1"/>
              <w:rPr>
                <w:lang w:val="fr-CH"/>
              </w:rPr>
            </w:pPr>
            <w:r>
              <w:rPr>
                <w:lang w:val="fr-CH"/>
              </w:rPr>
              <w:t>Angle d'élévation</w:t>
            </w:r>
            <w:r>
              <w:rPr>
                <w:lang w:val="fr-CH"/>
              </w:rPr>
              <w:br/>
              <w:t xml:space="preserve">opérationnel </w:t>
            </w:r>
            <w:proofErr w:type="gramStart"/>
            <w:r>
              <w:rPr>
                <w:lang w:val="fr-CH"/>
              </w:rPr>
              <w:t>minimal</w:t>
            </w:r>
            <w:proofErr w:type="gramEnd"/>
            <w:r>
              <w:rPr>
                <w:lang w:val="fr-CH"/>
              </w:rPr>
              <w:br/>
            </w:r>
            <w:r>
              <w:rPr>
                <w:rFonts w:hint="eastAsia"/>
                <w:color w:val="000000"/>
                <w:lang w:val="fr-CH"/>
              </w:rPr>
              <w:t>(deg</w:t>
            </w:r>
            <w:r>
              <w:rPr>
                <w:color w:val="000000"/>
                <w:lang w:val="fr-CH"/>
              </w:rPr>
              <w:t>rés</w:t>
            </w:r>
            <w:r>
              <w:rPr>
                <w:rFonts w:hint="eastAsia"/>
                <w:color w:val="000000"/>
                <w:lang w:val="fr-CH"/>
              </w:rPr>
              <w:t>)</w:t>
            </w:r>
          </w:p>
        </w:tc>
      </w:tr>
      <w:tr w:rsidR="00E55EF0" w:rsidTr="00E55EF0">
        <w:trPr>
          <w:jc w:val="center"/>
        </w:trPr>
        <w:tc>
          <w:tcPr>
            <w:tcW w:w="2126" w:type="dxa"/>
          </w:tcPr>
          <w:p w:rsidR="00E55EF0" w:rsidRDefault="00E55EF0" w:rsidP="00E55EF0">
            <w:pPr>
              <w:pStyle w:val="Tabletext"/>
              <w:framePr w:hSpace="181" w:wrap="notBeside" w:vAnchor="text" w:hAnchor="text" w:xAlign="center" w:y="1"/>
              <w:rPr>
                <w:lang w:val="fr-CH"/>
              </w:rPr>
            </w:pPr>
            <w:r>
              <w:rPr>
                <w:rFonts w:hint="eastAsia"/>
                <w:color w:val="000000"/>
                <w:lang w:val="fr-CH"/>
              </w:rPr>
              <w:t>Nobeyama (Japon)</w:t>
            </w:r>
          </w:p>
        </w:tc>
        <w:tc>
          <w:tcPr>
            <w:tcW w:w="1418" w:type="dxa"/>
          </w:tcPr>
          <w:p w:rsidR="00E55EF0" w:rsidRDefault="00E55EF0" w:rsidP="00E55EF0">
            <w:pPr>
              <w:pStyle w:val="Tabletext"/>
              <w:framePr w:hSpace="181" w:wrap="notBeside" w:vAnchor="text" w:hAnchor="text" w:xAlign="center" w:y="1"/>
              <w:jc w:val="center"/>
              <w:rPr>
                <w:lang w:val="fr-CH"/>
              </w:rPr>
            </w:pPr>
            <w:r>
              <w:rPr>
                <w:rFonts w:hint="eastAsia"/>
                <w:color w:val="000000"/>
                <w:lang w:val="fr-CH"/>
              </w:rPr>
              <w:t>81</w:t>
            </w:r>
            <w:r>
              <w:rPr>
                <w:color w:val="000000"/>
                <w:lang w:val="fr-CH"/>
              </w:rPr>
              <w:t>,</w:t>
            </w:r>
            <w:r>
              <w:rPr>
                <w:rFonts w:hint="eastAsia"/>
                <w:color w:val="000000"/>
                <w:lang w:val="fr-CH"/>
              </w:rPr>
              <w:t>2</w:t>
            </w:r>
          </w:p>
        </w:tc>
        <w:tc>
          <w:tcPr>
            <w:tcW w:w="1418" w:type="dxa"/>
          </w:tcPr>
          <w:p w:rsidR="00E55EF0" w:rsidRDefault="00E55EF0" w:rsidP="00E55EF0">
            <w:pPr>
              <w:pStyle w:val="Tabletext"/>
              <w:framePr w:hSpace="181" w:wrap="notBeside" w:vAnchor="text" w:hAnchor="text" w:xAlign="center" w:y="1"/>
              <w:tabs>
                <w:tab w:val="clear" w:pos="284"/>
                <w:tab w:val="decimal" w:pos="567"/>
              </w:tabs>
              <w:rPr>
                <w:lang w:val="fr-CH"/>
              </w:rPr>
            </w:pPr>
            <w:r>
              <w:rPr>
                <w:color w:val="000000"/>
                <w:lang w:val="fr-CH"/>
              </w:rPr>
              <w:tab/>
            </w:r>
            <w:r>
              <w:rPr>
                <w:rFonts w:hint="eastAsia"/>
                <w:color w:val="000000"/>
                <w:lang w:val="fr-CH"/>
              </w:rPr>
              <w:t>45</w:t>
            </w:r>
          </w:p>
        </w:tc>
        <w:tc>
          <w:tcPr>
            <w:tcW w:w="1418" w:type="dxa"/>
          </w:tcPr>
          <w:p w:rsidR="00E55EF0" w:rsidRDefault="00E55EF0" w:rsidP="00E55EF0">
            <w:pPr>
              <w:pStyle w:val="Tabletext"/>
              <w:framePr w:hSpace="181" w:wrap="notBeside" w:vAnchor="text" w:hAnchor="text" w:xAlign="center" w:y="1"/>
              <w:tabs>
                <w:tab w:val="clear" w:pos="284"/>
                <w:tab w:val="decimal" w:pos="567"/>
              </w:tabs>
              <w:jc w:val="left"/>
              <w:rPr>
                <w:lang w:val="fr-CH"/>
              </w:rPr>
            </w:pPr>
            <w:r>
              <w:rPr>
                <w:color w:val="000000"/>
                <w:lang w:val="fr-CH"/>
              </w:rPr>
              <w:tab/>
            </w:r>
            <w:r>
              <w:rPr>
                <w:rFonts w:hint="eastAsia"/>
                <w:color w:val="000000"/>
                <w:lang w:val="fr-CH"/>
              </w:rPr>
              <w:t>1</w:t>
            </w:r>
            <w:r>
              <w:rPr>
                <w:color w:val="000000"/>
                <w:lang w:val="fr-CH"/>
              </w:rPr>
              <w:t>,</w:t>
            </w:r>
            <w:r>
              <w:rPr>
                <w:rFonts w:hint="eastAsia"/>
                <w:color w:val="000000"/>
                <w:lang w:val="fr-CH"/>
              </w:rPr>
              <w:t>35</w:t>
            </w:r>
          </w:p>
        </w:tc>
        <w:tc>
          <w:tcPr>
            <w:tcW w:w="3260" w:type="dxa"/>
          </w:tcPr>
          <w:p w:rsidR="00E55EF0" w:rsidRDefault="00E55EF0" w:rsidP="00E55EF0">
            <w:pPr>
              <w:pStyle w:val="Tabletext"/>
              <w:framePr w:hSpace="181" w:wrap="notBeside" w:vAnchor="text" w:hAnchor="text" w:xAlign="center" w:y="1"/>
              <w:ind w:right="1418"/>
              <w:jc w:val="right"/>
              <w:rPr>
                <w:lang w:val="fr-CH"/>
              </w:rPr>
            </w:pPr>
            <w:r>
              <w:rPr>
                <w:rFonts w:hint="eastAsia"/>
                <w:color w:val="000000"/>
                <w:lang w:val="fr-CH"/>
              </w:rPr>
              <w:t>15</w:t>
            </w:r>
          </w:p>
        </w:tc>
      </w:tr>
      <w:tr w:rsidR="00E55EF0" w:rsidTr="00E55EF0">
        <w:trPr>
          <w:jc w:val="center"/>
        </w:trPr>
        <w:tc>
          <w:tcPr>
            <w:tcW w:w="2126" w:type="dxa"/>
          </w:tcPr>
          <w:p w:rsidR="00E55EF0" w:rsidRDefault="00E55EF0" w:rsidP="00E55EF0">
            <w:pPr>
              <w:pStyle w:val="Tabletext"/>
              <w:framePr w:hSpace="181" w:wrap="notBeside" w:vAnchor="text" w:hAnchor="text" w:xAlign="center" w:y="1"/>
              <w:rPr>
                <w:lang w:val="fr-CH"/>
              </w:rPr>
            </w:pPr>
            <w:r>
              <w:rPr>
                <w:rFonts w:hint="eastAsia"/>
                <w:color w:val="000000"/>
                <w:lang w:val="fr-CH"/>
              </w:rPr>
              <w:t>Taeduk (</w:t>
            </w:r>
            <w:r>
              <w:rPr>
                <w:color w:val="000000"/>
                <w:lang w:val="fr-CH"/>
              </w:rPr>
              <w:t>Corée</w:t>
            </w:r>
            <w:r>
              <w:rPr>
                <w:rFonts w:hint="eastAsia"/>
                <w:color w:val="000000"/>
                <w:lang w:val="fr-CH"/>
              </w:rPr>
              <w:t>)</w:t>
            </w:r>
          </w:p>
        </w:tc>
        <w:tc>
          <w:tcPr>
            <w:tcW w:w="1418" w:type="dxa"/>
          </w:tcPr>
          <w:p w:rsidR="00E55EF0" w:rsidRDefault="00E55EF0" w:rsidP="00E55EF0">
            <w:pPr>
              <w:pStyle w:val="Tabletext"/>
              <w:framePr w:hSpace="181" w:wrap="notBeside" w:vAnchor="text" w:hAnchor="text" w:xAlign="center" w:y="1"/>
              <w:jc w:val="center"/>
              <w:rPr>
                <w:lang w:val="fr-CH"/>
              </w:rPr>
            </w:pPr>
            <w:r>
              <w:rPr>
                <w:rFonts w:hint="eastAsia"/>
                <w:color w:val="000000"/>
                <w:lang w:val="fr-CH"/>
              </w:rPr>
              <w:t>70</w:t>
            </w:r>
            <w:r>
              <w:rPr>
                <w:color w:val="000000"/>
                <w:lang w:val="fr-CH"/>
              </w:rPr>
              <w:t>,</w:t>
            </w:r>
            <w:r>
              <w:rPr>
                <w:rFonts w:hint="eastAsia"/>
                <w:color w:val="000000"/>
                <w:lang w:val="fr-CH"/>
              </w:rPr>
              <w:t>9</w:t>
            </w:r>
          </w:p>
        </w:tc>
        <w:tc>
          <w:tcPr>
            <w:tcW w:w="1418" w:type="dxa"/>
          </w:tcPr>
          <w:p w:rsidR="00E55EF0" w:rsidRDefault="00E55EF0" w:rsidP="00E55EF0">
            <w:pPr>
              <w:pStyle w:val="Tabletext"/>
              <w:framePr w:hSpace="181" w:wrap="notBeside" w:vAnchor="text" w:hAnchor="text" w:xAlign="center" w:y="1"/>
              <w:tabs>
                <w:tab w:val="clear" w:pos="284"/>
                <w:tab w:val="decimal" w:pos="567"/>
              </w:tabs>
              <w:rPr>
                <w:lang w:val="fr-CH"/>
              </w:rPr>
            </w:pPr>
            <w:r>
              <w:rPr>
                <w:color w:val="000000"/>
                <w:lang w:val="fr-CH"/>
              </w:rPr>
              <w:tab/>
            </w:r>
            <w:r>
              <w:rPr>
                <w:rFonts w:hint="eastAsia"/>
                <w:color w:val="000000"/>
                <w:lang w:val="fr-CH"/>
              </w:rPr>
              <w:t>13</w:t>
            </w:r>
            <w:r>
              <w:rPr>
                <w:color w:val="000000"/>
                <w:lang w:val="fr-CH"/>
              </w:rPr>
              <w:t>,</w:t>
            </w:r>
            <w:r>
              <w:rPr>
                <w:rFonts w:hint="eastAsia"/>
                <w:color w:val="000000"/>
                <w:lang w:val="fr-CH"/>
              </w:rPr>
              <w:t>7</w:t>
            </w:r>
          </w:p>
        </w:tc>
        <w:tc>
          <w:tcPr>
            <w:tcW w:w="1418" w:type="dxa"/>
          </w:tcPr>
          <w:p w:rsidR="00E55EF0" w:rsidRDefault="00E55EF0" w:rsidP="00E55EF0">
            <w:pPr>
              <w:pStyle w:val="Tabletext"/>
              <w:framePr w:hSpace="181" w:wrap="notBeside" w:vAnchor="text" w:hAnchor="text" w:xAlign="center" w:y="1"/>
              <w:tabs>
                <w:tab w:val="clear" w:pos="284"/>
                <w:tab w:val="decimal" w:pos="567"/>
              </w:tabs>
              <w:jc w:val="left"/>
              <w:rPr>
                <w:lang w:val="fr-CH"/>
              </w:rPr>
            </w:pPr>
            <w:r>
              <w:rPr>
                <w:color w:val="000000"/>
                <w:lang w:val="fr-CH"/>
              </w:rPr>
              <w:tab/>
            </w:r>
            <w:r>
              <w:rPr>
                <w:rFonts w:hint="eastAsia"/>
                <w:color w:val="000000"/>
                <w:lang w:val="fr-CH"/>
              </w:rPr>
              <w:t>0</w:t>
            </w:r>
            <w:r>
              <w:rPr>
                <w:color w:val="000000"/>
                <w:lang w:val="fr-CH"/>
              </w:rPr>
              <w:t>,</w:t>
            </w:r>
            <w:r>
              <w:rPr>
                <w:rFonts w:hint="eastAsia"/>
                <w:color w:val="000000"/>
                <w:lang w:val="fr-CH"/>
              </w:rPr>
              <w:t>12</w:t>
            </w:r>
          </w:p>
        </w:tc>
        <w:tc>
          <w:tcPr>
            <w:tcW w:w="3260" w:type="dxa"/>
          </w:tcPr>
          <w:p w:rsidR="00E55EF0" w:rsidRDefault="00E55EF0" w:rsidP="00E55EF0">
            <w:pPr>
              <w:pStyle w:val="Tabletext"/>
              <w:framePr w:hSpace="181" w:wrap="notBeside" w:vAnchor="text" w:hAnchor="text" w:xAlign="center" w:y="1"/>
              <w:ind w:right="1418"/>
              <w:jc w:val="right"/>
              <w:rPr>
                <w:lang w:val="fr-CH"/>
              </w:rPr>
            </w:pPr>
            <w:r>
              <w:rPr>
                <w:rFonts w:hint="eastAsia"/>
                <w:color w:val="000000"/>
                <w:lang w:val="fr-CH"/>
              </w:rPr>
              <w:t>15</w:t>
            </w:r>
          </w:p>
        </w:tc>
      </w:tr>
      <w:tr w:rsidR="00E55EF0" w:rsidTr="00E55EF0">
        <w:trPr>
          <w:trHeight w:val="321"/>
          <w:jc w:val="center"/>
        </w:trPr>
        <w:tc>
          <w:tcPr>
            <w:tcW w:w="2126" w:type="dxa"/>
          </w:tcPr>
          <w:p w:rsidR="00E55EF0" w:rsidRDefault="00E55EF0" w:rsidP="00E55EF0">
            <w:pPr>
              <w:pStyle w:val="Tabletext"/>
              <w:framePr w:hSpace="181" w:wrap="notBeside" w:vAnchor="text" w:hAnchor="text" w:xAlign="center" w:y="1"/>
              <w:rPr>
                <w:lang w:val="fr-CH"/>
              </w:rPr>
            </w:pPr>
            <w:r>
              <w:rPr>
                <w:rFonts w:hint="eastAsia"/>
                <w:color w:val="000000"/>
                <w:lang w:val="fr-CH"/>
              </w:rPr>
              <w:t>Delingha (Chin</w:t>
            </w:r>
            <w:r>
              <w:rPr>
                <w:color w:val="000000"/>
                <w:lang w:val="fr-CH"/>
              </w:rPr>
              <w:t>e</w:t>
            </w:r>
            <w:r>
              <w:rPr>
                <w:rFonts w:hint="eastAsia"/>
                <w:color w:val="000000"/>
                <w:lang w:val="fr-CH"/>
              </w:rPr>
              <w:t>)</w:t>
            </w:r>
          </w:p>
        </w:tc>
        <w:tc>
          <w:tcPr>
            <w:tcW w:w="1418" w:type="dxa"/>
          </w:tcPr>
          <w:p w:rsidR="00E55EF0" w:rsidRDefault="00E55EF0" w:rsidP="00E55EF0">
            <w:pPr>
              <w:pStyle w:val="Tabletext"/>
              <w:framePr w:hSpace="181" w:wrap="notBeside" w:vAnchor="text" w:hAnchor="text" w:xAlign="center" w:y="1"/>
              <w:jc w:val="center"/>
              <w:rPr>
                <w:lang w:val="fr-CH"/>
              </w:rPr>
            </w:pPr>
            <w:r>
              <w:rPr>
                <w:rFonts w:hint="eastAsia"/>
                <w:color w:val="000000"/>
                <w:lang w:val="fr-CH"/>
              </w:rPr>
              <w:t>70</w:t>
            </w:r>
            <w:r>
              <w:rPr>
                <w:color w:val="000000"/>
                <w:lang w:val="fr-CH"/>
              </w:rPr>
              <w:t>,</w:t>
            </w:r>
            <w:r>
              <w:rPr>
                <w:rFonts w:hint="eastAsia"/>
                <w:color w:val="000000"/>
                <w:lang w:val="fr-CH"/>
              </w:rPr>
              <w:t>9</w:t>
            </w:r>
          </w:p>
        </w:tc>
        <w:tc>
          <w:tcPr>
            <w:tcW w:w="1418" w:type="dxa"/>
          </w:tcPr>
          <w:p w:rsidR="00E55EF0" w:rsidRDefault="00E55EF0" w:rsidP="00E55EF0">
            <w:pPr>
              <w:pStyle w:val="Tabletext"/>
              <w:framePr w:hSpace="181" w:wrap="notBeside" w:vAnchor="text" w:hAnchor="text" w:xAlign="center" w:y="1"/>
              <w:tabs>
                <w:tab w:val="clear" w:pos="284"/>
                <w:tab w:val="decimal" w:pos="567"/>
              </w:tabs>
              <w:rPr>
                <w:lang w:val="fr-CH"/>
              </w:rPr>
            </w:pPr>
            <w:r>
              <w:rPr>
                <w:color w:val="000000"/>
                <w:lang w:val="fr-CH"/>
              </w:rPr>
              <w:tab/>
            </w:r>
            <w:r>
              <w:rPr>
                <w:rFonts w:hint="eastAsia"/>
                <w:color w:val="000000"/>
                <w:lang w:val="fr-CH"/>
              </w:rPr>
              <w:t>13</w:t>
            </w:r>
            <w:r>
              <w:rPr>
                <w:color w:val="000000"/>
                <w:lang w:val="fr-CH"/>
              </w:rPr>
              <w:t>,</w:t>
            </w:r>
            <w:r>
              <w:rPr>
                <w:rFonts w:hint="eastAsia"/>
                <w:color w:val="000000"/>
                <w:lang w:val="fr-CH"/>
              </w:rPr>
              <w:t>7</w:t>
            </w:r>
          </w:p>
        </w:tc>
        <w:tc>
          <w:tcPr>
            <w:tcW w:w="1418" w:type="dxa"/>
          </w:tcPr>
          <w:p w:rsidR="00E55EF0" w:rsidRDefault="00E55EF0" w:rsidP="00E55EF0">
            <w:pPr>
              <w:pStyle w:val="Tabletext"/>
              <w:framePr w:hSpace="181" w:wrap="notBeside" w:vAnchor="text" w:hAnchor="text" w:xAlign="center" w:y="1"/>
              <w:tabs>
                <w:tab w:val="clear" w:pos="284"/>
                <w:tab w:val="decimal" w:pos="567"/>
              </w:tabs>
              <w:ind w:left="567" w:hanging="567"/>
              <w:jc w:val="left"/>
              <w:rPr>
                <w:lang w:val="fr-CH"/>
              </w:rPr>
            </w:pPr>
            <w:r>
              <w:rPr>
                <w:color w:val="000000"/>
                <w:lang w:val="fr-CH"/>
              </w:rPr>
              <w:tab/>
            </w:r>
            <w:r>
              <w:rPr>
                <w:rFonts w:hint="eastAsia"/>
                <w:color w:val="000000"/>
                <w:lang w:val="fr-CH"/>
              </w:rPr>
              <w:t>3</w:t>
            </w:r>
            <w:r>
              <w:rPr>
                <w:color w:val="000000"/>
                <w:lang w:val="fr-CH"/>
              </w:rPr>
              <w:t>,</w:t>
            </w:r>
            <w:r>
              <w:rPr>
                <w:rFonts w:hint="eastAsia"/>
                <w:color w:val="000000"/>
                <w:lang w:val="fr-CH"/>
              </w:rPr>
              <w:t>2</w:t>
            </w:r>
          </w:p>
        </w:tc>
        <w:tc>
          <w:tcPr>
            <w:tcW w:w="3260" w:type="dxa"/>
          </w:tcPr>
          <w:p w:rsidR="00E55EF0" w:rsidRDefault="00E55EF0" w:rsidP="00E55EF0">
            <w:pPr>
              <w:pStyle w:val="Tabletext"/>
              <w:framePr w:hSpace="181" w:wrap="notBeside" w:vAnchor="text" w:hAnchor="text" w:xAlign="center" w:y="1"/>
              <w:ind w:right="1418"/>
              <w:jc w:val="right"/>
              <w:rPr>
                <w:lang w:val="fr-CH"/>
              </w:rPr>
            </w:pPr>
            <w:r>
              <w:rPr>
                <w:rFonts w:hint="eastAsia"/>
                <w:color w:val="000000"/>
                <w:lang w:val="fr-CH"/>
              </w:rPr>
              <w:t>5</w:t>
            </w:r>
          </w:p>
        </w:tc>
      </w:tr>
    </w:tbl>
    <w:p w:rsidR="00E55EF0" w:rsidRDefault="00E55EF0" w:rsidP="00E55EF0">
      <w:pPr>
        <w:pStyle w:val="Tablefin"/>
      </w:pPr>
    </w:p>
    <w:p w:rsidR="00E55EF0" w:rsidRDefault="00E55EF0" w:rsidP="00E55EF0">
      <w:pPr>
        <w:pStyle w:val="Heading1"/>
      </w:pPr>
      <w:r>
        <w:lastRenderedPageBreak/>
        <w:t>3</w:t>
      </w:r>
      <w:r>
        <w:tab/>
        <w:t>Modèle à utiliser pour l'évaluation du brouillage</w:t>
      </w:r>
    </w:p>
    <w:p w:rsidR="00E55EF0" w:rsidRDefault="00E55EF0" w:rsidP="00E55EF0">
      <w:pPr>
        <w:pStyle w:val="Heading2"/>
      </w:pPr>
      <w:r>
        <w:t>3.1</w:t>
      </w:r>
      <w:r>
        <w:tab/>
        <w:t>Source de brouillage unique</w:t>
      </w:r>
    </w:p>
    <w:p w:rsidR="00E55EF0" w:rsidRDefault="00E55EF0" w:rsidP="00E55EF0">
      <w:pPr>
        <w:rPr>
          <w:lang w:val="fr-CH"/>
        </w:rPr>
      </w:pPr>
      <w:r>
        <w:t>La Fig. 1 montre le modèle à utiliser pour l'évaluation des brouillages entre une station au sol HAPS et une station du SRA. On suppose que la station au sol HAPS est située dans le même plan que la station du SRA. Deux situations sont considérées en fonction de la direction de l'axe de visée de l'antenne de la station au sol HAPS. L'une examine le cas où l'antenne de la station au sol HAPS fait face à la station du SRA en azimut (le cas le plus défavorable du scénario à source de brouillage unique), l'autre cas est celui où l'antenne de la station au sol HAPS pointe, en azimut, dans la direction opposée (180°) à la direction de la station du SRA. Dans les deux cas, on suppose que l'antenne de station du SRA fonctionne à l'</w:t>
      </w:r>
      <w:r>
        <w:rPr>
          <w:lang w:val="fr-CH"/>
        </w:rPr>
        <w:t>angle d'élévation opérationnel minimal.</w:t>
      </w:r>
    </w:p>
    <w:p w:rsidR="00E55EF0" w:rsidRDefault="00E55EF0" w:rsidP="00E55EF0">
      <w:pPr>
        <w:pStyle w:val="FigureNo"/>
        <w:rPr>
          <w:lang w:val="fr-CH"/>
        </w:rPr>
      </w:pPr>
      <w:r>
        <w:rPr>
          <w:noProof/>
          <w:lang w:val="en-US" w:eastAsia="zh-CN"/>
        </w:rPr>
        <w:drawing>
          <wp:inline distT="0" distB="0" distL="0" distR="0" wp14:anchorId="6033066B" wp14:editId="208A1D73">
            <wp:extent cx="5429885" cy="2921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9885" cy="2921000"/>
                    </a:xfrm>
                    <a:prstGeom prst="rect">
                      <a:avLst/>
                    </a:prstGeom>
                    <a:noFill/>
                    <a:ln w="9525">
                      <a:noFill/>
                      <a:miter lim="800000"/>
                      <a:headEnd/>
                      <a:tailEnd/>
                    </a:ln>
                  </pic:spPr>
                </pic:pic>
              </a:graphicData>
            </a:graphic>
          </wp:inline>
        </w:drawing>
      </w:r>
    </w:p>
    <w:p w:rsidR="00E55EF0" w:rsidRDefault="00E55EF0" w:rsidP="00E55EF0">
      <w:pPr>
        <w:pStyle w:val="Heading2"/>
        <w:rPr>
          <w:lang w:val="fr-CH"/>
        </w:rPr>
      </w:pPr>
      <w:r>
        <w:rPr>
          <w:lang w:val="fr-CH"/>
        </w:rPr>
        <w:t>3.2</w:t>
      </w:r>
      <w:r>
        <w:rPr>
          <w:lang w:val="fr-CH"/>
        </w:rPr>
        <w:tab/>
        <w:t xml:space="preserve">Brouillage cumulatif résultant de plusieurs stations HAPS </w:t>
      </w:r>
    </w:p>
    <w:p w:rsidR="00E55EF0" w:rsidRDefault="00E55EF0" w:rsidP="00E55EF0">
      <w:pPr>
        <w:rPr>
          <w:lang w:val="fr-CH"/>
        </w:rPr>
      </w:pPr>
      <w:r>
        <w:rPr>
          <w:lang w:val="fr-CH"/>
        </w:rPr>
        <w:t>Ainsi qu'il est montré à la Fig. 2, on utilise les modèles et les hypothèses suivantes pour l'évaluation du brouillage cumulatif:</w:t>
      </w:r>
    </w:p>
    <w:p w:rsidR="00E55EF0" w:rsidRDefault="00E55EF0" w:rsidP="00E55EF0">
      <w:pPr>
        <w:pStyle w:val="enumlev1"/>
        <w:rPr>
          <w:lang w:val="fr-CH"/>
        </w:rPr>
      </w:pPr>
      <w:r>
        <w:rPr>
          <w:lang w:val="fr-CH"/>
        </w:rPr>
        <w:t>–</w:t>
      </w:r>
      <w:r>
        <w:rPr>
          <w:lang w:val="fr-CH"/>
        </w:rPr>
        <w:tab/>
        <w:t xml:space="preserve">quatre stations au sol HAPS sont situées au centre de chaque cellule de service et toutes les antennes pointent vers le dirigeable HAPS correspondant (on suppose que la largeur de bande totale est de 300 MHz </w:t>
      </w:r>
      <w:r>
        <w:rPr>
          <w:rFonts w:hint="eastAsia"/>
          <w:color w:val="000000"/>
        </w:rPr>
        <w:t>(31</w:t>
      </w:r>
      <w:r>
        <w:rPr>
          <w:color w:val="000000"/>
        </w:rPr>
        <w:t>,</w:t>
      </w:r>
      <w:r>
        <w:rPr>
          <w:rFonts w:hint="eastAsia"/>
          <w:color w:val="000000"/>
        </w:rPr>
        <w:t>0-31</w:t>
      </w:r>
      <w:r>
        <w:rPr>
          <w:color w:val="000000"/>
        </w:rPr>
        <w:t>,</w:t>
      </w:r>
      <w:r>
        <w:rPr>
          <w:rFonts w:hint="eastAsia"/>
          <w:color w:val="000000"/>
        </w:rPr>
        <w:t>3 GHz)</w:t>
      </w:r>
      <w:r>
        <w:rPr>
          <w:color w:val="000000"/>
        </w:rPr>
        <w:t xml:space="preserve">, que le </w:t>
      </w:r>
      <w:r>
        <w:t>facteur de réutilisation des fréquences est de quatre et que la largeur de bande du signal est de 20 MHz);</w:t>
      </w:r>
    </w:p>
    <w:p w:rsidR="00E55EF0" w:rsidRDefault="00E55EF0" w:rsidP="00E55EF0">
      <w:pPr>
        <w:pStyle w:val="enumlev1"/>
        <w:rPr>
          <w:color w:val="000000"/>
        </w:rPr>
      </w:pPr>
      <w:r>
        <w:rPr>
          <w:lang w:val="fr-CH"/>
        </w:rPr>
        <w:t>–</w:t>
      </w:r>
      <w:r>
        <w:rPr>
          <w:lang w:val="fr-CH"/>
        </w:rPr>
        <w:tab/>
        <w:t xml:space="preserve">le brouillage cumulatif est obtenu en additionnant un paramètre défini comme </w:t>
      </w:r>
      <w:r>
        <w:rPr>
          <w:color w:val="000000"/>
        </w:rPr>
        <w:t>"la puissance surfacique du brouillage reçu par la station du SRA"</w:t>
      </w:r>
      <w:r>
        <w:rPr>
          <w:rFonts w:hint="eastAsia"/>
          <w:color w:val="000000"/>
        </w:rPr>
        <w:t xml:space="preserve"> </w:t>
      </w:r>
      <w:r>
        <w:rPr>
          <w:color w:val="000000"/>
        </w:rPr>
        <w:t xml:space="preserve">et le "gain à la réception de la station du SRA pour le brouillage" et ce, pour toutes les stations au sol HAPS </w:t>
      </w:r>
      <w:r>
        <w:rPr>
          <w:rFonts w:hint="eastAsia"/>
          <w:color w:val="000000"/>
        </w:rPr>
        <w:t>(= 367 cell</w:t>
      </w:r>
      <w:r>
        <w:rPr>
          <w:color w:val="000000"/>
        </w:rPr>
        <w:t>ules</w:t>
      </w:r>
      <w:r>
        <w:rPr>
          <w:rFonts w:hint="eastAsia"/>
          <w:color w:val="000000"/>
        </w:rPr>
        <w:t xml:space="preserve"> </w:t>
      </w:r>
      <w:r>
        <w:rPr>
          <w:color w:val="000000"/>
        </w:rPr>
        <w:sym w:font="Symbol" w:char="F0B4"/>
      </w:r>
      <w:r>
        <w:rPr>
          <w:color w:val="000000"/>
        </w:rPr>
        <w:t> </w:t>
      </w:r>
      <w:r>
        <w:rPr>
          <w:rFonts w:hint="eastAsia"/>
          <w:color w:val="000000"/>
        </w:rPr>
        <w:t>4</w:t>
      </w:r>
      <w:r>
        <w:rPr>
          <w:color w:val="000000"/>
        </w:rPr>
        <w:t> </w:t>
      </w:r>
      <w:r>
        <w:rPr>
          <w:rFonts w:hint="eastAsia"/>
          <w:color w:val="000000"/>
        </w:rPr>
        <w:t xml:space="preserve">stations </w:t>
      </w:r>
      <w:r>
        <w:rPr>
          <w:color w:val="000000"/>
        </w:rPr>
        <w:sym w:font="Symbol" w:char="F0B4"/>
      </w:r>
      <w:r>
        <w:rPr>
          <w:rFonts w:hint="eastAsia"/>
          <w:color w:val="000000"/>
        </w:rPr>
        <w:t xml:space="preserve"> 3 </w:t>
      </w:r>
      <w:r>
        <w:rPr>
          <w:color w:val="000000"/>
        </w:rPr>
        <w:t xml:space="preserve">zones de service du système </w:t>
      </w:r>
      <w:r>
        <w:rPr>
          <w:rFonts w:hint="eastAsia"/>
          <w:color w:val="000000"/>
        </w:rPr>
        <w:t>HAPS);</w:t>
      </w:r>
    </w:p>
    <w:p w:rsidR="00E55EF0" w:rsidRDefault="00E55EF0" w:rsidP="00E55EF0">
      <w:pPr>
        <w:pStyle w:val="enumlev1"/>
        <w:rPr>
          <w:lang w:val="fr-CH"/>
        </w:rPr>
      </w:pPr>
      <w:r>
        <w:t>–</w:t>
      </w:r>
      <w:r>
        <w:tab/>
      </w:r>
      <w:r>
        <w:rPr>
          <w:lang w:val="fr-CH"/>
        </w:rPr>
        <w:t>on suppose que la puissance des émissions hors bande pour chacune des stations au sol HAPS est de –100 </w:t>
      </w:r>
      <w:proofErr w:type="gramStart"/>
      <w:r>
        <w:rPr>
          <w:lang w:val="fr-CH"/>
        </w:rPr>
        <w:t>dB(</w:t>
      </w:r>
      <w:proofErr w:type="gramEnd"/>
      <w:r>
        <w:rPr>
          <w:lang w:val="fr-CH"/>
        </w:rPr>
        <w:t>W/MHz);</w:t>
      </w:r>
    </w:p>
    <w:p w:rsidR="00E55EF0" w:rsidRDefault="00E55EF0" w:rsidP="00E55EF0">
      <w:pPr>
        <w:pStyle w:val="enumlev1"/>
        <w:rPr>
          <w:lang w:val="fr-CH"/>
        </w:rPr>
      </w:pPr>
      <w:r>
        <w:rPr>
          <w:lang w:val="fr-CH"/>
        </w:rPr>
        <w:t>–</w:t>
      </w:r>
      <w:r>
        <w:rPr>
          <w:lang w:val="fr-CH"/>
        </w:rPr>
        <w:tab/>
        <w:t>l'antenne du SRA est située entre le nadir O et l'intersection A des trois zones de service du système HAPS;</w:t>
      </w:r>
    </w:p>
    <w:p w:rsidR="00E55EF0" w:rsidRDefault="00E55EF0" w:rsidP="00E55EF0">
      <w:pPr>
        <w:pStyle w:val="enumlev1"/>
        <w:rPr>
          <w:lang w:val="fr-CH"/>
        </w:rPr>
      </w:pPr>
      <w:r>
        <w:rPr>
          <w:lang w:val="fr-CH"/>
        </w:rPr>
        <w:t>–</w:t>
      </w:r>
      <w:r>
        <w:rPr>
          <w:lang w:val="fr-CH"/>
        </w:rPr>
        <w:tab/>
        <w:t>l'antenne du SRA située au point B</w:t>
      </w:r>
      <w:r>
        <w:rPr>
          <w:b/>
          <w:bCs/>
          <w:lang w:val="fr-CH"/>
        </w:rPr>
        <w:t xml:space="preserve"> </w:t>
      </w:r>
      <w:r>
        <w:rPr>
          <w:lang w:val="fr-CH"/>
        </w:rPr>
        <w:t xml:space="preserve">pointe vers A ou O en azimut. On suppose que cette antenne présente l'angle d'élévation minimal auquel les observations sont faites au moyen de </w:t>
      </w:r>
      <w:proofErr w:type="gramStart"/>
      <w:r>
        <w:rPr>
          <w:lang w:val="fr-CH"/>
        </w:rPr>
        <w:t>cet instrument</w:t>
      </w:r>
      <w:proofErr w:type="gramEnd"/>
      <w:r>
        <w:rPr>
          <w:lang w:val="fr-CH"/>
        </w:rPr>
        <w:t xml:space="preserve"> (5 ou 15°).</w:t>
      </w:r>
    </w:p>
    <w:p w:rsidR="00E55EF0" w:rsidRDefault="00E55EF0" w:rsidP="00E55EF0">
      <w:pPr>
        <w:pStyle w:val="FigureNo"/>
        <w:rPr>
          <w:lang w:val="fr-CH"/>
        </w:rPr>
      </w:pPr>
      <w:r>
        <w:rPr>
          <w:noProof/>
          <w:lang w:val="en-US" w:eastAsia="zh-CN"/>
        </w:rPr>
        <w:lastRenderedPageBreak/>
        <w:drawing>
          <wp:inline distT="0" distB="0" distL="0" distR="0" wp14:anchorId="6D9891CD" wp14:editId="111E5B30">
            <wp:extent cx="5996305" cy="38112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96305" cy="3811270"/>
                    </a:xfrm>
                    <a:prstGeom prst="rect">
                      <a:avLst/>
                    </a:prstGeom>
                    <a:noFill/>
                    <a:ln w="9525">
                      <a:noFill/>
                      <a:miter lim="800000"/>
                      <a:headEnd/>
                      <a:tailEnd/>
                    </a:ln>
                  </pic:spPr>
                </pic:pic>
              </a:graphicData>
            </a:graphic>
          </wp:inline>
        </w:drawing>
      </w:r>
    </w:p>
    <w:p w:rsidR="00E55EF0" w:rsidRDefault="00E55EF0" w:rsidP="00E55EF0">
      <w:pPr>
        <w:tabs>
          <w:tab w:val="clear" w:pos="794"/>
          <w:tab w:val="clear" w:pos="1191"/>
          <w:tab w:val="clear" w:pos="1588"/>
          <w:tab w:val="clear" w:pos="1985"/>
        </w:tabs>
        <w:overflowPunct/>
        <w:autoSpaceDE/>
        <w:autoSpaceDN/>
        <w:adjustRightInd/>
        <w:spacing w:before="0"/>
        <w:jc w:val="left"/>
        <w:textAlignment w:val="auto"/>
        <w:rPr>
          <w:lang w:val="fr-CH"/>
        </w:rPr>
      </w:pPr>
    </w:p>
    <w:p w:rsidR="00E55EF0" w:rsidRDefault="00E55EF0" w:rsidP="00E55EF0">
      <w:pPr>
        <w:tabs>
          <w:tab w:val="clear" w:pos="794"/>
          <w:tab w:val="clear" w:pos="1191"/>
          <w:tab w:val="clear" w:pos="1588"/>
          <w:tab w:val="clear" w:pos="1985"/>
        </w:tabs>
        <w:overflowPunct/>
        <w:autoSpaceDE/>
        <w:autoSpaceDN/>
        <w:adjustRightInd/>
        <w:spacing w:before="0"/>
        <w:jc w:val="left"/>
        <w:textAlignment w:val="auto"/>
        <w:rPr>
          <w:lang w:val="fr-CH"/>
        </w:rPr>
      </w:pPr>
    </w:p>
    <w:p w:rsidR="00E55EF0" w:rsidRDefault="00E55EF0" w:rsidP="00E55EF0">
      <w:pPr>
        <w:pStyle w:val="AnnexNoTitle"/>
        <w:rPr>
          <w:lang w:val="fr-CH"/>
        </w:rPr>
      </w:pPr>
      <w:r>
        <w:rPr>
          <w:lang w:val="fr-CH"/>
        </w:rPr>
        <w:t>Annexe 2</w:t>
      </w:r>
      <w:r>
        <w:rPr>
          <w:lang w:val="fr-CH"/>
        </w:rPr>
        <w:br/>
      </w:r>
      <w:r>
        <w:rPr>
          <w:lang w:val="fr-CH"/>
        </w:rPr>
        <w:br/>
        <w:t>Modèle de propagation et critères de protection</w:t>
      </w:r>
      <w:r>
        <w:rPr>
          <w:lang w:val="fr-CH"/>
        </w:rPr>
        <w:br/>
        <w:t>applicables à une station du SRA</w:t>
      </w:r>
    </w:p>
    <w:p w:rsidR="00E55EF0" w:rsidRDefault="00E55EF0" w:rsidP="00E55EF0">
      <w:pPr>
        <w:pStyle w:val="Heading1"/>
      </w:pPr>
      <w:r>
        <w:rPr>
          <w:rFonts w:hint="eastAsia"/>
        </w:rPr>
        <w:t>1</w:t>
      </w:r>
      <w:r>
        <w:rPr>
          <w:rFonts w:hint="eastAsia"/>
        </w:rPr>
        <w:tab/>
      </w:r>
      <w:r>
        <w:t>Mo</w:t>
      </w:r>
      <w:r>
        <w:rPr>
          <w:rFonts w:hint="eastAsia"/>
        </w:rPr>
        <w:t>dèl</w:t>
      </w:r>
      <w:r>
        <w:t>e</w:t>
      </w:r>
      <w:r>
        <w:rPr>
          <w:rFonts w:hint="eastAsia"/>
        </w:rPr>
        <w:t xml:space="preserve"> </w:t>
      </w:r>
      <w:r>
        <w:t>de p</w:t>
      </w:r>
      <w:r>
        <w:rPr>
          <w:rFonts w:hint="eastAsia"/>
        </w:rPr>
        <w:t>ropagation</w:t>
      </w:r>
    </w:p>
    <w:p w:rsidR="00E55EF0" w:rsidRDefault="00E55EF0" w:rsidP="00E55EF0">
      <w:pPr>
        <w:rPr>
          <w:color w:val="000000"/>
        </w:rPr>
      </w:pPr>
      <w:r>
        <w:rPr>
          <w:color w:val="000000"/>
        </w:rPr>
        <w:t xml:space="preserve">Conformément au § 4.2 de la </w:t>
      </w:r>
      <w:r>
        <w:rPr>
          <w:rFonts w:hint="eastAsia"/>
          <w:color w:val="000000"/>
        </w:rPr>
        <w:t xml:space="preserve">Recommandation UIT-R P.452, </w:t>
      </w:r>
      <w:r>
        <w:rPr>
          <w:color w:val="000000"/>
        </w:rPr>
        <w:t xml:space="preserve">l'affaiblissement de propagation entre stations à la surface de la Terre qui n'est pas dépassé pendant </w:t>
      </w:r>
      <w:r>
        <w:rPr>
          <w:rFonts w:hint="eastAsia"/>
          <w:i/>
          <w:color w:val="000000"/>
        </w:rPr>
        <w:t>p</w:t>
      </w:r>
      <w:r>
        <w:rPr>
          <w:rFonts w:hint="eastAsia"/>
          <w:color w:val="000000"/>
        </w:rPr>
        <w:t xml:space="preserve">% </w:t>
      </w:r>
      <w:r>
        <w:rPr>
          <w:color w:val="000000"/>
        </w:rPr>
        <w:t>du temps est donné par</w:t>
      </w:r>
      <w:r>
        <w:rPr>
          <w:rFonts w:hint="eastAsia"/>
          <w:color w:val="000000"/>
        </w:rPr>
        <w:t>:</w:t>
      </w:r>
    </w:p>
    <w:p w:rsidR="00E55EF0" w:rsidRDefault="00E55EF0" w:rsidP="00E55EF0">
      <w:pPr>
        <w:pStyle w:val="Equation"/>
        <w:rPr>
          <w:color w:val="000000"/>
          <w:lang w:val="fr-CH"/>
        </w:rPr>
      </w:pPr>
      <w:r>
        <w:rPr>
          <w:color w:val="000000"/>
        </w:rPr>
        <w:tab/>
      </w:r>
      <w:r>
        <w:rPr>
          <w:color w:val="000000"/>
        </w:rPr>
        <w:tab/>
      </w:r>
      <w:r w:rsidRPr="00AA0C8C">
        <w:rPr>
          <w:color w:val="000000"/>
          <w:position w:val="-16"/>
          <w:vertAlign w:val="subscript"/>
        </w:rPr>
        <w:object w:dxaOrig="5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20.05pt" o:ole="" fillcolor="window">
            <v:imagedata r:id="rId16" o:title=""/>
          </v:shape>
          <o:OLEObject Type="Embed" ProgID="Equation.3" ShapeID="_x0000_i1025" DrawAspect="Content" ObjectID="_1361345863" r:id="rId17"/>
        </w:object>
      </w:r>
      <w:r>
        <w:rPr>
          <w:color w:val="000000"/>
          <w:lang w:val="fr-CH"/>
        </w:rPr>
        <w:t>                </w:t>
      </w:r>
      <w:proofErr w:type="gramStart"/>
      <w:r>
        <w:rPr>
          <w:rFonts w:hint="eastAsia"/>
          <w:color w:val="000000"/>
          <w:lang w:val="fr-CH"/>
        </w:rPr>
        <w:t>dB</w:t>
      </w:r>
      <w:proofErr w:type="gramEnd"/>
      <w:r>
        <w:rPr>
          <w:color w:val="000000"/>
          <w:lang w:val="fr-CH"/>
        </w:rPr>
        <w:tab/>
      </w:r>
      <w:r>
        <w:rPr>
          <w:rFonts w:hint="eastAsia"/>
          <w:color w:val="000000"/>
          <w:lang w:val="fr-CH"/>
        </w:rPr>
        <w:t>(1)</w:t>
      </w:r>
    </w:p>
    <w:p w:rsidR="00E55EF0" w:rsidRDefault="00E55EF0" w:rsidP="00E55EF0">
      <w:pPr>
        <w:rPr>
          <w:color w:val="000000"/>
          <w:lang w:val="fr-CH"/>
        </w:rPr>
      </w:pPr>
      <w:proofErr w:type="gramStart"/>
      <w:r>
        <w:rPr>
          <w:color w:val="000000"/>
          <w:lang w:val="fr-CH"/>
        </w:rPr>
        <w:t>où</w:t>
      </w:r>
      <w:proofErr w:type="gramEnd"/>
      <w:r>
        <w:rPr>
          <w:rFonts w:hint="eastAsia"/>
          <w:color w:val="000000"/>
          <w:lang w:val="fr-CH"/>
        </w:rPr>
        <w:t>:</w:t>
      </w:r>
    </w:p>
    <w:p w:rsidR="00E55EF0" w:rsidRDefault="00E55EF0" w:rsidP="00E55EF0">
      <w:pPr>
        <w:pStyle w:val="Equationlegend"/>
        <w:rPr>
          <w:lang w:val="fr-CH"/>
        </w:rPr>
      </w:pPr>
      <w:r>
        <w:rPr>
          <w:color w:val="000000"/>
          <w:lang w:val="fr-CH"/>
        </w:rPr>
        <w:tab/>
      </w:r>
      <w:proofErr w:type="gramStart"/>
      <w:r>
        <w:rPr>
          <w:i/>
          <w:iCs/>
          <w:color w:val="000000"/>
          <w:lang w:val="fr-CH"/>
        </w:rPr>
        <w:t>f</w:t>
      </w:r>
      <w:proofErr w:type="gramEnd"/>
      <w:r>
        <w:rPr>
          <w:color w:val="000000"/>
          <w:lang w:val="fr-CH"/>
        </w:rPr>
        <w:t xml:space="preserve"> </w:t>
      </w:r>
      <w:r>
        <w:rPr>
          <w:rFonts w:hint="eastAsia"/>
          <w:color w:val="000000"/>
          <w:lang w:val="fr-CH"/>
        </w:rPr>
        <w:t>:</w:t>
      </w:r>
      <w:r>
        <w:rPr>
          <w:color w:val="000000"/>
          <w:lang w:val="fr-CH"/>
        </w:rPr>
        <w:tab/>
        <w:t>fréquence</w:t>
      </w:r>
      <w:r>
        <w:rPr>
          <w:rFonts w:hint="eastAsia"/>
          <w:color w:val="000000"/>
          <w:lang w:val="fr-CH"/>
        </w:rPr>
        <w:t xml:space="preserve"> (GHz) (31</w:t>
      </w:r>
      <w:r>
        <w:rPr>
          <w:color w:val="000000"/>
          <w:lang w:val="fr-CH"/>
        </w:rPr>
        <w:t>,</w:t>
      </w:r>
      <w:r>
        <w:rPr>
          <w:rFonts w:hint="eastAsia"/>
          <w:color w:val="000000"/>
          <w:lang w:val="fr-CH"/>
        </w:rPr>
        <w:t xml:space="preserve">3 </w:t>
      </w:r>
      <w:r>
        <w:rPr>
          <w:color w:val="000000"/>
          <w:lang w:val="fr-CH"/>
        </w:rPr>
        <w:t>pour cette étude</w:t>
      </w:r>
      <w:r>
        <w:rPr>
          <w:rFonts w:hint="eastAsia"/>
          <w:color w:val="000000"/>
          <w:lang w:val="fr-CH"/>
        </w:rPr>
        <w:t>)</w:t>
      </w:r>
    </w:p>
    <w:p w:rsidR="00E55EF0" w:rsidRDefault="00E55EF0" w:rsidP="00E55EF0">
      <w:pPr>
        <w:pStyle w:val="Equationlegend"/>
        <w:rPr>
          <w:lang w:val="fr-CH" w:eastAsia="ja-JP"/>
        </w:rPr>
      </w:pPr>
      <w:r>
        <w:rPr>
          <w:lang w:val="fr-CH"/>
        </w:rPr>
        <w:tab/>
      </w:r>
      <w:proofErr w:type="gramStart"/>
      <w:r>
        <w:rPr>
          <w:i/>
          <w:iCs/>
          <w:lang w:val="fr-CH"/>
        </w:rPr>
        <w:t>d</w:t>
      </w:r>
      <w:proofErr w:type="gramEnd"/>
      <w:r>
        <w:rPr>
          <w:i/>
          <w:iCs/>
          <w:lang w:val="fr-CH"/>
        </w:rPr>
        <w:t xml:space="preserve"> </w:t>
      </w:r>
      <w:r>
        <w:rPr>
          <w:rFonts w:hint="eastAsia"/>
          <w:lang w:val="fr-CH"/>
        </w:rPr>
        <w:t>:</w:t>
      </w:r>
      <w:r>
        <w:rPr>
          <w:lang w:val="fr-CH"/>
        </w:rPr>
        <w:tab/>
        <w:t>longueur du trajet</w:t>
      </w:r>
      <w:r>
        <w:rPr>
          <w:rFonts w:hint="eastAsia"/>
          <w:lang w:val="fr-CH"/>
        </w:rPr>
        <w:t xml:space="preserve"> (km)</w:t>
      </w:r>
    </w:p>
    <w:p w:rsidR="00E55EF0" w:rsidRDefault="00E55EF0" w:rsidP="00E55EF0">
      <w:pPr>
        <w:pStyle w:val="Equationlegend"/>
        <w:rPr>
          <w:lang w:val="fr-CH"/>
        </w:rPr>
      </w:pPr>
      <w:r>
        <w:rPr>
          <w:lang w:val="fr-CH"/>
        </w:rPr>
        <w:tab/>
      </w:r>
      <w:r>
        <w:rPr>
          <w:i/>
          <w:iCs/>
          <w:lang w:val="fr-CH"/>
        </w:rPr>
        <w:t>E</w:t>
      </w:r>
      <w:r>
        <w:rPr>
          <w:i/>
          <w:iCs/>
          <w:vertAlign w:val="subscript"/>
          <w:lang w:val="fr-CH"/>
        </w:rPr>
        <w:t>s</w:t>
      </w:r>
      <w:proofErr w:type="gramStart"/>
      <w:r>
        <w:rPr>
          <w:lang w:val="fr-CH"/>
        </w:rPr>
        <w:t>(</w:t>
      </w:r>
      <w:r>
        <w:rPr>
          <w:rFonts w:ascii="Tms Rmn" w:hAnsi="Tms Rmn"/>
          <w:sz w:val="12"/>
          <w:lang w:val="fr-CH"/>
        </w:rPr>
        <w:t> </w:t>
      </w:r>
      <w:r>
        <w:rPr>
          <w:i/>
          <w:iCs/>
          <w:lang w:val="fr-CH"/>
        </w:rPr>
        <w:t>p</w:t>
      </w:r>
      <w:proofErr w:type="gramEnd"/>
      <w:r>
        <w:rPr>
          <w:lang w:val="fr-CH"/>
        </w:rPr>
        <w:t>)</w:t>
      </w:r>
      <w:r>
        <w:rPr>
          <w:sz w:val="20"/>
          <w:lang w:val="fr-CH"/>
        </w:rPr>
        <w:t xml:space="preserve"> </w:t>
      </w:r>
      <w:r>
        <w:rPr>
          <w:rFonts w:hint="eastAsia"/>
          <w:lang w:val="fr-CH"/>
        </w:rPr>
        <w:t>:</w:t>
      </w:r>
      <w:r>
        <w:rPr>
          <w:lang w:val="fr-CH"/>
        </w:rPr>
        <w:tab/>
      </w:r>
      <w:r>
        <w:rPr>
          <w:rFonts w:hint="eastAsia"/>
          <w:lang w:val="fr-CH"/>
        </w:rPr>
        <w:t xml:space="preserve">correction </w:t>
      </w:r>
      <w:r>
        <w:rPr>
          <w:lang w:val="fr-CH"/>
        </w:rPr>
        <w:t>pour les trajets multiples et les effets de concentration</w:t>
      </w:r>
    </w:p>
    <w:p w:rsidR="00E55EF0" w:rsidRDefault="00E55EF0" w:rsidP="00E55EF0">
      <w:pPr>
        <w:pStyle w:val="Equation"/>
        <w:rPr>
          <w:color w:val="000000"/>
          <w:lang w:val="fr-CH"/>
        </w:rPr>
      </w:pPr>
      <w:r>
        <w:rPr>
          <w:lang w:val="fr-CH"/>
        </w:rPr>
        <w:tab/>
      </w:r>
      <w:r>
        <w:rPr>
          <w:lang w:val="fr-CH"/>
        </w:rPr>
        <w:tab/>
      </w:r>
      <w:r w:rsidRPr="00AA0C8C">
        <w:rPr>
          <w:position w:val="-12"/>
          <w:lang w:val="fr-CH"/>
        </w:rPr>
        <w:object w:dxaOrig="3500" w:dyaOrig="440">
          <v:shape id="_x0000_i1026" type="#_x0000_t75" style="width:175.45pt;height:22.35pt" o:ole="">
            <v:imagedata r:id="rId18" o:title=""/>
          </v:shape>
          <o:OLEObject Type="Embed" ProgID="Equation.3" ShapeID="_x0000_i1026" DrawAspect="Content" ObjectID="_1361345864" r:id="rId19"/>
        </w:object>
      </w:r>
      <w:r>
        <w:rPr>
          <w:lang w:val="fr-CH"/>
        </w:rPr>
        <w:t>                </w:t>
      </w:r>
      <w:proofErr w:type="gramStart"/>
      <w:r>
        <w:rPr>
          <w:lang w:val="fr-CH"/>
        </w:rPr>
        <w:t>dB</w:t>
      </w:r>
      <w:proofErr w:type="gramEnd"/>
      <w:r>
        <w:rPr>
          <w:lang w:val="fr-CH"/>
        </w:rPr>
        <w:tab/>
      </w:r>
      <w:r>
        <w:rPr>
          <w:rFonts w:hint="eastAsia"/>
          <w:color w:val="000000"/>
          <w:lang w:val="fr-CH"/>
        </w:rPr>
        <w:t>(2)</w:t>
      </w:r>
    </w:p>
    <w:p w:rsidR="00E55EF0" w:rsidRDefault="00E55EF0" w:rsidP="00E55EF0">
      <w:pPr>
        <w:pStyle w:val="Equationlegend"/>
        <w:rPr>
          <w:lang w:val="fr-CH"/>
        </w:rPr>
      </w:pPr>
      <w:r>
        <w:rPr>
          <w:color w:val="000000"/>
          <w:lang w:val="fr-CH"/>
        </w:rPr>
        <w:tab/>
      </w:r>
      <w:r>
        <w:rPr>
          <w:i/>
          <w:iCs/>
          <w:color w:val="000000"/>
          <w:lang w:val="fr-CH"/>
        </w:rPr>
        <w:t>A</w:t>
      </w:r>
      <w:r>
        <w:rPr>
          <w:i/>
          <w:iCs/>
          <w:color w:val="000000"/>
          <w:vertAlign w:val="subscript"/>
          <w:lang w:val="fr-CH"/>
        </w:rPr>
        <w:t>g</w:t>
      </w:r>
      <w:r>
        <w:rPr>
          <w:i/>
          <w:iCs/>
          <w:color w:val="000000"/>
          <w:sz w:val="20"/>
          <w:lang w:val="fr-CH"/>
        </w:rPr>
        <w:t xml:space="preserve"> </w:t>
      </w:r>
      <w:r>
        <w:rPr>
          <w:rFonts w:hint="eastAsia"/>
          <w:color w:val="000000"/>
          <w:lang w:val="fr-CH"/>
        </w:rPr>
        <w:t>:</w:t>
      </w:r>
      <w:r>
        <w:rPr>
          <w:color w:val="000000"/>
          <w:lang w:val="fr-CH"/>
        </w:rPr>
        <w:tab/>
        <w:t>absorption totale</w:t>
      </w:r>
      <w:r>
        <w:rPr>
          <w:rFonts w:hint="eastAsia"/>
          <w:color w:val="000000"/>
          <w:lang w:val="fr-CH"/>
        </w:rPr>
        <w:t xml:space="preserve"> </w:t>
      </w:r>
      <w:r>
        <w:rPr>
          <w:color w:val="000000"/>
          <w:lang w:val="fr-CH"/>
        </w:rPr>
        <w:t xml:space="preserve">par les gaz </w:t>
      </w:r>
      <w:r>
        <w:rPr>
          <w:rFonts w:hint="eastAsia"/>
          <w:color w:val="000000"/>
          <w:lang w:val="fr-CH"/>
        </w:rPr>
        <w:t>(dB)</w:t>
      </w:r>
    </w:p>
    <w:p w:rsidR="00E55EF0" w:rsidRDefault="00E55EF0" w:rsidP="00E55EF0">
      <w:pPr>
        <w:pStyle w:val="Equation"/>
        <w:rPr>
          <w:color w:val="000000"/>
          <w:lang w:val="fr-CH"/>
        </w:rPr>
      </w:pPr>
      <w:r>
        <w:rPr>
          <w:color w:val="000000"/>
          <w:lang w:val="fr-CH"/>
        </w:rPr>
        <w:tab/>
      </w:r>
      <w:r>
        <w:rPr>
          <w:color w:val="000000"/>
          <w:lang w:val="fr-CH"/>
        </w:rPr>
        <w:tab/>
      </w:r>
      <w:r w:rsidRPr="00AA0C8C">
        <w:rPr>
          <w:color w:val="000000"/>
          <w:position w:val="-16"/>
          <w:vertAlign w:val="subscript"/>
        </w:rPr>
        <w:object w:dxaOrig="2020" w:dyaOrig="400">
          <v:shape id="_x0000_i1027" type="#_x0000_t75" style="width:101.6pt;height:20.05pt" o:ole="" fillcolor="window">
            <v:imagedata r:id="rId20" o:title=""/>
          </v:shape>
          <o:OLEObject Type="Embed" ProgID="Equation.3" ShapeID="_x0000_i1027" DrawAspect="Content" ObjectID="_1361345865" r:id="rId21"/>
        </w:object>
      </w:r>
      <w:r>
        <w:rPr>
          <w:color w:val="000000"/>
          <w:lang w:val="fr-CH"/>
        </w:rPr>
        <w:t>                </w:t>
      </w:r>
      <w:proofErr w:type="gramStart"/>
      <w:r>
        <w:rPr>
          <w:rFonts w:hint="eastAsia"/>
          <w:color w:val="000000"/>
          <w:lang w:val="fr-CH"/>
        </w:rPr>
        <w:t>dB</w:t>
      </w:r>
      <w:proofErr w:type="gramEnd"/>
      <w:r>
        <w:rPr>
          <w:color w:val="000000"/>
          <w:lang w:val="fr-CH"/>
        </w:rPr>
        <w:tab/>
      </w:r>
      <w:r>
        <w:rPr>
          <w:rFonts w:hint="eastAsia"/>
          <w:color w:val="000000"/>
          <w:lang w:val="fr-CH"/>
        </w:rPr>
        <w:t>(3)</w:t>
      </w:r>
    </w:p>
    <w:p w:rsidR="00E55EF0" w:rsidRDefault="00E55EF0" w:rsidP="00E55EF0">
      <w:pPr>
        <w:keepNext/>
        <w:keepLines/>
        <w:rPr>
          <w:lang w:val="fr-CH"/>
        </w:rPr>
      </w:pPr>
      <w:proofErr w:type="gramStart"/>
      <w:r>
        <w:rPr>
          <w:lang w:val="fr-CH"/>
        </w:rPr>
        <w:lastRenderedPageBreak/>
        <w:t>où</w:t>
      </w:r>
      <w:proofErr w:type="gramEnd"/>
      <w:r>
        <w:rPr>
          <w:rFonts w:hint="eastAsia"/>
          <w:lang w:val="fr-CH"/>
        </w:rPr>
        <w:t>:</w:t>
      </w:r>
    </w:p>
    <w:p w:rsidR="00E55EF0" w:rsidRDefault="00E55EF0" w:rsidP="00E55EF0">
      <w:pPr>
        <w:pStyle w:val="Equationlegend"/>
        <w:keepNext/>
        <w:keepLines/>
        <w:rPr>
          <w:lang w:val="fr-CH"/>
        </w:rPr>
      </w:pPr>
      <w:r>
        <w:rPr>
          <w:color w:val="000000"/>
          <w:lang w:val="fr-CH"/>
        </w:rPr>
        <w:tab/>
      </w:r>
      <w:r>
        <w:rPr>
          <w:rFonts w:ascii="Symbol" w:hAnsi="Symbol"/>
          <w:color w:val="000000"/>
          <w:lang w:val="fr-CH"/>
        </w:rPr>
        <w:t></w:t>
      </w:r>
      <w:r>
        <w:rPr>
          <w:color w:val="000000"/>
          <w:vertAlign w:val="subscript"/>
          <w:lang w:val="fr-CH"/>
        </w:rPr>
        <w:t>0</w:t>
      </w:r>
      <w:r>
        <w:rPr>
          <w:color w:val="000000"/>
          <w:sz w:val="20"/>
          <w:lang w:val="fr-CH"/>
        </w:rPr>
        <w:t xml:space="preserve">, </w:t>
      </w:r>
      <w:r>
        <w:rPr>
          <w:rFonts w:ascii="Symbol" w:hAnsi="Symbol"/>
          <w:color w:val="000000"/>
          <w:lang w:val="fr-CH"/>
        </w:rPr>
        <w:t></w:t>
      </w:r>
      <w:r>
        <w:rPr>
          <w:i/>
          <w:iCs/>
          <w:color w:val="000000"/>
          <w:vertAlign w:val="subscript"/>
          <w:lang w:val="fr-CH"/>
        </w:rPr>
        <w:t>w</w:t>
      </w:r>
      <w:r>
        <w:rPr>
          <w:color w:val="000000"/>
          <w:lang w:val="fr-CH"/>
        </w:rPr>
        <w:t>(</w:t>
      </w:r>
      <w:r>
        <w:rPr>
          <w:rFonts w:ascii="Symbol" w:hAnsi="Symbol"/>
          <w:color w:val="000000"/>
          <w:lang w:val="fr-CH"/>
        </w:rPr>
        <w:t></w:t>
      </w:r>
      <w:r>
        <w:rPr>
          <w:color w:val="000000"/>
          <w:lang w:val="fr-CH"/>
        </w:rPr>
        <w:t>)</w:t>
      </w:r>
      <w:r>
        <w:rPr>
          <w:rFonts w:ascii="Tms Rmn" w:hAnsi="Tms Rmn"/>
          <w:color w:val="000000"/>
          <w:sz w:val="12"/>
          <w:lang w:val="fr-CH"/>
        </w:rPr>
        <w:t> </w:t>
      </w:r>
      <w:r>
        <w:rPr>
          <w:rFonts w:hint="eastAsia"/>
          <w:color w:val="000000"/>
          <w:lang w:val="fr-CH"/>
        </w:rPr>
        <w:t>:</w:t>
      </w:r>
      <w:r>
        <w:rPr>
          <w:color w:val="000000"/>
          <w:lang w:val="fr-CH"/>
        </w:rPr>
        <w:tab/>
        <w:t xml:space="preserve">affaiblissements linéiques dus </w:t>
      </w:r>
      <w:r>
        <w:rPr>
          <w:rFonts w:hint="eastAsia"/>
          <w:color w:val="000000"/>
          <w:lang w:val="fr-CH"/>
        </w:rPr>
        <w:t>respective</w:t>
      </w:r>
      <w:r>
        <w:rPr>
          <w:color w:val="000000"/>
          <w:lang w:val="fr-CH"/>
        </w:rPr>
        <w:t>ment</w:t>
      </w:r>
      <w:r>
        <w:rPr>
          <w:rFonts w:hint="eastAsia"/>
          <w:color w:val="000000"/>
          <w:lang w:val="fr-CH"/>
        </w:rPr>
        <w:t xml:space="preserve"> </w:t>
      </w:r>
      <w:r>
        <w:rPr>
          <w:color w:val="000000"/>
          <w:lang w:val="fr-CH"/>
        </w:rPr>
        <w:t>à l'air sec et à la vapeur d'eau</w:t>
      </w:r>
      <w:r>
        <w:rPr>
          <w:rFonts w:hint="eastAsia"/>
          <w:color w:val="000000"/>
          <w:lang w:val="fr-CH"/>
        </w:rPr>
        <w:t xml:space="preserve">, </w:t>
      </w:r>
      <w:r>
        <w:rPr>
          <w:color w:val="000000"/>
          <w:lang w:val="fr-CH"/>
        </w:rPr>
        <w:t xml:space="preserve">déterminés à partir des formules données dans la </w:t>
      </w:r>
      <w:r>
        <w:rPr>
          <w:rFonts w:hint="eastAsia"/>
          <w:color w:val="000000"/>
          <w:lang w:val="fr-CH"/>
        </w:rPr>
        <w:t xml:space="preserve">Recommandation </w:t>
      </w:r>
      <w:r>
        <w:rPr>
          <w:color w:val="000000"/>
          <w:lang w:val="fr-CH"/>
        </w:rPr>
        <w:t>UIT</w:t>
      </w:r>
      <w:r>
        <w:rPr>
          <w:color w:val="000000"/>
          <w:lang w:val="fr-CH"/>
        </w:rPr>
        <w:noBreakHyphen/>
      </w:r>
      <w:r>
        <w:rPr>
          <w:rFonts w:hint="eastAsia"/>
          <w:color w:val="000000"/>
          <w:lang w:val="fr-CH"/>
        </w:rPr>
        <w:t>R P.676</w:t>
      </w:r>
    </w:p>
    <w:p w:rsidR="00E55EF0" w:rsidRDefault="00E55EF0" w:rsidP="00E55EF0">
      <w:pPr>
        <w:pStyle w:val="Equationlegend"/>
        <w:rPr>
          <w:lang w:val="fr-CH"/>
        </w:rPr>
      </w:pPr>
      <w:r>
        <w:rPr>
          <w:lang w:val="fr-CH"/>
        </w:rPr>
        <w:tab/>
      </w:r>
      <w:proofErr w:type="gramStart"/>
      <w:r>
        <w:rPr>
          <w:rFonts w:ascii="Symbol" w:hAnsi="Symbol"/>
        </w:rPr>
        <w:t></w:t>
      </w:r>
      <w:r>
        <w:rPr>
          <w:rFonts w:ascii="Tms Rmn" w:hAnsi="Tms Rmn"/>
          <w:sz w:val="12"/>
          <w:lang w:val="fr-CH"/>
        </w:rPr>
        <w:t> </w:t>
      </w:r>
      <w:r>
        <w:rPr>
          <w:rFonts w:hint="eastAsia"/>
          <w:lang w:val="fr-CH"/>
        </w:rPr>
        <w:t>:</w:t>
      </w:r>
      <w:proofErr w:type="gramEnd"/>
      <w:r>
        <w:rPr>
          <w:lang w:val="fr-CH"/>
        </w:rPr>
        <w:tab/>
        <w:t>masse volumique de la vapeur d'eau</w:t>
      </w:r>
    </w:p>
    <w:p w:rsidR="00E55EF0" w:rsidRDefault="00E55EF0" w:rsidP="00E55EF0">
      <w:pPr>
        <w:pStyle w:val="Equation"/>
        <w:rPr>
          <w:color w:val="000000"/>
          <w:lang w:val="fr-CH"/>
        </w:rPr>
      </w:pPr>
      <w:r>
        <w:rPr>
          <w:color w:val="000000"/>
          <w:lang w:val="fr-CH"/>
        </w:rPr>
        <w:tab/>
      </w:r>
      <w:r>
        <w:rPr>
          <w:color w:val="000000"/>
          <w:lang w:val="fr-CH"/>
        </w:rPr>
        <w:tab/>
      </w:r>
      <w:r w:rsidRPr="00AA0C8C">
        <w:rPr>
          <w:color w:val="000000"/>
          <w:position w:val="-10"/>
          <w:vertAlign w:val="subscript"/>
        </w:rPr>
        <w:object w:dxaOrig="1420" w:dyaOrig="320">
          <v:shape id="_x0000_i1028" type="#_x0000_t75" style="width:70.65pt;height:15.5pt" o:ole="" fillcolor="window">
            <v:imagedata r:id="rId22" o:title=""/>
          </v:shape>
          <o:OLEObject Type="Embed" ProgID="Equation.3" ShapeID="_x0000_i1028" DrawAspect="Content" ObjectID="_1361345866" r:id="rId23"/>
        </w:object>
      </w:r>
      <w:r>
        <w:rPr>
          <w:color w:val="000000"/>
          <w:lang w:val="fr-CH"/>
        </w:rPr>
        <w:t>                </w:t>
      </w:r>
      <w:r w:rsidRPr="00AA0C8C">
        <w:rPr>
          <w:color w:val="000000"/>
          <w:position w:val="-10"/>
          <w:vertAlign w:val="subscript"/>
        </w:rPr>
        <w:object w:dxaOrig="540" w:dyaOrig="420">
          <v:shape id="_x0000_i1029" type="#_x0000_t75" style="width:26.9pt;height:21.4pt" o:ole="" fillcolor="window">
            <v:imagedata r:id="rId24" o:title=""/>
          </v:shape>
          <o:OLEObject Type="Embed" ProgID="Equation.3" ShapeID="_x0000_i1029" DrawAspect="Content" ObjectID="_1361345867" r:id="rId25"/>
        </w:object>
      </w:r>
      <w:r>
        <w:rPr>
          <w:color w:val="000000"/>
          <w:lang w:val="fr-CH"/>
        </w:rPr>
        <w:tab/>
      </w:r>
      <w:r>
        <w:rPr>
          <w:rFonts w:hint="eastAsia"/>
          <w:color w:val="000000"/>
          <w:lang w:val="fr-CH"/>
        </w:rPr>
        <w:t>(4)</w:t>
      </w:r>
    </w:p>
    <w:p w:rsidR="00E55EF0" w:rsidRDefault="00E55EF0" w:rsidP="00E55EF0">
      <w:pPr>
        <w:pStyle w:val="Equationlegend"/>
        <w:rPr>
          <w:lang w:val="fr-CH"/>
        </w:rPr>
      </w:pPr>
      <w:r>
        <w:rPr>
          <w:lang w:val="fr-CH"/>
        </w:rPr>
        <w:tab/>
      </w:r>
      <w:r>
        <w:rPr>
          <w:rFonts w:ascii="Symbol" w:hAnsi="Symbol"/>
          <w:lang w:val="fr-CH"/>
        </w:rPr>
        <w:t></w:t>
      </w:r>
      <w:r>
        <w:rPr>
          <w:rFonts w:ascii="Tms Rmn" w:hAnsi="Tms Rmn"/>
          <w:sz w:val="12"/>
          <w:lang w:val="fr-CH"/>
        </w:rPr>
        <w:t> </w:t>
      </w:r>
      <w:r>
        <w:rPr>
          <w:sz w:val="22"/>
          <w:lang w:val="fr-CH"/>
        </w:rPr>
        <w:t>:</w:t>
      </w:r>
      <w:r>
        <w:rPr>
          <w:lang w:val="fr-CH"/>
        </w:rPr>
        <w:tab/>
      </w:r>
      <w:r>
        <w:rPr>
          <w:rFonts w:hint="eastAsia"/>
          <w:lang w:val="fr-CH"/>
        </w:rPr>
        <w:t xml:space="preserve">fraction </w:t>
      </w:r>
      <w:r>
        <w:rPr>
          <w:lang w:val="fr-CH"/>
        </w:rPr>
        <w:t>du trajet total au-dessus de l'eau.</w:t>
      </w:r>
    </w:p>
    <w:p w:rsidR="00E55EF0" w:rsidRDefault="00E55EF0" w:rsidP="00E55EF0">
      <w:pPr>
        <w:rPr>
          <w:color w:val="000000"/>
          <w:lang w:val="fr-CH"/>
        </w:rPr>
      </w:pPr>
      <w:r>
        <w:rPr>
          <w:color w:val="000000"/>
          <w:lang w:val="fr-CH"/>
        </w:rPr>
        <w:t>Dans cette étude, le facteur d'absorption par les gaz</w:t>
      </w:r>
      <w:r>
        <w:rPr>
          <w:rFonts w:hint="eastAsia"/>
          <w:color w:val="000000"/>
          <w:lang w:val="fr-CH"/>
        </w:rPr>
        <w:t xml:space="preserve"> </w:t>
      </w:r>
      <w:r>
        <w:rPr>
          <w:i/>
          <w:iCs/>
          <w:color w:val="000000"/>
          <w:lang w:val="fr-CH"/>
        </w:rPr>
        <w:t>A</w:t>
      </w:r>
      <w:r>
        <w:rPr>
          <w:i/>
          <w:iCs/>
          <w:color w:val="000000"/>
          <w:vertAlign w:val="subscript"/>
          <w:lang w:val="fr-CH"/>
        </w:rPr>
        <w:t>g</w:t>
      </w:r>
      <w:r>
        <w:rPr>
          <w:rFonts w:hint="eastAsia"/>
          <w:color w:val="000000"/>
          <w:lang w:val="fr-CH"/>
        </w:rPr>
        <w:t xml:space="preserve"> </w:t>
      </w:r>
      <w:r>
        <w:rPr>
          <w:color w:val="000000"/>
          <w:lang w:val="fr-CH"/>
        </w:rPr>
        <w:t>est supposé être égal à</w:t>
      </w:r>
      <w:r>
        <w:rPr>
          <w:rFonts w:hint="eastAsia"/>
          <w:color w:val="000000"/>
          <w:lang w:val="fr-CH"/>
        </w:rPr>
        <w:t xml:space="preserve"> 0 </w:t>
      </w:r>
      <w:r>
        <w:rPr>
          <w:color w:val="000000"/>
          <w:lang w:val="fr-CH"/>
        </w:rPr>
        <w:t>pour se placer dans le cas le plus défavorable en matière de brouillage.</w:t>
      </w:r>
    </w:p>
    <w:p w:rsidR="00E55EF0" w:rsidRDefault="00E55EF0" w:rsidP="00E55EF0">
      <w:pPr>
        <w:pStyle w:val="Heading1"/>
      </w:pPr>
      <w:r>
        <w:t>2</w:t>
      </w:r>
      <w:r>
        <w:rPr>
          <w:rFonts w:hint="eastAsia"/>
        </w:rPr>
        <w:tab/>
      </w:r>
      <w:r>
        <w:t>Critère de protection de la station du SRA</w:t>
      </w:r>
    </w:p>
    <w:p w:rsidR="00E55EF0" w:rsidRDefault="00E55EF0" w:rsidP="00E55EF0">
      <w:pPr>
        <w:rPr>
          <w:color w:val="000000"/>
        </w:rPr>
      </w:pPr>
      <w:r>
        <w:t xml:space="preserve">La </w:t>
      </w:r>
      <w:r>
        <w:rPr>
          <w:rFonts w:hint="eastAsia"/>
        </w:rPr>
        <w:t xml:space="preserve">Recommandation </w:t>
      </w:r>
      <w:r>
        <w:t>UIT</w:t>
      </w:r>
      <w:r>
        <w:rPr>
          <w:rFonts w:hint="eastAsia"/>
        </w:rPr>
        <w:t>-R RA.769</w:t>
      </w:r>
      <w:r>
        <w:t xml:space="preserve"> fournit le seuil de puissance surfacique visant à protéger la station </w:t>
      </w:r>
      <w:r>
        <w:rPr>
          <w:szCs w:val="18"/>
        </w:rPr>
        <w:t>du SRA</w:t>
      </w:r>
      <w:r>
        <w:t xml:space="preserve"> (calculé pour un gain d'antenne de 0 dBi). Dans la présente méthodologie, on adopte un niveau de puissance surfacique de </w:t>
      </w:r>
      <w:r>
        <w:rPr>
          <w:color w:val="000000"/>
        </w:rPr>
        <w:sym w:font="Symbol" w:char="F02D"/>
      </w:r>
      <w:r>
        <w:rPr>
          <w:color w:val="000000"/>
          <w:lang w:val="fr-CH"/>
        </w:rPr>
        <w:t>168 </w:t>
      </w:r>
      <w:proofErr w:type="gramStart"/>
      <w:r>
        <w:rPr>
          <w:color w:val="000000"/>
          <w:lang w:val="fr-CH"/>
        </w:rPr>
        <w:t>dB(</w:t>
      </w:r>
      <w:proofErr w:type="gramEnd"/>
      <w:r>
        <w:rPr>
          <w:color w:val="000000"/>
          <w:lang w:val="fr-CH"/>
        </w:rPr>
        <w:t>W/(m</w:t>
      </w:r>
      <w:r>
        <w:rPr>
          <w:color w:val="000000"/>
          <w:vertAlign w:val="superscript"/>
          <w:lang w:val="fr-CH"/>
        </w:rPr>
        <w:t>2</w:t>
      </w:r>
      <w:r>
        <w:rPr>
          <w:color w:val="000000"/>
          <w:lang w:val="fr-CH"/>
        </w:rPr>
        <w:t xml:space="preserve"> · MHz)) dans la bande 31,3-31,8 GHz. Pour prendre en compte l'effet du gain de l'antenne de réception, la valeur de la </w:t>
      </w:r>
      <w:r>
        <w:rPr>
          <w:color w:val="000000"/>
        </w:rPr>
        <w:t>"</w:t>
      </w:r>
      <w:r>
        <w:rPr>
          <w:color w:val="000000"/>
          <w:lang w:val="fr-CH"/>
        </w:rPr>
        <w:t xml:space="preserve">puissance surfacique du brouillage reçu par l'antenne de la </w:t>
      </w:r>
      <w:r>
        <w:t xml:space="preserve">station </w:t>
      </w:r>
      <w:r>
        <w:rPr>
          <w:szCs w:val="18"/>
        </w:rPr>
        <w:t>du SRA</w:t>
      </w:r>
      <w:r>
        <w:rPr>
          <w:color w:val="000000"/>
        </w:rPr>
        <w:t>"</w:t>
      </w:r>
      <w:r>
        <w:rPr>
          <w:color w:val="000000"/>
          <w:lang w:val="fr-CH"/>
        </w:rPr>
        <w:t xml:space="preserve"> plus celle du </w:t>
      </w:r>
      <w:r>
        <w:rPr>
          <w:color w:val="000000"/>
        </w:rPr>
        <w:t>"</w:t>
      </w:r>
      <w:r>
        <w:rPr>
          <w:color w:val="000000"/>
          <w:lang w:val="fr-CH"/>
        </w:rPr>
        <w:t xml:space="preserve">gain à la réception de l'antenne de la station </w:t>
      </w:r>
      <w:r>
        <w:rPr>
          <w:szCs w:val="18"/>
        </w:rPr>
        <w:t>du SRA</w:t>
      </w:r>
      <w:r>
        <w:rPr>
          <w:color w:val="000000"/>
          <w:lang w:val="fr-CH"/>
        </w:rPr>
        <w:t xml:space="preserve"> pour le brouillage</w:t>
      </w:r>
      <w:r>
        <w:rPr>
          <w:color w:val="000000"/>
        </w:rPr>
        <w:t>"</w:t>
      </w:r>
      <w:r>
        <w:rPr>
          <w:color w:val="000000"/>
          <w:lang w:val="fr-CH"/>
        </w:rPr>
        <w:t xml:space="preserve"> est adoptée comme critère de protection de la station </w:t>
      </w:r>
      <w:r>
        <w:rPr>
          <w:szCs w:val="18"/>
        </w:rPr>
        <w:t>du SRA</w:t>
      </w:r>
      <w:r>
        <w:rPr>
          <w:color w:val="000000"/>
          <w:lang w:val="fr-CH"/>
        </w:rPr>
        <w:t xml:space="preserve"> et la distance de séparation requise est obtenue par la nécessité de respecter le </w:t>
      </w:r>
      <w:r>
        <w:rPr>
          <w:color w:val="000000"/>
        </w:rPr>
        <w:t>critère</w:t>
      </w:r>
      <w:r>
        <w:rPr>
          <w:rFonts w:hint="eastAsia"/>
          <w:color w:val="000000"/>
        </w:rPr>
        <w:t xml:space="preserve"> </w:t>
      </w:r>
      <w:r>
        <w:rPr>
          <w:color w:val="000000"/>
        </w:rPr>
        <w:t xml:space="preserve">de </w:t>
      </w:r>
      <w:r>
        <w:rPr>
          <w:color w:val="000000"/>
        </w:rPr>
        <w:sym w:font="Symbol" w:char="F02D"/>
      </w:r>
      <w:r>
        <w:rPr>
          <w:color w:val="000000"/>
        </w:rPr>
        <w:t>168</w:t>
      </w:r>
      <w:r>
        <w:rPr>
          <w:b/>
          <w:color w:val="000000"/>
        </w:rPr>
        <w:t> </w:t>
      </w:r>
      <w:r>
        <w:rPr>
          <w:color w:val="000000"/>
        </w:rPr>
        <w:t>dB(W/(m</w:t>
      </w:r>
      <w:r>
        <w:rPr>
          <w:color w:val="000000"/>
          <w:vertAlign w:val="superscript"/>
        </w:rPr>
        <w:t>2</w:t>
      </w:r>
      <w:r>
        <w:rPr>
          <w:color w:val="000000"/>
        </w:rPr>
        <w:t xml:space="preserve"> · MHz)) de la </w:t>
      </w:r>
      <w:r>
        <w:rPr>
          <w:color w:val="000000"/>
          <w:lang w:val="fr-CH"/>
        </w:rPr>
        <w:t>R</w:t>
      </w:r>
      <w:r>
        <w:rPr>
          <w:color w:val="000000"/>
        </w:rPr>
        <w:t>ecommandation UIT-R RA.769</w:t>
      </w:r>
      <w:r>
        <w:rPr>
          <w:rFonts w:hint="eastAsia"/>
          <w:color w:val="000000"/>
        </w:rPr>
        <w:t>.</w:t>
      </w:r>
    </w:p>
    <w:p w:rsidR="00E55EF0" w:rsidRDefault="00E55EF0" w:rsidP="00E55EF0">
      <w:pPr>
        <w:rPr>
          <w:color w:val="000000"/>
        </w:rPr>
      </w:pPr>
    </w:p>
    <w:p w:rsidR="00E55EF0" w:rsidRDefault="00E55EF0" w:rsidP="00E55EF0">
      <w:pPr>
        <w:rPr>
          <w:color w:val="000000"/>
        </w:rPr>
      </w:pPr>
    </w:p>
    <w:p w:rsidR="00E55EF0" w:rsidRDefault="00E55EF0" w:rsidP="00E55EF0">
      <w:pPr>
        <w:rPr>
          <w:lang w:val="fr-CH"/>
        </w:rPr>
      </w:pPr>
    </w:p>
    <w:p w:rsidR="00E55EF0" w:rsidRDefault="00E55EF0" w:rsidP="00E55EF0">
      <w:pPr>
        <w:pStyle w:val="AnnexNoTitle"/>
        <w:rPr>
          <w:lang w:val="fr-CH"/>
        </w:rPr>
      </w:pPr>
      <w:r>
        <w:rPr>
          <w:lang w:val="fr-CH"/>
        </w:rPr>
        <w:t>Annexe 3</w:t>
      </w:r>
      <w:r>
        <w:rPr>
          <w:lang w:val="fr-CH"/>
        </w:rPr>
        <w:br/>
      </w:r>
      <w:r>
        <w:rPr>
          <w:lang w:val="fr-CH"/>
        </w:rPr>
        <w:br/>
        <w:t>Effet de stations au sol HAPS sur une station du SRA</w:t>
      </w:r>
    </w:p>
    <w:p w:rsidR="00E55EF0" w:rsidRDefault="00E55EF0" w:rsidP="00ED72B0">
      <w:pPr>
        <w:pStyle w:val="Heading1"/>
      </w:pPr>
      <w:r>
        <w:t>1</w:t>
      </w:r>
      <w:r>
        <w:rPr>
          <w:rFonts w:hint="eastAsia"/>
        </w:rPr>
        <w:tab/>
      </w:r>
      <w:r w:rsidR="00ED72B0">
        <w:rPr>
          <w:lang w:val="fr-CH"/>
        </w:rPr>
        <w:t>E</w:t>
      </w:r>
      <w:r>
        <w:rPr>
          <w:lang w:val="fr-CH"/>
        </w:rPr>
        <w:t>valuation du brouillage</w:t>
      </w:r>
    </w:p>
    <w:p w:rsidR="00E55EF0" w:rsidRDefault="00E55EF0" w:rsidP="00E55EF0">
      <w:pPr>
        <w:pStyle w:val="Heading2"/>
      </w:pPr>
      <w:r>
        <w:t>1.1</w:t>
      </w:r>
      <w:r>
        <w:tab/>
        <w:t>Source de brouillage unique</w:t>
      </w:r>
    </w:p>
    <w:p w:rsidR="00E55EF0" w:rsidRDefault="00E55EF0" w:rsidP="00E55EF0">
      <w:pPr>
        <w:rPr>
          <w:color w:val="000000"/>
        </w:rPr>
      </w:pPr>
      <w:r>
        <w:rPr>
          <w:lang w:val="fr-CH"/>
        </w:rPr>
        <w:t>Dans les conditions décrites dans les Annexes 1 et 2, l'impact (</w:t>
      </w:r>
      <w:r>
        <w:rPr>
          <w:color w:val="000000"/>
          <w:lang w:val="fr-CH"/>
        </w:rPr>
        <w:t xml:space="preserve">puissance surfacique reçue plus gain de l'antenne de la station </w:t>
      </w:r>
      <w:r>
        <w:rPr>
          <w:szCs w:val="18"/>
        </w:rPr>
        <w:t>du SRA</w:t>
      </w:r>
      <w:r>
        <w:rPr>
          <w:lang w:val="fr-CH"/>
        </w:rPr>
        <w:t xml:space="preserve">) d'une station au sol HAPS est calculé en fonction de la distance qui la sépare de la station </w:t>
      </w:r>
      <w:r>
        <w:rPr>
          <w:szCs w:val="18"/>
        </w:rPr>
        <w:t>du SRA</w:t>
      </w:r>
      <w:r>
        <w:rPr>
          <w:lang w:val="fr-CH"/>
        </w:rPr>
        <w:t xml:space="preserve">. On utilise la </w:t>
      </w:r>
      <w:r>
        <w:rPr>
          <w:rFonts w:hint="eastAsia"/>
          <w:color w:val="000000"/>
          <w:lang w:eastAsia="ja-JP"/>
        </w:rPr>
        <w:t>Recommandation UIT-R F.1245</w:t>
      </w:r>
      <w:r>
        <w:rPr>
          <w:color w:val="000000"/>
          <w:lang w:eastAsia="ja-JP"/>
        </w:rPr>
        <w:t xml:space="preserve"> concernant le </w:t>
      </w:r>
      <w:r>
        <w:t xml:space="preserve">diagramme de rayonnement d'antenne de la station au sol HAPS. Les résultats pour </w:t>
      </w:r>
      <w:r>
        <w:rPr>
          <w:rFonts w:hint="eastAsia"/>
          <w:color w:val="000000"/>
        </w:rPr>
        <w:t>Nobeyama (Jap</w:t>
      </w:r>
      <w:r>
        <w:rPr>
          <w:color w:val="000000"/>
        </w:rPr>
        <w:t>o</w:t>
      </w:r>
      <w:r>
        <w:rPr>
          <w:rFonts w:hint="eastAsia"/>
          <w:color w:val="000000"/>
        </w:rPr>
        <w:t xml:space="preserve">n), Taeduk (Corée) </w:t>
      </w:r>
      <w:r>
        <w:rPr>
          <w:color w:val="000000"/>
        </w:rPr>
        <w:t>et</w:t>
      </w:r>
      <w:r>
        <w:rPr>
          <w:rFonts w:hint="eastAsia"/>
          <w:color w:val="000000"/>
        </w:rPr>
        <w:t xml:space="preserve"> Delingha (Chin</w:t>
      </w:r>
      <w:r>
        <w:rPr>
          <w:color w:val="000000"/>
        </w:rPr>
        <w:t>e</w:t>
      </w:r>
      <w:r>
        <w:rPr>
          <w:rFonts w:hint="eastAsia"/>
          <w:color w:val="000000"/>
        </w:rPr>
        <w:t>)</w:t>
      </w:r>
      <w:r>
        <w:rPr>
          <w:color w:val="000000"/>
        </w:rPr>
        <w:t xml:space="preserve"> sont présentés sur les Fig. 3 et 4 pour des pourcentages de temps de </w:t>
      </w:r>
      <w:r>
        <w:rPr>
          <w:rFonts w:hint="eastAsia"/>
          <w:color w:val="000000"/>
        </w:rPr>
        <w:t>0</w:t>
      </w:r>
      <w:r>
        <w:rPr>
          <w:color w:val="000000"/>
        </w:rPr>
        <w:t>,</w:t>
      </w:r>
      <w:r>
        <w:rPr>
          <w:rFonts w:hint="eastAsia"/>
          <w:color w:val="000000"/>
        </w:rPr>
        <w:t xml:space="preserve">001%, 1% </w:t>
      </w:r>
      <w:r>
        <w:rPr>
          <w:color w:val="000000"/>
        </w:rPr>
        <w:t xml:space="preserve">et </w:t>
      </w:r>
      <w:r>
        <w:rPr>
          <w:rFonts w:hint="eastAsia"/>
          <w:color w:val="000000"/>
        </w:rPr>
        <w:t>10%.</w:t>
      </w:r>
      <w:r>
        <w:rPr>
          <w:color w:val="000000"/>
        </w:rPr>
        <w:t xml:space="preserve"> Les résultats obtenus en utilisant le modèle de propagation en espace libre sont également montrés pour référence. La distance de séparation requise est au point d'intersection de la courbe obtenue avec le critère de protection de la station </w:t>
      </w:r>
      <w:r>
        <w:rPr>
          <w:szCs w:val="18"/>
        </w:rPr>
        <w:t>du SRA</w:t>
      </w:r>
      <w:r>
        <w:rPr>
          <w:color w:val="000000"/>
        </w:rPr>
        <w:t xml:space="preserve">: </w:t>
      </w:r>
      <w:r>
        <w:rPr>
          <w:color w:val="000000"/>
        </w:rPr>
        <w:sym w:font="Symbol" w:char="F02D"/>
      </w:r>
      <w:r>
        <w:rPr>
          <w:color w:val="000000"/>
        </w:rPr>
        <w:t>168 </w:t>
      </w:r>
      <w:proofErr w:type="gramStart"/>
      <w:r>
        <w:rPr>
          <w:color w:val="000000"/>
        </w:rPr>
        <w:t>dB(</w:t>
      </w:r>
      <w:proofErr w:type="gramEnd"/>
      <w:r>
        <w:rPr>
          <w:color w:val="000000"/>
        </w:rPr>
        <w:t>W/(m</w:t>
      </w:r>
      <w:r>
        <w:rPr>
          <w:color w:val="000000"/>
          <w:vertAlign w:val="superscript"/>
        </w:rPr>
        <w:t>2</w:t>
      </w:r>
      <w:r>
        <w:rPr>
          <w:color w:val="000000"/>
        </w:rPr>
        <w:t> · MHz))</w:t>
      </w:r>
      <w:r>
        <w:rPr>
          <w:rFonts w:hint="eastAsia"/>
          <w:color w:val="000000"/>
        </w:rPr>
        <w:t>.</w:t>
      </w:r>
    </w:p>
    <w:p w:rsidR="00E55EF0" w:rsidRDefault="00E55EF0" w:rsidP="00E55EF0">
      <w:pPr>
        <w:rPr>
          <w:color w:val="000000"/>
        </w:rPr>
      </w:pPr>
      <w:r>
        <w:rPr>
          <w:color w:val="000000"/>
        </w:rPr>
        <w:t xml:space="preserve">Le Tableau 2 récapitule les distances de séparation requises pour différentes valeurs du pourcentage de temps. Les distances de séparation requises quand les antennes de la </w:t>
      </w:r>
      <w:r>
        <w:t xml:space="preserve">station </w:t>
      </w:r>
      <w:r>
        <w:rPr>
          <w:szCs w:val="18"/>
        </w:rPr>
        <w:t>du SRA</w:t>
      </w:r>
      <w:r>
        <w:rPr>
          <w:color w:val="000000"/>
        </w:rPr>
        <w:t xml:space="preserve"> et de la station au sol HAPS se font face en azimut (cas désigné par avant) sont de </w:t>
      </w:r>
      <w:r>
        <w:rPr>
          <w:rFonts w:hint="eastAsia"/>
          <w:color w:val="000000"/>
        </w:rPr>
        <w:t>0</w:t>
      </w:r>
      <w:r>
        <w:rPr>
          <w:color w:val="000000"/>
        </w:rPr>
        <w:t>,</w:t>
      </w:r>
      <w:r>
        <w:rPr>
          <w:rFonts w:hint="eastAsia"/>
          <w:color w:val="000000"/>
        </w:rPr>
        <w:t xml:space="preserve">9 km </w:t>
      </w:r>
      <w:r>
        <w:rPr>
          <w:color w:val="000000"/>
        </w:rPr>
        <w:t>pour</w:t>
      </w:r>
      <w:r>
        <w:rPr>
          <w:rFonts w:hint="eastAsia"/>
          <w:color w:val="000000"/>
        </w:rPr>
        <w:t xml:space="preserve"> Nobeyama </w:t>
      </w:r>
      <w:r>
        <w:rPr>
          <w:color w:val="000000"/>
        </w:rPr>
        <w:t>et</w:t>
      </w:r>
      <w:r>
        <w:rPr>
          <w:rFonts w:hint="eastAsia"/>
          <w:color w:val="000000"/>
        </w:rPr>
        <w:t xml:space="preserve"> Taeduk </w:t>
      </w:r>
      <w:r>
        <w:rPr>
          <w:color w:val="000000"/>
        </w:rPr>
        <w:t>et de</w:t>
      </w:r>
      <w:r>
        <w:rPr>
          <w:rFonts w:hint="eastAsia"/>
          <w:color w:val="000000"/>
        </w:rPr>
        <w:t xml:space="preserve"> 3</w:t>
      </w:r>
      <w:r>
        <w:rPr>
          <w:color w:val="000000"/>
        </w:rPr>
        <w:t>,</w:t>
      </w:r>
      <w:r>
        <w:rPr>
          <w:rFonts w:hint="eastAsia"/>
          <w:color w:val="000000"/>
        </w:rPr>
        <w:t xml:space="preserve">94 km </w:t>
      </w:r>
      <w:r>
        <w:rPr>
          <w:color w:val="000000"/>
        </w:rPr>
        <w:t>pour</w:t>
      </w:r>
      <w:r>
        <w:rPr>
          <w:rFonts w:hint="eastAsia"/>
          <w:color w:val="000000"/>
        </w:rPr>
        <w:t xml:space="preserve"> Delingha</w:t>
      </w:r>
      <w:r>
        <w:rPr>
          <w:color w:val="000000"/>
        </w:rPr>
        <w:t xml:space="preserve"> et ce, même lorsque le modèle de propagation en espace </w:t>
      </w:r>
      <w:r>
        <w:rPr>
          <w:color w:val="000000"/>
        </w:rPr>
        <w:lastRenderedPageBreak/>
        <w:t xml:space="preserve">libre et le pourcentage de temps de 1% sont considérés. Les distances de séparation dans le cas où l'antenne de la station au sol HAPS pointe dans la direction opposée (180°) à la direction de la station </w:t>
      </w:r>
      <w:r>
        <w:rPr>
          <w:szCs w:val="18"/>
        </w:rPr>
        <w:t>du SRA</w:t>
      </w:r>
      <w:r>
        <w:rPr>
          <w:color w:val="000000"/>
        </w:rPr>
        <w:t xml:space="preserve"> (cas désigné par arrière) sont également montrées pour référence.</w:t>
      </w:r>
    </w:p>
    <w:p w:rsidR="00E55EF0" w:rsidRDefault="00E55EF0" w:rsidP="00E55EF0">
      <w:pPr>
        <w:rPr>
          <w:color w:val="000000"/>
        </w:rPr>
      </w:pPr>
      <w:r>
        <w:rPr>
          <w:color w:val="000000"/>
        </w:rPr>
        <w:t xml:space="preserve">La bande de garde requise est calculée en utilisant l'exemple de filtre FI et l'équation (3) donnés au § </w:t>
      </w:r>
      <w:r>
        <w:rPr>
          <w:rFonts w:hint="eastAsia"/>
          <w:color w:val="000000"/>
          <w:lang w:eastAsia="ja-JP"/>
        </w:rPr>
        <w:t>11</w:t>
      </w:r>
      <w:r>
        <w:rPr>
          <w:rFonts w:hint="eastAsia"/>
          <w:color w:val="000000"/>
        </w:rPr>
        <w:t xml:space="preserve"> </w:t>
      </w:r>
      <w:r>
        <w:rPr>
          <w:color w:val="000000"/>
        </w:rPr>
        <w:t>de l'</w:t>
      </w:r>
      <w:r>
        <w:rPr>
          <w:rFonts w:hint="eastAsia"/>
          <w:color w:val="000000"/>
        </w:rPr>
        <w:t>A</w:t>
      </w:r>
      <w:r>
        <w:rPr>
          <w:rFonts w:hint="eastAsia"/>
          <w:color w:val="000000"/>
          <w:lang w:eastAsia="ja-JP"/>
        </w:rPr>
        <w:t>nnex</w:t>
      </w:r>
      <w:r>
        <w:rPr>
          <w:color w:val="000000"/>
          <w:lang w:eastAsia="ja-JP"/>
        </w:rPr>
        <w:t>e</w:t>
      </w:r>
      <w:r>
        <w:rPr>
          <w:rFonts w:hint="eastAsia"/>
          <w:color w:val="000000"/>
        </w:rPr>
        <w:t xml:space="preserve"> 1</w:t>
      </w:r>
      <w:r>
        <w:rPr>
          <w:rFonts w:hint="eastAsia"/>
          <w:color w:val="000000"/>
          <w:lang w:eastAsia="ja-JP"/>
        </w:rPr>
        <w:t xml:space="preserve"> </w:t>
      </w:r>
      <w:r>
        <w:rPr>
          <w:color w:val="000000"/>
          <w:lang w:eastAsia="ja-JP"/>
        </w:rPr>
        <w:t xml:space="preserve">de la </w:t>
      </w:r>
      <w:r>
        <w:rPr>
          <w:color w:val="000000"/>
          <w:lang w:val="fr-CH" w:eastAsia="ja-JP"/>
        </w:rPr>
        <w:t>Recommandation</w:t>
      </w:r>
      <w:r>
        <w:rPr>
          <w:rFonts w:hint="eastAsia"/>
          <w:color w:val="000000"/>
          <w:lang w:eastAsia="ja-JP"/>
        </w:rPr>
        <w:t xml:space="preserve"> </w:t>
      </w:r>
      <w:r>
        <w:rPr>
          <w:color w:val="000000"/>
          <w:lang w:eastAsia="ja-JP"/>
        </w:rPr>
        <w:t>UIT</w:t>
      </w:r>
      <w:r>
        <w:rPr>
          <w:rFonts w:hint="eastAsia"/>
          <w:color w:val="000000"/>
          <w:lang w:eastAsia="ja-JP"/>
        </w:rPr>
        <w:t>-R F.</w:t>
      </w:r>
      <w:r>
        <w:rPr>
          <w:color w:val="000000"/>
          <w:lang w:eastAsia="ja-JP"/>
        </w:rPr>
        <w:t>1569</w:t>
      </w:r>
      <w:r>
        <w:rPr>
          <w:rFonts w:hint="eastAsia"/>
          <w:color w:val="000000"/>
        </w:rPr>
        <w:t>.</w:t>
      </w:r>
      <w:r>
        <w:rPr>
          <w:color w:val="000000"/>
        </w:rPr>
        <w:t xml:space="preserve"> Le niveau de bruit thermique à l'entrée du module radiofréquence est utilisé comme niveau minimum pour déterminer </w:t>
      </w:r>
      <w:r>
        <w:rPr>
          <w:i/>
          <w:iCs/>
          <w:color w:val="000000"/>
        </w:rPr>
        <w:t>f</w:t>
      </w:r>
      <w:r>
        <w:rPr>
          <w:i/>
          <w:iCs/>
          <w:vertAlign w:val="subscript"/>
        </w:rPr>
        <w:t>pmt</w:t>
      </w:r>
      <w:r>
        <w:rPr>
          <w:rFonts w:hint="eastAsia"/>
        </w:rPr>
        <w:t>.</w:t>
      </w:r>
      <w:r>
        <w:rPr>
          <w:color w:val="000000"/>
        </w:rPr>
        <w:t xml:space="preserve"> La largeur de la bande de garde requise est de 10 MHz pour un filtre FI avec une largeur de bande de 20,2 MHz (</w:t>
      </w:r>
      <w:r>
        <w:rPr>
          <w:color w:val="000000"/>
        </w:rPr>
        <w:sym w:font="Symbol" w:char="F02D"/>
      </w:r>
      <w:r>
        <w:rPr>
          <w:color w:val="000000"/>
        </w:rPr>
        <w:t>3 dB). Cette bande de garde dépend de la largeur de bande du signal et des caractéristiques d'affaiblissement du filtre passe-bande FI.</w:t>
      </w:r>
    </w:p>
    <w:p w:rsidR="00E55EF0" w:rsidRDefault="00E55EF0" w:rsidP="00E55EF0">
      <w:pPr>
        <w:pStyle w:val="Heading2"/>
      </w:pPr>
      <w:r>
        <w:t>1.2</w:t>
      </w:r>
      <w:r>
        <w:tab/>
        <w:t>Brouillage cumulatif</w:t>
      </w:r>
    </w:p>
    <w:p w:rsidR="00E55EF0" w:rsidRDefault="00E55EF0" w:rsidP="00E55EF0">
      <w:r>
        <w:t xml:space="preserve">Dans le cas du brouillage cumulatif dans les conditions décrites au § 3.2 de l'Annexe 1, on suppose qu'il n'y a pas d'émission par le système HAPS dans la cellule incluant la </w:t>
      </w:r>
      <w:r>
        <w:rPr>
          <w:lang w:val="fr-CH"/>
        </w:rPr>
        <w:t>station du SRA</w:t>
      </w:r>
      <w:r>
        <w:t xml:space="preserve">. Les Fig. 4a) à 4d) montrent la valeur pondérée totale </w:t>
      </w:r>
      <w:r>
        <w:rPr>
          <w:color w:val="000000"/>
        </w:rPr>
        <w:t xml:space="preserve">"de la </w:t>
      </w:r>
      <w:r>
        <w:rPr>
          <w:color w:val="000000"/>
          <w:lang w:val="fr-CH"/>
        </w:rPr>
        <w:t>puissance surfacique reçue</w:t>
      </w:r>
      <w:r>
        <w:rPr>
          <w:color w:val="000000"/>
        </w:rPr>
        <w:t xml:space="preserve">" </w:t>
      </w:r>
      <w:r>
        <w:rPr>
          <w:color w:val="000000"/>
          <w:lang w:val="fr-CH"/>
        </w:rPr>
        <w:t xml:space="preserve">plus </w:t>
      </w:r>
      <w:r>
        <w:rPr>
          <w:color w:val="000000"/>
        </w:rPr>
        <w:t xml:space="preserve">"le </w:t>
      </w:r>
      <w:r>
        <w:rPr>
          <w:color w:val="000000"/>
          <w:lang w:val="fr-CH"/>
        </w:rPr>
        <w:t xml:space="preserve">gain de l'antenne de la station </w:t>
      </w:r>
      <w:r>
        <w:rPr>
          <w:lang w:val="fr-CH"/>
        </w:rPr>
        <w:t>du SRA</w:t>
      </w:r>
      <w:r>
        <w:rPr>
          <w:color w:val="000000"/>
        </w:rPr>
        <w:t>"</w:t>
      </w:r>
      <w:r>
        <w:rPr>
          <w:color w:val="000000"/>
          <w:lang w:val="fr-CH"/>
        </w:rPr>
        <w:t xml:space="preserve"> </w:t>
      </w:r>
      <w:r>
        <w:t xml:space="preserve">lorsque l'antenne de la station </w:t>
      </w:r>
      <w:r>
        <w:rPr>
          <w:lang w:val="fr-CH"/>
        </w:rPr>
        <w:t>du SRA</w:t>
      </w:r>
      <w:r>
        <w:t xml:space="preserve"> pointe vers le point A ou O.</w:t>
      </w:r>
      <w:r>
        <w:rPr>
          <w:b/>
          <w:bCs/>
        </w:rPr>
        <w:t xml:space="preserve"> </w:t>
      </w:r>
      <w:r>
        <w:t xml:space="preserve">De plus, l'élévation opérationnelle minimale est de 5° ou 15° et la </w:t>
      </w:r>
      <w:r>
        <w:rPr>
          <w:color w:val="000000"/>
        </w:rPr>
        <w:t>"</w:t>
      </w:r>
      <w:r>
        <w:t xml:space="preserve">coordonnée Y de la station </w:t>
      </w:r>
      <w:r>
        <w:rPr>
          <w:lang w:val="fr-CH"/>
        </w:rPr>
        <w:t>du SRA</w:t>
      </w:r>
      <w:r>
        <w:rPr>
          <w:color w:val="000000"/>
        </w:rPr>
        <w:t xml:space="preserve">" </w:t>
      </w:r>
      <w:r>
        <w:t xml:space="preserve">donne la distance qui sépare cette station du nadir O. Les termes </w:t>
      </w:r>
      <w:r>
        <w:rPr>
          <w:color w:val="000000"/>
        </w:rPr>
        <w:t>"</w:t>
      </w:r>
      <w:r>
        <w:t>zone principale</w:t>
      </w:r>
      <w:r>
        <w:rPr>
          <w:color w:val="000000"/>
        </w:rPr>
        <w:t>"</w:t>
      </w:r>
      <w:r>
        <w:t xml:space="preserve"> et </w:t>
      </w:r>
      <w:r>
        <w:rPr>
          <w:color w:val="000000"/>
        </w:rPr>
        <w:t>"</w:t>
      </w:r>
      <w:r>
        <w:t>zones secondaires</w:t>
      </w:r>
      <w:r>
        <w:rPr>
          <w:color w:val="000000"/>
        </w:rPr>
        <w:t>"</w:t>
      </w:r>
      <w:r>
        <w:t xml:space="preserve"> sont définis dans la Fig. 2. Ainsi qu'il est montré dans ces Figures, la valeur cumulative de </w:t>
      </w:r>
      <w:r>
        <w:rPr>
          <w:color w:val="000000"/>
        </w:rPr>
        <w:t>"</w:t>
      </w:r>
      <w:r>
        <w:rPr>
          <w:color w:val="000000"/>
          <w:lang w:val="fr-CH"/>
        </w:rPr>
        <w:t>la puissance surfacique reçue</w:t>
      </w:r>
      <w:r>
        <w:rPr>
          <w:color w:val="000000"/>
        </w:rPr>
        <w:t>"</w:t>
      </w:r>
      <w:r>
        <w:rPr>
          <w:color w:val="000000"/>
          <w:lang w:val="fr-CH"/>
        </w:rPr>
        <w:t xml:space="preserve"> plus celle du </w:t>
      </w:r>
      <w:r>
        <w:rPr>
          <w:color w:val="000000"/>
        </w:rPr>
        <w:t>"</w:t>
      </w:r>
      <w:r>
        <w:rPr>
          <w:color w:val="000000"/>
          <w:lang w:val="fr-CH"/>
        </w:rPr>
        <w:t xml:space="preserve">gain de l'antenne de </w:t>
      </w:r>
      <w:r>
        <w:t xml:space="preserve">la </w:t>
      </w:r>
      <w:r>
        <w:rPr>
          <w:lang w:val="fr-CH"/>
        </w:rPr>
        <w:t>station du SRA</w:t>
      </w:r>
      <w:r>
        <w:rPr>
          <w:color w:val="000000"/>
        </w:rPr>
        <w:t>"</w:t>
      </w:r>
      <w:r>
        <w:rPr>
          <w:color w:val="000000"/>
          <w:lang w:val="fr-CH"/>
        </w:rPr>
        <w:t xml:space="preserve"> n'excède pas le critère du brouillage admissible de la station </w:t>
      </w:r>
      <w:r>
        <w:rPr>
          <w:lang w:val="fr-CH"/>
        </w:rPr>
        <w:t>du SRA</w:t>
      </w:r>
      <w:r>
        <w:rPr>
          <w:color w:val="000000"/>
          <w:lang w:val="fr-CH"/>
        </w:rPr>
        <w:t xml:space="preserve"> soit </w:t>
      </w:r>
      <w:r>
        <w:rPr>
          <w:color w:val="000000"/>
        </w:rPr>
        <w:sym w:font="Symbol" w:char="F02D"/>
      </w:r>
      <w:r>
        <w:rPr>
          <w:color w:val="000000"/>
        </w:rPr>
        <w:t>168</w:t>
      </w:r>
      <w:r>
        <w:rPr>
          <w:b/>
          <w:color w:val="000000"/>
        </w:rPr>
        <w:t> </w:t>
      </w:r>
      <w:proofErr w:type="gramStart"/>
      <w:r>
        <w:rPr>
          <w:color w:val="000000"/>
        </w:rPr>
        <w:t>dB(</w:t>
      </w:r>
      <w:proofErr w:type="gramEnd"/>
      <w:r>
        <w:rPr>
          <w:color w:val="000000"/>
        </w:rPr>
        <w:t>W/(m</w:t>
      </w:r>
      <w:r>
        <w:rPr>
          <w:color w:val="000000"/>
          <w:vertAlign w:val="superscript"/>
        </w:rPr>
        <w:t>2</w:t>
      </w:r>
      <w:r>
        <w:rPr>
          <w:color w:val="000000"/>
        </w:rPr>
        <w:t> · MHz)), excepté dans le cas de la Fig. 4d).</w:t>
      </w:r>
    </w:p>
    <w:p w:rsidR="00E55EF0" w:rsidRDefault="00E55EF0" w:rsidP="00E55EF0">
      <w:pPr>
        <w:rPr>
          <w:color w:val="000000"/>
          <w:lang w:val="fr-CH"/>
        </w:rPr>
      </w:pPr>
      <w:r>
        <w:t xml:space="preserve">La Fig. 4d), examinant le cas très particulier d'une antenne d'élévation 5°, montre que le total de </w:t>
      </w:r>
      <w:r>
        <w:rPr>
          <w:color w:val="000000"/>
        </w:rPr>
        <w:t xml:space="preserve">"la puissance surfacique </w:t>
      </w:r>
      <w:r>
        <w:rPr>
          <w:color w:val="000000"/>
          <w:lang w:val="fr-CH"/>
        </w:rPr>
        <w:t>reçue</w:t>
      </w:r>
      <w:r>
        <w:rPr>
          <w:color w:val="000000"/>
        </w:rPr>
        <w:t>"</w:t>
      </w:r>
      <w:r>
        <w:rPr>
          <w:color w:val="000000"/>
          <w:lang w:val="fr-CH"/>
        </w:rPr>
        <w:t xml:space="preserve"> plus </w:t>
      </w:r>
      <w:r>
        <w:rPr>
          <w:color w:val="000000"/>
        </w:rPr>
        <w:t>le "</w:t>
      </w:r>
      <w:r>
        <w:rPr>
          <w:color w:val="000000"/>
          <w:lang w:val="fr-CH"/>
        </w:rPr>
        <w:t xml:space="preserve">gain de l'antenne de </w:t>
      </w:r>
      <w:r>
        <w:t xml:space="preserve">la </w:t>
      </w:r>
      <w:r>
        <w:rPr>
          <w:lang w:val="fr-CH"/>
        </w:rPr>
        <w:t>station du SRA</w:t>
      </w:r>
      <w:r>
        <w:rPr>
          <w:color w:val="000000"/>
        </w:rPr>
        <w:t>"</w:t>
      </w:r>
      <w:r>
        <w:rPr>
          <w:color w:val="000000"/>
          <w:lang w:val="fr-CH"/>
        </w:rPr>
        <w:t xml:space="preserve"> excède le critère de protection. Ceci est dû au fait qu'ici, les deux antennes, celle de la station </w:t>
      </w:r>
      <w:r>
        <w:rPr>
          <w:lang w:val="fr-CH"/>
        </w:rPr>
        <w:t>du SRA</w:t>
      </w:r>
      <w:r>
        <w:rPr>
          <w:color w:val="000000"/>
          <w:lang w:val="fr-CH"/>
        </w:rPr>
        <w:t xml:space="preserve"> et celle de la station au sol HAPS, sont en face à face et ne sont séparées que par une courte distance.</w:t>
      </w:r>
    </w:p>
    <w:p w:rsidR="00E55EF0" w:rsidRDefault="00E55EF0" w:rsidP="00E55EF0">
      <w:pPr>
        <w:pStyle w:val="TableNo"/>
        <w:spacing w:before="400"/>
        <w:rPr>
          <w:lang w:val="fr-CH" w:eastAsia="ja-JP"/>
        </w:rPr>
      </w:pPr>
      <w:r>
        <w:rPr>
          <w:rFonts w:hint="eastAsia"/>
          <w:lang w:val="fr-CH"/>
        </w:rPr>
        <w:t>TABLE</w:t>
      </w:r>
      <w:r>
        <w:rPr>
          <w:lang w:val="fr-CH"/>
        </w:rPr>
        <w:t xml:space="preserve">AU </w:t>
      </w:r>
      <w:r>
        <w:rPr>
          <w:rFonts w:hint="eastAsia"/>
          <w:lang w:val="fr-CH"/>
        </w:rPr>
        <w:t xml:space="preserve"> </w:t>
      </w:r>
      <w:r>
        <w:rPr>
          <w:rFonts w:hint="eastAsia"/>
          <w:lang w:val="fr-CH" w:eastAsia="ja-JP"/>
        </w:rPr>
        <w:t>2</w:t>
      </w:r>
    </w:p>
    <w:p w:rsidR="00E55EF0" w:rsidRDefault="00E55EF0" w:rsidP="00E55EF0">
      <w:pPr>
        <w:pStyle w:val="Tabletitle"/>
        <w:rPr>
          <w:lang w:val="fr-CH"/>
        </w:rPr>
      </w:pPr>
      <w:r>
        <w:rPr>
          <w:lang w:val="fr-CH"/>
        </w:rPr>
        <w:t>Distances de séparation requises entre une station au sol HAPS et une station</w:t>
      </w:r>
      <w:r>
        <w:rPr>
          <w:lang w:val="fr-CH"/>
        </w:rPr>
        <w:br/>
      </w:r>
      <w:r>
        <w:rPr>
          <w:szCs w:val="18"/>
        </w:rPr>
        <w:t>du SRA</w:t>
      </w:r>
      <w:r>
        <w:rPr>
          <w:lang w:val="fr-CH"/>
        </w:rPr>
        <w:t xml:space="preserve"> dans le cas d'un brouillage par une source unique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276"/>
        <w:gridCol w:w="3686"/>
        <w:gridCol w:w="1134"/>
        <w:gridCol w:w="1134"/>
        <w:gridCol w:w="1134"/>
      </w:tblGrid>
      <w:tr w:rsidR="00E55EF0" w:rsidTr="00E55EF0">
        <w:trPr>
          <w:jc w:val="center"/>
        </w:trPr>
        <w:tc>
          <w:tcPr>
            <w:tcW w:w="1276" w:type="dxa"/>
            <w:tcBorders>
              <w:bottom w:val="nil"/>
              <w:right w:val="nil"/>
            </w:tcBorders>
          </w:tcPr>
          <w:p w:rsidR="00E55EF0" w:rsidRDefault="00E55EF0" w:rsidP="00E55EF0">
            <w:pPr>
              <w:pStyle w:val="Tablehead"/>
              <w:framePr w:hSpace="181" w:wrap="notBeside" w:vAnchor="text" w:hAnchor="text" w:xAlign="center" w:y="1"/>
              <w:rPr>
                <w:lang w:val="fr-CH"/>
              </w:rPr>
            </w:pPr>
          </w:p>
        </w:tc>
        <w:tc>
          <w:tcPr>
            <w:tcW w:w="1276" w:type="dxa"/>
            <w:tcBorders>
              <w:left w:val="nil"/>
              <w:right w:val="nil"/>
            </w:tcBorders>
          </w:tcPr>
          <w:p w:rsidR="00E55EF0" w:rsidRDefault="00E55EF0" w:rsidP="00E55EF0">
            <w:pPr>
              <w:pStyle w:val="Tablehead"/>
              <w:framePr w:hSpace="181" w:wrap="notBeside" w:vAnchor="text" w:hAnchor="text" w:xAlign="center" w:y="1"/>
              <w:rPr>
                <w:lang w:val="fr-CH"/>
              </w:rPr>
            </w:pPr>
          </w:p>
        </w:tc>
        <w:tc>
          <w:tcPr>
            <w:tcW w:w="3686" w:type="dxa"/>
            <w:tcBorders>
              <w:left w:val="nil"/>
            </w:tcBorders>
          </w:tcPr>
          <w:p w:rsidR="00E55EF0" w:rsidRDefault="00E55EF0" w:rsidP="00E55EF0">
            <w:pPr>
              <w:pStyle w:val="Tablehead"/>
              <w:framePr w:hSpace="181" w:wrap="notBeside" w:vAnchor="text" w:hAnchor="text" w:xAlign="center" w:y="1"/>
              <w:rPr>
                <w:lang w:val="fr-CH"/>
              </w:rPr>
            </w:pPr>
          </w:p>
        </w:tc>
        <w:tc>
          <w:tcPr>
            <w:tcW w:w="3402" w:type="dxa"/>
            <w:gridSpan w:val="3"/>
          </w:tcPr>
          <w:p w:rsidR="00E55EF0" w:rsidRDefault="00E55EF0" w:rsidP="00E55EF0">
            <w:pPr>
              <w:pStyle w:val="Tablehead"/>
              <w:framePr w:hSpace="181" w:wrap="notBeside" w:vAnchor="text" w:hAnchor="text" w:xAlign="center" w:y="1"/>
              <w:rPr>
                <w:lang w:val="fr-CH"/>
              </w:rPr>
            </w:pPr>
            <w:r>
              <w:rPr>
                <w:rFonts w:eastAsia="MS PGothic"/>
                <w:lang w:val="fr-CH"/>
              </w:rPr>
              <w:t>Séparation requise par rapport</w:t>
            </w:r>
            <w:r>
              <w:rPr>
                <w:rFonts w:eastAsia="MS PGothic"/>
                <w:lang w:val="fr-CH"/>
              </w:rPr>
              <w:br/>
              <w:t xml:space="preserve">à la station au sol </w:t>
            </w:r>
            <w:proofErr w:type="gramStart"/>
            <w:r>
              <w:rPr>
                <w:rFonts w:eastAsia="MS PGothic"/>
                <w:lang w:val="fr-CH"/>
              </w:rPr>
              <w:t>HAPS</w:t>
            </w:r>
            <w:proofErr w:type="gramEnd"/>
            <w:r>
              <w:rPr>
                <w:rFonts w:eastAsia="MS PGothic"/>
                <w:lang w:val="fr-CH"/>
              </w:rPr>
              <w:br/>
              <w:t>(km)</w:t>
            </w:r>
          </w:p>
        </w:tc>
      </w:tr>
      <w:tr w:rsidR="00E55EF0" w:rsidTr="00E55EF0">
        <w:trPr>
          <w:jc w:val="center"/>
        </w:trPr>
        <w:tc>
          <w:tcPr>
            <w:tcW w:w="1276" w:type="dxa"/>
            <w:tcBorders>
              <w:top w:val="nil"/>
            </w:tcBorders>
          </w:tcPr>
          <w:p w:rsidR="00E55EF0" w:rsidRDefault="00E55EF0" w:rsidP="00E55EF0">
            <w:pPr>
              <w:pStyle w:val="Tablehead"/>
              <w:framePr w:hSpace="181" w:wrap="notBeside" w:vAnchor="text" w:hAnchor="text" w:xAlign="center" w:y="1"/>
              <w:rPr>
                <w:lang w:val="fr-CH"/>
              </w:rPr>
            </w:pPr>
          </w:p>
        </w:tc>
        <w:tc>
          <w:tcPr>
            <w:tcW w:w="1276" w:type="dxa"/>
            <w:vAlign w:val="center"/>
          </w:tcPr>
          <w:p w:rsidR="00E55EF0" w:rsidRDefault="00E55EF0" w:rsidP="00E55EF0">
            <w:pPr>
              <w:pStyle w:val="Tablehead"/>
              <w:framePr w:hSpace="181" w:wrap="notBeside" w:vAnchor="text" w:hAnchor="text" w:xAlign="center" w:y="1"/>
              <w:rPr>
                <w:lang w:val="fr-CH"/>
              </w:rPr>
            </w:pPr>
            <w:r>
              <w:rPr>
                <w:rFonts w:eastAsia="MS PGothic"/>
                <w:lang w:val="fr-CH"/>
              </w:rPr>
              <w:t>Direction</w:t>
            </w:r>
            <w:r>
              <w:rPr>
                <w:rFonts w:eastAsia="MS PGothic"/>
                <w:vertAlign w:val="superscript"/>
                <w:lang w:val="fr-CH"/>
              </w:rPr>
              <w:t>(1)</w:t>
            </w:r>
          </w:p>
        </w:tc>
        <w:tc>
          <w:tcPr>
            <w:tcW w:w="3686" w:type="dxa"/>
            <w:vAlign w:val="center"/>
          </w:tcPr>
          <w:p w:rsidR="00E55EF0" w:rsidRDefault="00E55EF0" w:rsidP="00E55EF0">
            <w:pPr>
              <w:pStyle w:val="Tablehead"/>
              <w:framePr w:hSpace="181" w:wrap="notBeside" w:vAnchor="text" w:hAnchor="text" w:xAlign="center" w:y="1"/>
              <w:rPr>
                <w:lang w:val="fr-CH"/>
              </w:rPr>
            </w:pPr>
            <w:r>
              <w:rPr>
                <w:rFonts w:eastAsia="MS PGothic"/>
                <w:lang w:val="fr-CH"/>
              </w:rPr>
              <w:t xml:space="preserve">Pourcentage de temps </w:t>
            </w:r>
            <w:r>
              <w:rPr>
                <w:rFonts w:eastAsia="MS PGothic"/>
                <w:i/>
                <w:iCs/>
                <w:lang w:val="fr-CH"/>
              </w:rPr>
              <w:t>p</w:t>
            </w:r>
            <w:r>
              <w:rPr>
                <w:rFonts w:eastAsia="MS PGothic"/>
                <w:i/>
                <w:iCs/>
                <w:lang w:val="fr-CH"/>
              </w:rPr>
              <w:br/>
            </w:r>
            <w:r>
              <w:rPr>
                <w:rFonts w:eastAsia="MS PGothic"/>
                <w:lang w:val="fr-CH"/>
              </w:rPr>
              <w:t>(%)</w:t>
            </w:r>
          </w:p>
        </w:tc>
        <w:tc>
          <w:tcPr>
            <w:tcW w:w="1134" w:type="dxa"/>
            <w:vAlign w:val="center"/>
          </w:tcPr>
          <w:p w:rsidR="00E55EF0" w:rsidRDefault="00E55EF0" w:rsidP="00E55EF0">
            <w:pPr>
              <w:pStyle w:val="Tablehead"/>
              <w:framePr w:hSpace="181" w:wrap="notBeside" w:vAnchor="text" w:hAnchor="text" w:xAlign="center" w:y="1"/>
              <w:rPr>
                <w:lang w:val="fr-CH"/>
              </w:rPr>
            </w:pPr>
            <w:r>
              <w:rPr>
                <w:rFonts w:eastAsia="MS PGothic"/>
                <w:lang w:val="fr-CH"/>
              </w:rPr>
              <w:t>0,001</w:t>
            </w:r>
          </w:p>
        </w:tc>
        <w:tc>
          <w:tcPr>
            <w:tcW w:w="1134" w:type="dxa"/>
            <w:vAlign w:val="center"/>
          </w:tcPr>
          <w:p w:rsidR="00E55EF0" w:rsidRDefault="00E55EF0" w:rsidP="00E55EF0">
            <w:pPr>
              <w:pStyle w:val="Tablehead"/>
              <w:framePr w:hSpace="181" w:wrap="notBeside" w:vAnchor="text" w:hAnchor="text" w:xAlign="center" w:y="1"/>
              <w:rPr>
                <w:lang w:val="fr-CH"/>
              </w:rPr>
            </w:pPr>
            <w:r>
              <w:rPr>
                <w:rFonts w:eastAsia="MS PGothic"/>
                <w:lang w:val="fr-CH"/>
              </w:rPr>
              <w:t>1</w:t>
            </w:r>
          </w:p>
        </w:tc>
        <w:tc>
          <w:tcPr>
            <w:tcW w:w="1134" w:type="dxa"/>
            <w:vAlign w:val="center"/>
          </w:tcPr>
          <w:p w:rsidR="00E55EF0" w:rsidRDefault="00E55EF0" w:rsidP="00E55EF0">
            <w:pPr>
              <w:pStyle w:val="Tablehead"/>
              <w:framePr w:hSpace="181" w:wrap="notBeside" w:vAnchor="text" w:hAnchor="text" w:xAlign="center" w:y="1"/>
              <w:rPr>
                <w:lang w:val="fr-CH"/>
              </w:rPr>
            </w:pPr>
            <w:r>
              <w:rPr>
                <w:rFonts w:eastAsia="MS PGothic"/>
                <w:lang w:val="fr-CH"/>
              </w:rPr>
              <w:t>10</w:t>
            </w:r>
          </w:p>
        </w:tc>
      </w:tr>
      <w:tr w:rsidR="00E55EF0" w:rsidTr="00E55EF0">
        <w:trPr>
          <w:cantSplit/>
          <w:jc w:val="center"/>
        </w:trPr>
        <w:tc>
          <w:tcPr>
            <w:tcW w:w="1276" w:type="dxa"/>
            <w:vMerge w:val="restart"/>
          </w:tcPr>
          <w:p w:rsidR="00E55EF0" w:rsidRDefault="00E55EF0" w:rsidP="00E55EF0">
            <w:pPr>
              <w:pStyle w:val="Tabletext"/>
              <w:framePr w:hSpace="181" w:wrap="notBeside" w:vAnchor="text" w:hAnchor="text" w:xAlign="center" w:y="1"/>
              <w:rPr>
                <w:lang w:val="fr-CH"/>
              </w:rPr>
            </w:pPr>
            <w:r>
              <w:rPr>
                <w:rFonts w:eastAsia="MS PGothic"/>
                <w:color w:val="000000"/>
                <w:lang w:val="fr-CH"/>
              </w:rPr>
              <w:t>Nobeyama</w:t>
            </w:r>
            <w:r>
              <w:rPr>
                <w:rFonts w:eastAsia="MS PGothic" w:hint="eastAsia"/>
                <w:color w:val="000000"/>
                <w:lang w:val="fr-CH"/>
              </w:rPr>
              <w:t xml:space="preserve">, </w:t>
            </w:r>
            <w:r>
              <w:rPr>
                <w:rFonts w:eastAsia="MS PGothic"/>
                <w:color w:val="000000"/>
                <w:lang w:val="fr-CH"/>
              </w:rPr>
              <w:t>Taeduk</w:t>
            </w:r>
          </w:p>
        </w:tc>
        <w:tc>
          <w:tcPr>
            <w:tcW w:w="1276" w:type="dxa"/>
          </w:tcPr>
          <w:p w:rsidR="00E55EF0" w:rsidRDefault="00E55EF0" w:rsidP="00E55EF0">
            <w:pPr>
              <w:pStyle w:val="Tabletext"/>
              <w:framePr w:hSpace="181" w:wrap="notBeside" w:vAnchor="text" w:hAnchor="text" w:xAlign="center" w:y="1"/>
              <w:rPr>
                <w:lang w:val="fr-CH"/>
              </w:rPr>
            </w:pPr>
            <w:r>
              <w:rPr>
                <w:rFonts w:eastAsia="MS PGothic"/>
                <w:color w:val="000000"/>
                <w:lang w:val="fr-CH"/>
              </w:rPr>
              <w:t>Avant</w:t>
            </w:r>
          </w:p>
        </w:tc>
        <w:tc>
          <w:tcPr>
            <w:tcW w:w="3686" w:type="dxa"/>
          </w:tcPr>
          <w:p w:rsidR="00E55EF0" w:rsidRDefault="00E55EF0" w:rsidP="00E55EF0">
            <w:pPr>
              <w:pStyle w:val="Tabletext"/>
              <w:framePr w:hSpace="181" w:wrap="notBeside" w:vAnchor="text" w:hAnchor="text" w:xAlign="center" w:y="1"/>
              <w:rPr>
                <w:lang w:val="fr-CH"/>
              </w:rPr>
            </w:pPr>
            <w:r>
              <w:rPr>
                <w:rFonts w:eastAsia="MS PGothic"/>
                <w:color w:val="000000"/>
                <w:lang w:val="fr-CH"/>
              </w:rPr>
              <w:t>Visibilité directe</w:t>
            </w:r>
            <w:r>
              <w:rPr>
                <w:rFonts w:eastAsia="MS PGothic" w:hint="eastAsia"/>
                <w:color w:val="000000"/>
                <w:lang w:val="fr-CH"/>
              </w:rPr>
              <w:t xml:space="preserve"> </w:t>
            </w:r>
            <w:r>
              <w:rPr>
                <w:rFonts w:eastAsia="MS PGothic"/>
                <w:color w:val="000000"/>
                <w:lang w:val="fr-CH"/>
              </w:rPr>
              <w:t>(y compris brouillage cumulatif)</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0,99</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0,90</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0,88</w:t>
            </w:r>
          </w:p>
        </w:tc>
      </w:tr>
      <w:tr w:rsidR="00E55EF0" w:rsidTr="00E55EF0">
        <w:trPr>
          <w:cantSplit/>
          <w:jc w:val="center"/>
        </w:trPr>
        <w:tc>
          <w:tcPr>
            <w:tcW w:w="1276" w:type="dxa"/>
            <w:vMerge/>
          </w:tcPr>
          <w:p w:rsidR="00E55EF0" w:rsidRDefault="00E55EF0" w:rsidP="00E55EF0">
            <w:pPr>
              <w:pStyle w:val="Tabletext"/>
              <w:framePr w:hSpace="181" w:wrap="notBeside" w:vAnchor="text" w:hAnchor="text" w:xAlign="center" w:y="1"/>
              <w:rPr>
                <w:lang w:val="fr-CH"/>
              </w:rPr>
            </w:pPr>
          </w:p>
        </w:tc>
        <w:tc>
          <w:tcPr>
            <w:tcW w:w="1276" w:type="dxa"/>
          </w:tcPr>
          <w:p w:rsidR="00E55EF0" w:rsidRDefault="00E55EF0" w:rsidP="00E55EF0">
            <w:pPr>
              <w:pStyle w:val="Tabletext"/>
              <w:framePr w:hSpace="181" w:wrap="notBeside" w:vAnchor="text" w:hAnchor="text" w:xAlign="center" w:y="1"/>
              <w:rPr>
                <w:lang w:val="fr-CH"/>
              </w:rPr>
            </w:pPr>
            <w:r>
              <w:rPr>
                <w:rFonts w:eastAsia="MS PGothic"/>
                <w:color w:val="000000"/>
                <w:lang w:val="fr-CH"/>
              </w:rPr>
              <w:t>Arrière</w:t>
            </w:r>
          </w:p>
        </w:tc>
        <w:tc>
          <w:tcPr>
            <w:tcW w:w="3686" w:type="dxa"/>
          </w:tcPr>
          <w:p w:rsidR="00E55EF0" w:rsidRDefault="00E55EF0" w:rsidP="00E55EF0">
            <w:pPr>
              <w:pStyle w:val="Tabletext"/>
              <w:framePr w:hSpace="181" w:wrap="notBeside" w:vAnchor="text" w:hAnchor="text" w:xAlign="center" w:y="1"/>
              <w:rPr>
                <w:lang w:val="fr-CH"/>
              </w:rPr>
            </w:pPr>
            <w:r>
              <w:rPr>
                <w:rFonts w:eastAsia="MS PGothic"/>
                <w:color w:val="000000"/>
                <w:lang w:val="fr-CH"/>
              </w:rPr>
              <w:t>Visibilité directe</w:t>
            </w:r>
            <w:r>
              <w:rPr>
                <w:rFonts w:eastAsia="MS PGothic" w:hint="eastAsia"/>
                <w:color w:val="000000"/>
                <w:lang w:val="fr-CH"/>
              </w:rPr>
              <w:t xml:space="preserve"> </w:t>
            </w:r>
            <w:r>
              <w:rPr>
                <w:rFonts w:eastAsia="MS PGothic"/>
                <w:color w:val="000000"/>
                <w:lang w:val="fr-CH"/>
              </w:rPr>
              <w:t>(y compris brouillage cumulatif)</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0,31</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0,30</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0,30</w:t>
            </w:r>
          </w:p>
        </w:tc>
      </w:tr>
      <w:tr w:rsidR="00E55EF0" w:rsidTr="00E55EF0">
        <w:trPr>
          <w:cantSplit/>
          <w:jc w:val="center"/>
        </w:trPr>
        <w:tc>
          <w:tcPr>
            <w:tcW w:w="1276" w:type="dxa"/>
            <w:vMerge w:val="restart"/>
          </w:tcPr>
          <w:p w:rsidR="00E55EF0" w:rsidRDefault="00E55EF0" w:rsidP="00E55EF0">
            <w:pPr>
              <w:pStyle w:val="Tabletext"/>
              <w:framePr w:hSpace="181" w:wrap="notBeside" w:vAnchor="text" w:hAnchor="text" w:xAlign="center" w:y="1"/>
              <w:rPr>
                <w:lang w:val="fr-CH"/>
              </w:rPr>
            </w:pPr>
            <w:r>
              <w:rPr>
                <w:rFonts w:eastAsia="MS PGothic"/>
                <w:color w:val="000000"/>
                <w:lang w:val="fr-CH"/>
              </w:rPr>
              <w:t>Delingha</w:t>
            </w:r>
          </w:p>
        </w:tc>
        <w:tc>
          <w:tcPr>
            <w:tcW w:w="1276" w:type="dxa"/>
          </w:tcPr>
          <w:p w:rsidR="00E55EF0" w:rsidRDefault="00E55EF0" w:rsidP="00E55EF0">
            <w:pPr>
              <w:pStyle w:val="Tabletext"/>
              <w:framePr w:hSpace="181" w:wrap="notBeside" w:vAnchor="text" w:hAnchor="text" w:xAlign="center" w:y="1"/>
              <w:rPr>
                <w:lang w:val="fr-CH"/>
              </w:rPr>
            </w:pPr>
            <w:r>
              <w:rPr>
                <w:rFonts w:eastAsia="MS PGothic"/>
                <w:color w:val="000000"/>
                <w:lang w:val="fr-CH"/>
              </w:rPr>
              <w:t>Avant</w:t>
            </w:r>
          </w:p>
        </w:tc>
        <w:tc>
          <w:tcPr>
            <w:tcW w:w="3686" w:type="dxa"/>
          </w:tcPr>
          <w:p w:rsidR="00E55EF0" w:rsidRDefault="00E55EF0" w:rsidP="00E55EF0">
            <w:pPr>
              <w:pStyle w:val="Tabletext"/>
              <w:framePr w:hSpace="181" w:wrap="notBeside" w:vAnchor="text" w:hAnchor="text" w:xAlign="center" w:y="1"/>
              <w:rPr>
                <w:lang w:val="fr-CH"/>
              </w:rPr>
            </w:pPr>
            <w:r>
              <w:rPr>
                <w:rFonts w:eastAsia="MS PGothic"/>
                <w:color w:val="000000"/>
                <w:lang w:val="fr-CH"/>
              </w:rPr>
              <w:t>Visibilité directe</w:t>
            </w:r>
            <w:r>
              <w:rPr>
                <w:rFonts w:eastAsia="MS PGothic" w:hint="eastAsia"/>
                <w:color w:val="000000"/>
                <w:lang w:val="fr-CH"/>
              </w:rPr>
              <w:t xml:space="preserve"> </w:t>
            </w:r>
            <w:r>
              <w:rPr>
                <w:rFonts w:eastAsia="MS PGothic"/>
                <w:color w:val="000000"/>
                <w:lang w:val="fr-CH"/>
              </w:rPr>
              <w:t>(y compris brouillage cumulatif)</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6,38</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3,94</w:t>
            </w:r>
          </w:p>
        </w:tc>
        <w:tc>
          <w:tcPr>
            <w:tcW w:w="1134" w:type="dxa"/>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3,56</w:t>
            </w:r>
          </w:p>
        </w:tc>
      </w:tr>
      <w:tr w:rsidR="00E55EF0" w:rsidTr="00E55EF0">
        <w:trPr>
          <w:cantSplit/>
          <w:jc w:val="center"/>
        </w:trPr>
        <w:tc>
          <w:tcPr>
            <w:tcW w:w="1276" w:type="dxa"/>
            <w:vMerge/>
            <w:tcBorders>
              <w:bottom w:val="single" w:sz="4" w:space="0" w:color="auto"/>
            </w:tcBorders>
          </w:tcPr>
          <w:p w:rsidR="00E55EF0" w:rsidRDefault="00E55EF0" w:rsidP="00E55EF0">
            <w:pPr>
              <w:pStyle w:val="Tabletext"/>
              <w:framePr w:hSpace="181" w:wrap="notBeside" w:vAnchor="text" w:hAnchor="text" w:xAlign="center" w:y="1"/>
              <w:rPr>
                <w:lang w:val="fr-CH"/>
              </w:rPr>
            </w:pPr>
          </w:p>
        </w:tc>
        <w:tc>
          <w:tcPr>
            <w:tcW w:w="1276" w:type="dxa"/>
            <w:tcBorders>
              <w:bottom w:val="single" w:sz="4" w:space="0" w:color="auto"/>
            </w:tcBorders>
          </w:tcPr>
          <w:p w:rsidR="00E55EF0" w:rsidRDefault="00E55EF0" w:rsidP="00E55EF0">
            <w:pPr>
              <w:pStyle w:val="Tabletext"/>
              <w:framePr w:hSpace="181" w:wrap="notBeside" w:vAnchor="text" w:hAnchor="text" w:xAlign="center" w:y="1"/>
              <w:rPr>
                <w:lang w:val="fr-CH"/>
              </w:rPr>
            </w:pPr>
            <w:r>
              <w:rPr>
                <w:rFonts w:eastAsia="MS PGothic"/>
                <w:color w:val="000000"/>
                <w:lang w:val="fr-CH"/>
              </w:rPr>
              <w:t>Arrière</w:t>
            </w:r>
          </w:p>
        </w:tc>
        <w:tc>
          <w:tcPr>
            <w:tcW w:w="3686" w:type="dxa"/>
            <w:tcBorders>
              <w:bottom w:val="single" w:sz="4" w:space="0" w:color="auto"/>
            </w:tcBorders>
          </w:tcPr>
          <w:p w:rsidR="00E55EF0" w:rsidRDefault="00E55EF0" w:rsidP="00E55EF0">
            <w:pPr>
              <w:pStyle w:val="Tabletext"/>
              <w:framePr w:hSpace="181" w:wrap="notBeside" w:vAnchor="text" w:hAnchor="text" w:xAlign="center" w:y="1"/>
              <w:rPr>
                <w:lang w:val="fr-CH"/>
              </w:rPr>
            </w:pPr>
            <w:r>
              <w:rPr>
                <w:rFonts w:eastAsia="MS PGothic"/>
                <w:color w:val="000000"/>
                <w:lang w:val="fr-CH"/>
              </w:rPr>
              <w:t>Visibilité directe</w:t>
            </w:r>
            <w:r>
              <w:rPr>
                <w:rFonts w:eastAsia="MS PGothic" w:hint="eastAsia"/>
                <w:color w:val="000000"/>
                <w:lang w:val="fr-CH"/>
              </w:rPr>
              <w:t xml:space="preserve"> </w:t>
            </w:r>
            <w:r>
              <w:rPr>
                <w:rFonts w:eastAsia="MS PGothic"/>
                <w:color w:val="000000"/>
                <w:lang w:val="fr-CH"/>
              </w:rPr>
              <w:t>(y compris brouillage cumulatif)</w:t>
            </w:r>
          </w:p>
        </w:tc>
        <w:tc>
          <w:tcPr>
            <w:tcW w:w="1134" w:type="dxa"/>
            <w:tcBorders>
              <w:bottom w:val="single" w:sz="4" w:space="0" w:color="auto"/>
            </w:tcBorders>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1,36</w:t>
            </w:r>
          </w:p>
        </w:tc>
        <w:tc>
          <w:tcPr>
            <w:tcW w:w="1134" w:type="dxa"/>
            <w:tcBorders>
              <w:bottom w:val="single" w:sz="4" w:space="0" w:color="auto"/>
            </w:tcBorders>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1,21</w:t>
            </w:r>
          </w:p>
        </w:tc>
        <w:tc>
          <w:tcPr>
            <w:tcW w:w="1134" w:type="dxa"/>
            <w:tcBorders>
              <w:bottom w:val="single" w:sz="4" w:space="0" w:color="auto"/>
            </w:tcBorders>
          </w:tcPr>
          <w:p w:rsidR="00E55EF0" w:rsidRDefault="00E55EF0" w:rsidP="00E55EF0">
            <w:pPr>
              <w:pStyle w:val="Tabletext"/>
              <w:framePr w:hSpace="181" w:wrap="notBeside" w:vAnchor="text" w:hAnchor="text" w:xAlign="center" w:y="1"/>
              <w:jc w:val="center"/>
              <w:rPr>
                <w:lang w:val="fr-CH"/>
              </w:rPr>
            </w:pPr>
            <w:r>
              <w:rPr>
                <w:rFonts w:eastAsia="MS PGothic"/>
                <w:color w:val="000000"/>
                <w:lang w:val="fr-CH"/>
              </w:rPr>
              <w:t>1,17</w:t>
            </w:r>
          </w:p>
        </w:tc>
      </w:tr>
      <w:tr w:rsidR="00E55EF0" w:rsidTr="00E55EF0">
        <w:trPr>
          <w:cantSplit/>
          <w:jc w:val="center"/>
        </w:trPr>
        <w:tc>
          <w:tcPr>
            <w:tcW w:w="9640" w:type="dxa"/>
            <w:gridSpan w:val="6"/>
            <w:tcBorders>
              <w:left w:val="nil"/>
              <w:bottom w:val="nil"/>
              <w:right w:val="nil"/>
            </w:tcBorders>
          </w:tcPr>
          <w:p w:rsidR="00E55EF0" w:rsidRDefault="00E55EF0" w:rsidP="00E55EF0">
            <w:pPr>
              <w:pStyle w:val="Tablelegend"/>
              <w:framePr w:hSpace="181" w:wrap="notBeside" w:vAnchor="text" w:hAnchor="text" w:xAlign="center" w:y="1"/>
              <w:jc w:val="left"/>
              <w:rPr>
                <w:rFonts w:eastAsia="MS PGothic"/>
                <w:lang w:val="fr-CH"/>
              </w:rPr>
            </w:pPr>
            <w:r>
              <w:rPr>
                <w:rFonts w:eastAsia="MS PGothic"/>
                <w:vertAlign w:val="superscript"/>
                <w:lang w:val="fr-CH"/>
              </w:rPr>
              <w:t>(1)</w:t>
            </w:r>
            <w:r>
              <w:rPr>
                <w:rFonts w:eastAsia="MS PGothic"/>
                <w:sz w:val="18"/>
                <w:lang w:val="fr-CH"/>
              </w:rPr>
              <w:tab/>
            </w:r>
            <w:r>
              <w:rPr>
                <w:color w:val="000000"/>
                <w:lang w:val="fr-CH"/>
              </w:rPr>
              <w:t xml:space="preserve">Avant: l'antenne de la station au sol HAPS fait face à la station </w:t>
            </w:r>
            <w:r>
              <w:rPr>
                <w:szCs w:val="18"/>
              </w:rPr>
              <w:t>du SRA.</w:t>
            </w:r>
            <w:r>
              <w:rPr>
                <w:szCs w:val="18"/>
              </w:rPr>
              <w:br/>
            </w:r>
            <w:r>
              <w:rPr>
                <w:rFonts w:eastAsia="MS PGothic"/>
                <w:lang w:val="fr-CH"/>
              </w:rPr>
              <w:t xml:space="preserve">Arrière: l'antenne </w:t>
            </w:r>
            <w:r>
              <w:rPr>
                <w:color w:val="000000"/>
                <w:lang w:val="fr-CH"/>
              </w:rPr>
              <w:t xml:space="preserve">de la station au sol HAPS est opposée à la station </w:t>
            </w:r>
            <w:r>
              <w:rPr>
                <w:szCs w:val="18"/>
              </w:rPr>
              <w:t>du SRA.</w:t>
            </w:r>
          </w:p>
        </w:tc>
      </w:tr>
    </w:tbl>
    <w:p w:rsidR="00E55EF0" w:rsidRDefault="00E55EF0" w:rsidP="00E55EF0">
      <w:pPr>
        <w:pStyle w:val="FigureNo"/>
      </w:pPr>
      <w:r>
        <w:rPr>
          <w:noProof/>
          <w:lang w:val="en-US" w:eastAsia="zh-CN"/>
        </w:rPr>
        <w:lastRenderedPageBreak/>
        <w:drawing>
          <wp:inline distT="0" distB="0" distL="0" distR="0" wp14:anchorId="549D01B3" wp14:editId="265711E3">
            <wp:extent cx="6190615" cy="43370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90615" cy="4337050"/>
                    </a:xfrm>
                    <a:prstGeom prst="rect">
                      <a:avLst/>
                    </a:prstGeom>
                    <a:noFill/>
                    <a:ln w="9525">
                      <a:noFill/>
                      <a:miter lim="800000"/>
                      <a:headEnd/>
                      <a:tailEnd/>
                    </a:ln>
                  </pic:spPr>
                </pic:pic>
              </a:graphicData>
            </a:graphic>
          </wp:inline>
        </w:drawing>
      </w:r>
    </w:p>
    <w:p w:rsidR="00E55EF0" w:rsidRDefault="00E55EF0" w:rsidP="00E55EF0">
      <w:r>
        <w:rPr>
          <w:noProof/>
          <w:lang w:val="en-US" w:eastAsia="zh-CN"/>
        </w:rPr>
        <w:lastRenderedPageBreak/>
        <w:drawing>
          <wp:inline distT="0" distB="0" distL="0" distR="0" wp14:anchorId="7555ED7B" wp14:editId="7C84747A">
            <wp:extent cx="6214745" cy="7347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6214745" cy="7347585"/>
                    </a:xfrm>
                    <a:prstGeom prst="rect">
                      <a:avLst/>
                    </a:prstGeom>
                    <a:noFill/>
                    <a:ln w="9525">
                      <a:noFill/>
                      <a:miter lim="800000"/>
                      <a:headEnd/>
                      <a:tailEnd/>
                    </a:ln>
                  </pic:spPr>
                </pic:pic>
              </a:graphicData>
            </a:graphic>
          </wp:inline>
        </w:drawing>
      </w:r>
    </w:p>
    <w:p w:rsidR="00E55EF0" w:rsidRDefault="00E55EF0" w:rsidP="00E55EF0">
      <w:pPr>
        <w:tabs>
          <w:tab w:val="clear" w:pos="794"/>
          <w:tab w:val="clear" w:pos="1191"/>
          <w:tab w:val="clear" w:pos="1588"/>
          <w:tab w:val="clear" w:pos="1985"/>
        </w:tabs>
        <w:overflowPunct/>
        <w:autoSpaceDE/>
        <w:autoSpaceDN/>
        <w:adjustRightInd/>
        <w:spacing w:before="0"/>
        <w:jc w:val="left"/>
        <w:textAlignment w:val="auto"/>
      </w:pPr>
    </w:p>
    <w:p w:rsidR="00E55EF0" w:rsidRDefault="00E55EF0" w:rsidP="00E55EF0">
      <w:r>
        <w:t>La Fig. 5 montre le niveau de brouillage en termes de "puissance surfacique reçue" plus le "gain</w:t>
      </w:r>
      <w:r>
        <w:rPr>
          <w:lang w:val="fr-CH"/>
        </w:rPr>
        <w:t xml:space="preserve"> d'antenne de </w:t>
      </w:r>
      <w:r>
        <w:t xml:space="preserve">la </w:t>
      </w:r>
      <w:r>
        <w:rPr>
          <w:lang w:val="fr-CH"/>
        </w:rPr>
        <w:t>station du SRA</w:t>
      </w:r>
      <w:r>
        <w:t>"</w:t>
      </w:r>
      <w:r>
        <w:rPr>
          <w:lang w:val="fr-CH"/>
        </w:rPr>
        <w:t xml:space="preserve"> causé par chacune des stations au sol HAPS. Le brouillage causé par les stations au sol HAPS dans la cellule voisine dans l'axe de visée de l'antenne de </w:t>
      </w:r>
      <w:r>
        <w:t xml:space="preserve">la </w:t>
      </w:r>
      <w:r>
        <w:rPr>
          <w:lang w:val="fr-CH"/>
        </w:rPr>
        <w:t xml:space="preserve">station du SRA est le plus élevé, soit </w:t>
      </w:r>
      <w:r>
        <w:t>–</w:t>
      </w:r>
      <w:r>
        <w:rPr>
          <w:rFonts w:hint="eastAsia"/>
        </w:rPr>
        <w:t>166,1</w:t>
      </w:r>
      <w:r>
        <w:t> </w:t>
      </w:r>
      <w:proofErr w:type="gramStart"/>
      <w:r>
        <w:rPr>
          <w:rFonts w:hint="eastAsia"/>
        </w:rPr>
        <w:t>dB(</w:t>
      </w:r>
      <w:proofErr w:type="gramEnd"/>
      <w:r>
        <w:t>W/(m</w:t>
      </w:r>
      <w:r>
        <w:rPr>
          <w:vertAlign w:val="superscript"/>
        </w:rPr>
        <w:t>2</w:t>
      </w:r>
      <w:r>
        <w:t> · MHz)</w:t>
      </w:r>
      <w:r>
        <w:rPr>
          <w:rFonts w:hint="eastAsia"/>
        </w:rPr>
        <w:t>).</w:t>
      </w:r>
      <w:r>
        <w:t xml:space="preserve"> Si on interdit l'exploitation de ces stations au sol HAPS (ou cellules) causant ces niveaux élevés de rayonnements non désirés, le brouillage cumulatif n'excédera plus le critère de protection. Il est pourtant nécessaire de souligner que, dans le cas du brouillage cumulatif, la puissance totale des rayonnements non désirés reçus par le </w:t>
      </w:r>
      <w:r>
        <w:lastRenderedPageBreak/>
        <w:t xml:space="preserve">radiotélescope dépend du mode de fonctionnement de la station </w:t>
      </w:r>
      <w:r>
        <w:rPr>
          <w:lang w:val="fr-CH"/>
        </w:rPr>
        <w:t>du SRA</w:t>
      </w:r>
      <w:r>
        <w:t xml:space="preserve"> et de la configuration du réseau HAPS et qu'il est donc impossible de formuler des conclusions générales.</w:t>
      </w:r>
    </w:p>
    <w:p w:rsidR="00E55EF0" w:rsidRDefault="00E55EF0" w:rsidP="00E55EF0">
      <w:pPr>
        <w:pStyle w:val="FigureNo"/>
      </w:pPr>
      <w:r>
        <w:rPr>
          <w:noProof/>
          <w:lang w:val="en-US" w:eastAsia="zh-CN"/>
        </w:rPr>
        <w:drawing>
          <wp:inline distT="0" distB="0" distL="0" distR="0" wp14:anchorId="007562A3" wp14:editId="3255B380">
            <wp:extent cx="4742180" cy="394081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742180" cy="3940810"/>
                    </a:xfrm>
                    <a:prstGeom prst="rect">
                      <a:avLst/>
                    </a:prstGeom>
                    <a:noFill/>
                    <a:ln w="9525">
                      <a:noFill/>
                      <a:miter lim="800000"/>
                      <a:headEnd/>
                      <a:tailEnd/>
                    </a:ln>
                  </pic:spPr>
                </pic:pic>
              </a:graphicData>
            </a:graphic>
          </wp:inline>
        </w:drawing>
      </w:r>
    </w:p>
    <w:p w:rsidR="00E55EF0" w:rsidRDefault="00E55EF0" w:rsidP="00E55EF0">
      <w:pPr>
        <w:pStyle w:val="Heading1"/>
        <w:rPr>
          <w:lang w:val="fr-CH"/>
        </w:rPr>
      </w:pPr>
      <w:r>
        <w:t>2</w:t>
      </w:r>
      <w:r>
        <w:tab/>
        <w:t>Résumé</w:t>
      </w:r>
    </w:p>
    <w:p w:rsidR="00E55EF0" w:rsidRDefault="00E55EF0" w:rsidP="00E55EF0">
      <w:pPr>
        <w:rPr>
          <w:lang w:val="fr-CH"/>
        </w:rPr>
      </w:pPr>
      <w:r>
        <w:rPr>
          <w:lang w:val="fr-CH"/>
        </w:rPr>
        <w:t>Les résultats de l'étude indiquent que, pour protéger une station de radioastronomie, le déploiement d'un système HAPS devrait obéir aux conditions suivantes:</w:t>
      </w:r>
    </w:p>
    <w:p w:rsidR="00E55EF0" w:rsidRDefault="00E55EF0" w:rsidP="00E55EF0">
      <w:pPr>
        <w:pStyle w:val="enumlev1"/>
        <w:rPr>
          <w:lang w:val="fr-CH"/>
        </w:rPr>
      </w:pPr>
      <w:r>
        <w:t>–</w:t>
      </w:r>
      <w:r>
        <w:rPr>
          <w:lang w:val="fr-CH"/>
        </w:rPr>
        <w:tab/>
        <w:t>les dirigeables HAPS ne devraient pas être déployés dans le voisinage de la station du SRA pour éviter la situation où de nombreuses stations au sol HAPS pointent en azimut vers la station du SRA;</w:t>
      </w:r>
    </w:p>
    <w:p w:rsidR="00E55EF0" w:rsidRDefault="00E55EF0" w:rsidP="00E55EF0">
      <w:pPr>
        <w:pStyle w:val="enumlev1"/>
        <w:rPr>
          <w:lang w:val="fr-CH"/>
        </w:rPr>
      </w:pPr>
      <w:r>
        <w:t>–</w:t>
      </w:r>
      <w:r>
        <w:rPr>
          <w:lang w:val="fr-CH"/>
        </w:rPr>
        <w:tab/>
        <w:t>le service fixe utilisant des stations HAPS ne devrait pas être exploité à l'intérieur d'une zone équivalente à une ou plusieurs cellules de faisceau ponctuel autour d'une station du SRA.</w:t>
      </w:r>
    </w:p>
    <w:p w:rsidR="00E55EF0" w:rsidRDefault="00E55EF0" w:rsidP="00E55EF0">
      <w:pPr>
        <w:rPr>
          <w:lang w:val="fr-CH"/>
        </w:rPr>
      </w:pPr>
      <w:r>
        <w:rPr>
          <w:lang w:val="fr-CH"/>
        </w:rPr>
        <w:t xml:space="preserve">Le Tableau 3 donne les résultats pour les distances de séparation requises entre les stations au sol HAPS et les stations du SRA pour le cas de brouillage à source unique, y compris le cas le plus défavorable, celui où l'antenne de la station </w:t>
      </w:r>
      <w:r>
        <w:rPr>
          <w:lang w:eastAsia="ja-JP"/>
        </w:rPr>
        <w:t xml:space="preserve">au sol </w:t>
      </w:r>
      <w:r>
        <w:rPr>
          <w:lang w:val="fr-CH"/>
        </w:rPr>
        <w:t xml:space="preserve">HAPS pointe en azimut dans la direction de la station du SRA. Les résultats donnés au § 1.1 de cette Annexe ont été obtenus en suivant la Recommandation </w:t>
      </w:r>
      <w:r>
        <w:rPr>
          <w:rFonts w:hint="eastAsia"/>
          <w:lang w:eastAsia="ja-JP"/>
        </w:rPr>
        <w:t>UIT-R F.1245</w:t>
      </w:r>
      <w:r>
        <w:rPr>
          <w:lang w:eastAsia="ja-JP"/>
        </w:rPr>
        <w:t xml:space="preserve"> pour le diagramme de rayonnement d'antenne des stations au sol HAPS. La </w:t>
      </w:r>
      <w:r>
        <w:rPr>
          <w:rFonts w:hint="eastAsia"/>
          <w:lang w:eastAsia="ja-JP"/>
        </w:rPr>
        <w:t>Recommandation UIT</w:t>
      </w:r>
      <w:r>
        <w:rPr>
          <w:lang w:eastAsia="ja-JP"/>
        </w:rPr>
        <w:noBreakHyphen/>
      </w:r>
      <w:r>
        <w:rPr>
          <w:rFonts w:hint="eastAsia"/>
          <w:lang w:eastAsia="ja-JP"/>
        </w:rPr>
        <w:t>R</w:t>
      </w:r>
      <w:r>
        <w:rPr>
          <w:lang w:eastAsia="ja-JP"/>
        </w:rPr>
        <w:t> </w:t>
      </w:r>
      <w:r>
        <w:rPr>
          <w:rFonts w:hint="eastAsia"/>
          <w:lang w:eastAsia="ja-JP"/>
        </w:rPr>
        <w:t>F.699</w:t>
      </w:r>
      <w:r>
        <w:rPr>
          <w:lang w:eastAsia="ja-JP"/>
        </w:rPr>
        <w:t xml:space="preserve"> </w:t>
      </w:r>
      <w:r>
        <w:rPr>
          <w:rFonts w:hint="eastAsia"/>
          <w:lang w:eastAsia="ja-JP"/>
        </w:rPr>
        <w:t xml:space="preserve">devrait </w:t>
      </w:r>
      <w:r>
        <w:rPr>
          <w:lang w:eastAsia="ja-JP"/>
        </w:rPr>
        <w:t xml:space="preserve">être utilisée pour déterminer la distance de séparation entre une unique station au sol HAPS et une station </w:t>
      </w:r>
      <w:r>
        <w:rPr>
          <w:color w:val="000000"/>
          <w:lang w:val="fr-CH"/>
        </w:rPr>
        <w:t>du SRA</w:t>
      </w:r>
      <w:r>
        <w:rPr>
          <w:lang w:eastAsia="ja-JP"/>
        </w:rPr>
        <w:t xml:space="preserve">. Si on utilise la </w:t>
      </w:r>
      <w:r>
        <w:rPr>
          <w:rFonts w:hint="eastAsia"/>
          <w:lang w:eastAsia="ja-JP"/>
        </w:rPr>
        <w:t>Recommandation UIT</w:t>
      </w:r>
      <w:r>
        <w:rPr>
          <w:lang w:eastAsia="ja-JP"/>
        </w:rPr>
        <w:noBreakHyphen/>
      </w:r>
      <w:r>
        <w:rPr>
          <w:rFonts w:hint="eastAsia"/>
          <w:lang w:eastAsia="ja-JP"/>
        </w:rPr>
        <w:t>R</w:t>
      </w:r>
      <w:r>
        <w:rPr>
          <w:lang w:eastAsia="ja-JP"/>
        </w:rPr>
        <w:t> </w:t>
      </w:r>
      <w:r>
        <w:rPr>
          <w:rFonts w:hint="eastAsia"/>
          <w:lang w:eastAsia="ja-JP"/>
        </w:rPr>
        <w:t>F.699</w:t>
      </w:r>
      <w:r>
        <w:rPr>
          <w:lang w:eastAsia="ja-JP"/>
        </w:rPr>
        <w:t xml:space="preserve">, le niveau des lobes latéraux augmente de 6 dB, il faut donc doubler la distance de séparation requise entre la station au sol HAPS et la station </w:t>
      </w:r>
      <w:r>
        <w:rPr>
          <w:color w:val="000000"/>
          <w:lang w:val="fr-CH"/>
        </w:rPr>
        <w:t>du SRA</w:t>
      </w:r>
      <w:r>
        <w:rPr>
          <w:lang w:eastAsia="ja-JP"/>
        </w:rPr>
        <w:t>.</w:t>
      </w:r>
    </w:p>
    <w:p w:rsidR="00E55EF0" w:rsidRDefault="00E55EF0" w:rsidP="00E55EF0">
      <w:pPr>
        <w:pStyle w:val="TableNo"/>
        <w:rPr>
          <w:lang w:val="fr-CH" w:eastAsia="ja-JP"/>
        </w:rPr>
      </w:pPr>
      <w:r>
        <w:rPr>
          <w:rFonts w:hint="eastAsia"/>
          <w:lang w:val="fr-CH" w:eastAsia="ja-JP"/>
        </w:rPr>
        <w:lastRenderedPageBreak/>
        <w:t>TABLE</w:t>
      </w:r>
      <w:r>
        <w:rPr>
          <w:lang w:val="fr-CH" w:eastAsia="ja-JP"/>
        </w:rPr>
        <w:t xml:space="preserve">AU </w:t>
      </w:r>
      <w:r>
        <w:rPr>
          <w:rFonts w:hint="eastAsia"/>
          <w:lang w:val="fr-CH" w:eastAsia="ja-JP"/>
        </w:rPr>
        <w:t xml:space="preserve"> 3</w:t>
      </w:r>
    </w:p>
    <w:p w:rsidR="00E55EF0" w:rsidRDefault="00E55EF0" w:rsidP="00E55EF0">
      <w:pPr>
        <w:pStyle w:val="Tabletitle"/>
        <w:keepLines/>
        <w:rPr>
          <w:lang w:val="fr-CH" w:eastAsia="ja-JP"/>
        </w:rPr>
      </w:pPr>
      <w:r>
        <w:rPr>
          <w:lang w:val="fr-CH" w:eastAsia="ja-JP"/>
        </w:rPr>
        <w:t>Distance de séparation requise entre une station au sol HAPS et une station</w:t>
      </w:r>
      <w:r>
        <w:rPr>
          <w:lang w:val="fr-CH" w:eastAsia="ja-JP"/>
        </w:rPr>
        <w:br/>
      </w:r>
      <w:r>
        <w:rPr>
          <w:color w:val="000000"/>
          <w:lang w:val="fr-CH"/>
        </w:rPr>
        <w:t xml:space="preserve">du SRA </w:t>
      </w:r>
      <w:r>
        <w:rPr>
          <w:lang w:val="fr-CH" w:eastAsia="ja-JP"/>
        </w:rPr>
        <w:t>dans le cas d'un brouillage par une source unique</w:t>
      </w:r>
      <w:proofErr w:type="gramStart"/>
      <w:r>
        <w:rPr>
          <w:lang w:val="fr-CH" w:eastAsia="ja-JP"/>
        </w:rPr>
        <w:t>,</w:t>
      </w:r>
      <w:proofErr w:type="gramEnd"/>
      <w:r>
        <w:rPr>
          <w:lang w:val="fr-CH" w:eastAsia="ja-JP"/>
        </w:rPr>
        <w:br/>
        <w:t>sur la base du diagramme d'antenne donné dans</w:t>
      </w:r>
      <w:r>
        <w:rPr>
          <w:lang w:val="fr-CH" w:eastAsia="ja-JP"/>
        </w:rPr>
        <w:br/>
        <w:t xml:space="preserve">la Recommandation </w:t>
      </w:r>
      <w:r>
        <w:rPr>
          <w:rFonts w:hint="eastAsia"/>
          <w:lang w:val="fr-CH" w:eastAsia="ja-JP"/>
        </w:rPr>
        <w:t>UIT-R F.699</w:t>
      </w:r>
      <w:r>
        <w:rPr>
          <w:lang w:val="fr-CH" w:eastAsia="ja-JP"/>
        </w:rPr>
        <w:br/>
      </w:r>
      <w:r>
        <w:rPr>
          <w:rFonts w:hint="eastAsia"/>
          <w:b w:val="0"/>
          <w:bCs/>
          <w:lang w:val="fr-CH" w:eastAsia="ja-JP"/>
        </w:rPr>
        <w:t>(</w:t>
      </w:r>
      <w:r>
        <w:rPr>
          <w:b w:val="0"/>
          <w:bCs/>
          <w:lang w:val="fr-CH" w:eastAsia="ja-JP"/>
        </w:rPr>
        <w:t>pourcentage de temps:</w:t>
      </w:r>
      <w:r>
        <w:rPr>
          <w:rFonts w:hint="eastAsia"/>
          <w:b w:val="0"/>
          <w:bCs/>
          <w:lang w:val="fr-CH" w:eastAsia="ja-JP"/>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985"/>
        <w:gridCol w:w="1984"/>
        <w:gridCol w:w="3686"/>
      </w:tblGrid>
      <w:tr w:rsidR="00E55EF0" w:rsidTr="00E55EF0">
        <w:trPr>
          <w:cantSplit/>
          <w:jc w:val="center"/>
        </w:trPr>
        <w:tc>
          <w:tcPr>
            <w:tcW w:w="1985" w:type="dxa"/>
            <w:vMerge w:val="restart"/>
          </w:tcPr>
          <w:p w:rsidR="00E55EF0" w:rsidRDefault="00E55EF0" w:rsidP="00E55EF0">
            <w:pPr>
              <w:pStyle w:val="Tablehead"/>
              <w:framePr w:hSpace="181" w:wrap="notBeside" w:vAnchor="text" w:hAnchor="text" w:xAlign="center" w:y="1"/>
              <w:rPr>
                <w:lang w:val="fr-CH" w:eastAsia="ja-JP"/>
              </w:rPr>
            </w:pPr>
            <w:r>
              <w:rPr>
                <w:lang w:val="fr-CH" w:eastAsia="ja-JP"/>
              </w:rPr>
              <w:t xml:space="preserve">Angle d'élévation de l'antenne de </w:t>
            </w:r>
            <w:r>
              <w:t xml:space="preserve">la </w:t>
            </w:r>
            <w:r>
              <w:rPr>
                <w:lang w:val="fr-CH"/>
              </w:rPr>
              <w:t>station du SRA</w:t>
            </w:r>
            <w:r>
              <w:rPr>
                <w:rFonts w:hint="eastAsia"/>
                <w:lang w:val="fr-CH" w:eastAsia="ja-JP"/>
              </w:rPr>
              <w:t xml:space="preserve"> (degr</w:t>
            </w:r>
            <w:r>
              <w:rPr>
                <w:lang w:val="fr-CH" w:eastAsia="ja-JP"/>
              </w:rPr>
              <w:t>és</w:t>
            </w:r>
            <w:r>
              <w:rPr>
                <w:rFonts w:hint="eastAsia"/>
                <w:lang w:val="fr-CH" w:eastAsia="ja-JP"/>
              </w:rPr>
              <w:t>)</w:t>
            </w:r>
          </w:p>
        </w:tc>
        <w:tc>
          <w:tcPr>
            <w:tcW w:w="7655" w:type="dxa"/>
            <w:gridSpan w:val="3"/>
          </w:tcPr>
          <w:p w:rsidR="00E55EF0" w:rsidRDefault="00E55EF0" w:rsidP="00E55EF0">
            <w:pPr>
              <w:pStyle w:val="Tablehead"/>
              <w:framePr w:hSpace="181" w:wrap="notBeside" w:vAnchor="text" w:hAnchor="text" w:xAlign="center" w:y="1"/>
              <w:rPr>
                <w:lang w:val="fr-CH" w:eastAsia="ja-JP"/>
              </w:rPr>
            </w:pPr>
            <w:r>
              <w:rPr>
                <w:lang w:val="fr-CH" w:eastAsia="ja-JP"/>
              </w:rPr>
              <w:t xml:space="preserve">Distance de séparation </w:t>
            </w:r>
            <w:proofErr w:type="gramStart"/>
            <w:r>
              <w:rPr>
                <w:lang w:val="fr-CH" w:eastAsia="ja-JP"/>
              </w:rPr>
              <w:t>requise</w:t>
            </w:r>
            <w:proofErr w:type="gramEnd"/>
            <w:r>
              <w:rPr>
                <w:lang w:val="fr-CH" w:eastAsia="ja-JP"/>
              </w:rPr>
              <w:br/>
            </w:r>
            <w:r>
              <w:rPr>
                <w:rFonts w:hint="eastAsia"/>
                <w:lang w:val="fr-CH" w:eastAsia="ja-JP"/>
              </w:rPr>
              <w:t>(km)</w:t>
            </w:r>
          </w:p>
        </w:tc>
      </w:tr>
      <w:tr w:rsidR="00E55EF0" w:rsidTr="00E55EF0">
        <w:trPr>
          <w:cantSplit/>
          <w:jc w:val="center"/>
        </w:trPr>
        <w:tc>
          <w:tcPr>
            <w:tcW w:w="1985" w:type="dxa"/>
            <w:vMerge/>
          </w:tcPr>
          <w:p w:rsidR="00E55EF0" w:rsidRDefault="00E55EF0" w:rsidP="00E55EF0">
            <w:pPr>
              <w:pStyle w:val="Tablehead"/>
              <w:framePr w:hSpace="181" w:wrap="notBeside" w:vAnchor="text" w:hAnchor="text" w:xAlign="center" w:y="1"/>
              <w:rPr>
                <w:lang w:val="fr-CH" w:eastAsia="ja-JP"/>
              </w:rPr>
            </w:pPr>
          </w:p>
        </w:tc>
        <w:tc>
          <w:tcPr>
            <w:tcW w:w="3969" w:type="dxa"/>
            <w:gridSpan w:val="2"/>
          </w:tcPr>
          <w:p w:rsidR="00E55EF0" w:rsidRDefault="00E55EF0" w:rsidP="00E55EF0">
            <w:pPr>
              <w:pStyle w:val="Tablehead"/>
              <w:framePr w:hSpace="181" w:wrap="notBeside" w:vAnchor="text" w:hAnchor="text" w:xAlign="center" w:y="1"/>
              <w:rPr>
                <w:lang w:val="fr-CH" w:eastAsia="ja-JP"/>
              </w:rPr>
            </w:pPr>
            <w:r>
              <w:rPr>
                <w:lang w:val="fr-CH" w:eastAsia="ja-JP"/>
              </w:rPr>
              <w:t>Angle d'élévation de l'antenne de la station au sol HAPS égal à 20°</w:t>
            </w:r>
          </w:p>
        </w:tc>
        <w:tc>
          <w:tcPr>
            <w:tcW w:w="3686" w:type="dxa"/>
          </w:tcPr>
          <w:p w:rsidR="00E55EF0" w:rsidRDefault="00E55EF0" w:rsidP="00E55EF0">
            <w:pPr>
              <w:pStyle w:val="Tablehead"/>
              <w:framePr w:hSpace="181" w:wrap="notBeside" w:vAnchor="text" w:hAnchor="text" w:xAlign="center" w:y="1"/>
              <w:rPr>
                <w:lang w:val="fr-CH" w:eastAsia="ja-JP"/>
              </w:rPr>
            </w:pPr>
            <w:r>
              <w:rPr>
                <w:lang w:val="fr-CH" w:eastAsia="ja-JP"/>
              </w:rPr>
              <w:t>Angle d'élévation de l'antenne de la station au sol HAPS égal à 90°</w:t>
            </w:r>
          </w:p>
        </w:tc>
      </w:tr>
      <w:tr w:rsidR="00E55EF0" w:rsidTr="00E55EF0">
        <w:trPr>
          <w:cantSplit/>
          <w:jc w:val="center"/>
        </w:trPr>
        <w:tc>
          <w:tcPr>
            <w:tcW w:w="1985" w:type="dxa"/>
            <w:vMerge/>
          </w:tcPr>
          <w:p w:rsidR="00E55EF0" w:rsidRDefault="00E55EF0" w:rsidP="00E55EF0">
            <w:pPr>
              <w:pStyle w:val="Tablehead"/>
              <w:framePr w:hSpace="181" w:wrap="notBeside" w:vAnchor="text" w:hAnchor="text" w:xAlign="center" w:y="1"/>
              <w:rPr>
                <w:lang w:val="fr-CH" w:eastAsia="ja-JP"/>
              </w:rPr>
            </w:pPr>
          </w:p>
        </w:tc>
        <w:tc>
          <w:tcPr>
            <w:tcW w:w="1985" w:type="dxa"/>
          </w:tcPr>
          <w:p w:rsidR="00E55EF0" w:rsidRDefault="00E55EF0" w:rsidP="00E55EF0">
            <w:pPr>
              <w:pStyle w:val="Tablehead"/>
              <w:framePr w:hSpace="181" w:wrap="notBeside" w:vAnchor="text" w:hAnchor="text" w:xAlign="center" w:y="1"/>
              <w:rPr>
                <w:lang w:val="fr-CH" w:eastAsia="ja-JP"/>
              </w:rPr>
            </w:pPr>
            <w:r>
              <w:rPr>
                <w:lang w:val="fr-CH" w:eastAsia="ja-JP"/>
              </w:rPr>
              <w:t>Avant</w:t>
            </w:r>
          </w:p>
        </w:tc>
        <w:tc>
          <w:tcPr>
            <w:tcW w:w="1984" w:type="dxa"/>
          </w:tcPr>
          <w:p w:rsidR="00E55EF0" w:rsidRDefault="00E55EF0" w:rsidP="00E55EF0">
            <w:pPr>
              <w:pStyle w:val="Tablehead"/>
              <w:framePr w:hSpace="181" w:wrap="notBeside" w:vAnchor="text" w:hAnchor="text" w:xAlign="center" w:y="1"/>
              <w:rPr>
                <w:lang w:val="fr-CH" w:eastAsia="ja-JP"/>
              </w:rPr>
            </w:pPr>
            <w:r>
              <w:rPr>
                <w:lang w:val="fr-CH" w:eastAsia="ja-JP"/>
              </w:rPr>
              <w:t>Arrière</w:t>
            </w:r>
          </w:p>
        </w:tc>
        <w:tc>
          <w:tcPr>
            <w:tcW w:w="3686" w:type="dxa"/>
          </w:tcPr>
          <w:p w:rsidR="00E55EF0" w:rsidRDefault="00E55EF0" w:rsidP="00E55EF0">
            <w:pPr>
              <w:pStyle w:val="Tablehead"/>
              <w:framePr w:hSpace="181" w:wrap="notBeside" w:vAnchor="text" w:hAnchor="text" w:xAlign="center" w:y="1"/>
              <w:rPr>
                <w:lang w:val="fr-CH" w:eastAsia="ja-JP"/>
              </w:rPr>
            </w:pPr>
            <w:r>
              <w:rPr>
                <w:lang w:val="fr-CH" w:eastAsia="ja-JP"/>
              </w:rPr>
              <w:t>Avant</w:t>
            </w:r>
            <w:r>
              <w:rPr>
                <w:rFonts w:hint="eastAsia"/>
                <w:lang w:val="fr-CH" w:eastAsia="ja-JP"/>
              </w:rPr>
              <w:t>/</w:t>
            </w:r>
            <w:r>
              <w:rPr>
                <w:lang w:val="fr-CH" w:eastAsia="ja-JP"/>
              </w:rPr>
              <w:t>Arrière</w:t>
            </w:r>
          </w:p>
        </w:tc>
      </w:tr>
      <w:tr w:rsidR="00E55EF0" w:rsidTr="00E55EF0">
        <w:trPr>
          <w:jc w:val="center"/>
        </w:trPr>
        <w:tc>
          <w:tcPr>
            <w:tcW w:w="1985" w:type="dxa"/>
          </w:tcPr>
          <w:p w:rsidR="00E55EF0" w:rsidRDefault="00E55EF0" w:rsidP="00E55EF0">
            <w:pPr>
              <w:pStyle w:val="Tabletext"/>
              <w:framePr w:hSpace="181" w:wrap="notBeside" w:vAnchor="text" w:hAnchor="text" w:xAlign="center" w:y="1"/>
              <w:ind w:right="794"/>
              <w:jc w:val="right"/>
              <w:rPr>
                <w:lang w:val="fr-CH" w:eastAsia="ja-JP"/>
              </w:rPr>
            </w:pPr>
            <w:r>
              <w:rPr>
                <w:rFonts w:hint="eastAsia"/>
                <w:lang w:val="fr-CH" w:eastAsia="ja-JP"/>
              </w:rPr>
              <w:t>1</w:t>
            </w:r>
          </w:p>
        </w:tc>
        <w:tc>
          <w:tcPr>
            <w:tcW w:w="1985" w:type="dxa"/>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60</w:t>
            </w:r>
            <w:r>
              <w:rPr>
                <w:lang w:val="fr-CH" w:eastAsia="ja-JP"/>
              </w:rPr>
              <w:t>,</w:t>
            </w:r>
            <w:r>
              <w:rPr>
                <w:rFonts w:hint="eastAsia"/>
                <w:lang w:val="fr-CH" w:eastAsia="ja-JP"/>
              </w:rPr>
              <w:t>3</w:t>
            </w:r>
          </w:p>
        </w:tc>
        <w:tc>
          <w:tcPr>
            <w:tcW w:w="1984" w:type="dxa"/>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21</w:t>
            </w:r>
            <w:r>
              <w:rPr>
                <w:lang w:val="fr-CH" w:eastAsia="ja-JP"/>
              </w:rPr>
              <w:t>,</w:t>
            </w:r>
            <w:r>
              <w:rPr>
                <w:rFonts w:hint="eastAsia"/>
                <w:lang w:val="fr-CH" w:eastAsia="ja-JP"/>
              </w:rPr>
              <w:t>4</w:t>
            </w:r>
          </w:p>
        </w:tc>
        <w:tc>
          <w:tcPr>
            <w:tcW w:w="3686" w:type="dxa"/>
          </w:tcPr>
          <w:p w:rsidR="00E55EF0" w:rsidRDefault="00E55EF0" w:rsidP="00E55EF0">
            <w:pPr>
              <w:pStyle w:val="Tabletext"/>
              <w:framePr w:hSpace="181" w:wrap="notBeside" w:vAnchor="text" w:hAnchor="text" w:xAlign="center" w:y="1"/>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21</w:t>
            </w:r>
            <w:r>
              <w:rPr>
                <w:lang w:val="fr-CH" w:eastAsia="ja-JP"/>
              </w:rPr>
              <w:t>,</w:t>
            </w:r>
            <w:r>
              <w:rPr>
                <w:rFonts w:hint="eastAsia"/>
                <w:lang w:val="fr-CH" w:eastAsia="ja-JP"/>
              </w:rPr>
              <w:t>4</w:t>
            </w:r>
          </w:p>
        </w:tc>
      </w:tr>
      <w:tr w:rsidR="00E55EF0" w:rsidTr="00E55EF0">
        <w:trPr>
          <w:jc w:val="center"/>
        </w:trPr>
        <w:tc>
          <w:tcPr>
            <w:tcW w:w="1985" w:type="dxa"/>
          </w:tcPr>
          <w:p w:rsidR="00E55EF0" w:rsidRDefault="00E55EF0" w:rsidP="00E55EF0">
            <w:pPr>
              <w:pStyle w:val="Tabletext"/>
              <w:framePr w:hSpace="181" w:wrap="notBeside" w:vAnchor="text" w:hAnchor="text" w:xAlign="center" w:y="1"/>
              <w:ind w:right="794"/>
              <w:jc w:val="right"/>
              <w:rPr>
                <w:lang w:val="fr-CH" w:eastAsia="ja-JP"/>
              </w:rPr>
            </w:pPr>
            <w:r>
              <w:rPr>
                <w:rFonts w:hint="eastAsia"/>
                <w:lang w:val="fr-CH" w:eastAsia="ja-JP"/>
              </w:rPr>
              <w:t>5</w:t>
            </w:r>
          </w:p>
        </w:tc>
        <w:tc>
          <w:tcPr>
            <w:tcW w:w="1985" w:type="dxa"/>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7</w:t>
            </w:r>
            <w:r>
              <w:rPr>
                <w:lang w:val="fr-CH" w:eastAsia="ja-JP"/>
              </w:rPr>
              <w:t>,</w:t>
            </w:r>
            <w:r>
              <w:rPr>
                <w:rFonts w:hint="eastAsia"/>
                <w:lang w:val="fr-CH" w:eastAsia="ja-JP"/>
              </w:rPr>
              <w:t>9</w:t>
            </w:r>
          </w:p>
        </w:tc>
        <w:tc>
          <w:tcPr>
            <w:tcW w:w="1984" w:type="dxa"/>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2</w:t>
            </w:r>
            <w:r>
              <w:rPr>
                <w:lang w:val="fr-CH" w:eastAsia="ja-JP"/>
              </w:rPr>
              <w:t>,</w:t>
            </w:r>
            <w:r>
              <w:rPr>
                <w:rFonts w:hint="eastAsia"/>
                <w:lang w:val="fr-CH" w:eastAsia="ja-JP"/>
              </w:rPr>
              <w:t>4</w:t>
            </w:r>
          </w:p>
        </w:tc>
        <w:tc>
          <w:tcPr>
            <w:tcW w:w="3686" w:type="dxa"/>
          </w:tcPr>
          <w:p w:rsidR="00E55EF0" w:rsidRDefault="00E55EF0" w:rsidP="00E55EF0">
            <w:pPr>
              <w:pStyle w:val="Tabletext"/>
              <w:framePr w:hSpace="181" w:wrap="notBeside" w:vAnchor="text" w:hAnchor="text" w:xAlign="center" w:y="1"/>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2</w:t>
            </w:r>
            <w:r>
              <w:rPr>
                <w:lang w:val="fr-CH" w:eastAsia="ja-JP"/>
              </w:rPr>
              <w:t>,</w:t>
            </w:r>
            <w:r>
              <w:rPr>
                <w:rFonts w:hint="eastAsia"/>
                <w:lang w:val="fr-CH" w:eastAsia="ja-JP"/>
              </w:rPr>
              <w:t>4</w:t>
            </w:r>
          </w:p>
        </w:tc>
      </w:tr>
      <w:tr w:rsidR="00E55EF0" w:rsidTr="00E55EF0">
        <w:trPr>
          <w:jc w:val="center"/>
        </w:trPr>
        <w:tc>
          <w:tcPr>
            <w:tcW w:w="1985" w:type="dxa"/>
          </w:tcPr>
          <w:p w:rsidR="00E55EF0" w:rsidRDefault="00E55EF0" w:rsidP="00E55EF0">
            <w:pPr>
              <w:pStyle w:val="Tabletext"/>
              <w:framePr w:hSpace="181" w:wrap="notBeside" w:vAnchor="text" w:hAnchor="text" w:xAlign="center" w:y="1"/>
              <w:ind w:right="794"/>
              <w:jc w:val="right"/>
              <w:rPr>
                <w:lang w:val="fr-CH" w:eastAsia="ja-JP"/>
              </w:rPr>
            </w:pPr>
            <w:r>
              <w:rPr>
                <w:rFonts w:hint="eastAsia"/>
                <w:lang w:val="fr-CH" w:eastAsia="ja-JP"/>
              </w:rPr>
              <w:t>10</w:t>
            </w:r>
          </w:p>
        </w:tc>
        <w:tc>
          <w:tcPr>
            <w:tcW w:w="1985" w:type="dxa"/>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3</w:t>
            </w:r>
            <w:r>
              <w:rPr>
                <w:lang w:val="fr-CH" w:eastAsia="ja-JP"/>
              </w:rPr>
              <w:t>,</w:t>
            </w:r>
            <w:r>
              <w:rPr>
                <w:rFonts w:hint="eastAsia"/>
                <w:lang w:val="fr-CH" w:eastAsia="ja-JP"/>
              </w:rPr>
              <w:t>0</w:t>
            </w:r>
          </w:p>
        </w:tc>
        <w:tc>
          <w:tcPr>
            <w:tcW w:w="1984" w:type="dxa"/>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1</w:t>
            </w:r>
            <w:r>
              <w:rPr>
                <w:lang w:val="fr-CH" w:eastAsia="ja-JP"/>
              </w:rPr>
              <w:t>,</w:t>
            </w:r>
            <w:r>
              <w:rPr>
                <w:rFonts w:hint="eastAsia"/>
                <w:lang w:val="fr-CH" w:eastAsia="ja-JP"/>
              </w:rPr>
              <w:t>0</w:t>
            </w:r>
          </w:p>
        </w:tc>
        <w:tc>
          <w:tcPr>
            <w:tcW w:w="3686" w:type="dxa"/>
          </w:tcPr>
          <w:p w:rsidR="00E55EF0" w:rsidRDefault="00E55EF0" w:rsidP="00E55EF0">
            <w:pPr>
              <w:pStyle w:val="Tabletext"/>
              <w:framePr w:hSpace="181" w:wrap="notBeside" w:vAnchor="text" w:hAnchor="text" w:xAlign="center" w:y="1"/>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1</w:t>
            </w:r>
            <w:r>
              <w:rPr>
                <w:lang w:val="fr-CH" w:eastAsia="ja-JP"/>
              </w:rPr>
              <w:t>,</w:t>
            </w:r>
            <w:r>
              <w:rPr>
                <w:rFonts w:hint="eastAsia"/>
                <w:lang w:val="fr-CH" w:eastAsia="ja-JP"/>
              </w:rPr>
              <w:t>0</w:t>
            </w:r>
          </w:p>
        </w:tc>
      </w:tr>
      <w:tr w:rsidR="00E55EF0" w:rsidTr="00E55EF0">
        <w:trPr>
          <w:jc w:val="center"/>
        </w:trPr>
        <w:tc>
          <w:tcPr>
            <w:tcW w:w="1985" w:type="dxa"/>
            <w:tcBorders>
              <w:bottom w:val="single" w:sz="4" w:space="0" w:color="auto"/>
            </w:tcBorders>
          </w:tcPr>
          <w:p w:rsidR="00E55EF0" w:rsidRDefault="00E55EF0" w:rsidP="00E55EF0">
            <w:pPr>
              <w:pStyle w:val="Tabletext"/>
              <w:framePr w:hSpace="181" w:wrap="notBeside" w:vAnchor="text" w:hAnchor="text" w:xAlign="center" w:y="1"/>
              <w:ind w:right="794"/>
              <w:jc w:val="right"/>
              <w:rPr>
                <w:lang w:val="fr-CH" w:eastAsia="ja-JP"/>
              </w:rPr>
            </w:pPr>
            <w:r>
              <w:rPr>
                <w:rFonts w:hint="eastAsia"/>
                <w:lang w:val="fr-CH" w:eastAsia="ja-JP"/>
              </w:rPr>
              <w:t>15</w:t>
            </w:r>
          </w:p>
        </w:tc>
        <w:tc>
          <w:tcPr>
            <w:tcW w:w="1985" w:type="dxa"/>
            <w:tcBorders>
              <w:bottom w:val="single" w:sz="4" w:space="0" w:color="auto"/>
            </w:tcBorders>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1</w:t>
            </w:r>
            <w:r>
              <w:rPr>
                <w:lang w:val="fr-CH" w:eastAsia="ja-JP"/>
              </w:rPr>
              <w:t>,</w:t>
            </w:r>
            <w:r>
              <w:rPr>
                <w:rFonts w:hint="eastAsia"/>
                <w:lang w:val="fr-CH" w:eastAsia="ja-JP"/>
              </w:rPr>
              <w:t>8</w:t>
            </w:r>
          </w:p>
        </w:tc>
        <w:tc>
          <w:tcPr>
            <w:tcW w:w="1984" w:type="dxa"/>
            <w:tcBorders>
              <w:bottom w:val="single" w:sz="4" w:space="0" w:color="auto"/>
            </w:tcBorders>
          </w:tcPr>
          <w:p w:rsidR="00E55EF0" w:rsidRDefault="00E55EF0" w:rsidP="00E55EF0">
            <w:pPr>
              <w:pStyle w:val="Tabletext"/>
              <w:framePr w:hSpace="181" w:wrap="notBeside" w:vAnchor="text" w:hAnchor="text" w:xAlign="center" w:y="1"/>
              <w:tabs>
                <w:tab w:val="clear" w:pos="284"/>
                <w:tab w:val="clear" w:pos="567"/>
                <w:tab w:val="decimal" w:pos="851"/>
              </w:tabs>
              <w:jc w:val="left"/>
              <w:rPr>
                <w:lang w:val="fr-CH" w:eastAsia="ja-JP"/>
              </w:rPr>
            </w:pPr>
            <w:r>
              <w:rPr>
                <w:lang w:val="fr-CH" w:eastAsia="ja-JP"/>
              </w:rPr>
              <w:tab/>
            </w:r>
            <w:r>
              <w:rPr>
                <w:rFonts w:hint="eastAsia"/>
                <w:lang w:val="fr-CH" w:eastAsia="ja-JP"/>
              </w:rPr>
              <w:t>0</w:t>
            </w:r>
            <w:r>
              <w:rPr>
                <w:lang w:val="fr-CH" w:eastAsia="ja-JP"/>
              </w:rPr>
              <w:t>,</w:t>
            </w:r>
            <w:r>
              <w:rPr>
                <w:rFonts w:hint="eastAsia"/>
                <w:lang w:val="fr-CH" w:eastAsia="ja-JP"/>
              </w:rPr>
              <w:t>6</w:t>
            </w:r>
          </w:p>
        </w:tc>
        <w:tc>
          <w:tcPr>
            <w:tcW w:w="3686" w:type="dxa"/>
            <w:tcBorders>
              <w:bottom w:val="single" w:sz="4" w:space="0" w:color="auto"/>
            </w:tcBorders>
          </w:tcPr>
          <w:p w:rsidR="00E55EF0" w:rsidRDefault="00E55EF0" w:rsidP="00E55EF0">
            <w:pPr>
              <w:pStyle w:val="Tabletext"/>
              <w:framePr w:hSpace="181" w:wrap="notBeside" w:vAnchor="text" w:hAnchor="text" w:xAlign="center" w:y="1"/>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0</w:t>
            </w:r>
            <w:r>
              <w:rPr>
                <w:lang w:val="fr-CH" w:eastAsia="ja-JP"/>
              </w:rPr>
              <w:t>,</w:t>
            </w:r>
            <w:r>
              <w:rPr>
                <w:rFonts w:hint="eastAsia"/>
                <w:lang w:val="fr-CH" w:eastAsia="ja-JP"/>
              </w:rPr>
              <w:t>6</w:t>
            </w:r>
          </w:p>
        </w:tc>
      </w:tr>
      <w:tr w:rsidR="00E55EF0" w:rsidTr="00E55EF0">
        <w:trPr>
          <w:cantSplit/>
          <w:jc w:val="center"/>
        </w:trPr>
        <w:tc>
          <w:tcPr>
            <w:tcW w:w="9640" w:type="dxa"/>
            <w:gridSpan w:val="4"/>
            <w:tcBorders>
              <w:left w:val="nil"/>
              <w:bottom w:val="nil"/>
              <w:right w:val="nil"/>
            </w:tcBorders>
          </w:tcPr>
          <w:p w:rsidR="00E55EF0" w:rsidRDefault="00E55EF0" w:rsidP="00E55EF0">
            <w:pPr>
              <w:pStyle w:val="Tablelegend"/>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left" w:pos="992"/>
              </w:tabs>
            </w:pPr>
            <w:r>
              <w:rPr>
                <w:rFonts w:hint="eastAsia"/>
              </w:rPr>
              <w:t>NOTE</w:t>
            </w:r>
            <w:r>
              <w:t> 1 </w:t>
            </w:r>
            <w:r>
              <w:sym w:font="Symbol" w:char="F02D"/>
            </w:r>
            <w:r>
              <w:tab/>
              <w:t>Avant:</w:t>
            </w:r>
            <w:r>
              <w:tab/>
            </w:r>
            <w:r w:rsidR="00ED72B0">
              <w:t xml:space="preserve"> </w:t>
            </w:r>
            <w:r>
              <w:t>l'antenne de la station au sol HAPS fait face à la station du SRA en azimut</w:t>
            </w:r>
          </w:p>
          <w:p w:rsidR="00E55EF0" w:rsidRDefault="00E55EF0" w:rsidP="00E55EF0">
            <w:pPr>
              <w:pStyle w:val="Tablelegend"/>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left" w:pos="992"/>
              </w:tabs>
              <w:rPr>
                <w:lang w:eastAsia="ja-JP"/>
              </w:rPr>
            </w:pPr>
            <w:r>
              <w:rPr>
                <w:lang w:eastAsia="ja-JP"/>
              </w:rPr>
              <w:tab/>
            </w:r>
            <w:r>
              <w:rPr>
                <w:lang w:eastAsia="ja-JP"/>
              </w:rPr>
              <w:tab/>
            </w:r>
            <w:r>
              <w:rPr>
                <w:rFonts w:eastAsia="MS PGothic"/>
              </w:rPr>
              <w:t>Arrière:</w:t>
            </w:r>
            <w:r>
              <w:rPr>
                <w:rFonts w:eastAsia="MS PGothic"/>
              </w:rPr>
              <w:tab/>
            </w:r>
            <w:r w:rsidR="00ED72B0">
              <w:rPr>
                <w:rFonts w:eastAsia="MS PGothic"/>
              </w:rPr>
              <w:t xml:space="preserve"> </w:t>
            </w:r>
            <w:bookmarkStart w:id="3" w:name="_GoBack"/>
            <w:bookmarkEnd w:id="3"/>
            <w:r>
              <w:rPr>
                <w:rFonts w:eastAsia="MS PGothic"/>
              </w:rPr>
              <w:t xml:space="preserve">l'antenne </w:t>
            </w:r>
            <w:r>
              <w:t>de la station au sol HAPS est opposée à la station du SRA en azimut</w:t>
            </w:r>
          </w:p>
        </w:tc>
      </w:tr>
    </w:tbl>
    <w:p w:rsidR="00E55EF0" w:rsidRPr="002412A3" w:rsidRDefault="00E55EF0" w:rsidP="00E55EF0">
      <w:pPr>
        <w:pStyle w:val="Tablefin"/>
        <w:rPr>
          <w:lang w:val="fr-CH"/>
        </w:rPr>
      </w:pPr>
    </w:p>
    <w:p w:rsidR="00E55EF0" w:rsidRPr="002412A3" w:rsidRDefault="00E55EF0" w:rsidP="00E55EF0">
      <w:pPr>
        <w:rPr>
          <w:lang w:val="fr-CH"/>
        </w:rPr>
      </w:pPr>
    </w:p>
    <w:p w:rsidR="00E55EF0" w:rsidRPr="002412A3" w:rsidRDefault="00E55EF0" w:rsidP="00E55EF0">
      <w:pPr>
        <w:pStyle w:val="Line"/>
        <w:rPr>
          <w:lang w:val="fr-CH"/>
        </w:rPr>
      </w:pPr>
    </w:p>
    <w:p w:rsidR="00A6617B" w:rsidRPr="00E55EF0" w:rsidRDefault="00A6617B" w:rsidP="00A6617B">
      <w:pPr>
        <w:rPr>
          <w:lang w:val="fr-CH"/>
        </w:rPr>
      </w:pPr>
    </w:p>
    <w:sectPr w:rsidR="00A6617B" w:rsidRPr="00E55EF0" w:rsidSect="00DA46C5">
      <w:headerReference w:type="even" r:id="rId29"/>
      <w:headerReference w:type="default" r:id="rId30"/>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00C" w:rsidRDefault="0081500C">
      <w:r>
        <w:separator/>
      </w:r>
    </w:p>
  </w:endnote>
  <w:endnote w:type="continuationSeparator" w:id="0">
    <w:p w:rsidR="0081500C" w:rsidRDefault="00815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00C" w:rsidRDefault="0081500C">
      <w:r>
        <w:separator/>
      </w:r>
    </w:p>
  </w:footnote>
  <w:footnote w:type="continuationSeparator" w:id="0">
    <w:p w:rsidR="0081500C" w:rsidRDefault="0081500C">
      <w:r>
        <w:continuationSeparator/>
      </w:r>
    </w:p>
  </w:footnote>
  <w:footnote w:id="1">
    <w:p w:rsidR="0081500C" w:rsidRPr="00817BB2" w:rsidRDefault="0081500C" w:rsidP="00414E60">
      <w:pPr>
        <w:pStyle w:val="FootnoteText"/>
        <w:rPr>
          <w:lang w:val="fr-CH"/>
        </w:rPr>
      </w:pPr>
      <w:r>
        <w:rPr>
          <w:rStyle w:val="FootnoteReference"/>
        </w:rPr>
        <w:footnoteRef/>
      </w:r>
      <w:r>
        <w:tab/>
      </w:r>
      <w:r>
        <w:rPr>
          <w:lang w:val="fr-CH"/>
        </w:rPr>
        <w:t>La Commission d'études 5 des radiocommunications a apporté des modifications de forme à la présente Recommandation en décembre 2009,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C" w:rsidRDefault="0081500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C" w:rsidRDefault="0081500C" w:rsidP="00E55EF0">
    <w:pPr>
      <w:pStyle w:val="Header"/>
      <w:ind w:right="360" w:firstLine="360"/>
    </w:pPr>
    <w:r>
      <w:rPr>
        <w:noProof/>
        <w:lang w:val="en-US" w:eastAsia="zh-CN"/>
      </w:rPr>
      <w:drawing>
        <wp:anchor distT="0" distB="0" distL="114300" distR="114300" simplePos="0" relativeHeight="251659264" behindDoc="1" locked="0" layoutInCell="1" allowOverlap="1" wp14:anchorId="4068F75F" wp14:editId="15E6DEE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C" w:rsidRPr="00837CB5" w:rsidRDefault="0081500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D72B0">
      <w:rPr>
        <w:rStyle w:val="PageNumber"/>
        <w:b/>
        <w:bCs/>
        <w:noProof/>
      </w:rPr>
      <w:t>ii</w:t>
    </w:r>
    <w:r>
      <w:rPr>
        <w:rStyle w:val="PageNumber"/>
        <w:b/>
        <w:bCs/>
      </w:rPr>
      <w:fldChar w:fldCharType="end"/>
    </w:r>
    <w:r w:rsidRPr="00837CB5">
      <w:tab/>
    </w:r>
    <w:r w:rsidR="00ED72B0">
      <w:fldChar w:fldCharType="begin"/>
    </w:r>
    <w:r w:rsidR="00ED72B0">
      <w:instrText xml:space="preserve"> DOCPROPERTY "Header" \* MERGEFORMAT </w:instrText>
    </w:r>
    <w:r w:rsidR="00ED72B0">
      <w:fldChar w:fldCharType="separate"/>
    </w:r>
    <w:r w:rsidR="00DF156B" w:rsidRPr="00DF156B">
      <w:rPr>
        <w:b/>
        <w:bCs/>
      </w:rPr>
      <w:t xml:space="preserve">Rec. </w:t>
    </w:r>
    <w:r w:rsidR="00ED72B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D72B0">
      <w:rPr>
        <w:b/>
        <w:bCs/>
        <w:noProof/>
      </w:rPr>
      <w:t>UIT-R  F.1612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C" w:rsidRDefault="0081500C">
    <w:pPr>
      <w:pStyle w:val="Header"/>
    </w:pPr>
    <w:r>
      <w:tab/>
    </w:r>
    <w:r w:rsidR="00ED72B0">
      <w:fldChar w:fldCharType="begin"/>
    </w:r>
    <w:r w:rsidR="00ED72B0">
      <w:instrText xml:space="preserve"> DOCPROPERTY "Header" \* MERGEFORMAT </w:instrText>
    </w:r>
    <w:r w:rsidR="00ED72B0">
      <w:fldChar w:fldCharType="separate"/>
    </w:r>
    <w:r w:rsidR="00DF156B" w:rsidRPr="00DF156B">
      <w:rPr>
        <w:b/>
        <w:bCs/>
      </w:rPr>
      <w:t xml:space="preserve">Rec. </w:t>
    </w:r>
    <w:r w:rsidR="00ED72B0">
      <w:rPr>
        <w:b/>
        <w:bCs/>
      </w:rPr>
      <w:fldChar w:fldCharType="end"/>
    </w:r>
    <w:r>
      <w:rPr>
        <w:b/>
        <w:bCs/>
      </w:rPr>
      <w:t xml:space="preserve"> </w:t>
    </w:r>
    <w:r>
      <w:rPr>
        <w:b/>
        <w:bCs/>
      </w:rPr>
      <w:fldChar w:fldCharType="begin"/>
    </w:r>
    <w:r>
      <w:rPr>
        <w:b/>
        <w:bCs/>
      </w:rPr>
      <w:instrText>styleref href</w:instrText>
    </w:r>
    <w:r>
      <w:rPr>
        <w:b/>
        <w:bCs/>
      </w:rPr>
      <w:fldChar w:fldCharType="separate"/>
    </w:r>
    <w:r w:rsidR="00DF156B">
      <w:rPr>
        <w:b/>
        <w:bCs/>
        <w:noProof/>
      </w:rPr>
      <w:t>UIT-R  F.1612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C" w:rsidRDefault="0081500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72B0">
      <w:rPr>
        <w:rStyle w:val="PageNumber"/>
        <w:b/>
        <w:bCs/>
        <w:noProof/>
        <w:lang w:val="en-US"/>
      </w:rPr>
      <w:t>10</w:t>
    </w:r>
    <w:r>
      <w:rPr>
        <w:rStyle w:val="PageNumber"/>
        <w:b/>
        <w:bCs/>
      </w:rPr>
      <w:fldChar w:fldCharType="end"/>
    </w:r>
    <w:r>
      <w:rPr>
        <w:lang w:val="en-US"/>
      </w:rPr>
      <w:tab/>
    </w:r>
    <w:r w:rsidR="00ED72B0">
      <w:fldChar w:fldCharType="begin"/>
    </w:r>
    <w:r w:rsidR="00ED72B0">
      <w:instrText xml:space="preserve"> DOCPROPERTY "Header" \* MERGEFORMAT </w:instrText>
    </w:r>
    <w:r w:rsidR="00ED72B0">
      <w:fldChar w:fldCharType="separate"/>
    </w:r>
    <w:r w:rsidR="00DF156B" w:rsidRPr="00DF156B">
      <w:rPr>
        <w:b/>
        <w:bCs/>
        <w:lang w:val="en-US"/>
      </w:rPr>
      <w:t xml:space="preserve">Rec. </w:t>
    </w:r>
    <w:r w:rsidR="00ED72B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D72B0">
      <w:rPr>
        <w:b/>
        <w:bCs/>
        <w:noProof/>
      </w:rPr>
      <w:t>UIT-R  F.1612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C" w:rsidRDefault="0081500C">
    <w:pPr>
      <w:pStyle w:val="Header"/>
    </w:pPr>
    <w:r>
      <w:tab/>
    </w:r>
    <w:r w:rsidR="00ED72B0">
      <w:fldChar w:fldCharType="begin"/>
    </w:r>
    <w:r w:rsidR="00ED72B0">
      <w:instrText xml:space="preserve"> DOCPROPERTY "Header" \* MERGEFORMAT </w:instrText>
    </w:r>
    <w:r w:rsidR="00ED72B0">
      <w:fldChar w:fldCharType="separate"/>
    </w:r>
    <w:r w:rsidR="00DF156B" w:rsidRPr="00DF156B">
      <w:rPr>
        <w:b/>
        <w:bCs/>
      </w:rPr>
      <w:t xml:space="preserve">Rec. </w:t>
    </w:r>
    <w:r w:rsidR="00ED72B0">
      <w:rPr>
        <w:b/>
        <w:bCs/>
      </w:rPr>
      <w:fldChar w:fldCharType="end"/>
    </w:r>
    <w:r>
      <w:rPr>
        <w:b/>
        <w:bCs/>
      </w:rPr>
      <w:t xml:space="preserve"> </w:t>
    </w:r>
    <w:r>
      <w:rPr>
        <w:b/>
        <w:bCs/>
      </w:rPr>
      <w:fldChar w:fldCharType="begin"/>
    </w:r>
    <w:r>
      <w:rPr>
        <w:b/>
        <w:bCs/>
      </w:rPr>
      <w:instrText>styleref href</w:instrText>
    </w:r>
    <w:r>
      <w:rPr>
        <w:b/>
        <w:bCs/>
      </w:rPr>
      <w:fldChar w:fldCharType="separate"/>
    </w:r>
    <w:r w:rsidR="00ED72B0">
      <w:rPr>
        <w:b/>
        <w:bCs/>
        <w:noProof/>
      </w:rPr>
      <w:t>UIT-R  F.1612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72B0">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CB3"/>
    <w:rsid w:val="00217EBF"/>
    <w:rsid w:val="002D76C4"/>
    <w:rsid w:val="003577A8"/>
    <w:rsid w:val="00414E60"/>
    <w:rsid w:val="00607D68"/>
    <w:rsid w:val="007468DA"/>
    <w:rsid w:val="0081500C"/>
    <w:rsid w:val="00A6617B"/>
    <w:rsid w:val="00A82DC4"/>
    <w:rsid w:val="00AB0DC8"/>
    <w:rsid w:val="00B44CB3"/>
    <w:rsid w:val="00B44E24"/>
    <w:rsid w:val="00DA46C5"/>
    <w:rsid w:val="00DF156B"/>
    <w:rsid w:val="00DF4176"/>
    <w:rsid w:val="00E55EF0"/>
    <w:rsid w:val="00ED72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E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5E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E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5E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1.wmf"/><Relationship Id="rId10" Type="http://schemas.openxmlformats.org/officeDocument/2006/relationships/hyperlink" Target="http://www.itu.int/ITU-R/go/patents/fr"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27EFF-CC83-468F-9B12-8F078CDB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12</Pages>
  <Words>2870</Words>
  <Characters>16361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7</cp:revision>
  <cp:lastPrinted>2011-03-10T15:47:00Z</cp:lastPrinted>
  <dcterms:created xsi:type="dcterms:W3CDTF">2011-03-10T15:14:00Z</dcterms:created>
  <dcterms:modified xsi:type="dcterms:W3CDTF">2011-03-11T09:50:00Z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