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122" w:rsidRPr="00421A72" w:rsidRDefault="00732122">
      <w:pPr>
        <w:rPr>
          <w:lang w:val="fr-CH"/>
        </w:rPr>
      </w:pPr>
    </w:p>
    <w:p w:rsidR="00732122" w:rsidRPr="00421A72" w:rsidRDefault="00732122">
      <w:pPr>
        <w:rPr>
          <w:lang w:val="fr-CH"/>
        </w:rPr>
      </w:pPr>
    </w:p>
    <w:p w:rsidR="00732122" w:rsidRPr="00421A72" w:rsidRDefault="00732122">
      <w:pPr>
        <w:rPr>
          <w:lang w:val="fr-CH"/>
        </w:rPr>
      </w:pPr>
    </w:p>
    <w:p w:rsidR="00732122" w:rsidRPr="00421A72" w:rsidRDefault="00732122">
      <w:pPr>
        <w:rPr>
          <w:lang w:val="fr-CH"/>
        </w:rPr>
      </w:pPr>
    </w:p>
    <w:p w:rsidR="00732122" w:rsidRPr="00421A72" w:rsidRDefault="00732122">
      <w:pPr>
        <w:rPr>
          <w:lang w:val="fr-CH"/>
        </w:rPr>
      </w:pPr>
    </w:p>
    <w:p w:rsidR="00732122" w:rsidRPr="00421A72" w:rsidRDefault="00732122">
      <w:pPr>
        <w:rPr>
          <w:lang w:val="fr-CH"/>
        </w:rPr>
      </w:pPr>
    </w:p>
    <w:p w:rsidR="00732122" w:rsidRPr="00421A72" w:rsidRDefault="00732122">
      <w:pPr>
        <w:rPr>
          <w:lang w:val="fr-CH"/>
        </w:rPr>
      </w:pPr>
    </w:p>
    <w:p w:rsidR="00732122" w:rsidRPr="00421A72" w:rsidRDefault="00732122">
      <w:pPr>
        <w:rPr>
          <w:lang w:val="fr-CH"/>
        </w:rPr>
      </w:pPr>
    </w:p>
    <w:p w:rsidR="00732122" w:rsidRPr="00421A72" w:rsidRDefault="00732122">
      <w:pPr>
        <w:rPr>
          <w:lang w:val="fr-CH"/>
        </w:rPr>
      </w:pPr>
    </w:p>
    <w:p w:rsidR="00732122" w:rsidRPr="00421A72" w:rsidRDefault="00732122">
      <w:pPr>
        <w:rPr>
          <w:lang w:val="fr-CH"/>
        </w:rPr>
      </w:pPr>
    </w:p>
    <w:tbl>
      <w:tblPr>
        <w:tblW w:w="10089" w:type="dxa"/>
        <w:tblLook w:val="01E0"/>
      </w:tblPr>
      <w:tblGrid>
        <w:gridCol w:w="10089"/>
      </w:tblGrid>
      <w:tr w:rsidR="00732122" w:rsidRPr="00421A72">
        <w:tc>
          <w:tcPr>
            <w:tcW w:w="10089" w:type="dxa"/>
          </w:tcPr>
          <w:p w:rsidR="00732122" w:rsidRPr="00421A72" w:rsidRDefault="00732122" w:rsidP="00013002">
            <w:pPr>
              <w:spacing w:before="380" w:line="280" w:lineRule="exact"/>
              <w:jc w:val="right"/>
              <w:rPr>
                <w:rFonts w:ascii="Tahoma" w:hAnsi="Tahoma" w:cs="Tahoma"/>
                <w:b/>
                <w:bCs/>
                <w:iCs/>
                <w:color w:val="243285"/>
                <w:sz w:val="32"/>
                <w:szCs w:val="32"/>
                <w:lang w:val="fr-CH"/>
              </w:rPr>
            </w:pPr>
          </w:p>
          <w:p w:rsidR="00732122" w:rsidRPr="00421A72" w:rsidRDefault="00732122" w:rsidP="00732122">
            <w:pPr>
              <w:spacing w:before="380" w:line="280" w:lineRule="exact"/>
              <w:jc w:val="right"/>
              <w:rPr>
                <w:rFonts w:ascii="Tahoma" w:hAnsi="Tahoma" w:cs="Tahoma"/>
                <w:b/>
                <w:bCs/>
                <w:iCs/>
                <w:color w:val="243285"/>
                <w:sz w:val="36"/>
                <w:szCs w:val="36"/>
                <w:lang w:val="fr-CH"/>
              </w:rPr>
            </w:pPr>
            <w:r w:rsidRPr="00421A72">
              <w:rPr>
                <w:rFonts w:ascii="Tahoma" w:hAnsi="Tahoma" w:cs="Tahoma"/>
                <w:b/>
                <w:bCs/>
                <w:iCs/>
                <w:color w:val="243285"/>
                <w:sz w:val="36"/>
                <w:szCs w:val="36"/>
                <w:lang w:val="fr-CH"/>
              </w:rPr>
              <w:t>Recommandation  UIT-R  F.1606</w:t>
            </w:r>
          </w:p>
          <w:p w:rsidR="00732122" w:rsidRPr="00421A72" w:rsidRDefault="00732122" w:rsidP="00732122">
            <w:pPr>
              <w:spacing w:before="80" w:line="280" w:lineRule="exact"/>
              <w:jc w:val="right"/>
              <w:rPr>
                <w:rFonts w:ascii="Tahoma" w:hAnsi="Tahoma" w:cs="Tahoma"/>
                <w:b/>
                <w:bCs/>
                <w:iCs/>
                <w:color w:val="243285"/>
                <w:szCs w:val="24"/>
                <w:lang w:val="fr-CH"/>
              </w:rPr>
            </w:pPr>
            <w:r w:rsidRPr="00421A72">
              <w:rPr>
                <w:rFonts w:ascii="Tahoma" w:hAnsi="Tahoma" w:cs="Tahoma"/>
                <w:b/>
                <w:bCs/>
                <w:iCs/>
                <w:color w:val="243285"/>
                <w:szCs w:val="24"/>
                <w:lang w:val="fr-CH"/>
              </w:rPr>
              <w:t>(02/2003)</w:t>
            </w:r>
          </w:p>
        </w:tc>
      </w:tr>
      <w:tr w:rsidR="00732122" w:rsidRPr="00421A72">
        <w:tc>
          <w:tcPr>
            <w:tcW w:w="10089" w:type="dxa"/>
          </w:tcPr>
          <w:p w:rsidR="00732122" w:rsidRPr="00421A72" w:rsidRDefault="00732122" w:rsidP="00123FD5">
            <w:pPr>
              <w:spacing w:before="80" w:line="500" w:lineRule="exact"/>
              <w:jc w:val="right"/>
              <w:rPr>
                <w:rFonts w:ascii="Tahoma" w:hAnsi="Tahoma" w:cs="Tahoma"/>
                <w:b/>
                <w:bCs/>
                <w:iCs/>
                <w:color w:val="243285"/>
                <w:sz w:val="44"/>
                <w:szCs w:val="44"/>
                <w:lang w:val="fr-CH"/>
              </w:rPr>
            </w:pPr>
          </w:p>
          <w:p w:rsidR="00732122" w:rsidRPr="00421A72" w:rsidRDefault="00732122" w:rsidP="00936ACE">
            <w:pPr>
              <w:spacing w:before="80" w:line="500" w:lineRule="exact"/>
              <w:jc w:val="right"/>
              <w:rPr>
                <w:rFonts w:ascii="Tahoma" w:hAnsi="Tahoma" w:cs="Tahoma"/>
                <w:b/>
                <w:bCs/>
                <w:iCs/>
                <w:color w:val="243285"/>
                <w:sz w:val="44"/>
                <w:szCs w:val="44"/>
                <w:lang w:val="fr-CH"/>
              </w:rPr>
            </w:pPr>
            <w:r w:rsidRPr="00421A72">
              <w:rPr>
                <w:rFonts w:ascii="Tahoma" w:hAnsi="Tahoma" w:cs="Tahoma"/>
                <w:b/>
                <w:bCs/>
                <w:color w:val="243285"/>
                <w:sz w:val="44"/>
                <w:szCs w:val="44"/>
                <w:lang w:val="fr-CH"/>
              </w:rPr>
              <w:t>Critères de brouillage pour la protection des systèmes hertziens fixes contre les brouillages composites variables dans le temps et causés par des satellites non géostationnaires exploités dans d'autres services partageant les bandes</w:t>
            </w:r>
            <w:r w:rsidR="003B4353" w:rsidRPr="00421A72">
              <w:rPr>
                <w:rFonts w:ascii="Tahoma" w:hAnsi="Tahoma" w:cs="Tahoma"/>
                <w:b/>
                <w:bCs/>
                <w:color w:val="243285"/>
                <w:sz w:val="44"/>
                <w:szCs w:val="44"/>
                <w:lang w:val="fr-CH"/>
              </w:rPr>
              <w:t xml:space="preserve"> </w:t>
            </w:r>
            <w:r w:rsidRPr="00421A72">
              <w:rPr>
                <w:rFonts w:ascii="Tahoma" w:hAnsi="Tahoma" w:cs="Tahoma"/>
                <w:b/>
                <w:bCs/>
                <w:color w:val="243285"/>
                <w:sz w:val="44"/>
                <w:szCs w:val="44"/>
                <w:lang w:val="fr-CH"/>
              </w:rPr>
              <w:t>37</w:t>
            </w:r>
            <w:r w:rsidR="003B4353" w:rsidRPr="00421A72">
              <w:rPr>
                <w:rFonts w:ascii="Tahoma" w:hAnsi="Tahoma" w:cs="Tahoma"/>
                <w:b/>
                <w:bCs/>
                <w:color w:val="243285"/>
                <w:sz w:val="44"/>
                <w:szCs w:val="44"/>
                <w:lang w:val="fr-CH"/>
              </w:rPr>
              <w:t>-</w:t>
            </w:r>
            <w:r w:rsidRPr="00421A72">
              <w:rPr>
                <w:rFonts w:ascii="Tahoma" w:hAnsi="Tahoma" w:cs="Tahoma"/>
                <w:b/>
                <w:bCs/>
                <w:color w:val="243285"/>
                <w:sz w:val="44"/>
                <w:szCs w:val="44"/>
                <w:lang w:val="fr-CH"/>
              </w:rPr>
              <w:t>40 GHz et 40,5-42,5 GHz à titre coprimaire</w:t>
            </w:r>
          </w:p>
        </w:tc>
      </w:tr>
      <w:tr w:rsidR="00732122" w:rsidRPr="00421A72">
        <w:tc>
          <w:tcPr>
            <w:tcW w:w="10089" w:type="dxa"/>
          </w:tcPr>
          <w:p w:rsidR="00732122" w:rsidRPr="00421A72" w:rsidRDefault="00732122" w:rsidP="00AD267B">
            <w:pPr>
              <w:spacing w:before="80" w:line="280" w:lineRule="exact"/>
              <w:ind w:right="640"/>
              <w:rPr>
                <w:rFonts w:ascii="Tahoma" w:hAnsi="Tahoma" w:cs="Tahoma"/>
                <w:b/>
                <w:bCs/>
                <w:iCs/>
                <w:color w:val="243285"/>
                <w:sz w:val="32"/>
                <w:szCs w:val="32"/>
                <w:lang w:val="fr-CH"/>
              </w:rPr>
            </w:pPr>
          </w:p>
          <w:p w:rsidR="00732122" w:rsidRPr="00421A72" w:rsidRDefault="00732122" w:rsidP="00AD267B">
            <w:pPr>
              <w:spacing w:before="80" w:line="280" w:lineRule="exact"/>
              <w:ind w:right="640"/>
              <w:rPr>
                <w:rFonts w:ascii="Tahoma" w:hAnsi="Tahoma" w:cs="Tahoma"/>
                <w:b/>
                <w:bCs/>
                <w:iCs/>
                <w:color w:val="243285"/>
                <w:sz w:val="32"/>
                <w:szCs w:val="32"/>
                <w:lang w:val="fr-CH"/>
              </w:rPr>
            </w:pPr>
          </w:p>
          <w:p w:rsidR="00732122" w:rsidRPr="00421A72" w:rsidRDefault="00732122" w:rsidP="004A4D65">
            <w:pPr>
              <w:spacing w:before="80" w:after="180" w:line="360" w:lineRule="exact"/>
              <w:ind w:right="720"/>
              <w:rPr>
                <w:rFonts w:ascii="Tahoma" w:hAnsi="Tahoma" w:cs="Tahoma"/>
                <w:b/>
                <w:bCs/>
                <w:iCs/>
                <w:color w:val="243285"/>
                <w:sz w:val="36"/>
                <w:szCs w:val="36"/>
                <w:lang w:val="fr-CH"/>
              </w:rPr>
            </w:pPr>
          </w:p>
          <w:p w:rsidR="00732122" w:rsidRPr="00421A72" w:rsidRDefault="00732122" w:rsidP="00E80F1D">
            <w:pPr>
              <w:spacing w:before="80" w:after="180" w:line="360" w:lineRule="exact"/>
              <w:jc w:val="right"/>
              <w:rPr>
                <w:rFonts w:ascii="Tahoma" w:hAnsi="Tahoma" w:cs="Tahoma"/>
                <w:b/>
                <w:bCs/>
                <w:iCs/>
                <w:color w:val="243285"/>
                <w:sz w:val="36"/>
                <w:szCs w:val="36"/>
                <w:lang w:val="fr-CH"/>
              </w:rPr>
            </w:pPr>
            <w:r w:rsidRPr="00421A72">
              <w:rPr>
                <w:rFonts w:ascii="Tahoma" w:hAnsi="Tahoma" w:cs="Tahoma"/>
                <w:b/>
                <w:bCs/>
                <w:iCs/>
                <w:color w:val="243285"/>
                <w:sz w:val="36"/>
                <w:szCs w:val="36"/>
                <w:lang w:val="fr-CH"/>
              </w:rPr>
              <w:t>Série F</w:t>
            </w:r>
          </w:p>
          <w:p w:rsidR="00732122" w:rsidRPr="00421A72" w:rsidRDefault="00732122" w:rsidP="00AD267B">
            <w:pPr>
              <w:spacing w:before="80" w:line="420" w:lineRule="exact"/>
              <w:jc w:val="right"/>
              <w:rPr>
                <w:rFonts w:ascii="Tahoma" w:hAnsi="Tahoma" w:cs="Tahoma"/>
                <w:b/>
                <w:bCs/>
                <w:iCs/>
                <w:color w:val="243285"/>
                <w:sz w:val="36"/>
                <w:szCs w:val="36"/>
                <w:lang w:val="fr-CH"/>
              </w:rPr>
            </w:pPr>
            <w:r w:rsidRPr="00421A72">
              <w:rPr>
                <w:rFonts w:ascii="Tahoma" w:hAnsi="Tahoma" w:cs="Tahoma"/>
                <w:b/>
                <w:bCs/>
                <w:iCs/>
                <w:color w:val="243285"/>
                <w:sz w:val="36"/>
                <w:szCs w:val="36"/>
                <w:lang w:val="fr-CH"/>
              </w:rPr>
              <w:t>Service fixe</w:t>
            </w:r>
          </w:p>
        </w:tc>
      </w:tr>
    </w:tbl>
    <w:p w:rsidR="00732122" w:rsidRPr="00421A72" w:rsidRDefault="00732122" w:rsidP="00CD659B">
      <w:pPr>
        <w:spacing w:before="80"/>
        <w:rPr>
          <w:i/>
          <w:sz w:val="22"/>
          <w:lang w:val="fr-CH"/>
        </w:rPr>
      </w:pPr>
    </w:p>
    <w:p w:rsidR="00732122" w:rsidRPr="00421A72" w:rsidRDefault="00732122" w:rsidP="00CD659B">
      <w:pPr>
        <w:spacing w:before="80"/>
        <w:rPr>
          <w:i/>
          <w:sz w:val="22"/>
          <w:lang w:val="fr-CH"/>
        </w:rPr>
      </w:pPr>
    </w:p>
    <w:p w:rsidR="00732122" w:rsidRPr="00421A72" w:rsidRDefault="00732122" w:rsidP="00CD659B">
      <w:pPr>
        <w:spacing w:before="80"/>
        <w:rPr>
          <w:i/>
          <w:sz w:val="22"/>
          <w:lang w:val="fr-CH"/>
        </w:rPr>
      </w:pPr>
    </w:p>
    <w:p w:rsidR="00732122" w:rsidRPr="00421A72" w:rsidRDefault="00732122" w:rsidP="00CD659B">
      <w:pPr>
        <w:spacing w:before="80"/>
        <w:rPr>
          <w:i/>
          <w:sz w:val="22"/>
          <w:lang w:val="fr-CH"/>
        </w:rPr>
      </w:pPr>
    </w:p>
    <w:p w:rsidR="00732122" w:rsidRPr="00421A72" w:rsidRDefault="00732122" w:rsidP="00CD659B">
      <w:pPr>
        <w:spacing w:before="80"/>
        <w:rPr>
          <w:i/>
          <w:sz w:val="22"/>
          <w:lang w:val="fr-CH"/>
        </w:rPr>
      </w:pPr>
    </w:p>
    <w:p w:rsidR="00732122" w:rsidRPr="00421A72" w:rsidRDefault="00732122" w:rsidP="00CD659B">
      <w:pPr>
        <w:spacing w:before="80"/>
        <w:rPr>
          <w:i/>
          <w:sz w:val="22"/>
          <w:lang w:val="fr-CH"/>
        </w:rPr>
      </w:pPr>
    </w:p>
    <w:p w:rsidR="00732122" w:rsidRPr="00421A72" w:rsidRDefault="00732122" w:rsidP="00CD659B">
      <w:pPr>
        <w:pStyle w:val="Equation"/>
        <w:tabs>
          <w:tab w:val="clear" w:pos="4820"/>
          <w:tab w:val="clear" w:pos="9639"/>
          <w:tab w:val="left" w:pos="1191"/>
          <w:tab w:val="left" w:pos="1588"/>
          <w:tab w:val="left" w:pos="1985"/>
        </w:tabs>
        <w:rPr>
          <w:rFonts w:ascii="Palatino Linotype" w:hAnsi="Palatino Linotype"/>
          <w:lang w:val="fr-CH"/>
        </w:rPr>
        <w:sectPr w:rsidR="00732122" w:rsidRPr="00421A72" w:rsidSect="000A4682">
          <w:headerReference w:type="even" r:id="rId6"/>
          <w:headerReference w:type="default" r:id="rId7"/>
          <w:pgSz w:w="11907" w:h="16834" w:code="9"/>
          <w:pgMar w:top="1418" w:right="1134" w:bottom="1134" w:left="1134" w:header="720" w:footer="482" w:gutter="0"/>
          <w:paperSrc w:first="15" w:other="15"/>
          <w:cols w:space="720"/>
        </w:sectPr>
      </w:pPr>
    </w:p>
    <w:p w:rsidR="00732122" w:rsidRPr="00421A72" w:rsidRDefault="00732122"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421A72">
        <w:rPr>
          <w:bCs/>
          <w:sz w:val="24"/>
          <w:szCs w:val="24"/>
          <w:lang w:val="fr-CH"/>
        </w:rPr>
        <w:lastRenderedPageBreak/>
        <w:t>Avant-propos</w:t>
      </w:r>
    </w:p>
    <w:p w:rsidR="00732122" w:rsidRPr="00421A72" w:rsidRDefault="00732122" w:rsidP="00F54FBD">
      <w:pPr>
        <w:spacing w:before="240"/>
        <w:rPr>
          <w:sz w:val="20"/>
          <w:lang w:val="fr-CH"/>
        </w:rPr>
      </w:pPr>
      <w:r w:rsidRPr="00421A72">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32122" w:rsidRPr="00421A72" w:rsidRDefault="00732122" w:rsidP="00F54FBD">
      <w:pPr>
        <w:rPr>
          <w:sz w:val="20"/>
          <w:lang w:val="fr-CH"/>
        </w:rPr>
      </w:pPr>
      <w:r w:rsidRPr="00421A72">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32122" w:rsidRPr="00421A72" w:rsidRDefault="00732122" w:rsidP="00614CC6">
      <w:pPr>
        <w:pStyle w:val="Heading1"/>
        <w:spacing w:before="360"/>
        <w:jc w:val="center"/>
        <w:rPr>
          <w:szCs w:val="24"/>
          <w:lang w:val="fr-CH"/>
        </w:rPr>
      </w:pPr>
      <w:r w:rsidRPr="00421A72">
        <w:rPr>
          <w:szCs w:val="24"/>
          <w:lang w:val="fr-CH"/>
        </w:rPr>
        <w:t>Politique en matière de droits de propriété intellectuelle (IPR)</w:t>
      </w:r>
    </w:p>
    <w:p w:rsidR="00732122" w:rsidRPr="00421A72" w:rsidRDefault="00732122" w:rsidP="00E44CBB">
      <w:pPr>
        <w:spacing w:before="240"/>
        <w:rPr>
          <w:sz w:val="20"/>
          <w:lang w:val="fr-CH"/>
        </w:rPr>
      </w:pPr>
      <w:r w:rsidRPr="00421A72">
        <w:rPr>
          <w:sz w:val="20"/>
          <w:lang w:val="fr-CH"/>
        </w:rPr>
        <w:t>La politique de l'UIT</w:t>
      </w:r>
      <w:r w:rsidRPr="00421A72">
        <w:rPr>
          <w:sz w:val="20"/>
          <w:lang w:val="fr-CH"/>
        </w:rPr>
        <w:noBreakHyphen/>
        <w:t>R en matière de droits de propriété intellectuelle est décrite dans la «Politique commune de l'UIT</w:t>
      </w:r>
      <w:r w:rsidRPr="00421A72">
        <w:rPr>
          <w:sz w:val="20"/>
          <w:lang w:val="fr-CH"/>
        </w:rPr>
        <w:noBreakHyphen/>
        <w:t>T, l'UIT</w:t>
      </w:r>
      <w:r w:rsidRPr="00421A72">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421A72">
          <w:rPr>
            <w:rStyle w:val="Hyperlink"/>
            <w:sz w:val="20"/>
            <w:lang w:val="fr-CH"/>
          </w:rPr>
          <w:t>http://www.itu.int/ITU-R/go/patents/fr</w:t>
        </w:r>
      </w:hyperlink>
      <w:r w:rsidRPr="00421A72">
        <w:rPr>
          <w:sz w:val="20"/>
          <w:lang w:val="fr-CH"/>
        </w:rPr>
        <w:t>, où l'on trouvera également les Lignes directrices pour la mise en oeuvre de la politique commune en matière de brevets de l'UIT</w:t>
      </w:r>
      <w:r w:rsidRPr="00421A72">
        <w:rPr>
          <w:sz w:val="20"/>
          <w:lang w:val="fr-CH"/>
        </w:rPr>
        <w:noBreakHyphen/>
        <w:t>T, l'UIT</w:t>
      </w:r>
      <w:r w:rsidRPr="00421A72">
        <w:rPr>
          <w:sz w:val="20"/>
          <w:lang w:val="fr-CH"/>
        </w:rPr>
        <w:noBreakHyphen/>
        <w:t>R, l'ISO et la CEI</w:t>
      </w:r>
      <w:r w:rsidRPr="00421A72" w:rsidDel="0061025C">
        <w:rPr>
          <w:sz w:val="20"/>
          <w:lang w:val="fr-CH"/>
        </w:rPr>
        <w:t xml:space="preserve"> </w:t>
      </w:r>
      <w:r w:rsidRPr="00421A72">
        <w:rPr>
          <w:sz w:val="20"/>
          <w:lang w:val="fr-CH"/>
        </w:rPr>
        <w:t>et la base de données en matière de brevets de l'UIT-R.</w:t>
      </w:r>
    </w:p>
    <w:p w:rsidR="00732122" w:rsidRPr="00421A72" w:rsidRDefault="00732122"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32122" w:rsidRPr="00421A72">
        <w:tc>
          <w:tcPr>
            <w:tcW w:w="9360" w:type="dxa"/>
            <w:gridSpan w:val="2"/>
          </w:tcPr>
          <w:p w:rsidR="00732122" w:rsidRPr="00421A72" w:rsidRDefault="00732122"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421A72">
              <w:rPr>
                <w:sz w:val="22"/>
                <w:szCs w:val="22"/>
                <w:lang w:val="fr-CH"/>
              </w:rPr>
              <w:t xml:space="preserve">Séries des Recommandations UIT-R </w:t>
            </w:r>
          </w:p>
          <w:p w:rsidR="00732122" w:rsidRPr="00421A72" w:rsidRDefault="0073212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421A72">
              <w:rPr>
                <w:b w:val="0"/>
                <w:sz w:val="18"/>
                <w:szCs w:val="18"/>
                <w:lang w:val="fr-CH"/>
              </w:rPr>
              <w:t xml:space="preserve">(Egalement disponible en ligne: </w:t>
            </w:r>
            <w:hyperlink r:id="rId9" w:history="1">
              <w:r w:rsidRPr="00421A72">
                <w:rPr>
                  <w:rStyle w:val="Hyperlink"/>
                  <w:b w:val="0"/>
                  <w:bCs/>
                  <w:sz w:val="18"/>
                  <w:szCs w:val="18"/>
                  <w:lang w:val="fr-CH"/>
                </w:rPr>
                <w:t>http://www.itu.int/publ/R-REC/fr</w:t>
              </w:r>
            </w:hyperlink>
            <w:r w:rsidRPr="00421A72">
              <w:rPr>
                <w:b w:val="0"/>
                <w:bCs/>
                <w:sz w:val="18"/>
                <w:szCs w:val="18"/>
                <w:lang w:val="fr-CH"/>
              </w:rPr>
              <w:t>)</w:t>
            </w:r>
          </w:p>
        </w:tc>
      </w:tr>
      <w:tr w:rsidR="00732122" w:rsidRPr="00421A72" w:rsidTr="005E427C">
        <w:tc>
          <w:tcPr>
            <w:tcW w:w="1140" w:type="dxa"/>
            <w:tcBorders>
              <w:bottom w:val="nil"/>
            </w:tcBorders>
          </w:tcPr>
          <w:p w:rsidR="00732122" w:rsidRPr="00421A72" w:rsidRDefault="00732122" w:rsidP="00614CC6">
            <w:pPr>
              <w:spacing w:before="90" w:after="100"/>
              <w:ind w:left="57"/>
              <w:rPr>
                <w:b/>
                <w:bCs/>
                <w:sz w:val="20"/>
                <w:lang w:val="fr-CH"/>
              </w:rPr>
            </w:pPr>
            <w:r w:rsidRPr="00421A72">
              <w:rPr>
                <w:b/>
                <w:bCs/>
                <w:sz w:val="20"/>
                <w:lang w:val="fr-CH"/>
              </w:rPr>
              <w:t>Séries</w:t>
            </w:r>
          </w:p>
        </w:tc>
        <w:tc>
          <w:tcPr>
            <w:tcW w:w="8220" w:type="dxa"/>
            <w:tcBorders>
              <w:bottom w:val="nil"/>
            </w:tcBorders>
          </w:tcPr>
          <w:p w:rsidR="00732122" w:rsidRPr="00421A72" w:rsidRDefault="00732122"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421A72">
              <w:rPr>
                <w:bCs/>
                <w:sz w:val="20"/>
                <w:lang w:val="fr-CH"/>
              </w:rPr>
              <w:t>Titre</w:t>
            </w:r>
          </w:p>
        </w:tc>
      </w:tr>
      <w:tr w:rsidR="00732122" w:rsidRPr="00421A72" w:rsidTr="005E427C">
        <w:tc>
          <w:tcPr>
            <w:tcW w:w="1140" w:type="dxa"/>
            <w:tcBorders>
              <w:top w:val="nil"/>
              <w:bottom w:val="nil"/>
            </w:tcBorders>
            <w:shd w:val="clear" w:color="auto" w:fill="auto"/>
          </w:tcPr>
          <w:p w:rsidR="00732122" w:rsidRPr="00421A72" w:rsidRDefault="00732122" w:rsidP="00F336CC">
            <w:pPr>
              <w:spacing w:before="30" w:after="30"/>
              <w:ind w:left="57"/>
              <w:jc w:val="left"/>
              <w:rPr>
                <w:b/>
                <w:bCs/>
                <w:sz w:val="20"/>
                <w:lang w:val="fr-CH"/>
              </w:rPr>
            </w:pPr>
            <w:r w:rsidRPr="00421A72">
              <w:rPr>
                <w:b/>
                <w:bCs/>
                <w:sz w:val="20"/>
                <w:lang w:val="fr-CH"/>
              </w:rPr>
              <w:t>BO</w:t>
            </w:r>
          </w:p>
        </w:tc>
        <w:tc>
          <w:tcPr>
            <w:tcW w:w="8220" w:type="dxa"/>
            <w:tcBorders>
              <w:top w:val="nil"/>
              <w:bottom w:val="nil"/>
            </w:tcBorders>
            <w:shd w:val="clear" w:color="auto" w:fill="auto"/>
          </w:tcPr>
          <w:p w:rsidR="00732122" w:rsidRPr="00421A72" w:rsidRDefault="0073212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21A72">
              <w:rPr>
                <w:b w:val="0"/>
                <w:sz w:val="20"/>
                <w:lang w:val="fr-CH"/>
              </w:rPr>
              <w:t>Diffusion par satellite</w:t>
            </w:r>
          </w:p>
        </w:tc>
      </w:tr>
      <w:tr w:rsidR="00732122" w:rsidRPr="00421A72" w:rsidTr="00E80F1D">
        <w:tc>
          <w:tcPr>
            <w:tcW w:w="1140" w:type="dxa"/>
            <w:tcBorders>
              <w:top w:val="nil"/>
              <w:bottom w:val="nil"/>
            </w:tcBorders>
          </w:tcPr>
          <w:p w:rsidR="00732122" w:rsidRPr="00421A72" w:rsidRDefault="00732122" w:rsidP="00F336CC">
            <w:pPr>
              <w:spacing w:before="30" w:after="30"/>
              <w:ind w:left="57"/>
              <w:jc w:val="left"/>
              <w:rPr>
                <w:b/>
                <w:bCs/>
                <w:sz w:val="20"/>
                <w:lang w:val="fr-CH"/>
              </w:rPr>
            </w:pPr>
            <w:r w:rsidRPr="00421A72">
              <w:rPr>
                <w:b/>
                <w:bCs/>
                <w:sz w:val="20"/>
                <w:lang w:val="fr-CH"/>
              </w:rPr>
              <w:t>BR</w:t>
            </w:r>
          </w:p>
        </w:tc>
        <w:tc>
          <w:tcPr>
            <w:tcW w:w="8220" w:type="dxa"/>
            <w:tcBorders>
              <w:top w:val="nil"/>
              <w:bottom w:val="nil"/>
            </w:tcBorders>
          </w:tcPr>
          <w:p w:rsidR="00732122" w:rsidRPr="00421A72" w:rsidRDefault="0073212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21A72">
              <w:rPr>
                <w:b w:val="0"/>
                <w:bCs/>
                <w:sz w:val="20"/>
                <w:lang w:val="fr-CH"/>
              </w:rPr>
              <w:t>Enregistrement pour la production, l'archivage et la diffusion; films pour la télévision</w:t>
            </w:r>
          </w:p>
        </w:tc>
      </w:tr>
      <w:tr w:rsidR="00732122" w:rsidRPr="00421A72" w:rsidTr="00E80F1D">
        <w:tc>
          <w:tcPr>
            <w:tcW w:w="1140" w:type="dxa"/>
            <w:tcBorders>
              <w:top w:val="nil"/>
              <w:bottom w:val="nil"/>
            </w:tcBorders>
            <w:shd w:val="clear" w:color="auto" w:fill="auto"/>
          </w:tcPr>
          <w:p w:rsidR="00732122" w:rsidRPr="00421A72" w:rsidRDefault="00732122" w:rsidP="00F336CC">
            <w:pPr>
              <w:spacing w:before="30" w:after="30"/>
              <w:ind w:left="57"/>
              <w:jc w:val="left"/>
              <w:rPr>
                <w:b/>
                <w:bCs/>
                <w:sz w:val="20"/>
                <w:lang w:val="fr-CH"/>
              </w:rPr>
            </w:pPr>
            <w:r w:rsidRPr="00421A72">
              <w:rPr>
                <w:b/>
                <w:bCs/>
                <w:sz w:val="20"/>
                <w:lang w:val="fr-CH"/>
              </w:rPr>
              <w:t>BS</w:t>
            </w:r>
          </w:p>
        </w:tc>
        <w:tc>
          <w:tcPr>
            <w:tcW w:w="8220" w:type="dxa"/>
            <w:tcBorders>
              <w:top w:val="nil"/>
              <w:bottom w:val="nil"/>
            </w:tcBorders>
            <w:shd w:val="clear" w:color="auto" w:fill="auto"/>
          </w:tcPr>
          <w:p w:rsidR="00732122" w:rsidRPr="00421A72" w:rsidRDefault="0073212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21A72">
              <w:rPr>
                <w:b w:val="0"/>
                <w:sz w:val="20"/>
                <w:lang w:val="fr-CH"/>
              </w:rPr>
              <w:t>Service de radiodiffusion sonore</w:t>
            </w:r>
          </w:p>
        </w:tc>
      </w:tr>
      <w:tr w:rsidR="00732122" w:rsidRPr="00421A72" w:rsidTr="00E80F1D">
        <w:tc>
          <w:tcPr>
            <w:tcW w:w="1140" w:type="dxa"/>
            <w:tcBorders>
              <w:top w:val="nil"/>
              <w:bottom w:val="nil"/>
            </w:tcBorders>
            <w:shd w:val="clear" w:color="auto" w:fill="auto"/>
          </w:tcPr>
          <w:p w:rsidR="00732122" w:rsidRPr="00421A72" w:rsidRDefault="00732122" w:rsidP="00F336CC">
            <w:pPr>
              <w:spacing w:before="30" w:after="30"/>
              <w:ind w:left="57"/>
              <w:jc w:val="left"/>
              <w:rPr>
                <w:b/>
                <w:bCs/>
                <w:sz w:val="20"/>
                <w:lang w:val="fr-CH"/>
              </w:rPr>
            </w:pPr>
            <w:r w:rsidRPr="00421A72">
              <w:rPr>
                <w:b/>
                <w:bCs/>
                <w:sz w:val="20"/>
                <w:lang w:val="fr-CH"/>
              </w:rPr>
              <w:t>BT</w:t>
            </w:r>
          </w:p>
        </w:tc>
        <w:tc>
          <w:tcPr>
            <w:tcW w:w="8220" w:type="dxa"/>
            <w:tcBorders>
              <w:top w:val="nil"/>
              <w:bottom w:val="nil"/>
            </w:tcBorders>
            <w:shd w:val="clear" w:color="auto" w:fill="auto"/>
          </w:tcPr>
          <w:p w:rsidR="00732122" w:rsidRPr="00421A72" w:rsidRDefault="0073212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21A72">
              <w:rPr>
                <w:b w:val="0"/>
                <w:bCs/>
                <w:sz w:val="20"/>
                <w:lang w:val="fr-CH"/>
              </w:rPr>
              <w:t>Service de radiodiffusion télévisuelle</w:t>
            </w:r>
          </w:p>
        </w:tc>
      </w:tr>
      <w:tr w:rsidR="00732122" w:rsidRPr="00421A72" w:rsidTr="00E80F1D">
        <w:tc>
          <w:tcPr>
            <w:tcW w:w="1140" w:type="dxa"/>
            <w:tcBorders>
              <w:top w:val="nil"/>
              <w:bottom w:val="nil"/>
            </w:tcBorders>
            <w:shd w:val="clear" w:color="auto" w:fill="F3F3F3"/>
          </w:tcPr>
          <w:p w:rsidR="00732122" w:rsidRPr="00421A72" w:rsidRDefault="00732122" w:rsidP="00F336CC">
            <w:pPr>
              <w:spacing w:before="30" w:after="30"/>
              <w:ind w:left="57"/>
              <w:jc w:val="left"/>
              <w:rPr>
                <w:b/>
                <w:bCs/>
                <w:color w:val="000080"/>
                <w:sz w:val="20"/>
                <w:lang w:val="fr-CH"/>
              </w:rPr>
            </w:pPr>
            <w:r w:rsidRPr="00421A72">
              <w:rPr>
                <w:b/>
                <w:bCs/>
                <w:color w:val="000080"/>
                <w:sz w:val="20"/>
                <w:lang w:val="fr-CH"/>
              </w:rPr>
              <w:t>F</w:t>
            </w:r>
          </w:p>
        </w:tc>
        <w:tc>
          <w:tcPr>
            <w:tcW w:w="8220" w:type="dxa"/>
            <w:tcBorders>
              <w:top w:val="nil"/>
              <w:bottom w:val="nil"/>
            </w:tcBorders>
            <w:shd w:val="clear" w:color="auto" w:fill="F3F3F3"/>
          </w:tcPr>
          <w:p w:rsidR="00732122" w:rsidRPr="00421A72" w:rsidRDefault="00732122"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421A72">
              <w:rPr>
                <w:b/>
                <w:bCs/>
                <w:color w:val="000080"/>
                <w:sz w:val="20"/>
                <w:lang w:val="fr-CH"/>
              </w:rPr>
              <w:t>Service fixe</w:t>
            </w:r>
          </w:p>
        </w:tc>
      </w:tr>
      <w:tr w:rsidR="00732122" w:rsidRPr="00421A72" w:rsidTr="00B21066">
        <w:tc>
          <w:tcPr>
            <w:tcW w:w="1140" w:type="dxa"/>
            <w:tcBorders>
              <w:top w:val="nil"/>
              <w:bottom w:val="nil"/>
            </w:tcBorders>
            <w:shd w:val="clear" w:color="auto" w:fill="auto"/>
          </w:tcPr>
          <w:p w:rsidR="00732122" w:rsidRPr="00421A72" w:rsidRDefault="00732122" w:rsidP="00F336CC">
            <w:pPr>
              <w:spacing w:before="30" w:after="30"/>
              <w:ind w:left="57"/>
              <w:jc w:val="left"/>
              <w:rPr>
                <w:b/>
                <w:bCs/>
                <w:sz w:val="20"/>
                <w:lang w:val="fr-CH"/>
              </w:rPr>
            </w:pPr>
            <w:r w:rsidRPr="00421A72">
              <w:rPr>
                <w:b/>
                <w:bCs/>
                <w:sz w:val="20"/>
                <w:lang w:val="fr-CH"/>
              </w:rPr>
              <w:t>M</w:t>
            </w:r>
          </w:p>
        </w:tc>
        <w:tc>
          <w:tcPr>
            <w:tcW w:w="8220" w:type="dxa"/>
            <w:tcBorders>
              <w:top w:val="nil"/>
              <w:bottom w:val="nil"/>
            </w:tcBorders>
            <w:shd w:val="clear" w:color="auto" w:fill="auto"/>
          </w:tcPr>
          <w:p w:rsidR="00732122" w:rsidRPr="00421A72" w:rsidRDefault="0073212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21A72">
              <w:rPr>
                <w:b w:val="0"/>
                <w:sz w:val="20"/>
                <w:lang w:val="fr-CH"/>
              </w:rPr>
              <w:t>Services mobile, de radiorepérage et d'amateur y compris les services par satellite associés</w:t>
            </w:r>
          </w:p>
        </w:tc>
      </w:tr>
      <w:tr w:rsidR="00732122" w:rsidRPr="00421A72" w:rsidTr="00B21066">
        <w:tc>
          <w:tcPr>
            <w:tcW w:w="1140" w:type="dxa"/>
            <w:tcBorders>
              <w:top w:val="nil"/>
            </w:tcBorders>
          </w:tcPr>
          <w:p w:rsidR="00732122" w:rsidRPr="00421A72" w:rsidRDefault="00732122" w:rsidP="00F336CC">
            <w:pPr>
              <w:spacing w:before="30" w:after="30"/>
              <w:ind w:left="57"/>
              <w:jc w:val="left"/>
              <w:rPr>
                <w:b/>
                <w:bCs/>
                <w:sz w:val="20"/>
                <w:lang w:val="fr-CH"/>
              </w:rPr>
            </w:pPr>
            <w:r w:rsidRPr="00421A72">
              <w:rPr>
                <w:b/>
                <w:bCs/>
                <w:sz w:val="20"/>
                <w:lang w:val="fr-CH"/>
              </w:rPr>
              <w:t>P</w:t>
            </w:r>
          </w:p>
        </w:tc>
        <w:tc>
          <w:tcPr>
            <w:tcW w:w="8220" w:type="dxa"/>
            <w:tcBorders>
              <w:top w:val="nil"/>
            </w:tcBorders>
          </w:tcPr>
          <w:p w:rsidR="00732122" w:rsidRPr="00421A72" w:rsidRDefault="00732122" w:rsidP="00F336CC">
            <w:pPr>
              <w:spacing w:before="30" w:after="30"/>
              <w:jc w:val="left"/>
              <w:rPr>
                <w:sz w:val="20"/>
                <w:lang w:val="fr-CH"/>
              </w:rPr>
            </w:pPr>
            <w:r w:rsidRPr="00421A72">
              <w:rPr>
                <w:sz w:val="20"/>
                <w:lang w:val="fr-CH"/>
              </w:rPr>
              <w:t>Propagation des ondes radioélectriques</w:t>
            </w:r>
          </w:p>
        </w:tc>
      </w:tr>
      <w:tr w:rsidR="00732122" w:rsidRPr="00421A72">
        <w:tc>
          <w:tcPr>
            <w:tcW w:w="1140" w:type="dxa"/>
          </w:tcPr>
          <w:p w:rsidR="00732122" w:rsidRPr="00421A72" w:rsidRDefault="00732122" w:rsidP="00F336CC">
            <w:pPr>
              <w:spacing w:before="30" w:after="30"/>
              <w:ind w:left="57"/>
              <w:jc w:val="left"/>
              <w:rPr>
                <w:b/>
                <w:bCs/>
                <w:sz w:val="20"/>
                <w:lang w:val="fr-CH"/>
              </w:rPr>
            </w:pPr>
            <w:r w:rsidRPr="00421A72">
              <w:rPr>
                <w:b/>
                <w:bCs/>
                <w:sz w:val="20"/>
                <w:lang w:val="fr-CH"/>
              </w:rPr>
              <w:t>RA</w:t>
            </w:r>
          </w:p>
        </w:tc>
        <w:tc>
          <w:tcPr>
            <w:tcW w:w="8220" w:type="dxa"/>
          </w:tcPr>
          <w:p w:rsidR="00732122" w:rsidRPr="00421A72" w:rsidRDefault="00732122"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21A72">
              <w:rPr>
                <w:sz w:val="20"/>
                <w:lang w:val="fr-CH"/>
              </w:rPr>
              <w:t>Radio astronomie</w:t>
            </w:r>
          </w:p>
        </w:tc>
      </w:tr>
      <w:tr w:rsidR="00732122" w:rsidRPr="00421A72">
        <w:tc>
          <w:tcPr>
            <w:tcW w:w="1140" w:type="dxa"/>
          </w:tcPr>
          <w:p w:rsidR="00732122" w:rsidRPr="00421A72" w:rsidRDefault="00732122" w:rsidP="00F336CC">
            <w:pPr>
              <w:spacing w:before="30" w:after="30"/>
              <w:ind w:left="57"/>
              <w:jc w:val="left"/>
              <w:rPr>
                <w:b/>
                <w:bCs/>
                <w:sz w:val="20"/>
                <w:lang w:val="fr-CH"/>
              </w:rPr>
            </w:pPr>
            <w:r w:rsidRPr="00421A72">
              <w:rPr>
                <w:b/>
                <w:bCs/>
                <w:sz w:val="20"/>
                <w:lang w:val="fr-CH"/>
              </w:rPr>
              <w:t>RS</w:t>
            </w:r>
          </w:p>
        </w:tc>
        <w:tc>
          <w:tcPr>
            <w:tcW w:w="8220" w:type="dxa"/>
          </w:tcPr>
          <w:p w:rsidR="00732122" w:rsidRPr="00421A72" w:rsidRDefault="00732122"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21A72">
              <w:rPr>
                <w:sz w:val="20"/>
                <w:lang w:val="fr-CH"/>
              </w:rPr>
              <w:t>Systèmes de télédétection</w:t>
            </w:r>
          </w:p>
        </w:tc>
      </w:tr>
      <w:tr w:rsidR="00732122" w:rsidRPr="00421A72">
        <w:tc>
          <w:tcPr>
            <w:tcW w:w="1140" w:type="dxa"/>
          </w:tcPr>
          <w:p w:rsidR="00732122" w:rsidRPr="00421A72" w:rsidRDefault="00732122" w:rsidP="00F336CC">
            <w:pPr>
              <w:spacing w:before="30" w:after="30"/>
              <w:ind w:left="57"/>
              <w:jc w:val="left"/>
              <w:rPr>
                <w:b/>
                <w:bCs/>
                <w:sz w:val="20"/>
                <w:lang w:val="fr-CH"/>
              </w:rPr>
            </w:pPr>
            <w:r w:rsidRPr="00421A72">
              <w:rPr>
                <w:b/>
                <w:bCs/>
                <w:sz w:val="20"/>
                <w:lang w:val="fr-CH"/>
              </w:rPr>
              <w:t>S</w:t>
            </w:r>
          </w:p>
        </w:tc>
        <w:tc>
          <w:tcPr>
            <w:tcW w:w="8220" w:type="dxa"/>
          </w:tcPr>
          <w:p w:rsidR="00732122" w:rsidRPr="00421A72" w:rsidRDefault="00732122" w:rsidP="00F336CC">
            <w:pPr>
              <w:spacing w:before="30" w:after="30"/>
              <w:jc w:val="left"/>
              <w:rPr>
                <w:sz w:val="20"/>
                <w:lang w:val="fr-CH"/>
              </w:rPr>
            </w:pPr>
            <w:r w:rsidRPr="00421A72">
              <w:rPr>
                <w:sz w:val="20"/>
                <w:lang w:val="fr-CH"/>
              </w:rPr>
              <w:t>Service fixe par satellite</w:t>
            </w:r>
          </w:p>
        </w:tc>
      </w:tr>
      <w:tr w:rsidR="00732122" w:rsidRPr="00421A72">
        <w:tc>
          <w:tcPr>
            <w:tcW w:w="1140" w:type="dxa"/>
          </w:tcPr>
          <w:p w:rsidR="00732122" w:rsidRPr="00421A72" w:rsidRDefault="00732122" w:rsidP="00F336CC">
            <w:pPr>
              <w:spacing w:before="30" w:after="30"/>
              <w:ind w:left="57"/>
              <w:jc w:val="left"/>
              <w:rPr>
                <w:b/>
                <w:bCs/>
                <w:sz w:val="20"/>
                <w:lang w:val="fr-CH"/>
              </w:rPr>
            </w:pPr>
            <w:r w:rsidRPr="00421A72">
              <w:rPr>
                <w:b/>
                <w:bCs/>
                <w:sz w:val="20"/>
                <w:lang w:val="fr-CH"/>
              </w:rPr>
              <w:t>SA</w:t>
            </w:r>
          </w:p>
        </w:tc>
        <w:tc>
          <w:tcPr>
            <w:tcW w:w="8220" w:type="dxa"/>
          </w:tcPr>
          <w:p w:rsidR="00732122" w:rsidRPr="00421A72" w:rsidRDefault="00732122" w:rsidP="00F336CC">
            <w:pPr>
              <w:spacing w:before="30" w:after="30"/>
              <w:jc w:val="left"/>
              <w:rPr>
                <w:sz w:val="20"/>
                <w:lang w:val="fr-CH"/>
              </w:rPr>
            </w:pPr>
            <w:r w:rsidRPr="00421A72">
              <w:rPr>
                <w:sz w:val="20"/>
                <w:lang w:val="fr-CH"/>
              </w:rPr>
              <w:t>Applications spatiales et météorologie</w:t>
            </w:r>
          </w:p>
        </w:tc>
      </w:tr>
      <w:tr w:rsidR="00732122" w:rsidRPr="00421A72">
        <w:tc>
          <w:tcPr>
            <w:tcW w:w="1140" w:type="dxa"/>
          </w:tcPr>
          <w:p w:rsidR="00732122" w:rsidRPr="00421A72" w:rsidRDefault="00732122" w:rsidP="00F336CC">
            <w:pPr>
              <w:spacing w:before="30" w:after="30"/>
              <w:ind w:left="57"/>
              <w:jc w:val="left"/>
              <w:rPr>
                <w:b/>
                <w:bCs/>
                <w:sz w:val="20"/>
                <w:lang w:val="fr-CH"/>
              </w:rPr>
            </w:pPr>
            <w:r w:rsidRPr="00421A72">
              <w:rPr>
                <w:b/>
                <w:bCs/>
                <w:sz w:val="20"/>
                <w:lang w:val="fr-CH"/>
              </w:rPr>
              <w:t>SF</w:t>
            </w:r>
          </w:p>
        </w:tc>
        <w:tc>
          <w:tcPr>
            <w:tcW w:w="8220" w:type="dxa"/>
          </w:tcPr>
          <w:p w:rsidR="00732122" w:rsidRPr="00421A72" w:rsidRDefault="00732122" w:rsidP="00F336CC">
            <w:pPr>
              <w:spacing w:before="30" w:after="30"/>
              <w:jc w:val="left"/>
              <w:rPr>
                <w:sz w:val="20"/>
                <w:lang w:val="fr-CH"/>
              </w:rPr>
            </w:pPr>
            <w:r w:rsidRPr="00421A72">
              <w:rPr>
                <w:sz w:val="20"/>
                <w:lang w:val="fr-CH"/>
              </w:rPr>
              <w:t>Partage des fréquences et coordination entre les systèmes du service fixe par satellite et du service fixe</w:t>
            </w:r>
          </w:p>
        </w:tc>
      </w:tr>
      <w:tr w:rsidR="00732122" w:rsidRPr="00421A72">
        <w:tc>
          <w:tcPr>
            <w:tcW w:w="1140" w:type="dxa"/>
            <w:shd w:val="clear" w:color="auto" w:fill="auto"/>
          </w:tcPr>
          <w:p w:rsidR="00732122" w:rsidRPr="00421A72" w:rsidRDefault="00732122" w:rsidP="00F336CC">
            <w:pPr>
              <w:spacing w:before="30" w:after="30"/>
              <w:ind w:left="57"/>
              <w:jc w:val="left"/>
              <w:rPr>
                <w:b/>
                <w:bCs/>
                <w:sz w:val="20"/>
                <w:lang w:val="fr-CH"/>
              </w:rPr>
            </w:pPr>
            <w:r w:rsidRPr="00421A72">
              <w:rPr>
                <w:b/>
                <w:bCs/>
                <w:sz w:val="20"/>
                <w:lang w:val="fr-CH"/>
              </w:rPr>
              <w:t>SM</w:t>
            </w:r>
          </w:p>
        </w:tc>
        <w:tc>
          <w:tcPr>
            <w:tcW w:w="8220" w:type="dxa"/>
            <w:shd w:val="clear" w:color="auto" w:fill="auto"/>
          </w:tcPr>
          <w:p w:rsidR="00732122" w:rsidRPr="00421A72" w:rsidRDefault="00732122" w:rsidP="00F336CC">
            <w:pPr>
              <w:spacing w:before="30" w:after="30"/>
              <w:jc w:val="left"/>
              <w:rPr>
                <w:sz w:val="20"/>
                <w:lang w:val="fr-CH"/>
              </w:rPr>
            </w:pPr>
            <w:r w:rsidRPr="00421A72">
              <w:rPr>
                <w:sz w:val="20"/>
                <w:lang w:val="fr-CH"/>
              </w:rPr>
              <w:t>Gestion du spectre</w:t>
            </w:r>
          </w:p>
        </w:tc>
      </w:tr>
      <w:tr w:rsidR="00732122" w:rsidRPr="00421A72">
        <w:tc>
          <w:tcPr>
            <w:tcW w:w="1140" w:type="dxa"/>
          </w:tcPr>
          <w:p w:rsidR="00732122" w:rsidRPr="00421A72" w:rsidRDefault="00732122" w:rsidP="00F336CC">
            <w:pPr>
              <w:spacing w:before="30" w:after="30"/>
              <w:ind w:left="57"/>
              <w:jc w:val="left"/>
              <w:rPr>
                <w:b/>
                <w:bCs/>
                <w:sz w:val="20"/>
                <w:lang w:val="fr-CH"/>
              </w:rPr>
            </w:pPr>
            <w:r w:rsidRPr="00421A72">
              <w:rPr>
                <w:b/>
                <w:bCs/>
                <w:sz w:val="20"/>
                <w:lang w:val="fr-CH"/>
              </w:rPr>
              <w:t>SNG</w:t>
            </w:r>
          </w:p>
        </w:tc>
        <w:tc>
          <w:tcPr>
            <w:tcW w:w="8220" w:type="dxa"/>
          </w:tcPr>
          <w:p w:rsidR="00732122" w:rsidRPr="00421A72" w:rsidRDefault="00732122" w:rsidP="00F336CC">
            <w:pPr>
              <w:spacing w:before="30" w:after="30"/>
              <w:jc w:val="left"/>
              <w:rPr>
                <w:sz w:val="20"/>
                <w:lang w:val="fr-CH"/>
              </w:rPr>
            </w:pPr>
            <w:r w:rsidRPr="00421A72">
              <w:rPr>
                <w:sz w:val="20"/>
                <w:lang w:val="fr-CH"/>
              </w:rPr>
              <w:t>Reportage d'actualités par satellite</w:t>
            </w:r>
          </w:p>
        </w:tc>
      </w:tr>
      <w:tr w:rsidR="00732122" w:rsidRPr="00421A72">
        <w:tc>
          <w:tcPr>
            <w:tcW w:w="1140" w:type="dxa"/>
          </w:tcPr>
          <w:p w:rsidR="00732122" w:rsidRPr="00421A72" w:rsidRDefault="00732122" w:rsidP="00F336CC">
            <w:pPr>
              <w:spacing w:before="30" w:after="30"/>
              <w:ind w:left="57"/>
              <w:jc w:val="left"/>
              <w:rPr>
                <w:b/>
                <w:bCs/>
                <w:sz w:val="20"/>
                <w:lang w:val="fr-CH"/>
              </w:rPr>
            </w:pPr>
            <w:r w:rsidRPr="00421A72">
              <w:rPr>
                <w:b/>
                <w:bCs/>
                <w:sz w:val="20"/>
                <w:lang w:val="fr-CH"/>
              </w:rPr>
              <w:t>TF</w:t>
            </w:r>
          </w:p>
        </w:tc>
        <w:tc>
          <w:tcPr>
            <w:tcW w:w="8220" w:type="dxa"/>
          </w:tcPr>
          <w:p w:rsidR="00732122" w:rsidRPr="00421A72" w:rsidRDefault="00732122" w:rsidP="00F336CC">
            <w:pPr>
              <w:spacing w:before="30" w:after="30"/>
              <w:jc w:val="left"/>
              <w:rPr>
                <w:sz w:val="20"/>
                <w:lang w:val="fr-CH"/>
              </w:rPr>
            </w:pPr>
            <w:r w:rsidRPr="00421A72">
              <w:rPr>
                <w:sz w:val="20"/>
                <w:lang w:val="fr-CH"/>
              </w:rPr>
              <w:t>Emissions de fréquences étalon et de signaux horaires</w:t>
            </w:r>
          </w:p>
        </w:tc>
      </w:tr>
      <w:tr w:rsidR="00732122" w:rsidRPr="00421A72">
        <w:tc>
          <w:tcPr>
            <w:tcW w:w="1140" w:type="dxa"/>
          </w:tcPr>
          <w:p w:rsidR="00732122" w:rsidRPr="00421A72" w:rsidRDefault="00732122" w:rsidP="00F336CC">
            <w:pPr>
              <w:spacing w:before="30" w:after="30"/>
              <w:ind w:left="57"/>
              <w:jc w:val="left"/>
              <w:rPr>
                <w:b/>
                <w:bCs/>
                <w:sz w:val="20"/>
                <w:lang w:val="fr-CH"/>
              </w:rPr>
            </w:pPr>
            <w:r w:rsidRPr="00421A72">
              <w:rPr>
                <w:b/>
                <w:bCs/>
                <w:sz w:val="20"/>
                <w:lang w:val="fr-CH"/>
              </w:rPr>
              <w:t>V</w:t>
            </w:r>
          </w:p>
        </w:tc>
        <w:tc>
          <w:tcPr>
            <w:tcW w:w="8220" w:type="dxa"/>
          </w:tcPr>
          <w:p w:rsidR="00732122" w:rsidRPr="00421A72" w:rsidRDefault="00732122" w:rsidP="00614CC6">
            <w:pPr>
              <w:spacing w:before="30" w:after="140"/>
              <w:jc w:val="left"/>
              <w:rPr>
                <w:sz w:val="20"/>
                <w:lang w:val="fr-CH"/>
              </w:rPr>
            </w:pPr>
            <w:r w:rsidRPr="00421A72">
              <w:rPr>
                <w:sz w:val="20"/>
                <w:lang w:val="fr-CH"/>
              </w:rPr>
              <w:t>Vocabulaire et sujets associés</w:t>
            </w:r>
          </w:p>
        </w:tc>
      </w:tr>
    </w:tbl>
    <w:p w:rsidR="00732122" w:rsidRPr="00421A72" w:rsidRDefault="00732122" w:rsidP="00614CC6">
      <w:pPr>
        <w:spacing w:before="0"/>
        <w:jc w:val="center"/>
        <w:rPr>
          <w:sz w:val="20"/>
          <w:lang w:val="fr-CH"/>
        </w:rPr>
      </w:pPr>
    </w:p>
    <w:p w:rsidR="00732122" w:rsidRPr="00421A72" w:rsidRDefault="00732122"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32122" w:rsidRPr="00421A72">
        <w:tc>
          <w:tcPr>
            <w:tcW w:w="9360" w:type="dxa"/>
          </w:tcPr>
          <w:p w:rsidR="00732122" w:rsidRPr="00421A72" w:rsidRDefault="00732122" w:rsidP="00756B4D">
            <w:pPr>
              <w:spacing w:before="80" w:after="80"/>
              <w:jc w:val="left"/>
              <w:rPr>
                <w:i/>
                <w:iCs/>
                <w:sz w:val="20"/>
                <w:lang w:val="fr-CH"/>
              </w:rPr>
            </w:pPr>
            <w:r w:rsidRPr="00421A72">
              <w:rPr>
                <w:b/>
                <w:bCs/>
                <w:i/>
                <w:iCs/>
                <w:sz w:val="20"/>
                <w:lang w:val="fr-CH"/>
              </w:rPr>
              <w:t xml:space="preserve">    Note</w:t>
            </w:r>
            <w:r w:rsidRPr="00421A72">
              <w:rPr>
                <w:i/>
                <w:iCs/>
                <w:sz w:val="20"/>
                <w:lang w:val="fr-CH"/>
              </w:rPr>
              <w:t>: Cette Recommandation UIT-R a été approuvée en anglais aux termes de la procédure détaillée dans la</w:t>
            </w:r>
            <w:r w:rsidRPr="00421A72">
              <w:rPr>
                <w:i/>
                <w:iCs/>
                <w:sz w:val="20"/>
                <w:lang w:val="fr-CH"/>
              </w:rPr>
              <w:br/>
              <w:t xml:space="preserve">   Résolution UIT-R 1. </w:t>
            </w:r>
          </w:p>
        </w:tc>
      </w:tr>
    </w:tbl>
    <w:p w:rsidR="00732122" w:rsidRPr="00421A72" w:rsidRDefault="00732122" w:rsidP="00F54FBD">
      <w:pPr>
        <w:spacing w:before="0"/>
        <w:jc w:val="center"/>
        <w:rPr>
          <w:sz w:val="22"/>
          <w:lang w:val="fr-CH"/>
        </w:rPr>
      </w:pPr>
    </w:p>
    <w:p w:rsidR="00732122" w:rsidRPr="00421A72" w:rsidRDefault="00732122" w:rsidP="00756B4D">
      <w:pPr>
        <w:spacing w:before="100"/>
        <w:jc w:val="right"/>
        <w:rPr>
          <w:i/>
          <w:iCs/>
          <w:sz w:val="20"/>
          <w:lang w:val="fr-CH"/>
        </w:rPr>
      </w:pPr>
      <w:r w:rsidRPr="00421A72">
        <w:rPr>
          <w:i/>
          <w:iCs/>
          <w:sz w:val="20"/>
          <w:lang w:val="fr-CH"/>
        </w:rPr>
        <w:t>Publication électronique</w:t>
      </w:r>
    </w:p>
    <w:p w:rsidR="00732122" w:rsidRPr="00421A72" w:rsidRDefault="00732122" w:rsidP="00F50711">
      <w:pPr>
        <w:spacing w:before="0"/>
        <w:jc w:val="right"/>
        <w:rPr>
          <w:sz w:val="20"/>
          <w:lang w:val="fr-CH"/>
        </w:rPr>
      </w:pPr>
      <w:r w:rsidRPr="00421A72">
        <w:rPr>
          <w:sz w:val="20"/>
          <w:lang w:val="fr-CH"/>
        </w:rPr>
        <w:t>Genève, 2010</w:t>
      </w:r>
    </w:p>
    <w:p w:rsidR="00732122" w:rsidRPr="00421A72" w:rsidRDefault="00732122" w:rsidP="00F50711">
      <w:pPr>
        <w:spacing w:before="200"/>
        <w:jc w:val="center"/>
        <w:rPr>
          <w:sz w:val="20"/>
          <w:lang w:val="fr-CH"/>
        </w:rPr>
      </w:pPr>
      <w:r w:rsidRPr="00421A72">
        <w:rPr>
          <w:sz w:val="20"/>
          <w:lang w:val="fr-CH"/>
        </w:rPr>
        <w:sym w:font="Symbol" w:char="F0E3"/>
      </w:r>
      <w:r w:rsidRPr="00421A72">
        <w:rPr>
          <w:sz w:val="20"/>
          <w:lang w:val="fr-CH"/>
        </w:rPr>
        <w:t xml:space="preserve"> UIT </w:t>
      </w:r>
      <w:bookmarkStart w:id="1" w:name="iiannee"/>
      <w:bookmarkEnd w:id="1"/>
      <w:r w:rsidRPr="00421A72">
        <w:rPr>
          <w:sz w:val="20"/>
          <w:lang w:val="fr-CH"/>
        </w:rPr>
        <w:t>2010</w:t>
      </w:r>
    </w:p>
    <w:p w:rsidR="00732122" w:rsidRPr="00421A72" w:rsidRDefault="00732122" w:rsidP="00614CC6">
      <w:pPr>
        <w:rPr>
          <w:sz w:val="18"/>
          <w:szCs w:val="18"/>
          <w:lang w:val="fr-CH"/>
        </w:rPr>
      </w:pPr>
      <w:r w:rsidRPr="00421A72">
        <w:rPr>
          <w:sz w:val="18"/>
          <w:szCs w:val="18"/>
          <w:lang w:val="fr-CH"/>
        </w:rPr>
        <w:t>Tous droits réservés. Aucune partie de cette publication ne peut être reproduite, par quelque procédé que ce soit, sans l’accord écrit préalable de l’UIT.</w:t>
      </w:r>
    </w:p>
    <w:p w:rsidR="00732122" w:rsidRPr="00421A72" w:rsidRDefault="00732122" w:rsidP="00CD659B">
      <w:pPr>
        <w:spacing w:before="160"/>
        <w:rPr>
          <w:i/>
          <w:sz w:val="20"/>
          <w:highlight w:val="yellow"/>
          <w:lang w:val="fr-CH"/>
        </w:rPr>
        <w:sectPr w:rsidR="00732122" w:rsidRPr="00421A72"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732122" w:rsidRPr="00421A72" w:rsidRDefault="00732122" w:rsidP="00732122">
      <w:pPr>
        <w:pStyle w:val="RecNo"/>
        <w:spacing w:before="0"/>
        <w:rPr>
          <w:lang w:val="fr-CH"/>
        </w:rPr>
      </w:pPr>
      <w:bookmarkStart w:id="2" w:name="irecnoe"/>
      <w:bookmarkEnd w:id="2"/>
      <w:r w:rsidRPr="00421A72">
        <w:rPr>
          <w:lang w:val="fr-CH"/>
        </w:rPr>
        <w:lastRenderedPageBreak/>
        <w:t xml:space="preserve">RECOMMANDATION  </w:t>
      </w:r>
      <w:r w:rsidRPr="00421A72">
        <w:rPr>
          <w:rStyle w:val="href"/>
          <w:lang w:val="fr-CH"/>
        </w:rPr>
        <w:t>UIT-R  F.1606</w:t>
      </w:r>
      <w:r w:rsidRPr="00421A72">
        <w:rPr>
          <w:rStyle w:val="FootnoteReference"/>
          <w:lang w:val="fr-CH"/>
        </w:rPr>
        <w:footnoteReference w:customMarkFollows="1" w:id="1"/>
        <w:t>*</w:t>
      </w:r>
    </w:p>
    <w:p w:rsidR="00732122" w:rsidRPr="00421A72" w:rsidRDefault="00732122" w:rsidP="00732122">
      <w:pPr>
        <w:pStyle w:val="Rectitle"/>
        <w:rPr>
          <w:lang w:val="fr-CH"/>
        </w:rPr>
      </w:pPr>
      <w:bookmarkStart w:id="3" w:name="Related_Questions"/>
      <w:r w:rsidRPr="00421A72">
        <w:rPr>
          <w:lang w:val="fr-CH"/>
        </w:rPr>
        <w:t>Critères de brouillage pour la protection des systèmes hertziens fixes contre les brouillages composites variables dans le temps et causés par des satellites non géostationnaires exploités dans d'autres services partageant les bandes 37 40 GHz et 40,5-42,5 GHz à titre coprimaire</w:t>
      </w:r>
    </w:p>
    <w:p w:rsidR="00732122" w:rsidRPr="00421A72" w:rsidRDefault="00732122" w:rsidP="00732122">
      <w:pPr>
        <w:pStyle w:val="Recdate"/>
        <w:rPr>
          <w:lang w:val="fr-CH"/>
        </w:rPr>
      </w:pPr>
      <w:bookmarkStart w:id="4" w:name="Revision_history"/>
      <w:bookmarkEnd w:id="3"/>
      <w:r w:rsidRPr="00421A72">
        <w:rPr>
          <w:lang w:val="fr-CH"/>
        </w:rPr>
        <w:t>(2003)</w:t>
      </w:r>
      <w:bookmarkEnd w:id="4"/>
    </w:p>
    <w:p w:rsidR="00732122" w:rsidRPr="00421A72" w:rsidRDefault="00732122" w:rsidP="00936ACE">
      <w:pPr>
        <w:pStyle w:val="HeadingSum"/>
        <w:rPr>
          <w:lang w:val="fr-CH"/>
        </w:rPr>
      </w:pPr>
      <w:r w:rsidRPr="00421A72">
        <w:rPr>
          <w:lang w:val="fr-CH"/>
        </w:rPr>
        <w:t>Champ d'application</w:t>
      </w:r>
    </w:p>
    <w:p w:rsidR="00732122" w:rsidRPr="00421A72" w:rsidRDefault="00732122" w:rsidP="00936ACE">
      <w:pPr>
        <w:pStyle w:val="Summary"/>
        <w:rPr>
          <w:lang w:val="fr-CH"/>
        </w:rPr>
      </w:pPr>
      <w:r w:rsidRPr="00421A72">
        <w:rPr>
          <w:lang w:val="fr-CH"/>
        </w:rPr>
        <w:t>La présente Recommandation spécifie les critères de brouillage pour la protection des systèmes hertziens fixes contre les brouillages composites variables dans le temps et causés par des satellites non géostationnaires exploités dans d'autres services partageant les bandes 37-40 GHz et 40,5</w:t>
      </w:r>
      <w:r w:rsidRPr="00421A72">
        <w:rPr>
          <w:lang w:val="fr-CH"/>
        </w:rPr>
        <w:noBreakHyphen/>
        <w:t xml:space="preserve">42,5 GHz à titre coprimaire. Ces critères sont définis en termes de rapport </w:t>
      </w:r>
      <w:r w:rsidRPr="00421A72">
        <w:rPr>
          <w:i/>
          <w:iCs/>
          <w:lang w:val="fr-CH"/>
        </w:rPr>
        <w:t>I/N</w:t>
      </w:r>
      <w:r w:rsidRPr="00421A72">
        <w:rPr>
          <w:lang w:val="fr-CH"/>
        </w:rPr>
        <w:t xml:space="preserve"> à l'entrée du récepteur du service fixe aussi bien pour les brouillages à long terme que pour les brouillages à court terme. L'Annexe 1 donne des indications concernant l'utilisation de la présente Recommandation</w:t>
      </w:r>
      <w:r w:rsidR="00936ACE" w:rsidRPr="00421A72">
        <w:rPr>
          <w:lang w:val="fr-CH"/>
        </w:rPr>
        <w:t>.</w:t>
      </w:r>
    </w:p>
    <w:p w:rsidR="00732122" w:rsidRPr="00421A72" w:rsidRDefault="00732122" w:rsidP="00936ACE">
      <w:pPr>
        <w:pStyle w:val="Normalaftertitle"/>
        <w:rPr>
          <w:lang w:val="fr-CH"/>
        </w:rPr>
      </w:pPr>
      <w:r w:rsidRPr="00421A72">
        <w:rPr>
          <w:lang w:val="fr-CH"/>
        </w:rPr>
        <w:t>L'Assemblée des radiocommunications de l'UIT,</w:t>
      </w:r>
    </w:p>
    <w:p w:rsidR="00732122" w:rsidRPr="00421A72" w:rsidRDefault="00732122" w:rsidP="00936ACE">
      <w:pPr>
        <w:pStyle w:val="Call"/>
        <w:rPr>
          <w:lang w:val="fr-CH"/>
        </w:rPr>
      </w:pPr>
      <w:r w:rsidRPr="00421A72">
        <w:rPr>
          <w:lang w:val="fr-CH"/>
        </w:rPr>
        <w:t>considérant</w:t>
      </w:r>
    </w:p>
    <w:p w:rsidR="00732122" w:rsidRPr="00421A72" w:rsidRDefault="00732122" w:rsidP="00936ACE">
      <w:pPr>
        <w:rPr>
          <w:lang w:val="fr-CH"/>
        </w:rPr>
      </w:pPr>
      <w:r w:rsidRPr="00421A72">
        <w:rPr>
          <w:lang w:val="fr-CH"/>
        </w:rPr>
        <w:t>a)</w:t>
      </w:r>
      <w:r w:rsidRPr="00421A72">
        <w:rPr>
          <w:lang w:val="fr-CH"/>
        </w:rPr>
        <w:tab/>
        <w:t>qu'il est souhaitable de déterminer les critères de protection des systèmes hertziens fixes exploités dans la bande des 38 GHz (37-40 GHz) et dans la bande des 40 GHz (40,5-42,5 GHz) relativement aux brouillages composites causés par des liaisons d'autres services exploitées à titre coprimaire, particulièrement les brouillages à court terme;</w:t>
      </w:r>
    </w:p>
    <w:p w:rsidR="00732122" w:rsidRPr="00421A72" w:rsidRDefault="00732122" w:rsidP="00936ACE">
      <w:pPr>
        <w:rPr>
          <w:lang w:val="fr-CH"/>
        </w:rPr>
      </w:pPr>
      <w:r w:rsidRPr="00421A72">
        <w:rPr>
          <w:lang w:val="fr-CH"/>
        </w:rPr>
        <w:t>b)</w:t>
      </w:r>
      <w:r w:rsidRPr="00421A72">
        <w:rPr>
          <w:lang w:val="fr-CH"/>
        </w:rPr>
        <w:tab/>
        <w:t>que dans des configurations de brouillage faisant intervenir des stations spatiales non OSG, les liaisons hertziennes fixes peuvent être exposées pendant de courts laps de temps à des niveaux élevés de brouillage qui risquent de nuire à la qualité de fonctionnement ou la disponibilité de ces systèmes;</w:t>
      </w:r>
    </w:p>
    <w:p w:rsidR="00732122" w:rsidRPr="00421A72" w:rsidRDefault="00732122" w:rsidP="00936ACE">
      <w:pPr>
        <w:rPr>
          <w:lang w:val="fr-CH"/>
        </w:rPr>
      </w:pPr>
      <w:r w:rsidRPr="00421A72">
        <w:rPr>
          <w:lang w:val="fr-CH"/>
        </w:rPr>
        <w:t>c)</w:t>
      </w:r>
      <w:r w:rsidRPr="00421A72">
        <w:rPr>
          <w:lang w:val="fr-CH"/>
        </w:rPr>
        <w:tab/>
        <w:t>que, dans les bandes 38 et 40 GHz, la conception des liaisons du service fixe est contrôlée</w:t>
      </w:r>
      <w:r w:rsidR="00936ACE" w:rsidRPr="00421A72">
        <w:rPr>
          <w:lang w:val="fr-CH"/>
        </w:rPr>
        <w:t xml:space="preserve"> </w:t>
      </w:r>
      <w:r w:rsidRPr="00421A72">
        <w:rPr>
          <w:lang w:val="fr-CH"/>
        </w:rPr>
        <w:t>par les affaiblissements dus à la pluie, qui peuvent être modélisés à l'aide de la Recommandation UIT</w:t>
      </w:r>
      <w:r w:rsidRPr="00421A72">
        <w:rPr>
          <w:lang w:val="fr-CH"/>
        </w:rPr>
        <w:noBreakHyphen/>
        <w:t>R P.530;</w:t>
      </w:r>
    </w:p>
    <w:p w:rsidR="00732122" w:rsidRPr="00421A72" w:rsidRDefault="00732122" w:rsidP="00936ACE">
      <w:pPr>
        <w:rPr>
          <w:lang w:val="fr-CH"/>
        </w:rPr>
      </w:pPr>
      <w:r w:rsidRPr="00421A72">
        <w:rPr>
          <w:lang w:val="fr-CH"/>
        </w:rPr>
        <w:t>d)</w:t>
      </w:r>
      <w:r w:rsidRPr="00421A72">
        <w:rPr>
          <w:lang w:val="fr-CH"/>
        </w:rPr>
        <w:tab/>
        <w:t>que, dans les bandes 38 et 40 GHz, certaines administrations ont recours à la régulation automatique de puissance d'émission (RAPE) sur certaines liaisons du service fixe, et qu'il en découle une augmentation de la sensibilité de ces liaisons, tout particulièrement en ce qui concerne les brouillages à court terme;</w:t>
      </w:r>
    </w:p>
    <w:p w:rsidR="00732122" w:rsidRPr="00421A72" w:rsidRDefault="00732122" w:rsidP="00936ACE">
      <w:pPr>
        <w:rPr>
          <w:lang w:val="fr-CH"/>
        </w:rPr>
      </w:pPr>
      <w:r w:rsidRPr="00421A72">
        <w:rPr>
          <w:lang w:val="fr-CH"/>
        </w:rPr>
        <w:t>e)</w:t>
      </w:r>
      <w:r w:rsidRPr="00421A72">
        <w:rPr>
          <w:lang w:val="fr-CH"/>
        </w:rPr>
        <w:tab/>
        <w:t>que certaines liaisons du service fixe caractérisées par de faibles valeurs de marge nette de protection contre les évanouissements risquent de ne pas être totalement protégées contre les brouillages causés par des systèmes à satellites non OSG, sauf à imposer des contraintes exagérées à ces services;</w:t>
      </w:r>
    </w:p>
    <w:p w:rsidR="00732122" w:rsidRPr="00421A72" w:rsidRDefault="00732122" w:rsidP="00936ACE">
      <w:pPr>
        <w:rPr>
          <w:lang w:val="fr-CH"/>
        </w:rPr>
      </w:pPr>
      <w:r w:rsidRPr="00421A72">
        <w:rPr>
          <w:lang w:val="fr-CH"/>
        </w:rPr>
        <w:t>f)</w:t>
      </w:r>
      <w:r w:rsidRPr="00421A72">
        <w:rPr>
          <w:lang w:val="fr-CH"/>
        </w:rPr>
        <w:tab/>
        <w:t>que les liaisons types du service fixe utilisant des systèmes de RAPE imposent des critères de protection plus stricts que ceux nécessaires pour les liaisons du service fixe dotées de marges de protection contre les évanouissements plus importantes et sur lesquelles on n'utilise pas de système de RAPE;</w:t>
      </w:r>
    </w:p>
    <w:p w:rsidR="00732122" w:rsidRPr="00421A72" w:rsidRDefault="00732122" w:rsidP="00936ACE">
      <w:pPr>
        <w:rPr>
          <w:lang w:val="fr-CH"/>
        </w:rPr>
      </w:pPr>
      <w:r w:rsidRPr="00421A72">
        <w:rPr>
          <w:lang w:val="fr-CH"/>
        </w:rPr>
        <w:t>g)</w:t>
      </w:r>
      <w:r w:rsidRPr="00421A72">
        <w:rPr>
          <w:lang w:val="fr-CH"/>
        </w:rPr>
        <w:tab/>
        <w:t xml:space="preserve">qu'il est souhaitable de définir les critères de protection composites du service fixe d'après la dégradation admissible des objectifs de qualité exprimés en taux d'erreur (EPO, </w:t>
      </w:r>
      <w:r w:rsidRPr="00421A72">
        <w:rPr>
          <w:i/>
          <w:iCs/>
          <w:lang w:val="fr-CH"/>
        </w:rPr>
        <w:t>error performance objective</w:t>
      </w:r>
      <w:r w:rsidRPr="00421A72">
        <w:rPr>
          <w:lang w:val="fr-CH"/>
        </w:rPr>
        <w:t>), occasionnée par les brouillages en se fondant sur des liaisons typiques du service fixe mettant en œuvre la RAPE,</w:t>
      </w:r>
    </w:p>
    <w:p w:rsidR="00732122" w:rsidRPr="00421A72" w:rsidRDefault="00732122" w:rsidP="00936ACE">
      <w:pPr>
        <w:pStyle w:val="Call"/>
        <w:rPr>
          <w:lang w:val="fr-CH"/>
        </w:rPr>
      </w:pPr>
      <w:r w:rsidRPr="00421A72">
        <w:rPr>
          <w:lang w:val="fr-CH"/>
        </w:rPr>
        <w:t>reconnaissant</w:t>
      </w:r>
    </w:p>
    <w:p w:rsidR="00732122" w:rsidRPr="00421A72" w:rsidRDefault="00732122" w:rsidP="00936ACE">
      <w:pPr>
        <w:rPr>
          <w:lang w:val="fr-CH"/>
        </w:rPr>
      </w:pPr>
      <w:r w:rsidRPr="00421A72">
        <w:rPr>
          <w:lang w:val="fr-CH"/>
        </w:rPr>
        <w:t>a)</w:t>
      </w:r>
      <w:r w:rsidRPr="00421A72">
        <w:rPr>
          <w:lang w:val="fr-CH"/>
        </w:rPr>
        <w:tab/>
        <w:t xml:space="preserve">que les bandes 37,5-40 GHz et 40,5-42,5 GHz sont partagées à titre coprimaire avec le SFS, </w:t>
      </w:r>
    </w:p>
    <w:p w:rsidR="00732122" w:rsidRPr="00421A72" w:rsidRDefault="00732122" w:rsidP="00936ACE">
      <w:pPr>
        <w:pStyle w:val="Call"/>
        <w:rPr>
          <w:lang w:val="fr-CH"/>
        </w:rPr>
      </w:pPr>
      <w:r w:rsidRPr="00421A72">
        <w:rPr>
          <w:lang w:val="fr-CH"/>
        </w:rPr>
        <w:t>notant</w:t>
      </w:r>
    </w:p>
    <w:p w:rsidR="00732122" w:rsidRPr="00421A72" w:rsidRDefault="00732122" w:rsidP="00936ACE">
      <w:pPr>
        <w:rPr>
          <w:lang w:val="fr-CH"/>
        </w:rPr>
      </w:pPr>
      <w:r w:rsidRPr="00421A72">
        <w:rPr>
          <w:lang w:val="fr-CH"/>
        </w:rPr>
        <w:t>a)</w:t>
      </w:r>
      <w:r w:rsidRPr="00421A72">
        <w:rPr>
          <w:lang w:val="fr-CH"/>
        </w:rPr>
        <w:tab/>
        <w:t>que la méthode de détermination de la dégradation maximale admissible des EPO due à des brouillages causés par d'autres services partageant la même bande de fréquences à titre coprimaire est exposée dans la Recommandation UIT-R F.1494;</w:t>
      </w:r>
    </w:p>
    <w:p w:rsidR="00732122" w:rsidRPr="00421A72" w:rsidRDefault="00732122" w:rsidP="00936ACE">
      <w:pPr>
        <w:rPr>
          <w:lang w:val="fr-CH"/>
        </w:rPr>
      </w:pPr>
      <w:r w:rsidRPr="00421A72">
        <w:rPr>
          <w:lang w:val="fr-CH"/>
        </w:rPr>
        <w:t>b)</w:t>
      </w:r>
      <w:r w:rsidRPr="00421A72">
        <w:rPr>
          <w:lang w:val="fr-CH"/>
        </w:rPr>
        <w:tab/>
        <w:t xml:space="preserve">que la dégradation admissible de la qualité de fonctionnement d'un faisceau FWS occasionné par des brouillages causés par d'autres services partageant les mêmes bandes de fréquences à titre primaire, exprimée en pourcentage admissible des EPO globaux est définie dans la Recommandation UIT-R F.1565, </w:t>
      </w:r>
    </w:p>
    <w:p w:rsidR="00732122" w:rsidRPr="00421A72" w:rsidRDefault="00732122" w:rsidP="00936ACE">
      <w:pPr>
        <w:pStyle w:val="Call"/>
        <w:rPr>
          <w:lang w:val="fr-CH"/>
        </w:rPr>
      </w:pPr>
      <w:r w:rsidRPr="00421A72">
        <w:rPr>
          <w:lang w:val="fr-CH"/>
        </w:rPr>
        <w:t>recommande</w:t>
      </w:r>
    </w:p>
    <w:p w:rsidR="00732122" w:rsidRPr="00421A72" w:rsidRDefault="00732122" w:rsidP="00936ACE">
      <w:pPr>
        <w:rPr>
          <w:lang w:val="fr-CH"/>
        </w:rPr>
      </w:pPr>
      <w:r w:rsidRPr="00421A72">
        <w:rPr>
          <w:b/>
          <w:bCs/>
          <w:lang w:val="fr-CH"/>
        </w:rPr>
        <w:t>1</w:t>
      </w:r>
      <w:r w:rsidRPr="00421A72">
        <w:rPr>
          <w:lang w:val="fr-CH"/>
        </w:rPr>
        <w:tab/>
        <w:t>d'utiliser les critères de brouillage suivants afin d'assurer la protection des liaisons du service fixe contre les divers niveaux de brouillage composite causés par des systèmes d'autres services exploités dans les bandes 37-40 GHz et 40,5-42,5 GHz à titre coprimaire;</w:t>
      </w:r>
    </w:p>
    <w:p w:rsidR="00732122" w:rsidRPr="00421A72" w:rsidRDefault="00732122" w:rsidP="00936ACE">
      <w:pPr>
        <w:rPr>
          <w:lang w:val="fr-CH"/>
        </w:rPr>
      </w:pPr>
      <w:r w:rsidRPr="00421A72">
        <w:rPr>
          <w:b/>
          <w:bCs/>
          <w:lang w:val="fr-CH"/>
        </w:rPr>
        <w:t>1.1</w:t>
      </w:r>
      <w:r w:rsidRPr="00421A72">
        <w:rPr>
          <w:lang w:val="fr-CH"/>
        </w:rPr>
        <w:tab/>
        <w:t xml:space="preserve">pour ce qui est des brouillages à long terme, de faire en sorte que le rapport </w:t>
      </w:r>
      <w:r w:rsidRPr="00421A72">
        <w:rPr>
          <w:i/>
          <w:iCs/>
          <w:lang w:val="fr-CH"/>
        </w:rPr>
        <w:t>I</w:t>
      </w:r>
      <w:r w:rsidRPr="00421A72">
        <w:rPr>
          <w:lang w:val="fr-CH"/>
        </w:rPr>
        <w:t>/</w:t>
      </w:r>
      <w:r w:rsidRPr="00421A72">
        <w:rPr>
          <w:i/>
          <w:iCs/>
          <w:lang w:val="fr-CH"/>
        </w:rPr>
        <w:t>N</w:t>
      </w:r>
      <w:r w:rsidRPr="00421A72">
        <w:rPr>
          <w:lang w:val="fr-CH"/>
        </w:rPr>
        <w:t xml:space="preserve"> à l'entrée du récepteur du service fixe ne dépasse pas –10 dB pendant plus de 20% du temps (voir la Note 1);</w:t>
      </w:r>
    </w:p>
    <w:p w:rsidR="00732122" w:rsidRPr="00421A72" w:rsidRDefault="00732122" w:rsidP="004472A0">
      <w:pPr>
        <w:rPr>
          <w:lang w:val="fr-CH"/>
        </w:rPr>
      </w:pPr>
      <w:r w:rsidRPr="00421A72">
        <w:rPr>
          <w:b/>
          <w:bCs/>
          <w:lang w:val="fr-CH"/>
        </w:rPr>
        <w:t>1.2</w:t>
      </w:r>
      <w:r w:rsidRPr="00421A72">
        <w:rPr>
          <w:lang w:val="fr-CH"/>
        </w:rPr>
        <w:tab/>
        <w:t xml:space="preserve">pour les brouillages à court terme, de faire en sorte que le rapport </w:t>
      </w:r>
      <w:r w:rsidRPr="00421A72">
        <w:rPr>
          <w:i/>
          <w:iCs/>
          <w:lang w:val="fr-CH"/>
        </w:rPr>
        <w:t>I</w:t>
      </w:r>
      <w:r w:rsidRPr="00421A72">
        <w:rPr>
          <w:lang w:val="fr-CH"/>
        </w:rPr>
        <w:t>/</w:t>
      </w:r>
      <w:r w:rsidRPr="00421A72">
        <w:rPr>
          <w:i/>
          <w:iCs/>
          <w:lang w:val="fr-CH"/>
        </w:rPr>
        <w:t>N</w:t>
      </w:r>
      <w:r w:rsidRPr="00421A72">
        <w:rPr>
          <w:lang w:val="fr-CH"/>
        </w:rPr>
        <w:t xml:space="preserve">, à l'entrée du récepteur du service fixe ne dépasse pas </w:t>
      </w:r>
      <w:r w:rsidR="004472A0" w:rsidRPr="00421A72">
        <w:rPr>
          <w:lang w:val="fr-CH"/>
        </w:rPr>
        <w:t>+</w:t>
      </w:r>
      <w:r w:rsidRPr="00421A72">
        <w:rPr>
          <w:lang w:val="fr-CH"/>
        </w:rPr>
        <w:t>10 dB pendant plus de 0,013% du temps pour les systèmes conformes à la Recommandation UIT-T G.828, et 0,05% du temps pour les autres systèmes (voir la Note 1);</w:t>
      </w:r>
    </w:p>
    <w:p w:rsidR="00732122" w:rsidRPr="00421A72" w:rsidRDefault="00732122" w:rsidP="004472A0">
      <w:pPr>
        <w:rPr>
          <w:lang w:val="fr-CH"/>
        </w:rPr>
      </w:pPr>
      <w:r w:rsidRPr="00421A72">
        <w:rPr>
          <w:b/>
          <w:bCs/>
          <w:lang w:val="fr-CH"/>
        </w:rPr>
        <w:t>1.3</w:t>
      </w:r>
      <w:r w:rsidRPr="00421A72">
        <w:rPr>
          <w:lang w:val="fr-CH"/>
        </w:rPr>
        <w:tab/>
        <w:t xml:space="preserve">pour les brouillages à court terme, de faire en sorte que, pour certaines liaisons dans certaines applications d'accès hertzien large bande, le rapport </w:t>
      </w:r>
      <w:r w:rsidRPr="00421A72">
        <w:rPr>
          <w:i/>
          <w:iCs/>
          <w:lang w:val="fr-CH"/>
        </w:rPr>
        <w:t>I</w:t>
      </w:r>
      <w:r w:rsidRPr="00421A72">
        <w:rPr>
          <w:lang w:val="fr-CH"/>
        </w:rPr>
        <w:t>/</w:t>
      </w:r>
      <w:r w:rsidRPr="00421A72">
        <w:rPr>
          <w:i/>
          <w:iCs/>
          <w:lang w:val="fr-CH"/>
        </w:rPr>
        <w:t>N</w:t>
      </w:r>
      <w:r w:rsidRPr="00421A72">
        <w:rPr>
          <w:lang w:val="fr-CH"/>
        </w:rPr>
        <w:t xml:space="preserve"> à l'entrée du récepteur du service fixe ne dépasse pas </w:t>
      </w:r>
      <w:r w:rsidR="004472A0" w:rsidRPr="00421A72">
        <w:rPr>
          <w:lang w:val="fr-CH"/>
        </w:rPr>
        <w:t>+</w:t>
      </w:r>
      <w:r w:rsidRPr="00421A72">
        <w:rPr>
          <w:lang w:val="fr-CH"/>
        </w:rPr>
        <w:t>5 dB pendant plus de 0,013% du temps pour les systèmes conformes à la Recommandation UIT-T G.828, et 0,05% du temps pour les autres systèmes (voir la Note 1);</w:t>
      </w:r>
    </w:p>
    <w:p w:rsidR="00732122" w:rsidRPr="00421A72" w:rsidRDefault="00732122" w:rsidP="00936ACE">
      <w:pPr>
        <w:rPr>
          <w:lang w:val="fr-CH"/>
        </w:rPr>
      </w:pPr>
      <w:r w:rsidRPr="00421A72">
        <w:rPr>
          <w:b/>
          <w:bCs/>
          <w:lang w:val="fr-CH"/>
        </w:rPr>
        <w:t>2</w:t>
      </w:r>
      <w:r w:rsidRPr="00421A72">
        <w:rPr>
          <w:lang w:val="fr-CH"/>
        </w:rPr>
        <w:tab/>
        <w:t>d'utiliser les informations rassemblées dans l'Annexe 1 à titre d'orientation aux fins de l'application de la présente Recommandation.</w:t>
      </w:r>
    </w:p>
    <w:p w:rsidR="00732122" w:rsidRPr="00421A72" w:rsidRDefault="00732122" w:rsidP="00936ACE">
      <w:pPr>
        <w:rPr>
          <w:lang w:val="fr-CH"/>
        </w:rPr>
      </w:pPr>
      <w:r w:rsidRPr="00421A72">
        <w:rPr>
          <w:lang w:val="fr-CH"/>
        </w:rPr>
        <w:t xml:space="preserve">NOTE 1 – Ces niveaux de </w:t>
      </w:r>
      <w:r w:rsidRPr="00421A72">
        <w:rPr>
          <w:i/>
          <w:iCs/>
          <w:lang w:val="fr-CH"/>
        </w:rPr>
        <w:t>I</w:t>
      </w:r>
      <w:r w:rsidRPr="00421A72">
        <w:rPr>
          <w:lang w:val="fr-CH"/>
        </w:rPr>
        <w:t>/</w:t>
      </w:r>
      <w:r w:rsidRPr="00421A72">
        <w:rPr>
          <w:i/>
          <w:iCs/>
          <w:lang w:val="fr-CH"/>
        </w:rPr>
        <w:t>N</w:t>
      </w:r>
      <w:r w:rsidRPr="00421A72">
        <w:rPr>
          <w:lang w:val="fr-CH"/>
        </w:rPr>
        <w:t xml:space="preserve"> sont établis par référence au bruit total à l'entrée du récepteur, comprenant le niveau de bruit du système (</w:t>
      </w:r>
      <w:r w:rsidRPr="00421A72">
        <w:rPr>
          <w:i/>
          <w:iCs/>
          <w:lang w:val="fr-CH"/>
        </w:rPr>
        <w:t>k T BF</w:t>
      </w:r>
      <w:r w:rsidRPr="00421A72">
        <w:rPr>
          <w:lang w:val="fr-CH"/>
        </w:rPr>
        <w:t>) plus 1 dB pour les brouillages internes au service (voir le § 5 de l'Annexe 1).</w:t>
      </w:r>
    </w:p>
    <w:p w:rsidR="00732122" w:rsidRPr="00421A72" w:rsidRDefault="00732122" w:rsidP="00732122">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421A72">
        <w:rPr>
          <w:lang w:val="fr-CH"/>
        </w:rPr>
        <w:br w:type="page"/>
      </w:r>
    </w:p>
    <w:p w:rsidR="00732122" w:rsidRPr="00421A72" w:rsidRDefault="00732122" w:rsidP="00732122">
      <w:pPr>
        <w:pStyle w:val="AnnexNoTitle"/>
        <w:rPr>
          <w:lang w:val="fr-CH"/>
        </w:rPr>
      </w:pPr>
      <w:r w:rsidRPr="00421A72">
        <w:rPr>
          <w:lang w:val="fr-CH"/>
        </w:rPr>
        <w:t>Annexe 1</w:t>
      </w:r>
      <w:r w:rsidRPr="00421A72">
        <w:rPr>
          <w:lang w:val="fr-CH"/>
        </w:rPr>
        <w:br/>
      </w:r>
      <w:r w:rsidRPr="00421A72">
        <w:rPr>
          <w:lang w:val="fr-CH"/>
        </w:rPr>
        <w:br/>
        <w:t xml:space="preserve">Calcul des critères globaux de protection du service fixe </w:t>
      </w:r>
      <w:r w:rsidRPr="00421A72">
        <w:rPr>
          <w:lang w:val="fr-CH"/>
        </w:rPr>
        <w:br/>
        <w:t>dans les bandes 37-40 GHz et 40,5-42,5 GHz</w:t>
      </w:r>
    </w:p>
    <w:p w:rsidR="00732122" w:rsidRPr="00421A72" w:rsidRDefault="00732122" w:rsidP="00936ACE">
      <w:pPr>
        <w:pStyle w:val="Heading1"/>
        <w:rPr>
          <w:lang w:val="fr-CH"/>
        </w:rPr>
      </w:pPr>
      <w:r w:rsidRPr="00421A72">
        <w:rPr>
          <w:lang w:val="fr-CH"/>
        </w:rPr>
        <w:t>1</w:t>
      </w:r>
      <w:r w:rsidRPr="00421A72">
        <w:rPr>
          <w:lang w:val="fr-CH"/>
        </w:rPr>
        <w:tab/>
        <w:t>Introduction</w:t>
      </w:r>
    </w:p>
    <w:p w:rsidR="00732122" w:rsidRPr="00421A72" w:rsidRDefault="00732122" w:rsidP="00936ACE">
      <w:pPr>
        <w:rPr>
          <w:lang w:val="fr-CH"/>
        </w:rPr>
      </w:pPr>
      <w:r w:rsidRPr="00421A72">
        <w:rPr>
          <w:lang w:val="fr-CH"/>
        </w:rPr>
        <w:t>La méthode exposée dans la présente Annexe repose sur l'hypothèse que dans les bandes 38 et 40 GHz, les évanouissements sont contrôlés par la pluie, de sorte que, même si les brouillages à long terme ont un effet sur la qualité de fonctionnement d'une liaison, les principales causes d'interruption d'une liaison dans le service fixe sont les niveaux de brouillage qui dépassent la marge contre les évanouissements, quelles que soient les conditions de propagation.</w:t>
      </w:r>
    </w:p>
    <w:p w:rsidR="00732122" w:rsidRPr="00421A72" w:rsidRDefault="00732122" w:rsidP="00936ACE">
      <w:pPr>
        <w:rPr>
          <w:lang w:val="fr-CH"/>
        </w:rPr>
      </w:pPr>
      <w:r w:rsidRPr="00421A72">
        <w:rPr>
          <w:lang w:val="fr-CH"/>
        </w:rPr>
        <w:t>Sur cette base, la répartition de l'effet des brouillages sur la dégradation d'une liaison (et des EPO) a été présumée comme suit:</w:t>
      </w:r>
    </w:p>
    <w:p w:rsidR="00732122" w:rsidRPr="00421A72" w:rsidRDefault="00732122" w:rsidP="00936ACE">
      <w:pPr>
        <w:pStyle w:val="enumlev1"/>
        <w:rPr>
          <w:lang w:val="fr-CH"/>
        </w:rPr>
      </w:pPr>
      <w:r w:rsidRPr="00421A72">
        <w:rPr>
          <w:lang w:val="fr-CH"/>
        </w:rPr>
        <w:t>–</w:t>
      </w:r>
      <w:r w:rsidRPr="00421A72">
        <w:rPr>
          <w:lang w:val="fr-CH"/>
        </w:rPr>
        <w:tab/>
        <w:t>dégradation de la qualité de la liaison dans le service fixe due aux brouillages à long terme: 20%;</w:t>
      </w:r>
    </w:p>
    <w:p w:rsidR="00732122" w:rsidRPr="00421A72" w:rsidRDefault="00732122" w:rsidP="00936ACE">
      <w:pPr>
        <w:pStyle w:val="enumlev1"/>
        <w:rPr>
          <w:lang w:val="fr-CH"/>
        </w:rPr>
      </w:pPr>
      <w:r w:rsidRPr="00421A72">
        <w:rPr>
          <w:lang w:val="fr-CH"/>
        </w:rPr>
        <w:t>–</w:t>
      </w:r>
      <w:r w:rsidRPr="00421A72">
        <w:rPr>
          <w:lang w:val="fr-CH"/>
        </w:rPr>
        <w:tab/>
        <w:t>dégradation de la qualité de la liaison dans le service fixe due aux brouillages à court terme: 80%.</w:t>
      </w:r>
    </w:p>
    <w:p w:rsidR="00732122" w:rsidRPr="00421A72" w:rsidRDefault="00732122" w:rsidP="00936ACE">
      <w:pPr>
        <w:pStyle w:val="Heading1"/>
        <w:rPr>
          <w:lang w:val="fr-CH"/>
        </w:rPr>
      </w:pPr>
      <w:r w:rsidRPr="00421A72">
        <w:rPr>
          <w:lang w:val="fr-CH"/>
        </w:rPr>
        <w:t>2</w:t>
      </w:r>
      <w:r w:rsidRPr="00421A72">
        <w:rPr>
          <w:lang w:val="fr-CH"/>
        </w:rPr>
        <w:tab/>
        <w:t>EPO</w:t>
      </w:r>
    </w:p>
    <w:p w:rsidR="00732122" w:rsidRPr="00421A72" w:rsidRDefault="00732122" w:rsidP="00936ACE">
      <w:pPr>
        <w:rPr>
          <w:lang w:val="fr-CH"/>
        </w:rPr>
      </w:pPr>
      <w:r w:rsidRPr="00421A72">
        <w:rPr>
          <w:lang w:val="fr-CH"/>
        </w:rPr>
        <w:t>La dégradation admissible de la qualité de fonctionnement d'un faisceau hertzien fixe réel occasionnée par des brouillages causés par d'autres services dans des bandes de fréquences partagées à titre primaire est exprimée en pourcentage admissible (10%) des EPO globaux (cf. définition dans la Recommandation UIT-R F.1565).</w:t>
      </w:r>
    </w:p>
    <w:p w:rsidR="00732122" w:rsidRPr="00421A72" w:rsidRDefault="00732122" w:rsidP="00795D3B">
      <w:pPr>
        <w:rPr>
          <w:lang w:val="fr-CH"/>
        </w:rPr>
      </w:pPr>
      <w:r w:rsidRPr="00421A72">
        <w:rPr>
          <w:lang w:val="fr-CH"/>
        </w:rPr>
        <w:t>Les liaisons du service fixe sont actuellement utilisées dans la bande des 38 GHz pour les réseaux</w:t>
      </w:r>
      <w:r w:rsidR="00936ACE" w:rsidRPr="00421A72">
        <w:rPr>
          <w:lang w:val="fr-CH"/>
        </w:rPr>
        <w:t xml:space="preserve"> </w:t>
      </w:r>
      <w:r w:rsidRPr="00421A72">
        <w:rPr>
          <w:lang w:val="fr-CH"/>
        </w:rPr>
        <w:t>d'accès ou les réseaux d'infrastructure téléphonique mobile, à la fois pour des applications point à point et pour des applications point à multipoint. Du fait que ces mêmes applications sont déjà envisagées dans la bande des 40 GHz, on a utilisé pour les études les mêmes EPO de référence dans les deux bandes sur la base des EPO définis pour la section d'accès au réseau, ou pour la section courte distance entre centraux du tronçon national, qui sont identiques dans la Recommandation</w:t>
      </w:r>
      <w:r w:rsidR="00795D3B">
        <w:rPr>
          <w:lang w:val="fr-CH"/>
        </w:rPr>
        <w:t> </w:t>
      </w:r>
      <w:r w:rsidRPr="00421A72">
        <w:rPr>
          <w:lang w:val="fr-CH"/>
        </w:rPr>
        <w:t>UIT</w:t>
      </w:r>
      <w:r w:rsidRPr="00421A72">
        <w:rPr>
          <w:lang w:val="fr-CH"/>
        </w:rPr>
        <w:noBreakHyphen/>
        <w:t>R F.1565.</w:t>
      </w:r>
    </w:p>
    <w:p w:rsidR="00732122" w:rsidRPr="00421A72" w:rsidRDefault="00732122" w:rsidP="00936ACE">
      <w:pPr>
        <w:rPr>
          <w:lang w:val="fr-CH"/>
        </w:rPr>
      </w:pPr>
      <w:r w:rsidRPr="00421A72">
        <w:rPr>
          <w:lang w:val="fr-CH"/>
        </w:rPr>
        <w:t>Les valeurs d'EPO correspondantes, indiquées au Tableau 1 ci-dessous, sont obtenues sur la base des hypothèses suivantes:</w:t>
      </w:r>
    </w:p>
    <w:p w:rsidR="00732122" w:rsidRPr="00421A72" w:rsidRDefault="00732122" w:rsidP="00795D3B">
      <w:pPr>
        <w:pStyle w:val="enumlev1"/>
        <w:rPr>
          <w:lang w:val="fr-CH"/>
        </w:rPr>
      </w:pPr>
      <w:r w:rsidRPr="00421A72">
        <w:rPr>
          <w:lang w:val="fr-CH"/>
        </w:rPr>
        <w:t>–</w:t>
      </w:r>
      <w:r w:rsidRPr="00421A72">
        <w:rPr>
          <w:lang w:val="fr-CH"/>
        </w:rPr>
        <w:tab/>
        <w:t>section courte distance entre centraux ou section d'accès au réseau (Tableaux 4a et 4b, ou</w:t>
      </w:r>
      <w:r w:rsidR="00795D3B">
        <w:rPr>
          <w:lang w:val="fr-CH"/>
        </w:rPr>
        <w:t xml:space="preserve"> </w:t>
      </w:r>
      <w:r w:rsidRPr="00421A72">
        <w:rPr>
          <w:lang w:val="fr-CH"/>
        </w:rPr>
        <w:t>5a</w:t>
      </w:r>
      <w:r w:rsidR="00795D3B">
        <w:rPr>
          <w:lang w:val="fr-CH"/>
        </w:rPr>
        <w:t xml:space="preserve"> </w:t>
      </w:r>
      <w:r w:rsidRPr="00421A72">
        <w:rPr>
          <w:lang w:val="fr-CH"/>
        </w:rPr>
        <w:t>et 5b de la Recommandation UIT-R F.1565);</w:t>
      </w:r>
    </w:p>
    <w:p w:rsidR="00732122" w:rsidRPr="00421A72" w:rsidRDefault="00732122" w:rsidP="00936ACE">
      <w:pPr>
        <w:pStyle w:val="enumlev1"/>
        <w:rPr>
          <w:lang w:val="fr-CH"/>
        </w:rPr>
      </w:pPr>
      <w:r w:rsidRPr="00421A72">
        <w:rPr>
          <w:lang w:val="fr-CH"/>
        </w:rPr>
        <w:t>–</w:t>
      </w:r>
      <w:r w:rsidRPr="00421A72">
        <w:rPr>
          <w:lang w:val="fr-CH"/>
        </w:rPr>
        <w:tab/>
        <w:t>débit VC-3 du Tableau 4a et du Tableau 5a, et débit 15-55 Mbit/s des Tableaux 4b et 5b;</w:t>
      </w:r>
    </w:p>
    <w:p w:rsidR="00732122" w:rsidRPr="00421A72" w:rsidRDefault="00732122" w:rsidP="004472A0">
      <w:pPr>
        <w:pStyle w:val="enumlev1"/>
        <w:rPr>
          <w:lang w:val="fr-CH"/>
        </w:rPr>
      </w:pPr>
      <w:r w:rsidRPr="00421A72">
        <w:rPr>
          <w:lang w:val="fr-CH"/>
        </w:rPr>
        <w:t>–</w:t>
      </w:r>
      <w:r w:rsidRPr="00421A72">
        <w:rPr>
          <w:lang w:val="fr-CH"/>
        </w:rPr>
        <w:tab/>
      </w:r>
      <w:r w:rsidRPr="00421A72">
        <w:rPr>
          <w:i/>
          <w:iCs/>
          <w:lang w:val="fr-CH"/>
        </w:rPr>
        <w:t>B</w:t>
      </w:r>
      <w:r w:rsidRPr="00421A72">
        <w:rPr>
          <w:lang w:val="fr-CH"/>
        </w:rPr>
        <w:t xml:space="preserve"> </w:t>
      </w:r>
      <w:r w:rsidR="004472A0" w:rsidRPr="00421A72">
        <w:rPr>
          <w:lang w:val="fr-CH"/>
        </w:rPr>
        <w:t>=</w:t>
      </w:r>
      <w:r w:rsidRPr="00421A72">
        <w:rPr>
          <w:lang w:val="fr-CH"/>
        </w:rPr>
        <w:t xml:space="preserve"> </w:t>
      </w:r>
      <w:r w:rsidRPr="00421A72">
        <w:rPr>
          <w:i/>
          <w:iCs/>
          <w:lang w:val="fr-CH"/>
        </w:rPr>
        <w:t>C</w:t>
      </w:r>
      <w:r w:rsidRPr="00421A72">
        <w:rPr>
          <w:lang w:val="fr-CH"/>
        </w:rPr>
        <w:t xml:space="preserve"> </w:t>
      </w:r>
      <w:r w:rsidR="004472A0" w:rsidRPr="00421A72">
        <w:rPr>
          <w:lang w:val="fr-CH"/>
        </w:rPr>
        <w:t>=</w:t>
      </w:r>
      <w:r w:rsidRPr="00421A72">
        <w:rPr>
          <w:lang w:val="fr-CH"/>
        </w:rPr>
        <w:t xml:space="preserve"> 8%.</w:t>
      </w:r>
    </w:p>
    <w:p w:rsidR="00732122" w:rsidRPr="00421A72" w:rsidRDefault="00732122" w:rsidP="00732122">
      <w:pPr>
        <w:tabs>
          <w:tab w:val="clear" w:pos="794"/>
          <w:tab w:val="clear" w:pos="1191"/>
          <w:tab w:val="clear" w:pos="1588"/>
          <w:tab w:val="clear" w:pos="1985"/>
        </w:tabs>
        <w:overflowPunct/>
        <w:autoSpaceDE/>
        <w:autoSpaceDN/>
        <w:adjustRightInd/>
        <w:spacing w:before="0"/>
        <w:jc w:val="left"/>
        <w:textAlignment w:val="auto"/>
        <w:rPr>
          <w:lang w:val="fr-CH"/>
        </w:rPr>
      </w:pPr>
      <w:r w:rsidRPr="00421A72">
        <w:rPr>
          <w:lang w:val="fr-CH"/>
        </w:rPr>
        <w:br w:type="page"/>
      </w:r>
    </w:p>
    <w:p w:rsidR="00732122" w:rsidRPr="00421A72" w:rsidRDefault="00732122" w:rsidP="00732122">
      <w:pPr>
        <w:pStyle w:val="TableNo"/>
        <w:rPr>
          <w:lang w:val="fr-CH"/>
        </w:rPr>
      </w:pPr>
      <w:r w:rsidRPr="00421A72">
        <w:rPr>
          <w:lang w:val="fr-CH"/>
        </w:rPr>
        <w:t>TABLEAU  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69"/>
        <w:gridCol w:w="2094"/>
        <w:gridCol w:w="1944"/>
        <w:gridCol w:w="1832"/>
      </w:tblGrid>
      <w:tr w:rsidR="00732122" w:rsidRPr="00421A72" w:rsidTr="00936ACE">
        <w:trPr>
          <w:cantSplit/>
          <w:jc w:val="center"/>
        </w:trPr>
        <w:tc>
          <w:tcPr>
            <w:tcW w:w="3572" w:type="dxa"/>
            <w:tcBorders>
              <w:top w:val="nil"/>
              <w:left w:val="nil"/>
              <w:bottom w:val="nil"/>
            </w:tcBorders>
          </w:tcPr>
          <w:p w:rsidR="00732122" w:rsidRPr="00421A72" w:rsidRDefault="00732122" w:rsidP="00E5161D">
            <w:pPr>
              <w:pStyle w:val="Tabletext"/>
              <w:jc w:val="left"/>
              <w:rPr>
                <w:lang w:val="fr-CH"/>
              </w:rPr>
            </w:pPr>
          </w:p>
        </w:tc>
        <w:tc>
          <w:tcPr>
            <w:tcW w:w="5564" w:type="dxa"/>
            <w:gridSpan w:val="3"/>
          </w:tcPr>
          <w:p w:rsidR="00732122" w:rsidRPr="00421A72" w:rsidRDefault="00732122" w:rsidP="00E5161D">
            <w:pPr>
              <w:pStyle w:val="Tablehead"/>
              <w:rPr>
                <w:lang w:val="fr-CH"/>
              </w:rPr>
            </w:pPr>
            <w:r w:rsidRPr="00421A72">
              <w:rPr>
                <w:lang w:val="fr-CH"/>
              </w:rPr>
              <w:t xml:space="preserve">EPO (pourcentage d'un mois quelconque) </w:t>
            </w:r>
            <w:r w:rsidRPr="00421A72">
              <w:rPr>
                <w:lang w:val="fr-CH"/>
              </w:rPr>
              <w:br/>
              <w:t xml:space="preserve">obtenu sur la base de l'application de la </w:t>
            </w:r>
            <w:r w:rsidRPr="00421A72">
              <w:rPr>
                <w:lang w:val="fr-CH"/>
              </w:rPr>
              <w:br/>
              <w:t>Recommandation UIT-R F.1565</w:t>
            </w:r>
          </w:p>
        </w:tc>
      </w:tr>
      <w:tr w:rsidR="00732122" w:rsidRPr="00421A72" w:rsidTr="00936ACE">
        <w:trPr>
          <w:cantSplit/>
          <w:jc w:val="center"/>
        </w:trPr>
        <w:tc>
          <w:tcPr>
            <w:tcW w:w="3572" w:type="dxa"/>
            <w:tcBorders>
              <w:top w:val="nil"/>
              <w:left w:val="nil"/>
              <w:bottom w:val="nil"/>
            </w:tcBorders>
          </w:tcPr>
          <w:p w:rsidR="00732122" w:rsidRPr="00421A72" w:rsidRDefault="00732122" w:rsidP="00936ACE">
            <w:pPr>
              <w:pStyle w:val="Tabletext"/>
              <w:rPr>
                <w:lang w:val="fr-CH"/>
              </w:rPr>
            </w:pPr>
          </w:p>
        </w:tc>
        <w:tc>
          <w:tcPr>
            <w:tcW w:w="1985" w:type="dxa"/>
            <w:vAlign w:val="center"/>
          </w:tcPr>
          <w:p w:rsidR="00732122" w:rsidRPr="00421A72" w:rsidRDefault="00732122" w:rsidP="00936ACE">
            <w:pPr>
              <w:pStyle w:val="Tablehead"/>
              <w:rPr>
                <w:lang w:val="fr-CH"/>
              </w:rPr>
            </w:pPr>
            <w:r w:rsidRPr="00421A72">
              <w:rPr>
                <w:lang w:val="fr-CH"/>
              </w:rPr>
              <w:t xml:space="preserve">Total </w:t>
            </w:r>
            <w:r w:rsidR="00936ACE" w:rsidRPr="00421A72">
              <w:rPr>
                <w:lang w:val="fr-CH"/>
              </w:rPr>
              <w:br/>
            </w:r>
            <w:r w:rsidRPr="00421A72">
              <w:rPr>
                <w:lang w:val="fr-CH"/>
              </w:rPr>
              <w:t xml:space="preserve">admissible dû </w:t>
            </w:r>
            <w:r w:rsidR="00936ACE" w:rsidRPr="00421A72">
              <w:rPr>
                <w:lang w:val="fr-CH"/>
              </w:rPr>
              <w:br/>
            </w:r>
            <w:r w:rsidRPr="00421A72">
              <w:rPr>
                <w:lang w:val="fr-CH"/>
              </w:rPr>
              <w:t>au brouillage</w:t>
            </w:r>
          </w:p>
        </w:tc>
        <w:tc>
          <w:tcPr>
            <w:tcW w:w="1843" w:type="dxa"/>
            <w:vAlign w:val="center"/>
          </w:tcPr>
          <w:p w:rsidR="00732122" w:rsidRPr="00421A72" w:rsidRDefault="00732122" w:rsidP="00936ACE">
            <w:pPr>
              <w:pStyle w:val="Tablehead"/>
              <w:rPr>
                <w:lang w:val="fr-CH"/>
              </w:rPr>
            </w:pPr>
            <w:r w:rsidRPr="00421A72">
              <w:rPr>
                <w:lang w:val="fr-CH"/>
              </w:rPr>
              <w:t xml:space="preserve">Brouillage à </w:t>
            </w:r>
            <w:r w:rsidR="00936ACE" w:rsidRPr="00421A72">
              <w:rPr>
                <w:lang w:val="fr-CH"/>
              </w:rPr>
              <w:br/>
            </w:r>
            <w:r w:rsidRPr="00421A72">
              <w:rPr>
                <w:lang w:val="fr-CH"/>
              </w:rPr>
              <w:t>long terme</w:t>
            </w:r>
            <w:r w:rsidR="00936ACE" w:rsidRPr="00421A72">
              <w:rPr>
                <w:lang w:val="fr-CH"/>
              </w:rPr>
              <w:br/>
            </w:r>
            <w:r w:rsidRPr="00421A72">
              <w:rPr>
                <w:lang w:val="fr-CH"/>
              </w:rPr>
              <w:t>(20%)</w:t>
            </w:r>
          </w:p>
        </w:tc>
        <w:tc>
          <w:tcPr>
            <w:tcW w:w="1736" w:type="dxa"/>
            <w:vAlign w:val="center"/>
          </w:tcPr>
          <w:p w:rsidR="00732122" w:rsidRPr="00421A72" w:rsidRDefault="00732122" w:rsidP="00E5161D">
            <w:pPr>
              <w:pStyle w:val="Tablehead"/>
              <w:rPr>
                <w:lang w:val="fr-CH"/>
              </w:rPr>
            </w:pPr>
            <w:r w:rsidRPr="00421A72">
              <w:rPr>
                <w:lang w:val="fr-CH"/>
              </w:rPr>
              <w:t>Brouillage à court terme (80%)</w:t>
            </w:r>
          </w:p>
        </w:tc>
      </w:tr>
      <w:tr w:rsidR="00732122" w:rsidRPr="00421A72" w:rsidTr="00936ACE">
        <w:trPr>
          <w:cantSplit/>
          <w:jc w:val="center"/>
        </w:trPr>
        <w:tc>
          <w:tcPr>
            <w:tcW w:w="3572" w:type="dxa"/>
          </w:tcPr>
          <w:p w:rsidR="00732122" w:rsidRPr="00421A72" w:rsidRDefault="00732122" w:rsidP="00E5161D">
            <w:pPr>
              <w:pStyle w:val="Tabletext"/>
              <w:jc w:val="left"/>
              <w:rPr>
                <w:lang w:val="fr-CH"/>
              </w:rPr>
            </w:pPr>
            <w:r w:rsidRPr="00421A72">
              <w:rPr>
                <w:lang w:val="fr-CH"/>
              </w:rPr>
              <w:t>Taux de secondes erronées (Recommandation UIT-T G.826)</w:t>
            </w:r>
          </w:p>
        </w:tc>
        <w:tc>
          <w:tcPr>
            <w:tcW w:w="1985" w:type="dxa"/>
            <w:tcBorders>
              <w:left w:val="nil"/>
            </w:tcBorders>
          </w:tcPr>
          <w:p w:rsidR="00732122" w:rsidRPr="00421A72" w:rsidRDefault="00732122" w:rsidP="004472A0">
            <w:pPr>
              <w:pStyle w:val="Tabletext"/>
              <w:jc w:val="center"/>
              <w:rPr>
                <w:lang w:val="fr-CH"/>
              </w:rPr>
            </w:pPr>
            <w:r w:rsidRPr="00421A72">
              <w:rPr>
                <w:lang w:val="fr-CH"/>
              </w:rPr>
              <w:t xml:space="preserve">6 </w:t>
            </w:r>
            <w:r w:rsidR="004472A0" w:rsidRPr="00421A72">
              <w:rPr>
                <w:lang w:val="fr-CH"/>
              </w:rPr>
              <w:sym w:font="Symbol" w:char="F0B4"/>
            </w:r>
            <w:r w:rsidRPr="00421A72">
              <w:rPr>
                <w:lang w:val="fr-CH"/>
              </w:rPr>
              <w:t xml:space="preserve"> 10</w:t>
            </w:r>
            <w:r w:rsidRPr="00421A72">
              <w:rPr>
                <w:vertAlign w:val="superscript"/>
                <w:lang w:val="fr-CH"/>
              </w:rPr>
              <w:t>–4</w:t>
            </w:r>
          </w:p>
        </w:tc>
        <w:tc>
          <w:tcPr>
            <w:tcW w:w="1843" w:type="dxa"/>
          </w:tcPr>
          <w:p w:rsidR="00732122" w:rsidRPr="00421A72" w:rsidRDefault="00732122" w:rsidP="00E5161D">
            <w:pPr>
              <w:pStyle w:val="Tabletext"/>
              <w:jc w:val="center"/>
              <w:rPr>
                <w:lang w:val="fr-CH"/>
              </w:rPr>
            </w:pPr>
            <w:r w:rsidRPr="00421A72">
              <w:rPr>
                <w:lang w:val="fr-CH"/>
              </w:rPr>
              <w:t xml:space="preserve">1,2 </w:t>
            </w:r>
            <w:r w:rsidR="004472A0" w:rsidRPr="00421A72">
              <w:rPr>
                <w:lang w:val="fr-CH"/>
              </w:rPr>
              <w:sym w:font="Symbol" w:char="F0B4"/>
            </w:r>
            <w:r w:rsidRPr="00421A72">
              <w:rPr>
                <w:lang w:val="fr-CH"/>
              </w:rPr>
              <w:t xml:space="preserve"> 10</w:t>
            </w:r>
            <w:r w:rsidRPr="00421A72">
              <w:rPr>
                <w:vertAlign w:val="superscript"/>
                <w:lang w:val="fr-CH"/>
              </w:rPr>
              <w:sym w:font="Symbol" w:char="F02D"/>
            </w:r>
            <w:r w:rsidRPr="00421A72">
              <w:rPr>
                <w:vertAlign w:val="superscript"/>
                <w:lang w:val="fr-CH"/>
              </w:rPr>
              <w:t>4</w:t>
            </w:r>
          </w:p>
        </w:tc>
        <w:tc>
          <w:tcPr>
            <w:tcW w:w="1736" w:type="dxa"/>
          </w:tcPr>
          <w:p w:rsidR="00732122" w:rsidRPr="00421A72" w:rsidRDefault="00732122" w:rsidP="00E5161D">
            <w:pPr>
              <w:pStyle w:val="Tabletext"/>
              <w:jc w:val="center"/>
              <w:rPr>
                <w:lang w:val="fr-CH"/>
              </w:rPr>
            </w:pPr>
            <w:r w:rsidRPr="00421A72">
              <w:rPr>
                <w:lang w:val="fr-CH"/>
              </w:rPr>
              <w:t xml:space="preserve">4,8 </w:t>
            </w:r>
            <w:r w:rsidR="004472A0" w:rsidRPr="00421A72">
              <w:rPr>
                <w:lang w:val="fr-CH"/>
              </w:rPr>
              <w:sym w:font="Symbol" w:char="F0B4"/>
            </w:r>
            <w:r w:rsidRPr="00421A72">
              <w:rPr>
                <w:lang w:val="fr-CH"/>
              </w:rPr>
              <w:t xml:space="preserve"> 10</w:t>
            </w:r>
            <w:r w:rsidRPr="00421A72">
              <w:rPr>
                <w:vertAlign w:val="superscript"/>
                <w:lang w:val="fr-CH"/>
              </w:rPr>
              <w:sym w:font="Symbol" w:char="F02D"/>
            </w:r>
            <w:r w:rsidRPr="00421A72">
              <w:rPr>
                <w:vertAlign w:val="superscript"/>
                <w:lang w:val="fr-CH"/>
              </w:rPr>
              <w:t>4</w:t>
            </w:r>
          </w:p>
        </w:tc>
      </w:tr>
      <w:tr w:rsidR="00732122" w:rsidRPr="00421A72" w:rsidTr="00936ACE">
        <w:trPr>
          <w:cantSplit/>
          <w:jc w:val="center"/>
        </w:trPr>
        <w:tc>
          <w:tcPr>
            <w:tcW w:w="3572" w:type="dxa"/>
          </w:tcPr>
          <w:p w:rsidR="00732122" w:rsidRPr="00421A72" w:rsidRDefault="00732122" w:rsidP="00E5161D">
            <w:pPr>
              <w:pStyle w:val="Tabletext"/>
              <w:jc w:val="left"/>
              <w:rPr>
                <w:lang w:val="fr-CH"/>
              </w:rPr>
            </w:pPr>
            <w:r w:rsidRPr="00421A72">
              <w:rPr>
                <w:lang w:val="fr-CH"/>
              </w:rPr>
              <w:t>Taux de secondes erronées (Recommandation UIT-T G.828)</w:t>
            </w:r>
          </w:p>
        </w:tc>
        <w:tc>
          <w:tcPr>
            <w:tcW w:w="1985" w:type="dxa"/>
            <w:tcBorders>
              <w:left w:val="nil"/>
            </w:tcBorders>
          </w:tcPr>
          <w:p w:rsidR="00732122" w:rsidRPr="00421A72" w:rsidRDefault="00732122" w:rsidP="00E5161D">
            <w:pPr>
              <w:pStyle w:val="Tabletext"/>
              <w:jc w:val="center"/>
              <w:rPr>
                <w:lang w:val="fr-CH"/>
              </w:rPr>
            </w:pPr>
            <w:r w:rsidRPr="00421A72">
              <w:rPr>
                <w:lang w:val="fr-CH"/>
              </w:rPr>
              <w:t xml:space="preserve">1,6 </w:t>
            </w:r>
            <w:r w:rsidR="004472A0" w:rsidRPr="00421A72">
              <w:rPr>
                <w:lang w:val="fr-CH"/>
              </w:rPr>
              <w:sym w:font="Symbol" w:char="F0B4"/>
            </w:r>
            <w:r w:rsidRPr="00421A72">
              <w:rPr>
                <w:lang w:val="fr-CH"/>
              </w:rPr>
              <w:t xml:space="preserve"> 10</w:t>
            </w:r>
            <w:r w:rsidRPr="00421A72">
              <w:rPr>
                <w:vertAlign w:val="superscript"/>
                <w:lang w:val="fr-CH"/>
              </w:rPr>
              <w:t>–4</w:t>
            </w:r>
          </w:p>
        </w:tc>
        <w:tc>
          <w:tcPr>
            <w:tcW w:w="1843" w:type="dxa"/>
          </w:tcPr>
          <w:p w:rsidR="00732122" w:rsidRPr="00421A72" w:rsidRDefault="00732122" w:rsidP="00E5161D">
            <w:pPr>
              <w:pStyle w:val="Tabletext"/>
              <w:jc w:val="center"/>
              <w:rPr>
                <w:lang w:val="fr-CH"/>
              </w:rPr>
            </w:pPr>
            <w:r w:rsidRPr="00421A72">
              <w:rPr>
                <w:lang w:val="fr-CH"/>
              </w:rPr>
              <w:t xml:space="preserve">3,2 </w:t>
            </w:r>
            <w:r w:rsidR="004472A0" w:rsidRPr="00421A72">
              <w:rPr>
                <w:lang w:val="fr-CH"/>
              </w:rPr>
              <w:sym w:font="Symbol" w:char="F0B4"/>
            </w:r>
            <w:r w:rsidRPr="00421A72">
              <w:rPr>
                <w:lang w:val="fr-CH"/>
              </w:rPr>
              <w:t xml:space="preserve"> 10</w:t>
            </w:r>
            <w:r w:rsidRPr="00421A72">
              <w:rPr>
                <w:vertAlign w:val="superscript"/>
                <w:lang w:val="fr-CH"/>
              </w:rPr>
              <w:sym w:font="Symbol" w:char="F02D"/>
            </w:r>
            <w:r w:rsidRPr="00421A72">
              <w:rPr>
                <w:vertAlign w:val="superscript"/>
                <w:lang w:val="fr-CH"/>
              </w:rPr>
              <w:t>5</w:t>
            </w:r>
          </w:p>
        </w:tc>
        <w:tc>
          <w:tcPr>
            <w:tcW w:w="1736" w:type="dxa"/>
          </w:tcPr>
          <w:p w:rsidR="00732122" w:rsidRPr="00421A72" w:rsidRDefault="00732122" w:rsidP="00E5161D">
            <w:pPr>
              <w:pStyle w:val="Tabletext"/>
              <w:jc w:val="center"/>
              <w:rPr>
                <w:lang w:val="fr-CH"/>
              </w:rPr>
            </w:pPr>
            <w:r w:rsidRPr="00421A72">
              <w:rPr>
                <w:lang w:val="fr-CH"/>
              </w:rPr>
              <w:t xml:space="preserve">1,3 </w:t>
            </w:r>
            <w:r w:rsidR="004472A0" w:rsidRPr="00421A72">
              <w:rPr>
                <w:lang w:val="fr-CH"/>
              </w:rPr>
              <w:sym w:font="Symbol" w:char="F0B4"/>
            </w:r>
            <w:r w:rsidRPr="00421A72">
              <w:rPr>
                <w:lang w:val="fr-CH"/>
              </w:rPr>
              <w:t xml:space="preserve"> 10</w:t>
            </w:r>
            <w:r w:rsidRPr="00421A72">
              <w:rPr>
                <w:vertAlign w:val="superscript"/>
                <w:lang w:val="fr-CH"/>
              </w:rPr>
              <w:sym w:font="Symbol" w:char="F02D"/>
            </w:r>
            <w:r w:rsidRPr="00421A72">
              <w:rPr>
                <w:vertAlign w:val="superscript"/>
                <w:lang w:val="fr-CH"/>
              </w:rPr>
              <w:t>4</w:t>
            </w:r>
          </w:p>
        </w:tc>
      </w:tr>
      <w:tr w:rsidR="00732122" w:rsidRPr="00421A72" w:rsidTr="00936ACE">
        <w:trPr>
          <w:cantSplit/>
          <w:jc w:val="center"/>
        </w:trPr>
        <w:tc>
          <w:tcPr>
            <w:tcW w:w="3572" w:type="dxa"/>
          </w:tcPr>
          <w:p w:rsidR="00732122" w:rsidRPr="00421A72" w:rsidRDefault="00732122" w:rsidP="00E5161D">
            <w:pPr>
              <w:pStyle w:val="Tabletext"/>
              <w:jc w:val="left"/>
              <w:rPr>
                <w:lang w:val="fr-CH"/>
              </w:rPr>
            </w:pPr>
            <w:r w:rsidRPr="00421A72">
              <w:rPr>
                <w:lang w:val="fr-CH"/>
              </w:rPr>
              <w:t>Taux de secondes gravement erronées</w:t>
            </w:r>
          </w:p>
        </w:tc>
        <w:tc>
          <w:tcPr>
            <w:tcW w:w="1985" w:type="dxa"/>
            <w:tcBorders>
              <w:left w:val="nil"/>
            </w:tcBorders>
          </w:tcPr>
          <w:p w:rsidR="00732122" w:rsidRPr="00421A72" w:rsidRDefault="00732122" w:rsidP="00E5161D">
            <w:pPr>
              <w:pStyle w:val="Tabletext"/>
              <w:jc w:val="center"/>
              <w:rPr>
                <w:lang w:val="fr-CH"/>
              </w:rPr>
            </w:pPr>
            <w:r w:rsidRPr="00421A72">
              <w:rPr>
                <w:lang w:val="fr-CH"/>
              </w:rPr>
              <w:t xml:space="preserve">1,6 </w:t>
            </w:r>
            <w:r w:rsidR="004472A0" w:rsidRPr="00421A72">
              <w:rPr>
                <w:lang w:val="fr-CH"/>
              </w:rPr>
              <w:sym w:font="Symbol" w:char="F0B4"/>
            </w:r>
            <w:r w:rsidRPr="00421A72">
              <w:rPr>
                <w:lang w:val="fr-CH"/>
              </w:rPr>
              <w:t xml:space="preserve"> 10</w:t>
            </w:r>
            <w:r w:rsidRPr="00421A72">
              <w:rPr>
                <w:vertAlign w:val="superscript"/>
                <w:lang w:val="fr-CH"/>
              </w:rPr>
              <w:t>–5</w:t>
            </w:r>
          </w:p>
        </w:tc>
        <w:tc>
          <w:tcPr>
            <w:tcW w:w="1843" w:type="dxa"/>
          </w:tcPr>
          <w:p w:rsidR="00732122" w:rsidRPr="00421A72" w:rsidRDefault="00732122" w:rsidP="00E5161D">
            <w:pPr>
              <w:pStyle w:val="Tabletext"/>
              <w:jc w:val="center"/>
              <w:rPr>
                <w:lang w:val="fr-CH"/>
              </w:rPr>
            </w:pPr>
            <w:r w:rsidRPr="00421A72">
              <w:rPr>
                <w:lang w:val="fr-CH"/>
              </w:rPr>
              <w:t xml:space="preserve">3,2 </w:t>
            </w:r>
            <w:r w:rsidR="004472A0" w:rsidRPr="00421A72">
              <w:rPr>
                <w:lang w:val="fr-CH"/>
              </w:rPr>
              <w:sym w:font="Symbol" w:char="F0B4"/>
            </w:r>
            <w:r w:rsidRPr="00421A72">
              <w:rPr>
                <w:lang w:val="fr-CH"/>
              </w:rPr>
              <w:t xml:space="preserve"> 10</w:t>
            </w:r>
            <w:r w:rsidRPr="00421A72">
              <w:rPr>
                <w:vertAlign w:val="superscript"/>
                <w:lang w:val="fr-CH"/>
              </w:rPr>
              <w:t>–6</w:t>
            </w:r>
          </w:p>
        </w:tc>
        <w:tc>
          <w:tcPr>
            <w:tcW w:w="1736" w:type="dxa"/>
          </w:tcPr>
          <w:p w:rsidR="00732122" w:rsidRPr="00421A72" w:rsidRDefault="00732122" w:rsidP="00E5161D">
            <w:pPr>
              <w:pStyle w:val="Tabletext"/>
              <w:jc w:val="center"/>
              <w:rPr>
                <w:lang w:val="fr-CH"/>
              </w:rPr>
            </w:pPr>
            <w:r w:rsidRPr="00421A72">
              <w:rPr>
                <w:lang w:val="fr-CH"/>
              </w:rPr>
              <w:t xml:space="preserve">1,3 </w:t>
            </w:r>
            <w:r w:rsidR="004472A0" w:rsidRPr="00421A72">
              <w:rPr>
                <w:lang w:val="fr-CH"/>
              </w:rPr>
              <w:sym w:font="Symbol" w:char="F0B4"/>
            </w:r>
            <w:r w:rsidRPr="00421A72">
              <w:rPr>
                <w:lang w:val="fr-CH"/>
              </w:rPr>
              <w:t xml:space="preserve"> 10</w:t>
            </w:r>
            <w:r w:rsidRPr="00421A72">
              <w:rPr>
                <w:vertAlign w:val="superscript"/>
                <w:lang w:val="fr-CH"/>
              </w:rPr>
              <w:t>–5</w:t>
            </w:r>
          </w:p>
        </w:tc>
      </w:tr>
    </w:tbl>
    <w:p w:rsidR="00936ACE" w:rsidRPr="00421A72" w:rsidRDefault="00936ACE" w:rsidP="00936ACE">
      <w:pPr>
        <w:pStyle w:val="Tablefin"/>
        <w:rPr>
          <w:lang w:val="fr-CH"/>
        </w:rPr>
      </w:pPr>
    </w:p>
    <w:p w:rsidR="00732122" w:rsidRPr="00421A72" w:rsidRDefault="00732122" w:rsidP="00936ACE">
      <w:pPr>
        <w:pStyle w:val="Heading1"/>
        <w:rPr>
          <w:lang w:val="fr-CH"/>
        </w:rPr>
      </w:pPr>
      <w:r w:rsidRPr="00421A72">
        <w:rPr>
          <w:lang w:val="fr-CH"/>
        </w:rPr>
        <w:t>3</w:t>
      </w:r>
      <w:r w:rsidRPr="00421A72">
        <w:rPr>
          <w:lang w:val="fr-CH"/>
        </w:rPr>
        <w:tab/>
        <w:t>Critères à court terme</w:t>
      </w:r>
    </w:p>
    <w:p w:rsidR="00732122" w:rsidRPr="00421A72" w:rsidRDefault="00732122" w:rsidP="00936ACE">
      <w:pPr>
        <w:pStyle w:val="Heading2"/>
        <w:rPr>
          <w:lang w:val="fr-CH"/>
        </w:rPr>
      </w:pPr>
      <w:r w:rsidRPr="00421A72">
        <w:rPr>
          <w:lang w:val="fr-CH"/>
        </w:rPr>
        <w:t>3.1</w:t>
      </w:r>
      <w:r w:rsidRPr="00421A72">
        <w:rPr>
          <w:lang w:val="fr-CH"/>
        </w:rPr>
        <w:tab/>
        <w:t>Méthodologie</w:t>
      </w:r>
    </w:p>
    <w:p w:rsidR="00732122" w:rsidRPr="00421A72" w:rsidRDefault="00732122" w:rsidP="00936ACE">
      <w:pPr>
        <w:rPr>
          <w:lang w:val="fr-CH"/>
        </w:rPr>
      </w:pPr>
      <w:r w:rsidRPr="00421A72">
        <w:rPr>
          <w:lang w:val="fr-CH"/>
        </w:rPr>
        <w:t>Comme exprimé au § 1, la principale cause d'interruption d'une liaison du service fixe, dans le cas de brouillages à court terme, est un niveau de brouillage supérieur à la marge de la liaison contre les évanouissements, quelles que soient les conditions de propagation.</w:t>
      </w:r>
    </w:p>
    <w:p w:rsidR="00732122" w:rsidRPr="00421A72" w:rsidRDefault="00732122" w:rsidP="00936ACE">
      <w:pPr>
        <w:rPr>
          <w:lang w:val="fr-CH"/>
        </w:rPr>
      </w:pPr>
      <w:r w:rsidRPr="00421A72">
        <w:rPr>
          <w:lang w:val="fr-CH"/>
        </w:rPr>
        <w:t>La définition des critères à court terme est donc liée aussi bien aux valeurs de la marge contre les évanouissements (ou de la marge nette contre les évanouissements dans le cas de systèmes mettant en œuvre la RAPE</w:t>
      </w:r>
      <w:r w:rsidRPr="00421A72">
        <w:rPr>
          <w:rStyle w:val="FootnoteReference"/>
          <w:lang w:val="fr-CH"/>
        </w:rPr>
        <w:footnoteReference w:customMarkFollows="1" w:id="2"/>
        <w:t>1</w:t>
      </w:r>
      <w:r w:rsidRPr="00421A72">
        <w:rPr>
          <w:lang w:val="fr-CH"/>
        </w:rPr>
        <w:t>) qu'aux EPO définis pour les brouillages à court terme (cf. Tableau 1), la marge contre les évanouissements étant affectée aux critères à court terme.</w:t>
      </w:r>
    </w:p>
    <w:p w:rsidR="00732122" w:rsidRPr="00421A72" w:rsidRDefault="00732122" w:rsidP="00936ACE">
      <w:pPr>
        <w:pStyle w:val="Heading2"/>
        <w:rPr>
          <w:lang w:val="fr-CH"/>
        </w:rPr>
      </w:pPr>
      <w:r w:rsidRPr="00421A72">
        <w:rPr>
          <w:lang w:val="fr-CH"/>
        </w:rPr>
        <w:t>3.2</w:t>
      </w:r>
      <w:r w:rsidRPr="00421A72">
        <w:rPr>
          <w:lang w:val="fr-CH"/>
        </w:rPr>
        <w:tab/>
        <w:t>Marge contre les évanouissements dans le service fixe</w:t>
      </w:r>
    </w:p>
    <w:p w:rsidR="00732122" w:rsidRPr="00421A72" w:rsidRDefault="00732122" w:rsidP="00936ACE">
      <w:pPr>
        <w:rPr>
          <w:lang w:val="fr-CH"/>
        </w:rPr>
      </w:pPr>
      <w:r w:rsidRPr="00421A72">
        <w:rPr>
          <w:lang w:val="fr-CH"/>
        </w:rPr>
        <w:t>Dans les bandes des 38 et des 40 GHz, du fait que les liaisons sont généralement des liaisons à courte distance, une marge contre les évanouissements de 14 dB a été considérée comme représentative d'une liaison classique puisque l'on a supposé que, dans leur majorité, ces liaisons présentaient des marges contre les évanouissements (ou des marges nettes contre les évanouissements</w:t>
      </w:r>
      <w:r w:rsidRPr="00421A72">
        <w:rPr>
          <w:rStyle w:val="FootnoteReference"/>
          <w:lang w:val="fr-CH"/>
        </w:rPr>
        <w:t>1</w:t>
      </w:r>
      <w:r w:rsidRPr="00421A72">
        <w:rPr>
          <w:lang w:val="fr-CH"/>
        </w:rPr>
        <w:t>) supérieures à cette valeur. Il convient de noter que, dans le cas de systèmes mettant en œuvre la RAPE, cette marge de 14 dB correspond à une liaison dans laquelle la marge contre les évanouissements est plus importante (14 dB de marge nette plus 10 dB pour la RAPE).</w:t>
      </w:r>
    </w:p>
    <w:p w:rsidR="00732122" w:rsidRPr="00421A72" w:rsidRDefault="00732122" w:rsidP="00936ACE">
      <w:pPr>
        <w:rPr>
          <w:lang w:val="fr-CH"/>
        </w:rPr>
      </w:pPr>
      <w:r w:rsidRPr="00421A72">
        <w:rPr>
          <w:lang w:val="fr-CH"/>
        </w:rPr>
        <w:t xml:space="preserve">Par ailleurs, on a également noté que dans certaines applications d'accès hertzien à large bande, une marge contre les évanouissements de 10 dB est mise en oeuvre sur certaines liaisons de courte distance, lesquelles appelleraient en conséquence une valeur de </w:t>
      </w:r>
      <w:r w:rsidRPr="00421A72">
        <w:rPr>
          <w:i/>
          <w:iCs/>
          <w:lang w:val="fr-CH"/>
        </w:rPr>
        <w:t>I</w:t>
      </w:r>
      <w:r w:rsidRPr="00421A72">
        <w:rPr>
          <w:lang w:val="fr-CH"/>
        </w:rPr>
        <w:t>/</w:t>
      </w:r>
      <w:r w:rsidRPr="00421A72">
        <w:rPr>
          <w:i/>
          <w:iCs/>
          <w:lang w:val="fr-CH"/>
        </w:rPr>
        <w:t>N</w:t>
      </w:r>
      <w:r w:rsidRPr="00421A72">
        <w:rPr>
          <w:lang w:val="fr-CH"/>
        </w:rPr>
        <w:t xml:space="preserve"> moins élevée.</w:t>
      </w:r>
    </w:p>
    <w:p w:rsidR="00732122" w:rsidRPr="00421A72" w:rsidRDefault="00732122" w:rsidP="00936ACE">
      <w:pPr>
        <w:rPr>
          <w:lang w:val="fr-CH"/>
        </w:rPr>
      </w:pPr>
      <w:r w:rsidRPr="00421A72">
        <w:rPr>
          <w:lang w:val="fr-CH"/>
        </w:rPr>
        <w:t>Sur cette base, le Tableau de l'Appendice 1 à l'Annexe 1, établi sur la base de la Recommandation UIT-R P.530, indique la marge requise contre les évanouissements dus à la pluie pour une disponibilité de 99,999% dans le cas de liaisons jusqu'à 1,6 km et pour cinq taux de précipitation différents, en polarisation verticale et en polarisation horizontale.</w:t>
      </w:r>
    </w:p>
    <w:p w:rsidR="00732122" w:rsidRPr="00421A72" w:rsidRDefault="00732122" w:rsidP="00936ACE">
      <w:pPr>
        <w:keepNext/>
        <w:keepLines/>
        <w:rPr>
          <w:lang w:val="fr-CH"/>
        </w:rPr>
      </w:pPr>
      <w:r w:rsidRPr="00421A72">
        <w:rPr>
          <w:lang w:val="fr-CH"/>
        </w:rPr>
        <w:t>Toutefois, il faut noter que les marges de 14 dB ou de 10 dB contre les évanouissements dus à la pluie dans ces deux bandes (37 et 40 GHz) sont justifiées sur la base des calculs reposant sur la Recommandation UIT-R P.530, qui ne fournit pas de valeurs de marge contre les évanouissements calculées par référence à une valeur mesurée de qualité de fonctionnement exprimée en taux d'erreur, mais donne des valeurs absolues d'affaiblissement (évanouissements dus à la pluie) pour un pourcentage de temps donné.</w:t>
      </w:r>
    </w:p>
    <w:p w:rsidR="00732122" w:rsidRPr="00421A72" w:rsidRDefault="00732122" w:rsidP="00936ACE">
      <w:pPr>
        <w:rPr>
          <w:lang w:val="fr-CH"/>
        </w:rPr>
      </w:pPr>
      <w:r w:rsidRPr="00421A72">
        <w:rPr>
          <w:lang w:val="fr-CH"/>
        </w:rPr>
        <w:t>Par ailleurs, selon la Recommandation UIT-R F.1498, pour une liaison conçue pour une disponibilité de 99,999% et en particulier pour des systèmes d'accès hertzien à large bande en concurrence supposée avec des systèmes à fibres optiques, la marge contre les évanouissements peut être indiquée par référence à un taux d'erreur binaire (TEB) de 10</w:t>
      </w:r>
      <w:r w:rsidRPr="00421A72">
        <w:rPr>
          <w:vertAlign w:val="superscript"/>
          <w:lang w:val="fr-CH"/>
        </w:rPr>
        <w:t>–6</w:t>
      </w:r>
      <w:r w:rsidRPr="00421A72">
        <w:rPr>
          <w:lang w:val="fr-CH"/>
        </w:rPr>
        <w:t xml:space="preserve"> ou à une valeur de seconde gravement erronée (SES, </w:t>
      </w:r>
      <w:r w:rsidRPr="00421A72">
        <w:rPr>
          <w:i/>
          <w:iCs/>
          <w:lang w:val="fr-CH"/>
        </w:rPr>
        <w:t>severely errored second</w:t>
      </w:r>
      <w:r w:rsidRPr="00421A72">
        <w:rPr>
          <w:lang w:val="fr-CH"/>
        </w:rPr>
        <w:t>). Il a été décidé de conserver la valeur de SES comme niveau de référence pour la marge contre les évanouissements. Il a également été déterminé que la conception des liaisons du service fixe devrait tenir compte d'une marge de 1 dB pour les brouillages interne au service, d'où une augmentation de la puissance de bruit de référence, qui est alors supérieure de 1 dB à la puissance de bruit du système.</w:t>
      </w:r>
    </w:p>
    <w:p w:rsidR="00732122" w:rsidRPr="00421A72" w:rsidRDefault="00732122" w:rsidP="00936ACE">
      <w:pPr>
        <w:rPr>
          <w:lang w:val="fr-CH"/>
        </w:rPr>
      </w:pPr>
      <w:r w:rsidRPr="00421A72">
        <w:rPr>
          <w:lang w:val="fr-CH"/>
        </w:rPr>
        <w:t>En outre, pour des raisons techniques (puissance minimale accessible, diamètres des antennes disponibles, puissance d'émission fixe dans le cas des stations centrales...), les liaisons du service fixe dans les bandes 38 et 40 GHz, en particulier dans le cas de systèmes point à multipoint, peuvent  présenter une «marge nominale supplémentaire» s'ajoutant à la marge contre les évanouissements dus à la pluie. Au minimum, pour les liaisons point à point, la valeur de cette «marge nominale supplémentaire» dépend du niveau de granularité du réglage de puissance, atténuateurs éventuellement utilisés et du gain d'antenne, qui permettent au concepteur de choisir un niveau de réception aussi proche que possible du niveau théorique. Même si cet élément n'a pas été pris en compte dans la définition de la marge globale de référence d'une liaison du service fixe, il a été décidé de le prendre en compte au titre de facteur de confiance additionnel dans la définition des critères de protection.</w:t>
      </w:r>
    </w:p>
    <w:p w:rsidR="00732122" w:rsidRPr="00421A72" w:rsidRDefault="00732122" w:rsidP="00936ACE">
      <w:pPr>
        <w:rPr>
          <w:lang w:val="fr-CH"/>
        </w:rPr>
      </w:pPr>
      <w:r w:rsidRPr="00421A72">
        <w:rPr>
          <w:lang w:val="fr-CH"/>
        </w:rPr>
        <w:t xml:space="preserve">Du fait que les EPO sont définis par référence aux Recommandations UIT-T G.826 et UIT-T G.828, il est nécessaire d'extrapoler les valeurs de marge contre les évanouissements correspondant aux divers niveaux de secondes erronées (ES, </w:t>
      </w:r>
      <w:r w:rsidRPr="00421A72">
        <w:rPr>
          <w:i/>
          <w:iCs/>
          <w:lang w:val="fr-CH"/>
        </w:rPr>
        <w:t>error second</w:t>
      </w:r>
      <w:r w:rsidRPr="00421A72">
        <w:rPr>
          <w:lang w:val="fr-CH"/>
        </w:rPr>
        <w:t>) et de SES. Sur la base des hypothèses adoptées, les marges contre les évanouissements correspondant aux ES et aux SES sont respectivement inférieures de 3 dB et supérieures de 1 dB aux valeurs correspondant à un TEB de</w:t>
      </w:r>
      <w:r w:rsidR="00936ACE" w:rsidRPr="00421A72">
        <w:rPr>
          <w:lang w:val="fr-CH"/>
        </w:rPr>
        <w:t xml:space="preserve"> </w:t>
      </w:r>
      <w:r w:rsidRPr="00421A72">
        <w:rPr>
          <w:lang w:val="fr-CH"/>
        </w:rPr>
        <w:t>10</w:t>
      </w:r>
      <w:r w:rsidRPr="00421A72">
        <w:rPr>
          <w:vertAlign w:val="superscript"/>
          <w:lang w:val="fr-CH"/>
        </w:rPr>
        <w:t>–6</w:t>
      </w:r>
      <w:r w:rsidRPr="00421A72">
        <w:rPr>
          <w:lang w:val="fr-CH"/>
        </w:rPr>
        <w:t>, qui est lui-même inférieur de 2 dB aux valeurs correspondant à un TEB de 10</w:t>
      </w:r>
      <w:r w:rsidRPr="00421A72">
        <w:rPr>
          <w:vertAlign w:val="superscript"/>
          <w:lang w:val="fr-CH"/>
        </w:rPr>
        <w:t>–3</w:t>
      </w:r>
      <w:r w:rsidRPr="00421A72">
        <w:rPr>
          <w:lang w:val="fr-CH"/>
        </w:rPr>
        <w:t>. Le Tableau 2 résume ces différentes valeurs de marge contre les évanouissements et, avec les taux d'EPO correspondants, permet de définir deux critères à court terme pour le service fixe dans les bandes considérées.</w:t>
      </w:r>
    </w:p>
    <w:p w:rsidR="00732122" w:rsidRPr="00421A72" w:rsidRDefault="00732122" w:rsidP="00732122">
      <w:pPr>
        <w:pStyle w:val="TableNo"/>
        <w:rPr>
          <w:lang w:val="fr-CH"/>
        </w:rPr>
      </w:pPr>
      <w:r w:rsidRPr="00421A72">
        <w:rPr>
          <w:lang w:val="fr-CH"/>
        </w:rPr>
        <w:t>TABLEAU  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550"/>
        <w:gridCol w:w="2467"/>
        <w:gridCol w:w="2095"/>
        <w:gridCol w:w="1527"/>
      </w:tblGrid>
      <w:tr w:rsidR="00732122" w:rsidRPr="00421A72" w:rsidTr="007B7DC2">
        <w:trPr>
          <w:cantSplit/>
          <w:jc w:val="center"/>
        </w:trPr>
        <w:tc>
          <w:tcPr>
            <w:tcW w:w="3550" w:type="dxa"/>
            <w:tcBorders>
              <w:top w:val="nil"/>
              <w:left w:val="nil"/>
              <w:bottom w:val="single" w:sz="6" w:space="0" w:color="auto"/>
            </w:tcBorders>
            <w:vAlign w:val="center"/>
          </w:tcPr>
          <w:p w:rsidR="00732122" w:rsidRPr="00421A72" w:rsidRDefault="00732122" w:rsidP="007B7DC2">
            <w:pPr>
              <w:jc w:val="center"/>
              <w:rPr>
                <w:lang w:val="fr-CH"/>
              </w:rPr>
            </w:pPr>
          </w:p>
        </w:tc>
        <w:tc>
          <w:tcPr>
            <w:tcW w:w="2467" w:type="dxa"/>
            <w:tcBorders>
              <w:bottom w:val="single" w:sz="6" w:space="0" w:color="auto"/>
            </w:tcBorders>
            <w:vAlign w:val="center"/>
          </w:tcPr>
          <w:p w:rsidR="00732122" w:rsidRPr="00421A72" w:rsidRDefault="00732122" w:rsidP="007B7DC2">
            <w:pPr>
              <w:pStyle w:val="Tablehead"/>
              <w:rPr>
                <w:lang w:val="fr-CH"/>
              </w:rPr>
            </w:pPr>
            <w:r w:rsidRPr="00421A72">
              <w:rPr>
                <w:lang w:val="fr-CH"/>
              </w:rPr>
              <w:t xml:space="preserve">Marge contre les évanouissements dus </w:t>
            </w:r>
            <w:r w:rsidRPr="00421A72">
              <w:rPr>
                <w:lang w:val="fr-CH"/>
              </w:rPr>
              <w:br/>
              <w:t>à la pluie de 14 dB</w:t>
            </w:r>
            <w:r w:rsidRPr="00421A72">
              <w:rPr>
                <w:lang w:val="fr-CH"/>
              </w:rPr>
              <w:br/>
              <w:t>(dB)</w:t>
            </w:r>
          </w:p>
        </w:tc>
        <w:tc>
          <w:tcPr>
            <w:tcW w:w="2095" w:type="dxa"/>
            <w:tcBorders>
              <w:bottom w:val="single" w:sz="6" w:space="0" w:color="auto"/>
            </w:tcBorders>
            <w:vAlign w:val="center"/>
          </w:tcPr>
          <w:p w:rsidR="00732122" w:rsidRPr="00421A72" w:rsidRDefault="00732122" w:rsidP="007B7DC2">
            <w:pPr>
              <w:pStyle w:val="Tablehead"/>
              <w:rPr>
                <w:lang w:val="fr-CH"/>
              </w:rPr>
            </w:pPr>
            <w:r w:rsidRPr="00421A72">
              <w:rPr>
                <w:lang w:val="fr-CH"/>
              </w:rPr>
              <w:t>Marge contre les évanouissements dus à la pluie de 10 dB</w:t>
            </w:r>
            <w:r w:rsidRPr="00421A72">
              <w:rPr>
                <w:lang w:val="fr-CH"/>
              </w:rPr>
              <w:br/>
              <w:t>(dB)</w:t>
            </w:r>
          </w:p>
        </w:tc>
        <w:tc>
          <w:tcPr>
            <w:tcW w:w="1527" w:type="dxa"/>
            <w:tcBorders>
              <w:bottom w:val="single" w:sz="6" w:space="0" w:color="auto"/>
            </w:tcBorders>
            <w:vAlign w:val="center"/>
          </w:tcPr>
          <w:p w:rsidR="00732122" w:rsidRPr="00421A72" w:rsidRDefault="00732122" w:rsidP="007B7DC2">
            <w:pPr>
              <w:pStyle w:val="Tablehead"/>
              <w:rPr>
                <w:lang w:val="fr-CH"/>
              </w:rPr>
            </w:pPr>
            <w:r w:rsidRPr="00421A72">
              <w:rPr>
                <w:lang w:val="fr-CH"/>
              </w:rPr>
              <w:t>Taux d'EPO associé</w:t>
            </w:r>
          </w:p>
        </w:tc>
      </w:tr>
      <w:tr w:rsidR="00732122" w:rsidRPr="00421A72" w:rsidTr="007B7DC2">
        <w:trPr>
          <w:cantSplit/>
          <w:jc w:val="center"/>
        </w:trPr>
        <w:tc>
          <w:tcPr>
            <w:tcW w:w="3550"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left"/>
              <w:rPr>
                <w:lang w:val="fr-CH"/>
              </w:rPr>
            </w:pPr>
            <w:r w:rsidRPr="00421A72">
              <w:rPr>
                <w:lang w:val="fr-CH"/>
              </w:rPr>
              <w:t>ES (Recommandation UIT-T G.826)</w:t>
            </w:r>
          </w:p>
        </w:tc>
        <w:tc>
          <w:tcPr>
            <w:tcW w:w="2467"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center"/>
              <w:rPr>
                <w:lang w:val="fr-CH"/>
              </w:rPr>
            </w:pPr>
            <w:r w:rsidRPr="00421A72">
              <w:rPr>
                <w:lang w:val="fr-CH"/>
              </w:rPr>
              <w:t>10</w:t>
            </w:r>
          </w:p>
        </w:tc>
        <w:tc>
          <w:tcPr>
            <w:tcW w:w="2095"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21A72">
              <w:rPr>
                <w:lang w:val="fr-CH"/>
              </w:rPr>
              <w:t>6</w:t>
            </w:r>
          </w:p>
        </w:tc>
        <w:tc>
          <w:tcPr>
            <w:tcW w:w="1527"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spacing w:line="240" w:lineRule="exact"/>
              <w:jc w:val="center"/>
              <w:rPr>
                <w:lang w:val="fr-CH"/>
              </w:rPr>
            </w:pPr>
            <w:r w:rsidRPr="00421A72">
              <w:rPr>
                <w:lang w:val="fr-CH"/>
              </w:rPr>
              <w:t xml:space="preserve">4,8 </w:t>
            </w:r>
            <w:r w:rsidR="004472A0" w:rsidRPr="00421A72">
              <w:rPr>
                <w:lang w:val="fr-CH"/>
              </w:rPr>
              <w:sym w:font="Symbol" w:char="F0B4"/>
            </w:r>
            <w:r w:rsidRPr="00421A72">
              <w:rPr>
                <w:lang w:val="fr-CH"/>
              </w:rPr>
              <w:t xml:space="preserve"> 10</w:t>
            </w:r>
            <w:r w:rsidRPr="00421A72">
              <w:rPr>
                <w:vertAlign w:val="superscript"/>
                <w:lang w:val="fr-CH"/>
              </w:rPr>
              <w:t>–4</w:t>
            </w:r>
          </w:p>
        </w:tc>
      </w:tr>
      <w:tr w:rsidR="00732122" w:rsidRPr="00421A72" w:rsidTr="007B7DC2">
        <w:trPr>
          <w:cantSplit/>
          <w:jc w:val="center"/>
        </w:trPr>
        <w:tc>
          <w:tcPr>
            <w:tcW w:w="3550"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left"/>
              <w:rPr>
                <w:lang w:val="fr-CH"/>
              </w:rPr>
            </w:pPr>
            <w:r w:rsidRPr="00421A72">
              <w:rPr>
                <w:lang w:val="fr-CH"/>
              </w:rPr>
              <w:t>ES (Recommandation UIT-T G.828)</w:t>
            </w:r>
          </w:p>
        </w:tc>
        <w:tc>
          <w:tcPr>
            <w:tcW w:w="2467"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center"/>
              <w:rPr>
                <w:lang w:val="fr-CH"/>
              </w:rPr>
            </w:pPr>
            <w:r w:rsidRPr="00421A72">
              <w:rPr>
                <w:lang w:val="fr-CH"/>
              </w:rPr>
              <w:t>10</w:t>
            </w:r>
          </w:p>
        </w:tc>
        <w:tc>
          <w:tcPr>
            <w:tcW w:w="2095"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21A72">
              <w:rPr>
                <w:lang w:val="fr-CH"/>
              </w:rPr>
              <w:t>6</w:t>
            </w:r>
          </w:p>
        </w:tc>
        <w:tc>
          <w:tcPr>
            <w:tcW w:w="1527"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spacing w:line="240" w:lineRule="exact"/>
              <w:jc w:val="center"/>
              <w:rPr>
                <w:lang w:val="fr-CH"/>
              </w:rPr>
            </w:pPr>
            <w:r w:rsidRPr="00421A72">
              <w:rPr>
                <w:lang w:val="fr-CH"/>
              </w:rPr>
              <w:t xml:space="preserve">1,3 </w:t>
            </w:r>
            <w:r w:rsidR="004472A0" w:rsidRPr="00421A72">
              <w:rPr>
                <w:lang w:val="fr-CH"/>
              </w:rPr>
              <w:sym w:font="Symbol" w:char="F0B4"/>
            </w:r>
            <w:r w:rsidRPr="00421A72">
              <w:rPr>
                <w:lang w:val="fr-CH"/>
              </w:rPr>
              <w:t xml:space="preserve"> 10</w:t>
            </w:r>
            <w:r w:rsidRPr="00421A72">
              <w:rPr>
                <w:vertAlign w:val="superscript"/>
                <w:lang w:val="fr-CH"/>
              </w:rPr>
              <w:t>–4</w:t>
            </w:r>
          </w:p>
        </w:tc>
      </w:tr>
      <w:tr w:rsidR="00732122" w:rsidRPr="00421A72" w:rsidTr="007B7DC2">
        <w:trPr>
          <w:cantSplit/>
          <w:jc w:val="center"/>
        </w:trPr>
        <w:tc>
          <w:tcPr>
            <w:tcW w:w="3550"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left"/>
              <w:rPr>
                <w:lang w:val="fr-CH"/>
              </w:rPr>
            </w:pPr>
            <w:r w:rsidRPr="00421A72">
              <w:rPr>
                <w:lang w:val="fr-CH"/>
              </w:rPr>
              <w:t>TEB de 10</w:t>
            </w:r>
            <w:r w:rsidRPr="00421A72">
              <w:rPr>
                <w:vertAlign w:val="superscript"/>
                <w:lang w:val="fr-CH"/>
              </w:rPr>
              <w:t>–6</w:t>
            </w:r>
          </w:p>
        </w:tc>
        <w:tc>
          <w:tcPr>
            <w:tcW w:w="2467"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center"/>
              <w:rPr>
                <w:lang w:val="fr-CH"/>
              </w:rPr>
            </w:pPr>
            <w:r w:rsidRPr="00421A72">
              <w:rPr>
                <w:lang w:val="fr-CH"/>
              </w:rPr>
              <w:t>13</w:t>
            </w:r>
          </w:p>
        </w:tc>
        <w:tc>
          <w:tcPr>
            <w:tcW w:w="2095"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21A72">
              <w:rPr>
                <w:lang w:val="fr-CH"/>
              </w:rPr>
              <w:t>9</w:t>
            </w:r>
          </w:p>
        </w:tc>
        <w:tc>
          <w:tcPr>
            <w:tcW w:w="1527" w:type="dxa"/>
            <w:tcBorders>
              <w:top w:val="single" w:sz="6" w:space="0" w:color="auto"/>
              <w:left w:val="single" w:sz="6" w:space="0" w:color="auto"/>
              <w:bottom w:val="single" w:sz="6" w:space="0" w:color="auto"/>
              <w:right w:val="single" w:sz="6" w:space="0" w:color="auto"/>
            </w:tcBorders>
            <w:shd w:val="diagStripe" w:color="auto" w:fill="auto"/>
            <w:tcMar>
              <w:left w:w="108" w:type="dxa"/>
              <w:right w:w="108" w:type="dxa"/>
            </w:tcMar>
          </w:tcPr>
          <w:p w:rsidR="00732122" w:rsidRPr="00421A72" w:rsidRDefault="00732122" w:rsidP="00E5161D">
            <w:pPr>
              <w:pStyle w:val="Tabletext"/>
              <w:jc w:val="center"/>
              <w:rPr>
                <w:lang w:val="fr-CH"/>
              </w:rPr>
            </w:pPr>
          </w:p>
        </w:tc>
      </w:tr>
      <w:tr w:rsidR="00732122" w:rsidRPr="00421A72" w:rsidTr="007B7DC2">
        <w:trPr>
          <w:cantSplit/>
          <w:jc w:val="center"/>
        </w:trPr>
        <w:tc>
          <w:tcPr>
            <w:tcW w:w="3550"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spacing w:line="240" w:lineRule="exact"/>
              <w:rPr>
                <w:lang w:val="fr-CH"/>
              </w:rPr>
            </w:pPr>
            <w:r w:rsidRPr="00421A72">
              <w:rPr>
                <w:lang w:val="fr-CH"/>
              </w:rPr>
              <w:t>SES</w:t>
            </w:r>
          </w:p>
        </w:tc>
        <w:tc>
          <w:tcPr>
            <w:tcW w:w="2467"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center"/>
              <w:rPr>
                <w:lang w:val="fr-CH"/>
              </w:rPr>
            </w:pPr>
            <w:r w:rsidRPr="00421A72">
              <w:rPr>
                <w:lang w:val="fr-CH"/>
              </w:rPr>
              <w:t>14</w:t>
            </w:r>
          </w:p>
        </w:tc>
        <w:tc>
          <w:tcPr>
            <w:tcW w:w="2095"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lang w:val="fr-CH"/>
              </w:rPr>
            </w:pPr>
            <w:r w:rsidRPr="00421A72">
              <w:rPr>
                <w:lang w:val="fr-CH"/>
              </w:rPr>
              <w:t>10</w:t>
            </w:r>
          </w:p>
        </w:tc>
        <w:tc>
          <w:tcPr>
            <w:tcW w:w="1527"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spacing w:line="240" w:lineRule="exact"/>
              <w:jc w:val="center"/>
              <w:rPr>
                <w:lang w:val="fr-CH"/>
              </w:rPr>
            </w:pPr>
            <w:r w:rsidRPr="00421A72">
              <w:rPr>
                <w:lang w:val="fr-CH"/>
              </w:rPr>
              <w:t xml:space="preserve">1,3 </w:t>
            </w:r>
            <w:r w:rsidR="004472A0" w:rsidRPr="00421A72">
              <w:rPr>
                <w:lang w:val="fr-CH"/>
              </w:rPr>
              <w:sym w:font="Symbol" w:char="F0B4"/>
            </w:r>
            <w:r w:rsidRPr="00421A72">
              <w:rPr>
                <w:lang w:val="fr-CH"/>
              </w:rPr>
              <w:t xml:space="preserve"> 10</w:t>
            </w:r>
            <w:r w:rsidRPr="00421A72">
              <w:rPr>
                <w:vertAlign w:val="superscript"/>
                <w:lang w:val="fr-CH"/>
              </w:rPr>
              <w:t>–5</w:t>
            </w:r>
          </w:p>
        </w:tc>
      </w:tr>
      <w:tr w:rsidR="00732122" w:rsidRPr="00421A72" w:rsidTr="007B7DC2">
        <w:trPr>
          <w:cantSplit/>
          <w:jc w:val="center"/>
        </w:trPr>
        <w:tc>
          <w:tcPr>
            <w:tcW w:w="3550"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left"/>
              <w:rPr>
                <w:lang w:val="fr-CH"/>
              </w:rPr>
            </w:pPr>
            <w:r w:rsidRPr="00421A72">
              <w:rPr>
                <w:lang w:val="fr-CH"/>
              </w:rPr>
              <w:t>TEB de 10</w:t>
            </w:r>
            <w:r w:rsidRPr="00421A72">
              <w:rPr>
                <w:vertAlign w:val="superscript"/>
                <w:lang w:val="fr-CH"/>
              </w:rPr>
              <w:t>–3</w:t>
            </w:r>
          </w:p>
        </w:tc>
        <w:tc>
          <w:tcPr>
            <w:tcW w:w="2467"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jc w:val="center"/>
              <w:rPr>
                <w:lang w:val="fr-CH"/>
              </w:rPr>
            </w:pPr>
            <w:r w:rsidRPr="00421A72">
              <w:rPr>
                <w:lang w:val="fr-CH"/>
              </w:rPr>
              <w:t>15</w:t>
            </w:r>
          </w:p>
        </w:tc>
        <w:tc>
          <w:tcPr>
            <w:tcW w:w="2095" w:type="dxa"/>
            <w:tcBorders>
              <w:top w:val="single" w:sz="6" w:space="0" w:color="auto"/>
              <w:left w:val="single" w:sz="6" w:space="0" w:color="auto"/>
              <w:bottom w:val="single" w:sz="6" w:space="0" w:color="auto"/>
              <w:right w:val="single" w:sz="6" w:space="0" w:color="auto"/>
            </w:tcBorders>
            <w:tcMar>
              <w:left w:w="108" w:type="dxa"/>
              <w:right w:w="108" w:type="dxa"/>
            </w:tcMar>
          </w:tcPr>
          <w:p w:rsidR="00732122" w:rsidRPr="00421A72" w:rsidRDefault="00732122" w:rsidP="00E51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21A72">
              <w:rPr>
                <w:lang w:val="fr-CH"/>
              </w:rPr>
              <w:t>11</w:t>
            </w:r>
          </w:p>
        </w:tc>
        <w:tc>
          <w:tcPr>
            <w:tcW w:w="1527" w:type="dxa"/>
            <w:tcBorders>
              <w:top w:val="single" w:sz="6" w:space="0" w:color="auto"/>
              <w:left w:val="single" w:sz="6" w:space="0" w:color="auto"/>
              <w:bottom w:val="single" w:sz="6" w:space="0" w:color="auto"/>
              <w:right w:val="single" w:sz="6" w:space="0" w:color="auto"/>
            </w:tcBorders>
            <w:shd w:val="diagStripe" w:color="auto" w:fill="auto"/>
            <w:tcMar>
              <w:left w:w="108" w:type="dxa"/>
              <w:right w:w="108" w:type="dxa"/>
            </w:tcMar>
          </w:tcPr>
          <w:p w:rsidR="00732122" w:rsidRPr="00421A72" w:rsidRDefault="00732122" w:rsidP="00E5161D">
            <w:pPr>
              <w:pStyle w:val="Tabletext"/>
              <w:jc w:val="center"/>
              <w:rPr>
                <w:lang w:val="fr-CH"/>
              </w:rPr>
            </w:pPr>
          </w:p>
        </w:tc>
      </w:tr>
    </w:tbl>
    <w:p w:rsidR="00936ACE" w:rsidRPr="00421A72" w:rsidRDefault="00936ACE" w:rsidP="00936ACE">
      <w:pPr>
        <w:pStyle w:val="Tablefin"/>
        <w:rPr>
          <w:lang w:val="fr-CH"/>
        </w:rPr>
      </w:pPr>
    </w:p>
    <w:p w:rsidR="00732122" w:rsidRPr="00421A72" w:rsidRDefault="00732122" w:rsidP="00936ACE">
      <w:pPr>
        <w:rPr>
          <w:lang w:val="fr-CH"/>
        </w:rPr>
      </w:pPr>
      <w:r w:rsidRPr="00421A72">
        <w:rPr>
          <w:lang w:val="fr-CH"/>
        </w:rPr>
        <w:t>En raison de la forme des distributions de brouillage calculées, qui, en général, font apparaître que lorsque le critère correspondant aux ES est respecté, le critère correspondant aux SES l'est également, il a été décidé, à des fins de simplification, de ne retenir que les critères correspondant aux ES.</w:t>
      </w:r>
    </w:p>
    <w:p w:rsidR="00732122" w:rsidRPr="00421A72" w:rsidRDefault="00732122" w:rsidP="004472A0">
      <w:pPr>
        <w:rPr>
          <w:lang w:val="fr-CH"/>
        </w:rPr>
      </w:pPr>
      <w:r w:rsidRPr="00421A72">
        <w:rPr>
          <w:lang w:val="fr-CH"/>
        </w:rPr>
        <w:t xml:space="preserve">Posons par hypothèse que </w:t>
      </w:r>
      <w:r w:rsidRPr="00421A72">
        <w:rPr>
          <w:i/>
          <w:lang w:val="fr-CH"/>
        </w:rPr>
        <w:t>M</w:t>
      </w:r>
      <w:r w:rsidRPr="00421A72">
        <w:rPr>
          <w:i/>
          <w:vertAlign w:val="subscript"/>
          <w:lang w:val="fr-CH"/>
        </w:rPr>
        <w:t>SES</w:t>
      </w:r>
      <w:r w:rsidRPr="00421A72">
        <w:rPr>
          <w:lang w:val="fr-CH"/>
        </w:rPr>
        <w:t xml:space="preserve"> est la marge contre les évanouissements qui porte le rapport </w:t>
      </w:r>
      <w:r w:rsidRPr="00421A72">
        <w:rPr>
          <w:i/>
          <w:iCs/>
          <w:lang w:val="fr-CH"/>
        </w:rPr>
        <w:t>C</w:t>
      </w:r>
      <w:r w:rsidRPr="00421A72">
        <w:rPr>
          <w:lang w:val="fr-CH"/>
        </w:rPr>
        <w:t>/</w:t>
      </w:r>
      <w:r w:rsidRPr="00421A72">
        <w:rPr>
          <w:i/>
          <w:iCs/>
          <w:lang w:val="fr-CH"/>
        </w:rPr>
        <w:t>N</w:t>
      </w:r>
      <w:r w:rsidRPr="00421A72">
        <w:rPr>
          <w:lang w:val="fr-CH"/>
        </w:rPr>
        <w:t xml:space="preserve"> </w:t>
      </w:r>
      <w:r w:rsidR="004472A0" w:rsidRPr="00421A72">
        <w:rPr>
          <w:lang w:val="fr-CH"/>
        </w:rPr>
        <w:t>+</w:t>
      </w:r>
      <w:r w:rsidRPr="00421A72">
        <w:rPr>
          <w:lang w:val="fr-CH"/>
        </w:rPr>
        <w:t xml:space="preserve"> </w:t>
      </w:r>
      <w:r w:rsidRPr="00421A72">
        <w:rPr>
          <w:i/>
          <w:iCs/>
          <w:lang w:val="fr-CH"/>
        </w:rPr>
        <w:t>I</w:t>
      </w:r>
      <w:r w:rsidRPr="00421A72">
        <w:rPr>
          <w:lang w:val="fr-CH"/>
        </w:rPr>
        <w:t xml:space="preserve"> au niveau seuil de qualité de fonctionnement </w:t>
      </w:r>
      <w:r w:rsidRPr="00421A72">
        <w:rPr>
          <w:i/>
          <w:lang w:val="fr-CH"/>
        </w:rPr>
        <w:t>T</w:t>
      </w:r>
      <w:r w:rsidRPr="00421A72">
        <w:rPr>
          <w:i/>
          <w:vertAlign w:val="subscript"/>
          <w:lang w:val="fr-CH"/>
        </w:rPr>
        <w:t>SES</w:t>
      </w:r>
      <w:r w:rsidRPr="00421A72">
        <w:rPr>
          <w:lang w:val="fr-CH"/>
        </w:rPr>
        <w:t xml:space="preserve"> pour des SES. Dans l'étude technique d'une liaison dont le seuil de qualité de fonctionnement doit être respecté pendant un pourcentage de temps déterminé, on utilise la Recommandation UIT-R P.530 pour calculer la marge contre les évanouissements requise, selon la procédure appliquée dans le calcul des marges du Tableau 2. Pour tenir compte de la répartition des brouillages, on étudie la liaison en fonction d'un signal sans évanouissement </w:t>
      </w:r>
      <w:r w:rsidRPr="00421A72">
        <w:rPr>
          <w:i/>
          <w:lang w:val="fr-CH"/>
        </w:rPr>
        <w:t>C</w:t>
      </w:r>
      <w:r w:rsidRPr="00421A72">
        <w:rPr>
          <w:iCs/>
          <w:vertAlign w:val="subscript"/>
          <w:lang w:val="fr-CH"/>
        </w:rPr>
        <w:t>0</w:t>
      </w:r>
      <w:r w:rsidRPr="00421A72">
        <w:rPr>
          <w:lang w:val="fr-CH"/>
        </w:rPr>
        <w:t>, et l'on a:</w:t>
      </w:r>
    </w:p>
    <w:p w:rsidR="00936ACE" w:rsidRPr="00421A72" w:rsidRDefault="00936ACE" w:rsidP="00936ACE">
      <w:pPr>
        <w:pStyle w:val="Blanc"/>
        <w:rPr>
          <w:lang w:val="fr-CH"/>
        </w:rPr>
      </w:pPr>
    </w:p>
    <w:p w:rsidR="00732122" w:rsidRPr="00421A72" w:rsidRDefault="00732122" w:rsidP="00936ACE">
      <w:pPr>
        <w:pStyle w:val="Equation"/>
        <w:rPr>
          <w:lang w:val="fr-CH"/>
        </w:rPr>
      </w:pPr>
      <w:r w:rsidRPr="00421A72">
        <w:rPr>
          <w:lang w:val="fr-CH"/>
        </w:rPr>
        <w:tab/>
      </w:r>
      <w:r w:rsidRPr="00421A72">
        <w:rPr>
          <w:lang w:val="fr-CH"/>
        </w:rPr>
        <w:tab/>
      </w:r>
      <w:r w:rsidRPr="00421A72">
        <w:rPr>
          <w:position w:val="-12"/>
          <w:lang w:val="fr-CH"/>
        </w:rPr>
        <w:object w:dxaOrig="2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pt;height:18.3pt" o:ole="">
            <v:imagedata r:id="rId12" o:title=""/>
          </v:shape>
          <o:OLEObject Type="Embed" ProgID="Equation.3" ShapeID="_x0000_i1025" DrawAspect="Content" ObjectID="_1353753204" r:id="rId13"/>
        </w:object>
      </w:r>
      <w:r w:rsidRPr="00421A72">
        <w:rPr>
          <w:lang w:val="fr-CH"/>
        </w:rPr>
        <w:tab/>
        <w:t>(1)</w:t>
      </w:r>
    </w:p>
    <w:p w:rsidR="00936ACE" w:rsidRPr="00421A72" w:rsidRDefault="00936ACE" w:rsidP="00936ACE">
      <w:pPr>
        <w:pStyle w:val="Blanc"/>
        <w:rPr>
          <w:lang w:val="fr-CH"/>
        </w:rPr>
      </w:pPr>
    </w:p>
    <w:p w:rsidR="00732122" w:rsidRPr="00421A72" w:rsidRDefault="00732122" w:rsidP="004472A0">
      <w:pPr>
        <w:rPr>
          <w:lang w:val="fr-CH"/>
        </w:rPr>
      </w:pPr>
      <w:r w:rsidRPr="00421A72">
        <w:rPr>
          <w:iCs/>
          <w:lang w:val="fr-CH"/>
        </w:rPr>
        <w:t xml:space="preserve">dans laquelle </w:t>
      </w:r>
      <w:r w:rsidRPr="00421A72">
        <w:rPr>
          <w:i/>
          <w:lang w:val="fr-CH"/>
        </w:rPr>
        <w:t>N</w:t>
      </w:r>
      <w:r w:rsidRPr="00421A72">
        <w:rPr>
          <w:lang w:val="fr-CH"/>
        </w:rPr>
        <w:t xml:space="preserve"> est la somme, au niveau du récepteur, du bruit du récepteur du SF et de la marge additionnelle affectée aux brouillages émanant du service fixe. Si </w:t>
      </w:r>
      <w:r w:rsidRPr="00421A72">
        <w:rPr>
          <w:i/>
          <w:lang w:val="fr-CH"/>
        </w:rPr>
        <w:t>N</w:t>
      </w:r>
      <w:r w:rsidRPr="00421A72">
        <w:rPr>
          <w:iCs/>
          <w:vertAlign w:val="subscript"/>
          <w:lang w:val="fr-CH"/>
        </w:rPr>
        <w:t>0</w:t>
      </w:r>
      <w:r w:rsidRPr="00421A72">
        <w:rPr>
          <w:lang w:val="fr-CH"/>
        </w:rPr>
        <w:t xml:space="preserve"> est le bruit total du système (</w:t>
      </w:r>
      <w:r w:rsidRPr="00421A72">
        <w:rPr>
          <w:i/>
          <w:iCs/>
          <w:lang w:val="fr-CH"/>
        </w:rPr>
        <w:t>k T BF</w:t>
      </w:r>
      <w:r w:rsidRPr="00421A72">
        <w:rPr>
          <w:lang w:val="fr-CH"/>
        </w:rPr>
        <w:t xml:space="preserve">), on a </w:t>
      </w:r>
      <w:r w:rsidRPr="00421A72">
        <w:rPr>
          <w:i/>
          <w:iCs/>
          <w:lang w:val="fr-CH"/>
        </w:rPr>
        <w:t>N</w:t>
      </w:r>
      <w:r w:rsidRPr="00421A72">
        <w:rPr>
          <w:lang w:val="fr-CH"/>
        </w:rPr>
        <w:t xml:space="preserve"> </w:t>
      </w:r>
      <w:r w:rsidR="004472A0" w:rsidRPr="00421A72">
        <w:rPr>
          <w:lang w:val="fr-CH"/>
        </w:rPr>
        <w:t>=</w:t>
      </w:r>
      <w:r w:rsidRPr="00421A72">
        <w:rPr>
          <w:lang w:val="fr-CH"/>
        </w:rPr>
        <w:t xml:space="preserve"> </w:t>
      </w:r>
      <w:r w:rsidRPr="00421A72">
        <w:rPr>
          <w:i/>
          <w:iCs/>
          <w:lang w:val="fr-CH"/>
        </w:rPr>
        <w:t>N</w:t>
      </w:r>
      <w:r w:rsidRPr="00421A72">
        <w:rPr>
          <w:vertAlign w:val="subscript"/>
          <w:lang w:val="fr-CH"/>
        </w:rPr>
        <w:t>0</w:t>
      </w:r>
      <w:r w:rsidRPr="00421A72">
        <w:rPr>
          <w:lang w:val="fr-CH"/>
        </w:rPr>
        <w:t xml:space="preserve"> </w:t>
      </w:r>
      <w:r w:rsidR="004472A0" w:rsidRPr="00421A72">
        <w:rPr>
          <w:lang w:val="fr-CH"/>
        </w:rPr>
        <w:t>+</w:t>
      </w:r>
      <w:r w:rsidRPr="00421A72">
        <w:rPr>
          <w:lang w:val="fr-CH"/>
        </w:rPr>
        <w:t xml:space="preserve"> 1 dB.</w:t>
      </w:r>
    </w:p>
    <w:p w:rsidR="00732122" w:rsidRPr="00421A72" w:rsidRDefault="00732122" w:rsidP="00936ACE">
      <w:pPr>
        <w:rPr>
          <w:lang w:val="fr-CH"/>
        </w:rPr>
      </w:pPr>
      <w:r w:rsidRPr="00421A72">
        <w:rPr>
          <w:lang w:val="fr-CH"/>
        </w:rPr>
        <w:t>Plus généralement, le bruit total, y compris les brouillages émanant d'autres services exploités à titre coprimaire, peut s'exprimer comme suit:</w:t>
      </w:r>
    </w:p>
    <w:p w:rsidR="00936ACE" w:rsidRPr="00421A72" w:rsidRDefault="00936ACE" w:rsidP="00936ACE">
      <w:pPr>
        <w:pStyle w:val="Blanc"/>
        <w:rPr>
          <w:lang w:val="fr-CH"/>
        </w:rPr>
      </w:pPr>
    </w:p>
    <w:p w:rsidR="00732122" w:rsidRPr="00421A72" w:rsidRDefault="00732122" w:rsidP="00795D3B">
      <w:pPr>
        <w:pStyle w:val="Equation"/>
        <w:rPr>
          <w:lang w:val="fr-CH"/>
        </w:rPr>
      </w:pPr>
      <w:r w:rsidRPr="00421A72">
        <w:rPr>
          <w:lang w:val="fr-CH"/>
        </w:rPr>
        <w:tab/>
      </w:r>
      <w:r w:rsidRPr="00421A72">
        <w:rPr>
          <w:lang w:val="fr-CH"/>
        </w:rPr>
        <w:tab/>
      </w:r>
      <w:r w:rsidRPr="00421A72">
        <w:rPr>
          <w:position w:val="-12"/>
          <w:lang w:val="fr-CH"/>
        </w:rPr>
        <w:object w:dxaOrig="3500" w:dyaOrig="440">
          <v:shape id="_x0000_i1026" type="#_x0000_t75" style="width:175pt;height:22.15pt" o:ole="">
            <v:imagedata r:id="rId14" o:title=""/>
          </v:shape>
          <o:OLEObject Type="Embed" ProgID="Equation.3" ShapeID="_x0000_i1026" DrawAspect="Content" ObjectID="_1353753205" r:id="rId15"/>
        </w:object>
      </w:r>
      <w:r w:rsidR="00795D3B">
        <w:rPr>
          <w:lang w:val="fr-CH"/>
        </w:rPr>
        <w:t>                </w:t>
      </w:r>
      <w:r w:rsidRPr="00421A72">
        <w:rPr>
          <w:lang w:val="fr-CH"/>
        </w:rPr>
        <w:t>dB</w:t>
      </w:r>
      <w:r w:rsidRPr="00421A72">
        <w:rPr>
          <w:lang w:val="fr-CH"/>
        </w:rPr>
        <w:tab/>
        <w:t>(2)</w:t>
      </w:r>
    </w:p>
    <w:p w:rsidR="00936ACE" w:rsidRPr="00421A72" w:rsidRDefault="00936ACE" w:rsidP="00936ACE">
      <w:pPr>
        <w:pStyle w:val="Blanc"/>
        <w:rPr>
          <w:lang w:val="fr-CH"/>
        </w:rPr>
      </w:pPr>
    </w:p>
    <w:p w:rsidR="00732122" w:rsidRPr="00421A72" w:rsidRDefault="00732122" w:rsidP="004472A0">
      <w:pPr>
        <w:rPr>
          <w:lang w:val="fr-CH"/>
        </w:rPr>
      </w:pPr>
      <w:r w:rsidRPr="00421A72">
        <w:rPr>
          <w:lang w:val="fr-CH"/>
        </w:rPr>
        <w:t xml:space="preserve">Le rapport </w:t>
      </w:r>
      <w:r w:rsidRPr="00421A72">
        <w:rPr>
          <w:i/>
          <w:iCs/>
          <w:lang w:val="fr-CH"/>
        </w:rPr>
        <w:t>I</w:t>
      </w:r>
      <w:r w:rsidRPr="00421A72">
        <w:rPr>
          <w:lang w:val="fr-CH"/>
        </w:rPr>
        <w:t>/</w:t>
      </w:r>
      <w:r w:rsidRPr="00421A72">
        <w:rPr>
          <w:i/>
          <w:iCs/>
          <w:lang w:val="fr-CH"/>
        </w:rPr>
        <w:t>N</w:t>
      </w:r>
      <w:r w:rsidRPr="00421A72">
        <w:rPr>
          <w:lang w:val="fr-CH"/>
        </w:rPr>
        <w:t xml:space="preserve"> admissible à court terme est la valeur la plus élevée qui n'entraînera pas la présence d'ES en l'absence d'évanouissements. Selon le Tableau 1, le rapport </w:t>
      </w:r>
      <w:r w:rsidRPr="00421A72">
        <w:rPr>
          <w:i/>
          <w:iCs/>
          <w:lang w:val="fr-CH"/>
        </w:rPr>
        <w:t>C</w:t>
      </w:r>
      <w:r w:rsidRPr="00421A72">
        <w:rPr>
          <w:lang w:val="fr-CH"/>
        </w:rPr>
        <w:t>/</w:t>
      </w:r>
      <w:r w:rsidRPr="00421A72">
        <w:rPr>
          <w:i/>
          <w:iCs/>
          <w:lang w:val="fr-CH"/>
        </w:rPr>
        <w:t>N</w:t>
      </w:r>
      <w:r w:rsidRPr="00421A72">
        <w:rPr>
          <w:lang w:val="fr-CH"/>
        </w:rPr>
        <w:t xml:space="preserve"> </w:t>
      </w:r>
      <w:r w:rsidR="004472A0" w:rsidRPr="00421A72">
        <w:rPr>
          <w:lang w:val="fr-CH"/>
        </w:rPr>
        <w:t>+</w:t>
      </w:r>
      <w:r w:rsidRPr="00421A72">
        <w:rPr>
          <w:lang w:val="fr-CH"/>
        </w:rPr>
        <w:t xml:space="preserve"> </w:t>
      </w:r>
      <w:r w:rsidRPr="00421A72">
        <w:rPr>
          <w:i/>
          <w:iCs/>
          <w:lang w:val="fr-CH"/>
        </w:rPr>
        <w:t>I</w:t>
      </w:r>
      <w:r w:rsidRPr="00421A72">
        <w:rPr>
          <w:lang w:val="fr-CH"/>
        </w:rPr>
        <w:t xml:space="preserve"> pour des ES, </w:t>
      </w:r>
      <w:r w:rsidRPr="00421A72">
        <w:rPr>
          <w:i/>
          <w:lang w:val="fr-CH"/>
        </w:rPr>
        <w:t>T</w:t>
      </w:r>
      <w:r w:rsidRPr="00421A72">
        <w:rPr>
          <w:i/>
          <w:vertAlign w:val="subscript"/>
          <w:lang w:val="fr-CH"/>
        </w:rPr>
        <w:t>ES</w:t>
      </w:r>
      <w:r w:rsidRPr="00421A72">
        <w:rPr>
          <w:lang w:val="fr-CH"/>
        </w:rPr>
        <w:t xml:space="preserve">, dépasse de 4 dB le rapport pour des SES. En conséquence, </w:t>
      </w:r>
      <w:r w:rsidRPr="00421A72">
        <w:rPr>
          <w:i/>
          <w:iCs/>
          <w:lang w:val="fr-CH"/>
        </w:rPr>
        <w:t>T</w:t>
      </w:r>
      <w:r w:rsidRPr="00421A72">
        <w:rPr>
          <w:i/>
          <w:iCs/>
          <w:vertAlign w:val="subscript"/>
          <w:lang w:val="fr-CH"/>
        </w:rPr>
        <w:t>ES</w:t>
      </w:r>
      <w:r w:rsidRPr="00421A72">
        <w:rPr>
          <w:lang w:val="fr-CH"/>
        </w:rPr>
        <w:t xml:space="preserve"> </w:t>
      </w:r>
      <w:r w:rsidR="004472A0" w:rsidRPr="00421A72">
        <w:rPr>
          <w:lang w:val="fr-CH"/>
        </w:rPr>
        <w:t>=</w:t>
      </w:r>
      <w:r w:rsidRPr="00421A72">
        <w:rPr>
          <w:lang w:val="fr-CH"/>
        </w:rPr>
        <w:t xml:space="preserve"> </w:t>
      </w:r>
      <w:r w:rsidRPr="00421A72">
        <w:rPr>
          <w:i/>
          <w:iCs/>
          <w:lang w:val="fr-CH"/>
        </w:rPr>
        <w:t>T</w:t>
      </w:r>
      <w:r w:rsidRPr="00421A72">
        <w:rPr>
          <w:i/>
          <w:iCs/>
          <w:vertAlign w:val="subscript"/>
          <w:lang w:val="fr-CH"/>
        </w:rPr>
        <w:t>SES</w:t>
      </w:r>
      <w:r w:rsidRPr="00421A72">
        <w:rPr>
          <w:lang w:val="fr-CH"/>
        </w:rPr>
        <w:t xml:space="preserve"> </w:t>
      </w:r>
      <w:r w:rsidR="004472A0" w:rsidRPr="00421A72">
        <w:rPr>
          <w:lang w:val="fr-CH"/>
        </w:rPr>
        <w:t>+</w:t>
      </w:r>
      <w:r w:rsidRPr="00421A72">
        <w:rPr>
          <w:lang w:val="fr-CH"/>
        </w:rPr>
        <w:t xml:space="preserve"> 4 </w:t>
      </w:r>
      <w:r w:rsidR="004472A0" w:rsidRPr="00421A72">
        <w:rPr>
          <w:lang w:val="fr-CH"/>
        </w:rPr>
        <w:t>=</w:t>
      </w:r>
      <w:r w:rsidRPr="00421A72">
        <w:rPr>
          <w:lang w:val="fr-CH"/>
        </w:rPr>
        <w:t xml:space="preserve"> </w:t>
      </w:r>
      <w:r w:rsidRPr="00421A72">
        <w:rPr>
          <w:i/>
          <w:iCs/>
          <w:lang w:val="fr-CH"/>
        </w:rPr>
        <w:t>C</w:t>
      </w:r>
      <w:r w:rsidRPr="00421A72">
        <w:rPr>
          <w:vertAlign w:val="subscript"/>
          <w:lang w:val="fr-CH"/>
        </w:rPr>
        <w:t>0</w:t>
      </w:r>
      <w:r w:rsidRPr="00421A72">
        <w:rPr>
          <w:lang w:val="fr-CH"/>
        </w:rPr>
        <w:t xml:space="preserve"> – </w:t>
      </w:r>
      <w:r w:rsidRPr="00421A72">
        <w:rPr>
          <w:i/>
          <w:iCs/>
          <w:lang w:val="fr-CH"/>
        </w:rPr>
        <w:t>N</w:t>
      </w:r>
      <w:r w:rsidRPr="00421A72">
        <w:rPr>
          <w:lang w:val="fr-CH"/>
        </w:rPr>
        <w:t xml:space="preserve">. En appliquant les équations (1) et (2) à cette expression, et compte tenu du fait que </w:t>
      </w:r>
      <w:r w:rsidRPr="00421A72">
        <w:rPr>
          <w:i/>
          <w:iCs/>
          <w:lang w:val="fr-CH"/>
        </w:rPr>
        <w:t>M</w:t>
      </w:r>
      <w:r w:rsidRPr="00421A72">
        <w:rPr>
          <w:i/>
          <w:iCs/>
          <w:vertAlign w:val="subscript"/>
          <w:lang w:val="fr-CH"/>
        </w:rPr>
        <w:t>SES</w:t>
      </w:r>
      <w:r w:rsidRPr="00421A72">
        <w:rPr>
          <w:lang w:val="fr-CH"/>
        </w:rPr>
        <w:t xml:space="preserve"> – 4 est la marge contre les évanouissements correspondant aux ES, on obtient l'expression suivante du rapport </w:t>
      </w:r>
      <w:r w:rsidRPr="00421A72">
        <w:rPr>
          <w:i/>
          <w:iCs/>
          <w:lang w:val="fr-CH"/>
        </w:rPr>
        <w:t>I</w:t>
      </w:r>
      <w:r w:rsidRPr="00421A72">
        <w:rPr>
          <w:lang w:val="fr-CH"/>
        </w:rPr>
        <w:t>/</w:t>
      </w:r>
      <w:r w:rsidRPr="00421A72">
        <w:rPr>
          <w:i/>
          <w:iCs/>
          <w:lang w:val="fr-CH"/>
        </w:rPr>
        <w:t>N</w:t>
      </w:r>
      <w:r w:rsidRPr="00421A72">
        <w:rPr>
          <w:lang w:val="fr-CH"/>
        </w:rPr>
        <w:t xml:space="preserve"> (dB).</w:t>
      </w:r>
    </w:p>
    <w:p w:rsidR="00936ACE" w:rsidRPr="00421A72" w:rsidRDefault="00936ACE" w:rsidP="00936ACE">
      <w:pPr>
        <w:pStyle w:val="Blanc"/>
        <w:rPr>
          <w:lang w:val="fr-CH"/>
        </w:rPr>
      </w:pPr>
    </w:p>
    <w:p w:rsidR="00732122" w:rsidRPr="00421A72" w:rsidRDefault="00732122" w:rsidP="00936ACE">
      <w:pPr>
        <w:pStyle w:val="Equation"/>
        <w:rPr>
          <w:lang w:val="fr-CH"/>
        </w:rPr>
      </w:pPr>
      <w:r w:rsidRPr="00421A72">
        <w:rPr>
          <w:lang w:val="fr-CH"/>
        </w:rPr>
        <w:tab/>
      </w:r>
      <w:r w:rsidRPr="00421A72">
        <w:rPr>
          <w:lang w:val="fr-CH"/>
        </w:rPr>
        <w:tab/>
      </w:r>
      <w:r w:rsidRPr="00421A72">
        <w:rPr>
          <w:position w:val="-10"/>
          <w:lang w:val="fr-CH"/>
        </w:rPr>
        <w:object w:dxaOrig="2740" w:dyaOrig="420">
          <v:shape id="_x0000_i1027" type="#_x0000_t75" style="width:137.35pt;height:21.05pt" o:ole="">
            <v:imagedata r:id="rId16" o:title=""/>
          </v:shape>
          <o:OLEObject Type="Embed" ProgID="Equation.3" ShapeID="_x0000_i1027" DrawAspect="Content" ObjectID="_1353753206" r:id="rId17"/>
        </w:object>
      </w:r>
      <w:r w:rsidRPr="00421A72">
        <w:rPr>
          <w:lang w:val="fr-CH"/>
        </w:rPr>
        <w:tab/>
        <w:t>(3)</w:t>
      </w:r>
    </w:p>
    <w:p w:rsidR="00936ACE" w:rsidRPr="00421A72" w:rsidRDefault="00936ACE" w:rsidP="00936ACE">
      <w:pPr>
        <w:pStyle w:val="Blanc"/>
        <w:rPr>
          <w:lang w:val="fr-CH"/>
        </w:rPr>
      </w:pPr>
    </w:p>
    <w:p w:rsidR="00732122" w:rsidRPr="00421A72" w:rsidRDefault="00732122" w:rsidP="00936ACE">
      <w:pPr>
        <w:rPr>
          <w:lang w:val="fr-CH"/>
        </w:rPr>
      </w:pPr>
      <w:r w:rsidRPr="00421A72">
        <w:rPr>
          <w:lang w:val="fr-CH"/>
        </w:rPr>
        <w:t>En appliquant les valeurs de marge contre les évanouissements indiquées dans le Tableau 2 pour les</w:t>
      </w:r>
      <w:r w:rsidR="00936ACE" w:rsidRPr="00421A72">
        <w:rPr>
          <w:lang w:val="fr-CH"/>
        </w:rPr>
        <w:t xml:space="preserve"> </w:t>
      </w:r>
      <w:r w:rsidRPr="00421A72">
        <w:rPr>
          <w:lang w:val="fr-CH"/>
        </w:rPr>
        <w:t xml:space="preserve">ES, soit 10 et 6 dB, dans l'équation (3), on obtient respectivement des valeurs de </w:t>
      </w:r>
      <w:r w:rsidRPr="00421A72">
        <w:rPr>
          <w:i/>
          <w:iCs/>
          <w:lang w:val="fr-CH"/>
        </w:rPr>
        <w:t>I</w:t>
      </w:r>
      <w:r w:rsidRPr="00421A72">
        <w:rPr>
          <w:lang w:val="fr-CH"/>
        </w:rPr>
        <w:t>/</w:t>
      </w:r>
      <w:r w:rsidRPr="00421A72">
        <w:rPr>
          <w:i/>
          <w:iCs/>
          <w:lang w:val="fr-CH"/>
        </w:rPr>
        <w:t>N</w:t>
      </w:r>
      <w:r w:rsidRPr="00421A72">
        <w:rPr>
          <w:lang w:val="fr-CH"/>
        </w:rPr>
        <w:t xml:space="preserve"> de 9,54 et de 4,74 dB. Ces valeurs sont reprises dans le Tableau 3, avec les EPO associés repris du Tableau 2. Les valeurs du rapport </w:t>
      </w:r>
      <w:r w:rsidRPr="00421A72">
        <w:rPr>
          <w:i/>
          <w:iCs/>
          <w:lang w:val="fr-CH"/>
        </w:rPr>
        <w:t>I</w:t>
      </w:r>
      <w:r w:rsidRPr="00421A72">
        <w:rPr>
          <w:lang w:val="fr-CH"/>
        </w:rPr>
        <w:t>/</w:t>
      </w:r>
      <w:r w:rsidRPr="00421A72">
        <w:rPr>
          <w:i/>
          <w:iCs/>
          <w:lang w:val="fr-CH"/>
        </w:rPr>
        <w:t>N</w:t>
      </w:r>
      <w:r w:rsidRPr="00421A72">
        <w:rPr>
          <w:lang w:val="fr-CH"/>
        </w:rPr>
        <w:t xml:space="preserve"> ont été arrondies en nombre entier de décibels supérieur.</w:t>
      </w:r>
    </w:p>
    <w:p w:rsidR="00732122" w:rsidRPr="00421A72" w:rsidRDefault="00732122" w:rsidP="00936ACE">
      <w:pPr>
        <w:rPr>
          <w:lang w:val="fr-CH"/>
        </w:rPr>
      </w:pPr>
      <w:r w:rsidRPr="00421A72">
        <w:rPr>
          <w:lang w:val="fr-CH"/>
        </w:rPr>
        <w:t>Sur cette base, les critères à court terme qui sont proposés d'être utilisé dans les bandes 38 GHz et 40 GHz sont indiqués au Tableau 3 ci</w:t>
      </w:r>
      <w:r w:rsidRPr="00421A72">
        <w:rPr>
          <w:lang w:val="fr-CH"/>
        </w:rPr>
        <w:noBreakHyphen/>
        <w:t xml:space="preserve">dessous. Ces valeurs ont été obtenues par combinaison des EPO correspondant aux ES (voir le Tableau 1) et des valeurs de </w:t>
      </w:r>
      <w:r w:rsidRPr="00421A72">
        <w:rPr>
          <w:i/>
          <w:iCs/>
          <w:lang w:val="fr-CH"/>
        </w:rPr>
        <w:t>I</w:t>
      </w:r>
      <w:r w:rsidRPr="00421A72">
        <w:rPr>
          <w:lang w:val="fr-CH"/>
        </w:rPr>
        <w:t>/</w:t>
      </w:r>
      <w:r w:rsidRPr="00421A72">
        <w:rPr>
          <w:i/>
          <w:iCs/>
          <w:lang w:val="fr-CH"/>
        </w:rPr>
        <w:t>N</w:t>
      </w:r>
      <w:r w:rsidRPr="00421A72">
        <w:rPr>
          <w:lang w:val="fr-CH"/>
        </w:rPr>
        <w:t xml:space="preserve"> des marges contre les évanouissements correspondantes définies dans le Tableau 2.</w:t>
      </w:r>
    </w:p>
    <w:p w:rsidR="00732122" w:rsidRPr="00421A72" w:rsidRDefault="00732122" w:rsidP="00936ACE">
      <w:pPr>
        <w:pStyle w:val="TableNo"/>
        <w:rPr>
          <w:lang w:val="fr-CH"/>
        </w:rPr>
      </w:pPr>
      <w:r w:rsidRPr="00421A72">
        <w:rPr>
          <w:lang w:val="fr-CH"/>
        </w:rPr>
        <w:t>TABLEAU 3</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90"/>
        <w:gridCol w:w="2585"/>
        <w:gridCol w:w="2930"/>
      </w:tblGrid>
      <w:tr w:rsidR="00732122" w:rsidRPr="00421A72" w:rsidTr="00936ACE">
        <w:trPr>
          <w:cantSplit/>
          <w:jc w:val="center"/>
        </w:trPr>
        <w:tc>
          <w:tcPr>
            <w:tcW w:w="2886" w:type="dxa"/>
            <w:tcBorders>
              <w:top w:val="nil"/>
              <w:left w:val="nil"/>
              <w:bottom w:val="nil"/>
              <w:right w:val="nil"/>
            </w:tcBorders>
          </w:tcPr>
          <w:p w:rsidR="00732122" w:rsidRPr="00421A72" w:rsidRDefault="00732122" w:rsidP="00E5161D">
            <w:pPr>
              <w:keepNext/>
              <w:keepLines/>
              <w:rPr>
                <w:lang w:val="fr-CH"/>
              </w:rPr>
            </w:pPr>
          </w:p>
        </w:tc>
        <w:tc>
          <w:tcPr>
            <w:tcW w:w="2494" w:type="dxa"/>
            <w:tcBorders>
              <w:bottom w:val="nil"/>
            </w:tcBorders>
          </w:tcPr>
          <w:p w:rsidR="00732122" w:rsidRPr="00421A72" w:rsidRDefault="00732122" w:rsidP="00E5161D">
            <w:pPr>
              <w:pStyle w:val="Tablehead"/>
              <w:keepLines/>
              <w:rPr>
                <w:lang w:val="fr-CH"/>
              </w:rPr>
            </w:pPr>
            <w:r w:rsidRPr="00421A72">
              <w:rPr>
                <w:i/>
                <w:iCs/>
                <w:lang w:val="fr-CH"/>
              </w:rPr>
              <w:t>I</w:t>
            </w:r>
            <w:r w:rsidRPr="00421A72">
              <w:rPr>
                <w:lang w:val="fr-CH"/>
              </w:rPr>
              <w:t>/</w:t>
            </w:r>
            <w:r w:rsidRPr="00421A72">
              <w:rPr>
                <w:i/>
                <w:iCs/>
                <w:lang w:val="fr-CH"/>
              </w:rPr>
              <w:t>N</w:t>
            </w:r>
            <w:r w:rsidRPr="00421A72">
              <w:rPr>
                <w:i/>
                <w:iCs/>
                <w:lang w:val="fr-CH"/>
              </w:rPr>
              <w:br/>
            </w:r>
            <w:r w:rsidRPr="00421A72">
              <w:rPr>
                <w:lang w:val="fr-CH"/>
              </w:rPr>
              <w:t>(dB)</w:t>
            </w:r>
          </w:p>
        </w:tc>
        <w:tc>
          <w:tcPr>
            <w:tcW w:w="2827" w:type="dxa"/>
            <w:tcBorders>
              <w:left w:val="nil"/>
            </w:tcBorders>
          </w:tcPr>
          <w:p w:rsidR="00732122" w:rsidRPr="00421A72" w:rsidRDefault="00732122" w:rsidP="00E5161D">
            <w:pPr>
              <w:pStyle w:val="Tablehead"/>
              <w:keepLines/>
              <w:rPr>
                <w:lang w:val="fr-CH"/>
              </w:rPr>
            </w:pPr>
            <w:r w:rsidRPr="00421A72">
              <w:rPr>
                <w:lang w:val="fr-CH"/>
              </w:rPr>
              <w:t>Pourcentage de temps ne devant pas être dépassé</w:t>
            </w:r>
          </w:p>
        </w:tc>
      </w:tr>
      <w:tr w:rsidR="00732122" w:rsidRPr="00421A72" w:rsidTr="00936ACE">
        <w:trPr>
          <w:cantSplit/>
          <w:jc w:val="center"/>
        </w:trPr>
        <w:tc>
          <w:tcPr>
            <w:tcW w:w="2886" w:type="dxa"/>
            <w:tcBorders>
              <w:right w:val="nil"/>
            </w:tcBorders>
          </w:tcPr>
          <w:p w:rsidR="00732122" w:rsidRPr="00421A72" w:rsidRDefault="00732122" w:rsidP="00E5161D">
            <w:pPr>
              <w:pStyle w:val="Tabletext"/>
              <w:keepNext/>
              <w:keepLines/>
              <w:jc w:val="left"/>
              <w:rPr>
                <w:lang w:val="fr-CH"/>
              </w:rPr>
            </w:pPr>
            <w:r w:rsidRPr="00421A72">
              <w:rPr>
                <w:lang w:val="fr-CH"/>
              </w:rPr>
              <w:t xml:space="preserve">Critère 1 </w:t>
            </w:r>
          </w:p>
        </w:tc>
        <w:tc>
          <w:tcPr>
            <w:tcW w:w="2494" w:type="dxa"/>
            <w:tcBorders>
              <w:top w:val="single" w:sz="4" w:space="0" w:color="auto"/>
              <w:left w:val="single" w:sz="4" w:space="0" w:color="auto"/>
              <w:bottom w:val="single" w:sz="4" w:space="0" w:color="auto"/>
              <w:right w:val="single" w:sz="4" w:space="0" w:color="auto"/>
            </w:tcBorders>
          </w:tcPr>
          <w:p w:rsidR="00732122" w:rsidRPr="00421A72" w:rsidRDefault="00732122" w:rsidP="00E5161D">
            <w:pPr>
              <w:pStyle w:val="Tabletext"/>
              <w:keepNext/>
              <w:keepLines/>
              <w:jc w:val="center"/>
              <w:rPr>
                <w:lang w:val="fr-CH"/>
              </w:rPr>
            </w:pPr>
            <w:r w:rsidRPr="00421A72">
              <w:rPr>
                <w:lang w:val="fr-CH"/>
              </w:rPr>
              <w:t>10</w:t>
            </w:r>
          </w:p>
        </w:tc>
        <w:tc>
          <w:tcPr>
            <w:tcW w:w="2827" w:type="dxa"/>
            <w:tcBorders>
              <w:left w:val="nil"/>
              <w:bottom w:val="nil"/>
            </w:tcBorders>
          </w:tcPr>
          <w:p w:rsidR="00732122" w:rsidRPr="00421A72" w:rsidRDefault="00732122" w:rsidP="00E5161D">
            <w:pPr>
              <w:pStyle w:val="Tabletext"/>
              <w:keepNext/>
              <w:keepLines/>
              <w:jc w:val="center"/>
              <w:rPr>
                <w:lang w:val="fr-CH"/>
              </w:rPr>
            </w:pPr>
            <w:r w:rsidRPr="00421A72">
              <w:rPr>
                <w:lang w:val="fr-CH"/>
              </w:rPr>
              <w:t>0,05%</w:t>
            </w:r>
          </w:p>
        </w:tc>
      </w:tr>
      <w:tr w:rsidR="00732122" w:rsidRPr="00421A72" w:rsidTr="00936ACE">
        <w:trPr>
          <w:cantSplit/>
          <w:jc w:val="center"/>
        </w:trPr>
        <w:tc>
          <w:tcPr>
            <w:tcW w:w="2886" w:type="dxa"/>
          </w:tcPr>
          <w:p w:rsidR="00732122" w:rsidRPr="00421A72" w:rsidRDefault="00732122" w:rsidP="00E5161D">
            <w:pPr>
              <w:pStyle w:val="Tabletext"/>
              <w:keepNext/>
              <w:keepLines/>
              <w:jc w:val="left"/>
              <w:rPr>
                <w:lang w:val="fr-CH"/>
              </w:rPr>
            </w:pPr>
            <w:r w:rsidRPr="00421A72">
              <w:rPr>
                <w:lang w:val="fr-CH"/>
              </w:rPr>
              <w:t>Critère 2</w:t>
            </w:r>
            <w:r w:rsidRPr="00421A72">
              <w:rPr>
                <w:vertAlign w:val="superscript"/>
                <w:lang w:val="fr-CH"/>
              </w:rPr>
              <w:t>(1)</w:t>
            </w:r>
          </w:p>
        </w:tc>
        <w:tc>
          <w:tcPr>
            <w:tcW w:w="2494" w:type="dxa"/>
            <w:tcBorders>
              <w:top w:val="nil"/>
              <w:left w:val="nil"/>
              <w:bottom w:val="nil"/>
            </w:tcBorders>
          </w:tcPr>
          <w:p w:rsidR="00732122" w:rsidRPr="00421A72" w:rsidRDefault="00732122" w:rsidP="00E5161D">
            <w:pPr>
              <w:pStyle w:val="Tabletext"/>
              <w:keepNext/>
              <w:keepLines/>
              <w:jc w:val="center"/>
              <w:rPr>
                <w:lang w:val="fr-CH"/>
              </w:rPr>
            </w:pPr>
            <w:r w:rsidRPr="00421A72">
              <w:rPr>
                <w:lang w:val="fr-CH"/>
              </w:rPr>
              <w:t>10</w:t>
            </w:r>
          </w:p>
        </w:tc>
        <w:tc>
          <w:tcPr>
            <w:tcW w:w="2827" w:type="dxa"/>
            <w:tcBorders>
              <w:bottom w:val="nil"/>
            </w:tcBorders>
          </w:tcPr>
          <w:p w:rsidR="00732122" w:rsidRPr="00421A72" w:rsidRDefault="00732122" w:rsidP="00E5161D">
            <w:pPr>
              <w:pStyle w:val="Tabletext"/>
              <w:keepNext/>
              <w:keepLines/>
              <w:jc w:val="center"/>
              <w:rPr>
                <w:lang w:val="fr-CH"/>
              </w:rPr>
            </w:pPr>
            <w:r w:rsidRPr="00421A72">
              <w:rPr>
                <w:lang w:val="fr-CH"/>
              </w:rPr>
              <w:t>0,013%</w:t>
            </w:r>
          </w:p>
        </w:tc>
      </w:tr>
      <w:tr w:rsidR="00732122" w:rsidRPr="00421A72" w:rsidTr="00936ACE">
        <w:trPr>
          <w:cantSplit/>
          <w:jc w:val="center"/>
        </w:trPr>
        <w:tc>
          <w:tcPr>
            <w:tcW w:w="2886" w:type="dxa"/>
            <w:tcBorders>
              <w:right w:val="nil"/>
            </w:tcBorders>
          </w:tcPr>
          <w:p w:rsidR="00732122" w:rsidRPr="00421A72" w:rsidRDefault="00732122" w:rsidP="00E5161D">
            <w:pPr>
              <w:pStyle w:val="Tabletext"/>
              <w:keepNext/>
              <w:keepLines/>
              <w:jc w:val="left"/>
              <w:rPr>
                <w:lang w:val="fr-CH"/>
              </w:rPr>
            </w:pPr>
            <w:r w:rsidRPr="00421A72">
              <w:rPr>
                <w:lang w:val="fr-CH"/>
              </w:rPr>
              <w:t>Critère 1 pour les systèmes à faible marge nette contre les évanouissements</w:t>
            </w:r>
          </w:p>
        </w:tc>
        <w:tc>
          <w:tcPr>
            <w:tcW w:w="2494" w:type="dxa"/>
            <w:tcBorders>
              <w:top w:val="single" w:sz="4" w:space="0" w:color="auto"/>
              <w:left w:val="single" w:sz="4" w:space="0" w:color="auto"/>
              <w:bottom w:val="single" w:sz="4" w:space="0" w:color="auto"/>
              <w:right w:val="single" w:sz="4" w:space="0" w:color="auto"/>
            </w:tcBorders>
          </w:tcPr>
          <w:p w:rsidR="00732122" w:rsidRPr="00421A72" w:rsidRDefault="00732122" w:rsidP="00E5161D">
            <w:pPr>
              <w:pStyle w:val="Tabletext"/>
              <w:keepNext/>
              <w:keepLines/>
              <w:jc w:val="center"/>
              <w:rPr>
                <w:lang w:val="fr-CH"/>
              </w:rPr>
            </w:pPr>
            <w:r w:rsidRPr="00421A72">
              <w:rPr>
                <w:lang w:val="fr-CH"/>
              </w:rPr>
              <w:t>5</w:t>
            </w:r>
          </w:p>
        </w:tc>
        <w:tc>
          <w:tcPr>
            <w:tcW w:w="2827" w:type="dxa"/>
            <w:tcBorders>
              <w:left w:val="nil"/>
              <w:bottom w:val="nil"/>
            </w:tcBorders>
          </w:tcPr>
          <w:p w:rsidR="00732122" w:rsidRPr="00421A72" w:rsidRDefault="00732122" w:rsidP="00E5161D">
            <w:pPr>
              <w:pStyle w:val="Tabletext"/>
              <w:keepNext/>
              <w:keepLines/>
              <w:jc w:val="center"/>
              <w:rPr>
                <w:lang w:val="fr-CH"/>
              </w:rPr>
            </w:pPr>
            <w:r w:rsidRPr="00421A72">
              <w:rPr>
                <w:lang w:val="fr-CH"/>
              </w:rPr>
              <w:t>0,05%</w:t>
            </w:r>
          </w:p>
        </w:tc>
      </w:tr>
      <w:tr w:rsidR="00732122" w:rsidRPr="00421A72" w:rsidTr="00936ACE">
        <w:trPr>
          <w:cantSplit/>
          <w:jc w:val="center"/>
        </w:trPr>
        <w:tc>
          <w:tcPr>
            <w:tcW w:w="2886" w:type="dxa"/>
            <w:tcBorders>
              <w:bottom w:val="single" w:sz="6" w:space="0" w:color="auto"/>
            </w:tcBorders>
          </w:tcPr>
          <w:p w:rsidR="00732122" w:rsidRPr="00421A72" w:rsidRDefault="00732122" w:rsidP="00E5161D">
            <w:pPr>
              <w:pStyle w:val="Tabletext"/>
              <w:keepNext/>
              <w:keepLines/>
              <w:jc w:val="left"/>
              <w:rPr>
                <w:lang w:val="fr-CH"/>
              </w:rPr>
            </w:pPr>
            <w:r w:rsidRPr="00421A72">
              <w:rPr>
                <w:lang w:val="fr-CH"/>
              </w:rPr>
              <w:t>Critère 2</w:t>
            </w:r>
            <w:r w:rsidRPr="00421A72">
              <w:rPr>
                <w:vertAlign w:val="superscript"/>
                <w:lang w:val="fr-CH"/>
              </w:rPr>
              <w:t>(1)</w:t>
            </w:r>
            <w:r w:rsidRPr="00421A72">
              <w:rPr>
                <w:lang w:val="fr-CH"/>
              </w:rPr>
              <w:t xml:space="preserve"> pour les systèmes à faible marge nette contre les évanouissements</w:t>
            </w:r>
          </w:p>
        </w:tc>
        <w:tc>
          <w:tcPr>
            <w:tcW w:w="2494" w:type="dxa"/>
            <w:tcBorders>
              <w:top w:val="nil"/>
              <w:left w:val="nil"/>
              <w:bottom w:val="single" w:sz="6" w:space="0" w:color="auto"/>
            </w:tcBorders>
          </w:tcPr>
          <w:p w:rsidR="00732122" w:rsidRPr="00421A72" w:rsidRDefault="00732122" w:rsidP="00E5161D">
            <w:pPr>
              <w:pStyle w:val="Tabletext"/>
              <w:keepNext/>
              <w:keepLines/>
              <w:jc w:val="center"/>
              <w:rPr>
                <w:lang w:val="fr-CH"/>
              </w:rPr>
            </w:pPr>
            <w:r w:rsidRPr="00421A72">
              <w:rPr>
                <w:lang w:val="fr-CH"/>
              </w:rPr>
              <w:t>5</w:t>
            </w:r>
          </w:p>
        </w:tc>
        <w:tc>
          <w:tcPr>
            <w:tcW w:w="2827" w:type="dxa"/>
            <w:tcBorders>
              <w:bottom w:val="single" w:sz="6" w:space="0" w:color="auto"/>
            </w:tcBorders>
          </w:tcPr>
          <w:p w:rsidR="00732122" w:rsidRPr="00421A72" w:rsidRDefault="00732122" w:rsidP="00E5161D">
            <w:pPr>
              <w:pStyle w:val="Tabletext"/>
              <w:keepNext/>
              <w:keepLines/>
              <w:jc w:val="center"/>
              <w:rPr>
                <w:lang w:val="fr-CH"/>
              </w:rPr>
            </w:pPr>
            <w:r w:rsidRPr="00421A72">
              <w:rPr>
                <w:lang w:val="fr-CH"/>
              </w:rPr>
              <w:t>0,013%</w:t>
            </w:r>
          </w:p>
        </w:tc>
      </w:tr>
      <w:tr w:rsidR="00732122" w:rsidRPr="00421A72" w:rsidTr="00936ACE">
        <w:trPr>
          <w:cantSplit/>
          <w:jc w:val="center"/>
        </w:trPr>
        <w:tc>
          <w:tcPr>
            <w:tcW w:w="8207" w:type="dxa"/>
            <w:gridSpan w:val="3"/>
            <w:tcBorders>
              <w:left w:val="nil"/>
              <w:bottom w:val="nil"/>
              <w:right w:val="nil"/>
            </w:tcBorders>
          </w:tcPr>
          <w:p w:rsidR="00732122" w:rsidRPr="00421A72" w:rsidRDefault="00732122" w:rsidP="00E5161D">
            <w:pPr>
              <w:pStyle w:val="Tablelegend"/>
              <w:keepNext/>
              <w:keepLines/>
              <w:ind w:hanging="350"/>
              <w:rPr>
                <w:lang w:val="fr-CH"/>
              </w:rPr>
            </w:pPr>
            <w:r w:rsidRPr="00421A72">
              <w:rPr>
                <w:vertAlign w:val="superscript"/>
                <w:lang w:val="fr-CH" w:eastAsia="fr-FR"/>
              </w:rPr>
              <w:t>(1)</w:t>
            </w:r>
            <w:r w:rsidRPr="00421A72">
              <w:rPr>
                <w:lang w:val="fr-CH" w:eastAsia="fr-FR"/>
              </w:rPr>
              <w:tab/>
              <w:t>Le critère 2 s'applique aux liaisons conformes à la Recommandation UIT-T G.828.</w:t>
            </w:r>
          </w:p>
        </w:tc>
      </w:tr>
    </w:tbl>
    <w:p w:rsidR="00732122" w:rsidRPr="00421A72" w:rsidRDefault="00732122" w:rsidP="00936ACE">
      <w:pPr>
        <w:pStyle w:val="Tablefin"/>
        <w:rPr>
          <w:lang w:val="fr-CH"/>
        </w:rPr>
      </w:pPr>
    </w:p>
    <w:p w:rsidR="00732122" w:rsidRPr="00421A72" w:rsidRDefault="00732122" w:rsidP="00936ACE">
      <w:pPr>
        <w:pStyle w:val="Heading1"/>
        <w:rPr>
          <w:lang w:val="fr-CH"/>
        </w:rPr>
      </w:pPr>
      <w:r w:rsidRPr="00421A72">
        <w:rPr>
          <w:lang w:val="fr-CH"/>
        </w:rPr>
        <w:t>4</w:t>
      </w:r>
      <w:r w:rsidRPr="00421A72">
        <w:rPr>
          <w:lang w:val="fr-CH"/>
        </w:rPr>
        <w:tab/>
        <w:t>Critères à long terme</w:t>
      </w:r>
    </w:p>
    <w:p w:rsidR="00732122" w:rsidRPr="00421A72" w:rsidRDefault="00732122" w:rsidP="004472A0">
      <w:pPr>
        <w:rPr>
          <w:lang w:val="fr-CH"/>
        </w:rPr>
      </w:pPr>
      <w:r w:rsidRPr="00421A72">
        <w:rPr>
          <w:lang w:val="fr-CH"/>
        </w:rPr>
        <w:t xml:space="preserve">Le critère à long terme spécifié dans la Recommandation UIT-R F.758 pour la bande des 38 GHz est de </w:t>
      </w:r>
      <w:r w:rsidRPr="00421A72">
        <w:rPr>
          <w:i/>
          <w:iCs/>
          <w:lang w:val="fr-CH"/>
        </w:rPr>
        <w:t>I</w:t>
      </w:r>
      <w:r w:rsidRPr="00421A72">
        <w:rPr>
          <w:lang w:val="fr-CH"/>
        </w:rPr>
        <w:t>/</w:t>
      </w:r>
      <w:r w:rsidRPr="00421A72">
        <w:rPr>
          <w:i/>
          <w:iCs/>
          <w:lang w:val="fr-CH"/>
        </w:rPr>
        <w:t>N</w:t>
      </w:r>
      <w:r w:rsidRPr="00421A72">
        <w:rPr>
          <w:lang w:val="fr-CH"/>
        </w:rPr>
        <w:t xml:space="preserve"> </w:t>
      </w:r>
      <w:r w:rsidR="004472A0" w:rsidRPr="00421A72">
        <w:rPr>
          <w:lang w:val="fr-CH"/>
        </w:rPr>
        <w:t>=</w:t>
      </w:r>
      <w:r w:rsidRPr="00421A72">
        <w:rPr>
          <w:lang w:val="fr-CH"/>
        </w:rPr>
        <w:t xml:space="preserve"> –10 dB ne devant pas être dépassé pendant plus de 20% du temps.</w:t>
      </w:r>
    </w:p>
    <w:p w:rsidR="00732122" w:rsidRPr="00421A72" w:rsidRDefault="00732122" w:rsidP="00936ACE">
      <w:pPr>
        <w:rPr>
          <w:lang w:val="fr-CH"/>
        </w:rPr>
      </w:pPr>
      <w:r w:rsidRPr="00421A72">
        <w:rPr>
          <w:lang w:val="fr-CH"/>
        </w:rPr>
        <w:t>Puisque, par hypothèse, des applications du service fixe analogues doivent être utilisées dans la bande des 40 GHz, on appliquera dans cette bande le même critère à long terme.</w:t>
      </w:r>
    </w:p>
    <w:p w:rsidR="00732122" w:rsidRPr="00421A72" w:rsidRDefault="00732122" w:rsidP="00936ACE">
      <w:pPr>
        <w:pStyle w:val="Heading1"/>
        <w:rPr>
          <w:lang w:val="fr-CH"/>
        </w:rPr>
      </w:pPr>
      <w:r w:rsidRPr="00421A72">
        <w:rPr>
          <w:lang w:val="fr-CH"/>
        </w:rPr>
        <w:t>5</w:t>
      </w:r>
      <w:r w:rsidRPr="00421A72">
        <w:rPr>
          <w:lang w:val="fr-CH"/>
        </w:rPr>
        <w:tab/>
        <w:t>Référence de niveau de bruit</w:t>
      </w:r>
    </w:p>
    <w:p w:rsidR="00732122" w:rsidRPr="00421A72" w:rsidRDefault="00732122" w:rsidP="004472A0">
      <w:pPr>
        <w:rPr>
          <w:lang w:val="fr-CH"/>
        </w:rPr>
      </w:pPr>
      <w:r w:rsidRPr="00421A72">
        <w:rPr>
          <w:lang w:val="fr-CH"/>
        </w:rPr>
        <w:t xml:space="preserve">Pour les critères définis aux § 3 et 4 ci-dessus, aussi bien s'agissant des brouillages à court terme que des brouillages à long terme, les niveaux du rapport </w:t>
      </w:r>
      <w:r w:rsidRPr="00421A72">
        <w:rPr>
          <w:i/>
          <w:iCs/>
          <w:lang w:val="fr-CH"/>
        </w:rPr>
        <w:t>I</w:t>
      </w:r>
      <w:r w:rsidRPr="00421A72">
        <w:rPr>
          <w:lang w:val="fr-CH"/>
        </w:rPr>
        <w:t>/</w:t>
      </w:r>
      <w:r w:rsidRPr="00421A72">
        <w:rPr>
          <w:i/>
          <w:iCs/>
          <w:lang w:val="fr-CH"/>
        </w:rPr>
        <w:t>N</w:t>
      </w:r>
      <w:r w:rsidRPr="00421A72">
        <w:rPr>
          <w:lang w:val="fr-CH"/>
        </w:rPr>
        <w:t xml:space="preserve"> indiqués sont établis par référence au niveau de bruit total du système du service fixe, comprenant le bruit du récepteur du service fixe proprement dit plus une marge convenue de 1 dB pour les brouillages internes au service. On a donc: </w:t>
      </w:r>
      <w:r w:rsidRPr="00421A72">
        <w:rPr>
          <w:i/>
          <w:iCs/>
          <w:lang w:val="fr-CH"/>
        </w:rPr>
        <w:t>N</w:t>
      </w:r>
      <w:r w:rsidRPr="00421A72">
        <w:rPr>
          <w:lang w:val="fr-CH"/>
        </w:rPr>
        <w:t xml:space="preserve"> </w:t>
      </w:r>
      <w:r w:rsidR="004472A0" w:rsidRPr="00421A72">
        <w:rPr>
          <w:lang w:val="fr-CH"/>
        </w:rPr>
        <w:t>=</w:t>
      </w:r>
      <w:r w:rsidRPr="00421A72">
        <w:rPr>
          <w:lang w:val="fr-CH"/>
        </w:rPr>
        <w:t xml:space="preserve"> 10 log (</w:t>
      </w:r>
      <w:r w:rsidRPr="00421A72">
        <w:rPr>
          <w:i/>
          <w:iCs/>
          <w:lang w:val="fr-CH"/>
        </w:rPr>
        <w:t>k T BF</w:t>
      </w:r>
      <w:r w:rsidRPr="00421A72">
        <w:rPr>
          <w:lang w:val="fr-CH"/>
        </w:rPr>
        <w:t xml:space="preserve">) </w:t>
      </w:r>
      <w:r w:rsidR="004472A0" w:rsidRPr="00421A72">
        <w:rPr>
          <w:lang w:val="fr-CH"/>
        </w:rPr>
        <w:t>+</w:t>
      </w:r>
      <w:r w:rsidRPr="00421A72">
        <w:rPr>
          <w:lang w:val="fr-CH"/>
        </w:rPr>
        <w:t xml:space="preserve"> 1 dB.</w:t>
      </w:r>
    </w:p>
    <w:p w:rsidR="00732122" w:rsidRPr="00421A72" w:rsidRDefault="00732122" w:rsidP="00936ACE">
      <w:pPr>
        <w:pStyle w:val="AppendixNoTitle"/>
        <w:spacing w:before="0"/>
        <w:rPr>
          <w:lang w:val="fr-CH"/>
        </w:rPr>
      </w:pPr>
      <w:r w:rsidRPr="00421A72">
        <w:rPr>
          <w:lang w:val="fr-CH"/>
        </w:rPr>
        <w:br w:type="page"/>
        <w:t>Appendice 1</w:t>
      </w:r>
      <w:r w:rsidRPr="00421A72">
        <w:rPr>
          <w:lang w:val="fr-CH"/>
        </w:rPr>
        <w:br/>
        <w:t>à l'Annexe 1</w:t>
      </w:r>
      <w:r w:rsidRPr="00421A72">
        <w:rPr>
          <w:lang w:val="fr-CH"/>
        </w:rPr>
        <w:br/>
      </w:r>
      <w:r w:rsidRPr="00421A72">
        <w:rPr>
          <w:lang w:val="fr-CH"/>
        </w:rPr>
        <w:br/>
        <w:t>Marges contre les évanouissements dus à la pluie</w:t>
      </w:r>
      <w:r w:rsidRPr="00421A72">
        <w:rPr>
          <w:lang w:val="fr-CH"/>
        </w:rPr>
        <w:br/>
        <w:t>pour une disponibilité de 99,999%</w:t>
      </w:r>
    </w:p>
    <w:p w:rsidR="00732122" w:rsidRPr="00421A72" w:rsidRDefault="00732122" w:rsidP="00732122">
      <w:pPr>
        <w:pStyle w:val="Blanc"/>
        <w:keepNext w:val="0"/>
        <w:keepLines w:val="0"/>
        <w:tabs>
          <w:tab w:val="left" w:pos="794"/>
          <w:tab w:val="left" w:pos="1191"/>
          <w:tab w:val="left" w:pos="1588"/>
          <w:tab w:val="left" w:pos="1985"/>
        </w:tabs>
        <w:rPr>
          <w:lang w:val="fr-CH"/>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520"/>
        <w:gridCol w:w="735"/>
        <w:gridCol w:w="771"/>
        <w:gridCol w:w="749"/>
        <w:gridCol w:w="789"/>
        <w:gridCol w:w="832"/>
        <w:gridCol w:w="774"/>
        <w:gridCol w:w="849"/>
        <w:gridCol w:w="849"/>
        <w:gridCol w:w="849"/>
        <w:gridCol w:w="922"/>
      </w:tblGrid>
      <w:tr w:rsidR="00732122" w:rsidRPr="00421A72" w:rsidTr="00795D3B">
        <w:trPr>
          <w:cantSplit/>
          <w:trHeight w:val="262"/>
          <w:jc w:val="center"/>
        </w:trPr>
        <w:tc>
          <w:tcPr>
            <w:tcW w:w="0" w:type="auto"/>
            <w:vMerge w:val="restart"/>
            <w:tcBorders>
              <w:top w:val="single" w:sz="6" w:space="0" w:color="auto"/>
              <w:left w:val="single" w:sz="6" w:space="0" w:color="auto"/>
              <w:bottom w:val="single" w:sz="6" w:space="0" w:color="auto"/>
              <w:right w:val="single" w:sz="6" w:space="0" w:color="auto"/>
            </w:tcBorders>
            <w:vAlign w:val="center"/>
          </w:tcPr>
          <w:p w:rsidR="00732122" w:rsidRPr="00421A72" w:rsidRDefault="00732122" w:rsidP="00936ACE">
            <w:pPr>
              <w:pStyle w:val="Tablehead"/>
              <w:rPr>
                <w:snapToGrid w:val="0"/>
                <w:lang w:val="fr-CH"/>
              </w:rPr>
            </w:pPr>
            <w:r w:rsidRPr="00421A72">
              <w:rPr>
                <w:snapToGrid w:val="0"/>
                <w:lang w:val="fr-CH"/>
              </w:rPr>
              <w:t>Longueur de la liaison (km)</w:t>
            </w:r>
          </w:p>
        </w:tc>
        <w:tc>
          <w:tcPr>
            <w:tcW w:w="0" w:type="auto"/>
            <w:gridSpan w:val="5"/>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head"/>
              <w:rPr>
                <w:snapToGrid w:val="0"/>
                <w:lang w:val="fr-CH"/>
              </w:rPr>
            </w:pPr>
            <w:r w:rsidRPr="00421A72">
              <w:rPr>
                <w:snapToGrid w:val="0"/>
                <w:lang w:val="fr-CH"/>
              </w:rPr>
              <w:t xml:space="preserve">Marge contre les évanouissements </w:t>
            </w:r>
            <w:r w:rsidRPr="00421A72">
              <w:rPr>
                <w:snapToGrid w:val="0"/>
                <w:lang w:val="fr-CH"/>
              </w:rPr>
              <w:br/>
              <w:t xml:space="preserve">à 39,3 GHz, polarisation horizontale </w:t>
            </w:r>
            <w:r w:rsidRPr="00421A72">
              <w:rPr>
                <w:snapToGrid w:val="0"/>
                <w:lang w:val="fr-CH"/>
              </w:rPr>
              <w:br/>
              <w:t>(dB)</w:t>
            </w:r>
          </w:p>
        </w:tc>
        <w:tc>
          <w:tcPr>
            <w:tcW w:w="0" w:type="auto"/>
            <w:gridSpan w:val="5"/>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head"/>
              <w:rPr>
                <w:snapToGrid w:val="0"/>
                <w:lang w:val="fr-CH"/>
              </w:rPr>
            </w:pPr>
            <w:r w:rsidRPr="00421A72">
              <w:rPr>
                <w:snapToGrid w:val="0"/>
                <w:lang w:val="fr-CH"/>
              </w:rPr>
              <w:t>Marge contre les évanouissements</w:t>
            </w:r>
            <w:r w:rsidRPr="00421A72">
              <w:rPr>
                <w:snapToGrid w:val="0"/>
                <w:lang w:val="fr-CH"/>
              </w:rPr>
              <w:br/>
              <w:t xml:space="preserve">à 39,3 GHz, polarisation verticale </w:t>
            </w:r>
            <w:r w:rsidRPr="00421A72">
              <w:rPr>
                <w:snapToGrid w:val="0"/>
                <w:lang w:val="fr-CH"/>
              </w:rPr>
              <w:br/>
              <w:t>(dB)</w:t>
            </w:r>
          </w:p>
        </w:tc>
      </w:tr>
      <w:tr w:rsidR="00732122" w:rsidRPr="00421A72" w:rsidTr="00795D3B">
        <w:trPr>
          <w:cantSplit/>
          <w:trHeight w:val="262"/>
          <w:jc w:val="center"/>
        </w:trPr>
        <w:tc>
          <w:tcPr>
            <w:tcW w:w="0" w:type="auto"/>
            <w:vMerge/>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rPr>
                <w:b/>
                <w:snapToGrid w:val="0"/>
                <w:color w:val="000000"/>
                <w:lang w:val="fr-CH"/>
              </w:rPr>
            </w:pPr>
          </w:p>
        </w:tc>
        <w:tc>
          <w:tcPr>
            <w:tcW w:w="0" w:type="auto"/>
            <w:gridSpan w:val="5"/>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head"/>
              <w:rPr>
                <w:snapToGrid w:val="0"/>
                <w:color w:val="000000"/>
                <w:lang w:val="fr-CH"/>
              </w:rPr>
            </w:pPr>
            <w:r w:rsidRPr="00421A72">
              <w:rPr>
                <w:snapToGrid w:val="0"/>
                <w:color w:val="000000"/>
                <w:lang w:val="fr-CH"/>
              </w:rPr>
              <w:t>Taux de précipitation (mm/h) (Zone)</w:t>
            </w:r>
          </w:p>
        </w:tc>
        <w:tc>
          <w:tcPr>
            <w:tcW w:w="0" w:type="auto"/>
            <w:gridSpan w:val="5"/>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head"/>
              <w:rPr>
                <w:snapToGrid w:val="0"/>
                <w:color w:val="000000"/>
                <w:lang w:val="fr-CH"/>
              </w:rPr>
            </w:pPr>
            <w:r w:rsidRPr="00421A72">
              <w:rPr>
                <w:snapToGrid w:val="0"/>
                <w:color w:val="000000"/>
                <w:lang w:val="fr-CH"/>
              </w:rPr>
              <w:t>Taux de précipitation (mm/h) (Zone)</w:t>
            </w:r>
          </w:p>
        </w:tc>
      </w:tr>
      <w:tr w:rsidR="00795D3B" w:rsidRPr="00421A72" w:rsidTr="00795D3B">
        <w:trPr>
          <w:cantSplit/>
          <w:trHeight w:val="262"/>
          <w:jc w:val="center"/>
        </w:trPr>
        <w:tc>
          <w:tcPr>
            <w:tcW w:w="0" w:type="auto"/>
            <w:vMerge/>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rPr>
                <w:b/>
                <w:snapToGrid w:val="0"/>
                <w:color w:val="000000"/>
                <w:lang w:val="fr-CH"/>
              </w:rPr>
            </w:pP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ind w:left="-57" w:right="-57"/>
              <w:jc w:val="center"/>
              <w:rPr>
                <w:snapToGrid w:val="0"/>
                <w:color w:val="000000"/>
                <w:lang w:val="fr-CH"/>
              </w:rPr>
            </w:pPr>
            <w:r w:rsidRPr="00421A72">
              <w:rPr>
                <w:snapToGrid w:val="0"/>
                <w:color w:val="000000"/>
                <w:lang w:val="fr-CH"/>
              </w:rPr>
              <w:t>12</w:t>
            </w:r>
            <w:r w:rsidR="00795D3B">
              <w:rPr>
                <w:snapToGrid w:val="0"/>
                <w:color w:val="000000"/>
                <w:lang w:val="fr-CH"/>
              </w:rPr>
              <w:t> </w:t>
            </w:r>
            <w:r w:rsidRPr="00421A72">
              <w:rPr>
                <w:snapToGrid w:val="0"/>
                <w:color w:val="000000"/>
                <w:lang w:val="fr-CH"/>
              </w:rPr>
              <w:t>(B)</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ind w:left="-57" w:right="-57"/>
              <w:jc w:val="center"/>
              <w:rPr>
                <w:snapToGrid w:val="0"/>
                <w:color w:val="000000"/>
                <w:lang w:val="fr-CH"/>
              </w:rPr>
            </w:pPr>
            <w:r w:rsidRPr="00421A72">
              <w:rPr>
                <w:snapToGrid w:val="0"/>
                <w:color w:val="000000"/>
                <w:lang w:val="fr-CH"/>
              </w:rPr>
              <w:t>22</w:t>
            </w:r>
            <w:r w:rsidR="00795D3B">
              <w:rPr>
                <w:snapToGrid w:val="0"/>
                <w:color w:val="000000"/>
                <w:lang w:val="fr-CH"/>
              </w:rPr>
              <w:t> </w:t>
            </w:r>
            <w:r w:rsidRPr="00421A72">
              <w:rPr>
                <w:snapToGrid w:val="0"/>
                <w:color w:val="000000"/>
                <w:lang w:val="fr-CH"/>
              </w:rPr>
              <w:t>(E)</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ind w:left="-57" w:right="-57"/>
              <w:jc w:val="center"/>
              <w:rPr>
                <w:snapToGrid w:val="0"/>
                <w:color w:val="000000"/>
                <w:lang w:val="fr-CH"/>
              </w:rPr>
            </w:pPr>
            <w:r w:rsidRPr="00421A72">
              <w:rPr>
                <w:snapToGrid w:val="0"/>
                <w:color w:val="000000"/>
                <w:lang w:val="fr-CH"/>
              </w:rPr>
              <w:t>42</w:t>
            </w:r>
            <w:r w:rsidR="00795D3B">
              <w:rPr>
                <w:snapToGrid w:val="0"/>
                <w:color w:val="000000"/>
                <w:lang w:val="fr-CH"/>
              </w:rPr>
              <w:t> </w:t>
            </w:r>
            <w:r w:rsidRPr="00421A72">
              <w:rPr>
                <w:snapToGrid w:val="0"/>
                <w:color w:val="000000"/>
                <w:lang w:val="fr-CH"/>
              </w:rPr>
              <w:t>(K)</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ind w:left="-57" w:right="-57"/>
              <w:jc w:val="center"/>
              <w:rPr>
                <w:snapToGrid w:val="0"/>
                <w:color w:val="000000"/>
                <w:lang w:val="fr-CH"/>
              </w:rPr>
            </w:pPr>
            <w:r w:rsidRPr="00421A72">
              <w:rPr>
                <w:snapToGrid w:val="0"/>
                <w:color w:val="000000"/>
                <w:lang w:val="fr-CH"/>
              </w:rPr>
              <w:t>63</w:t>
            </w:r>
            <w:r w:rsidR="00795D3B">
              <w:rPr>
                <w:snapToGrid w:val="0"/>
                <w:color w:val="000000"/>
                <w:lang w:val="fr-CH"/>
              </w:rPr>
              <w:t> </w:t>
            </w:r>
            <w:r w:rsidRPr="00421A72">
              <w:rPr>
                <w:snapToGrid w:val="0"/>
                <w:color w:val="000000"/>
                <w:lang w:val="fr-CH"/>
              </w:rPr>
              <w:t>(M)</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decimal" w:pos="425"/>
              </w:tabs>
              <w:ind w:left="-57" w:right="-57"/>
              <w:jc w:val="center"/>
              <w:rPr>
                <w:snapToGrid w:val="0"/>
                <w:color w:val="000000"/>
                <w:lang w:val="fr-CH"/>
              </w:rPr>
            </w:pPr>
            <w:r w:rsidRPr="00421A72">
              <w:rPr>
                <w:snapToGrid w:val="0"/>
                <w:color w:val="000000"/>
                <w:lang w:val="fr-CH"/>
              </w:rPr>
              <w:t>95</w:t>
            </w:r>
            <w:r w:rsidR="00795D3B">
              <w:rPr>
                <w:snapToGrid w:val="0"/>
                <w:color w:val="000000"/>
                <w:lang w:val="fr-CH"/>
              </w:rPr>
              <w:t> </w:t>
            </w:r>
            <w:r w:rsidRPr="00421A72">
              <w:rPr>
                <w:snapToGrid w:val="0"/>
                <w:color w:val="000000"/>
                <w:lang w:val="fr-CH"/>
              </w:rPr>
              <w:t>(N)</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ind w:left="-57" w:right="-57"/>
              <w:jc w:val="center"/>
              <w:rPr>
                <w:snapToGrid w:val="0"/>
                <w:color w:val="000000"/>
                <w:lang w:val="fr-CH"/>
              </w:rPr>
            </w:pPr>
            <w:r w:rsidRPr="00421A72">
              <w:rPr>
                <w:snapToGrid w:val="0"/>
                <w:color w:val="000000"/>
                <w:lang w:val="fr-CH"/>
              </w:rPr>
              <w:t>12 (B)</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ind w:left="-57" w:right="-57"/>
              <w:jc w:val="center"/>
              <w:rPr>
                <w:snapToGrid w:val="0"/>
                <w:color w:val="000000"/>
                <w:lang w:val="fr-CH"/>
              </w:rPr>
            </w:pPr>
            <w:r w:rsidRPr="00421A72">
              <w:rPr>
                <w:snapToGrid w:val="0"/>
                <w:color w:val="000000"/>
                <w:lang w:val="fr-CH"/>
              </w:rPr>
              <w:t>22 (E)</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ind w:left="-57" w:right="-57"/>
              <w:jc w:val="center"/>
              <w:rPr>
                <w:snapToGrid w:val="0"/>
                <w:color w:val="000000"/>
                <w:lang w:val="fr-CH"/>
              </w:rPr>
            </w:pPr>
            <w:r w:rsidRPr="00421A72">
              <w:rPr>
                <w:snapToGrid w:val="0"/>
                <w:color w:val="000000"/>
                <w:lang w:val="fr-CH"/>
              </w:rPr>
              <w:t>42 (K)</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ind w:left="-57" w:right="-57"/>
              <w:jc w:val="center"/>
              <w:rPr>
                <w:snapToGrid w:val="0"/>
                <w:color w:val="000000"/>
                <w:lang w:val="fr-CH"/>
              </w:rPr>
            </w:pPr>
            <w:r w:rsidRPr="00421A72">
              <w:rPr>
                <w:snapToGrid w:val="0"/>
                <w:color w:val="000000"/>
                <w:lang w:val="fr-CH"/>
              </w:rPr>
              <w:t>63 (M)</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EC5A99">
            <w:pPr>
              <w:pStyle w:val="Tabletext"/>
              <w:ind w:left="-57" w:right="-57"/>
              <w:jc w:val="center"/>
              <w:rPr>
                <w:snapToGrid w:val="0"/>
                <w:color w:val="000000"/>
                <w:lang w:val="fr-CH"/>
              </w:rPr>
            </w:pPr>
            <w:r w:rsidRPr="00421A72">
              <w:rPr>
                <w:snapToGrid w:val="0"/>
                <w:color w:val="000000"/>
                <w:lang w:val="fr-CH"/>
              </w:rPr>
              <w:t>95</w:t>
            </w:r>
            <w:r w:rsidRPr="00421A72">
              <w:rPr>
                <w:snapToGrid w:val="0"/>
                <w:color w:val="000000"/>
                <w:vertAlign w:val="superscript"/>
                <w:lang w:val="fr-CH"/>
              </w:rPr>
              <w:t>(1)</w:t>
            </w:r>
            <w:r w:rsidR="00EC5A99">
              <w:rPr>
                <w:snapToGrid w:val="0"/>
                <w:color w:val="000000"/>
                <w:lang w:val="fr-CH"/>
              </w:rPr>
              <w:t> </w:t>
            </w:r>
            <w:r w:rsidRPr="00421A72">
              <w:rPr>
                <w:snapToGrid w:val="0"/>
                <w:color w:val="000000"/>
                <w:lang w:val="fr-CH"/>
              </w:rPr>
              <w:t>(N)</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0,8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2,5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3,6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5,2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0,6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3,0</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1,5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2,7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4,9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7,1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16,4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1,3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4,2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5,9</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2,2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7,3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10,6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15,4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1,9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6,2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8,8</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5,3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9,6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14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20,3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2,6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4,5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8,2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11,9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11,6</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3,7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6,5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12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17,4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25,1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3,2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5,6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10,2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14,7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14,3</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4,4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7,8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14,3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20,7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29,8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3,8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6,7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12,2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17,6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17,0</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5,2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9,1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16,6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24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34,3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4,5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7,8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14,2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20,3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19,6</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5,9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10,4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18,9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27,2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38,8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5,1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8,9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16,1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22,2</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0,9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6,6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11,6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21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30,4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43,2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5,7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10,0</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18,0</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25,8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24,7</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1,0</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7,3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12,8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23,3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33,6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47,5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6,3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11,0</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19,9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28,5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27,1</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1,1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14,1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25,5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36,7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51,7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6,9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12,1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21,8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29,5</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1,2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8,7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15,3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27,7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39,8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55,8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7,5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13,1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23,7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33,7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31,9</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1,3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9,4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16,5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29,9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42,8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59,8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8,1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14,2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25,5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36,2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34,1</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1,4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10,1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17,7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32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45,8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63,8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8,7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15,2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27,3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38,8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36,4</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1,5</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10,8</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18,9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34,1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48,7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67,6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9,3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16,2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29,1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41,3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38,6</w:t>
            </w:r>
          </w:p>
        </w:tc>
      </w:tr>
      <w:tr w:rsidR="00795D3B" w:rsidRPr="00421A72" w:rsidTr="00795D3B">
        <w:trPr>
          <w:cantSplit/>
          <w:trHeight w:val="262"/>
          <w:jc w:val="center"/>
        </w:trPr>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jc w:val="center"/>
              <w:rPr>
                <w:snapToGrid w:val="0"/>
                <w:color w:val="000000"/>
                <w:lang w:val="fr-CH"/>
              </w:rPr>
            </w:pPr>
            <w:r w:rsidRPr="00421A72">
              <w:rPr>
                <w:snapToGrid w:val="0"/>
                <w:color w:val="000000"/>
                <w:lang w:val="fr-CH"/>
              </w:rPr>
              <w:t>1,6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4"/>
              </w:tabs>
              <w:jc w:val="left"/>
              <w:rPr>
                <w:snapToGrid w:val="0"/>
                <w:color w:val="000000"/>
                <w:lang w:val="fr-CH"/>
              </w:rPr>
            </w:pPr>
            <w:r w:rsidRPr="00421A72">
              <w:rPr>
                <w:snapToGrid w:val="0"/>
                <w:color w:val="000000"/>
                <w:lang w:val="fr-CH"/>
              </w:rPr>
              <w:t>11,4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1"/>
              </w:tabs>
              <w:jc w:val="left"/>
              <w:rPr>
                <w:snapToGrid w:val="0"/>
                <w:color w:val="000000"/>
                <w:lang w:val="fr-CH"/>
              </w:rPr>
            </w:pPr>
            <w:r w:rsidRPr="00421A72">
              <w:rPr>
                <w:snapToGrid w:val="0"/>
                <w:color w:val="000000"/>
                <w:lang w:val="fr-CH"/>
              </w:rPr>
              <w:t>20,1</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napToGrid w:val="0"/>
                <w:color w:val="000000"/>
                <w:lang w:val="fr-CH"/>
              </w:rPr>
            </w:pPr>
            <w:r w:rsidRPr="00421A72">
              <w:rPr>
                <w:snapToGrid w:val="0"/>
                <w:color w:val="000000"/>
                <w:lang w:val="fr-CH"/>
              </w:rPr>
              <w:t>36,2</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3"/>
              </w:tabs>
              <w:jc w:val="left"/>
              <w:rPr>
                <w:snapToGrid w:val="0"/>
                <w:color w:val="000000"/>
                <w:lang w:val="fr-CH"/>
              </w:rPr>
            </w:pPr>
            <w:r w:rsidRPr="00421A72">
              <w:rPr>
                <w:snapToGrid w:val="0"/>
                <w:color w:val="000000"/>
                <w:lang w:val="fr-CH"/>
              </w:rPr>
              <w:t>51,6</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8"/>
              </w:tabs>
              <w:jc w:val="left"/>
              <w:rPr>
                <w:snapToGrid w:val="0"/>
                <w:color w:val="000000"/>
                <w:lang w:val="fr-CH"/>
              </w:rPr>
            </w:pPr>
            <w:r w:rsidRPr="00421A72">
              <w:rPr>
                <w:snapToGrid w:val="0"/>
                <w:color w:val="000000"/>
                <w:lang w:val="fr-CH"/>
              </w:rPr>
              <w:t>71,4</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795D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snapToGrid w:val="0"/>
                <w:color w:val="000000"/>
                <w:lang w:val="fr-CH"/>
              </w:rPr>
            </w:pPr>
            <w:r w:rsidRPr="00421A72">
              <w:rPr>
                <w:snapToGrid w:val="0"/>
                <w:color w:val="000000"/>
                <w:lang w:val="fr-CH"/>
              </w:rPr>
              <w:t>9,9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17,3</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30,9</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43,7</w:t>
            </w:r>
          </w:p>
        </w:tc>
        <w:tc>
          <w:tcPr>
            <w:tcW w:w="0" w:type="auto"/>
            <w:tcBorders>
              <w:top w:val="single" w:sz="6" w:space="0" w:color="auto"/>
              <w:left w:val="single" w:sz="6" w:space="0" w:color="auto"/>
              <w:bottom w:val="single" w:sz="6" w:space="0" w:color="auto"/>
              <w:right w:val="single" w:sz="6" w:space="0" w:color="auto"/>
            </w:tcBorders>
          </w:tcPr>
          <w:p w:rsidR="00732122" w:rsidRPr="00421A72" w:rsidRDefault="00732122" w:rsidP="00936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snapToGrid w:val="0"/>
                <w:color w:val="000000"/>
                <w:lang w:val="fr-CH"/>
              </w:rPr>
            </w:pPr>
            <w:r w:rsidRPr="00421A72">
              <w:rPr>
                <w:snapToGrid w:val="0"/>
                <w:color w:val="000000"/>
                <w:lang w:val="fr-CH"/>
              </w:rPr>
              <w:t>40,8</w:t>
            </w:r>
          </w:p>
        </w:tc>
      </w:tr>
      <w:tr w:rsidR="00732122" w:rsidRPr="00421A72" w:rsidTr="00795D3B">
        <w:trPr>
          <w:cantSplit/>
          <w:trHeight w:val="262"/>
          <w:jc w:val="center"/>
        </w:trPr>
        <w:tc>
          <w:tcPr>
            <w:tcW w:w="0" w:type="auto"/>
            <w:gridSpan w:val="11"/>
            <w:tcBorders>
              <w:top w:val="single" w:sz="6" w:space="0" w:color="auto"/>
              <w:left w:val="nil"/>
              <w:bottom w:val="nil"/>
              <w:right w:val="nil"/>
            </w:tcBorders>
          </w:tcPr>
          <w:p w:rsidR="00732122" w:rsidRPr="00421A72" w:rsidRDefault="00732122" w:rsidP="00795D3B">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69" w:right="0"/>
              <w:rPr>
                <w:snapToGrid w:val="0"/>
                <w:color w:val="000000"/>
                <w:lang w:val="fr-CH"/>
              </w:rPr>
            </w:pPr>
            <w:r w:rsidRPr="00421A72">
              <w:rPr>
                <w:vertAlign w:val="superscript"/>
                <w:lang w:val="fr-CH"/>
              </w:rPr>
              <w:t>(1)</w:t>
            </w:r>
            <w:r w:rsidRPr="00421A72">
              <w:rPr>
                <w:lang w:val="fr-CH"/>
              </w:rPr>
              <w:tab/>
              <w:t>Les marges contre les évanouissements correspondant au cas «polarisation verticale, précipitation = s</w:t>
            </w:r>
            <w:r w:rsidR="00795D3B" w:rsidRPr="00795D3B">
              <w:t> </w:t>
            </w:r>
            <w:r w:rsidRPr="00421A72">
              <w:rPr>
                <w:lang w:val="fr-CH"/>
              </w:rPr>
              <w:t>95 mm/h» ont été calculées pour une latitude inférieure à 30° par hypothèse (ce qui a une incidence sur les calculs, voir la Recommandation UIT-R P.530).</w:t>
            </w:r>
          </w:p>
        </w:tc>
      </w:tr>
    </w:tbl>
    <w:p w:rsidR="00A6617B" w:rsidRPr="00421A72" w:rsidRDefault="00A6617B" w:rsidP="00A6617B">
      <w:pPr>
        <w:rPr>
          <w:lang w:val="fr-CH"/>
        </w:rPr>
      </w:pPr>
    </w:p>
    <w:p w:rsidR="00732122" w:rsidRPr="00421A72" w:rsidRDefault="00732122" w:rsidP="00936ACE">
      <w:pPr>
        <w:pStyle w:val="Line"/>
        <w:rPr>
          <w:lang w:val="fr-CH"/>
        </w:rPr>
      </w:pPr>
    </w:p>
    <w:p w:rsidR="00936ACE" w:rsidRPr="00421A72" w:rsidRDefault="00936ACE" w:rsidP="00A6617B">
      <w:pPr>
        <w:rPr>
          <w:lang w:val="fr-CH"/>
        </w:rPr>
      </w:pPr>
    </w:p>
    <w:sectPr w:rsidR="00936ACE" w:rsidRPr="00421A72" w:rsidSect="00077170">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122" w:rsidRDefault="00732122">
      <w:r>
        <w:separator/>
      </w:r>
    </w:p>
  </w:endnote>
  <w:endnote w:type="continuationSeparator" w:id="0">
    <w:p w:rsidR="00732122" w:rsidRDefault="007321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122" w:rsidRDefault="00732122">
      <w:r>
        <w:separator/>
      </w:r>
    </w:p>
  </w:footnote>
  <w:footnote w:type="continuationSeparator" w:id="0">
    <w:p w:rsidR="00732122" w:rsidRDefault="00732122">
      <w:r>
        <w:continuationSeparator/>
      </w:r>
    </w:p>
  </w:footnote>
  <w:footnote w:id="1">
    <w:p w:rsidR="00732122" w:rsidRPr="00C73BF7" w:rsidRDefault="00732122" w:rsidP="00732122">
      <w:pPr>
        <w:pStyle w:val="FootnoteText"/>
      </w:pPr>
      <w:r>
        <w:rPr>
          <w:rStyle w:val="FootnoteReference"/>
        </w:rPr>
        <w:t>*</w:t>
      </w:r>
      <w:r>
        <w:t xml:space="preserve"> </w:t>
      </w:r>
      <w:r>
        <w:tab/>
        <w:t>La C</w:t>
      </w:r>
      <w:r>
        <w:rPr>
          <w:lang w:val="fr-CH"/>
        </w:rPr>
        <w:t>ommission d'études</w:t>
      </w:r>
      <w:r>
        <w:t xml:space="preserve"> 5 des </w:t>
      </w:r>
      <w:r w:rsidRPr="0034195E">
        <w:rPr>
          <w:lang w:val="fr-CH"/>
        </w:rPr>
        <w:t>radiocommun</w:t>
      </w:r>
      <w:r>
        <w:rPr>
          <w:lang w:val="fr-CH"/>
        </w:rPr>
        <w:t>i</w:t>
      </w:r>
      <w:r w:rsidRPr="0034195E">
        <w:rPr>
          <w:lang w:val="fr-CH"/>
        </w:rPr>
        <w:t>cations</w:t>
      </w:r>
      <w:r>
        <w:t xml:space="preserve"> a apporté quelques modifications de forme à la présente Recommandation en décembre 2009, conformément à la Résolution UIT-R 1.</w:t>
      </w:r>
    </w:p>
  </w:footnote>
  <w:footnote w:id="2">
    <w:p w:rsidR="00732122" w:rsidRDefault="00732122" w:rsidP="004472A0">
      <w:pPr>
        <w:pStyle w:val="FootnoteText"/>
      </w:pPr>
      <w:r>
        <w:rPr>
          <w:rStyle w:val="FootnoteReference"/>
        </w:rPr>
        <w:t>1</w:t>
      </w:r>
      <w:r>
        <w:tab/>
        <w:t xml:space="preserve">Dans le cas d'une liaison du service fixe </w:t>
      </w:r>
      <w:r>
        <w:rPr>
          <w:lang w:val="fr-CH"/>
        </w:rPr>
        <w:t>mettant en oeuvre la RAPE</w:t>
      </w:r>
      <w:r>
        <w:t xml:space="preserve">, on a: marge nette contre les évanouissements </w:t>
      </w:r>
      <w:r w:rsidR="004472A0" w:rsidRPr="004472A0">
        <w:t>=</w:t>
      </w:r>
      <w:r>
        <w:t xml:space="preserve"> marge totale contre les évanouissements – valeurs de RAPE.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122" w:rsidRDefault="0073212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122" w:rsidRDefault="00732122"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122" w:rsidRPr="00837CB5" w:rsidRDefault="006E2125">
    <w:pPr>
      <w:pStyle w:val="Header"/>
      <w:jc w:val="left"/>
    </w:pPr>
    <w:r>
      <w:rPr>
        <w:rStyle w:val="PageNumber"/>
        <w:b/>
        <w:bCs/>
      </w:rPr>
      <w:fldChar w:fldCharType="begin"/>
    </w:r>
    <w:r w:rsidR="00732122" w:rsidRPr="00837CB5">
      <w:rPr>
        <w:rStyle w:val="PageNumber"/>
        <w:b/>
        <w:bCs/>
      </w:rPr>
      <w:instrText xml:space="preserve"> PAGE </w:instrText>
    </w:r>
    <w:r>
      <w:rPr>
        <w:rStyle w:val="PageNumber"/>
        <w:b/>
        <w:bCs/>
      </w:rPr>
      <w:fldChar w:fldCharType="separate"/>
    </w:r>
    <w:r w:rsidR="00B969A1">
      <w:rPr>
        <w:rStyle w:val="PageNumber"/>
        <w:b/>
        <w:bCs/>
        <w:noProof/>
      </w:rPr>
      <w:t>ii</w:t>
    </w:r>
    <w:r>
      <w:rPr>
        <w:rStyle w:val="PageNumber"/>
        <w:b/>
        <w:bCs/>
      </w:rPr>
      <w:fldChar w:fldCharType="end"/>
    </w:r>
    <w:r w:rsidR="00732122" w:rsidRPr="00837CB5">
      <w:tab/>
    </w:r>
    <w:fldSimple w:instr=" DOCPROPERTY &quot;Header&quot; \* MERGEFORMAT ">
      <w:r w:rsidR="00795D3B" w:rsidRPr="00795D3B">
        <w:rPr>
          <w:b/>
          <w:bCs/>
        </w:rPr>
        <w:t xml:space="preserve">Rec. </w:t>
      </w:r>
    </w:fldSimple>
    <w:r w:rsidR="00732122">
      <w:rPr>
        <w:b/>
        <w:bCs/>
      </w:rPr>
      <w:t xml:space="preserve"> </w:t>
    </w:r>
    <w:r>
      <w:rPr>
        <w:b/>
        <w:bCs/>
      </w:rPr>
      <w:fldChar w:fldCharType="begin"/>
    </w:r>
    <w:r w:rsidR="00732122" w:rsidRPr="00837CB5">
      <w:rPr>
        <w:b/>
        <w:bCs/>
      </w:rPr>
      <w:instrText>styleref href</w:instrText>
    </w:r>
    <w:r>
      <w:rPr>
        <w:b/>
        <w:bCs/>
      </w:rPr>
      <w:fldChar w:fldCharType="separate"/>
    </w:r>
    <w:r w:rsidR="00B969A1">
      <w:rPr>
        <w:b/>
        <w:bCs/>
        <w:noProof/>
      </w:rPr>
      <w:t>UIT-R  F.1606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122" w:rsidRDefault="00732122">
    <w:pPr>
      <w:pStyle w:val="Header"/>
    </w:pPr>
    <w:r>
      <w:tab/>
    </w:r>
    <w:fldSimple w:instr=" DOCPROPERTY &quot;Header&quot; \* MERGEFORMAT ">
      <w:r w:rsidR="00795D3B" w:rsidRPr="00795D3B">
        <w:rPr>
          <w:b/>
          <w:bCs/>
        </w:rPr>
        <w:t xml:space="preserve">Rec. </w:t>
      </w:r>
    </w:fldSimple>
    <w:r>
      <w:rPr>
        <w:b/>
        <w:bCs/>
      </w:rPr>
      <w:t xml:space="preserve"> </w:t>
    </w:r>
    <w:r w:rsidR="006E2125">
      <w:rPr>
        <w:b/>
        <w:bCs/>
      </w:rPr>
      <w:fldChar w:fldCharType="begin"/>
    </w:r>
    <w:r>
      <w:rPr>
        <w:b/>
        <w:bCs/>
      </w:rPr>
      <w:instrText>styleref href</w:instrText>
    </w:r>
    <w:r w:rsidR="006E2125">
      <w:rPr>
        <w:b/>
        <w:bCs/>
      </w:rPr>
      <w:fldChar w:fldCharType="separate"/>
    </w:r>
    <w:r w:rsidR="00795D3B">
      <w:rPr>
        <w:b/>
        <w:bCs/>
        <w:noProof/>
      </w:rPr>
      <w:t>UIT-R  F.1606</w:t>
    </w:r>
    <w:r w:rsidR="006E2125">
      <w:rPr>
        <w:b/>
        <w:bCs/>
      </w:rPr>
      <w:fldChar w:fldCharType="end"/>
    </w:r>
    <w:r>
      <w:tab/>
    </w:r>
    <w:r w:rsidR="006E2125">
      <w:rPr>
        <w:rStyle w:val="PageNumber"/>
        <w:b/>
        <w:bCs/>
      </w:rPr>
      <w:fldChar w:fldCharType="begin"/>
    </w:r>
    <w:r>
      <w:rPr>
        <w:rStyle w:val="PageNumber"/>
        <w:b/>
        <w:bCs/>
      </w:rPr>
      <w:instrText xml:space="preserve"> PAGE </w:instrText>
    </w:r>
    <w:r w:rsidR="006E2125">
      <w:rPr>
        <w:rStyle w:val="PageNumber"/>
        <w:b/>
        <w:bCs/>
      </w:rPr>
      <w:fldChar w:fldCharType="separate"/>
    </w:r>
    <w:r>
      <w:rPr>
        <w:rStyle w:val="PageNumber"/>
        <w:b/>
        <w:bCs/>
        <w:noProof/>
      </w:rPr>
      <w:t>1</w:t>
    </w:r>
    <w:r w:rsidR="006E212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E2125">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B969A1">
      <w:rPr>
        <w:rStyle w:val="PageNumber"/>
        <w:b/>
        <w:bCs/>
        <w:noProof/>
        <w:lang w:val="en-US"/>
      </w:rPr>
      <w:t>8</w:t>
    </w:r>
    <w:r>
      <w:rPr>
        <w:rStyle w:val="PageNumber"/>
        <w:b/>
        <w:bCs/>
      </w:rPr>
      <w:fldChar w:fldCharType="end"/>
    </w:r>
    <w:r w:rsidR="00607D68">
      <w:rPr>
        <w:lang w:val="en-US"/>
      </w:rPr>
      <w:tab/>
    </w:r>
    <w:fldSimple w:instr=" DOCPROPERTY &quot;Header&quot; \* MERGEFORMAT ">
      <w:r w:rsidR="00795D3B" w:rsidRPr="00795D3B">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B969A1">
      <w:rPr>
        <w:b/>
        <w:bCs/>
        <w:noProof/>
      </w:rPr>
      <w:t>UIT-R  F.1606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795D3B" w:rsidRPr="00795D3B">
        <w:rPr>
          <w:b/>
          <w:bCs/>
        </w:rPr>
        <w:t xml:space="preserve">Rec. </w:t>
      </w:r>
    </w:fldSimple>
    <w:r>
      <w:rPr>
        <w:b/>
        <w:bCs/>
      </w:rPr>
      <w:t xml:space="preserve"> </w:t>
    </w:r>
    <w:r w:rsidR="006E2125">
      <w:rPr>
        <w:b/>
        <w:bCs/>
      </w:rPr>
      <w:fldChar w:fldCharType="begin"/>
    </w:r>
    <w:r>
      <w:rPr>
        <w:b/>
        <w:bCs/>
      </w:rPr>
      <w:instrText>styleref href</w:instrText>
    </w:r>
    <w:r w:rsidR="006E2125">
      <w:rPr>
        <w:b/>
        <w:bCs/>
      </w:rPr>
      <w:fldChar w:fldCharType="separate"/>
    </w:r>
    <w:r w:rsidR="00B969A1">
      <w:rPr>
        <w:b/>
        <w:bCs/>
        <w:noProof/>
      </w:rPr>
      <w:t>UIT-R  F.1606</w:t>
    </w:r>
    <w:r w:rsidR="006E2125">
      <w:rPr>
        <w:b/>
        <w:bCs/>
      </w:rPr>
      <w:fldChar w:fldCharType="end"/>
    </w:r>
    <w:r>
      <w:tab/>
    </w:r>
    <w:r w:rsidR="006E2125">
      <w:rPr>
        <w:rStyle w:val="PageNumber"/>
        <w:b/>
        <w:bCs/>
      </w:rPr>
      <w:fldChar w:fldCharType="begin"/>
    </w:r>
    <w:r>
      <w:rPr>
        <w:rStyle w:val="PageNumber"/>
        <w:b/>
        <w:bCs/>
      </w:rPr>
      <w:instrText xml:space="preserve"> PAGE </w:instrText>
    </w:r>
    <w:r w:rsidR="006E2125">
      <w:rPr>
        <w:rStyle w:val="PageNumber"/>
        <w:b/>
        <w:bCs/>
      </w:rPr>
      <w:fldChar w:fldCharType="separate"/>
    </w:r>
    <w:r w:rsidR="00B969A1">
      <w:rPr>
        <w:rStyle w:val="PageNumber"/>
        <w:b/>
        <w:bCs/>
        <w:noProof/>
      </w:rPr>
      <w:t>1</w:t>
    </w:r>
    <w:r w:rsidR="006E212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077170"/>
    <w:rsid w:val="00077170"/>
    <w:rsid w:val="00217EBF"/>
    <w:rsid w:val="002D76C4"/>
    <w:rsid w:val="003B4353"/>
    <w:rsid w:val="00421A72"/>
    <w:rsid w:val="004472A0"/>
    <w:rsid w:val="00607D68"/>
    <w:rsid w:val="006E2125"/>
    <w:rsid w:val="00732122"/>
    <w:rsid w:val="007468DA"/>
    <w:rsid w:val="00795D3B"/>
    <w:rsid w:val="007B7DC2"/>
    <w:rsid w:val="00936ACE"/>
    <w:rsid w:val="009F04B0"/>
    <w:rsid w:val="00A6617B"/>
    <w:rsid w:val="00AB0DC8"/>
    <w:rsid w:val="00B44E24"/>
    <w:rsid w:val="00B969A1"/>
    <w:rsid w:val="00DF4176"/>
    <w:rsid w:val="00EC5A9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04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F04B0"/>
    <w:pPr>
      <w:keepNext/>
      <w:keepLines/>
      <w:spacing w:before="480"/>
      <w:ind w:left="794" w:hanging="794"/>
      <w:outlineLvl w:val="0"/>
    </w:pPr>
    <w:rPr>
      <w:b/>
    </w:rPr>
  </w:style>
  <w:style w:type="paragraph" w:styleId="Heading2">
    <w:name w:val="heading 2"/>
    <w:basedOn w:val="Heading1"/>
    <w:next w:val="Normal"/>
    <w:qFormat/>
    <w:rsid w:val="009F04B0"/>
    <w:pPr>
      <w:spacing w:before="320"/>
      <w:outlineLvl w:val="1"/>
    </w:pPr>
  </w:style>
  <w:style w:type="paragraph" w:styleId="Heading3">
    <w:name w:val="heading 3"/>
    <w:basedOn w:val="Heading1"/>
    <w:next w:val="Normal"/>
    <w:qFormat/>
    <w:rsid w:val="009F04B0"/>
    <w:pPr>
      <w:spacing w:before="200"/>
      <w:outlineLvl w:val="2"/>
    </w:pPr>
  </w:style>
  <w:style w:type="paragraph" w:styleId="Heading4">
    <w:name w:val="heading 4"/>
    <w:basedOn w:val="Heading3"/>
    <w:next w:val="Normal"/>
    <w:qFormat/>
    <w:rsid w:val="009F04B0"/>
    <w:pPr>
      <w:tabs>
        <w:tab w:val="clear" w:pos="794"/>
        <w:tab w:val="left" w:pos="992"/>
      </w:tabs>
      <w:ind w:left="992" w:hanging="992"/>
      <w:outlineLvl w:val="3"/>
    </w:pPr>
  </w:style>
  <w:style w:type="paragraph" w:styleId="Heading5">
    <w:name w:val="heading 5"/>
    <w:basedOn w:val="Heading4"/>
    <w:next w:val="Normal"/>
    <w:qFormat/>
    <w:rsid w:val="009F04B0"/>
    <w:pPr>
      <w:outlineLvl w:val="4"/>
    </w:pPr>
  </w:style>
  <w:style w:type="paragraph" w:styleId="Heading6">
    <w:name w:val="heading 6"/>
    <w:basedOn w:val="Heading4"/>
    <w:next w:val="Normal"/>
    <w:qFormat/>
    <w:rsid w:val="009F04B0"/>
    <w:pPr>
      <w:tabs>
        <w:tab w:val="clear" w:pos="992"/>
        <w:tab w:val="clear" w:pos="1191"/>
      </w:tabs>
      <w:ind w:left="1588" w:hanging="1588"/>
      <w:outlineLvl w:val="5"/>
    </w:pPr>
  </w:style>
  <w:style w:type="paragraph" w:styleId="Heading7">
    <w:name w:val="heading 7"/>
    <w:basedOn w:val="Heading6"/>
    <w:next w:val="Normal"/>
    <w:qFormat/>
    <w:rsid w:val="009F04B0"/>
    <w:pPr>
      <w:outlineLvl w:val="6"/>
    </w:pPr>
  </w:style>
  <w:style w:type="paragraph" w:styleId="Heading8">
    <w:name w:val="heading 8"/>
    <w:basedOn w:val="Heading6"/>
    <w:next w:val="Normal"/>
    <w:qFormat/>
    <w:rsid w:val="009F04B0"/>
    <w:pPr>
      <w:outlineLvl w:val="7"/>
    </w:pPr>
  </w:style>
  <w:style w:type="paragraph" w:styleId="Heading9">
    <w:name w:val="heading 9"/>
    <w:basedOn w:val="Heading6"/>
    <w:next w:val="Normal"/>
    <w:qFormat/>
    <w:rsid w:val="009F04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04B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F04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04B0"/>
  </w:style>
  <w:style w:type="paragraph" w:customStyle="1" w:styleId="Headingb">
    <w:name w:val="Heading_b"/>
    <w:basedOn w:val="Heading3"/>
    <w:next w:val="Normal"/>
    <w:rsid w:val="009F04B0"/>
    <w:pPr>
      <w:spacing w:before="160"/>
      <w:ind w:left="0" w:firstLine="0"/>
      <w:outlineLvl w:val="9"/>
    </w:pPr>
  </w:style>
  <w:style w:type="paragraph" w:customStyle="1" w:styleId="Headingi">
    <w:name w:val="Heading_i"/>
    <w:basedOn w:val="Heading3"/>
    <w:next w:val="Normal"/>
    <w:rsid w:val="009F04B0"/>
    <w:pPr>
      <w:spacing w:before="160"/>
      <w:ind w:left="0" w:firstLine="0"/>
    </w:pPr>
    <w:rPr>
      <w:b w:val="0"/>
      <w:i/>
    </w:rPr>
  </w:style>
  <w:style w:type="character" w:customStyle="1" w:styleId="href">
    <w:name w:val="href"/>
    <w:basedOn w:val="DefaultParagraphFont"/>
    <w:rsid w:val="009F04B0"/>
  </w:style>
  <w:style w:type="paragraph" w:customStyle="1" w:styleId="enumlev1">
    <w:name w:val="enumlev1"/>
    <w:basedOn w:val="Normal"/>
    <w:rsid w:val="009F04B0"/>
    <w:pPr>
      <w:spacing w:before="80"/>
      <w:ind w:left="794" w:hanging="794"/>
    </w:pPr>
  </w:style>
  <w:style w:type="paragraph" w:customStyle="1" w:styleId="enumlev2">
    <w:name w:val="enumlev2"/>
    <w:basedOn w:val="enumlev1"/>
    <w:rsid w:val="009F04B0"/>
    <w:pPr>
      <w:ind w:left="1191" w:hanging="397"/>
    </w:pPr>
  </w:style>
  <w:style w:type="paragraph" w:customStyle="1" w:styleId="enumlev3">
    <w:name w:val="enumlev3"/>
    <w:basedOn w:val="enumlev2"/>
    <w:rsid w:val="009F04B0"/>
    <w:pPr>
      <w:ind w:left="1588"/>
    </w:pPr>
  </w:style>
  <w:style w:type="paragraph" w:customStyle="1" w:styleId="Normalaftertitle">
    <w:name w:val="Normal_after_title"/>
    <w:basedOn w:val="Normal"/>
    <w:next w:val="Normal"/>
    <w:rsid w:val="009F04B0"/>
    <w:pPr>
      <w:spacing w:before="320"/>
    </w:pPr>
  </w:style>
  <w:style w:type="paragraph" w:customStyle="1" w:styleId="Note">
    <w:name w:val="Note"/>
    <w:basedOn w:val="Normal"/>
    <w:rsid w:val="009F04B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F04B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F04B0"/>
    <w:pPr>
      <w:spacing w:before="240"/>
    </w:pPr>
    <w:rPr>
      <w:sz w:val="22"/>
      <w:lang w:val="es-ES_tradnl"/>
    </w:rPr>
  </w:style>
  <w:style w:type="paragraph" w:customStyle="1" w:styleId="Recref">
    <w:name w:val="Rec_ref"/>
    <w:basedOn w:val="Normal"/>
    <w:next w:val="Recdate"/>
    <w:rsid w:val="009F04B0"/>
    <w:pPr>
      <w:jc w:val="center"/>
    </w:pPr>
  </w:style>
  <w:style w:type="paragraph" w:customStyle="1" w:styleId="Recdate">
    <w:name w:val="Rec_date"/>
    <w:basedOn w:val="Recref"/>
    <w:next w:val="Normalaftertitle"/>
    <w:rsid w:val="009F04B0"/>
    <w:pPr>
      <w:jc w:val="right"/>
    </w:pPr>
  </w:style>
  <w:style w:type="paragraph" w:customStyle="1" w:styleId="AnnexNoTitle">
    <w:name w:val="Annex_NoTitle"/>
    <w:basedOn w:val="Normal"/>
    <w:next w:val="Normalaftertitle"/>
    <w:rsid w:val="009F04B0"/>
    <w:pPr>
      <w:keepNext/>
      <w:keepLines/>
      <w:spacing w:before="480" w:after="80"/>
      <w:jc w:val="center"/>
    </w:pPr>
    <w:rPr>
      <w:b/>
      <w:sz w:val="28"/>
    </w:rPr>
  </w:style>
  <w:style w:type="paragraph" w:customStyle="1" w:styleId="AppendixNoTitle">
    <w:name w:val="Appendix_NoTitle"/>
    <w:basedOn w:val="AnnexNoTitle"/>
    <w:next w:val="Normal"/>
    <w:rsid w:val="009F04B0"/>
  </w:style>
  <w:style w:type="paragraph" w:customStyle="1" w:styleId="Tablefin">
    <w:name w:val="Table_fin"/>
    <w:basedOn w:val="Normal"/>
    <w:next w:val="Normal"/>
    <w:rsid w:val="009F04B0"/>
    <w:pPr>
      <w:spacing w:before="0"/>
    </w:pPr>
    <w:rPr>
      <w:sz w:val="20"/>
      <w:lang w:val="en-GB"/>
    </w:rPr>
  </w:style>
  <w:style w:type="paragraph" w:customStyle="1" w:styleId="Tablehead">
    <w:name w:val="Table_head"/>
    <w:basedOn w:val="Normal"/>
    <w:next w:val="Normal"/>
    <w:rsid w:val="009F04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F04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F04B0"/>
    <w:pPr>
      <w:keepNext/>
      <w:spacing w:before="360" w:after="120"/>
      <w:jc w:val="center"/>
    </w:pPr>
  </w:style>
  <w:style w:type="paragraph" w:customStyle="1" w:styleId="Tabletext">
    <w:name w:val="Table_text"/>
    <w:basedOn w:val="Normal"/>
    <w:rsid w:val="009F04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F04B0"/>
    <w:pPr>
      <w:tabs>
        <w:tab w:val="clear" w:pos="1191"/>
        <w:tab w:val="clear" w:pos="1588"/>
        <w:tab w:val="clear" w:pos="1985"/>
        <w:tab w:val="center" w:pos="4820"/>
        <w:tab w:val="right" w:pos="9639"/>
      </w:tabs>
    </w:pPr>
  </w:style>
  <w:style w:type="paragraph" w:customStyle="1" w:styleId="Equationlegend">
    <w:name w:val="Equation_legend"/>
    <w:basedOn w:val="NormalIndent"/>
    <w:rsid w:val="009F04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04B0"/>
    <w:pPr>
      <w:ind w:left="794"/>
    </w:pPr>
  </w:style>
  <w:style w:type="paragraph" w:customStyle="1" w:styleId="Figurelegend">
    <w:name w:val="Figure_legend"/>
    <w:basedOn w:val="Normal"/>
    <w:rsid w:val="009F04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F04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04B0"/>
    <w:pPr>
      <w:keepNext/>
      <w:keepLines/>
      <w:spacing w:before="480"/>
      <w:jc w:val="center"/>
    </w:pPr>
    <w:rPr>
      <w:sz w:val="28"/>
    </w:rPr>
  </w:style>
  <w:style w:type="paragraph" w:customStyle="1" w:styleId="Arttitle">
    <w:name w:val="Art_title"/>
    <w:basedOn w:val="Normal"/>
    <w:next w:val="Normalaftertitle"/>
    <w:rsid w:val="009F04B0"/>
    <w:pPr>
      <w:keepNext/>
      <w:keepLines/>
      <w:spacing w:before="240"/>
      <w:jc w:val="center"/>
    </w:pPr>
    <w:rPr>
      <w:b/>
      <w:sz w:val="28"/>
    </w:rPr>
  </w:style>
  <w:style w:type="paragraph" w:customStyle="1" w:styleId="Blanc">
    <w:name w:val="Blanc"/>
    <w:basedOn w:val="Normal"/>
    <w:next w:val="Tabletext"/>
    <w:rsid w:val="009F04B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F04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F04B0"/>
    <w:pPr>
      <w:keepNext/>
      <w:keepLines/>
      <w:spacing w:before="160"/>
      <w:ind w:left="794"/>
    </w:pPr>
    <w:rPr>
      <w:i/>
    </w:rPr>
  </w:style>
  <w:style w:type="paragraph" w:customStyle="1" w:styleId="ChapNo">
    <w:name w:val="Chap_No"/>
    <w:basedOn w:val="ArtNo"/>
    <w:next w:val="Chaptitle"/>
    <w:rsid w:val="009F04B0"/>
    <w:rPr>
      <w:b/>
    </w:rPr>
  </w:style>
  <w:style w:type="paragraph" w:customStyle="1" w:styleId="Chaptitle">
    <w:name w:val="Chap_title"/>
    <w:basedOn w:val="Arttitle"/>
    <w:next w:val="Normalaftertitle"/>
    <w:rsid w:val="009F04B0"/>
  </w:style>
  <w:style w:type="character" w:styleId="FootnoteReference">
    <w:name w:val="footnote reference"/>
    <w:basedOn w:val="DefaultParagraphFont"/>
    <w:semiHidden/>
    <w:rsid w:val="009F04B0"/>
    <w:rPr>
      <w:position w:val="6"/>
      <w:sz w:val="18"/>
    </w:rPr>
  </w:style>
  <w:style w:type="paragraph" w:styleId="FootnoteText">
    <w:name w:val="footnote text"/>
    <w:basedOn w:val="Normal"/>
    <w:semiHidden/>
    <w:rsid w:val="009F04B0"/>
    <w:pPr>
      <w:keepLines/>
      <w:tabs>
        <w:tab w:val="left" w:pos="255"/>
      </w:tabs>
      <w:ind w:left="255" w:hanging="255"/>
    </w:pPr>
    <w:rPr>
      <w:sz w:val="22"/>
    </w:rPr>
  </w:style>
  <w:style w:type="paragraph" w:styleId="Index1">
    <w:name w:val="index 1"/>
    <w:basedOn w:val="Normal"/>
    <w:next w:val="Normal"/>
    <w:semiHidden/>
    <w:rsid w:val="009F04B0"/>
  </w:style>
  <w:style w:type="paragraph" w:styleId="Index2">
    <w:name w:val="index 2"/>
    <w:basedOn w:val="Normal"/>
    <w:next w:val="Normal"/>
    <w:semiHidden/>
    <w:rsid w:val="009F04B0"/>
    <w:pPr>
      <w:ind w:left="283"/>
    </w:pPr>
  </w:style>
  <w:style w:type="paragraph" w:styleId="Index3">
    <w:name w:val="index 3"/>
    <w:basedOn w:val="Normal"/>
    <w:next w:val="Normal"/>
    <w:semiHidden/>
    <w:rsid w:val="009F04B0"/>
    <w:pPr>
      <w:ind w:left="566"/>
    </w:pPr>
  </w:style>
  <w:style w:type="paragraph" w:styleId="IndexHeading">
    <w:name w:val="index heading"/>
    <w:basedOn w:val="Normal"/>
    <w:next w:val="Index1"/>
    <w:semiHidden/>
    <w:rsid w:val="009F04B0"/>
  </w:style>
  <w:style w:type="paragraph" w:customStyle="1" w:styleId="Line">
    <w:name w:val="Line"/>
    <w:basedOn w:val="Normal"/>
    <w:next w:val="Normal"/>
    <w:rsid w:val="009F04B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F04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04B0"/>
  </w:style>
  <w:style w:type="paragraph" w:customStyle="1" w:styleId="Partref">
    <w:name w:val="Part_ref"/>
    <w:basedOn w:val="Normal"/>
    <w:next w:val="Normal"/>
    <w:rsid w:val="009F04B0"/>
    <w:pPr>
      <w:keepNext/>
      <w:keepLines/>
      <w:spacing w:after="280"/>
      <w:jc w:val="center"/>
    </w:pPr>
  </w:style>
  <w:style w:type="paragraph" w:customStyle="1" w:styleId="Parttitle">
    <w:name w:val="Part_title"/>
    <w:basedOn w:val="Normal"/>
    <w:next w:val="Normalaftertitle"/>
    <w:rsid w:val="009F04B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F04B0"/>
  </w:style>
  <w:style w:type="paragraph" w:customStyle="1" w:styleId="QuestionNo">
    <w:name w:val="Question_No"/>
    <w:basedOn w:val="RecNo"/>
    <w:next w:val="Normal"/>
    <w:rsid w:val="009F04B0"/>
  </w:style>
  <w:style w:type="paragraph" w:customStyle="1" w:styleId="Questionref">
    <w:name w:val="Question_ref"/>
    <w:basedOn w:val="Recref"/>
    <w:next w:val="Questiondate"/>
    <w:rsid w:val="009F04B0"/>
  </w:style>
  <w:style w:type="paragraph" w:customStyle="1" w:styleId="Questiontitle">
    <w:name w:val="Question_title"/>
    <w:basedOn w:val="Normal"/>
    <w:next w:val="Questionref"/>
    <w:rsid w:val="009F04B0"/>
  </w:style>
  <w:style w:type="paragraph" w:customStyle="1" w:styleId="Reftext">
    <w:name w:val="Ref_text"/>
    <w:basedOn w:val="Normal"/>
    <w:rsid w:val="009F04B0"/>
    <w:pPr>
      <w:ind w:left="794" w:hanging="794"/>
    </w:pPr>
    <w:rPr>
      <w:sz w:val="22"/>
    </w:rPr>
  </w:style>
  <w:style w:type="paragraph" w:customStyle="1" w:styleId="Reftitle">
    <w:name w:val="Ref_title"/>
    <w:basedOn w:val="Normal"/>
    <w:next w:val="Reftext"/>
    <w:rsid w:val="009F04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F04B0"/>
  </w:style>
  <w:style w:type="paragraph" w:customStyle="1" w:styleId="RepNo">
    <w:name w:val="Rep_No"/>
    <w:basedOn w:val="RecNo"/>
    <w:next w:val="Reptitle"/>
    <w:rsid w:val="009F04B0"/>
  </w:style>
  <w:style w:type="paragraph" w:customStyle="1" w:styleId="Repref">
    <w:name w:val="Rep_ref"/>
    <w:basedOn w:val="Recref"/>
    <w:next w:val="Repdate"/>
    <w:rsid w:val="009F04B0"/>
  </w:style>
  <w:style w:type="paragraph" w:customStyle="1" w:styleId="Reptitle">
    <w:name w:val="Rep_title"/>
    <w:basedOn w:val="Rectitle"/>
    <w:next w:val="Repref"/>
    <w:rsid w:val="009F04B0"/>
  </w:style>
  <w:style w:type="paragraph" w:customStyle="1" w:styleId="Resdate">
    <w:name w:val="Res_date"/>
    <w:basedOn w:val="Recdate"/>
    <w:next w:val="Normalaftertitle"/>
    <w:rsid w:val="009F04B0"/>
  </w:style>
  <w:style w:type="paragraph" w:customStyle="1" w:styleId="ResNo">
    <w:name w:val="Res_No"/>
    <w:basedOn w:val="RecNo"/>
    <w:next w:val="Restitle"/>
    <w:rsid w:val="009F04B0"/>
  </w:style>
  <w:style w:type="paragraph" w:customStyle="1" w:styleId="Resref">
    <w:name w:val="Res_ref"/>
    <w:basedOn w:val="Recref"/>
    <w:next w:val="Resdate"/>
    <w:rsid w:val="009F04B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F04B0"/>
  </w:style>
  <w:style w:type="paragraph" w:customStyle="1" w:styleId="Sectiontitle">
    <w:name w:val="Section_title"/>
    <w:basedOn w:val="Normal"/>
    <w:next w:val="Normalaftertitle"/>
    <w:rsid w:val="009F04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F04B0"/>
    <w:pPr>
      <w:tabs>
        <w:tab w:val="clear" w:pos="794"/>
        <w:tab w:val="clear" w:pos="1191"/>
        <w:tab w:val="clear" w:pos="1588"/>
        <w:tab w:val="clear" w:pos="1985"/>
        <w:tab w:val="right" w:pos="9611"/>
      </w:tabs>
    </w:pPr>
    <w:rPr>
      <w:i/>
    </w:rPr>
  </w:style>
  <w:style w:type="paragraph" w:styleId="TOC1">
    <w:name w:val="toc 1"/>
    <w:basedOn w:val="Normal"/>
    <w:semiHidden/>
    <w:rsid w:val="009F04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F04B0"/>
    <w:pPr>
      <w:tabs>
        <w:tab w:val="clear" w:pos="567"/>
        <w:tab w:val="left" w:pos="1276"/>
      </w:tabs>
      <w:spacing w:before="160"/>
      <w:ind w:left="1276" w:hanging="709"/>
    </w:pPr>
  </w:style>
  <w:style w:type="paragraph" w:styleId="TOC3">
    <w:name w:val="toc 3"/>
    <w:basedOn w:val="TOC2"/>
    <w:semiHidden/>
    <w:rsid w:val="009F04B0"/>
    <w:pPr>
      <w:tabs>
        <w:tab w:val="clear" w:pos="1276"/>
        <w:tab w:val="left" w:pos="2155"/>
      </w:tabs>
      <w:ind w:left="2155" w:hanging="879"/>
    </w:pPr>
  </w:style>
  <w:style w:type="paragraph" w:styleId="TOC4">
    <w:name w:val="toc 4"/>
    <w:basedOn w:val="TOC3"/>
    <w:semiHidden/>
    <w:rsid w:val="009F04B0"/>
    <w:pPr>
      <w:tabs>
        <w:tab w:val="left" w:pos="3261"/>
      </w:tabs>
      <w:spacing w:before="80"/>
      <w:ind w:left="3261" w:hanging="993"/>
    </w:pPr>
  </w:style>
  <w:style w:type="paragraph" w:styleId="TOC5">
    <w:name w:val="toc 5"/>
    <w:basedOn w:val="TOC4"/>
    <w:semiHidden/>
    <w:rsid w:val="009F04B0"/>
  </w:style>
  <w:style w:type="paragraph" w:styleId="TOC6">
    <w:name w:val="toc 6"/>
    <w:basedOn w:val="TOC4"/>
    <w:semiHidden/>
    <w:rsid w:val="009F04B0"/>
  </w:style>
  <w:style w:type="paragraph" w:styleId="TOC7">
    <w:name w:val="toc 7"/>
    <w:basedOn w:val="TOC4"/>
    <w:semiHidden/>
    <w:rsid w:val="009F04B0"/>
  </w:style>
  <w:style w:type="paragraph" w:styleId="TOC8">
    <w:name w:val="toc 8"/>
    <w:basedOn w:val="TOC4"/>
    <w:semiHidden/>
    <w:rsid w:val="009F04B0"/>
  </w:style>
  <w:style w:type="paragraph" w:customStyle="1" w:styleId="Rectitle">
    <w:name w:val="Rec_title"/>
    <w:basedOn w:val="Normal"/>
    <w:next w:val="Recref"/>
    <w:rsid w:val="009F04B0"/>
    <w:pPr>
      <w:keepNext/>
      <w:keepLines/>
      <w:spacing w:before="240"/>
      <w:jc w:val="center"/>
    </w:pPr>
    <w:rPr>
      <w:b/>
      <w:sz w:val="28"/>
    </w:rPr>
  </w:style>
  <w:style w:type="paragraph" w:customStyle="1" w:styleId="Annexref">
    <w:name w:val="Annex_ref"/>
    <w:basedOn w:val="Normal"/>
    <w:next w:val="Normalaftertitle"/>
    <w:rsid w:val="009F04B0"/>
    <w:pPr>
      <w:keepNext/>
      <w:keepLines/>
      <w:spacing w:after="280"/>
      <w:jc w:val="center"/>
    </w:pPr>
  </w:style>
  <w:style w:type="paragraph" w:customStyle="1" w:styleId="Appendixref">
    <w:name w:val="Appendix_ref"/>
    <w:basedOn w:val="Annexref"/>
    <w:next w:val="Normalaftertitle"/>
    <w:rsid w:val="009F04B0"/>
  </w:style>
  <w:style w:type="paragraph" w:customStyle="1" w:styleId="Figuretitle">
    <w:name w:val="Figure_title"/>
    <w:basedOn w:val="Normal"/>
    <w:next w:val="Figure"/>
    <w:rsid w:val="009F04B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F04B0"/>
    <w:pPr>
      <w:keepNext/>
      <w:spacing w:before="0" w:after="120"/>
      <w:jc w:val="center"/>
    </w:pPr>
    <w:rPr>
      <w:b/>
    </w:rPr>
  </w:style>
  <w:style w:type="paragraph" w:customStyle="1" w:styleId="Summary">
    <w:name w:val="Summary"/>
    <w:basedOn w:val="Normal"/>
    <w:next w:val="Normalaftertitle"/>
    <w:rsid w:val="009F04B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3212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10</Pages>
  <Words>3537</Words>
  <Characters>18186</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10</cp:revision>
  <cp:lastPrinted>2005-02-10T15:54:00Z</cp:lastPrinted>
  <dcterms:created xsi:type="dcterms:W3CDTF">2010-11-25T09:05:00Z</dcterms:created>
  <dcterms:modified xsi:type="dcterms:W3CDTF">2010-12-13T12:46:00Z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