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54669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47DD5">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546693">
              <w:rPr>
                <w:rFonts w:ascii="Tahoma" w:hAnsi="Tahoma" w:cs="Tahoma"/>
                <w:b/>
                <w:bCs/>
                <w:iCs/>
                <w:color w:val="243285"/>
                <w:sz w:val="36"/>
                <w:szCs w:val="36"/>
                <w:lang w:val="es-ES_tradnl"/>
              </w:rPr>
              <w:t>1570-2</w:t>
            </w:r>
          </w:p>
          <w:p w:rsidR="00B1717A" w:rsidRPr="0010336F" w:rsidRDefault="00B1717A" w:rsidP="0054669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46693">
              <w:rPr>
                <w:rFonts w:ascii="Tahoma" w:hAnsi="Tahoma" w:cs="Tahoma"/>
                <w:b/>
                <w:bCs/>
                <w:iCs/>
                <w:color w:val="243285"/>
                <w:szCs w:val="24"/>
                <w:lang w:val="es-ES_tradnl"/>
              </w:rPr>
              <w:t>04</w:t>
            </w:r>
            <w:r w:rsidRPr="0010336F">
              <w:rPr>
                <w:rFonts w:ascii="Tahoma" w:hAnsi="Tahoma" w:cs="Tahoma"/>
                <w:b/>
                <w:bCs/>
                <w:iCs/>
                <w:color w:val="243285"/>
                <w:szCs w:val="24"/>
                <w:lang w:val="es-ES_tradnl"/>
              </w:rPr>
              <w:t>/</w:t>
            </w:r>
            <w:r w:rsidR="00546693">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B1717A" w:rsidRPr="007D21B6"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546693" w:rsidP="00FA58E7">
            <w:pPr>
              <w:spacing w:before="80" w:line="500" w:lineRule="exact"/>
              <w:jc w:val="right"/>
              <w:rPr>
                <w:rFonts w:ascii="Tahoma" w:hAnsi="Tahoma" w:cs="Tahoma"/>
                <w:b/>
                <w:bCs/>
                <w:color w:val="243285"/>
                <w:sz w:val="44"/>
                <w:szCs w:val="44"/>
                <w:lang w:val="es-ES_tradnl"/>
              </w:rPr>
            </w:pPr>
            <w:r w:rsidRPr="00300097">
              <w:rPr>
                <w:rFonts w:ascii="Tahoma" w:hAnsi="Tahoma" w:cs="Tahoma"/>
                <w:b/>
                <w:bCs/>
                <w:iCs/>
                <w:color w:val="243285"/>
                <w:sz w:val="44"/>
                <w:szCs w:val="44"/>
                <w:lang w:val="es-ES_tradnl"/>
              </w:rPr>
              <w:t>Repercusión de la transmisión del enlace ascendente del servicio fijo que utiliza estaciones situadas en plataformas a</w:t>
            </w:r>
            <w:r w:rsidR="00FA58E7">
              <w:rPr>
                <w:rFonts w:ascii="Tahoma" w:hAnsi="Tahoma" w:cs="Tahoma"/>
                <w:b/>
                <w:bCs/>
                <w:iCs/>
                <w:color w:val="243285"/>
                <w:sz w:val="44"/>
                <w:szCs w:val="44"/>
                <w:lang w:val="es-ES_tradnl"/>
              </w:rPr>
              <w:br/>
            </w:r>
            <w:r w:rsidRPr="00300097">
              <w:rPr>
                <w:rFonts w:ascii="Tahoma" w:hAnsi="Tahoma" w:cs="Tahoma"/>
                <w:b/>
                <w:bCs/>
                <w:iCs/>
                <w:color w:val="243285"/>
                <w:sz w:val="44"/>
                <w:szCs w:val="44"/>
                <w:lang w:val="es-ES_tradnl"/>
              </w:rPr>
              <w:t>gran altitud en el servicio de exploración</w:t>
            </w:r>
            <w:r>
              <w:rPr>
                <w:rFonts w:ascii="Tahoma" w:hAnsi="Tahoma" w:cs="Tahoma"/>
                <w:b/>
                <w:bCs/>
                <w:iCs/>
                <w:color w:val="243285"/>
                <w:sz w:val="44"/>
                <w:szCs w:val="44"/>
                <w:lang w:val="es-ES_tradnl"/>
              </w:rPr>
              <w:br/>
            </w:r>
            <w:r w:rsidRPr="00300097">
              <w:rPr>
                <w:rFonts w:ascii="Tahoma" w:hAnsi="Tahoma" w:cs="Tahoma"/>
                <w:b/>
                <w:bCs/>
                <w:iCs/>
                <w:color w:val="243285"/>
                <w:sz w:val="44"/>
                <w:szCs w:val="44"/>
                <w:lang w:val="es-ES_tradnl"/>
              </w:rPr>
              <w:t>de la Tierra por satélite (pasivo)</w:t>
            </w:r>
            <w:r>
              <w:rPr>
                <w:rFonts w:ascii="Tahoma" w:hAnsi="Tahoma" w:cs="Tahoma"/>
                <w:b/>
                <w:bCs/>
                <w:iCs/>
                <w:color w:val="243285"/>
                <w:sz w:val="44"/>
                <w:szCs w:val="44"/>
                <w:lang w:val="es-ES_tradnl"/>
              </w:rPr>
              <w:br/>
            </w:r>
            <w:r w:rsidRPr="00300097">
              <w:rPr>
                <w:rFonts w:ascii="Tahoma" w:hAnsi="Tahoma" w:cs="Tahoma"/>
                <w:b/>
                <w:bCs/>
                <w:iCs/>
                <w:color w:val="243285"/>
                <w:sz w:val="44"/>
                <w:szCs w:val="44"/>
                <w:lang w:val="es-ES_tradnl"/>
              </w:rPr>
              <w:t>en la banda 31,3-31,8 GHz</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847D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47DD5">
              <w:rPr>
                <w:rFonts w:ascii="Tahoma" w:hAnsi="Tahoma" w:cs="Tahoma"/>
                <w:b/>
                <w:bCs/>
                <w:iCs/>
                <w:color w:val="243285"/>
                <w:sz w:val="36"/>
                <w:szCs w:val="36"/>
                <w:lang w:val="es-ES_tradnl"/>
              </w:rPr>
              <w:t>F</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w:t>
            </w:r>
            <w:r w:rsidR="00847DD5">
              <w:rPr>
                <w:rFonts w:ascii="Tahoma" w:hAnsi="Tahoma" w:cs="Tahoma"/>
                <w:b/>
                <w:bCs/>
                <w:iCs/>
                <w:color w:val="243285"/>
                <w:sz w:val="36"/>
                <w:szCs w:val="36"/>
                <w:lang w:val="es-ES_tradnl"/>
              </w:rPr>
              <w:t>fijo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7D21B6"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7D21B6"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847DD5">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847DD5" w:rsidTr="00847DD5">
        <w:tc>
          <w:tcPr>
            <w:tcW w:w="1140" w:type="dxa"/>
            <w:tcBorders>
              <w:top w:val="nil"/>
              <w:bottom w:val="nil"/>
            </w:tcBorders>
            <w:shd w:val="clear" w:color="auto" w:fill="F3F3F3"/>
          </w:tcPr>
          <w:p w:rsidR="00B1717A" w:rsidRPr="00847DD5" w:rsidRDefault="00B1717A" w:rsidP="00D6288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1717A" w:rsidRPr="00847D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B1717A" w:rsidRPr="007D21B6"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7D21B6"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7D21B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7D21B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7D21B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B1717A" w:rsidRPr="007D21B6"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834A65">
      <w:pPr>
        <w:spacing w:before="0" w:after="40"/>
        <w:jc w:val="right"/>
        <w:rPr>
          <w:sz w:val="20"/>
          <w:lang w:val="es-ES_tradnl"/>
        </w:rPr>
      </w:pPr>
      <w:r w:rsidRPr="00763D08">
        <w:rPr>
          <w:sz w:val="20"/>
          <w:lang w:val="es-ES_tradnl"/>
        </w:rPr>
        <w:t>Ginebra, 20</w:t>
      </w:r>
      <w:r w:rsidR="00834A65">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834A6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34A65">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546693" w:rsidRDefault="00546693" w:rsidP="00546693">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.1</w:t>
      </w:r>
      <w:r>
        <w:rPr>
          <w:rStyle w:val="href"/>
          <w:lang w:val="es-ES_tradnl"/>
        </w:rPr>
        <w:t>570-2</w:t>
      </w:r>
      <w:r w:rsidR="00D0549D">
        <w:rPr>
          <w:rStyle w:val="FootnoteReference"/>
          <w:lang w:val="es-ES_tradnl"/>
        </w:rPr>
        <w:footnoteReference w:customMarkFollows="1" w:id="1"/>
        <w:t>*</w:t>
      </w:r>
    </w:p>
    <w:p w:rsidR="00546693" w:rsidRDefault="00546693" w:rsidP="00D0549D">
      <w:pPr>
        <w:pStyle w:val="Rectitle"/>
        <w:rPr>
          <w:lang w:val="es-ES_tradnl"/>
        </w:rPr>
      </w:pPr>
      <w:bookmarkStart w:id="4" w:name="Pre_title"/>
      <w:r>
        <w:rPr>
          <w:lang w:val="es-ES_tradnl"/>
        </w:rPr>
        <w:t>Repercusión de la transmisión del enlace ascendente del servicio fijo</w:t>
      </w:r>
      <w:r w:rsidR="00D0549D">
        <w:rPr>
          <w:lang w:val="es-ES_tradnl"/>
        </w:rPr>
        <w:br/>
      </w:r>
      <w:r>
        <w:rPr>
          <w:lang w:val="es-ES_tradnl"/>
        </w:rPr>
        <w:t>que utiliza estaciones situadas en plataformas a gran altitud</w:t>
      </w:r>
      <w:r w:rsidR="00D0549D">
        <w:rPr>
          <w:lang w:val="es-ES_tradnl"/>
        </w:rPr>
        <w:t xml:space="preserve"> </w:t>
      </w:r>
      <w:r>
        <w:rPr>
          <w:lang w:val="es-ES_tradnl"/>
        </w:rPr>
        <w:t>en</w:t>
      </w:r>
      <w:r w:rsidR="00D0549D">
        <w:rPr>
          <w:lang w:val="es-ES_tradnl"/>
        </w:rPr>
        <w:br/>
      </w:r>
      <w:r>
        <w:rPr>
          <w:lang w:val="es-ES_tradnl"/>
        </w:rPr>
        <w:t>el servicio de exploración</w:t>
      </w:r>
      <w:r w:rsidR="00D0549D">
        <w:rPr>
          <w:lang w:val="es-ES_tradnl"/>
        </w:rPr>
        <w:t xml:space="preserve"> </w:t>
      </w:r>
      <w:r>
        <w:rPr>
          <w:lang w:val="es-ES_tradnl"/>
        </w:rPr>
        <w:t>de la Tierra por satélite (pasivo)</w:t>
      </w:r>
      <w:r w:rsidR="00D0549D">
        <w:rPr>
          <w:lang w:val="es-ES_tradnl"/>
        </w:rPr>
        <w:br/>
      </w:r>
      <w:r>
        <w:rPr>
          <w:lang w:val="es-ES_tradnl"/>
        </w:rPr>
        <w:t xml:space="preserve">en la banda </w:t>
      </w:r>
      <w:r>
        <w:rPr>
          <w:rFonts w:hint="eastAsia"/>
          <w:lang w:val="es-ES_tradnl"/>
        </w:rPr>
        <w:t>31</w:t>
      </w:r>
      <w:r>
        <w:rPr>
          <w:lang w:val="es-ES_tradnl"/>
        </w:rPr>
        <w:t>,</w:t>
      </w:r>
      <w:r>
        <w:rPr>
          <w:rFonts w:hint="eastAsia"/>
          <w:lang w:val="es-ES_tradnl"/>
        </w:rPr>
        <w:t>3-31</w:t>
      </w:r>
      <w:r>
        <w:rPr>
          <w:lang w:val="es-ES_tradnl"/>
        </w:rPr>
        <w:t>,</w:t>
      </w:r>
      <w:r>
        <w:rPr>
          <w:rFonts w:hint="eastAsia"/>
          <w:lang w:val="es-ES_tradnl"/>
        </w:rPr>
        <w:t>8</w:t>
      </w:r>
      <w:r>
        <w:rPr>
          <w:lang w:val="es-ES_tradnl"/>
        </w:rPr>
        <w:t xml:space="preserve"> </w:t>
      </w:r>
      <w:r>
        <w:rPr>
          <w:rFonts w:hint="eastAsia"/>
          <w:lang w:val="es-ES_tradnl"/>
        </w:rPr>
        <w:t>GHz</w:t>
      </w:r>
      <w:bookmarkEnd w:id="4"/>
    </w:p>
    <w:p w:rsidR="00D0549D" w:rsidRDefault="00D0549D" w:rsidP="00546693">
      <w:pPr>
        <w:pStyle w:val="Recdate"/>
        <w:rPr>
          <w:lang w:val="es-ES_tradnl"/>
        </w:rPr>
      </w:pPr>
      <w:bookmarkStart w:id="5" w:name="Revision_history"/>
    </w:p>
    <w:p w:rsidR="00546693" w:rsidRDefault="00546693" w:rsidP="00546693">
      <w:pPr>
        <w:pStyle w:val="Recdate"/>
        <w:rPr>
          <w:lang w:val="es-ES_tradnl"/>
        </w:rPr>
      </w:pPr>
      <w:r>
        <w:rPr>
          <w:lang w:val="es-ES_tradnl"/>
        </w:rPr>
        <w:t>(2002-2003</w:t>
      </w:r>
      <w:r w:rsidR="00D0549D">
        <w:rPr>
          <w:lang w:val="es-ES_tradnl"/>
        </w:rPr>
        <w:t>-2010</w:t>
      </w:r>
      <w:r>
        <w:rPr>
          <w:lang w:val="es-ES_tradnl"/>
        </w:rPr>
        <w:t>)</w:t>
      </w:r>
      <w:bookmarkEnd w:id="5"/>
    </w:p>
    <w:p w:rsidR="00D0549D" w:rsidRPr="00FA58E7" w:rsidRDefault="00D0549D" w:rsidP="00D0549D">
      <w:pPr>
        <w:rPr>
          <w:lang w:val="es-ES_tradnl"/>
        </w:rPr>
      </w:pPr>
    </w:p>
    <w:p w:rsidR="00546693" w:rsidRPr="003A0184" w:rsidRDefault="00546693" w:rsidP="00D0549D">
      <w:pPr>
        <w:pStyle w:val="HeadingSum"/>
      </w:pPr>
      <w:r w:rsidRPr="003A0184">
        <w:t>Cometido</w:t>
      </w:r>
    </w:p>
    <w:p w:rsidR="00546693" w:rsidRPr="00083266" w:rsidRDefault="00546693" w:rsidP="00D0549D">
      <w:pPr>
        <w:pStyle w:val="Summary"/>
      </w:pPr>
      <w:r>
        <w:t xml:space="preserve">En esta Recomendación se ofrecen directrices relativas al método de evaluación de la interferencia </w:t>
      </w:r>
      <w:r w:rsidRPr="00083266">
        <w:t xml:space="preserve">del enlace ascendente </w:t>
      </w:r>
      <w:r>
        <w:t xml:space="preserve">de las </w:t>
      </w:r>
      <w:r w:rsidRPr="00083266">
        <w:t>plataformas a gran altitud en el SETS (pasivo) en la banda 31,3-31,8 GHz</w:t>
      </w:r>
      <w:r>
        <w:t xml:space="preserve">. En el Anexo 1 se presentan consideraciones acerca de un límite para el nivel de emisiones no deseadas de un transmisor </w:t>
      </w:r>
      <w:r w:rsidRPr="00585EFA">
        <w:t xml:space="preserve">a la entrada de una antena </w:t>
      </w:r>
      <w:r>
        <w:t xml:space="preserve">de estación terrena </w:t>
      </w:r>
      <w:r w:rsidRPr="00585EFA">
        <w:t>HAPS</w:t>
      </w:r>
      <w:r>
        <w:t xml:space="preserve"> utilizando los parámetros típicos para el sistema HAPS en la banda de 31</w:t>
      </w:r>
      <w:r w:rsidR="00D0549D">
        <w:t>-</w:t>
      </w:r>
      <w:r>
        <w:t>31,3 GHz, recogidos en la recomendación UIT-R F.1569.</w:t>
      </w:r>
    </w:p>
    <w:p w:rsidR="00546693" w:rsidRDefault="00546693" w:rsidP="00546693">
      <w:pPr>
        <w:pStyle w:val="Normalaftertitle"/>
        <w:rPr>
          <w:lang w:val="es-ES_tradnl" w:eastAsia="ja-JP"/>
        </w:rPr>
      </w:pPr>
      <w:r>
        <w:rPr>
          <w:lang w:val="es-ES_tradnl"/>
        </w:rPr>
        <w:t>La Asamblea de Radiocomunicaciones de la UIT</w:t>
      </w:r>
      <w:r>
        <w:rPr>
          <w:rFonts w:hint="eastAsia"/>
          <w:lang w:val="es-ES_tradnl"/>
        </w:rPr>
        <w:t>,</w:t>
      </w:r>
    </w:p>
    <w:p w:rsidR="00546693" w:rsidRDefault="00546693" w:rsidP="00546693">
      <w:pPr>
        <w:pStyle w:val="Call"/>
        <w:rPr>
          <w:lang w:val="es-ES_tradnl"/>
        </w:rPr>
      </w:pPr>
      <w:r>
        <w:rPr>
          <w:color w:val="000000"/>
          <w:lang w:val="es-ES_tradnl"/>
        </w:rPr>
        <w:t>considerando</w:t>
      </w:r>
    </w:p>
    <w:p w:rsidR="00546693" w:rsidRDefault="00546693" w:rsidP="00546693">
      <w:pPr>
        <w:rPr>
          <w:lang w:val="es-ES_tradnl"/>
        </w:rPr>
      </w:pPr>
      <w:r>
        <w:rPr>
          <w:lang w:val="es-ES_tradnl"/>
        </w:rPr>
        <w:t>a)</w:t>
      </w:r>
      <w:r>
        <w:rPr>
          <w:lang w:val="es-ES_tradnl"/>
        </w:rPr>
        <w:tab/>
        <w:t xml:space="preserve">que se está desarrollando nueva tecnología que utiliza estaciones situadas en plataformas a gran altitud </w:t>
      </w:r>
      <w:r>
        <w:rPr>
          <w:rFonts w:hint="eastAsia"/>
          <w:lang w:val="es-ES_tradnl"/>
        </w:rPr>
        <w:t xml:space="preserve">(HAPS) </w:t>
      </w:r>
      <w:r>
        <w:rPr>
          <w:lang w:val="es-ES_tradnl"/>
        </w:rPr>
        <w:t>en la estratosfera</w:t>
      </w:r>
      <w:r>
        <w:rPr>
          <w:rFonts w:hint="eastAsia"/>
          <w:lang w:val="es-ES_tradnl"/>
        </w:rPr>
        <w:t>;</w:t>
      </w:r>
    </w:p>
    <w:p w:rsidR="00546693" w:rsidRDefault="00546693" w:rsidP="000F2EAA">
      <w:pPr>
        <w:rPr>
          <w:lang w:val="es-ES_tradnl"/>
        </w:rPr>
      </w:pPr>
      <w:r>
        <w:rPr>
          <w:lang w:val="es-ES_tradnl"/>
        </w:rPr>
        <w:t>b)</w:t>
      </w:r>
      <w:r>
        <w:rPr>
          <w:lang w:val="es-ES_tradnl"/>
        </w:rPr>
        <w:tab/>
        <w:t xml:space="preserve">que la banda </w:t>
      </w:r>
      <w:r>
        <w:rPr>
          <w:rFonts w:hint="eastAsia"/>
          <w:lang w:val="es-ES_tradnl"/>
        </w:rPr>
        <w:t>31,3-31</w:t>
      </w:r>
      <w:r>
        <w:rPr>
          <w:lang w:val="es-ES_tradnl"/>
        </w:rPr>
        <w:t>,</w:t>
      </w:r>
      <w:r>
        <w:rPr>
          <w:rFonts w:hint="eastAsia"/>
          <w:lang w:val="es-ES_tradnl"/>
        </w:rPr>
        <w:t xml:space="preserve">8 GHz </w:t>
      </w:r>
      <w:r>
        <w:rPr>
          <w:lang w:val="es-ES_tradnl"/>
        </w:rPr>
        <w:t xml:space="preserve">está atribuida a los servicios de radioastronomía, servicio de exploración de la Tierra por satélite (SETS) </w:t>
      </w:r>
      <w:r>
        <w:rPr>
          <w:rFonts w:hint="eastAsia"/>
          <w:lang w:val="es-ES_tradnl"/>
        </w:rPr>
        <w:t>(</w:t>
      </w:r>
      <w:r>
        <w:rPr>
          <w:lang w:val="es-ES_tradnl"/>
        </w:rPr>
        <w:t>pasivo</w:t>
      </w:r>
      <w:r>
        <w:rPr>
          <w:rFonts w:hint="eastAsia"/>
          <w:lang w:val="es-ES_tradnl"/>
        </w:rPr>
        <w:t xml:space="preserve">) </w:t>
      </w:r>
      <w:r>
        <w:rPr>
          <w:lang w:val="es-ES_tradnl"/>
        </w:rPr>
        <w:t xml:space="preserve">y servicio de investigación espacial </w:t>
      </w:r>
      <w:r>
        <w:rPr>
          <w:rFonts w:hint="eastAsia"/>
          <w:lang w:val="es-ES_tradnl"/>
        </w:rPr>
        <w:t>(</w:t>
      </w:r>
      <w:r>
        <w:rPr>
          <w:lang w:val="es-ES_tradnl"/>
        </w:rPr>
        <w:t>pasivo</w:t>
      </w:r>
      <w:r>
        <w:rPr>
          <w:rFonts w:hint="eastAsia"/>
          <w:lang w:val="es-ES_tradnl"/>
        </w:rPr>
        <w:t xml:space="preserve">), </w:t>
      </w:r>
      <w:r>
        <w:rPr>
          <w:lang w:val="es-ES_tradnl"/>
        </w:rPr>
        <w:t xml:space="preserve">y que es necesario proteger adecuadamente estos servicios contra las emisiones no deseadas procedentes de las estaciones terrenas </w:t>
      </w:r>
      <w:r>
        <w:rPr>
          <w:rFonts w:hint="eastAsia"/>
          <w:lang w:val="es-ES_tradnl"/>
        </w:rPr>
        <w:t xml:space="preserve">HAPS </w:t>
      </w:r>
      <w:r>
        <w:rPr>
          <w:lang w:val="es-ES_tradnl"/>
        </w:rPr>
        <w:t xml:space="preserve">que operan en la banda de </w:t>
      </w:r>
      <w:r>
        <w:rPr>
          <w:rFonts w:hint="eastAsia"/>
          <w:lang w:val="es-ES_tradnl"/>
        </w:rPr>
        <w:t>31-31</w:t>
      </w:r>
      <w:r>
        <w:rPr>
          <w:lang w:val="es-ES_tradnl"/>
        </w:rPr>
        <w:t>,</w:t>
      </w:r>
      <w:r>
        <w:rPr>
          <w:rFonts w:hint="eastAsia"/>
          <w:lang w:val="es-ES_tradnl"/>
        </w:rPr>
        <w:t xml:space="preserve">3 GHz, teniendo en cuenta </w:t>
      </w:r>
      <w:r>
        <w:rPr>
          <w:lang w:val="es-ES_tradnl"/>
        </w:rPr>
        <w:t>los criterios de interferencia que figuran en las Recomenda</w:t>
      </w:r>
      <w:r>
        <w:rPr>
          <w:lang w:val="es-ES_tradnl"/>
        </w:rPr>
        <w:softHyphen/>
        <w:t>ciones pertinentes del UIT</w:t>
      </w:r>
      <w:r>
        <w:rPr>
          <w:rFonts w:hint="eastAsia"/>
          <w:lang w:val="es-ES_tradnl"/>
        </w:rPr>
        <w:t>-R,</w:t>
      </w:r>
    </w:p>
    <w:p w:rsidR="00546693" w:rsidRDefault="00546693" w:rsidP="00D0549D">
      <w:pPr>
        <w:pStyle w:val="Call"/>
        <w:rPr>
          <w:lang w:val="es-ES_tradnl"/>
        </w:rPr>
      </w:pPr>
      <w:r>
        <w:rPr>
          <w:lang w:val="es-ES_tradnl"/>
        </w:rPr>
        <w:t>reconociendo</w:t>
      </w:r>
    </w:p>
    <w:p w:rsidR="00546693" w:rsidRDefault="00546693" w:rsidP="00546693">
      <w:pPr>
        <w:rPr>
          <w:lang w:val="es-ES_tradnl"/>
        </w:rPr>
      </w:pPr>
      <w:r>
        <w:rPr>
          <w:lang w:val="es-ES_tradnl"/>
        </w:rPr>
        <w:t>a)</w:t>
      </w:r>
      <w:r>
        <w:rPr>
          <w:lang w:val="es-ES_tradnl"/>
        </w:rPr>
        <w:tab/>
        <w:t xml:space="preserve">que las bandas de 27,9-28,2 GHz y 31-31,3 GHz también pueden ser utilizadas para las HAPS en ciertos países, </w:t>
      </w:r>
      <w:r w:rsidRPr="00FA1A89">
        <w:rPr>
          <w:lang w:val="es-ES_tradnl"/>
        </w:rPr>
        <w:t>siempre que no causen interferencia ni soliciten protección</w:t>
      </w:r>
      <w:r>
        <w:rPr>
          <w:lang w:val="es-ES_tradnl"/>
        </w:rPr>
        <w:t>,</w:t>
      </w:r>
    </w:p>
    <w:p w:rsidR="00546693" w:rsidRDefault="00546693" w:rsidP="00546693">
      <w:pPr>
        <w:pStyle w:val="Call"/>
        <w:rPr>
          <w:lang w:val="es-ES_tradnl"/>
        </w:rPr>
      </w:pPr>
      <w:r>
        <w:rPr>
          <w:lang w:val="es-ES_tradnl"/>
        </w:rPr>
        <w:t>recomienda</w:t>
      </w:r>
    </w:p>
    <w:p w:rsidR="00546693" w:rsidRDefault="00546693" w:rsidP="00546693">
      <w:pPr>
        <w:rPr>
          <w:lang w:val="es-ES_tradnl"/>
        </w:rPr>
      </w:pPr>
      <w:r>
        <w:rPr>
          <w:b/>
          <w:bCs/>
          <w:lang w:val="es-ES_tradnl"/>
        </w:rPr>
        <w:t>1</w:t>
      </w:r>
      <w:r>
        <w:rPr>
          <w:lang w:val="es-ES_tradnl"/>
        </w:rPr>
        <w:tab/>
        <w:t xml:space="preserve">que se utilicen los parámetros del § 1 del Anexo 1 en relación con el SETS </w:t>
      </w:r>
      <w:r>
        <w:rPr>
          <w:rFonts w:hint="eastAsia"/>
          <w:lang w:val="es-ES_tradnl"/>
        </w:rPr>
        <w:t>(</w:t>
      </w:r>
      <w:r>
        <w:rPr>
          <w:lang w:val="es-ES_tradnl"/>
        </w:rPr>
        <w:t>pasivo</w:t>
      </w:r>
      <w:r>
        <w:rPr>
          <w:rFonts w:hint="eastAsia"/>
          <w:lang w:val="es-ES_tradnl"/>
        </w:rPr>
        <w:t xml:space="preserve">) </w:t>
      </w:r>
      <w:r>
        <w:rPr>
          <w:lang w:val="es-ES_tradnl"/>
        </w:rPr>
        <w:t xml:space="preserve">para la evaluación de la interferencia del enlace ascendente (sentido suelo-aeronave) de las </w:t>
      </w:r>
      <w:r>
        <w:rPr>
          <w:rFonts w:hint="eastAsia"/>
          <w:lang w:val="es-ES_tradnl"/>
        </w:rPr>
        <w:t xml:space="preserve">HAPS </w:t>
      </w:r>
      <w:r>
        <w:rPr>
          <w:lang w:val="es-ES_tradnl"/>
        </w:rPr>
        <w:t xml:space="preserve">en el SETS (pasivo), en la banda </w:t>
      </w:r>
      <w:r>
        <w:rPr>
          <w:rFonts w:hint="eastAsia"/>
          <w:lang w:val="es-ES_tradnl" w:eastAsia="ja-JP"/>
        </w:rPr>
        <w:t>31</w:t>
      </w:r>
      <w:r>
        <w:rPr>
          <w:lang w:val="es-ES_tradnl" w:eastAsia="ja-JP"/>
        </w:rPr>
        <w:t>,</w:t>
      </w:r>
      <w:r>
        <w:rPr>
          <w:rFonts w:hint="eastAsia"/>
          <w:lang w:val="es-ES_tradnl" w:eastAsia="ja-JP"/>
        </w:rPr>
        <w:t>3-31</w:t>
      </w:r>
      <w:r>
        <w:rPr>
          <w:lang w:val="es-ES_tradnl" w:eastAsia="ja-JP"/>
        </w:rPr>
        <w:t>,</w:t>
      </w:r>
      <w:r>
        <w:rPr>
          <w:rFonts w:hint="eastAsia"/>
          <w:lang w:val="es-ES_tradnl" w:eastAsia="ja-JP"/>
        </w:rPr>
        <w:t>8 GHz</w:t>
      </w:r>
      <w:r>
        <w:rPr>
          <w:rFonts w:hint="eastAsia"/>
          <w:lang w:val="es-ES_tradnl"/>
        </w:rPr>
        <w:t>;</w:t>
      </w:r>
    </w:p>
    <w:p w:rsidR="00546693" w:rsidRDefault="00546693" w:rsidP="00546693">
      <w:pPr>
        <w:rPr>
          <w:lang w:val="es-ES_tradnl"/>
        </w:rPr>
      </w:pPr>
      <w:r>
        <w:rPr>
          <w:b/>
          <w:bCs/>
          <w:lang w:val="es-ES_tradnl"/>
        </w:rPr>
        <w:t>2</w:t>
      </w:r>
      <w:r>
        <w:rPr>
          <w:lang w:val="es-ES_tradnl"/>
        </w:rPr>
        <w:tab/>
        <w:t>que se aplique</w:t>
      </w:r>
      <w:r w:rsidRPr="003A0184">
        <w:rPr>
          <w:lang w:val="es-ES_tradnl"/>
        </w:rPr>
        <w:t xml:space="preserve"> la Recomendación UIT-R F.1569 para los parámetros típicos en relación con el sistema HAPS, a fin de evaluar la repercusión de dicho sistema HAPS en el SETS (pasivo) en la banda de 31 GHz</w:t>
      </w:r>
      <w:r w:rsidR="007D21B6">
        <w:rPr>
          <w:lang w:val="es-ES_tradnl"/>
        </w:rPr>
        <w:t>;</w:t>
      </w:r>
    </w:p>
    <w:p w:rsidR="00546693" w:rsidRDefault="00546693" w:rsidP="00546693">
      <w:pPr>
        <w:rPr>
          <w:lang w:val="es-ES_tradnl" w:eastAsia="ja-JP"/>
        </w:rPr>
      </w:pPr>
      <w:r w:rsidRPr="003A0184">
        <w:rPr>
          <w:b/>
          <w:bCs/>
          <w:lang w:val="es-ES_tradnl"/>
        </w:rPr>
        <w:t>3</w:t>
      </w:r>
      <w:r>
        <w:rPr>
          <w:lang w:val="es-ES_tradnl"/>
        </w:rPr>
        <w:tab/>
        <w:t xml:space="preserve">que se utilice el § 2 del Anexo 1 para el método de evaluación de la interferencia del enlace ascendente de las HAPS en el SETS (pasivo), en la banda </w:t>
      </w:r>
      <w:r>
        <w:rPr>
          <w:rFonts w:hint="eastAsia"/>
          <w:lang w:val="es-ES_tradnl" w:eastAsia="ja-JP"/>
        </w:rPr>
        <w:t>31</w:t>
      </w:r>
      <w:r>
        <w:rPr>
          <w:lang w:val="es-ES_tradnl" w:eastAsia="ja-JP"/>
        </w:rPr>
        <w:t>,</w:t>
      </w:r>
      <w:r>
        <w:rPr>
          <w:rFonts w:hint="eastAsia"/>
          <w:lang w:val="es-ES_tradnl" w:eastAsia="ja-JP"/>
        </w:rPr>
        <w:t>3-31</w:t>
      </w:r>
      <w:r>
        <w:rPr>
          <w:lang w:val="es-ES_tradnl" w:eastAsia="ja-JP"/>
        </w:rPr>
        <w:t>,</w:t>
      </w:r>
      <w:r>
        <w:rPr>
          <w:rFonts w:hint="eastAsia"/>
          <w:lang w:val="es-ES_tradnl" w:eastAsia="ja-JP"/>
        </w:rPr>
        <w:t>8</w:t>
      </w:r>
      <w:r>
        <w:rPr>
          <w:lang w:val="es-ES_tradnl" w:eastAsia="ja-JP"/>
        </w:rPr>
        <w:t> </w:t>
      </w:r>
      <w:r>
        <w:rPr>
          <w:rFonts w:hint="eastAsia"/>
          <w:lang w:val="es-ES_tradnl" w:eastAsia="ja-JP"/>
        </w:rPr>
        <w:t>GHz</w:t>
      </w:r>
      <w:r>
        <w:rPr>
          <w:lang w:val="es-ES_tradnl" w:eastAsia="ja-JP"/>
        </w:rPr>
        <w:t>.</w:t>
      </w:r>
    </w:p>
    <w:p w:rsidR="00546693" w:rsidRDefault="00546693" w:rsidP="00546693">
      <w:pPr>
        <w:rPr>
          <w:color w:val="000000"/>
          <w:lang w:val="es-ES_tradnl" w:eastAsia="ja-JP"/>
        </w:rPr>
      </w:pPr>
      <w:r>
        <w:rPr>
          <w:color w:val="000000"/>
          <w:lang w:val="es-ES_tradnl"/>
        </w:rPr>
        <w:br w:type="page"/>
      </w:r>
    </w:p>
    <w:p w:rsidR="00546693" w:rsidRDefault="00546693" w:rsidP="00546693">
      <w:pPr>
        <w:pStyle w:val="AnnexNoTitle"/>
        <w:rPr>
          <w:lang w:val="es-ES_tradnl"/>
        </w:rPr>
      </w:pPr>
      <w:r>
        <w:rPr>
          <w:rFonts w:hint="eastAsia"/>
          <w:lang w:val="es-ES_tradnl"/>
        </w:rPr>
        <w:lastRenderedPageBreak/>
        <w:t>Anex</w:t>
      </w:r>
      <w:r>
        <w:rPr>
          <w:lang w:val="es-ES_tradnl"/>
        </w:rPr>
        <w:t>o</w:t>
      </w:r>
      <w:r>
        <w:rPr>
          <w:rFonts w:hint="eastAsia"/>
          <w:lang w:val="es-ES_tradnl" w:eastAsia="ja-JP"/>
        </w:rPr>
        <w:t xml:space="preserve"> 1</w:t>
      </w:r>
      <w:r>
        <w:rPr>
          <w:lang w:val="es-ES_tradnl" w:eastAsia="ja-JP"/>
        </w:rPr>
        <w:br/>
      </w:r>
      <w:r>
        <w:rPr>
          <w:lang w:val="es-ES_tradnl" w:eastAsia="ja-JP"/>
        </w:rPr>
        <w:br/>
      </w:r>
      <w:r>
        <w:rPr>
          <w:lang w:val="es-ES_tradnl"/>
        </w:rPr>
        <w:t>Repercusión de la transmisión del enlace ascendente del servicio fijo</w:t>
      </w:r>
      <w:r>
        <w:rPr>
          <w:lang w:val="es-ES_tradnl"/>
        </w:rPr>
        <w:br/>
        <w:t xml:space="preserve">que utiliza </w:t>
      </w:r>
      <w:r>
        <w:rPr>
          <w:rFonts w:hint="eastAsia"/>
          <w:lang w:val="es-ES_tradnl"/>
        </w:rPr>
        <w:t>HAPS</w:t>
      </w:r>
      <w:r>
        <w:rPr>
          <w:lang w:val="es-ES_tradnl"/>
        </w:rPr>
        <w:t xml:space="preserve"> en el SETS (pasivo), en la banda</w:t>
      </w:r>
      <w:r>
        <w:rPr>
          <w:rFonts w:hint="eastAsia"/>
          <w:lang w:val="es-ES_tradnl"/>
        </w:rPr>
        <w:t xml:space="preserve"> 31</w:t>
      </w:r>
      <w:r>
        <w:rPr>
          <w:lang w:val="es-ES_tradnl"/>
        </w:rPr>
        <w:t>,</w:t>
      </w:r>
      <w:r>
        <w:rPr>
          <w:rFonts w:hint="eastAsia"/>
          <w:lang w:val="es-ES_tradnl" w:eastAsia="ja-JP"/>
        </w:rPr>
        <w:t>3-31</w:t>
      </w:r>
      <w:r>
        <w:rPr>
          <w:lang w:val="es-ES_tradnl" w:eastAsia="ja-JP"/>
        </w:rPr>
        <w:t>,</w:t>
      </w:r>
      <w:r>
        <w:rPr>
          <w:rFonts w:hint="eastAsia"/>
          <w:lang w:val="es-ES_tradnl" w:eastAsia="ja-JP"/>
        </w:rPr>
        <w:t>8</w:t>
      </w:r>
      <w:r>
        <w:rPr>
          <w:lang w:val="es-ES_tradnl"/>
        </w:rPr>
        <w:t xml:space="preserve"> </w:t>
      </w:r>
      <w:r>
        <w:rPr>
          <w:rFonts w:hint="eastAsia"/>
          <w:lang w:val="es-ES_tradnl"/>
        </w:rPr>
        <w:t>GHz</w:t>
      </w:r>
    </w:p>
    <w:p w:rsidR="00546693" w:rsidRDefault="00546693" w:rsidP="00D0549D">
      <w:pPr>
        <w:pStyle w:val="Heading1"/>
        <w:rPr>
          <w:lang w:val="es-ES_tradnl"/>
        </w:rPr>
      </w:pPr>
      <w:r>
        <w:rPr>
          <w:rFonts w:hint="eastAsia"/>
          <w:lang w:val="es-ES_tradnl"/>
        </w:rPr>
        <w:t>1</w:t>
      </w:r>
      <w:r>
        <w:rPr>
          <w:rFonts w:hint="eastAsia"/>
          <w:lang w:val="es-ES_tradnl"/>
        </w:rPr>
        <w:tab/>
      </w:r>
      <w:r>
        <w:rPr>
          <w:lang w:val="es-ES_tradnl"/>
        </w:rPr>
        <w:t xml:space="preserve">Parámetros del SETS </w:t>
      </w:r>
      <w:r>
        <w:rPr>
          <w:rFonts w:hint="eastAsia"/>
          <w:lang w:val="es-ES_tradnl"/>
        </w:rPr>
        <w:t>(</w:t>
      </w:r>
      <w:r>
        <w:rPr>
          <w:lang w:val="es-ES_tradnl"/>
        </w:rPr>
        <w:t>pasivo</w:t>
      </w:r>
      <w:r>
        <w:rPr>
          <w:rFonts w:hint="eastAsia"/>
          <w:lang w:val="es-ES_tradnl"/>
        </w:rPr>
        <w:t xml:space="preserve">) </w:t>
      </w:r>
      <w:r>
        <w:rPr>
          <w:lang w:val="es-ES_tradnl"/>
        </w:rPr>
        <w:t xml:space="preserve">y del sistema </w:t>
      </w:r>
      <w:r>
        <w:rPr>
          <w:rFonts w:hint="eastAsia"/>
          <w:lang w:val="es-ES_tradnl"/>
        </w:rPr>
        <w:t>HAPS</w:t>
      </w:r>
    </w:p>
    <w:p w:rsidR="00546693" w:rsidRDefault="00546693" w:rsidP="00D0549D">
      <w:pPr>
        <w:rPr>
          <w:lang w:val="es-ES_tradnl"/>
        </w:rPr>
      </w:pPr>
      <w:r>
        <w:rPr>
          <w:lang w:val="es-ES_tradnl"/>
        </w:rPr>
        <w:t xml:space="preserve">El Cuadro </w:t>
      </w:r>
      <w:r>
        <w:rPr>
          <w:rFonts w:hint="eastAsia"/>
          <w:lang w:val="es-ES_tradnl"/>
        </w:rPr>
        <w:t xml:space="preserve">1 </w:t>
      </w:r>
      <w:r>
        <w:rPr>
          <w:lang w:val="es-ES_tradnl"/>
        </w:rPr>
        <w:t>muestra los parámetros utilizados para la evaluación de la interferencia en este estudio</w:t>
      </w:r>
      <w:r>
        <w:rPr>
          <w:rFonts w:hint="eastAsia"/>
          <w:lang w:val="es-ES_tradnl"/>
        </w:rPr>
        <w:t xml:space="preserve">. </w:t>
      </w:r>
      <w:r>
        <w:rPr>
          <w:lang w:val="es-ES_tradnl"/>
        </w:rPr>
        <w:t xml:space="preserve">Los parámetros relativos al SETS </w:t>
      </w:r>
      <w:r>
        <w:rPr>
          <w:rFonts w:hint="eastAsia"/>
          <w:lang w:val="es-ES_tradnl"/>
        </w:rPr>
        <w:t>(</w:t>
      </w:r>
      <w:r>
        <w:rPr>
          <w:lang w:val="es-ES_tradnl"/>
        </w:rPr>
        <w:t>pasivo</w:t>
      </w:r>
      <w:r>
        <w:rPr>
          <w:rFonts w:hint="eastAsia"/>
          <w:lang w:val="es-ES_tradnl"/>
        </w:rPr>
        <w:t xml:space="preserve">) </w:t>
      </w:r>
      <w:r>
        <w:rPr>
          <w:lang w:val="es-ES_tradnl"/>
        </w:rPr>
        <w:t>corresponden a un caso pesimista que en el futuro puede corresponder al funcionamiento del caso más desfavorable</w:t>
      </w:r>
      <w:r>
        <w:rPr>
          <w:rFonts w:hint="eastAsia"/>
          <w:kern w:val="16"/>
          <w:lang w:val="es-ES_tradnl"/>
        </w:rPr>
        <w:t xml:space="preserve">. </w:t>
      </w:r>
      <w:r>
        <w:rPr>
          <w:lang w:val="es-ES_tradnl"/>
        </w:rPr>
        <w:t xml:space="preserve">Los parámetros del sistema </w:t>
      </w:r>
      <w:r>
        <w:rPr>
          <w:rFonts w:hint="eastAsia"/>
          <w:lang w:val="es-ES_tradnl"/>
        </w:rPr>
        <w:t xml:space="preserve">HAPS </w:t>
      </w:r>
      <w:r>
        <w:rPr>
          <w:lang w:val="es-ES_tradnl"/>
        </w:rPr>
        <w:t xml:space="preserve">se basan en la Recomendación UIT-R F.1569 en el que se supone un funcionamiento típico </w:t>
      </w:r>
      <w:r>
        <w:rPr>
          <w:rFonts w:hint="eastAsia"/>
          <w:lang w:val="es-ES_tradnl"/>
        </w:rPr>
        <w:t>HAPS</w:t>
      </w:r>
      <w:r>
        <w:rPr>
          <w:lang w:val="es-ES_tradnl"/>
        </w:rPr>
        <w:t>,</w:t>
      </w:r>
      <w:r>
        <w:rPr>
          <w:rFonts w:hint="eastAsia"/>
          <w:lang w:val="es-ES_tradnl"/>
        </w:rPr>
        <w:t xml:space="preserve"> </w:t>
      </w:r>
      <w:r>
        <w:rPr>
          <w:lang w:val="es-ES_tradnl"/>
        </w:rPr>
        <w:t>teniendo en cuenta la compartición con otros servicios</w:t>
      </w:r>
      <w:r>
        <w:rPr>
          <w:rFonts w:hint="eastAsia"/>
          <w:lang w:val="es-ES_tradnl"/>
        </w:rPr>
        <w:t>.</w:t>
      </w:r>
    </w:p>
    <w:p w:rsidR="00D0549D" w:rsidRDefault="00D0549D" w:rsidP="00D0549D">
      <w:pPr>
        <w:rPr>
          <w:lang w:val="es-ES_tradnl"/>
        </w:rPr>
      </w:pPr>
    </w:p>
    <w:p w:rsidR="00D0549D" w:rsidRDefault="00D0549D" w:rsidP="00D0549D">
      <w:pPr>
        <w:rPr>
          <w:lang w:val="es-ES_tradnl"/>
        </w:rPr>
      </w:pPr>
    </w:p>
    <w:p w:rsidR="00546693" w:rsidRDefault="00546693" w:rsidP="00D0549D">
      <w:pPr>
        <w:pStyle w:val="TableNo"/>
        <w:rPr>
          <w:lang w:val="es-ES_tradnl" w:eastAsia="ja-JP"/>
        </w:rPr>
      </w:pPr>
      <w:r>
        <w:rPr>
          <w:lang w:val="es-ES_tradnl"/>
        </w:rPr>
        <w:t xml:space="preserve">CUADRO  </w:t>
      </w:r>
      <w:r>
        <w:rPr>
          <w:rFonts w:hint="eastAsia"/>
          <w:lang w:val="es-ES_tradnl"/>
        </w:rPr>
        <w:t>1</w:t>
      </w:r>
    </w:p>
    <w:p w:rsidR="00546693" w:rsidRDefault="00546693" w:rsidP="00D0549D">
      <w:pPr>
        <w:pStyle w:val="Tabletitle"/>
        <w:rPr>
          <w:color w:val="000000"/>
          <w:lang w:val="es-ES_tradnl"/>
        </w:rPr>
      </w:pPr>
      <w:r>
        <w:rPr>
          <w:color w:val="000000"/>
          <w:lang w:val="es-ES_tradnl"/>
        </w:rPr>
        <w:t xml:space="preserve">Parámetros del SETS </w:t>
      </w:r>
      <w:r>
        <w:rPr>
          <w:rFonts w:hint="eastAsia"/>
          <w:color w:val="000000"/>
          <w:lang w:val="es-ES_tradnl"/>
        </w:rPr>
        <w:t>(</w:t>
      </w:r>
      <w:r>
        <w:rPr>
          <w:color w:val="000000"/>
          <w:lang w:val="es-ES_tradnl"/>
        </w:rPr>
        <w:t>pasivo</w:t>
      </w:r>
      <w:r>
        <w:rPr>
          <w:rFonts w:hint="eastAsia"/>
          <w:color w:val="000000"/>
          <w:lang w:val="es-ES_tradnl"/>
        </w:rPr>
        <w:t xml:space="preserve">) </w:t>
      </w:r>
      <w:r>
        <w:rPr>
          <w:color w:val="000000"/>
          <w:lang w:val="es-ES_tradnl"/>
        </w:rPr>
        <w:t>y</w:t>
      </w:r>
      <w:r>
        <w:rPr>
          <w:rFonts w:hint="eastAsia"/>
          <w:color w:val="000000"/>
          <w:lang w:val="es-ES_tradnl"/>
        </w:rPr>
        <w:t xml:space="preserve"> </w:t>
      </w:r>
      <w:r>
        <w:rPr>
          <w:color w:val="000000"/>
          <w:lang w:val="es-ES_tradnl"/>
        </w:rPr>
        <w:t xml:space="preserve">del sistema </w:t>
      </w:r>
      <w:r>
        <w:rPr>
          <w:rFonts w:hint="eastAsia"/>
          <w:color w:val="000000"/>
          <w:lang w:val="es-ES_tradnl"/>
        </w:rPr>
        <w:t xml:space="preserve">HAPS </w:t>
      </w:r>
      <w:r>
        <w:rPr>
          <w:color w:val="000000"/>
          <w:lang w:val="es-ES_tradnl"/>
        </w:rPr>
        <w:t>utilizados en este estudio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21"/>
        <w:gridCol w:w="3119"/>
      </w:tblGrid>
      <w:tr w:rsidR="00546693" w:rsidTr="00D0549D">
        <w:trPr>
          <w:jc w:val="center"/>
        </w:trPr>
        <w:tc>
          <w:tcPr>
            <w:tcW w:w="9639" w:type="dxa"/>
            <w:gridSpan w:val="2"/>
          </w:tcPr>
          <w:p w:rsidR="00546693" w:rsidRDefault="00546693" w:rsidP="00D0549D">
            <w:pPr>
              <w:pStyle w:val="Tablehead"/>
              <w:rPr>
                <w:lang w:val="es-ES_tradnl"/>
              </w:rPr>
            </w:pPr>
            <w:r>
              <w:rPr>
                <w:lang w:val="es-ES_tradnl"/>
              </w:rPr>
              <w:t>SETS (pasivo)</w:t>
            </w:r>
          </w:p>
        </w:tc>
      </w:tr>
      <w:tr w:rsidR="00546693" w:rsidTr="00D0549D">
        <w:trPr>
          <w:jc w:val="center"/>
        </w:trPr>
        <w:tc>
          <w:tcPr>
            <w:tcW w:w="6521" w:type="dxa"/>
          </w:tcPr>
          <w:p w:rsidR="00546693" w:rsidRPr="00D0549D" w:rsidRDefault="00546693" w:rsidP="00D0549D">
            <w:pPr>
              <w:pStyle w:val="Tabletext"/>
              <w:jc w:val="left"/>
              <w:rPr>
                <w:szCs w:val="22"/>
                <w:lang w:val="es-ES_tradnl"/>
              </w:rPr>
            </w:pPr>
            <w:r w:rsidRPr="00D0549D">
              <w:rPr>
                <w:color w:val="000000"/>
                <w:szCs w:val="22"/>
                <w:lang w:val="es-ES_tradnl"/>
              </w:rPr>
              <w:t>Altitud del satélite de exploración de la Tierra (SET)</w:t>
            </w:r>
          </w:p>
        </w:tc>
        <w:tc>
          <w:tcPr>
            <w:tcW w:w="3119" w:type="dxa"/>
            <w:vAlign w:val="center"/>
          </w:tcPr>
          <w:p w:rsidR="00546693" w:rsidRPr="00D0549D" w:rsidRDefault="00546693" w:rsidP="00D0549D">
            <w:pPr>
              <w:pStyle w:val="Tabletext"/>
              <w:jc w:val="center"/>
              <w:rPr>
                <w:szCs w:val="22"/>
                <w:lang w:val="es-ES_tradnl"/>
              </w:rPr>
            </w:pPr>
            <w:r w:rsidRPr="00D0549D">
              <w:rPr>
                <w:szCs w:val="22"/>
                <w:lang w:val="es-ES_tradnl"/>
              </w:rPr>
              <w:t>300 km</w:t>
            </w:r>
          </w:p>
        </w:tc>
      </w:tr>
      <w:tr w:rsidR="00546693" w:rsidTr="00D0549D">
        <w:trPr>
          <w:jc w:val="center"/>
        </w:trPr>
        <w:tc>
          <w:tcPr>
            <w:tcW w:w="6521" w:type="dxa"/>
          </w:tcPr>
          <w:p w:rsidR="00546693" w:rsidRPr="00D0549D" w:rsidRDefault="00546693" w:rsidP="00D0549D">
            <w:pPr>
              <w:pStyle w:val="Tabletext"/>
              <w:jc w:val="left"/>
              <w:rPr>
                <w:szCs w:val="22"/>
                <w:lang w:val="es-ES_tradnl"/>
              </w:rPr>
            </w:pPr>
            <w:r w:rsidRPr="00D0549D">
              <w:rPr>
                <w:color w:val="000000"/>
                <w:szCs w:val="22"/>
                <w:lang w:val="es-ES_tradnl"/>
              </w:rPr>
              <w:t>Ganancia de la antena del sensor</w:t>
            </w:r>
          </w:p>
        </w:tc>
        <w:tc>
          <w:tcPr>
            <w:tcW w:w="3119" w:type="dxa"/>
            <w:vAlign w:val="center"/>
          </w:tcPr>
          <w:p w:rsidR="00546693" w:rsidRPr="00D0549D" w:rsidRDefault="00546693" w:rsidP="00D0549D">
            <w:pPr>
              <w:pStyle w:val="Tabletext"/>
              <w:jc w:val="center"/>
              <w:rPr>
                <w:szCs w:val="22"/>
                <w:lang w:val="es-ES_tradnl"/>
              </w:rPr>
            </w:pPr>
            <w:r w:rsidRPr="00D0549D">
              <w:rPr>
                <w:szCs w:val="22"/>
                <w:lang w:val="es-ES_tradnl"/>
              </w:rPr>
              <w:t>50 dBi</w:t>
            </w:r>
          </w:p>
        </w:tc>
      </w:tr>
      <w:tr w:rsidR="00546693" w:rsidTr="00D0549D">
        <w:trPr>
          <w:jc w:val="center"/>
        </w:trPr>
        <w:tc>
          <w:tcPr>
            <w:tcW w:w="6521" w:type="dxa"/>
          </w:tcPr>
          <w:p w:rsidR="00546693" w:rsidRPr="00D0549D" w:rsidRDefault="00546693" w:rsidP="00D0549D">
            <w:pPr>
              <w:pStyle w:val="Tabletext"/>
              <w:jc w:val="left"/>
              <w:rPr>
                <w:szCs w:val="22"/>
                <w:lang w:val="es-ES_tradnl"/>
              </w:rPr>
            </w:pPr>
            <w:r w:rsidRPr="00D0549D">
              <w:rPr>
                <w:color w:val="000000"/>
                <w:szCs w:val="22"/>
                <w:lang w:val="es-ES_tradnl"/>
              </w:rPr>
              <w:t>Diagrama de la antena del sensor</w:t>
            </w:r>
          </w:p>
        </w:tc>
        <w:tc>
          <w:tcPr>
            <w:tcW w:w="3119" w:type="dxa"/>
            <w:vAlign w:val="center"/>
          </w:tcPr>
          <w:p w:rsidR="00546693" w:rsidRPr="00D0549D" w:rsidRDefault="00546693" w:rsidP="00D0549D">
            <w:pPr>
              <w:pStyle w:val="Tabletext"/>
              <w:jc w:val="center"/>
              <w:rPr>
                <w:szCs w:val="22"/>
                <w:lang w:val="es-ES_tradnl"/>
              </w:rPr>
            </w:pPr>
            <w:r w:rsidRPr="00D0549D">
              <w:rPr>
                <w:rFonts w:hint="eastAsia"/>
                <w:color w:val="000000"/>
                <w:szCs w:val="22"/>
                <w:lang w:val="es-ES_tradnl"/>
              </w:rPr>
              <w:t>Rec</w:t>
            </w:r>
            <w:r w:rsidRPr="00D0549D">
              <w:rPr>
                <w:color w:val="000000"/>
                <w:szCs w:val="22"/>
                <w:lang w:val="es-ES_tradnl"/>
              </w:rPr>
              <w:t>omendación</w:t>
            </w:r>
            <w:r w:rsidRPr="00D0549D">
              <w:rPr>
                <w:rFonts w:hint="eastAsia"/>
                <w:color w:val="000000"/>
                <w:szCs w:val="22"/>
                <w:lang w:val="es-ES_tradnl"/>
              </w:rPr>
              <w:t xml:space="preserve"> U</w:t>
            </w:r>
            <w:r w:rsidRPr="00D0549D">
              <w:rPr>
                <w:color w:val="000000"/>
                <w:szCs w:val="22"/>
                <w:lang w:val="es-ES_tradnl"/>
              </w:rPr>
              <w:t>IT</w:t>
            </w:r>
            <w:r w:rsidRPr="00D0549D">
              <w:rPr>
                <w:rFonts w:hint="eastAsia"/>
                <w:color w:val="000000"/>
                <w:szCs w:val="22"/>
                <w:lang w:val="es-ES_tradnl"/>
              </w:rPr>
              <w:t>-R S.672</w:t>
            </w:r>
          </w:p>
        </w:tc>
      </w:tr>
      <w:tr w:rsidR="00546693" w:rsidTr="00D0549D">
        <w:trPr>
          <w:jc w:val="center"/>
        </w:trPr>
        <w:tc>
          <w:tcPr>
            <w:tcW w:w="6521" w:type="dxa"/>
          </w:tcPr>
          <w:p w:rsidR="00546693" w:rsidRPr="00D0549D" w:rsidRDefault="00546693" w:rsidP="00D0549D">
            <w:pPr>
              <w:pStyle w:val="Tabletext"/>
              <w:jc w:val="left"/>
              <w:rPr>
                <w:szCs w:val="22"/>
                <w:lang w:val="es-ES_tradnl"/>
              </w:rPr>
            </w:pPr>
            <w:r w:rsidRPr="00D0549D">
              <w:rPr>
                <w:color w:val="000000"/>
                <w:szCs w:val="22"/>
                <w:lang w:val="es-ES_tradnl"/>
              </w:rPr>
              <w:t>Requisitos de protección del sensor (de la Recomendación UIT</w:t>
            </w:r>
            <w:r w:rsidRPr="00D0549D">
              <w:rPr>
                <w:color w:val="000000"/>
                <w:szCs w:val="22"/>
                <w:lang w:val="es-ES_tradnl"/>
              </w:rPr>
              <w:noBreakHyphen/>
              <w:t>R RS.1029)</w:t>
            </w:r>
          </w:p>
        </w:tc>
        <w:tc>
          <w:tcPr>
            <w:tcW w:w="3119" w:type="dxa"/>
            <w:vAlign w:val="center"/>
          </w:tcPr>
          <w:p w:rsidR="00546693" w:rsidRPr="00D0549D" w:rsidRDefault="00546693" w:rsidP="00D0549D">
            <w:pPr>
              <w:pStyle w:val="Tabletext"/>
              <w:jc w:val="center"/>
              <w:rPr>
                <w:szCs w:val="22"/>
                <w:lang w:val="en-GB"/>
              </w:rPr>
            </w:pPr>
            <w:r w:rsidRPr="00D0549D">
              <w:rPr>
                <w:szCs w:val="22"/>
              </w:rPr>
              <w:sym w:font="Symbol" w:char="F02D"/>
            </w:r>
            <w:r w:rsidRPr="00D0549D">
              <w:rPr>
                <w:szCs w:val="22"/>
                <w:lang w:val="en-GB"/>
              </w:rPr>
              <w:t>183 dB(W/MHz)</w:t>
            </w:r>
          </w:p>
        </w:tc>
      </w:tr>
      <w:tr w:rsidR="00546693" w:rsidTr="00D0549D">
        <w:trPr>
          <w:jc w:val="center"/>
        </w:trPr>
        <w:tc>
          <w:tcPr>
            <w:tcW w:w="6521" w:type="dxa"/>
          </w:tcPr>
          <w:p w:rsidR="00546693" w:rsidRPr="00D0549D" w:rsidRDefault="00546693" w:rsidP="00D0549D">
            <w:pPr>
              <w:pStyle w:val="Tabletext"/>
              <w:jc w:val="left"/>
              <w:rPr>
                <w:szCs w:val="22"/>
                <w:lang w:val="es-ES_tradnl"/>
              </w:rPr>
            </w:pPr>
            <w:r w:rsidRPr="00D0549D">
              <w:rPr>
                <w:color w:val="000000"/>
                <w:szCs w:val="22"/>
                <w:lang w:val="es-ES_tradnl"/>
              </w:rPr>
              <w:t>Ángulo de inclinación de la antena del sensor</w:t>
            </w:r>
          </w:p>
        </w:tc>
        <w:tc>
          <w:tcPr>
            <w:tcW w:w="3119" w:type="dxa"/>
            <w:vAlign w:val="center"/>
          </w:tcPr>
          <w:p w:rsidR="00546693" w:rsidRPr="00D0549D" w:rsidRDefault="00546693" w:rsidP="00D0549D">
            <w:pPr>
              <w:pStyle w:val="Tabletext"/>
              <w:jc w:val="center"/>
              <w:rPr>
                <w:szCs w:val="22"/>
                <w:lang w:val="es-ES_tradnl"/>
              </w:rPr>
            </w:pPr>
            <w:r w:rsidRPr="00D0549D">
              <w:rPr>
                <w:szCs w:val="22"/>
                <w:lang w:val="es-ES_tradnl"/>
              </w:rPr>
              <w:t>0°</w:t>
            </w:r>
          </w:p>
        </w:tc>
      </w:tr>
      <w:tr w:rsidR="00546693" w:rsidTr="00D0549D">
        <w:trPr>
          <w:jc w:val="center"/>
        </w:trPr>
        <w:tc>
          <w:tcPr>
            <w:tcW w:w="9640" w:type="dxa"/>
            <w:gridSpan w:val="2"/>
          </w:tcPr>
          <w:p w:rsidR="00546693" w:rsidRPr="00D0549D" w:rsidRDefault="00546693" w:rsidP="00D0549D">
            <w:pPr>
              <w:pStyle w:val="Tablehead"/>
              <w:rPr>
                <w:szCs w:val="22"/>
                <w:lang w:val="es-ES_tradnl"/>
              </w:rPr>
            </w:pPr>
            <w:r w:rsidRPr="00D0549D">
              <w:rPr>
                <w:szCs w:val="22"/>
                <w:lang w:val="es-ES_tradnl"/>
              </w:rPr>
              <w:t>Sistema HAPS</w:t>
            </w:r>
          </w:p>
        </w:tc>
      </w:tr>
      <w:tr w:rsidR="00546693" w:rsidTr="00D0549D">
        <w:trPr>
          <w:jc w:val="center"/>
        </w:trPr>
        <w:tc>
          <w:tcPr>
            <w:tcW w:w="6521" w:type="dxa"/>
          </w:tcPr>
          <w:p w:rsidR="00546693" w:rsidRPr="00D0549D" w:rsidRDefault="00546693" w:rsidP="00D0549D">
            <w:pPr>
              <w:pStyle w:val="Tabletext"/>
              <w:jc w:val="left"/>
              <w:rPr>
                <w:szCs w:val="22"/>
                <w:lang w:val="es-ES_tradnl"/>
              </w:rPr>
            </w:pPr>
            <w:r w:rsidRPr="00D0549D">
              <w:rPr>
                <w:color w:val="000000"/>
                <w:szCs w:val="22"/>
                <w:lang w:val="es-ES_tradnl"/>
              </w:rPr>
              <w:t xml:space="preserve">Altitud de la aeronave </w:t>
            </w:r>
            <w:r w:rsidRPr="00D0549D">
              <w:rPr>
                <w:rFonts w:hint="eastAsia"/>
                <w:color w:val="000000"/>
                <w:szCs w:val="22"/>
                <w:lang w:val="es-ES_tradnl"/>
              </w:rPr>
              <w:t>HAPS</w:t>
            </w:r>
          </w:p>
        </w:tc>
        <w:tc>
          <w:tcPr>
            <w:tcW w:w="3119" w:type="dxa"/>
            <w:vAlign w:val="center"/>
          </w:tcPr>
          <w:p w:rsidR="00546693" w:rsidRPr="00D0549D" w:rsidRDefault="00546693" w:rsidP="00D0549D">
            <w:pPr>
              <w:pStyle w:val="Tabletext"/>
              <w:jc w:val="center"/>
              <w:rPr>
                <w:szCs w:val="22"/>
                <w:lang w:val="es-ES_tradnl"/>
              </w:rPr>
            </w:pPr>
            <w:r w:rsidRPr="00D0549D">
              <w:rPr>
                <w:szCs w:val="22"/>
                <w:lang w:val="es-ES_tradnl"/>
              </w:rPr>
              <w:t>20 km</w:t>
            </w:r>
            <w:r w:rsidRPr="00D0549D">
              <w:rPr>
                <w:szCs w:val="22"/>
                <w:vertAlign w:val="superscript"/>
                <w:lang w:val="es-ES_tradnl"/>
              </w:rPr>
              <w:t>(1)</w:t>
            </w:r>
          </w:p>
        </w:tc>
      </w:tr>
      <w:tr w:rsidR="00546693" w:rsidTr="00D0549D">
        <w:trPr>
          <w:jc w:val="center"/>
        </w:trPr>
        <w:tc>
          <w:tcPr>
            <w:tcW w:w="6521" w:type="dxa"/>
          </w:tcPr>
          <w:p w:rsidR="00546693" w:rsidRPr="00D0549D" w:rsidRDefault="00546693" w:rsidP="00D0549D">
            <w:pPr>
              <w:pStyle w:val="Tabletext"/>
              <w:jc w:val="left"/>
              <w:rPr>
                <w:szCs w:val="22"/>
                <w:lang w:val="es-ES_tradnl"/>
              </w:rPr>
            </w:pPr>
            <w:r w:rsidRPr="00D0549D">
              <w:rPr>
                <w:color w:val="000000"/>
                <w:szCs w:val="22"/>
                <w:lang w:val="es-ES_tradnl"/>
              </w:rPr>
              <w:t xml:space="preserve">Ganancia de la estación </w:t>
            </w:r>
            <w:r w:rsidRPr="00D0549D">
              <w:rPr>
                <w:rFonts w:hint="eastAsia"/>
                <w:color w:val="000000"/>
                <w:szCs w:val="22"/>
                <w:lang w:val="es-ES_tradnl"/>
              </w:rPr>
              <w:t>HAPS</w:t>
            </w:r>
            <w:r w:rsidRPr="00D0549D">
              <w:rPr>
                <w:color w:val="000000"/>
                <w:szCs w:val="22"/>
                <w:lang w:val="es-ES_tradnl"/>
              </w:rPr>
              <w:t xml:space="preserve"> en el suelo</w:t>
            </w:r>
          </w:p>
        </w:tc>
        <w:tc>
          <w:tcPr>
            <w:tcW w:w="3119" w:type="dxa"/>
            <w:vAlign w:val="center"/>
          </w:tcPr>
          <w:p w:rsidR="00546693" w:rsidRPr="00D0549D" w:rsidRDefault="00546693" w:rsidP="00D0549D">
            <w:pPr>
              <w:pStyle w:val="Tabletext"/>
              <w:jc w:val="center"/>
              <w:rPr>
                <w:szCs w:val="22"/>
                <w:lang w:val="es-ES_tradnl"/>
              </w:rPr>
            </w:pPr>
            <w:r w:rsidRPr="00D0549D">
              <w:rPr>
                <w:szCs w:val="22"/>
                <w:lang w:val="es-ES_tradnl"/>
              </w:rPr>
              <w:t>35 dBi</w:t>
            </w:r>
          </w:p>
        </w:tc>
      </w:tr>
      <w:tr w:rsidR="00546693" w:rsidTr="00D0549D">
        <w:trPr>
          <w:jc w:val="center"/>
        </w:trPr>
        <w:tc>
          <w:tcPr>
            <w:tcW w:w="6521" w:type="dxa"/>
          </w:tcPr>
          <w:p w:rsidR="00546693" w:rsidRPr="00D0549D" w:rsidRDefault="00546693" w:rsidP="00D0549D">
            <w:pPr>
              <w:pStyle w:val="Tabletext"/>
              <w:jc w:val="left"/>
              <w:rPr>
                <w:szCs w:val="22"/>
                <w:lang w:val="es-ES_tradnl"/>
              </w:rPr>
            </w:pPr>
            <w:r w:rsidRPr="00D0549D">
              <w:rPr>
                <w:color w:val="000000"/>
                <w:szCs w:val="22"/>
                <w:lang w:val="es-ES_tradnl"/>
              </w:rPr>
              <w:t xml:space="preserve">Disponibilidad del sistema </w:t>
            </w:r>
            <w:r w:rsidRPr="00D0549D">
              <w:rPr>
                <w:rFonts w:hint="eastAsia"/>
                <w:color w:val="000000"/>
                <w:szCs w:val="22"/>
                <w:lang w:val="es-ES_tradnl"/>
              </w:rPr>
              <w:t>HAPS</w:t>
            </w:r>
          </w:p>
        </w:tc>
        <w:tc>
          <w:tcPr>
            <w:tcW w:w="3119" w:type="dxa"/>
            <w:vAlign w:val="center"/>
          </w:tcPr>
          <w:p w:rsidR="00546693" w:rsidRPr="00D0549D" w:rsidRDefault="00546693" w:rsidP="00D0549D">
            <w:pPr>
              <w:pStyle w:val="Tabletext"/>
              <w:jc w:val="center"/>
              <w:rPr>
                <w:szCs w:val="22"/>
                <w:lang w:val="es-ES_tradnl"/>
              </w:rPr>
            </w:pPr>
            <w:r w:rsidRPr="00D0549D">
              <w:rPr>
                <w:szCs w:val="22"/>
                <w:lang w:val="es-ES_tradnl"/>
              </w:rPr>
              <w:t>99,4%</w:t>
            </w:r>
            <w:r w:rsidRPr="00D0549D">
              <w:rPr>
                <w:szCs w:val="22"/>
                <w:vertAlign w:val="superscript"/>
                <w:lang w:val="es-ES_tradnl"/>
              </w:rPr>
              <w:t>(2)</w:t>
            </w:r>
          </w:p>
        </w:tc>
      </w:tr>
      <w:tr w:rsidR="00546693" w:rsidTr="00D0549D">
        <w:trPr>
          <w:jc w:val="center"/>
        </w:trPr>
        <w:tc>
          <w:tcPr>
            <w:tcW w:w="6521" w:type="dxa"/>
          </w:tcPr>
          <w:p w:rsidR="00546693" w:rsidRPr="00D0549D" w:rsidRDefault="00546693" w:rsidP="00D0549D">
            <w:pPr>
              <w:pStyle w:val="Tabletext"/>
              <w:jc w:val="left"/>
              <w:rPr>
                <w:szCs w:val="22"/>
                <w:lang w:val="es-ES_tradnl"/>
              </w:rPr>
            </w:pPr>
            <w:r w:rsidRPr="00D0549D">
              <w:rPr>
                <w:color w:val="000000"/>
                <w:szCs w:val="22"/>
                <w:lang w:val="es-ES_tradnl"/>
              </w:rPr>
              <w:t xml:space="preserve">Ángulo mínimo de elevación de la estación </w:t>
            </w:r>
            <w:r w:rsidRPr="00D0549D">
              <w:rPr>
                <w:rFonts w:hint="eastAsia"/>
                <w:color w:val="000000"/>
                <w:szCs w:val="22"/>
                <w:lang w:val="es-ES_tradnl"/>
              </w:rPr>
              <w:t xml:space="preserve">HAPS </w:t>
            </w:r>
            <w:r w:rsidRPr="00D0549D">
              <w:rPr>
                <w:color w:val="000000"/>
                <w:szCs w:val="22"/>
                <w:lang w:val="es-ES_tradnl"/>
              </w:rPr>
              <w:t>en el suelo</w:t>
            </w:r>
          </w:p>
        </w:tc>
        <w:tc>
          <w:tcPr>
            <w:tcW w:w="3119" w:type="dxa"/>
            <w:vAlign w:val="center"/>
          </w:tcPr>
          <w:p w:rsidR="00546693" w:rsidRPr="00D0549D" w:rsidRDefault="00546693" w:rsidP="00D0549D">
            <w:pPr>
              <w:pStyle w:val="Tabletext"/>
              <w:jc w:val="center"/>
              <w:rPr>
                <w:szCs w:val="22"/>
                <w:lang w:val="es-ES_tradnl"/>
              </w:rPr>
            </w:pPr>
            <w:r w:rsidRPr="00D0549D">
              <w:rPr>
                <w:szCs w:val="22"/>
                <w:lang w:val="es-ES_tradnl"/>
              </w:rPr>
              <w:t>20°</w:t>
            </w:r>
            <w:r w:rsidRPr="00D0549D">
              <w:rPr>
                <w:szCs w:val="22"/>
                <w:vertAlign w:val="superscript"/>
                <w:lang w:val="es-ES_tradnl"/>
              </w:rPr>
              <w:t>(3)</w:t>
            </w:r>
          </w:p>
        </w:tc>
      </w:tr>
      <w:tr w:rsidR="00546693" w:rsidTr="00D0549D">
        <w:trPr>
          <w:jc w:val="center"/>
        </w:trPr>
        <w:tc>
          <w:tcPr>
            <w:tcW w:w="6521" w:type="dxa"/>
          </w:tcPr>
          <w:p w:rsidR="00546693" w:rsidRPr="00D0549D" w:rsidRDefault="00546693" w:rsidP="00D0549D">
            <w:pPr>
              <w:pStyle w:val="Tabletext"/>
              <w:jc w:val="left"/>
              <w:rPr>
                <w:szCs w:val="22"/>
                <w:lang w:val="es-ES_tradnl"/>
              </w:rPr>
            </w:pPr>
            <w:r w:rsidRPr="00D0549D">
              <w:rPr>
                <w:color w:val="000000"/>
                <w:szCs w:val="22"/>
                <w:lang w:val="es-ES_tradnl"/>
              </w:rPr>
              <w:t xml:space="preserve">Número de estaciones terrenas </w:t>
            </w:r>
            <w:r w:rsidRPr="00D0549D">
              <w:rPr>
                <w:rFonts w:hint="eastAsia"/>
                <w:color w:val="000000"/>
                <w:szCs w:val="22"/>
                <w:lang w:val="es-ES_tradnl"/>
              </w:rPr>
              <w:t xml:space="preserve">HAPS </w:t>
            </w:r>
            <w:r w:rsidRPr="00D0549D">
              <w:rPr>
                <w:color w:val="000000"/>
                <w:szCs w:val="22"/>
                <w:lang w:val="es-ES_tradnl"/>
              </w:rPr>
              <w:t>que transmiten simultáneamente</w:t>
            </w:r>
          </w:p>
        </w:tc>
        <w:tc>
          <w:tcPr>
            <w:tcW w:w="3119" w:type="dxa"/>
            <w:vAlign w:val="center"/>
          </w:tcPr>
          <w:p w:rsidR="00546693" w:rsidRPr="00D0549D" w:rsidRDefault="00546693" w:rsidP="00D0549D">
            <w:pPr>
              <w:pStyle w:val="Tabletext"/>
              <w:jc w:val="center"/>
              <w:rPr>
                <w:szCs w:val="22"/>
                <w:lang w:val="es-ES_tradnl"/>
              </w:rPr>
            </w:pPr>
            <w:r w:rsidRPr="00D0549D">
              <w:rPr>
                <w:szCs w:val="22"/>
                <w:lang w:val="es-ES_tradnl"/>
              </w:rPr>
              <w:t>1</w:t>
            </w:r>
            <w:r w:rsidRPr="00D0549D">
              <w:rPr>
                <w:rFonts w:ascii="Tms Rmn" w:hAnsi="Tms Rmn"/>
                <w:szCs w:val="22"/>
                <w:lang w:val="es-ES_tradnl"/>
              </w:rPr>
              <w:t> </w:t>
            </w:r>
            <w:r w:rsidRPr="00D0549D">
              <w:rPr>
                <w:szCs w:val="22"/>
                <w:lang w:val="es-ES_tradnl"/>
              </w:rPr>
              <w:t>468</w:t>
            </w:r>
            <w:r w:rsidRPr="00D0549D">
              <w:rPr>
                <w:szCs w:val="22"/>
                <w:vertAlign w:val="superscript"/>
                <w:lang w:val="es-ES_tradnl"/>
              </w:rPr>
              <w:t>(4)</w:t>
            </w:r>
          </w:p>
        </w:tc>
      </w:tr>
      <w:tr w:rsidR="00546693" w:rsidTr="00D0549D">
        <w:trPr>
          <w:jc w:val="center"/>
        </w:trPr>
        <w:tc>
          <w:tcPr>
            <w:tcW w:w="6521" w:type="dxa"/>
          </w:tcPr>
          <w:p w:rsidR="00546693" w:rsidRPr="00D0549D" w:rsidRDefault="00546693" w:rsidP="00D0549D">
            <w:pPr>
              <w:pStyle w:val="Tabletext"/>
              <w:jc w:val="left"/>
              <w:rPr>
                <w:szCs w:val="22"/>
                <w:lang w:val="es-ES_tradnl"/>
              </w:rPr>
            </w:pPr>
            <w:r w:rsidRPr="00D0549D">
              <w:rPr>
                <w:color w:val="000000"/>
                <w:szCs w:val="22"/>
                <w:lang w:val="es-ES_tradnl"/>
              </w:rPr>
              <w:t xml:space="preserve">Número estimado de </w:t>
            </w:r>
            <w:r w:rsidRPr="00D0549D">
              <w:rPr>
                <w:rFonts w:hint="eastAsia"/>
                <w:color w:val="000000"/>
                <w:szCs w:val="22"/>
                <w:lang w:val="es-ES_tradnl"/>
              </w:rPr>
              <w:t>HAPS</w:t>
            </w:r>
          </w:p>
        </w:tc>
        <w:tc>
          <w:tcPr>
            <w:tcW w:w="3119" w:type="dxa"/>
            <w:vAlign w:val="center"/>
          </w:tcPr>
          <w:p w:rsidR="00546693" w:rsidRPr="00D0549D" w:rsidRDefault="00546693" w:rsidP="00D0549D">
            <w:pPr>
              <w:pStyle w:val="Tabletext"/>
              <w:jc w:val="center"/>
              <w:rPr>
                <w:szCs w:val="22"/>
                <w:lang w:val="es-ES_tradnl"/>
              </w:rPr>
            </w:pPr>
            <w:r w:rsidRPr="00D0549D">
              <w:rPr>
                <w:szCs w:val="22"/>
                <w:lang w:val="es-ES_tradnl"/>
              </w:rPr>
              <w:t>1</w:t>
            </w:r>
            <w:r w:rsidRPr="00D0549D">
              <w:rPr>
                <w:szCs w:val="22"/>
                <w:vertAlign w:val="superscript"/>
                <w:lang w:val="es-ES_tradnl"/>
              </w:rPr>
              <w:t>(5)</w:t>
            </w:r>
          </w:p>
        </w:tc>
      </w:tr>
      <w:tr w:rsidR="00546693" w:rsidTr="00D0549D">
        <w:trPr>
          <w:jc w:val="center"/>
        </w:trPr>
        <w:tc>
          <w:tcPr>
            <w:tcW w:w="6521" w:type="dxa"/>
            <w:tcBorders>
              <w:bottom w:val="single" w:sz="4" w:space="0" w:color="auto"/>
            </w:tcBorders>
          </w:tcPr>
          <w:p w:rsidR="00546693" w:rsidRPr="00D0549D" w:rsidRDefault="00546693" w:rsidP="00D0549D">
            <w:pPr>
              <w:pStyle w:val="Tabletext"/>
              <w:jc w:val="left"/>
              <w:rPr>
                <w:szCs w:val="22"/>
                <w:lang w:val="es-ES_tradnl"/>
              </w:rPr>
            </w:pPr>
            <w:r w:rsidRPr="00D0549D">
              <w:rPr>
                <w:color w:val="000000"/>
                <w:szCs w:val="22"/>
                <w:lang w:val="es-ES_tradnl"/>
              </w:rPr>
              <w:t xml:space="preserve">Diagrama de la antena de la estación </w:t>
            </w:r>
            <w:r w:rsidRPr="00D0549D">
              <w:rPr>
                <w:rFonts w:hint="eastAsia"/>
                <w:color w:val="000000"/>
                <w:szCs w:val="22"/>
                <w:lang w:val="es-ES_tradnl"/>
              </w:rPr>
              <w:t xml:space="preserve">HAPS </w:t>
            </w:r>
            <w:r w:rsidRPr="00D0549D">
              <w:rPr>
                <w:color w:val="000000"/>
                <w:szCs w:val="22"/>
                <w:lang w:val="es-ES_tradnl"/>
              </w:rPr>
              <w:t>en el suelo</w:t>
            </w:r>
          </w:p>
        </w:tc>
        <w:tc>
          <w:tcPr>
            <w:tcW w:w="3119" w:type="dxa"/>
            <w:tcBorders>
              <w:bottom w:val="single" w:sz="4" w:space="0" w:color="auto"/>
            </w:tcBorders>
            <w:vAlign w:val="center"/>
          </w:tcPr>
          <w:p w:rsidR="00546693" w:rsidRPr="00D0549D" w:rsidRDefault="00546693" w:rsidP="00D0549D">
            <w:pPr>
              <w:pStyle w:val="Tabletext"/>
              <w:jc w:val="center"/>
              <w:rPr>
                <w:szCs w:val="22"/>
                <w:lang w:val="es-ES_tradnl"/>
              </w:rPr>
            </w:pPr>
            <w:r w:rsidRPr="00D0549D">
              <w:rPr>
                <w:rFonts w:hint="eastAsia"/>
                <w:color w:val="000000"/>
                <w:szCs w:val="22"/>
                <w:lang w:val="es-ES_tradnl"/>
              </w:rPr>
              <w:t>Rec</w:t>
            </w:r>
            <w:r w:rsidRPr="00D0549D">
              <w:rPr>
                <w:color w:val="000000"/>
                <w:szCs w:val="22"/>
                <w:lang w:val="es-ES_tradnl"/>
              </w:rPr>
              <w:t>omendación</w:t>
            </w:r>
            <w:r w:rsidRPr="00D0549D">
              <w:rPr>
                <w:rFonts w:hint="eastAsia"/>
                <w:color w:val="000000"/>
                <w:szCs w:val="22"/>
                <w:lang w:val="es-ES_tradnl"/>
              </w:rPr>
              <w:t xml:space="preserve"> U</w:t>
            </w:r>
            <w:r w:rsidRPr="00D0549D">
              <w:rPr>
                <w:color w:val="000000"/>
                <w:szCs w:val="22"/>
                <w:lang w:val="es-ES_tradnl"/>
              </w:rPr>
              <w:t>IT</w:t>
            </w:r>
            <w:r w:rsidRPr="00D0549D">
              <w:rPr>
                <w:rFonts w:hint="eastAsia"/>
                <w:color w:val="000000"/>
                <w:szCs w:val="22"/>
                <w:lang w:val="es-ES_tradnl"/>
              </w:rPr>
              <w:t>-R F.1245</w:t>
            </w:r>
          </w:p>
        </w:tc>
      </w:tr>
      <w:tr w:rsidR="00546693" w:rsidTr="00D0549D">
        <w:trPr>
          <w:jc w:val="center"/>
        </w:trPr>
        <w:tc>
          <w:tcPr>
            <w:tcW w:w="6521" w:type="dxa"/>
          </w:tcPr>
          <w:p w:rsidR="00546693" w:rsidRPr="00D0549D" w:rsidRDefault="00546693" w:rsidP="00D0549D">
            <w:pPr>
              <w:pStyle w:val="Tabletext"/>
              <w:jc w:val="left"/>
              <w:rPr>
                <w:szCs w:val="22"/>
                <w:lang w:val="es-ES_tradnl"/>
              </w:rPr>
            </w:pPr>
            <w:r w:rsidRPr="00D0549D">
              <w:rPr>
                <w:color w:val="000000"/>
                <w:szCs w:val="22"/>
                <w:lang w:val="es-ES_tradnl"/>
              </w:rPr>
              <w:t>Intensidad de la lluvia para la disponibilidad del sistema</w:t>
            </w:r>
          </w:p>
        </w:tc>
        <w:tc>
          <w:tcPr>
            <w:tcW w:w="3119" w:type="dxa"/>
            <w:vAlign w:val="center"/>
          </w:tcPr>
          <w:p w:rsidR="00546693" w:rsidRPr="00D0549D" w:rsidRDefault="00546693" w:rsidP="00D0549D">
            <w:pPr>
              <w:pStyle w:val="Tabletext"/>
              <w:jc w:val="center"/>
              <w:rPr>
                <w:szCs w:val="22"/>
                <w:lang w:val="es-ES_tradnl"/>
              </w:rPr>
            </w:pPr>
            <w:r w:rsidRPr="00D0549D">
              <w:rPr>
                <w:color w:val="000000"/>
                <w:szCs w:val="22"/>
                <w:lang w:val="es-ES_tradnl"/>
              </w:rPr>
              <w:t>Moderada</w:t>
            </w:r>
            <w:r w:rsidRPr="00D0549D">
              <w:rPr>
                <w:szCs w:val="22"/>
                <w:vertAlign w:val="superscript"/>
                <w:lang w:val="es-ES_tradnl"/>
              </w:rPr>
              <w:t>(6)</w:t>
            </w:r>
          </w:p>
        </w:tc>
      </w:tr>
      <w:tr w:rsidR="00546693" w:rsidTr="00D0549D">
        <w:trPr>
          <w:jc w:val="center"/>
        </w:trPr>
        <w:tc>
          <w:tcPr>
            <w:tcW w:w="6521" w:type="dxa"/>
          </w:tcPr>
          <w:p w:rsidR="00546693" w:rsidRPr="00D0549D" w:rsidRDefault="00546693" w:rsidP="000F2EAA">
            <w:pPr>
              <w:pStyle w:val="Tabletext"/>
              <w:jc w:val="left"/>
              <w:rPr>
                <w:szCs w:val="22"/>
                <w:lang w:val="es-ES_tradnl"/>
              </w:rPr>
            </w:pPr>
            <w:r w:rsidRPr="00D0549D">
              <w:rPr>
                <w:szCs w:val="22"/>
                <w:lang w:val="es-ES_tradnl"/>
              </w:rPr>
              <w:t xml:space="preserve">Relación </w:t>
            </w:r>
            <w:r w:rsidRPr="00D0549D">
              <w:rPr>
                <w:i/>
                <w:iCs/>
                <w:szCs w:val="22"/>
                <w:lang w:val="es-ES_tradnl"/>
              </w:rPr>
              <w:t>E</w:t>
            </w:r>
            <w:r w:rsidRPr="00D0549D">
              <w:rPr>
                <w:i/>
                <w:iCs/>
                <w:szCs w:val="22"/>
                <w:vertAlign w:val="subscript"/>
                <w:lang w:val="es-ES_tradnl"/>
              </w:rPr>
              <w:t>b</w:t>
            </w:r>
            <w:r w:rsidRPr="00D0549D">
              <w:rPr>
                <w:rFonts w:ascii="Tms Rmn" w:hAnsi="Tms Rmn"/>
                <w:i/>
                <w:iCs/>
                <w:szCs w:val="22"/>
                <w:vertAlign w:val="subscript"/>
                <w:lang w:val="es-ES_tradnl"/>
              </w:rPr>
              <w:t> </w:t>
            </w:r>
            <w:r w:rsidRPr="00D0549D">
              <w:rPr>
                <w:szCs w:val="22"/>
                <w:lang w:val="es-ES_tradnl"/>
              </w:rPr>
              <w:t>/</w:t>
            </w:r>
            <w:r w:rsidRPr="00D0549D">
              <w:rPr>
                <w:i/>
                <w:iCs/>
                <w:szCs w:val="22"/>
                <w:lang w:val="es-ES_tradnl"/>
              </w:rPr>
              <w:t>N</w:t>
            </w:r>
            <w:r w:rsidRPr="00D0549D">
              <w:rPr>
                <w:szCs w:val="22"/>
                <w:vertAlign w:val="subscript"/>
                <w:lang w:val="es-ES_tradnl"/>
              </w:rPr>
              <w:t>0</w:t>
            </w:r>
            <w:r w:rsidRPr="00D0549D">
              <w:rPr>
                <w:szCs w:val="22"/>
                <w:lang w:val="es-ES_tradnl"/>
              </w:rPr>
              <w:t xml:space="preserve"> requerida para una BER </w:t>
            </w:r>
            <w:r w:rsidR="000F2EAA">
              <w:rPr>
                <w:szCs w:val="22"/>
                <w:lang w:val="es-ES_tradnl"/>
              </w:rPr>
              <w:sym w:font="Symbol" w:char="F03D"/>
            </w:r>
            <w:r w:rsidRPr="00D0549D">
              <w:rPr>
                <w:szCs w:val="22"/>
                <w:lang w:val="es-ES_tradnl"/>
              </w:rPr>
              <w:t xml:space="preserve"> 1 </w:t>
            </w:r>
            <w:r w:rsidR="00D0549D">
              <w:rPr>
                <w:szCs w:val="22"/>
                <w:lang w:val="es-ES_tradnl"/>
              </w:rPr>
              <w:sym w:font="Symbol" w:char="F0B4"/>
            </w:r>
            <w:r w:rsidRPr="00D0549D">
              <w:rPr>
                <w:szCs w:val="22"/>
                <w:lang w:val="es-ES_tradnl"/>
              </w:rPr>
              <w:t xml:space="preserve"> 10</w:t>
            </w:r>
            <w:r w:rsidRPr="00D0549D">
              <w:rPr>
                <w:szCs w:val="22"/>
                <w:vertAlign w:val="superscript"/>
              </w:rPr>
              <w:sym w:font="Symbol" w:char="F02D"/>
            </w:r>
            <w:r w:rsidRPr="00D0549D">
              <w:rPr>
                <w:szCs w:val="22"/>
                <w:vertAlign w:val="superscript"/>
                <w:lang w:val="es-ES_tradnl"/>
              </w:rPr>
              <w:t>6</w:t>
            </w:r>
          </w:p>
        </w:tc>
        <w:tc>
          <w:tcPr>
            <w:tcW w:w="3119" w:type="dxa"/>
            <w:vAlign w:val="center"/>
          </w:tcPr>
          <w:p w:rsidR="00546693" w:rsidRPr="00D0549D" w:rsidRDefault="00546693" w:rsidP="00D0549D">
            <w:pPr>
              <w:pStyle w:val="Tabletext"/>
              <w:jc w:val="center"/>
              <w:rPr>
                <w:szCs w:val="22"/>
                <w:lang w:val="es-ES_tradnl"/>
              </w:rPr>
            </w:pPr>
            <w:r w:rsidRPr="00D0549D">
              <w:rPr>
                <w:szCs w:val="22"/>
                <w:lang w:val="es-ES_tradnl"/>
              </w:rPr>
              <w:t>5,5 dB</w:t>
            </w:r>
            <w:r w:rsidRPr="00D0549D">
              <w:rPr>
                <w:szCs w:val="22"/>
                <w:vertAlign w:val="superscript"/>
                <w:lang w:val="es-ES_tradnl"/>
              </w:rPr>
              <w:t>(7)</w:t>
            </w:r>
          </w:p>
        </w:tc>
      </w:tr>
      <w:tr w:rsidR="00546693" w:rsidTr="00D0549D">
        <w:trPr>
          <w:jc w:val="center"/>
        </w:trPr>
        <w:tc>
          <w:tcPr>
            <w:tcW w:w="6521" w:type="dxa"/>
            <w:tcBorders>
              <w:bottom w:val="single" w:sz="4" w:space="0" w:color="auto"/>
            </w:tcBorders>
          </w:tcPr>
          <w:p w:rsidR="00546693" w:rsidRPr="00D0549D" w:rsidRDefault="00546693" w:rsidP="00D0549D">
            <w:pPr>
              <w:pStyle w:val="Tabletext"/>
              <w:jc w:val="left"/>
              <w:rPr>
                <w:szCs w:val="22"/>
                <w:lang w:val="es-ES_tradnl"/>
              </w:rPr>
            </w:pPr>
            <w:r w:rsidRPr="00D0549D">
              <w:rPr>
                <w:color w:val="000000"/>
                <w:szCs w:val="22"/>
                <w:lang w:val="es-ES_tradnl"/>
              </w:rPr>
              <w:t xml:space="preserve">Margen del sistema </w:t>
            </w:r>
            <w:r w:rsidRPr="00D0549D">
              <w:rPr>
                <w:rFonts w:hint="eastAsia"/>
                <w:color w:val="000000"/>
                <w:szCs w:val="22"/>
                <w:lang w:val="es-ES_tradnl"/>
              </w:rPr>
              <w:t>HAPS</w:t>
            </w:r>
            <w:r w:rsidRPr="00D0549D">
              <w:rPr>
                <w:szCs w:val="22"/>
                <w:vertAlign w:val="superscript"/>
                <w:lang w:val="es-ES_tradnl"/>
              </w:rPr>
              <w:t>(8)</w:t>
            </w:r>
          </w:p>
        </w:tc>
        <w:tc>
          <w:tcPr>
            <w:tcW w:w="3119" w:type="dxa"/>
            <w:tcBorders>
              <w:bottom w:val="single" w:sz="4" w:space="0" w:color="auto"/>
            </w:tcBorders>
            <w:vAlign w:val="center"/>
          </w:tcPr>
          <w:p w:rsidR="00546693" w:rsidRPr="00D0549D" w:rsidRDefault="00546693" w:rsidP="00D0549D">
            <w:pPr>
              <w:pStyle w:val="Tabletext"/>
              <w:jc w:val="center"/>
              <w:rPr>
                <w:szCs w:val="22"/>
                <w:lang w:val="es-ES_tradnl"/>
              </w:rPr>
            </w:pPr>
            <w:r w:rsidRPr="00D0549D">
              <w:rPr>
                <w:szCs w:val="22"/>
                <w:lang w:val="es-ES_tradnl"/>
              </w:rPr>
              <w:t>3 dB</w:t>
            </w:r>
          </w:p>
        </w:tc>
      </w:tr>
    </w:tbl>
    <w:p w:rsidR="00546693" w:rsidRDefault="00546693" w:rsidP="00546693">
      <w:pPr>
        <w:pStyle w:val="Tablefin"/>
        <w:rPr>
          <w:sz w:val="2"/>
          <w:lang w:val="es-ES_tradnl"/>
        </w:rPr>
      </w:pPr>
    </w:p>
    <w:p w:rsidR="00546693" w:rsidRDefault="00546693" w:rsidP="00D0549D">
      <w:pPr>
        <w:pStyle w:val="Tablefin"/>
      </w:pPr>
    </w:p>
    <w:tbl>
      <w:tblPr>
        <w:tblW w:w="0" w:type="auto"/>
        <w:jc w:val="center"/>
        <w:tblLayout w:type="fixed"/>
        <w:tblLook w:val="0000"/>
      </w:tblPr>
      <w:tblGrid>
        <w:gridCol w:w="9639"/>
      </w:tblGrid>
      <w:tr w:rsidR="00546693" w:rsidRPr="007D21B6" w:rsidTr="00D0549D">
        <w:trPr>
          <w:cantSplit/>
          <w:jc w:val="center"/>
        </w:trPr>
        <w:tc>
          <w:tcPr>
            <w:tcW w:w="9639" w:type="dxa"/>
          </w:tcPr>
          <w:p w:rsidR="00546693" w:rsidRPr="00FA58E7" w:rsidRDefault="00546693" w:rsidP="00D0549D">
            <w:pPr>
              <w:pStyle w:val="Tablelegend"/>
              <w:ind w:left="369" w:right="0"/>
              <w:rPr>
                <w:i/>
                <w:iCs/>
                <w:lang w:val="es-ES_tradnl"/>
              </w:rPr>
            </w:pPr>
            <w:r w:rsidRPr="00FA58E7">
              <w:rPr>
                <w:i/>
                <w:iCs/>
                <w:lang w:val="es-ES_tradnl"/>
              </w:rPr>
              <w:lastRenderedPageBreak/>
              <w:br w:type="page"/>
              <w:t>Notas relativas al Cuadro 1:</w:t>
            </w:r>
          </w:p>
          <w:p w:rsidR="00546693" w:rsidRDefault="00546693" w:rsidP="00D0549D">
            <w:pPr>
              <w:pStyle w:val="Tablelegend"/>
              <w:ind w:right="0" w:hanging="284"/>
              <w:rPr>
                <w:lang w:val="es-ES_tradnl"/>
              </w:rPr>
            </w:pPr>
            <w:r>
              <w:rPr>
                <w:vertAlign w:val="superscript"/>
                <w:lang w:val="es-ES_tradnl"/>
              </w:rPr>
              <w:t>(1)</w:t>
            </w:r>
            <w:r>
              <w:rPr>
                <w:lang w:val="es-ES_tradnl"/>
              </w:rPr>
              <w:tab/>
            </w:r>
            <w:r>
              <w:rPr>
                <w:rFonts w:hint="eastAsia"/>
                <w:lang w:val="es-ES_tradnl"/>
              </w:rPr>
              <w:t>A</w:t>
            </w:r>
            <w:r>
              <w:rPr>
                <w:lang w:val="es-ES_tradnl"/>
              </w:rPr>
              <w:t xml:space="preserve">unque el RR define el límite superior de la altitud de la </w:t>
            </w:r>
            <w:r>
              <w:rPr>
                <w:rFonts w:hint="eastAsia"/>
                <w:lang w:val="es-ES_tradnl"/>
              </w:rPr>
              <w:t xml:space="preserve">HAPS </w:t>
            </w:r>
            <w:r>
              <w:rPr>
                <w:lang w:val="es-ES_tradnl"/>
              </w:rPr>
              <w:t xml:space="preserve">en </w:t>
            </w:r>
            <w:r>
              <w:rPr>
                <w:rFonts w:hint="eastAsia"/>
                <w:lang w:val="es-ES_tradnl"/>
              </w:rPr>
              <w:t xml:space="preserve">50 km, </w:t>
            </w:r>
            <w:r>
              <w:rPr>
                <w:lang w:val="es-ES_tradnl"/>
              </w:rPr>
              <w:t xml:space="preserve">el despliegue de los sistemas </w:t>
            </w:r>
            <w:r>
              <w:rPr>
                <w:rFonts w:hint="eastAsia"/>
                <w:lang w:val="es-ES_tradnl"/>
              </w:rPr>
              <w:t xml:space="preserve">HAPS </w:t>
            </w:r>
            <w:r>
              <w:rPr>
                <w:lang w:val="es-ES_tradnl"/>
              </w:rPr>
              <w:t xml:space="preserve">a una altitud inferior de </w:t>
            </w:r>
            <w:r>
              <w:rPr>
                <w:rFonts w:hint="eastAsia"/>
                <w:lang w:val="es-ES_tradnl"/>
              </w:rPr>
              <w:t xml:space="preserve">25 km </w:t>
            </w:r>
            <w:r>
              <w:rPr>
                <w:lang w:val="es-ES_tradnl"/>
              </w:rPr>
              <w:t xml:space="preserve">sería más realista desde el punto de vista de la tecnología actual </w:t>
            </w:r>
            <w:r>
              <w:rPr>
                <w:rFonts w:hint="eastAsia"/>
                <w:lang w:val="es-ES_tradnl"/>
              </w:rPr>
              <w:t>(</w:t>
            </w:r>
            <w:r>
              <w:rPr>
                <w:lang w:val="es-ES_tradnl"/>
              </w:rPr>
              <w:t>véase el § </w:t>
            </w:r>
            <w:r>
              <w:rPr>
                <w:rFonts w:hint="eastAsia"/>
                <w:lang w:val="es-ES_tradnl"/>
              </w:rPr>
              <w:t xml:space="preserve">3 </w:t>
            </w:r>
            <w:r>
              <w:rPr>
                <w:lang w:val="es-ES_tradnl"/>
              </w:rPr>
              <w:t>de la Recomendación UIT</w:t>
            </w:r>
            <w:r>
              <w:rPr>
                <w:lang w:val="es-ES_tradnl"/>
              </w:rPr>
              <w:noBreakHyphen/>
              <w:t>R F.1569)</w:t>
            </w:r>
            <w:r>
              <w:rPr>
                <w:rFonts w:hint="eastAsia"/>
                <w:lang w:val="es-ES_tradnl"/>
              </w:rPr>
              <w:t xml:space="preserve">. </w:t>
            </w:r>
            <w:r>
              <w:rPr>
                <w:lang w:val="es-ES_tradnl"/>
              </w:rPr>
              <w:t xml:space="preserve">Si bien en este estudio se utiliza una altitud de la </w:t>
            </w:r>
            <w:r>
              <w:rPr>
                <w:rFonts w:hint="eastAsia"/>
                <w:lang w:val="es-ES_tradnl"/>
              </w:rPr>
              <w:t xml:space="preserve">HAPS </w:t>
            </w:r>
            <w:r>
              <w:rPr>
                <w:lang w:val="es-ES_tradnl"/>
              </w:rPr>
              <w:t xml:space="preserve">de </w:t>
            </w:r>
            <w:r>
              <w:rPr>
                <w:rFonts w:hint="eastAsia"/>
                <w:lang w:val="es-ES_tradnl"/>
              </w:rPr>
              <w:t xml:space="preserve">20 km </w:t>
            </w:r>
            <w:r>
              <w:rPr>
                <w:lang w:val="es-ES_tradnl"/>
              </w:rPr>
              <w:t xml:space="preserve">para el diseño del balance del enlace ascendente </w:t>
            </w:r>
            <w:r>
              <w:rPr>
                <w:rFonts w:hint="eastAsia"/>
                <w:lang w:val="es-ES_tradnl"/>
              </w:rPr>
              <w:t>HAPS</w:t>
            </w:r>
            <w:r>
              <w:rPr>
                <w:lang w:val="es-ES_tradnl"/>
              </w:rPr>
              <w:t xml:space="preserve">, este balance del enlace vale para una altitud de </w:t>
            </w:r>
            <w:r>
              <w:rPr>
                <w:rFonts w:hint="eastAsia"/>
                <w:lang w:val="es-ES_tradnl"/>
              </w:rPr>
              <w:t xml:space="preserve">25 km </w:t>
            </w:r>
            <w:r>
              <w:rPr>
                <w:lang w:val="es-ES_tradnl"/>
              </w:rPr>
              <w:t xml:space="preserve">de la HAPS sin aumentar la potencia de salida de la estación HAPS en el suelo </w:t>
            </w:r>
            <w:r>
              <w:rPr>
                <w:rFonts w:hint="eastAsia"/>
                <w:lang w:val="es-ES_tradnl"/>
              </w:rPr>
              <w:t>(</w:t>
            </w:r>
            <w:r>
              <w:rPr>
                <w:lang w:val="es-ES_tradnl"/>
              </w:rPr>
              <w:t>véase el § </w:t>
            </w:r>
            <w:r>
              <w:rPr>
                <w:rFonts w:hint="eastAsia"/>
                <w:lang w:val="es-ES_tradnl"/>
              </w:rPr>
              <w:t xml:space="preserve">3 </w:t>
            </w:r>
            <w:r>
              <w:rPr>
                <w:lang w:val="es-ES_tradnl"/>
              </w:rPr>
              <w:t>de la Recomendación UIT-R F.1569</w:t>
            </w:r>
            <w:r>
              <w:rPr>
                <w:rFonts w:hint="eastAsia"/>
                <w:lang w:val="es-ES_tradnl"/>
              </w:rPr>
              <w:t>).</w:t>
            </w:r>
          </w:p>
          <w:p w:rsidR="00546693" w:rsidRDefault="00546693" w:rsidP="00D0549D">
            <w:pPr>
              <w:pStyle w:val="Tablelegend"/>
              <w:spacing w:before="100" w:after="20"/>
              <w:ind w:right="0" w:hanging="284"/>
              <w:rPr>
                <w:lang w:val="es-ES_tradnl"/>
              </w:rPr>
            </w:pPr>
            <w:r>
              <w:rPr>
                <w:vertAlign w:val="superscript"/>
                <w:lang w:val="es-ES_tradnl"/>
              </w:rPr>
              <w:t>(2)</w:t>
            </w:r>
            <w:r>
              <w:rPr>
                <w:lang w:val="es-ES_tradnl"/>
              </w:rPr>
              <w:tab/>
            </w:r>
            <w:r>
              <w:rPr>
                <w:rFonts w:hint="eastAsia"/>
                <w:lang w:val="es-ES_tradnl"/>
              </w:rPr>
              <w:t xml:space="preserve">La </w:t>
            </w:r>
            <w:r>
              <w:rPr>
                <w:lang w:val="es-ES_tradnl"/>
              </w:rPr>
              <w:t>técnica del CAPT</w:t>
            </w:r>
            <w:r>
              <w:rPr>
                <w:rFonts w:hint="eastAsia"/>
                <w:lang w:val="es-ES_tradnl"/>
              </w:rPr>
              <w:t xml:space="preserve"> </w:t>
            </w:r>
            <w:r>
              <w:rPr>
                <w:lang w:val="es-ES_tradnl"/>
              </w:rPr>
              <w:t xml:space="preserve">puede permitir mejorar la disponibilidad sin aumentar la interferencia causada al SETS </w:t>
            </w:r>
            <w:r>
              <w:rPr>
                <w:rFonts w:hint="eastAsia"/>
                <w:lang w:val="es-ES_tradnl"/>
              </w:rPr>
              <w:t>(</w:t>
            </w:r>
            <w:r>
              <w:rPr>
                <w:lang w:val="es-ES_tradnl"/>
              </w:rPr>
              <w:t>pasivo</w:t>
            </w:r>
            <w:r>
              <w:rPr>
                <w:rFonts w:hint="eastAsia"/>
                <w:lang w:val="es-ES_tradnl"/>
              </w:rPr>
              <w:t xml:space="preserve">). </w:t>
            </w:r>
            <w:r>
              <w:rPr>
                <w:lang w:val="es-ES_tradnl"/>
              </w:rPr>
              <w:t>Tal como se muestra en el § </w:t>
            </w:r>
            <w:r>
              <w:rPr>
                <w:rFonts w:hint="eastAsia"/>
                <w:lang w:val="es-ES_tradnl"/>
              </w:rPr>
              <w:t xml:space="preserve">8 </w:t>
            </w:r>
            <w:r>
              <w:rPr>
                <w:lang w:val="es-ES_tradnl"/>
              </w:rPr>
              <w:t>de la Recomendación UIT</w:t>
            </w:r>
            <w:r>
              <w:rPr>
                <w:lang w:val="es-ES_tradnl"/>
              </w:rPr>
              <w:noBreakHyphen/>
              <w:t>R F.1569), utilizando el CAPT</w:t>
            </w:r>
            <w:r>
              <w:rPr>
                <w:rFonts w:hint="eastAsia"/>
                <w:lang w:val="es-ES_tradnl"/>
              </w:rPr>
              <w:t xml:space="preserve"> </w:t>
            </w:r>
            <w:r>
              <w:rPr>
                <w:lang w:val="es-ES_tradnl"/>
              </w:rPr>
              <w:t xml:space="preserve">en la gama de </w:t>
            </w:r>
            <w:r>
              <w:rPr>
                <w:rFonts w:hint="eastAsia"/>
                <w:lang w:val="es-ES_tradnl" w:eastAsia="ja-JP"/>
              </w:rPr>
              <w:t>12</w:t>
            </w:r>
            <w:r>
              <w:rPr>
                <w:lang w:val="es-ES_tradnl" w:eastAsia="ja-JP"/>
              </w:rPr>
              <w:t>,</w:t>
            </w:r>
            <w:r>
              <w:rPr>
                <w:rFonts w:hint="eastAsia"/>
                <w:lang w:val="es-ES_tradnl" w:eastAsia="ja-JP"/>
              </w:rPr>
              <w:t xml:space="preserve">2 </w:t>
            </w:r>
            <w:r>
              <w:rPr>
                <w:rFonts w:hint="eastAsia"/>
                <w:lang w:val="es-ES_tradnl"/>
              </w:rPr>
              <w:t xml:space="preserve">dB </w:t>
            </w:r>
            <w:r>
              <w:rPr>
                <w:lang w:val="es-ES_tradnl"/>
              </w:rPr>
              <w:t xml:space="preserve">se puede lograr una disponibilidad del </w:t>
            </w:r>
            <w:r>
              <w:rPr>
                <w:rFonts w:hint="eastAsia"/>
                <w:lang w:val="es-ES_tradnl"/>
              </w:rPr>
              <w:t>99</w:t>
            </w:r>
            <w:r>
              <w:rPr>
                <w:lang w:val="es-ES_tradnl"/>
              </w:rPr>
              <w:t>,</w:t>
            </w:r>
            <w:r>
              <w:rPr>
                <w:rFonts w:hint="eastAsia"/>
                <w:lang w:val="es-ES_tradnl"/>
              </w:rPr>
              <w:t>8%.</w:t>
            </w:r>
          </w:p>
          <w:p w:rsidR="00546693" w:rsidRDefault="00546693" w:rsidP="00D0549D">
            <w:pPr>
              <w:pStyle w:val="Tablelegend"/>
              <w:spacing w:before="100" w:after="20"/>
              <w:ind w:right="0" w:hanging="284"/>
              <w:rPr>
                <w:lang w:val="es-ES_tradnl"/>
              </w:rPr>
            </w:pPr>
            <w:r>
              <w:rPr>
                <w:vertAlign w:val="superscript"/>
                <w:lang w:val="es-ES_tradnl"/>
              </w:rPr>
              <w:t>(3)</w:t>
            </w:r>
            <w:r>
              <w:rPr>
                <w:lang w:val="es-ES_tradnl"/>
              </w:rPr>
              <w:tab/>
            </w:r>
            <w:r>
              <w:rPr>
                <w:rFonts w:hint="eastAsia"/>
                <w:lang w:val="es-ES_tradnl"/>
              </w:rPr>
              <w:t xml:space="preserve">En </w:t>
            </w:r>
            <w:r>
              <w:rPr>
                <w:lang w:val="es-ES_tradnl"/>
              </w:rPr>
              <w:t>este estudio</w:t>
            </w:r>
            <w:r>
              <w:rPr>
                <w:rFonts w:hint="eastAsia"/>
                <w:lang w:val="es-ES_tradnl"/>
              </w:rPr>
              <w:t xml:space="preserve">, </w:t>
            </w:r>
            <w:r>
              <w:rPr>
                <w:lang w:val="es-ES_tradnl"/>
              </w:rPr>
              <w:t xml:space="preserve">se utiliza el valor de </w:t>
            </w:r>
            <w:r>
              <w:rPr>
                <w:rFonts w:hint="eastAsia"/>
                <w:lang w:val="es-ES_tradnl"/>
              </w:rPr>
              <w:t>20</w:t>
            </w:r>
            <w:r>
              <w:rPr>
                <w:lang w:val="es-ES_tradnl"/>
              </w:rPr>
              <w:t>°</w:t>
            </w:r>
            <w:r>
              <w:rPr>
                <w:rFonts w:hint="eastAsia"/>
                <w:lang w:val="es-ES_tradnl"/>
              </w:rPr>
              <w:t xml:space="preserve"> </w:t>
            </w:r>
            <w:r>
              <w:rPr>
                <w:lang w:val="es-ES_tradnl"/>
              </w:rPr>
              <w:t>para el ángulo de elevación mínimo de funcionamiento como valor típico</w:t>
            </w:r>
            <w:r>
              <w:rPr>
                <w:rFonts w:hint="eastAsia"/>
                <w:lang w:val="es-ES_tradnl"/>
              </w:rPr>
              <w:t xml:space="preserve">. </w:t>
            </w:r>
            <w:r>
              <w:rPr>
                <w:lang w:val="es-ES_tradnl"/>
              </w:rPr>
              <w:t xml:space="preserve">Para determinar el ángulo mínimo de elevación operacional del sistema </w:t>
            </w:r>
            <w:r>
              <w:rPr>
                <w:rFonts w:hint="eastAsia"/>
                <w:lang w:val="es-ES_tradnl"/>
              </w:rPr>
              <w:t xml:space="preserve">HAPS </w:t>
            </w:r>
            <w:r>
              <w:rPr>
                <w:lang w:val="es-ES_tradnl"/>
              </w:rPr>
              <w:t>se requieren nuevos estudios, teniendo en cuenta la compartición con otros servicios co-primarios, la introducción de algunas técnicas de reducción de la interferencia, por ejemplo,</w:t>
            </w:r>
            <w:r>
              <w:rPr>
                <w:rFonts w:hint="eastAsia"/>
                <w:lang w:val="es-ES_tradnl"/>
              </w:rPr>
              <w:t xml:space="preserve"> </w:t>
            </w:r>
            <w:r>
              <w:rPr>
                <w:lang w:val="es-ES_tradnl"/>
              </w:rPr>
              <w:t>la de CAPT, etc. (véanse los §</w:t>
            </w:r>
            <w:r>
              <w:rPr>
                <w:rFonts w:hint="eastAsia"/>
                <w:lang w:val="es-ES_tradnl"/>
              </w:rPr>
              <w:t xml:space="preserve"> 4 </w:t>
            </w:r>
            <w:r>
              <w:rPr>
                <w:lang w:val="es-ES_tradnl"/>
              </w:rPr>
              <w:t>y</w:t>
            </w:r>
            <w:r>
              <w:rPr>
                <w:rFonts w:hint="eastAsia"/>
                <w:lang w:val="es-ES_tradnl"/>
              </w:rPr>
              <w:t xml:space="preserve"> 7 </w:t>
            </w:r>
            <w:r>
              <w:rPr>
                <w:lang w:val="es-ES_tradnl"/>
              </w:rPr>
              <w:t>de la Recomendación UIT-R F.1569).</w:t>
            </w:r>
          </w:p>
          <w:p w:rsidR="00546693" w:rsidRDefault="00546693" w:rsidP="0015147F">
            <w:pPr>
              <w:pStyle w:val="Tablelegend"/>
              <w:spacing w:before="100" w:after="20"/>
              <w:ind w:right="0" w:hanging="284"/>
              <w:rPr>
                <w:lang w:val="es-ES_tradnl"/>
              </w:rPr>
            </w:pPr>
            <w:r>
              <w:rPr>
                <w:vertAlign w:val="superscript"/>
                <w:lang w:val="es-ES_tradnl"/>
              </w:rPr>
              <w:t>(4)</w:t>
            </w:r>
            <w:r>
              <w:rPr>
                <w:lang w:val="es-ES_tradnl"/>
              </w:rPr>
              <w:tab/>
              <w:t xml:space="preserve">El número de estaciones </w:t>
            </w:r>
            <w:r>
              <w:rPr>
                <w:rFonts w:hint="eastAsia"/>
                <w:lang w:val="es-ES_tradnl"/>
              </w:rPr>
              <w:t xml:space="preserve">HAPS </w:t>
            </w:r>
            <w:r>
              <w:rPr>
                <w:lang w:val="es-ES_tradnl"/>
              </w:rPr>
              <w:t xml:space="preserve">en el suelo en la zona iluminada por una </w:t>
            </w:r>
            <w:r>
              <w:rPr>
                <w:rFonts w:hint="eastAsia"/>
                <w:lang w:val="es-ES_tradnl"/>
              </w:rPr>
              <w:t xml:space="preserve">HAPS </w:t>
            </w:r>
            <w:r>
              <w:rPr>
                <w:lang w:val="es-ES_tradnl"/>
              </w:rPr>
              <w:t xml:space="preserve">se limita a </w:t>
            </w:r>
            <w:r>
              <w:rPr>
                <w:rFonts w:hint="eastAsia"/>
                <w:lang w:val="es-ES_tradnl"/>
              </w:rPr>
              <w:t>1</w:t>
            </w:r>
            <w:r>
              <w:rPr>
                <w:rFonts w:ascii="Tms Rmn" w:hAnsi="Tms Rmn" w:hint="eastAsia"/>
                <w:sz w:val="12"/>
                <w:lang w:val="es-ES_tradnl"/>
              </w:rPr>
              <w:t> </w:t>
            </w:r>
            <w:r>
              <w:rPr>
                <w:rFonts w:hint="eastAsia"/>
                <w:lang w:val="es-ES_tradnl"/>
              </w:rPr>
              <w:t>468 (</w:t>
            </w:r>
            <w:r>
              <w:rPr>
                <w:lang w:val="es-ES_tradnl"/>
              </w:rPr>
              <w:t>véase el §</w:t>
            </w:r>
            <w:r w:rsidR="0015147F">
              <w:rPr>
                <w:lang w:val="es-ES_tradnl"/>
              </w:rPr>
              <w:t> </w:t>
            </w:r>
            <w:r>
              <w:rPr>
                <w:rFonts w:hint="eastAsia"/>
                <w:lang w:val="es-ES_tradnl"/>
              </w:rPr>
              <w:t>1</w:t>
            </w:r>
            <w:r>
              <w:rPr>
                <w:rFonts w:hint="eastAsia"/>
                <w:lang w:val="es-ES_tradnl" w:eastAsia="ja-JP"/>
              </w:rPr>
              <w:t>0</w:t>
            </w:r>
            <w:r>
              <w:rPr>
                <w:rFonts w:hint="eastAsia"/>
                <w:lang w:val="es-ES_tradnl"/>
              </w:rPr>
              <w:t xml:space="preserve"> </w:t>
            </w:r>
            <w:r>
              <w:rPr>
                <w:lang w:val="es-ES_tradnl"/>
              </w:rPr>
              <w:t>de la Recomendación UIT-R F.1569),</w:t>
            </w:r>
            <w:r>
              <w:rPr>
                <w:rFonts w:hint="eastAsia"/>
                <w:lang w:val="es-ES_tradnl"/>
              </w:rPr>
              <w:t xml:space="preserve"> </w:t>
            </w:r>
            <w:r>
              <w:rPr>
                <w:lang w:val="es-ES_tradnl"/>
              </w:rPr>
              <w:t xml:space="preserve">suponiendo que se dispone de la banda de frecuencias de </w:t>
            </w:r>
            <w:r>
              <w:rPr>
                <w:rFonts w:hint="eastAsia"/>
                <w:lang w:val="es-ES_tradnl"/>
              </w:rPr>
              <w:t>300</w:t>
            </w:r>
            <w:r w:rsidR="0015147F">
              <w:rPr>
                <w:lang w:val="es-ES_tradnl"/>
              </w:rPr>
              <w:t> </w:t>
            </w:r>
            <w:r>
              <w:rPr>
                <w:rFonts w:hint="eastAsia"/>
                <w:lang w:val="es-ES_tradnl"/>
              </w:rPr>
              <w:t xml:space="preserve">MHz, </w:t>
            </w:r>
            <w:r>
              <w:rPr>
                <w:lang w:val="es-ES_tradnl"/>
              </w:rPr>
              <w:t>que se utiliza un factor de reutilización de frecuencias de </w:t>
            </w:r>
            <w:r>
              <w:rPr>
                <w:rFonts w:hint="eastAsia"/>
                <w:lang w:val="es-ES_tradnl"/>
              </w:rPr>
              <w:t xml:space="preserve">4, </w:t>
            </w:r>
            <w:r>
              <w:rPr>
                <w:lang w:val="es-ES_tradnl"/>
              </w:rPr>
              <w:t xml:space="preserve">que la anchura de banda de la señal es de </w:t>
            </w:r>
            <w:r>
              <w:rPr>
                <w:rFonts w:hint="eastAsia"/>
                <w:lang w:val="es-ES_tradnl"/>
              </w:rPr>
              <w:t>20</w:t>
            </w:r>
            <w:r>
              <w:rPr>
                <w:lang w:val="es-ES_tradnl"/>
              </w:rPr>
              <w:t xml:space="preserve"> </w:t>
            </w:r>
            <w:r>
              <w:rPr>
                <w:rFonts w:hint="eastAsia"/>
                <w:lang w:val="es-ES_tradnl"/>
              </w:rPr>
              <w:t xml:space="preserve">MHz, </w:t>
            </w:r>
            <w:r>
              <w:rPr>
                <w:lang w:val="es-ES_tradnl"/>
              </w:rPr>
              <w:t xml:space="preserve">y que el número de haces puntuales es de </w:t>
            </w:r>
            <w:r>
              <w:rPr>
                <w:rFonts w:hint="eastAsia"/>
                <w:lang w:val="es-ES_tradnl"/>
              </w:rPr>
              <w:t>367.</w:t>
            </w:r>
          </w:p>
          <w:p w:rsidR="00546693" w:rsidRDefault="00546693" w:rsidP="00D0549D">
            <w:pPr>
              <w:pStyle w:val="Tablelegend"/>
              <w:spacing w:before="100" w:after="20"/>
              <w:ind w:right="0" w:hanging="284"/>
              <w:rPr>
                <w:lang w:val="es-ES_tradnl"/>
              </w:rPr>
            </w:pPr>
            <w:r>
              <w:rPr>
                <w:vertAlign w:val="superscript"/>
                <w:lang w:val="es-ES_tradnl"/>
              </w:rPr>
              <w:t>(5)</w:t>
            </w:r>
            <w:r>
              <w:rPr>
                <w:lang w:val="es-ES_tradnl"/>
              </w:rPr>
              <w:tab/>
              <w:t xml:space="preserve">La interferencia principal procede de las estaciones </w:t>
            </w:r>
            <w:r>
              <w:rPr>
                <w:rFonts w:hint="eastAsia"/>
                <w:lang w:val="es-ES_tradnl"/>
              </w:rPr>
              <w:t xml:space="preserve">HAPS </w:t>
            </w:r>
            <w:r>
              <w:rPr>
                <w:lang w:val="es-ES_tradnl"/>
              </w:rPr>
              <w:t>situadas en el suelo en la zona limitada próxima a la dirección del haz principal del sensor pasivo</w:t>
            </w:r>
            <w:r>
              <w:rPr>
                <w:rFonts w:hint="eastAsia"/>
                <w:lang w:val="es-ES_tradnl"/>
              </w:rPr>
              <w:t xml:space="preserve">. </w:t>
            </w:r>
            <w:r>
              <w:rPr>
                <w:lang w:val="es-ES_tradnl"/>
              </w:rPr>
              <w:t xml:space="preserve">Por tanto, la evaluación de la interferencia procedente de las estaciones </w:t>
            </w:r>
            <w:r>
              <w:rPr>
                <w:rFonts w:hint="eastAsia"/>
                <w:lang w:val="es-ES_tradnl"/>
              </w:rPr>
              <w:t xml:space="preserve">HAPS </w:t>
            </w:r>
            <w:r>
              <w:rPr>
                <w:lang w:val="es-ES_tradnl"/>
              </w:rPr>
              <w:t>situadas en el suelo iluminada por una HAPS dará casi los mismos resultados que los de la evaluación de la interferencia para el modelo compuesto de múltiples aeronaves HAPS</w:t>
            </w:r>
            <w:r>
              <w:rPr>
                <w:rFonts w:hint="eastAsia"/>
                <w:lang w:val="es-ES_tradnl"/>
              </w:rPr>
              <w:t>.</w:t>
            </w:r>
          </w:p>
          <w:p w:rsidR="00546693" w:rsidRDefault="00546693" w:rsidP="00D0549D">
            <w:pPr>
              <w:pStyle w:val="Tablelegend"/>
              <w:spacing w:before="100" w:after="20"/>
              <w:ind w:right="0" w:hanging="284"/>
              <w:rPr>
                <w:lang w:val="es-ES_tradnl"/>
              </w:rPr>
            </w:pPr>
            <w:r>
              <w:rPr>
                <w:vertAlign w:val="superscript"/>
                <w:lang w:val="es-ES_tradnl"/>
              </w:rPr>
              <w:t>(6)</w:t>
            </w:r>
            <w:r>
              <w:rPr>
                <w:lang w:val="es-ES_tradnl"/>
              </w:rPr>
              <w:tab/>
              <w:t>E</w:t>
            </w:r>
            <w:r>
              <w:rPr>
                <w:rFonts w:hint="eastAsia"/>
                <w:lang w:val="es-ES_tradnl"/>
              </w:rPr>
              <w:t xml:space="preserve">n </w:t>
            </w:r>
            <w:r>
              <w:rPr>
                <w:lang w:val="es-ES_tradnl"/>
              </w:rPr>
              <w:t xml:space="preserve">este estudio, se utiliza la intensidad de lluvia de </w:t>
            </w:r>
            <w:r>
              <w:rPr>
                <w:rFonts w:hint="eastAsia"/>
                <w:lang w:val="es-ES_tradnl"/>
              </w:rPr>
              <w:t>Tok</w:t>
            </w:r>
            <w:r>
              <w:rPr>
                <w:lang w:val="es-ES_tradnl"/>
              </w:rPr>
              <w:t>i</w:t>
            </w:r>
            <w:r>
              <w:rPr>
                <w:rFonts w:hint="eastAsia"/>
                <w:lang w:val="es-ES_tradnl"/>
              </w:rPr>
              <w:t>o (</w:t>
            </w:r>
            <w:r>
              <w:rPr>
                <w:lang w:val="es-ES_tradnl"/>
              </w:rPr>
              <w:t>zona climática de pluviosidad</w:t>
            </w:r>
            <w:r>
              <w:rPr>
                <w:rFonts w:hint="eastAsia"/>
                <w:lang w:val="es-ES_tradnl"/>
              </w:rPr>
              <w:t xml:space="preserve">: M </w:t>
            </w:r>
            <w:r>
              <w:rPr>
                <w:lang w:val="es-ES_tradnl"/>
              </w:rPr>
              <w:t>de la Recomendación UIT</w:t>
            </w:r>
            <w:r>
              <w:rPr>
                <w:lang w:val="es-ES_tradnl"/>
              </w:rPr>
              <w:noBreakHyphen/>
            </w:r>
            <w:r>
              <w:rPr>
                <w:rFonts w:hint="eastAsia"/>
                <w:lang w:val="es-ES_tradnl"/>
              </w:rPr>
              <w:t>R</w:t>
            </w:r>
            <w:r>
              <w:rPr>
                <w:lang w:val="es-ES_tradnl"/>
              </w:rPr>
              <w:t xml:space="preserve"> </w:t>
            </w:r>
            <w:r>
              <w:rPr>
                <w:rFonts w:hint="eastAsia"/>
                <w:lang w:val="es-ES_tradnl"/>
              </w:rPr>
              <w:t>P.</w:t>
            </w:r>
            <w:r>
              <w:rPr>
                <w:rFonts w:hint="eastAsia"/>
                <w:lang w:val="es-ES_tradnl" w:eastAsia="ja-JP"/>
              </w:rPr>
              <w:t>837</w:t>
            </w:r>
            <w:r>
              <w:rPr>
                <w:rFonts w:hint="eastAsia"/>
                <w:lang w:val="es-ES_tradnl"/>
              </w:rPr>
              <w:t xml:space="preserve">) </w:t>
            </w:r>
            <w:r>
              <w:rPr>
                <w:lang w:val="es-ES_tradnl"/>
              </w:rPr>
              <w:t>para el diseño del balance del enlace, como ejemplo de zona pluviométrica moderada. En el caso de condiciones de intensidad de lluvia intensa (por ejemplo,</w:t>
            </w:r>
            <w:r>
              <w:rPr>
                <w:rFonts w:hint="eastAsia"/>
                <w:lang w:val="es-ES_tradnl"/>
              </w:rPr>
              <w:t xml:space="preserve"> </w:t>
            </w:r>
            <w:r>
              <w:rPr>
                <w:lang w:val="es-ES_tradnl"/>
              </w:rPr>
              <w:t>zona pluviométrica</w:t>
            </w:r>
            <w:r>
              <w:rPr>
                <w:rFonts w:hint="eastAsia"/>
                <w:lang w:val="es-ES_tradnl"/>
              </w:rPr>
              <w:t xml:space="preserve">: P </w:t>
            </w:r>
            <w:r>
              <w:rPr>
                <w:lang w:val="es-ES_tradnl"/>
              </w:rPr>
              <w:t>de la Recomendación UIT-</w:t>
            </w:r>
            <w:r>
              <w:rPr>
                <w:rFonts w:hint="eastAsia"/>
                <w:lang w:val="es-ES_tradnl"/>
              </w:rPr>
              <w:t>R</w:t>
            </w:r>
            <w:r>
              <w:rPr>
                <w:lang w:val="es-ES_tradnl"/>
              </w:rPr>
              <w:t xml:space="preserve"> </w:t>
            </w:r>
            <w:r>
              <w:rPr>
                <w:rFonts w:hint="eastAsia"/>
                <w:lang w:val="es-ES_tradnl"/>
              </w:rPr>
              <w:t>P.</w:t>
            </w:r>
            <w:r>
              <w:rPr>
                <w:rFonts w:hint="eastAsia"/>
                <w:lang w:val="es-ES_tradnl" w:eastAsia="ja-JP"/>
              </w:rPr>
              <w:t>837</w:t>
            </w:r>
            <w:r>
              <w:rPr>
                <w:rFonts w:hint="eastAsia"/>
                <w:lang w:val="es-ES_tradnl"/>
              </w:rPr>
              <w:t xml:space="preserve">), </w:t>
            </w:r>
            <w:r>
              <w:rPr>
                <w:lang w:val="es-ES_tradnl"/>
              </w:rPr>
              <w:t>se necesitará la aplicación del CAPT</w:t>
            </w:r>
            <w:r>
              <w:rPr>
                <w:rFonts w:hint="eastAsia"/>
                <w:lang w:val="es-ES_tradnl"/>
              </w:rPr>
              <w:t xml:space="preserve"> </w:t>
            </w:r>
            <w:r>
              <w:rPr>
                <w:lang w:val="es-ES_tradnl"/>
              </w:rPr>
              <w:t>(véase el § </w:t>
            </w:r>
            <w:r>
              <w:rPr>
                <w:rFonts w:hint="eastAsia"/>
                <w:lang w:val="es-ES_tradnl"/>
              </w:rPr>
              <w:t xml:space="preserve">8 </w:t>
            </w:r>
            <w:r>
              <w:rPr>
                <w:lang w:val="es-ES_tradnl"/>
              </w:rPr>
              <w:t>de la Recomendación UIT-R F.1569</w:t>
            </w:r>
            <w:r>
              <w:rPr>
                <w:rFonts w:hint="eastAsia"/>
                <w:lang w:val="es-ES_tradnl"/>
              </w:rPr>
              <w:t>).</w:t>
            </w:r>
          </w:p>
          <w:p w:rsidR="00546693" w:rsidRDefault="00546693" w:rsidP="00D0549D">
            <w:pPr>
              <w:pStyle w:val="Tablelegend"/>
              <w:spacing w:before="100" w:after="20" w:line="240" w:lineRule="exact"/>
              <w:ind w:right="0" w:hanging="284"/>
              <w:rPr>
                <w:lang w:val="es-ES_tradnl"/>
              </w:rPr>
            </w:pPr>
            <w:r>
              <w:rPr>
                <w:vertAlign w:val="superscript"/>
                <w:lang w:val="es-ES_tradnl"/>
              </w:rPr>
              <w:t>(7)</w:t>
            </w:r>
            <w:r>
              <w:rPr>
                <w:lang w:val="es-ES_tradnl"/>
              </w:rPr>
              <w:tab/>
              <w:t xml:space="preserve">En el actual sistema de comunicación es indispensable la técnica de codificación. Por lo tanto, es razonable una </w:t>
            </w:r>
            <w:r>
              <w:rPr>
                <w:i/>
                <w:iCs/>
                <w:lang w:val="es-ES_tradnl"/>
              </w:rPr>
              <w:t>E</w:t>
            </w:r>
            <w:r>
              <w:rPr>
                <w:i/>
                <w:iCs/>
                <w:vertAlign w:val="subscript"/>
                <w:lang w:val="es-ES_tradnl"/>
              </w:rPr>
              <w:t>b</w:t>
            </w:r>
            <w:r>
              <w:rPr>
                <w:rFonts w:ascii="Tms Rmn" w:hAnsi="Tms Rmn"/>
                <w:i/>
                <w:iCs/>
                <w:sz w:val="12"/>
                <w:vertAlign w:val="subscript"/>
                <w:lang w:val="es-ES_tradnl"/>
              </w:rPr>
              <w:t> </w:t>
            </w:r>
            <w:r>
              <w:rPr>
                <w:lang w:val="es-ES_tradnl"/>
              </w:rPr>
              <w:t>/</w:t>
            </w:r>
            <w:r>
              <w:rPr>
                <w:i/>
                <w:iCs/>
                <w:lang w:val="es-ES_tradnl"/>
              </w:rPr>
              <w:t>N</w:t>
            </w:r>
            <w:r>
              <w:rPr>
                <w:vertAlign w:val="subscript"/>
                <w:lang w:val="es-ES_tradnl"/>
              </w:rPr>
              <w:t>0</w:t>
            </w:r>
            <w:r>
              <w:rPr>
                <w:lang w:val="es-ES_tradnl"/>
              </w:rPr>
              <w:t xml:space="preserve"> requerida de unos </w:t>
            </w:r>
            <w:r>
              <w:rPr>
                <w:rFonts w:hint="eastAsia"/>
                <w:lang w:val="es-ES_tradnl"/>
              </w:rPr>
              <w:t xml:space="preserve">5 dB </w:t>
            </w:r>
            <w:r>
              <w:rPr>
                <w:lang w:val="es-ES_tradnl"/>
              </w:rPr>
              <w:t xml:space="preserve">para una BER </w:t>
            </w:r>
            <w:r>
              <w:rPr>
                <w:rFonts w:ascii="Symbol" w:hAnsi="Symbol"/>
                <w:lang w:val="fr-CH"/>
              </w:rPr>
              <w:t></w:t>
            </w:r>
            <w:r>
              <w:rPr>
                <w:lang w:val="es-ES_tradnl"/>
              </w:rPr>
              <w:t xml:space="preserve"> 1 </w:t>
            </w:r>
            <w:r w:rsidR="00D0549D">
              <w:rPr>
                <w:lang w:val="es-ES_tradnl"/>
              </w:rPr>
              <w:sym w:font="Symbol" w:char="F0B4"/>
            </w:r>
            <w:r>
              <w:rPr>
                <w:lang w:val="es-ES_tradnl"/>
              </w:rPr>
              <w:t xml:space="preserve"> 10</w:t>
            </w:r>
            <w:r>
              <w:rPr>
                <w:vertAlign w:val="superscript"/>
                <w:lang w:val="es-ES_tradnl"/>
              </w:rPr>
              <w:t>–6</w:t>
            </w:r>
            <w:r>
              <w:rPr>
                <w:lang w:val="es-ES_tradnl"/>
              </w:rPr>
              <w:t>.</w:t>
            </w:r>
          </w:p>
          <w:p w:rsidR="00546693" w:rsidRDefault="00546693" w:rsidP="00D0549D">
            <w:pPr>
              <w:pStyle w:val="Tablelegend"/>
              <w:spacing w:before="100" w:after="20"/>
              <w:ind w:right="0" w:hanging="284"/>
              <w:rPr>
                <w:lang w:val="es-ES_tradnl"/>
              </w:rPr>
            </w:pPr>
            <w:r>
              <w:rPr>
                <w:vertAlign w:val="superscript"/>
                <w:lang w:val="es-ES_tradnl"/>
              </w:rPr>
              <w:t>(8)</w:t>
            </w:r>
            <w:r>
              <w:rPr>
                <w:lang w:val="es-ES_tradnl"/>
              </w:rPr>
              <w:tab/>
              <w:t>Son necesarios nuevos estudios para determinar el reparto de la interferencia en el SETS entre la HAPS del servicio fijo y otros sistemas.</w:t>
            </w:r>
          </w:p>
        </w:tc>
      </w:tr>
    </w:tbl>
    <w:p w:rsidR="00546693" w:rsidRPr="00FA58E7" w:rsidRDefault="00546693" w:rsidP="00546693">
      <w:pPr>
        <w:pStyle w:val="Tablefin"/>
        <w:rPr>
          <w:lang w:val="es-ES_tradnl"/>
        </w:rPr>
      </w:pPr>
    </w:p>
    <w:p w:rsidR="00546693" w:rsidRPr="00FA58E7" w:rsidRDefault="00546693" w:rsidP="00D0549D">
      <w:pPr>
        <w:rPr>
          <w:lang w:val="es-ES_tradnl"/>
        </w:rPr>
      </w:pPr>
    </w:p>
    <w:p w:rsidR="00D0549D" w:rsidRPr="00FA58E7" w:rsidRDefault="00D0549D" w:rsidP="00D0549D">
      <w:pPr>
        <w:rPr>
          <w:lang w:val="es-ES_tradnl"/>
        </w:rPr>
      </w:pPr>
    </w:p>
    <w:p w:rsidR="00546693" w:rsidRDefault="00546693" w:rsidP="00D0549D">
      <w:pPr>
        <w:rPr>
          <w:lang w:val="es-ES_tradnl"/>
        </w:rPr>
      </w:pPr>
      <w:r>
        <w:rPr>
          <w:lang w:val="es-ES_tradnl"/>
        </w:rPr>
        <w:t xml:space="preserve">La huella iluminadora por un haz puntual se considera como una célula de la red </w:t>
      </w:r>
      <w:r>
        <w:rPr>
          <w:rFonts w:hint="eastAsia"/>
          <w:lang w:val="es-ES_tradnl"/>
        </w:rPr>
        <w:t>HAPS</w:t>
      </w:r>
      <w:r>
        <w:rPr>
          <w:lang w:val="es-ES_tradnl"/>
        </w:rPr>
        <w:t>. En este estudio se adopta un factor de reutilización de frecuencias de cuatro, lo que significa que la banda de frecuencias de</w:t>
      </w:r>
      <w:r>
        <w:rPr>
          <w:rFonts w:hint="eastAsia"/>
          <w:lang w:val="es-ES_tradnl"/>
        </w:rPr>
        <w:t xml:space="preserve"> 300 MHz (31-31</w:t>
      </w:r>
      <w:r>
        <w:rPr>
          <w:lang w:val="es-ES_tradnl"/>
        </w:rPr>
        <w:t>,</w:t>
      </w:r>
      <w:r>
        <w:rPr>
          <w:rFonts w:hint="eastAsia"/>
          <w:lang w:val="es-ES_tradnl"/>
        </w:rPr>
        <w:t xml:space="preserve">3 GHz) </w:t>
      </w:r>
      <w:r>
        <w:rPr>
          <w:lang w:val="es-ES_tradnl"/>
        </w:rPr>
        <w:t xml:space="preserve">disponible para el enlace ascendente </w:t>
      </w:r>
      <w:r>
        <w:rPr>
          <w:rFonts w:hint="eastAsia"/>
          <w:lang w:val="es-ES_tradnl"/>
        </w:rPr>
        <w:t xml:space="preserve">HAPS </w:t>
      </w:r>
      <w:r>
        <w:rPr>
          <w:lang w:val="es-ES_tradnl"/>
        </w:rPr>
        <w:t xml:space="preserve">se divide en cuatro partes iguales y la subbanda de </w:t>
      </w:r>
      <w:r>
        <w:rPr>
          <w:rFonts w:hint="eastAsia"/>
          <w:lang w:val="es-ES_tradnl"/>
        </w:rPr>
        <w:t xml:space="preserve">75 MHz </w:t>
      </w:r>
      <w:r>
        <w:rPr>
          <w:lang w:val="es-ES_tradnl"/>
        </w:rPr>
        <w:t>se utiliza repetidamente para la transmisión del enlace ascendente cada cuatro células. En este estudio, se supone la aplicación del control automático de potencia de transmisión (CAPT)</w:t>
      </w:r>
      <w:r>
        <w:rPr>
          <w:rFonts w:hint="eastAsia"/>
          <w:lang w:val="es-ES_tradnl"/>
        </w:rPr>
        <w:t xml:space="preserve"> </w:t>
      </w:r>
      <w:r>
        <w:rPr>
          <w:lang w:val="es-ES_tradnl"/>
        </w:rPr>
        <w:t xml:space="preserve">con pasos variables de </w:t>
      </w:r>
      <w:r>
        <w:rPr>
          <w:rFonts w:hint="eastAsia"/>
          <w:lang w:val="es-ES_tradnl"/>
        </w:rPr>
        <w:t xml:space="preserve">6 dB </w:t>
      </w:r>
      <w:r>
        <w:rPr>
          <w:lang w:val="es-ES_tradnl"/>
        </w:rPr>
        <w:t xml:space="preserve">en la estación </w:t>
      </w:r>
      <w:r>
        <w:rPr>
          <w:rFonts w:hint="eastAsia"/>
          <w:lang w:val="es-ES_tradnl"/>
        </w:rPr>
        <w:t xml:space="preserve">HAPS </w:t>
      </w:r>
      <w:r>
        <w:rPr>
          <w:lang w:val="es-ES_tradnl"/>
        </w:rPr>
        <w:t xml:space="preserve">del suelo. El nivel de emisiones no deseadas procedentes de la </w:t>
      </w:r>
      <w:r>
        <w:rPr>
          <w:rFonts w:hint="eastAsia"/>
          <w:lang w:val="es-ES_tradnl"/>
        </w:rPr>
        <w:t xml:space="preserve">HAPS </w:t>
      </w:r>
      <w:r>
        <w:rPr>
          <w:lang w:val="es-ES_tradnl"/>
        </w:rPr>
        <w:t xml:space="preserve">utilizado en este estudio es de </w:t>
      </w:r>
      <w:r w:rsidR="00D0549D">
        <w:rPr>
          <w:lang w:val="es-ES_tradnl"/>
        </w:rPr>
        <w:t>–</w:t>
      </w:r>
      <w:r>
        <w:rPr>
          <w:rFonts w:hint="eastAsia"/>
          <w:lang w:val="es-ES_tradnl"/>
        </w:rPr>
        <w:t>105 dB(W/MHz).</w:t>
      </w:r>
    </w:p>
    <w:p w:rsidR="00546693" w:rsidRDefault="00546693" w:rsidP="00546693">
      <w:pPr>
        <w:pStyle w:val="Heading1"/>
        <w:rPr>
          <w:lang w:val="es-ES_tradnl"/>
        </w:rPr>
      </w:pPr>
      <w:r>
        <w:rPr>
          <w:lang w:val="es-ES_tradnl"/>
        </w:rPr>
        <w:lastRenderedPageBreak/>
        <w:t>2</w:t>
      </w:r>
      <w:r>
        <w:rPr>
          <w:lang w:val="es-ES_tradnl"/>
        </w:rPr>
        <w:tab/>
        <w:t>Procedimiento de evaluación de la interferencia</w:t>
      </w:r>
    </w:p>
    <w:p w:rsidR="00546693" w:rsidRDefault="00546693" w:rsidP="007D21B6">
      <w:pPr>
        <w:keepLines/>
        <w:spacing w:line="270" w:lineRule="exact"/>
        <w:rPr>
          <w:lang w:val="es-ES_tradnl"/>
        </w:rPr>
      </w:pPr>
      <w:r>
        <w:rPr>
          <w:lang w:val="es-ES_tradnl"/>
        </w:rPr>
        <w:t>Las Figs. 1 (panorámica) y 2 (vista superior) muestra la geometría del modelo utilizado en este estudio para la evaluación de las repercusiones mencionadas. Se establece una limitación del número de estaciones HAPS en el suelo a las que se permite transmitir simultáneamente señales debido a la restricción de la anchura de banda disponible. Tal como se describe en el § 1, la anchura de banda disponible es de 75 MHz en un haz puntual (</w:t>
      </w:r>
      <w:r w:rsidR="00D0549D">
        <w:rPr>
          <w:lang w:val="es-ES_tradnl"/>
        </w:rPr>
        <w:sym w:font="Symbol" w:char="F03D"/>
      </w:r>
      <w:r>
        <w:rPr>
          <w:lang w:val="es-ES_tradnl"/>
        </w:rPr>
        <w:t>célula). Como se supone que la anchura de banda de la señal es de 20 MHz por portadora, el número de estaciones HAPS en el suelo a las que se permite transmitir señales simultáneamente es de 3,75 en una célula. Con esta limitación de la banda de frecuencias disponible, se calcula la repercusión de cuatro estaciones HAPS en el suelo situadas en el centro de cada haz puntual. En este caso, se suman las interferencias combinadas procedentes de 4 </w:t>
      </w:r>
      <w:r w:rsidR="00D0549D">
        <w:rPr>
          <w:lang w:val="es-ES_tradnl"/>
        </w:rPr>
        <w:sym w:font="Symbol" w:char="F0B4"/>
      </w:r>
      <w:r>
        <w:rPr>
          <w:lang w:val="es-ES_tradnl"/>
        </w:rPr>
        <w:t> 367 </w:t>
      </w:r>
      <w:r w:rsidR="00D0549D">
        <w:rPr>
          <w:lang w:val="es-ES_tradnl"/>
        </w:rPr>
        <w:sym w:font="Symbol" w:char="F03D"/>
      </w:r>
      <w:r>
        <w:rPr>
          <w:lang w:val="es-ES_tradnl"/>
        </w:rPr>
        <w:t> 1</w:t>
      </w:r>
      <w:r>
        <w:rPr>
          <w:rFonts w:ascii="Tms Rmn" w:hAnsi="Tms Rmn"/>
          <w:sz w:val="12"/>
          <w:lang w:val="es-ES_tradnl"/>
        </w:rPr>
        <w:t> </w:t>
      </w:r>
      <w:r>
        <w:rPr>
          <w:lang w:val="es-ES_tradnl"/>
        </w:rPr>
        <w:t>468 estaciones HAPS en el suelo. En el centro de cada célula (intervalos de 5,5 km) se sitúan cuatro estaciones HAPS en el suelo. Se supone que todas las antenas de la estación HAPS en el suelo apuntan hacia la aeronave HAPS situada a una altitud de 20 km, y se calcula el diagrama de antena de la estación HAPS en el suelo mediante la Recomendación</w:t>
      </w:r>
      <w:r w:rsidR="00F6433A">
        <w:rPr>
          <w:lang w:val="es-ES_tradnl"/>
        </w:rPr>
        <w:t xml:space="preserve"> </w:t>
      </w:r>
      <w:r>
        <w:rPr>
          <w:lang w:val="es-ES_tradnl"/>
        </w:rPr>
        <w:t>UIT</w:t>
      </w:r>
      <w:r>
        <w:rPr>
          <w:lang w:val="es-ES_tradnl"/>
        </w:rPr>
        <w:noBreakHyphen/>
        <w:t>R F.1245. Se supone que el sensor pasivo apunta hacia la dirección del nadir, y se calcula el diagrama de antena del sector pasivo mediante la Recomendación UIT</w:t>
      </w:r>
      <w:r>
        <w:rPr>
          <w:lang w:val="es-ES_tradnl"/>
        </w:rPr>
        <w:noBreakHyphen/>
        <w:t>R S.672. En el caso más desfavorable de interferencia, la aeronave HAPS y el sensor pasivo están en la vertical de la estación HAPS en el suelo situada en el centro de la célula del nadir de la HAPS, tal como se indica en la Fig. 2. Se utiliza el nivel de emisiones no deseadas de –105</w:t>
      </w:r>
      <w:r w:rsidR="007D21B6">
        <w:rPr>
          <w:lang w:val="es-ES_tradnl"/>
        </w:rPr>
        <w:t> </w:t>
      </w:r>
      <w:r>
        <w:rPr>
          <w:lang w:val="es-ES_tradnl"/>
        </w:rPr>
        <w:t>dB(W/MHz) en condiciones de cielo despejado para la evaluación de la repercusión del sistema HAPS. Aunque el nivel de emisiones no deseadas en condiciones de lluvia aumenta hasta 6</w:t>
      </w:r>
      <w:r w:rsidR="007D21B6">
        <w:rPr>
          <w:lang w:val="es-ES_tradnl"/>
        </w:rPr>
        <w:t> </w:t>
      </w:r>
      <w:r>
        <w:rPr>
          <w:lang w:val="es-ES_tradnl"/>
        </w:rPr>
        <w:t>dB en comparación con la de las condiciones de cielo despejado, el aumento de la potencia de emisión no deseada se atenúa parcialmente en el trayecto de lluvia. Las pérdidas de propagación entre la estación HAPS en el suelo y el sensor pasivo se calculan como en la propagación en el espacio libre.</w:t>
      </w:r>
    </w:p>
    <w:p w:rsidR="00546693" w:rsidRDefault="00546693" w:rsidP="00546693">
      <w:pPr>
        <w:spacing w:line="270" w:lineRule="exact"/>
        <w:rPr>
          <w:lang w:val="es-ES_tradnl"/>
        </w:rPr>
      </w:pPr>
    </w:p>
    <w:p w:rsidR="00546693" w:rsidRDefault="00546693" w:rsidP="00546693">
      <w:pPr>
        <w:spacing w:line="270" w:lineRule="exact"/>
        <w:rPr>
          <w:lang w:val="es-ES_tradnl"/>
        </w:rPr>
      </w:pPr>
    </w:p>
    <w:p w:rsidR="00546693" w:rsidRDefault="00546693" w:rsidP="00546693">
      <w:pPr>
        <w:pStyle w:val="FigureNo"/>
      </w:pPr>
      <w:r>
        <w:rPr>
          <w:noProof/>
          <w:lang w:val="en-US" w:eastAsia="zh-CN"/>
        </w:rPr>
        <w:drawing>
          <wp:inline distT="0" distB="0" distL="0" distR="0">
            <wp:extent cx="4411980" cy="3368040"/>
            <wp:effectExtent l="1905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11980" cy="3368040"/>
                    </a:xfrm>
                    <a:prstGeom prst="rect">
                      <a:avLst/>
                    </a:prstGeom>
                    <a:noFill/>
                    <a:ln w="9525">
                      <a:noFill/>
                      <a:miter lim="800000"/>
                      <a:headEnd/>
                      <a:tailEnd/>
                    </a:ln>
                  </pic:spPr>
                </pic:pic>
              </a:graphicData>
            </a:graphic>
          </wp:inline>
        </w:drawing>
      </w:r>
    </w:p>
    <w:p w:rsidR="00546693" w:rsidRDefault="00546693" w:rsidP="00546693"/>
    <w:p w:rsidR="00546693" w:rsidRDefault="00546693" w:rsidP="00546693">
      <w:pPr>
        <w:pStyle w:val="FigureNo"/>
        <w:rPr>
          <w:lang w:val="es-ES_tradnl"/>
        </w:rPr>
      </w:pPr>
      <w:r>
        <w:rPr>
          <w:noProof/>
          <w:lang w:val="en-US" w:eastAsia="zh-CN"/>
        </w:rPr>
        <w:lastRenderedPageBreak/>
        <w:drawing>
          <wp:inline distT="0" distB="0" distL="0" distR="0">
            <wp:extent cx="3413760" cy="4076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413760" cy="4076700"/>
                    </a:xfrm>
                    <a:prstGeom prst="rect">
                      <a:avLst/>
                    </a:prstGeom>
                    <a:noFill/>
                    <a:ln w="9525">
                      <a:noFill/>
                      <a:miter lim="800000"/>
                      <a:headEnd/>
                      <a:tailEnd/>
                    </a:ln>
                  </pic:spPr>
                </pic:pic>
              </a:graphicData>
            </a:graphic>
          </wp:inline>
        </w:drawing>
      </w:r>
    </w:p>
    <w:p w:rsidR="00D0549D" w:rsidRDefault="00D0549D" w:rsidP="007D21B6">
      <w:pPr>
        <w:pStyle w:val="Normalaftertitle"/>
        <w:rPr>
          <w:lang w:val="es-ES_tradnl"/>
        </w:rPr>
      </w:pPr>
    </w:p>
    <w:p w:rsidR="00546693" w:rsidRDefault="00546693" w:rsidP="00546693">
      <w:pPr>
        <w:rPr>
          <w:lang w:val="es-ES_tradnl"/>
        </w:rPr>
      </w:pPr>
      <w:r>
        <w:rPr>
          <w:lang w:val="es-ES_tradnl"/>
        </w:rPr>
        <w:t xml:space="preserve">La interferencia combinada, </w:t>
      </w:r>
      <w:r>
        <w:rPr>
          <w:i/>
          <w:iCs/>
          <w:lang w:val="es-ES_tradnl"/>
        </w:rPr>
        <w:t>I</w:t>
      </w:r>
      <w:r>
        <w:rPr>
          <w:lang w:val="es-ES_tradnl"/>
        </w:rPr>
        <w:t>, se calcula a partir de la ecuación (1):</w:t>
      </w:r>
    </w:p>
    <w:p w:rsidR="007D21B6" w:rsidRDefault="007D21B6" w:rsidP="007D21B6">
      <w:pPr>
        <w:pStyle w:val="Blanc"/>
      </w:pPr>
    </w:p>
    <w:p w:rsidR="00546693" w:rsidRDefault="00546693" w:rsidP="00546693">
      <w:pPr>
        <w:pStyle w:val="Equation"/>
        <w:rPr>
          <w:lang w:val="es-ES_tradnl" w:eastAsia="ja-JP"/>
        </w:rPr>
      </w:pPr>
      <w:r>
        <w:rPr>
          <w:color w:val="000000"/>
          <w:lang w:val="es-ES_tradnl"/>
        </w:rPr>
        <w:tab/>
      </w:r>
      <w:r>
        <w:rPr>
          <w:color w:val="000000"/>
          <w:lang w:val="es-ES_tradnl"/>
        </w:rPr>
        <w:tab/>
      </w:r>
      <w:r w:rsidRPr="009F2169">
        <w:rPr>
          <w:color w:val="000000"/>
          <w:position w:val="-36"/>
          <w:lang w:val="fr-CH"/>
        </w:rPr>
        <w:object w:dxaOrig="666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95pt;height:42.15pt" o:ole="">
            <v:imagedata r:id="rId15" o:title=""/>
          </v:shape>
          <o:OLEObject Type="Embed" ProgID="Equation.3" ShapeID="_x0000_i1025" DrawAspect="Content" ObjectID="_1345979019" r:id="rId16"/>
        </w:object>
      </w:r>
      <w:r>
        <w:rPr>
          <w:lang w:val="es-ES_tradnl"/>
        </w:rPr>
        <w:tab/>
      </w:r>
      <w:r>
        <w:rPr>
          <w:rFonts w:hint="eastAsia"/>
          <w:lang w:val="es-ES_tradnl"/>
        </w:rPr>
        <w:t>(</w:t>
      </w:r>
      <w:r>
        <w:rPr>
          <w:rFonts w:hint="eastAsia"/>
          <w:lang w:val="es-ES_tradnl" w:eastAsia="ja-JP"/>
        </w:rPr>
        <w:t>1</w:t>
      </w:r>
      <w:r>
        <w:rPr>
          <w:rFonts w:hint="eastAsia"/>
          <w:lang w:val="es-ES_tradnl"/>
        </w:rPr>
        <w:t>)</w:t>
      </w:r>
    </w:p>
    <w:p w:rsidR="00546693" w:rsidRDefault="00546693" w:rsidP="00546693">
      <w:pPr>
        <w:rPr>
          <w:lang w:val="es-ES_tradnl"/>
        </w:rPr>
      </w:pPr>
      <w:r>
        <w:rPr>
          <w:lang w:val="es-ES_tradnl"/>
        </w:rPr>
        <w:t>siendo</w:t>
      </w:r>
      <w:r>
        <w:rPr>
          <w:rFonts w:hint="eastAsia"/>
          <w:lang w:val="es-ES_tradnl"/>
        </w:rPr>
        <w:t>:</w:t>
      </w:r>
    </w:p>
    <w:p w:rsidR="00546693" w:rsidRDefault="00546693" w:rsidP="007D21B6">
      <w:pPr>
        <w:pStyle w:val="Equationlegend"/>
        <w:spacing w:line="280" w:lineRule="exact"/>
        <w:rPr>
          <w:lang w:val="es-ES_tradnl"/>
        </w:rPr>
      </w:pPr>
      <w:r>
        <w:rPr>
          <w:lang w:val="es-ES_tradnl"/>
        </w:rPr>
        <w:tab/>
      </w:r>
      <w:r>
        <w:rPr>
          <w:i/>
          <w:iCs/>
          <w:lang w:val="es-ES_tradnl"/>
        </w:rPr>
        <w:t>P</w:t>
      </w:r>
      <w:r>
        <w:rPr>
          <w:rFonts w:ascii="Tms Rmn" w:hAnsi="Tms Rmn"/>
          <w:sz w:val="12"/>
          <w:lang w:val="es-ES_tradnl"/>
        </w:rPr>
        <w:t> </w:t>
      </w:r>
      <w:r>
        <w:rPr>
          <w:rFonts w:hint="eastAsia"/>
          <w:lang w:val="es-ES_tradnl"/>
        </w:rPr>
        <w:t>:</w:t>
      </w:r>
      <w:r>
        <w:rPr>
          <w:lang w:val="es-ES_tradnl"/>
        </w:rPr>
        <w:tab/>
        <w:t>nivel de la emisión no deseada:</w:t>
      </w:r>
      <w:r>
        <w:rPr>
          <w:rFonts w:hint="eastAsia"/>
          <w:lang w:val="es-ES_tradnl"/>
        </w:rPr>
        <w:t xml:space="preserve"> </w:t>
      </w:r>
      <w:r>
        <w:rPr>
          <w:lang w:val="es-ES_tradnl"/>
        </w:rPr>
        <w:t xml:space="preserve">1 </w:t>
      </w:r>
      <w:r w:rsidR="00D0549D">
        <w:rPr>
          <w:lang w:val="es-ES_tradnl"/>
        </w:rPr>
        <w:sym w:font="Symbol" w:char="F0B4"/>
      </w:r>
      <w:r>
        <w:rPr>
          <w:lang w:val="es-ES_tradnl"/>
        </w:rPr>
        <w:t xml:space="preserve"> </w:t>
      </w:r>
      <w:r>
        <w:rPr>
          <w:rFonts w:hint="eastAsia"/>
          <w:lang w:val="es-ES_tradnl" w:eastAsia="ja-JP"/>
        </w:rPr>
        <w:t>10</w:t>
      </w:r>
      <w:r>
        <w:rPr>
          <w:vertAlign w:val="superscript"/>
          <w:lang w:val="es-ES_tradnl" w:eastAsia="ja-JP"/>
        </w:rPr>
        <w:t>–10,5</w:t>
      </w:r>
      <w:r>
        <w:rPr>
          <w:rFonts w:hint="eastAsia"/>
          <w:lang w:val="es-ES_tradnl" w:eastAsia="ja-JP"/>
        </w:rPr>
        <w:t xml:space="preserve"> W/MHz (</w:t>
      </w:r>
      <w:r w:rsidR="00D0549D">
        <w:rPr>
          <w:rFonts w:hint="eastAsia"/>
          <w:lang w:val="es-ES_tradnl" w:eastAsia="ja-JP"/>
        </w:rPr>
        <w:sym w:font="Symbol" w:char="F03D"/>
      </w:r>
      <w:r w:rsidR="007D21B6">
        <w:rPr>
          <w:sz w:val="12"/>
          <w:lang w:val="es-ES_tradnl" w:eastAsia="ja-JP"/>
        </w:rPr>
        <w:t> </w:t>
      </w:r>
      <w:r>
        <w:rPr>
          <w:lang w:val="es-ES_tradnl"/>
        </w:rPr>
        <w:t>–</w:t>
      </w:r>
      <w:r>
        <w:rPr>
          <w:rFonts w:hint="eastAsia"/>
          <w:lang w:val="es-ES_tradnl"/>
        </w:rPr>
        <w:t>105 dB(W/MHz)</w:t>
      </w:r>
      <w:r>
        <w:rPr>
          <w:rFonts w:hint="eastAsia"/>
          <w:lang w:val="es-ES_tradnl" w:eastAsia="ja-JP"/>
        </w:rPr>
        <w:t>)</w:t>
      </w:r>
    </w:p>
    <w:p w:rsidR="00546693" w:rsidRDefault="00546693" w:rsidP="00D0549D">
      <w:pPr>
        <w:pStyle w:val="Equationlegend"/>
        <w:spacing w:line="280" w:lineRule="exact"/>
        <w:rPr>
          <w:lang w:val="es-ES_tradnl"/>
        </w:rPr>
      </w:pPr>
      <w:r>
        <w:rPr>
          <w:lang w:val="es-ES_tradnl"/>
        </w:rPr>
        <w:tab/>
      </w:r>
      <w:r>
        <w:rPr>
          <w:i/>
          <w:iCs/>
          <w:lang w:val="es-ES_tradnl"/>
        </w:rPr>
        <w:t>Gt</w:t>
      </w:r>
      <w:r>
        <w:rPr>
          <w:i/>
          <w:iCs/>
          <w:vertAlign w:val="subscript"/>
          <w:lang w:val="es-ES_tradnl"/>
        </w:rPr>
        <w:t>i</w:t>
      </w:r>
      <w:r>
        <w:rPr>
          <w:rFonts w:ascii="Tms Rmn" w:hAnsi="Tms Rmn"/>
          <w:sz w:val="12"/>
          <w:lang w:val="es-ES_tradnl"/>
        </w:rPr>
        <w:t> </w:t>
      </w:r>
      <w:r>
        <w:rPr>
          <w:rFonts w:hint="eastAsia"/>
          <w:lang w:val="es-ES_tradnl"/>
        </w:rPr>
        <w:t>:</w:t>
      </w:r>
      <w:r>
        <w:rPr>
          <w:lang w:val="es-ES_tradnl"/>
        </w:rPr>
        <w:tab/>
        <w:t xml:space="preserve">ganancia de la antena de transmisión de la estación HAPS en el suelo </w:t>
      </w:r>
      <w:r>
        <w:rPr>
          <w:rFonts w:hint="eastAsia"/>
          <w:i/>
          <w:lang w:val="es-ES_tradnl"/>
        </w:rPr>
        <w:t>i</w:t>
      </w:r>
      <w:r>
        <w:rPr>
          <w:rFonts w:hint="eastAsia"/>
          <w:lang w:val="es-ES_tradnl"/>
        </w:rPr>
        <w:t>-</w:t>
      </w:r>
      <w:r>
        <w:rPr>
          <w:lang w:val="es-ES_tradnl"/>
        </w:rPr>
        <w:t>ésima</w:t>
      </w:r>
      <w:r>
        <w:rPr>
          <w:rFonts w:hint="eastAsia"/>
          <w:lang w:val="es-ES_tradnl"/>
        </w:rPr>
        <w:t xml:space="preserve"> </w:t>
      </w:r>
      <w:r>
        <w:rPr>
          <w:lang w:val="es-ES_tradnl"/>
        </w:rPr>
        <w:t xml:space="preserve">para el satélite del SETS, calculada mediante la Recomendación </w:t>
      </w:r>
      <w:r>
        <w:rPr>
          <w:rFonts w:hint="eastAsia"/>
          <w:lang w:val="es-ES_tradnl"/>
        </w:rPr>
        <w:t>U</w:t>
      </w:r>
      <w:r>
        <w:rPr>
          <w:lang w:val="es-ES_tradnl"/>
        </w:rPr>
        <w:t>IT</w:t>
      </w:r>
      <w:r>
        <w:rPr>
          <w:rFonts w:hint="eastAsia"/>
          <w:lang w:val="es-ES_tradnl"/>
        </w:rPr>
        <w:t>-R F.1245 (dBi) (</w:t>
      </w:r>
      <w:r>
        <w:rPr>
          <w:lang w:val="es-ES_tradnl"/>
        </w:rPr>
        <w:t xml:space="preserve">ganancia máxima </w:t>
      </w:r>
      <w:r w:rsidR="00D0549D">
        <w:rPr>
          <w:lang w:val="es-ES_tradnl"/>
        </w:rPr>
        <w:sym w:font="Symbol" w:char="F03D"/>
      </w:r>
      <w:r>
        <w:rPr>
          <w:rFonts w:hint="eastAsia"/>
          <w:lang w:val="es-ES_tradnl"/>
        </w:rPr>
        <w:t xml:space="preserve"> </w:t>
      </w:r>
      <w:r>
        <w:rPr>
          <w:rFonts w:hint="eastAsia"/>
          <w:lang w:val="es-ES_tradnl" w:eastAsia="ja-JP"/>
        </w:rPr>
        <w:t>10</w:t>
      </w:r>
      <w:r>
        <w:rPr>
          <w:vertAlign w:val="superscript"/>
          <w:lang w:val="es-ES_tradnl" w:eastAsia="ja-JP"/>
        </w:rPr>
        <w:t xml:space="preserve">3,5 </w:t>
      </w:r>
      <w:r>
        <w:rPr>
          <w:rFonts w:hint="eastAsia"/>
          <w:lang w:val="es-ES_tradnl" w:eastAsia="ja-JP"/>
        </w:rPr>
        <w:t>(</w:t>
      </w:r>
      <w:r w:rsidR="00D0549D">
        <w:rPr>
          <w:rFonts w:hint="eastAsia"/>
          <w:lang w:val="es-ES_tradnl" w:eastAsia="ja-JP"/>
        </w:rPr>
        <w:sym w:font="Symbol" w:char="F03D"/>
      </w:r>
      <w:r>
        <w:rPr>
          <w:rFonts w:hint="eastAsia"/>
          <w:lang w:val="es-ES_tradnl"/>
        </w:rPr>
        <w:t>35 dBi)</w:t>
      </w:r>
      <w:r>
        <w:rPr>
          <w:rFonts w:hint="eastAsia"/>
          <w:lang w:val="es-ES_tradnl" w:eastAsia="ja-JP"/>
        </w:rPr>
        <w:t>)</w:t>
      </w:r>
    </w:p>
    <w:p w:rsidR="00546693" w:rsidRDefault="00546693" w:rsidP="00546693">
      <w:pPr>
        <w:pStyle w:val="Equationlegend"/>
        <w:spacing w:line="280" w:lineRule="exact"/>
        <w:rPr>
          <w:lang w:val="es-ES_tradnl"/>
        </w:rPr>
      </w:pPr>
      <w:r>
        <w:rPr>
          <w:lang w:val="es-ES_tradnl"/>
        </w:rPr>
        <w:tab/>
      </w:r>
      <w:r>
        <w:rPr>
          <w:i/>
          <w:iCs/>
          <w:lang w:val="es-ES_tradnl"/>
        </w:rPr>
        <w:t>d</w:t>
      </w:r>
      <w:r>
        <w:rPr>
          <w:i/>
          <w:iCs/>
          <w:vertAlign w:val="subscript"/>
          <w:lang w:val="es-ES_tradnl"/>
        </w:rPr>
        <w:t>i</w:t>
      </w:r>
      <w:r>
        <w:rPr>
          <w:rFonts w:ascii="Tms Rmn" w:hAnsi="Tms Rmn"/>
          <w:sz w:val="12"/>
          <w:lang w:val="es-ES_tradnl"/>
        </w:rPr>
        <w:t> </w:t>
      </w:r>
      <w:r>
        <w:rPr>
          <w:rFonts w:hint="eastAsia"/>
          <w:lang w:val="es-ES_tradnl"/>
        </w:rPr>
        <w:t>:</w:t>
      </w:r>
      <w:r>
        <w:rPr>
          <w:lang w:val="es-ES_tradnl"/>
        </w:rPr>
        <w:tab/>
        <w:t xml:space="preserve">distancia entre la estación </w:t>
      </w:r>
      <w:r>
        <w:rPr>
          <w:rFonts w:hint="eastAsia"/>
          <w:lang w:val="es-ES_tradnl"/>
        </w:rPr>
        <w:t xml:space="preserve">HAPS </w:t>
      </w:r>
      <w:r>
        <w:rPr>
          <w:lang w:val="es-ES_tradnl"/>
        </w:rPr>
        <w:t xml:space="preserve">en el suelo </w:t>
      </w:r>
      <w:r>
        <w:rPr>
          <w:rFonts w:hint="eastAsia"/>
          <w:i/>
          <w:lang w:val="es-ES_tradnl"/>
        </w:rPr>
        <w:t>i</w:t>
      </w:r>
      <w:r>
        <w:rPr>
          <w:rFonts w:hint="eastAsia"/>
          <w:lang w:val="es-ES_tradnl"/>
        </w:rPr>
        <w:t>-</w:t>
      </w:r>
      <w:r>
        <w:rPr>
          <w:lang w:val="es-ES_tradnl"/>
        </w:rPr>
        <w:t xml:space="preserve">ésima y el sensor pasivo </w:t>
      </w:r>
      <w:r>
        <w:rPr>
          <w:rFonts w:hint="eastAsia"/>
          <w:lang w:val="es-ES_tradnl"/>
        </w:rPr>
        <w:t>(m)</w:t>
      </w:r>
    </w:p>
    <w:p w:rsidR="00546693" w:rsidRDefault="00546693" w:rsidP="00D0549D">
      <w:pPr>
        <w:pStyle w:val="Equationlegend"/>
        <w:spacing w:line="280" w:lineRule="exact"/>
        <w:rPr>
          <w:lang w:val="es-ES_tradnl"/>
        </w:rPr>
      </w:pPr>
      <w:r>
        <w:rPr>
          <w:lang w:val="es-ES_tradnl"/>
        </w:rPr>
        <w:tab/>
      </w:r>
      <w:r w:rsidR="00D0549D">
        <w:rPr>
          <w:lang w:val="es-ES_tradnl"/>
        </w:rPr>
        <w:sym w:font="Symbol" w:char="F06C"/>
      </w:r>
      <w:r>
        <w:rPr>
          <w:rFonts w:ascii="Tms Rmn" w:hAnsi="Tms Rmn"/>
          <w:sz w:val="12"/>
          <w:lang w:val="es-ES_tradnl"/>
        </w:rPr>
        <w:t> </w:t>
      </w:r>
      <w:r>
        <w:rPr>
          <w:rFonts w:hint="eastAsia"/>
          <w:lang w:val="es-ES_tradnl"/>
        </w:rPr>
        <w:t>:</w:t>
      </w:r>
      <w:r>
        <w:rPr>
          <w:lang w:val="es-ES_tradnl"/>
        </w:rPr>
        <w:tab/>
        <w:t xml:space="preserve">longitud de onda de la señal portadora </w:t>
      </w:r>
      <w:r>
        <w:rPr>
          <w:rFonts w:hint="eastAsia"/>
          <w:lang w:val="es-ES_tradnl"/>
        </w:rPr>
        <w:t xml:space="preserve">(m): </w:t>
      </w:r>
      <w:r>
        <w:rPr>
          <w:lang w:val="es-ES_tradnl"/>
        </w:rPr>
        <w:t xml:space="preserve">en este estudio, la frecuencia es de </w:t>
      </w:r>
      <w:r>
        <w:rPr>
          <w:rFonts w:hint="eastAsia"/>
          <w:lang w:val="es-ES_tradnl"/>
        </w:rPr>
        <w:t>31</w:t>
      </w:r>
      <w:r>
        <w:rPr>
          <w:lang w:val="es-ES_tradnl"/>
        </w:rPr>
        <w:t>,</w:t>
      </w:r>
      <w:r>
        <w:rPr>
          <w:rFonts w:hint="eastAsia"/>
          <w:lang w:val="es-ES_tradnl"/>
        </w:rPr>
        <w:t>28</w:t>
      </w:r>
      <w:r>
        <w:rPr>
          <w:lang w:val="es-ES_tradnl"/>
        </w:rPr>
        <w:t> </w:t>
      </w:r>
      <w:r>
        <w:rPr>
          <w:rFonts w:hint="eastAsia"/>
          <w:lang w:val="es-ES_tradnl"/>
        </w:rPr>
        <w:t>GHz</w:t>
      </w:r>
    </w:p>
    <w:p w:rsidR="00546693" w:rsidRDefault="00546693" w:rsidP="00D0549D">
      <w:pPr>
        <w:pStyle w:val="Equationlegend"/>
        <w:spacing w:line="280" w:lineRule="exact"/>
        <w:rPr>
          <w:lang w:val="es-ES_tradnl"/>
        </w:rPr>
      </w:pPr>
      <w:r>
        <w:rPr>
          <w:lang w:val="es-ES_tradnl"/>
        </w:rPr>
        <w:tab/>
      </w:r>
      <w:r>
        <w:rPr>
          <w:i/>
          <w:iCs/>
          <w:lang w:val="es-ES_tradnl"/>
        </w:rPr>
        <w:t>Gr</w:t>
      </w:r>
      <w:r>
        <w:rPr>
          <w:i/>
          <w:iCs/>
          <w:vertAlign w:val="subscript"/>
          <w:lang w:val="es-ES_tradnl"/>
        </w:rPr>
        <w:t>i</w:t>
      </w:r>
      <w:r>
        <w:rPr>
          <w:rFonts w:ascii="Tms Rmn" w:hAnsi="Tms Rmn"/>
          <w:sz w:val="12"/>
          <w:lang w:val="es-ES_tradnl"/>
        </w:rPr>
        <w:t> </w:t>
      </w:r>
      <w:r>
        <w:rPr>
          <w:rFonts w:hint="eastAsia"/>
          <w:lang w:val="es-ES_tradnl"/>
        </w:rPr>
        <w:t>:</w:t>
      </w:r>
      <w:r>
        <w:rPr>
          <w:lang w:val="es-ES_tradnl"/>
        </w:rPr>
        <w:tab/>
        <w:t xml:space="preserve">ganancia de la antena receptora del sensor pasivo para la estación HAPS en el suelo </w:t>
      </w:r>
      <w:r>
        <w:rPr>
          <w:i/>
          <w:iCs/>
          <w:lang w:val="es-ES_tradnl"/>
        </w:rPr>
        <w:t>i</w:t>
      </w:r>
      <w:r>
        <w:rPr>
          <w:lang w:val="es-ES_tradnl"/>
        </w:rPr>
        <w:noBreakHyphen/>
        <w:t>ésima que se calcula mediante la Recomendación UIT</w:t>
      </w:r>
      <w:r>
        <w:rPr>
          <w:rFonts w:hint="eastAsia"/>
          <w:lang w:val="es-ES_tradnl"/>
        </w:rPr>
        <w:t>-R S.672</w:t>
      </w:r>
      <w:r>
        <w:rPr>
          <w:lang w:val="es-ES_tradnl"/>
        </w:rPr>
        <w:t xml:space="preserve"> </w:t>
      </w:r>
      <w:r>
        <w:rPr>
          <w:rFonts w:hint="eastAsia"/>
          <w:lang w:val="es-ES_tradnl"/>
        </w:rPr>
        <w:t>(dBi) (ganancia m</w:t>
      </w:r>
      <w:r>
        <w:rPr>
          <w:lang w:val="es-ES_tradnl"/>
        </w:rPr>
        <w:t xml:space="preserve">áxima </w:t>
      </w:r>
      <w:r w:rsidR="00D0549D">
        <w:rPr>
          <w:lang w:val="es-ES_tradnl"/>
        </w:rPr>
        <w:sym w:font="Symbol" w:char="F03D"/>
      </w:r>
      <w:r>
        <w:rPr>
          <w:rFonts w:hint="eastAsia"/>
          <w:lang w:val="es-ES_tradnl"/>
        </w:rPr>
        <w:t xml:space="preserve"> </w:t>
      </w:r>
      <w:r>
        <w:rPr>
          <w:rFonts w:hint="eastAsia"/>
          <w:lang w:val="es-ES_tradnl" w:eastAsia="ja-JP"/>
        </w:rPr>
        <w:t>10</w:t>
      </w:r>
      <w:r>
        <w:rPr>
          <w:vertAlign w:val="superscript"/>
          <w:lang w:val="es-ES_tradnl" w:eastAsia="ja-JP"/>
        </w:rPr>
        <w:t>5</w:t>
      </w:r>
      <w:r w:rsidRPr="007D21B6">
        <w:t xml:space="preserve"> </w:t>
      </w:r>
      <w:r>
        <w:rPr>
          <w:rFonts w:hint="eastAsia"/>
          <w:lang w:val="es-ES_tradnl" w:eastAsia="ja-JP"/>
        </w:rPr>
        <w:t>(</w:t>
      </w:r>
      <w:r w:rsidR="00D0549D">
        <w:rPr>
          <w:rFonts w:hint="eastAsia"/>
          <w:lang w:val="es-ES_tradnl" w:eastAsia="ja-JP"/>
        </w:rPr>
        <w:sym w:font="Symbol" w:char="F03D"/>
      </w:r>
      <w:r>
        <w:rPr>
          <w:rFonts w:hint="eastAsia"/>
          <w:lang w:val="es-ES_tradnl"/>
        </w:rPr>
        <w:t>50 dBi)</w:t>
      </w:r>
      <w:r>
        <w:rPr>
          <w:rFonts w:hint="eastAsia"/>
          <w:lang w:val="es-ES_tradnl" w:eastAsia="ja-JP"/>
        </w:rPr>
        <w:t>)</w:t>
      </w:r>
      <w:r>
        <w:rPr>
          <w:lang w:val="es-ES_tradnl" w:eastAsia="ja-JP"/>
        </w:rPr>
        <w:t>.</w:t>
      </w:r>
    </w:p>
    <w:p w:rsidR="00546693" w:rsidRDefault="00546693" w:rsidP="00546693">
      <w:pPr>
        <w:rPr>
          <w:lang w:val="es-ES_tradnl"/>
        </w:rPr>
      </w:pPr>
      <w:r>
        <w:rPr>
          <w:lang w:val="es-ES_tradnl"/>
        </w:rPr>
        <w:t>Los criterios de protección del SETS (pasivo) se definen en la Recomendación UIT</w:t>
      </w:r>
      <w:r>
        <w:rPr>
          <w:lang w:val="es-ES_tradnl"/>
        </w:rPr>
        <w:noBreakHyphen/>
        <w:t>R RS.1029 que da el nivel umbral de –183 dB(W/MHz) el cual no debe rebasarse durante más del 0,01% del tiempo.</w:t>
      </w:r>
    </w:p>
    <w:p w:rsidR="00546693" w:rsidRDefault="00546693" w:rsidP="00546693">
      <w:pPr>
        <w:pStyle w:val="Heading1"/>
        <w:rPr>
          <w:lang w:val="es-ES_tradnl"/>
        </w:rPr>
      </w:pPr>
      <w:r>
        <w:rPr>
          <w:lang w:val="es-ES_tradnl"/>
        </w:rPr>
        <w:lastRenderedPageBreak/>
        <w:t>3</w:t>
      </w:r>
      <w:r>
        <w:rPr>
          <w:lang w:val="es-ES_tradnl"/>
        </w:rPr>
        <w:tab/>
        <w:t>Resultado del estudio</w:t>
      </w:r>
    </w:p>
    <w:p w:rsidR="00546693" w:rsidRDefault="00546693" w:rsidP="007D21B6">
      <w:pPr>
        <w:keepLines/>
        <w:rPr>
          <w:lang w:val="es-ES_tradnl"/>
        </w:rPr>
      </w:pPr>
      <w:r>
        <w:rPr>
          <w:lang w:val="es-ES_tradnl"/>
        </w:rPr>
        <w:t>En las condiciones mencionadas, la interferencia acumulada de 4 </w:t>
      </w:r>
      <w:r w:rsidR="00D0549D">
        <w:rPr>
          <w:lang w:val="es-ES_tradnl"/>
        </w:rPr>
        <w:sym w:font="Symbol" w:char="F0B4"/>
      </w:r>
      <w:r>
        <w:rPr>
          <w:lang w:val="es-ES_tradnl"/>
        </w:rPr>
        <w:t> 367 estaciones HAPS en el suelo en el sensor pasivo es de –185,9</w:t>
      </w:r>
      <w:r w:rsidR="007D21B6">
        <w:rPr>
          <w:lang w:val="es-ES_tradnl"/>
        </w:rPr>
        <w:t> </w:t>
      </w:r>
      <w:r>
        <w:rPr>
          <w:lang w:val="es-ES_tradnl"/>
        </w:rPr>
        <w:t>dB(W/MHz), que es 2,9</w:t>
      </w:r>
      <w:r w:rsidR="007D21B6">
        <w:rPr>
          <w:lang w:val="es-ES_tradnl"/>
        </w:rPr>
        <w:t> </w:t>
      </w:r>
      <w:r>
        <w:rPr>
          <w:lang w:val="es-ES_tradnl"/>
        </w:rPr>
        <w:t>dB inferior al criterio de protección del SETS (pasivo) en la banda 31</w:t>
      </w:r>
      <w:r w:rsidR="00D0549D">
        <w:rPr>
          <w:lang w:val="es-ES_tradnl"/>
        </w:rPr>
        <w:t>-</w:t>
      </w:r>
      <w:r>
        <w:rPr>
          <w:lang w:val="es-ES_tradnl"/>
        </w:rPr>
        <w:t>31,3</w:t>
      </w:r>
      <w:r w:rsidR="007D21B6">
        <w:rPr>
          <w:lang w:val="es-ES_tradnl"/>
        </w:rPr>
        <w:t> </w:t>
      </w:r>
      <w:r>
        <w:rPr>
          <w:lang w:val="es-ES_tradnl"/>
        </w:rPr>
        <w:t>GHz. La interferencia agregada de las estaciones HAPS en el suelo en la zona que ilumina otra HAPS es despreciable (30 dB menos que –185,9</w:t>
      </w:r>
      <w:r w:rsidR="007D21B6">
        <w:rPr>
          <w:lang w:val="es-ES_tradnl"/>
        </w:rPr>
        <w:t> </w:t>
      </w:r>
      <w:r>
        <w:rPr>
          <w:lang w:val="es-ES_tradnl"/>
        </w:rPr>
        <w:t>dB(W/MHz)). Por tanto, la interferencia combinada de las estaciones HAPS en el suelo que cubren 200 aeronaves HAPS no excede los criterios de protección del SETS (pasivo).</w:t>
      </w:r>
    </w:p>
    <w:p w:rsidR="00B1717A" w:rsidRDefault="00546693" w:rsidP="00546693">
      <w:pPr>
        <w:rPr>
          <w:lang w:val="es-ES_tradnl"/>
        </w:rPr>
      </w:pPr>
      <w:r>
        <w:rPr>
          <w:lang w:val="es-ES_tradnl"/>
        </w:rPr>
        <w:t>La banda de guarda requerida es de 10 MHz para una anchura de banda del filtro (–3 dB) de FI de 20,2 MHz. Esta banda de guarda depende de la anchura de banda de la señal y de las características de atenuación del filtro pasobanda de FI.</w:t>
      </w:r>
    </w:p>
    <w:p w:rsidR="00546693" w:rsidRDefault="00546693" w:rsidP="00546693">
      <w:pPr>
        <w:rPr>
          <w:lang w:val="es-ES_tradnl"/>
        </w:rPr>
      </w:pPr>
    </w:p>
    <w:p w:rsidR="00546693" w:rsidRDefault="00546693" w:rsidP="00546693">
      <w:pPr>
        <w:rPr>
          <w:lang w:val="es-ES_tradnl"/>
        </w:rPr>
      </w:pPr>
    </w:p>
    <w:p w:rsidR="00546693" w:rsidRPr="0015147F" w:rsidRDefault="00546693" w:rsidP="00546693">
      <w:pPr>
        <w:pStyle w:val="Line"/>
        <w:rPr>
          <w:lang w:val="es-ES_tradnl"/>
        </w:rPr>
      </w:pPr>
    </w:p>
    <w:sectPr w:rsidR="00546693" w:rsidRPr="0015147F" w:rsidSect="00B1717A">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0D5" w:rsidRDefault="00B900D5">
      <w:r>
        <w:separator/>
      </w:r>
    </w:p>
  </w:endnote>
  <w:endnote w:type="continuationSeparator" w:id="0">
    <w:p w:rsidR="00B900D5" w:rsidRDefault="00B900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0D5" w:rsidRDefault="00B900D5">
      <w:r>
        <w:separator/>
      </w:r>
    </w:p>
  </w:footnote>
  <w:footnote w:type="continuationSeparator" w:id="0">
    <w:p w:rsidR="00B900D5" w:rsidRDefault="00B900D5">
      <w:r>
        <w:continuationSeparator/>
      </w:r>
    </w:p>
  </w:footnote>
  <w:footnote w:id="1">
    <w:p w:rsidR="00D0549D" w:rsidRPr="00FA58E7" w:rsidRDefault="00D0549D" w:rsidP="00D0549D">
      <w:pPr>
        <w:pStyle w:val="FootnoteText"/>
        <w:rPr>
          <w:lang w:val="es-ES_tradnl"/>
        </w:rPr>
      </w:pPr>
      <w:r w:rsidRPr="00FA58E7">
        <w:rPr>
          <w:rStyle w:val="FootnoteReference"/>
          <w:lang w:val="es-ES_tradnl"/>
        </w:rPr>
        <w:t>*</w:t>
      </w:r>
      <w:r w:rsidRPr="00FA58E7">
        <w:rPr>
          <w:lang w:val="es-ES_tradnl"/>
        </w:rPr>
        <w:tab/>
        <w:t>Esta Recomendación debe señalarse a la atención de la Comisión de Estudio 7 de Radiocomunicaciones.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847DD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72152F"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051382" w:rsidP="00B1717A">
    <w:pPr>
      <w:pStyle w:val="Header"/>
      <w:jc w:val="left"/>
    </w:pPr>
    <w:r>
      <w:rPr>
        <w:rStyle w:val="PageNumber"/>
        <w:b/>
        <w:bCs/>
      </w:rPr>
      <w:fldChar w:fldCharType="begin"/>
    </w:r>
    <w:r w:rsidR="00847DD5">
      <w:rPr>
        <w:rStyle w:val="PageNumber"/>
        <w:b/>
        <w:bCs/>
      </w:rPr>
      <w:instrText xml:space="preserve"> PAGE </w:instrText>
    </w:r>
    <w:r>
      <w:rPr>
        <w:rStyle w:val="PageNumber"/>
        <w:b/>
        <w:bCs/>
      </w:rPr>
      <w:fldChar w:fldCharType="separate"/>
    </w:r>
    <w:r w:rsidR="007D21B6">
      <w:rPr>
        <w:rStyle w:val="PageNumber"/>
        <w:b/>
        <w:bCs/>
        <w:noProof/>
      </w:rPr>
      <w:t>ii</w:t>
    </w:r>
    <w:r>
      <w:rPr>
        <w:rStyle w:val="PageNumber"/>
        <w:b/>
        <w:bCs/>
      </w:rPr>
      <w:fldChar w:fldCharType="end"/>
    </w:r>
    <w:r w:rsidR="00847DD5">
      <w:tab/>
    </w:r>
    <w:fldSimple w:instr=" DOCPROPERTY &quot;Header&quot; \* MERGEFORMAT ">
      <w:r w:rsidR="007D21B6" w:rsidRPr="007D21B6">
        <w:rPr>
          <w:b/>
          <w:bCs/>
          <w:lang w:val="en-US"/>
        </w:rPr>
        <w:t xml:space="preserve">Rec. </w:t>
      </w:r>
    </w:fldSimple>
    <w:r w:rsidR="00847DD5">
      <w:rPr>
        <w:b/>
        <w:bCs/>
      </w:rPr>
      <w:t xml:space="preserve"> </w:t>
    </w:r>
    <w:r>
      <w:rPr>
        <w:b/>
        <w:bCs/>
      </w:rPr>
      <w:fldChar w:fldCharType="begin"/>
    </w:r>
    <w:r w:rsidR="00847DD5">
      <w:rPr>
        <w:b/>
        <w:bCs/>
      </w:rPr>
      <w:instrText>styleref href</w:instrText>
    </w:r>
    <w:r>
      <w:rPr>
        <w:b/>
        <w:bCs/>
      </w:rPr>
      <w:fldChar w:fldCharType="separate"/>
    </w:r>
    <w:r w:rsidR="007D21B6">
      <w:rPr>
        <w:b/>
        <w:bCs/>
        <w:noProof/>
      </w:rPr>
      <w:t>UIT-R  F.1570-2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847DD5">
    <w:pPr>
      <w:pStyle w:val="Header"/>
    </w:pPr>
    <w:r>
      <w:tab/>
    </w:r>
    <w:fldSimple w:instr=" DOCPROPERTY &quot;Header&quot; \* MERGEFORMAT ">
      <w:r w:rsidR="007D21B6" w:rsidRPr="007D21B6">
        <w:rPr>
          <w:lang w:val="en-US"/>
        </w:rPr>
        <w:t xml:space="preserve">Rec. </w:t>
      </w:r>
    </w:fldSimple>
    <w:r>
      <w:rPr>
        <w:b/>
        <w:bCs/>
      </w:rPr>
      <w:t xml:space="preserve">  </w:t>
    </w:r>
    <w:r w:rsidR="00051382">
      <w:rPr>
        <w:b/>
        <w:bCs/>
      </w:rPr>
      <w:fldChar w:fldCharType="begin"/>
    </w:r>
    <w:r>
      <w:rPr>
        <w:b/>
        <w:bCs/>
      </w:rPr>
      <w:instrText>styleref href</w:instrText>
    </w:r>
    <w:r w:rsidR="00051382">
      <w:rPr>
        <w:b/>
        <w:bCs/>
      </w:rPr>
      <w:fldChar w:fldCharType="separate"/>
    </w:r>
    <w:r w:rsidR="007D21B6">
      <w:rPr>
        <w:b/>
        <w:bCs/>
        <w:noProof/>
      </w:rPr>
      <w:t>UIT-R  F.1570-2</w:t>
    </w:r>
    <w:r w:rsidR="00051382">
      <w:rPr>
        <w:b/>
        <w:bCs/>
      </w:rPr>
      <w:fldChar w:fldCharType="end"/>
    </w:r>
    <w:r>
      <w:tab/>
    </w:r>
    <w:r w:rsidR="00051382">
      <w:rPr>
        <w:rStyle w:val="PageNumber"/>
        <w:b/>
        <w:bCs/>
      </w:rPr>
      <w:fldChar w:fldCharType="begin"/>
    </w:r>
    <w:r>
      <w:rPr>
        <w:rStyle w:val="PageNumber"/>
        <w:b/>
        <w:bCs/>
      </w:rPr>
      <w:instrText xml:space="preserve"> PAGE </w:instrText>
    </w:r>
    <w:r w:rsidR="00051382">
      <w:rPr>
        <w:rStyle w:val="PageNumber"/>
        <w:b/>
        <w:bCs/>
      </w:rPr>
      <w:fldChar w:fldCharType="separate"/>
    </w:r>
    <w:r>
      <w:rPr>
        <w:rStyle w:val="PageNumber"/>
        <w:b/>
        <w:bCs/>
        <w:noProof/>
      </w:rPr>
      <w:t>1</w:t>
    </w:r>
    <w:r w:rsidR="00051382">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051382">
    <w:pPr>
      <w:pStyle w:val="Header"/>
      <w:jc w:val="left"/>
      <w:rPr>
        <w:lang w:val="en-US"/>
      </w:rPr>
    </w:pPr>
    <w:r>
      <w:rPr>
        <w:rStyle w:val="PageNumber"/>
        <w:b/>
        <w:bCs/>
      </w:rPr>
      <w:fldChar w:fldCharType="begin"/>
    </w:r>
    <w:r w:rsidR="00847DD5">
      <w:rPr>
        <w:rStyle w:val="PageNumber"/>
        <w:b/>
        <w:bCs/>
        <w:lang w:val="en-US"/>
      </w:rPr>
      <w:instrText xml:space="preserve"> PAGE </w:instrText>
    </w:r>
    <w:r>
      <w:rPr>
        <w:rStyle w:val="PageNumber"/>
        <w:b/>
        <w:bCs/>
      </w:rPr>
      <w:fldChar w:fldCharType="separate"/>
    </w:r>
    <w:r w:rsidR="007D21B6">
      <w:rPr>
        <w:rStyle w:val="PageNumber"/>
        <w:b/>
        <w:bCs/>
        <w:noProof/>
        <w:lang w:val="en-US"/>
      </w:rPr>
      <w:t>6</w:t>
    </w:r>
    <w:r>
      <w:rPr>
        <w:rStyle w:val="PageNumber"/>
        <w:b/>
        <w:bCs/>
      </w:rPr>
      <w:fldChar w:fldCharType="end"/>
    </w:r>
    <w:r w:rsidR="00847DD5">
      <w:rPr>
        <w:lang w:val="en-US"/>
      </w:rPr>
      <w:tab/>
    </w:r>
    <w:fldSimple w:instr=" DOCPROPERTY &quot;Header&quot; \* MERGEFORMAT ">
      <w:r w:rsidR="007D21B6" w:rsidRPr="007D21B6">
        <w:rPr>
          <w:b/>
          <w:bCs/>
          <w:lang w:val="en-US"/>
        </w:rPr>
        <w:t xml:space="preserve">Rec. </w:t>
      </w:r>
    </w:fldSimple>
    <w:r w:rsidR="00847DD5">
      <w:rPr>
        <w:b/>
        <w:bCs/>
      </w:rPr>
      <w:t xml:space="preserve"> </w:t>
    </w:r>
    <w:r>
      <w:rPr>
        <w:b/>
        <w:bCs/>
      </w:rPr>
      <w:fldChar w:fldCharType="begin"/>
    </w:r>
    <w:r w:rsidR="00847DD5">
      <w:rPr>
        <w:b/>
        <w:bCs/>
        <w:lang w:val="en-US"/>
      </w:rPr>
      <w:instrText>styleref href</w:instrText>
    </w:r>
    <w:r>
      <w:rPr>
        <w:b/>
        <w:bCs/>
      </w:rPr>
      <w:fldChar w:fldCharType="separate"/>
    </w:r>
    <w:r w:rsidR="007D21B6">
      <w:rPr>
        <w:b/>
        <w:bCs/>
        <w:noProof/>
      </w:rPr>
      <w:t>UIT-R  F.1570-2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847DD5">
    <w:pPr>
      <w:pStyle w:val="Header"/>
    </w:pPr>
    <w:r>
      <w:tab/>
    </w:r>
    <w:fldSimple w:instr=" DOCPROPERTY &quot;Header&quot; \* MERGEFORMAT ">
      <w:r w:rsidR="007D21B6" w:rsidRPr="007D21B6">
        <w:rPr>
          <w:b/>
          <w:bCs/>
        </w:rPr>
        <w:t xml:space="preserve">Rec. </w:t>
      </w:r>
    </w:fldSimple>
    <w:r>
      <w:rPr>
        <w:b/>
        <w:bCs/>
      </w:rPr>
      <w:t xml:space="preserve"> </w:t>
    </w:r>
    <w:r w:rsidR="00051382">
      <w:rPr>
        <w:b/>
        <w:bCs/>
      </w:rPr>
      <w:fldChar w:fldCharType="begin"/>
    </w:r>
    <w:r>
      <w:rPr>
        <w:b/>
        <w:bCs/>
      </w:rPr>
      <w:instrText>styleref href</w:instrText>
    </w:r>
    <w:r w:rsidR="00051382">
      <w:rPr>
        <w:b/>
        <w:bCs/>
      </w:rPr>
      <w:fldChar w:fldCharType="separate"/>
    </w:r>
    <w:r w:rsidR="007D21B6">
      <w:rPr>
        <w:b/>
        <w:bCs/>
        <w:noProof/>
      </w:rPr>
      <w:t>UIT-R  F.1570-2</w:t>
    </w:r>
    <w:r w:rsidR="00051382">
      <w:rPr>
        <w:b/>
        <w:bCs/>
      </w:rPr>
      <w:fldChar w:fldCharType="end"/>
    </w:r>
    <w:r>
      <w:tab/>
    </w:r>
    <w:r w:rsidR="00051382">
      <w:rPr>
        <w:rStyle w:val="PageNumber"/>
        <w:b/>
        <w:bCs/>
      </w:rPr>
      <w:fldChar w:fldCharType="begin"/>
    </w:r>
    <w:r>
      <w:rPr>
        <w:rStyle w:val="PageNumber"/>
        <w:b/>
        <w:bCs/>
      </w:rPr>
      <w:instrText xml:space="preserve"> PAGE </w:instrText>
    </w:r>
    <w:r w:rsidR="00051382">
      <w:rPr>
        <w:rStyle w:val="PageNumber"/>
        <w:b/>
        <w:bCs/>
      </w:rPr>
      <w:fldChar w:fldCharType="separate"/>
    </w:r>
    <w:r w:rsidR="007D21B6">
      <w:rPr>
        <w:rStyle w:val="PageNumber"/>
        <w:b/>
        <w:bCs/>
        <w:noProof/>
      </w:rPr>
      <w:t>5</w:t>
    </w:r>
    <w:r w:rsidR="00051382">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1"/>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051"/>
  </w:hdrShapeDefaults>
  <w:footnotePr>
    <w:footnote w:id="-1"/>
    <w:footnote w:id="0"/>
  </w:footnotePr>
  <w:endnotePr>
    <w:endnote w:id="-1"/>
    <w:endnote w:id="0"/>
  </w:endnotePr>
  <w:compat/>
  <w:rsids>
    <w:rsidRoot w:val="00B1717A"/>
    <w:rsid w:val="00051382"/>
    <w:rsid w:val="000F2EAA"/>
    <w:rsid w:val="0015147F"/>
    <w:rsid w:val="002D76C4"/>
    <w:rsid w:val="00363835"/>
    <w:rsid w:val="004532F7"/>
    <w:rsid w:val="0049104D"/>
    <w:rsid w:val="00546693"/>
    <w:rsid w:val="00593832"/>
    <w:rsid w:val="005A236A"/>
    <w:rsid w:val="005A6102"/>
    <w:rsid w:val="00607D68"/>
    <w:rsid w:val="00643006"/>
    <w:rsid w:val="006B22C3"/>
    <w:rsid w:val="0072152F"/>
    <w:rsid w:val="007D21B6"/>
    <w:rsid w:val="00834A65"/>
    <w:rsid w:val="00847DD5"/>
    <w:rsid w:val="008B517D"/>
    <w:rsid w:val="009F2169"/>
    <w:rsid w:val="00A6617B"/>
    <w:rsid w:val="00A97E4D"/>
    <w:rsid w:val="00AB0DC8"/>
    <w:rsid w:val="00B1717A"/>
    <w:rsid w:val="00B44E24"/>
    <w:rsid w:val="00B900D5"/>
    <w:rsid w:val="00BF7841"/>
    <w:rsid w:val="00D0549D"/>
    <w:rsid w:val="00D13190"/>
    <w:rsid w:val="00D50E83"/>
    <w:rsid w:val="00D62884"/>
    <w:rsid w:val="00DF4176"/>
    <w:rsid w:val="00F6433A"/>
    <w:rsid w:val="00FA58E7"/>
    <w:rsid w:val="00FB56B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0E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50E83"/>
    <w:pPr>
      <w:keepNext/>
      <w:keepLines/>
      <w:spacing w:before="480"/>
      <w:ind w:left="794" w:hanging="794"/>
      <w:outlineLvl w:val="0"/>
    </w:pPr>
    <w:rPr>
      <w:b/>
    </w:rPr>
  </w:style>
  <w:style w:type="paragraph" w:styleId="Heading2">
    <w:name w:val="heading 2"/>
    <w:basedOn w:val="Heading1"/>
    <w:next w:val="Normal"/>
    <w:qFormat/>
    <w:rsid w:val="00D50E83"/>
    <w:pPr>
      <w:spacing w:before="320"/>
      <w:outlineLvl w:val="1"/>
    </w:pPr>
  </w:style>
  <w:style w:type="paragraph" w:styleId="Heading3">
    <w:name w:val="heading 3"/>
    <w:basedOn w:val="Heading1"/>
    <w:next w:val="Normal"/>
    <w:qFormat/>
    <w:rsid w:val="00D50E83"/>
    <w:pPr>
      <w:spacing w:before="200"/>
      <w:outlineLvl w:val="2"/>
    </w:pPr>
  </w:style>
  <w:style w:type="paragraph" w:styleId="Heading4">
    <w:name w:val="heading 4"/>
    <w:basedOn w:val="Heading3"/>
    <w:next w:val="Normal"/>
    <w:qFormat/>
    <w:rsid w:val="00D50E83"/>
    <w:pPr>
      <w:tabs>
        <w:tab w:val="clear" w:pos="794"/>
        <w:tab w:val="left" w:pos="992"/>
      </w:tabs>
      <w:ind w:left="992" w:hanging="992"/>
      <w:outlineLvl w:val="3"/>
    </w:pPr>
  </w:style>
  <w:style w:type="paragraph" w:styleId="Heading5">
    <w:name w:val="heading 5"/>
    <w:basedOn w:val="Heading4"/>
    <w:next w:val="Normal"/>
    <w:qFormat/>
    <w:rsid w:val="00D50E83"/>
    <w:pPr>
      <w:outlineLvl w:val="4"/>
    </w:pPr>
  </w:style>
  <w:style w:type="paragraph" w:styleId="Heading6">
    <w:name w:val="heading 6"/>
    <w:basedOn w:val="Heading4"/>
    <w:next w:val="Normal"/>
    <w:qFormat/>
    <w:rsid w:val="00D50E83"/>
    <w:pPr>
      <w:tabs>
        <w:tab w:val="clear" w:pos="992"/>
        <w:tab w:val="clear" w:pos="1191"/>
      </w:tabs>
      <w:ind w:left="1588" w:hanging="1588"/>
      <w:outlineLvl w:val="5"/>
    </w:pPr>
  </w:style>
  <w:style w:type="paragraph" w:styleId="Heading7">
    <w:name w:val="heading 7"/>
    <w:basedOn w:val="Heading6"/>
    <w:next w:val="Normal"/>
    <w:qFormat/>
    <w:rsid w:val="00D50E83"/>
    <w:pPr>
      <w:outlineLvl w:val="6"/>
    </w:pPr>
  </w:style>
  <w:style w:type="paragraph" w:styleId="Heading8">
    <w:name w:val="heading 8"/>
    <w:basedOn w:val="Heading6"/>
    <w:next w:val="Normal"/>
    <w:qFormat/>
    <w:rsid w:val="00D50E83"/>
    <w:pPr>
      <w:outlineLvl w:val="7"/>
    </w:pPr>
  </w:style>
  <w:style w:type="paragraph" w:styleId="Heading9">
    <w:name w:val="heading 9"/>
    <w:basedOn w:val="Heading6"/>
    <w:next w:val="Normal"/>
    <w:qFormat/>
    <w:rsid w:val="00D50E83"/>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0E8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50E8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50E83"/>
  </w:style>
  <w:style w:type="paragraph" w:customStyle="1" w:styleId="Headingb">
    <w:name w:val="Heading_b"/>
    <w:basedOn w:val="Heading3"/>
    <w:next w:val="Normal"/>
    <w:rsid w:val="00D50E83"/>
    <w:pPr>
      <w:spacing w:before="160"/>
      <w:ind w:left="0" w:firstLine="0"/>
      <w:outlineLvl w:val="9"/>
    </w:pPr>
  </w:style>
  <w:style w:type="paragraph" w:customStyle="1" w:styleId="Headingi">
    <w:name w:val="Heading_i"/>
    <w:basedOn w:val="Heading3"/>
    <w:next w:val="Normal"/>
    <w:rsid w:val="00D50E83"/>
    <w:pPr>
      <w:spacing w:before="160"/>
      <w:ind w:left="0" w:firstLine="0"/>
    </w:pPr>
    <w:rPr>
      <w:b w:val="0"/>
      <w:i/>
    </w:rPr>
  </w:style>
  <w:style w:type="character" w:customStyle="1" w:styleId="href">
    <w:name w:val="href"/>
    <w:basedOn w:val="DefaultParagraphFont"/>
    <w:rsid w:val="00D50E83"/>
  </w:style>
  <w:style w:type="paragraph" w:customStyle="1" w:styleId="enumlev1">
    <w:name w:val="enumlev1"/>
    <w:basedOn w:val="Normal"/>
    <w:rsid w:val="00D50E83"/>
    <w:pPr>
      <w:spacing w:before="80"/>
      <w:ind w:left="794" w:hanging="794"/>
    </w:pPr>
  </w:style>
  <w:style w:type="paragraph" w:customStyle="1" w:styleId="enumlev2">
    <w:name w:val="enumlev2"/>
    <w:basedOn w:val="enumlev1"/>
    <w:rsid w:val="00D50E83"/>
    <w:pPr>
      <w:ind w:left="1191" w:hanging="397"/>
    </w:pPr>
  </w:style>
  <w:style w:type="paragraph" w:customStyle="1" w:styleId="enumlev3">
    <w:name w:val="enumlev3"/>
    <w:basedOn w:val="enumlev2"/>
    <w:rsid w:val="00D50E83"/>
    <w:pPr>
      <w:ind w:left="1588"/>
    </w:pPr>
  </w:style>
  <w:style w:type="paragraph" w:customStyle="1" w:styleId="Normalaftertitle">
    <w:name w:val="Normal_after_title"/>
    <w:basedOn w:val="Normal"/>
    <w:next w:val="Normal"/>
    <w:rsid w:val="00D50E83"/>
    <w:pPr>
      <w:spacing w:before="320"/>
    </w:pPr>
  </w:style>
  <w:style w:type="paragraph" w:customStyle="1" w:styleId="Note">
    <w:name w:val="Note"/>
    <w:basedOn w:val="Normal"/>
    <w:rsid w:val="00D50E8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0E8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50E83"/>
    <w:pPr>
      <w:spacing w:before="240"/>
    </w:pPr>
    <w:rPr>
      <w:sz w:val="22"/>
      <w:lang w:val="es-ES_tradnl"/>
    </w:rPr>
  </w:style>
  <w:style w:type="paragraph" w:customStyle="1" w:styleId="Recref">
    <w:name w:val="Rec_ref"/>
    <w:basedOn w:val="Normal"/>
    <w:next w:val="Recdate"/>
    <w:rsid w:val="00D50E83"/>
    <w:pPr>
      <w:jc w:val="center"/>
    </w:pPr>
  </w:style>
  <w:style w:type="paragraph" w:customStyle="1" w:styleId="Recdate">
    <w:name w:val="Rec_date"/>
    <w:basedOn w:val="Recref"/>
    <w:next w:val="Normalaftertitle"/>
    <w:rsid w:val="00D50E83"/>
    <w:pPr>
      <w:jc w:val="right"/>
    </w:pPr>
  </w:style>
  <w:style w:type="paragraph" w:customStyle="1" w:styleId="AnnexNoTitle">
    <w:name w:val="Annex_NoTitle"/>
    <w:basedOn w:val="Normal"/>
    <w:next w:val="Normalaftertitle"/>
    <w:rsid w:val="00D50E83"/>
    <w:pPr>
      <w:keepNext/>
      <w:keepLines/>
      <w:spacing w:before="480" w:after="80"/>
      <w:jc w:val="center"/>
    </w:pPr>
    <w:rPr>
      <w:b/>
      <w:sz w:val="28"/>
    </w:rPr>
  </w:style>
  <w:style w:type="paragraph" w:customStyle="1" w:styleId="AppendixNoTitle">
    <w:name w:val="Appendix_NoTitle"/>
    <w:basedOn w:val="AnnexNoTitle"/>
    <w:next w:val="Normal"/>
    <w:rsid w:val="00D50E83"/>
  </w:style>
  <w:style w:type="paragraph" w:customStyle="1" w:styleId="Tablefin">
    <w:name w:val="Table_fin"/>
    <w:basedOn w:val="Normal"/>
    <w:next w:val="Normal"/>
    <w:rsid w:val="00D50E83"/>
    <w:pPr>
      <w:spacing w:before="0"/>
    </w:pPr>
    <w:rPr>
      <w:sz w:val="20"/>
      <w:lang w:val="en-GB"/>
    </w:rPr>
  </w:style>
  <w:style w:type="paragraph" w:customStyle="1" w:styleId="Tablehead">
    <w:name w:val="Table_head"/>
    <w:basedOn w:val="Normal"/>
    <w:next w:val="Normal"/>
    <w:rsid w:val="00D50E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50E83"/>
    <w:pPr>
      <w:keepNext/>
      <w:spacing w:before="360" w:after="120"/>
      <w:jc w:val="center"/>
    </w:pPr>
  </w:style>
  <w:style w:type="paragraph" w:customStyle="1" w:styleId="Tabletext">
    <w:name w:val="Table_text"/>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50E83"/>
    <w:pPr>
      <w:tabs>
        <w:tab w:val="clear" w:pos="1191"/>
        <w:tab w:val="clear" w:pos="1588"/>
        <w:tab w:val="clear" w:pos="1985"/>
        <w:tab w:val="center" w:pos="4820"/>
        <w:tab w:val="right" w:pos="9639"/>
      </w:tabs>
    </w:pPr>
  </w:style>
  <w:style w:type="paragraph" w:customStyle="1" w:styleId="Equationlegend">
    <w:name w:val="Equation_legend"/>
    <w:basedOn w:val="NormalIndent"/>
    <w:rsid w:val="00D50E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0E83"/>
    <w:pPr>
      <w:ind w:left="794"/>
    </w:pPr>
  </w:style>
  <w:style w:type="paragraph" w:customStyle="1" w:styleId="Figurelegend">
    <w:name w:val="Figure_legend"/>
    <w:basedOn w:val="Normal"/>
    <w:rsid w:val="00D50E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50E83"/>
    <w:pPr>
      <w:keepNext/>
      <w:keepLines/>
      <w:spacing w:before="480" w:after="80"/>
      <w:jc w:val="center"/>
    </w:pPr>
    <w:rPr>
      <w:caps/>
      <w:sz w:val="18"/>
    </w:rPr>
  </w:style>
  <w:style w:type="paragraph" w:customStyle="1" w:styleId="tocpart">
    <w:name w:val="tocpart"/>
    <w:basedOn w:val="Normal"/>
    <w:rsid w:val="00D50E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0E83"/>
    <w:pPr>
      <w:keepNext/>
      <w:keepLines/>
      <w:spacing w:before="480"/>
      <w:jc w:val="center"/>
    </w:pPr>
    <w:rPr>
      <w:sz w:val="28"/>
    </w:rPr>
  </w:style>
  <w:style w:type="paragraph" w:customStyle="1" w:styleId="Arttitle">
    <w:name w:val="Art_title"/>
    <w:basedOn w:val="Normal"/>
    <w:next w:val="Normalaftertitle"/>
    <w:rsid w:val="00D50E83"/>
    <w:pPr>
      <w:keepNext/>
      <w:keepLines/>
      <w:spacing w:before="240"/>
      <w:jc w:val="center"/>
    </w:pPr>
    <w:rPr>
      <w:b/>
      <w:sz w:val="28"/>
    </w:rPr>
  </w:style>
  <w:style w:type="paragraph" w:customStyle="1" w:styleId="Blanc">
    <w:name w:val="Blanc"/>
    <w:basedOn w:val="Normal"/>
    <w:next w:val="Tabletext"/>
    <w:rsid w:val="00D50E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0E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50E83"/>
    <w:pPr>
      <w:keepNext/>
      <w:keepLines/>
      <w:spacing w:before="160"/>
      <w:ind w:left="794"/>
    </w:pPr>
    <w:rPr>
      <w:i/>
    </w:rPr>
  </w:style>
  <w:style w:type="paragraph" w:customStyle="1" w:styleId="ChapNo">
    <w:name w:val="Chap_No"/>
    <w:basedOn w:val="ArtNo"/>
    <w:next w:val="Chaptitle"/>
    <w:rsid w:val="00D50E83"/>
    <w:rPr>
      <w:b/>
    </w:rPr>
  </w:style>
  <w:style w:type="paragraph" w:customStyle="1" w:styleId="Chaptitle">
    <w:name w:val="Chap_title"/>
    <w:basedOn w:val="Arttitle"/>
    <w:next w:val="Normalaftertitle"/>
    <w:rsid w:val="00D50E83"/>
  </w:style>
  <w:style w:type="character" w:styleId="FootnoteReference">
    <w:name w:val="footnote reference"/>
    <w:basedOn w:val="DefaultParagraphFont"/>
    <w:semiHidden/>
    <w:rsid w:val="00D50E83"/>
    <w:rPr>
      <w:position w:val="6"/>
      <w:sz w:val="18"/>
    </w:rPr>
  </w:style>
  <w:style w:type="paragraph" w:styleId="FootnoteText">
    <w:name w:val="footnote text"/>
    <w:basedOn w:val="Normal"/>
    <w:semiHidden/>
    <w:rsid w:val="00D50E83"/>
    <w:pPr>
      <w:keepLines/>
      <w:tabs>
        <w:tab w:val="left" w:pos="255"/>
      </w:tabs>
      <w:ind w:left="255" w:hanging="255"/>
    </w:pPr>
    <w:rPr>
      <w:sz w:val="22"/>
    </w:rPr>
  </w:style>
  <w:style w:type="paragraph" w:styleId="Index1">
    <w:name w:val="index 1"/>
    <w:basedOn w:val="Normal"/>
    <w:next w:val="Normal"/>
    <w:semiHidden/>
    <w:rsid w:val="00D50E83"/>
  </w:style>
  <w:style w:type="paragraph" w:styleId="Index2">
    <w:name w:val="index 2"/>
    <w:basedOn w:val="Normal"/>
    <w:next w:val="Normal"/>
    <w:semiHidden/>
    <w:rsid w:val="00D50E83"/>
    <w:pPr>
      <w:ind w:left="283"/>
    </w:pPr>
  </w:style>
  <w:style w:type="paragraph" w:styleId="Index3">
    <w:name w:val="index 3"/>
    <w:basedOn w:val="Normal"/>
    <w:next w:val="Normal"/>
    <w:semiHidden/>
    <w:rsid w:val="00D50E83"/>
    <w:pPr>
      <w:ind w:left="566"/>
    </w:pPr>
  </w:style>
  <w:style w:type="paragraph" w:styleId="IndexHeading">
    <w:name w:val="index heading"/>
    <w:basedOn w:val="Normal"/>
    <w:next w:val="Index1"/>
    <w:semiHidden/>
    <w:rsid w:val="00D50E83"/>
  </w:style>
  <w:style w:type="paragraph" w:customStyle="1" w:styleId="Line">
    <w:name w:val="Line"/>
    <w:basedOn w:val="Normal"/>
    <w:next w:val="Normal"/>
    <w:rsid w:val="00D50E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0E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0E83"/>
  </w:style>
  <w:style w:type="paragraph" w:customStyle="1" w:styleId="Partref">
    <w:name w:val="Part_ref"/>
    <w:basedOn w:val="Normal"/>
    <w:next w:val="Normal"/>
    <w:rsid w:val="00D50E83"/>
    <w:pPr>
      <w:keepNext/>
      <w:keepLines/>
      <w:spacing w:after="280"/>
      <w:jc w:val="center"/>
    </w:pPr>
  </w:style>
  <w:style w:type="paragraph" w:customStyle="1" w:styleId="Parttitle">
    <w:name w:val="Part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0E83"/>
  </w:style>
  <w:style w:type="paragraph" w:customStyle="1" w:styleId="QuestionNo">
    <w:name w:val="Question_No"/>
    <w:basedOn w:val="RecNo"/>
    <w:next w:val="Normal"/>
    <w:rsid w:val="00D50E83"/>
  </w:style>
  <w:style w:type="paragraph" w:customStyle="1" w:styleId="Questionref">
    <w:name w:val="Question_ref"/>
    <w:basedOn w:val="Recref"/>
    <w:next w:val="Questiondate"/>
    <w:rsid w:val="00D50E83"/>
  </w:style>
  <w:style w:type="paragraph" w:customStyle="1" w:styleId="Questiontitle">
    <w:name w:val="Question_title"/>
    <w:basedOn w:val="Normal"/>
    <w:next w:val="Questionref"/>
    <w:rsid w:val="00D50E83"/>
  </w:style>
  <w:style w:type="paragraph" w:customStyle="1" w:styleId="Reftext">
    <w:name w:val="Ref_text"/>
    <w:basedOn w:val="Normal"/>
    <w:rsid w:val="00D50E83"/>
    <w:pPr>
      <w:ind w:left="794" w:hanging="794"/>
    </w:pPr>
    <w:rPr>
      <w:sz w:val="22"/>
    </w:rPr>
  </w:style>
  <w:style w:type="paragraph" w:customStyle="1" w:styleId="Reftitle">
    <w:name w:val="Ref_title"/>
    <w:basedOn w:val="Normal"/>
    <w:next w:val="Reftext"/>
    <w:rsid w:val="00D50E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0E83"/>
  </w:style>
  <w:style w:type="paragraph" w:customStyle="1" w:styleId="RepNo">
    <w:name w:val="Rep_No"/>
    <w:basedOn w:val="RecNo"/>
    <w:next w:val="Reptitle"/>
    <w:rsid w:val="00D50E83"/>
  </w:style>
  <w:style w:type="paragraph" w:customStyle="1" w:styleId="Repref">
    <w:name w:val="Rep_ref"/>
    <w:basedOn w:val="Recref"/>
    <w:next w:val="Repdate"/>
    <w:rsid w:val="00D50E83"/>
  </w:style>
  <w:style w:type="paragraph" w:customStyle="1" w:styleId="Reptitle">
    <w:name w:val="Rep_title"/>
    <w:basedOn w:val="Rectitle"/>
    <w:next w:val="Repref"/>
    <w:rsid w:val="00D50E83"/>
  </w:style>
  <w:style w:type="paragraph" w:customStyle="1" w:styleId="Resdate">
    <w:name w:val="Res_date"/>
    <w:basedOn w:val="Recdate"/>
    <w:next w:val="Normalaftertitle"/>
    <w:rsid w:val="00D50E83"/>
  </w:style>
  <w:style w:type="paragraph" w:customStyle="1" w:styleId="ResNo">
    <w:name w:val="Res_No"/>
    <w:basedOn w:val="RecNo"/>
    <w:next w:val="Restitle"/>
    <w:rsid w:val="00D50E83"/>
  </w:style>
  <w:style w:type="paragraph" w:customStyle="1" w:styleId="Resref">
    <w:name w:val="Res_ref"/>
    <w:basedOn w:val="Recref"/>
    <w:next w:val="Resdate"/>
    <w:rsid w:val="00D50E83"/>
  </w:style>
  <w:style w:type="paragraph" w:customStyle="1" w:styleId="Restitle">
    <w:name w:val="Res_title"/>
    <w:basedOn w:val="Normal"/>
    <w:next w:val="Resref"/>
    <w:rsid w:val="00D50E83"/>
    <w:pPr>
      <w:spacing w:before="240"/>
      <w:jc w:val="center"/>
    </w:pPr>
    <w:rPr>
      <w:b/>
      <w:sz w:val="28"/>
    </w:rPr>
  </w:style>
  <w:style w:type="paragraph" w:customStyle="1" w:styleId="SectionNo">
    <w:name w:val="Section_No"/>
    <w:basedOn w:val="Normal"/>
    <w:next w:val="Normal"/>
    <w:rsid w:val="00D50E83"/>
  </w:style>
  <w:style w:type="paragraph" w:customStyle="1" w:styleId="Sectiontitle">
    <w:name w:val="Section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0E83"/>
    <w:pPr>
      <w:tabs>
        <w:tab w:val="clear" w:pos="794"/>
        <w:tab w:val="clear" w:pos="1191"/>
        <w:tab w:val="clear" w:pos="1588"/>
        <w:tab w:val="clear" w:pos="1985"/>
        <w:tab w:val="right" w:pos="9611"/>
      </w:tabs>
    </w:pPr>
    <w:rPr>
      <w:i/>
    </w:rPr>
  </w:style>
  <w:style w:type="paragraph" w:styleId="TOC1">
    <w:name w:val="toc 1"/>
    <w:basedOn w:val="Normal"/>
    <w:semiHidden/>
    <w:rsid w:val="00D50E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0E83"/>
    <w:pPr>
      <w:tabs>
        <w:tab w:val="clear" w:pos="567"/>
        <w:tab w:val="left" w:pos="1276"/>
      </w:tabs>
      <w:spacing w:before="160"/>
      <w:ind w:left="1276" w:hanging="709"/>
    </w:pPr>
  </w:style>
  <w:style w:type="paragraph" w:styleId="TOC3">
    <w:name w:val="toc 3"/>
    <w:basedOn w:val="TOC2"/>
    <w:semiHidden/>
    <w:rsid w:val="00D50E83"/>
    <w:pPr>
      <w:tabs>
        <w:tab w:val="clear" w:pos="1276"/>
        <w:tab w:val="left" w:pos="2155"/>
      </w:tabs>
      <w:ind w:left="2155" w:hanging="879"/>
    </w:pPr>
  </w:style>
  <w:style w:type="paragraph" w:styleId="TOC4">
    <w:name w:val="toc 4"/>
    <w:basedOn w:val="TOC3"/>
    <w:semiHidden/>
    <w:rsid w:val="00D50E83"/>
    <w:pPr>
      <w:tabs>
        <w:tab w:val="left" w:pos="3261"/>
      </w:tabs>
      <w:spacing w:before="80"/>
      <w:ind w:left="3261" w:hanging="993"/>
    </w:pPr>
  </w:style>
  <w:style w:type="paragraph" w:styleId="TOC5">
    <w:name w:val="toc 5"/>
    <w:basedOn w:val="TOC4"/>
    <w:semiHidden/>
    <w:rsid w:val="00D50E83"/>
  </w:style>
  <w:style w:type="paragraph" w:styleId="TOC6">
    <w:name w:val="toc 6"/>
    <w:basedOn w:val="TOC4"/>
    <w:semiHidden/>
    <w:rsid w:val="00D50E83"/>
  </w:style>
  <w:style w:type="paragraph" w:styleId="TOC7">
    <w:name w:val="toc 7"/>
    <w:basedOn w:val="TOC4"/>
    <w:semiHidden/>
    <w:rsid w:val="00D50E83"/>
  </w:style>
  <w:style w:type="paragraph" w:styleId="TOC8">
    <w:name w:val="toc 8"/>
    <w:basedOn w:val="TOC4"/>
    <w:semiHidden/>
    <w:rsid w:val="00D50E83"/>
  </w:style>
  <w:style w:type="paragraph" w:customStyle="1" w:styleId="Rectitle">
    <w:name w:val="Rec_title"/>
    <w:basedOn w:val="Normal"/>
    <w:next w:val="Recref"/>
    <w:rsid w:val="00D50E83"/>
    <w:pPr>
      <w:keepNext/>
      <w:keepLines/>
      <w:spacing w:before="240"/>
      <w:jc w:val="center"/>
    </w:pPr>
    <w:rPr>
      <w:b/>
      <w:sz w:val="28"/>
    </w:rPr>
  </w:style>
  <w:style w:type="paragraph" w:customStyle="1" w:styleId="Annexref">
    <w:name w:val="Annex_ref"/>
    <w:basedOn w:val="Normal"/>
    <w:next w:val="Normalaftertitle"/>
    <w:rsid w:val="00D50E83"/>
    <w:pPr>
      <w:keepNext/>
      <w:keepLines/>
      <w:spacing w:after="280"/>
      <w:jc w:val="center"/>
    </w:pPr>
  </w:style>
  <w:style w:type="paragraph" w:customStyle="1" w:styleId="Appendixref">
    <w:name w:val="Appendix_ref"/>
    <w:basedOn w:val="Annexref"/>
    <w:next w:val="Normalaftertitle"/>
    <w:rsid w:val="00D50E83"/>
  </w:style>
  <w:style w:type="paragraph" w:customStyle="1" w:styleId="Figuretitle">
    <w:name w:val="Figure_title"/>
    <w:basedOn w:val="Normal"/>
    <w:next w:val="Figure"/>
    <w:rsid w:val="00D50E8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50E83"/>
    <w:pPr>
      <w:keepNext/>
      <w:spacing w:before="0" w:after="120"/>
      <w:jc w:val="center"/>
    </w:pPr>
    <w:rPr>
      <w:b/>
    </w:rPr>
  </w:style>
  <w:style w:type="paragraph" w:customStyle="1" w:styleId="Summary">
    <w:name w:val="Summary"/>
    <w:basedOn w:val="Normal"/>
    <w:next w:val="Normalaftertitle"/>
    <w:rsid w:val="00D50E83"/>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D50E83"/>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D50E83"/>
    <w:pPr>
      <w:ind w:left="-85" w:firstLine="0"/>
    </w:pPr>
    <w:rPr>
      <w:lang w:val="en-US"/>
    </w:rPr>
  </w:style>
  <w:style w:type="character" w:customStyle="1" w:styleId="FigureNoChar">
    <w:name w:val="Figure_No Char"/>
    <w:basedOn w:val="DefaultParagraphFont"/>
    <w:link w:val="FigureNo"/>
    <w:rsid w:val="00546693"/>
    <w:rPr>
      <w:caps/>
      <w:sz w:val="18"/>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wmf"/><Relationship Id="rId10" Type="http://schemas.openxmlformats.org/officeDocument/2006/relationships/hyperlink" Target="http://www.itu.int/publ/R-REC/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14DB8-149C-473E-95F1-329557FD0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TotalTime>
  <Pages>8</Pages>
  <Words>2339</Words>
  <Characters>11946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14257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9</cp:revision>
  <cp:lastPrinted>2005-02-10T14:54:00Z</cp:lastPrinted>
  <dcterms:created xsi:type="dcterms:W3CDTF">2010-09-14T08:37:00Z</dcterms:created>
  <dcterms:modified xsi:type="dcterms:W3CDTF">2010-09-14T12:16:00Z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