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17A" w:rsidRPr="00575CB8" w:rsidRDefault="00B1717A" w:rsidP="00B1717A">
      <w:pPr>
        <w:rPr>
          <w:lang w:val="en-US"/>
        </w:rPr>
      </w:pPr>
      <w:bookmarkStart w:id="0" w:name="dbreak"/>
      <w:bookmarkEnd w:id="0"/>
    </w:p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p w:rsidR="00B1717A" w:rsidRDefault="00B1717A" w:rsidP="00B1717A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089"/>
      </w:tblGrid>
      <w:tr w:rsidR="00B1717A" w:rsidRPr="0010336F" w:rsidTr="00D62884">
        <w:tc>
          <w:tcPr>
            <w:tcW w:w="10089" w:type="dxa"/>
          </w:tcPr>
          <w:p w:rsidR="00B1717A" w:rsidRPr="0010336F" w:rsidRDefault="00B1717A" w:rsidP="00D628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1717A" w:rsidRPr="0010336F" w:rsidRDefault="00B1717A" w:rsidP="0013212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 w:rsidR="00847DD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F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13212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1502</w:t>
            </w:r>
          </w:p>
          <w:p w:rsidR="00B1717A" w:rsidRPr="0010336F" w:rsidRDefault="00B1717A" w:rsidP="0013212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13212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05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132121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2000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B1717A" w:rsidRPr="0010336F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B1717A" w:rsidRDefault="00132121" w:rsidP="007B2D7D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Protección del servicio fijo en la banda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  <w:t>de frecuencias 8 025-8 400 MHz en compartición con los sistemas</w:t>
            </w:r>
            <w:r w:rsidR="007B2D7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 satélites geoestacionarios</w:t>
            </w:r>
            <w:r w:rsidR="007B2D7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del servicio de exploración</w:t>
            </w:r>
            <w:r w:rsidR="007B2D7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de la Tierra por satélite</w:t>
            </w:r>
            <w:r w:rsidR="007B2D7D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(espacio-Tierra)</w:t>
            </w:r>
          </w:p>
          <w:p w:rsidR="00B1717A" w:rsidRPr="0010336F" w:rsidRDefault="00B1717A" w:rsidP="00D6288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B1717A" w:rsidRPr="0026666F" w:rsidTr="00D62884">
        <w:tc>
          <w:tcPr>
            <w:tcW w:w="10089" w:type="dxa"/>
          </w:tcPr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B1717A" w:rsidRPr="0010336F" w:rsidRDefault="00B1717A" w:rsidP="00D6288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B1717A" w:rsidRPr="0010336F" w:rsidRDefault="00B1717A" w:rsidP="00847DD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 w:rsidR="00847DD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F</w:t>
            </w:r>
          </w:p>
          <w:p w:rsidR="00B1717A" w:rsidRPr="0010336F" w:rsidRDefault="004532F7" w:rsidP="00D62884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Servicio </w:t>
            </w:r>
            <w:r w:rsidR="00847DD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fijo</w:t>
            </w:r>
          </w:p>
        </w:tc>
      </w:tr>
    </w:tbl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spacing w:before="80"/>
        <w:rPr>
          <w:i/>
          <w:sz w:val="22"/>
          <w:lang w:val="es-ES_tradnl"/>
        </w:rPr>
      </w:pPr>
    </w:p>
    <w:p w:rsidR="00B1717A" w:rsidRPr="0026666F" w:rsidRDefault="00B1717A" w:rsidP="00B1717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B1717A" w:rsidRPr="0026666F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1717A" w:rsidRPr="006C718C" w:rsidRDefault="00B1717A" w:rsidP="00B1717A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B1717A" w:rsidRPr="006C718C" w:rsidRDefault="00B1717A" w:rsidP="00B1717A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B1717A" w:rsidRPr="006C718C" w:rsidRDefault="00B1717A" w:rsidP="00B1717A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B1717A" w:rsidRPr="00021E8A" w:rsidRDefault="00B1717A" w:rsidP="00B1717A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B1717A" w:rsidRPr="00021E8A" w:rsidRDefault="00B1717A" w:rsidP="00B1717A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8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C36CA" w:rsidRDefault="00B1717A" w:rsidP="00B1717A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B1717A" w:rsidRPr="00763D08" w:rsidTr="00D62884">
        <w:tc>
          <w:tcPr>
            <w:tcW w:w="9360" w:type="dxa"/>
            <w:gridSpan w:val="2"/>
          </w:tcPr>
          <w:p w:rsidR="00B1717A" w:rsidRPr="00021E8A" w:rsidRDefault="00B1717A" w:rsidP="00D6288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B1717A" w:rsidRPr="00763D08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9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B1717A" w:rsidRPr="00036EE3" w:rsidTr="004532F7">
        <w:tc>
          <w:tcPr>
            <w:tcW w:w="1140" w:type="dxa"/>
            <w:tcBorders>
              <w:bottom w:val="nil"/>
            </w:tcBorders>
          </w:tcPr>
          <w:p w:rsidR="00B1717A" w:rsidRPr="00036EE3" w:rsidRDefault="00B1717A" w:rsidP="00D6288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B1717A" w:rsidRPr="00036EE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B1717A" w:rsidRPr="004532F7" w:rsidTr="004532F7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4532F7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B1717A" w:rsidRPr="006B22C3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6B22C3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B1717A" w:rsidRPr="00847DD5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847DD5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847DD5">
              <w:rPr>
                <w:b w:val="0"/>
                <w:sz w:val="20"/>
              </w:rPr>
              <w:t>Servicio de radiodifusión sonora</w:t>
            </w:r>
          </w:p>
        </w:tc>
      </w:tr>
      <w:tr w:rsidR="00B1717A" w:rsidRPr="00ED2695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ED269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021E8A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B1717A" w:rsidRPr="00847DD5" w:rsidTr="00847DD5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B1717A" w:rsidRPr="00847DD5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847DD5">
              <w:rPr>
                <w:b/>
                <w:bCs/>
                <w:color w:val="000080"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B1717A" w:rsidRPr="00847DD5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/>
                <w:bCs/>
                <w:color w:val="000080"/>
                <w:sz w:val="20"/>
                <w:lang w:val="fr-CH"/>
              </w:rPr>
            </w:pPr>
            <w:r w:rsidRPr="00847DD5">
              <w:rPr>
                <w:b/>
                <w:bCs/>
                <w:color w:val="000080"/>
                <w:sz w:val="20"/>
              </w:rPr>
              <w:t>Servicio fijo</w:t>
            </w:r>
          </w:p>
        </w:tc>
      </w:tr>
      <w:tr w:rsidR="00B1717A" w:rsidRPr="00447DAB" w:rsidTr="00D62884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1717A" w:rsidRPr="0010336F" w:rsidRDefault="00B1717A" w:rsidP="00D6288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B1717A" w:rsidRPr="006C718C" w:rsidTr="00D62884">
        <w:tc>
          <w:tcPr>
            <w:tcW w:w="1140" w:type="dxa"/>
            <w:tcBorders>
              <w:top w:val="nil"/>
            </w:tcBorders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B1717A" w:rsidRPr="00021E8A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B1717A" w:rsidRPr="00021E8A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B1717A" w:rsidRPr="00036EE3" w:rsidTr="00D62884">
        <w:tc>
          <w:tcPr>
            <w:tcW w:w="1140" w:type="dxa"/>
            <w:shd w:val="clear" w:color="auto" w:fill="auto"/>
          </w:tcPr>
          <w:p w:rsidR="00B1717A" w:rsidRPr="001240BC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B1717A" w:rsidRPr="001240BC" w:rsidRDefault="00B1717A" w:rsidP="00D6288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B1717A" w:rsidRPr="00021E8A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B1717A" w:rsidRPr="00036EE3" w:rsidTr="00D62884">
        <w:tc>
          <w:tcPr>
            <w:tcW w:w="1140" w:type="dxa"/>
          </w:tcPr>
          <w:p w:rsidR="00B1717A" w:rsidRPr="00036EE3" w:rsidRDefault="00B1717A" w:rsidP="00D6288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B1717A" w:rsidRPr="00021E8A" w:rsidRDefault="00B1717A" w:rsidP="00D6288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B1717A" w:rsidRPr="00036EE3" w:rsidRDefault="00B1717A" w:rsidP="00B1717A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/>
      </w:tblPr>
      <w:tblGrid>
        <w:gridCol w:w="720"/>
      </w:tblGrid>
      <w:tr w:rsidR="00B1717A" w:rsidTr="00D62884">
        <w:tc>
          <w:tcPr>
            <w:tcW w:w="720" w:type="dxa"/>
          </w:tcPr>
          <w:p w:rsidR="00B1717A" w:rsidRDefault="00B1717A" w:rsidP="00D6288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/>
      </w:tblPr>
      <w:tblGrid>
        <w:gridCol w:w="9360"/>
      </w:tblGrid>
      <w:tr w:rsidR="00B1717A" w:rsidRPr="00763D08" w:rsidTr="00D62884">
        <w:tc>
          <w:tcPr>
            <w:tcW w:w="9360" w:type="dxa"/>
          </w:tcPr>
          <w:p w:rsidR="00B1717A" w:rsidRPr="00763D08" w:rsidRDefault="00B1717A" w:rsidP="00D62884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B1717A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B1717A" w:rsidRPr="00763D08" w:rsidRDefault="00B1717A" w:rsidP="00834A65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834A65">
        <w:rPr>
          <w:sz w:val="20"/>
          <w:lang w:val="es-ES_tradnl"/>
        </w:rPr>
        <w:t>10</w:t>
      </w:r>
    </w:p>
    <w:p w:rsidR="00B1717A" w:rsidRPr="00763D08" w:rsidRDefault="00B1717A" w:rsidP="00B1717A">
      <w:pPr>
        <w:spacing w:before="0"/>
        <w:jc w:val="center"/>
        <w:rPr>
          <w:sz w:val="22"/>
          <w:lang w:val="es-ES_tradnl"/>
        </w:rPr>
      </w:pPr>
    </w:p>
    <w:p w:rsidR="00B1717A" w:rsidRPr="00763D08" w:rsidRDefault="00B1717A" w:rsidP="00834A65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834A65">
        <w:rPr>
          <w:sz w:val="20"/>
          <w:lang w:val="es-ES_tradnl"/>
        </w:rPr>
        <w:t>10</w:t>
      </w:r>
    </w:p>
    <w:p w:rsidR="00B1717A" w:rsidRPr="006C718C" w:rsidRDefault="00B1717A" w:rsidP="00B1717A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B1717A" w:rsidRPr="006C718C" w:rsidRDefault="00B1717A" w:rsidP="00B1717A">
      <w:pPr>
        <w:spacing w:before="160"/>
        <w:rPr>
          <w:i/>
          <w:sz w:val="20"/>
          <w:highlight w:val="yellow"/>
          <w:lang w:val="es-ES_tradnl"/>
        </w:rPr>
        <w:sectPr w:rsidR="00B1717A" w:rsidRPr="006C718C" w:rsidSect="00D62884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132121" w:rsidRDefault="00132121" w:rsidP="00132121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F</w:t>
      </w:r>
      <w:r w:rsidRPr="0010336F">
        <w:rPr>
          <w:rStyle w:val="href"/>
          <w:lang w:val="es-ES_tradnl"/>
        </w:rPr>
        <w:t>.1</w:t>
      </w:r>
      <w:r>
        <w:rPr>
          <w:rStyle w:val="href"/>
          <w:lang w:val="es-ES_tradnl"/>
        </w:rPr>
        <w:t>502</w:t>
      </w:r>
      <w:r w:rsidR="00AB764F">
        <w:rPr>
          <w:rStyle w:val="FootnoteReference"/>
          <w:lang w:val="es-ES_tradnl"/>
        </w:rPr>
        <w:footnoteReference w:customMarkFollows="1" w:id="1"/>
        <w:t>*</w:t>
      </w:r>
      <w:r w:rsidR="00AB764F">
        <w:rPr>
          <w:position w:val="-2"/>
          <w:vertAlign w:val="superscript"/>
          <w:lang w:val="es-ES_tradnl"/>
        </w:rPr>
        <w:t>,</w:t>
      </w:r>
      <w:r w:rsidR="00AB764F">
        <w:rPr>
          <w:lang w:val="es-ES_tradnl"/>
        </w:rPr>
        <w:t xml:space="preserve"> </w:t>
      </w:r>
      <w:r w:rsidR="00AB764F">
        <w:rPr>
          <w:rStyle w:val="FootnoteReference"/>
          <w:lang w:val="es-ES_tradnl"/>
        </w:rPr>
        <w:footnoteReference w:customMarkFollows="1" w:id="2"/>
        <w:t>**</w:t>
      </w:r>
    </w:p>
    <w:p w:rsidR="00132121" w:rsidRDefault="00132121" w:rsidP="00132121">
      <w:pPr>
        <w:pStyle w:val="Rectitle"/>
        <w:rPr>
          <w:lang w:val="es-ES_tradnl"/>
        </w:rPr>
      </w:pPr>
      <w:r>
        <w:rPr>
          <w:lang w:val="es-ES_tradnl"/>
        </w:rPr>
        <w:t>Protección del servicio fijo en la banda de frecuencias 8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025-8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400 MHz</w:t>
      </w:r>
      <w:r>
        <w:rPr>
          <w:lang w:val="es-ES_tradnl"/>
        </w:rPr>
        <w:br/>
        <w:t>en compartición con los sistemas de satélites geoestacionarios del</w:t>
      </w:r>
      <w:r>
        <w:rPr>
          <w:lang w:val="es-ES_tradnl"/>
        </w:rPr>
        <w:br/>
        <w:t>servicio de exploración de la Tierra por satélite (espacio-Tierra)</w:t>
      </w:r>
    </w:p>
    <w:p w:rsidR="00132121" w:rsidRDefault="00132121" w:rsidP="00132121">
      <w:pPr>
        <w:pStyle w:val="Recref"/>
        <w:rPr>
          <w:lang w:val="es-ES_tradnl"/>
        </w:rPr>
      </w:pPr>
      <w:r>
        <w:rPr>
          <w:lang w:val="es-ES_tradnl"/>
        </w:rPr>
        <w:t>(Cuestión UIT</w:t>
      </w:r>
      <w:r>
        <w:rPr>
          <w:lang w:val="es-ES_tradnl"/>
        </w:rPr>
        <w:noBreakHyphen/>
        <w:t>R 113/9)</w:t>
      </w:r>
    </w:p>
    <w:p w:rsidR="00132121" w:rsidRDefault="00132121" w:rsidP="00132121">
      <w:pPr>
        <w:rPr>
          <w:lang w:val="es-ES_tradnl"/>
        </w:rPr>
      </w:pPr>
    </w:p>
    <w:p w:rsidR="00132121" w:rsidRDefault="00132121" w:rsidP="00132121">
      <w:pPr>
        <w:pStyle w:val="Recdate"/>
      </w:pPr>
      <w:r>
        <w:t>(2000)</w:t>
      </w:r>
    </w:p>
    <w:p w:rsidR="00132121" w:rsidRDefault="00132121" w:rsidP="00132121"/>
    <w:p w:rsidR="00132121" w:rsidRDefault="00132121" w:rsidP="00132121">
      <w:pPr>
        <w:pStyle w:val="Normalaftertitle"/>
        <w:rPr>
          <w:lang w:val="es-ES_tradnl"/>
        </w:rPr>
      </w:pPr>
      <w:r>
        <w:rPr>
          <w:lang w:val="es-ES_tradnl"/>
        </w:rPr>
        <w:t>La Asamblea de Radiocomunicaciones de la UIT,</w:t>
      </w:r>
    </w:p>
    <w:p w:rsidR="00132121" w:rsidRDefault="00132121" w:rsidP="00132121">
      <w:pPr>
        <w:pStyle w:val="Call"/>
        <w:rPr>
          <w:lang w:val="es-ES_tradnl"/>
        </w:rPr>
      </w:pPr>
      <w:r>
        <w:rPr>
          <w:lang w:val="es-ES_tradnl"/>
        </w:rPr>
        <w:t>considerando</w:t>
      </w:r>
    </w:p>
    <w:p w:rsidR="00132121" w:rsidRDefault="00132121" w:rsidP="00132121">
      <w:pPr>
        <w:rPr>
          <w:lang w:val="es-ES_tradnl"/>
        </w:rPr>
      </w:pPr>
      <w:r>
        <w:rPr>
          <w:lang w:val="es-ES_tradnl"/>
        </w:rPr>
        <w:t>a)</w:t>
      </w:r>
      <w:r>
        <w:rPr>
          <w:lang w:val="es-ES_tradnl"/>
        </w:rPr>
        <w:tab/>
        <w:t>que, con anterioridad a la CMR-97, la banda 8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025-8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400 MHz estaba atribuida a título secundario al servicio de exploración de la Tierra por satélite (SETS) (espacio-Tierra) en las Regiones 1 y 3, salvo en los países que figuran en el número 5.464 del Reglamento de Radio</w:t>
      </w:r>
      <w:r>
        <w:rPr>
          <w:lang w:val="es-ES_tradnl"/>
        </w:rPr>
        <w:softHyphen/>
        <w:t>comunicaciones (RR);</w:t>
      </w:r>
    </w:p>
    <w:p w:rsidR="00132121" w:rsidRDefault="00132121" w:rsidP="00132121">
      <w:pPr>
        <w:rPr>
          <w:lang w:val="es-ES_tradnl"/>
        </w:rPr>
      </w:pPr>
      <w:r>
        <w:rPr>
          <w:lang w:val="es-ES_tradnl"/>
        </w:rPr>
        <w:t>b)</w:t>
      </w:r>
      <w:r>
        <w:rPr>
          <w:lang w:val="es-ES_tradnl"/>
        </w:rPr>
        <w:tab/>
        <w:t>que los límites de densidad de flujo de potencia (dfp) que figuran en el Cuadro 21</w:t>
      </w:r>
      <w:r>
        <w:rPr>
          <w:lang w:val="es-ES_tradnl"/>
        </w:rPr>
        <w:noBreakHyphen/>
        <w:t>4 del Artículo 21 del RR se aplican a las emisiones procedentes de estaciones espaciales del SETS (espacio-Tierra);</w:t>
      </w:r>
    </w:p>
    <w:p w:rsidR="00132121" w:rsidRDefault="00132121" w:rsidP="00132121">
      <w:pPr>
        <w:rPr>
          <w:lang w:val="es-ES_tradnl"/>
        </w:rPr>
      </w:pPr>
      <w:r>
        <w:rPr>
          <w:lang w:val="es-ES_tradnl"/>
        </w:rPr>
        <w:t>c)</w:t>
      </w:r>
      <w:r>
        <w:rPr>
          <w:lang w:val="es-ES_tradnl"/>
        </w:rPr>
        <w:tab/>
        <w:t>que a las administraciones con atribuciones secundarias antes de la CMR</w:t>
      </w:r>
      <w:r>
        <w:rPr>
          <w:lang w:val="es-ES_tradnl"/>
        </w:rPr>
        <w:noBreakHyphen/>
        <w:t>97 no se les exigió evitar la órbita geoestacionaria por parte del servicio fijo y que, por consiguiente, los límites de dfp definidos en el Cuadro 21</w:t>
      </w:r>
      <w:r>
        <w:rPr>
          <w:lang w:val="es-ES_tradnl"/>
        </w:rPr>
        <w:noBreakHyphen/>
        <w:t>4 del RR producirán una interferencia excesiva en el servicio fijo;</w:t>
      </w:r>
    </w:p>
    <w:p w:rsidR="00132121" w:rsidRDefault="00132121" w:rsidP="00132121">
      <w:pPr>
        <w:rPr>
          <w:lang w:val="es-ES_tradnl"/>
        </w:rPr>
      </w:pPr>
      <w:r>
        <w:rPr>
          <w:lang w:val="es-ES_tradnl"/>
        </w:rPr>
        <w:t>d)</w:t>
      </w:r>
      <w:r>
        <w:rPr>
          <w:lang w:val="es-ES_tradnl"/>
        </w:rPr>
        <w:tab/>
        <w:t>que los límites provisionales de dfp del número 5.462A del RR son inferiores a los que aparecen en el Cuadro 21</w:t>
      </w:r>
      <w:r>
        <w:rPr>
          <w:lang w:val="es-ES_tradnl"/>
        </w:rPr>
        <w:noBreakHyphen/>
        <w:t>4 del RR, para proteger al servicio fijo;</w:t>
      </w:r>
    </w:p>
    <w:p w:rsidR="00132121" w:rsidRDefault="00132121" w:rsidP="00132121">
      <w:pPr>
        <w:rPr>
          <w:lang w:val="es-ES_tradnl"/>
        </w:rPr>
      </w:pPr>
      <w:r>
        <w:rPr>
          <w:lang w:val="es-ES_tradnl"/>
        </w:rPr>
        <w:t>e)</w:t>
      </w:r>
      <w:r>
        <w:rPr>
          <w:lang w:val="es-ES_tradnl"/>
        </w:rPr>
        <w:tab/>
        <w:t>que la banda 8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025-8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400 MHz está siendo ampliamente utilizada por el servicio fijo de acuerdo con la disposición de canales adoptada por el UIT</w:t>
      </w:r>
      <w:r>
        <w:rPr>
          <w:lang w:val="es-ES_tradnl"/>
        </w:rPr>
        <w:noBreakHyphen/>
        <w:t>R para la banda de 8 GHz (véase la Recomendación UIT</w:t>
      </w:r>
      <w:r>
        <w:rPr>
          <w:lang w:val="es-ES_tradnl"/>
        </w:rPr>
        <w:noBreakHyphen/>
        <w:t>R F.386) y también es utilizada por algunos países para las aplicaciones de transmisiones en exteriores de televisión;</w:t>
      </w:r>
    </w:p>
    <w:p w:rsidR="00132121" w:rsidRDefault="00132121" w:rsidP="00132121">
      <w:pPr>
        <w:rPr>
          <w:lang w:val="es-ES_tradnl"/>
        </w:rPr>
      </w:pPr>
      <w:r>
        <w:rPr>
          <w:lang w:val="es-ES_tradnl"/>
        </w:rPr>
        <w:t>f)</w:t>
      </w:r>
      <w:r>
        <w:rPr>
          <w:lang w:val="es-ES_tradnl"/>
        </w:rPr>
        <w:tab/>
        <w:t>que se espera que la principal aplicación del SETS en esta banda corresponda a satélites no geoestacionarios (no OSG), si bien podrían presentarse algunas aplicaciones de satélites geoesta</w:t>
      </w:r>
      <w:r>
        <w:rPr>
          <w:lang w:val="es-ES_tradnl"/>
        </w:rPr>
        <w:softHyphen/>
        <w:t>cionarios (OSG);</w:t>
      </w:r>
    </w:p>
    <w:p w:rsidR="00132121" w:rsidRDefault="00132121" w:rsidP="00132121">
      <w:pPr>
        <w:rPr>
          <w:lang w:val="es-ES_tradnl"/>
        </w:rPr>
      </w:pPr>
      <w:r>
        <w:rPr>
          <w:lang w:val="es-ES_tradnl"/>
        </w:rPr>
        <w:t>g)</w:t>
      </w:r>
      <w:r>
        <w:rPr>
          <w:lang w:val="es-ES_tradnl"/>
        </w:rPr>
        <w:tab/>
        <w:t>que la CMR-97, en su Resolución 124 (CMR-97), resolvió invitar al UIT-R a que estudiara con carácter de urgencia los límites necesarios de dfp que deben aplicarse a las estaciones espaciales de sistemas de satélites OSG del SETS (espacio-Tierra) en la banda de frecuencias 8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025-8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400 MHz cuando no se ha evitado la órbita geoestacionaria por los servicios fijos que comparten la banda,</w:t>
      </w:r>
    </w:p>
    <w:p w:rsidR="00132121" w:rsidRDefault="00132121" w:rsidP="00132121">
      <w:pPr>
        <w:rPr>
          <w:lang w:val="es-ES_tradnl"/>
        </w:rPr>
      </w:pPr>
    </w:p>
    <w:p w:rsidR="00132121" w:rsidRDefault="00132121" w:rsidP="00132121">
      <w:pPr>
        <w:rPr>
          <w:lang w:val="es-ES_tradnl"/>
        </w:rPr>
      </w:pPr>
    </w:p>
    <w:p w:rsidR="00132121" w:rsidRDefault="00132121" w:rsidP="00132121">
      <w:pPr>
        <w:pStyle w:val="Call"/>
        <w:rPr>
          <w:lang w:val="es-ES_tradnl"/>
        </w:rPr>
      </w:pPr>
      <w:r>
        <w:rPr>
          <w:lang w:val="es-ES_tradnl"/>
        </w:rPr>
        <w:br w:type="page"/>
      </w:r>
      <w:r>
        <w:rPr>
          <w:lang w:val="es-ES_tradnl"/>
        </w:rPr>
        <w:lastRenderedPageBreak/>
        <w:t>recomienda</w:t>
      </w:r>
    </w:p>
    <w:p w:rsidR="00132121" w:rsidRDefault="00132121" w:rsidP="00132121">
      <w:pPr>
        <w:rPr>
          <w:lang w:val="es-ES_tradnl"/>
        </w:rPr>
      </w:pPr>
      <w:r>
        <w:rPr>
          <w:b/>
          <w:bCs/>
          <w:lang w:val="es-ES_tradnl"/>
        </w:rPr>
        <w:t>1</w:t>
      </w:r>
      <w:r>
        <w:rPr>
          <w:lang w:val="es-ES_tradnl"/>
        </w:rPr>
        <w:tab/>
        <w:t>que, en la banda de frecuencias 8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025-8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400 MHz compartida entre sistemas de satélites OSG del SETS (espacio</w:t>
      </w:r>
      <w:r>
        <w:rPr>
          <w:lang w:val="es-ES_tradnl"/>
        </w:rPr>
        <w:noBreakHyphen/>
        <w:t>Tierra) y sistemas de relevadores radioeléctricos del servicio fijo, la dfp espectral producida en la superficie de la Tierra (Regiones 1 y 3 únicamente) por emisiones provenientes de un satélite, cualesquiera sean las condiciones y los métodos de modulación, no debería sobrepasar (véanse las Notas 1 y 2):</w:t>
      </w:r>
    </w:p>
    <w:p w:rsidR="00132121" w:rsidRDefault="00132121" w:rsidP="00132121">
      <w:pPr>
        <w:pStyle w:val="enumlev1"/>
        <w:tabs>
          <w:tab w:val="clear" w:pos="1191"/>
          <w:tab w:val="clear" w:pos="1588"/>
          <w:tab w:val="clear" w:pos="1985"/>
          <w:tab w:val="left" w:pos="2835"/>
          <w:tab w:val="left" w:pos="7031"/>
          <w:tab w:val="left" w:pos="7655"/>
        </w:tabs>
        <w:rPr>
          <w:lang w:val="es-ES_tradnl"/>
        </w:rPr>
      </w:pPr>
      <w:r>
        <w:tab/>
      </w:r>
      <w:r>
        <w:rPr>
          <w:lang w:val="es-ES_tradnl"/>
        </w:rPr>
        <w:t>–135</w:t>
      </w:r>
      <w:r>
        <w:rPr>
          <w:lang w:val="es-ES_tradnl"/>
        </w:rPr>
        <w:tab/>
        <w:t>dB(W/m</w:t>
      </w:r>
      <w:r>
        <w:rPr>
          <w:vertAlign w:val="superscript"/>
          <w:lang w:val="es-ES_tradnl"/>
        </w:rPr>
        <w:t>2</w:t>
      </w:r>
      <w:r>
        <w:rPr>
          <w:lang w:val="es-ES_tradnl"/>
        </w:rPr>
        <w:t>) en cualquier banda de 1 MHz</w:t>
      </w:r>
      <w:r>
        <w:rPr>
          <w:lang w:val="es-ES_tradnl"/>
        </w:rPr>
        <w:tab/>
        <w:t>para</w:t>
      </w:r>
      <w:r>
        <w:rPr>
          <w:lang w:val="es-ES_tradnl"/>
        </w:rPr>
        <w:tab/>
      </w:r>
      <w:r>
        <w:t> </w:t>
      </w:r>
      <w:r>
        <w:rPr>
          <w:lang w:val="es-ES_tradnl"/>
        </w:rPr>
        <w:t>0</w:t>
      </w:r>
      <w:r>
        <w:rPr>
          <w:rFonts w:ascii="Symbol" w:hAnsi="Symbol"/>
          <w:lang w:val="es-ES_tradnl"/>
        </w:rPr>
        <w:t></w:t>
      </w:r>
      <w:r>
        <w:rPr>
          <w:lang w:val="es-ES_tradnl"/>
        </w:rPr>
        <w:t xml:space="preserve">  </w:t>
      </w:r>
      <w:r>
        <w:rPr>
          <w:rFonts w:ascii="Symbol" w:hAnsi="Symbol"/>
        </w:rPr>
        <w:sym w:font="Symbol" w:char="F0A3"/>
      </w:r>
      <w:r>
        <w:rPr>
          <w:lang w:val="es-ES_tradnl"/>
        </w:rPr>
        <w:t xml:space="preserve">  </w:t>
      </w:r>
      <w:r>
        <w:rPr>
          <w:rFonts w:ascii="Symbol" w:hAnsi="Symbol"/>
        </w:rPr>
        <w:sym w:font="Symbol" w:char="F071"/>
      </w:r>
      <w:r>
        <w:rPr>
          <w:lang w:val="es-ES_tradnl"/>
        </w:rPr>
        <w:t xml:space="preserve">  &lt;  </w:t>
      </w:r>
      <w:r>
        <w:t> </w:t>
      </w:r>
      <w:r>
        <w:rPr>
          <w:lang w:val="es-ES_tradnl"/>
        </w:rPr>
        <w:t>5</w:t>
      </w:r>
      <w:r>
        <w:rPr>
          <w:rFonts w:ascii="Symbol" w:hAnsi="Symbol"/>
        </w:rPr>
        <w:t></w:t>
      </w:r>
    </w:p>
    <w:p w:rsidR="00132121" w:rsidRDefault="00132121" w:rsidP="00132121">
      <w:pPr>
        <w:pStyle w:val="enumlev1"/>
        <w:tabs>
          <w:tab w:val="clear" w:pos="1191"/>
          <w:tab w:val="clear" w:pos="1588"/>
          <w:tab w:val="clear" w:pos="1985"/>
          <w:tab w:val="left" w:pos="2835"/>
          <w:tab w:val="left" w:pos="7031"/>
          <w:tab w:val="left" w:pos="7655"/>
        </w:tabs>
        <w:rPr>
          <w:lang w:val="es-ES_tradnl"/>
        </w:rPr>
      </w:pPr>
      <w:r>
        <w:rPr>
          <w:lang w:val="es-ES_tradnl"/>
        </w:rPr>
        <w:tab/>
        <w:t>–135 </w:t>
      </w:r>
      <w:r>
        <w:rPr>
          <w:rFonts w:ascii="Symbol" w:hAnsi="Symbol"/>
        </w:rPr>
        <w:t></w:t>
      </w:r>
      <w:r>
        <w:rPr>
          <w:lang w:val="es-ES_tradnl"/>
        </w:rPr>
        <w:t> 0,5(</w:t>
      </w:r>
      <w:r>
        <w:sym w:font="Symbol" w:char="F071"/>
      </w:r>
      <w:r>
        <w:rPr>
          <w:lang w:val="es-ES_tradnl"/>
        </w:rPr>
        <w:t xml:space="preserve"> – 5)</w:t>
      </w:r>
      <w:r>
        <w:rPr>
          <w:lang w:val="es-ES_tradnl"/>
        </w:rPr>
        <w:tab/>
        <w:t>dB(W/m</w:t>
      </w:r>
      <w:r>
        <w:rPr>
          <w:vertAlign w:val="superscript"/>
          <w:lang w:val="es-ES_tradnl"/>
        </w:rPr>
        <w:t>2</w:t>
      </w:r>
      <w:r>
        <w:rPr>
          <w:lang w:val="es-ES_tradnl"/>
        </w:rPr>
        <w:t>) en cualquier banda de 1 MHz</w:t>
      </w:r>
      <w:r>
        <w:rPr>
          <w:lang w:val="es-ES_tradnl"/>
        </w:rPr>
        <w:tab/>
        <w:t>para</w:t>
      </w:r>
      <w:r>
        <w:rPr>
          <w:lang w:val="es-ES_tradnl"/>
        </w:rPr>
        <w:tab/>
      </w:r>
      <w:r>
        <w:t> </w:t>
      </w:r>
      <w:r>
        <w:rPr>
          <w:lang w:val="es-ES_tradnl"/>
        </w:rPr>
        <w:t>5</w:t>
      </w:r>
      <w:r>
        <w:rPr>
          <w:rFonts w:ascii="Symbol" w:hAnsi="Symbol"/>
          <w:lang w:val="es-ES_tradnl"/>
        </w:rPr>
        <w:t></w:t>
      </w:r>
      <w:r>
        <w:rPr>
          <w:lang w:val="es-ES_tradnl"/>
        </w:rPr>
        <w:t xml:space="preserve">  </w:t>
      </w:r>
      <w:r>
        <w:rPr>
          <w:rFonts w:ascii="Symbol" w:hAnsi="Symbol"/>
        </w:rPr>
        <w:sym w:font="Symbol" w:char="F0A3"/>
      </w:r>
      <w:r>
        <w:rPr>
          <w:lang w:val="es-ES_tradnl"/>
        </w:rPr>
        <w:t xml:space="preserve">  </w:t>
      </w:r>
      <w:r>
        <w:rPr>
          <w:rFonts w:ascii="Symbol" w:hAnsi="Symbol"/>
        </w:rPr>
        <w:sym w:font="Symbol" w:char="F071"/>
      </w:r>
      <w:r>
        <w:rPr>
          <w:lang w:val="es-ES_tradnl"/>
        </w:rPr>
        <w:t xml:space="preserve">  </w:t>
      </w:r>
      <w:r>
        <w:rPr>
          <w:rFonts w:ascii="Symbol" w:hAnsi="Symbol"/>
        </w:rPr>
        <w:t></w:t>
      </w:r>
      <w:r>
        <w:rPr>
          <w:lang w:val="es-ES_tradnl"/>
        </w:rPr>
        <w:t xml:space="preserve">  25</w:t>
      </w:r>
      <w:r>
        <w:rPr>
          <w:rFonts w:ascii="Symbol" w:hAnsi="Symbol"/>
        </w:rPr>
        <w:t></w:t>
      </w:r>
    </w:p>
    <w:p w:rsidR="00132121" w:rsidRDefault="00132121" w:rsidP="00132121">
      <w:pPr>
        <w:pStyle w:val="enumlev1"/>
        <w:tabs>
          <w:tab w:val="clear" w:pos="1191"/>
          <w:tab w:val="clear" w:pos="1588"/>
          <w:tab w:val="clear" w:pos="1985"/>
          <w:tab w:val="left" w:pos="2835"/>
          <w:tab w:val="left" w:pos="7031"/>
          <w:tab w:val="left" w:pos="7655"/>
        </w:tabs>
        <w:rPr>
          <w:lang w:val="es-ES_tradnl"/>
        </w:rPr>
      </w:pPr>
      <w:r>
        <w:rPr>
          <w:lang w:val="es-ES_tradnl"/>
        </w:rPr>
        <w:tab/>
        <w:t>–125</w:t>
      </w:r>
      <w:r>
        <w:rPr>
          <w:lang w:val="es-ES_tradnl"/>
        </w:rPr>
        <w:tab/>
        <w:t>dB(W/m</w:t>
      </w:r>
      <w:r>
        <w:rPr>
          <w:vertAlign w:val="superscript"/>
          <w:lang w:val="es-ES_tradnl"/>
        </w:rPr>
        <w:t>2</w:t>
      </w:r>
      <w:r>
        <w:rPr>
          <w:lang w:val="es-ES_tradnl"/>
        </w:rPr>
        <w:t>) en cualquier banda de 1 MHz</w:t>
      </w:r>
      <w:r>
        <w:rPr>
          <w:lang w:val="es-ES_tradnl"/>
        </w:rPr>
        <w:tab/>
        <w:t>para</w:t>
      </w:r>
      <w:r>
        <w:rPr>
          <w:lang w:val="es-ES_tradnl"/>
        </w:rPr>
        <w:tab/>
        <w:t>25</w:t>
      </w:r>
      <w:r>
        <w:rPr>
          <w:rFonts w:ascii="Symbol" w:hAnsi="Symbol"/>
          <w:lang w:val="es-ES_tradnl"/>
        </w:rPr>
        <w:t></w:t>
      </w:r>
      <w:r>
        <w:rPr>
          <w:lang w:val="es-ES_tradnl"/>
        </w:rPr>
        <w:t xml:space="preserve">  </w:t>
      </w:r>
      <w:r>
        <w:rPr>
          <w:rFonts w:ascii="Symbol" w:hAnsi="Symbol"/>
        </w:rPr>
        <w:sym w:font="Symbol" w:char="F0A3"/>
      </w:r>
      <w:r>
        <w:rPr>
          <w:lang w:val="es-ES_tradnl"/>
        </w:rPr>
        <w:t xml:space="preserve">  </w:t>
      </w:r>
      <w:r>
        <w:rPr>
          <w:rFonts w:ascii="Symbol" w:hAnsi="Symbol"/>
        </w:rPr>
        <w:sym w:font="Symbol" w:char="F071"/>
      </w:r>
      <w:r>
        <w:rPr>
          <w:lang w:val="es-ES_tradnl"/>
        </w:rPr>
        <w:t xml:space="preserve">  </w:t>
      </w:r>
      <w:r>
        <w:rPr>
          <w:rFonts w:ascii="Symbol" w:hAnsi="Symbol"/>
        </w:rPr>
        <w:sym w:font="Symbol" w:char="F0A3"/>
      </w:r>
      <w:r>
        <w:rPr>
          <w:lang w:val="es-ES_tradnl"/>
        </w:rPr>
        <w:t xml:space="preserve">  90</w:t>
      </w:r>
      <w:r>
        <w:rPr>
          <w:rFonts w:ascii="Symbol" w:hAnsi="Symbol"/>
        </w:rPr>
        <w:t></w:t>
      </w:r>
    </w:p>
    <w:p w:rsidR="00132121" w:rsidRDefault="00132121" w:rsidP="00132121">
      <w:pPr>
        <w:rPr>
          <w:lang w:val="es-ES_tradnl"/>
        </w:rPr>
      </w:pPr>
      <w:r>
        <w:rPr>
          <w:lang w:val="es-ES_tradnl"/>
        </w:rPr>
        <w:t xml:space="preserve">donde </w:t>
      </w:r>
      <w:r>
        <w:rPr>
          <w:rFonts w:ascii="Symbol" w:hAnsi="Symbol"/>
        </w:rPr>
        <w:sym w:font="Symbol" w:char="F071"/>
      </w:r>
      <w:r>
        <w:rPr>
          <w:lang w:val="es-ES_tradnl"/>
        </w:rPr>
        <w:t xml:space="preserve"> es el ángulo de llegada de la onda de radiofrecuencias (grados por encima del plano del horizonte);</w:t>
      </w:r>
    </w:p>
    <w:p w:rsidR="00132121" w:rsidRDefault="00132121" w:rsidP="00132121">
      <w:pPr>
        <w:rPr>
          <w:lang w:val="es-ES_tradnl"/>
        </w:rPr>
      </w:pPr>
      <w:r>
        <w:rPr>
          <w:b/>
          <w:bCs/>
          <w:lang w:val="es-ES_tradnl"/>
        </w:rPr>
        <w:t>2</w:t>
      </w:r>
      <w:r>
        <w:rPr>
          <w:lang w:val="es-ES_tradnl"/>
        </w:rPr>
        <w:tab/>
        <w:t>que los límites mencionados se apliquen a dfp y ángulos de llegada obtenidos en condiciones de propagación en el espacio libre.</w:t>
      </w:r>
    </w:p>
    <w:p w:rsidR="00132121" w:rsidRDefault="00132121" w:rsidP="00132121">
      <w:pPr>
        <w:rPr>
          <w:lang w:val="es-ES_tradnl"/>
        </w:rPr>
      </w:pPr>
      <w:r>
        <w:rPr>
          <w:lang w:val="es-ES_tradnl"/>
        </w:rPr>
        <w:t xml:space="preserve">NOTA 1 – Los límites de dfp del </w:t>
      </w:r>
      <w:r>
        <w:rPr>
          <w:i/>
          <w:iCs/>
          <w:lang w:val="es-ES_tradnl"/>
        </w:rPr>
        <w:t>recomienda</w:t>
      </w:r>
      <w:r>
        <w:rPr>
          <w:lang w:val="es-ES_tradnl"/>
        </w:rPr>
        <w:t xml:space="preserve"> 1 se han deducido en respuesta a la petición formu</w:t>
      </w:r>
      <w:r>
        <w:rPr>
          <w:lang w:val="es-ES_tradnl"/>
        </w:rPr>
        <w:softHyphen/>
        <w:t>lada en la Resolución 124 (CMR</w:t>
      </w:r>
      <w:r>
        <w:rPr>
          <w:lang w:val="es-ES_tradnl"/>
        </w:rPr>
        <w:noBreakHyphen/>
        <w:t>97) y están destinados a su examen por una futura conferencia mundial de radiocomunicaciones, que podría utilizar esta Recomendación para sustituir los límites que figuran en el número 5.462A del RR. Para la Región 2 y los sistemas de satélites no OSG de las  Regiones 1 y 3 en la banda 8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025-8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400 MHz, seguirán aplicándose los límites de dfp del Cuadro 21</w:t>
      </w:r>
      <w:r>
        <w:rPr>
          <w:lang w:val="es-ES_tradnl"/>
        </w:rPr>
        <w:noBreakHyphen/>
        <w:t>4 del RR.</w:t>
      </w:r>
    </w:p>
    <w:p w:rsidR="00B1717A" w:rsidRDefault="00132121" w:rsidP="00132121">
      <w:pPr>
        <w:rPr>
          <w:lang w:val="es-ES_tradnl"/>
        </w:rPr>
      </w:pPr>
      <w:r>
        <w:rPr>
          <w:lang w:val="es-ES_tradnl"/>
        </w:rPr>
        <w:t xml:space="preserve">NOTA 2 – Al establecer los límites de dfp del </w:t>
      </w:r>
      <w:r>
        <w:rPr>
          <w:i/>
          <w:iCs/>
          <w:lang w:val="es-ES_tradnl"/>
        </w:rPr>
        <w:t xml:space="preserve">recomienda </w:t>
      </w:r>
      <w:r>
        <w:rPr>
          <w:lang w:val="es-ES_tradnl"/>
        </w:rPr>
        <w:t>1, se tuvo en cuenta que muchos sistemas inalámbricos fijos de las Regiones 1 y 3 se establecieron antes de 1997, cuando no se exigía evitar la órbita de satélites OSG y, por consiguiente, se observó que, de aplicarse sin modifi</w:t>
      </w:r>
      <w:r>
        <w:rPr>
          <w:lang w:val="es-ES_tradnl"/>
        </w:rPr>
        <w:softHyphen/>
        <w:t>caciones los límites de dfp del Cuadro 21</w:t>
      </w:r>
      <w:r>
        <w:rPr>
          <w:lang w:val="es-ES_tradnl"/>
        </w:rPr>
        <w:noBreakHyphen/>
        <w:t>4 del RR, se produciría una interferencia excesiva a los sistemas inalámbricos fijos en ángulos pequeños de llegada.</w:t>
      </w:r>
    </w:p>
    <w:p w:rsidR="00132121" w:rsidRDefault="00132121" w:rsidP="00132121">
      <w:pPr>
        <w:rPr>
          <w:lang w:val="es-ES_tradnl"/>
        </w:rPr>
      </w:pPr>
    </w:p>
    <w:p w:rsidR="00132121" w:rsidRDefault="00132121" w:rsidP="00132121">
      <w:pPr>
        <w:rPr>
          <w:lang w:val="es-ES_tradnl"/>
        </w:rPr>
      </w:pPr>
    </w:p>
    <w:p w:rsidR="00132121" w:rsidRPr="00132121" w:rsidRDefault="00132121" w:rsidP="00132121">
      <w:pPr>
        <w:pStyle w:val="Line"/>
      </w:pPr>
    </w:p>
    <w:sectPr w:rsidR="00132121" w:rsidRPr="00132121" w:rsidSect="00B1717A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0D5" w:rsidRDefault="00B900D5">
      <w:r>
        <w:separator/>
      </w:r>
    </w:p>
  </w:endnote>
  <w:endnote w:type="continuationSeparator" w:id="0">
    <w:p w:rsidR="00B900D5" w:rsidRDefault="00B900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0D5" w:rsidRDefault="00B900D5">
      <w:r>
        <w:separator/>
      </w:r>
    </w:p>
  </w:footnote>
  <w:footnote w:type="continuationSeparator" w:id="0">
    <w:p w:rsidR="00B900D5" w:rsidRDefault="00B900D5">
      <w:r>
        <w:continuationSeparator/>
      </w:r>
    </w:p>
  </w:footnote>
  <w:footnote w:id="1">
    <w:p w:rsidR="00AB764F" w:rsidRDefault="00AB764F" w:rsidP="00AB764F">
      <w:pPr>
        <w:pStyle w:val="FootnoteText"/>
        <w:rPr>
          <w:lang w:val="es-ES_tradnl"/>
        </w:rPr>
      </w:pPr>
      <w:r>
        <w:rPr>
          <w:rStyle w:val="FootnoteReference"/>
          <w:lang w:val="es-ES_tradnl"/>
        </w:rPr>
        <w:t>*</w:t>
      </w:r>
      <w:r>
        <w:rPr>
          <w:lang w:val="es-ES_tradnl"/>
        </w:rPr>
        <w:tab/>
        <w:t>Esta Recomendación debe señalarse a la atención de la Comisión de Estudio 7 de Radiocomunicaciones.</w:t>
      </w:r>
    </w:p>
  </w:footnote>
  <w:footnote w:id="2">
    <w:p w:rsidR="00AB764F" w:rsidRDefault="00AB764F" w:rsidP="00AB764F">
      <w:pPr>
        <w:pStyle w:val="FootnoteText"/>
        <w:rPr>
          <w:lang w:val="es-ES_tradnl"/>
        </w:rPr>
      </w:pPr>
      <w:r>
        <w:rPr>
          <w:rStyle w:val="FootnoteReference"/>
          <w:lang w:val="es-ES_tradnl"/>
        </w:rPr>
        <w:t>**</w:t>
      </w:r>
      <w:r>
        <w:rPr>
          <w:lang w:val="es-ES_tradnl"/>
        </w:rPr>
        <w:t xml:space="preserve"> </w:t>
      </w:r>
      <w:r>
        <w:rPr>
          <w:lang w:val="es-ES_tradnl"/>
        </w:rPr>
        <w:tab/>
        <w:t>La Comisión de Estudio 9 de Radiocomunicaciones efectuó modificaciones de redacción en esta Recomendación en 2004.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DD5" w:rsidRDefault="00847DD5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DD5" w:rsidRDefault="0072152F" w:rsidP="00D62884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DD5" w:rsidRDefault="00195FB3" w:rsidP="00B1717A">
    <w:pPr>
      <w:pStyle w:val="Header"/>
      <w:jc w:val="left"/>
    </w:pPr>
    <w:r>
      <w:rPr>
        <w:rStyle w:val="PageNumber"/>
        <w:b/>
        <w:bCs/>
      </w:rPr>
      <w:fldChar w:fldCharType="begin"/>
    </w:r>
    <w:r w:rsidR="00847DD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B2D7D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847DD5">
      <w:tab/>
    </w:r>
    <w:fldSimple w:instr=" DOCPROPERTY &quot;Header&quot; \* MERGEFORMAT ">
      <w:r w:rsidR="007B2D7D" w:rsidRPr="007B2D7D">
        <w:rPr>
          <w:b/>
          <w:bCs/>
          <w:lang w:val="en-US"/>
        </w:rPr>
        <w:t xml:space="preserve">Rec. </w:t>
      </w:r>
    </w:fldSimple>
    <w:r w:rsidR="00847DD5">
      <w:rPr>
        <w:b/>
        <w:bCs/>
      </w:rPr>
      <w:t xml:space="preserve"> </w:t>
    </w:r>
    <w:r>
      <w:rPr>
        <w:b/>
        <w:bCs/>
      </w:rPr>
      <w:fldChar w:fldCharType="begin"/>
    </w:r>
    <w:r w:rsidR="00847DD5">
      <w:rPr>
        <w:b/>
        <w:bCs/>
      </w:rPr>
      <w:instrText>styleref href</w:instrText>
    </w:r>
    <w:r>
      <w:rPr>
        <w:b/>
        <w:bCs/>
      </w:rPr>
      <w:fldChar w:fldCharType="separate"/>
    </w:r>
    <w:r w:rsidR="007B2D7D">
      <w:rPr>
        <w:b/>
        <w:bCs/>
        <w:noProof/>
      </w:rPr>
      <w:t>UIT-R  F.1502</w:t>
    </w:r>
    <w:r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DD5" w:rsidRDefault="00847DD5">
    <w:pPr>
      <w:pStyle w:val="Header"/>
    </w:pPr>
    <w:r>
      <w:tab/>
    </w:r>
    <w:fldSimple w:instr=" DOCPROPERTY &quot;Header&quot; \* MERGEFORMAT ">
      <w:r w:rsidR="007B2D7D" w:rsidRPr="007B2D7D">
        <w:rPr>
          <w:lang w:val="en-US"/>
        </w:rPr>
        <w:t xml:space="preserve">Rec. </w:t>
      </w:r>
    </w:fldSimple>
    <w:r>
      <w:rPr>
        <w:b/>
        <w:bCs/>
      </w:rPr>
      <w:t xml:space="preserve">  </w:t>
    </w:r>
    <w:r w:rsidR="00195FB3">
      <w:rPr>
        <w:b/>
        <w:bCs/>
      </w:rPr>
      <w:fldChar w:fldCharType="begin"/>
    </w:r>
    <w:r>
      <w:rPr>
        <w:b/>
        <w:bCs/>
      </w:rPr>
      <w:instrText>styleref href</w:instrText>
    </w:r>
    <w:r w:rsidR="00195FB3">
      <w:rPr>
        <w:b/>
        <w:bCs/>
      </w:rPr>
      <w:fldChar w:fldCharType="separate"/>
    </w:r>
    <w:r w:rsidR="007B2D7D">
      <w:rPr>
        <w:b/>
        <w:bCs/>
        <w:noProof/>
      </w:rPr>
      <w:t>UIT-R  F.1502</w:t>
    </w:r>
    <w:r w:rsidR="00195FB3">
      <w:rPr>
        <w:b/>
        <w:bCs/>
      </w:rPr>
      <w:fldChar w:fldCharType="end"/>
    </w:r>
    <w:r>
      <w:tab/>
    </w:r>
    <w:r w:rsidR="00195FB3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195FB3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195FB3"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DD5" w:rsidRDefault="00195FB3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847DD5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B2D7D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 w:rsidR="00847DD5">
      <w:rPr>
        <w:lang w:val="en-US"/>
      </w:rPr>
      <w:tab/>
    </w:r>
    <w:fldSimple w:instr=" DOCPROPERTY &quot;Header&quot; \* MERGEFORMAT ">
      <w:r w:rsidR="007B2D7D" w:rsidRPr="007B2D7D">
        <w:rPr>
          <w:b/>
          <w:bCs/>
          <w:lang w:val="en-US"/>
        </w:rPr>
        <w:t xml:space="preserve">Rec. </w:t>
      </w:r>
    </w:fldSimple>
    <w:r w:rsidR="00847DD5">
      <w:rPr>
        <w:b/>
        <w:bCs/>
      </w:rPr>
      <w:t xml:space="preserve"> </w:t>
    </w:r>
    <w:r>
      <w:rPr>
        <w:b/>
        <w:bCs/>
      </w:rPr>
      <w:fldChar w:fldCharType="begin"/>
    </w:r>
    <w:r w:rsidR="00847DD5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B2D7D">
      <w:rPr>
        <w:b/>
        <w:bCs/>
        <w:noProof/>
      </w:rPr>
      <w:t>UIT-R  F.1502</w:t>
    </w:r>
    <w:r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7DD5" w:rsidRDefault="00847DD5">
    <w:pPr>
      <w:pStyle w:val="Header"/>
    </w:pPr>
    <w:r>
      <w:tab/>
    </w:r>
    <w:fldSimple w:instr=" DOCPROPERTY &quot;Header&quot; \* MERGEFORMAT ">
      <w:r w:rsidR="007B2D7D" w:rsidRPr="007B2D7D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195FB3">
      <w:rPr>
        <w:b/>
        <w:bCs/>
      </w:rPr>
      <w:fldChar w:fldCharType="begin"/>
    </w:r>
    <w:r>
      <w:rPr>
        <w:b/>
        <w:bCs/>
      </w:rPr>
      <w:instrText>styleref href</w:instrText>
    </w:r>
    <w:r w:rsidR="00195FB3">
      <w:rPr>
        <w:b/>
        <w:bCs/>
      </w:rPr>
      <w:fldChar w:fldCharType="separate"/>
    </w:r>
    <w:r w:rsidR="007B2D7D">
      <w:rPr>
        <w:b/>
        <w:bCs/>
        <w:noProof/>
      </w:rPr>
      <w:t>UIT-R  F.1502</w:t>
    </w:r>
    <w:r w:rsidR="00195FB3">
      <w:rPr>
        <w:b/>
        <w:bCs/>
      </w:rPr>
      <w:fldChar w:fldCharType="end"/>
    </w:r>
    <w:r>
      <w:tab/>
    </w:r>
    <w:r w:rsidR="00195FB3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195FB3">
      <w:rPr>
        <w:rStyle w:val="PageNumber"/>
        <w:b/>
        <w:bCs/>
      </w:rPr>
      <w:fldChar w:fldCharType="separate"/>
    </w:r>
    <w:r w:rsidR="007B2D7D">
      <w:rPr>
        <w:rStyle w:val="PageNumber"/>
        <w:b/>
        <w:bCs/>
        <w:noProof/>
      </w:rPr>
      <w:t>1</w:t>
    </w:r>
    <w:r w:rsidR="00195FB3">
      <w:rPr>
        <w:rStyle w:val="PageNumber"/>
        <w:b/>
        <w:bCs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SpellingErrors/>
  <w:hideGrammaticalErrors/>
  <w:activeWritingStyle w:appName="MSWord" w:lang="en-US" w:vendorID="64" w:dllVersion="131077" w:nlCheck="1" w:checkStyle="0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B1717A"/>
    <w:rsid w:val="00132121"/>
    <w:rsid w:val="00195FB3"/>
    <w:rsid w:val="002D76C4"/>
    <w:rsid w:val="00363835"/>
    <w:rsid w:val="004532F7"/>
    <w:rsid w:val="00455C3B"/>
    <w:rsid w:val="00593832"/>
    <w:rsid w:val="005A6102"/>
    <w:rsid w:val="00607D68"/>
    <w:rsid w:val="00643006"/>
    <w:rsid w:val="006B22C3"/>
    <w:rsid w:val="0072152F"/>
    <w:rsid w:val="007B2D7D"/>
    <w:rsid w:val="00834A65"/>
    <w:rsid w:val="00847DD5"/>
    <w:rsid w:val="008B517D"/>
    <w:rsid w:val="00A6617B"/>
    <w:rsid w:val="00AB0DC8"/>
    <w:rsid w:val="00AB764F"/>
    <w:rsid w:val="00B1717A"/>
    <w:rsid w:val="00B44E24"/>
    <w:rsid w:val="00B900D5"/>
    <w:rsid w:val="00BF7841"/>
    <w:rsid w:val="00D50E83"/>
    <w:rsid w:val="00D62884"/>
    <w:rsid w:val="00D83A99"/>
    <w:rsid w:val="00DF4176"/>
    <w:rsid w:val="00FB5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50E8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D50E8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D50E8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D50E8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D50E8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D50E83"/>
    <w:pPr>
      <w:outlineLvl w:val="4"/>
    </w:pPr>
  </w:style>
  <w:style w:type="paragraph" w:styleId="Heading6">
    <w:name w:val="heading 6"/>
    <w:basedOn w:val="Heading4"/>
    <w:next w:val="Normal"/>
    <w:qFormat/>
    <w:rsid w:val="00D50E8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D50E83"/>
    <w:pPr>
      <w:outlineLvl w:val="6"/>
    </w:pPr>
  </w:style>
  <w:style w:type="paragraph" w:styleId="Heading8">
    <w:name w:val="heading 8"/>
    <w:basedOn w:val="Heading6"/>
    <w:next w:val="Normal"/>
    <w:qFormat/>
    <w:rsid w:val="00D50E83"/>
    <w:pPr>
      <w:outlineLvl w:val="7"/>
    </w:pPr>
  </w:style>
  <w:style w:type="paragraph" w:styleId="Heading9">
    <w:name w:val="heading 9"/>
    <w:basedOn w:val="Heading6"/>
    <w:next w:val="Normal"/>
    <w:qFormat/>
    <w:rsid w:val="00D50E8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50E8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D50E8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D50E83"/>
  </w:style>
  <w:style w:type="paragraph" w:customStyle="1" w:styleId="Headingb">
    <w:name w:val="Heading_b"/>
    <w:basedOn w:val="Heading3"/>
    <w:next w:val="Normal"/>
    <w:rsid w:val="00D50E8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D50E8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50E83"/>
  </w:style>
  <w:style w:type="paragraph" w:customStyle="1" w:styleId="enumlev1">
    <w:name w:val="enumlev1"/>
    <w:basedOn w:val="Normal"/>
    <w:rsid w:val="00D50E83"/>
    <w:pPr>
      <w:spacing w:before="80"/>
      <w:ind w:left="794" w:hanging="794"/>
    </w:pPr>
  </w:style>
  <w:style w:type="paragraph" w:customStyle="1" w:styleId="enumlev2">
    <w:name w:val="enumlev2"/>
    <w:basedOn w:val="enumlev1"/>
    <w:rsid w:val="00D50E83"/>
    <w:pPr>
      <w:ind w:left="1191" w:hanging="397"/>
    </w:pPr>
  </w:style>
  <w:style w:type="paragraph" w:customStyle="1" w:styleId="enumlev3">
    <w:name w:val="enumlev3"/>
    <w:basedOn w:val="enumlev2"/>
    <w:rsid w:val="00D50E83"/>
    <w:pPr>
      <w:ind w:left="1588"/>
    </w:pPr>
  </w:style>
  <w:style w:type="paragraph" w:customStyle="1" w:styleId="Normalaftertitle">
    <w:name w:val="Normal_after_title"/>
    <w:basedOn w:val="Normal"/>
    <w:next w:val="Normal"/>
    <w:rsid w:val="00D50E83"/>
    <w:pPr>
      <w:spacing w:before="320"/>
    </w:pPr>
  </w:style>
  <w:style w:type="paragraph" w:customStyle="1" w:styleId="Note">
    <w:name w:val="Note"/>
    <w:basedOn w:val="Normal"/>
    <w:rsid w:val="00D50E8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D50E8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D50E83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D50E83"/>
    <w:pPr>
      <w:jc w:val="center"/>
    </w:pPr>
  </w:style>
  <w:style w:type="paragraph" w:customStyle="1" w:styleId="Recdate">
    <w:name w:val="Rec_date"/>
    <w:basedOn w:val="Recref"/>
    <w:next w:val="Normalaftertitle"/>
    <w:rsid w:val="00D50E83"/>
    <w:pPr>
      <w:jc w:val="right"/>
    </w:pPr>
  </w:style>
  <w:style w:type="paragraph" w:customStyle="1" w:styleId="AnnexNoTitle">
    <w:name w:val="Annex_NoTitle"/>
    <w:basedOn w:val="Normal"/>
    <w:next w:val="Normalaftertitle"/>
    <w:rsid w:val="00D50E83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D50E83"/>
  </w:style>
  <w:style w:type="paragraph" w:customStyle="1" w:styleId="Tablefin">
    <w:name w:val="Table_fin"/>
    <w:basedOn w:val="Normal"/>
    <w:next w:val="Normal"/>
    <w:rsid w:val="00D50E8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D50E8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D50E8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D50E8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D50E8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D50E8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D50E8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50E83"/>
    <w:pPr>
      <w:ind w:left="794"/>
    </w:pPr>
  </w:style>
  <w:style w:type="paragraph" w:customStyle="1" w:styleId="Figurelegend">
    <w:name w:val="Figure_legend"/>
    <w:basedOn w:val="Normal"/>
    <w:rsid w:val="00D50E8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50E8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D50E8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50E8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D50E8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D50E8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50E8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D50E8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D50E83"/>
    <w:rPr>
      <w:b/>
    </w:rPr>
  </w:style>
  <w:style w:type="paragraph" w:customStyle="1" w:styleId="Chaptitle">
    <w:name w:val="Chap_title"/>
    <w:basedOn w:val="Arttitle"/>
    <w:next w:val="Normalaftertitle"/>
    <w:rsid w:val="00D50E83"/>
  </w:style>
  <w:style w:type="character" w:styleId="FootnoteReference">
    <w:name w:val="footnote reference"/>
    <w:basedOn w:val="DefaultParagraphFont"/>
    <w:semiHidden/>
    <w:rsid w:val="00D50E83"/>
    <w:rPr>
      <w:position w:val="6"/>
      <w:sz w:val="18"/>
    </w:rPr>
  </w:style>
  <w:style w:type="paragraph" w:styleId="FootnoteText">
    <w:name w:val="footnote text"/>
    <w:basedOn w:val="Normal"/>
    <w:semiHidden/>
    <w:rsid w:val="00D50E83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D50E83"/>
  </w:style>
  <w:style w:type="paragraph" w:styleId="Index2">
    <w:name w:val="index 2"/>
    <w:basedOn w:val="Normal"/>
    <w:next w:val="Normal"/>
    <w:semiHidden/>
    <w:rsid w:val="00D50E83"/>
    <w:pPr>
      <w:ind w:left="283"/>
    </w:pPr>
  </w:style>
  <w:style w:type="paragraph" w:styleId="Index3">
    <w:name w:val="index 3"/>
    <w:basedOn w:val="Normal"/>
    <w:next w:val="Normal"/>
    <w:semiHidden/>
    <w:rsid w:val="00D50E83"/>
    <w:pPr>
      <w:ind w:left="566"/>
    </w:pPr>
  </w:style>
  <w:style w:type="paragraph" w:styleId="IndexHeading">
    <w:name w:val="index heading"/>
    <w:basedOn w:val="Normal"/>
    <w:next w:val="Index1"/>
    <w:semiHidden/>
    <w:rsid w:val="00D50E83"/>
  </w:style>
  <w:style w:type="paragraph" w:customStyle="1" w:styleId="Line">
    <w:name w:val="Line"/>
    <w:basedOn w:val="Normal"/>
    <w:next w:val="Normal"/>
    <w:rsid w:val="00D50E8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50E8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50E83"/>
  </w:style>
  <w:style w:type="paragraph" w:customStyle="1" w:styleId="Partref">
    <w:name w:val="Part_ref"/>
    <w:basedOn w:val="Normal"/>
    <w:next w:val="Normal"/>
    <w:rsid w:val="00D50E8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50E8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D50E83"/>
  </w:style>
  <w:style w:type="paragraph" w:customStyle="1" w:styleId="QuestionNo">
    <w:name w:val="Question_No"/>
    <w:basedOn w:val="RecNo"/>
    <w:next w:val="Normal"/>
    <w:rsid w:val="00D50E83"/>
  </w:style>
  <w:style w:type="paragraph" w:customStyle="1" w:styleId="Questionref">
    <w:name w:val="Question_ref"/>
    <w:basedOn w:val="Recref"/>
    <w:next w:val="Questiondate"/>
    <w:rsid w:val="00D50E83"/>
  </w:style>
  <w:style w:type="paragraph" w:customStyle="1" w:styleId="Questiontitle">
    <w:name w:val="Question_title"/>
    <w:basedOn w:val="Normal"/>
    <w:next w:val="Questionref"/>
    <w:rsid w:val="00D50E83"/>
  </w:style>
  <w:style w:type="paragraph" w:customStyle="1" w:styleId="Reftext">
    <w:name w:val="Ref_text"/>
    <w:basedOn w:val="Normal"/>
    <w:rsid w:val="00D50E83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D50E8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D50E83"/>
  </w:style>
  <w:style w:type="paragraph" w:customStyle="1" w:styleId="RepNo">
    <w:name w:val="Rep_No"/>
    <w:basedOn w:val="RecNo"/>
    <w:next w:val="Reptitle"/>
    <w:rsid w:val="00D50E83"/>
  </w:style>
  <w:style w:type="paragraph" w:customStyle="1" w:styleId="Repref">
    <w:name w:val="Rep_ref"/>
    <w:basedOn w:val="Recref"/>
    <w:next w:val="Repdate"/>
    <w:rsid w:val="00D50E83"/>
  </w:style>
  <w:style w:type="paragraph" w:customStyle="1" w:styleId="Reptitle">
    <w:name w:val="Rep_title"/>
    <w:basedOn w:val="Rectitle"/>
    <w:next w:val="Repref"/>
    <w:rsid w:val="00D50E83"/>
  </w:style>
  <w:style w:type="paragraph" w:customStyle="1" w:styleId="Resdate">
    <w:name w:val="Res_date"/>
    <w:basedOn w:val="Recdate"/>
    <w:next w:val="Normalaftertitle"/>
    <w:rsid w:val="00D50E83"/>
  </w:style>
  <w:style w:type="paragraph" w:customStyle="1" w:styleId="ResNo">
    <w:name w:val="Res_No"/>
    <w:basedOn w:val="RecNo"/>
    <w:next w:val="Restitle"/>
    <w:rsid w:val="00D50E83"/>
  </w:style>
  <w:style w:type="paragraph" w:customStyle="1" w:styleId="Resref">
    <w:name w:val="Res_ref"/>
    <w:basedOn w:val="Recref"/>
    <w:next w:val="Resdate"/>
    <w:rsid w:val="00D50E83"/>
  </w:style>
  <w:style w:type="paragraph" w:customStyle="1" w:styleId="Restitle">
    <w:name w:val="Res_title"/>
    <w:basedOn w:val="Normal"/>
    <w:next w:val="Resref"/>
    <w:rsid w:val="00D50E83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D50E83"/>
  </w:style>
  <w:style w:type="paragraph" w:customStyle="1" w:styleId="Sectiontitle">
    <w:name w:val="Section_title"/>
    <w:basedOn w:val="Normal"/>
    <w:next w:val="Normalaftertitle"/>
    <w:rsid w:val="00D50E8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D50E8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50E8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50E8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50E8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50E8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50E83"/>
  </w:style>
  <w:style w:type="paragraph" w:styleId="TOC6">
    <w:name w:val="toc 6"/>
    <w:basedOn w:val="TOC4"/>
    <w:semiHidden/>
    <w:rsid w:val="00D50E83"/>
  </w:style>
  <w:style w:type="paragraph" w:styleId="TOC7">
    <w:name w:val="toc 7"/>
    <w:basedOn w:val="TOC4"/>
    <w:semiHidden/>
    <w:rsid w:val="00D50E83"/>
  </w:style>
  <w:style w:type="paragraph" w:styleId="TOC8">
    <w:name w:val="toc 8"/>
    <w:basedOn w:val="TOC4"/>
    <w:semiHidden/>
    <w:rsid w:val="00D50E83"/>
  </w:style>
  <w:style w:type="paragraph" w:customStyle="1" w:styleId="Rectitle">
    <w:name w:val="Rec_title"/>
    <w:basedOn w:val="Normal"/>
    <w:next w:val="Recref"/>
    <w:rsid w:val="00D50E83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D50E8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50E83"/>
  </w:style>
  <w:style w:type="paragraph" w:customStyle="1" w:styleId="Figuretitle">
    <w:name w:val="Figure_title"/>
    <w:basedOn w:val="Normal"/>
    <w:next w:val="Figure"/>
    <w:rsid w:val="00D50E8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D50E8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D50E83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B1717A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D50E83"/>
    <w:pPr>
      <w:keepNext w:val="0"/>
      <w:spacing w:before="0" w:after="240"/>
    </w:pPr>
  </w:style>
  <w:style w:type="table" w:styleId="TableGrid">
    <w:name w:val="Table Grid"/>
    <w:basedOn w:val="TableNormal"/>
    <w:rsid w:val="00B171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LegendNote">
    <w:name w:val="Table_Legend_Note"/>
    <w:basedOn w:val="Tablelegend"/>
    <w:next w:val="Tablelegend"/>
    <w:rsid w:val="00D50E83"/>
    <w:pPr>
      <w:ind w:left="-85" w:firstLine="0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es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es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</TotalTime>
  <Pages>4</Pages>
  <Words>1055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6888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santosbo</dc:creator>
  <cp:keywords/>
  <dc:description/>
  <cp:lastModifiedBy>santosbo</cp:lastModifiedBy>
  <cp:revision>4</cp:revision>
  <cp:lastPrinted>2005-02-10T14:54:00Z</cp:lastPrinted>
  <dcterms:created xsi:type="dcterms:W3CDTF">2010-07-12T11:49:00Z</dcterms:created>
  <dcterms:modified xsi:type="dcterms:W3CDTF">2010-07-12T12:04:00Z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