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p w:rsidR="00C03C96" w:rsidRDefault="00C03C96" w:rsidP="00C03C96"/>
    <w:tbl>
      <w:tblPr>
        <w:tblW w:w="10089" w:type="dxa"/>
        <w:tblLook w:val="01E0" w:firstRow="1" w:lastRow="1" w:firstColumn="1" w:lastColumn="1" w:noHBand="0" w:noVBand="0"/>
      </w:tblPr>
      <w:tblGrid>
        <w:gridCol w:w="10089"/>
      </w:tblGrid>
      <w:tr w:rsidR="00C03C96" w:rsidRPr="00A443C2" w:rsidTr="00785FC3">
        <w:tc>
          <w:tcPr>
            <w:tcW w:w="10089" w:type="dxa"/>
          </w:tcPr>
          <w:p w:rsidR="00C03C96" w:rsidRPr="00B033C8" w:rsidRDefault="00C03C96" w:rsidP="00785FC3">
            <w:pPr>
              <w:spacing w:before="380" w:line="280" w:lineRule="exact"/>
              <w:jc w:val="right"/>
              <w:rPr>
                <w:rFonts w:ascii="Tahoma" w:hAnsi="Tahoma" w:cs="Tahoma"/>
                <w:b/>
                <w:bCs/>
                <w:iCs/>
                <w:color w:val="243285"/>
                <w:sz w:val="32"/>
                <w:szCs w:val="32"/>
                <w:lang w:val="en-US"/>
              </w:rPr>
            </w:pPr>
          </w:p>
          <w:p w:rsidR="00C03C96" w:rsidRPr="00A443C2" w:rsidRDefault="00C03C96" w:rsidP="0083242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832425">
              <w:rPr>
                <w:rFonts w:ascii="Tahoma" w:hAnsi="Tahoma" w:cs="Tahoma"/>
                <w:b/>
                <w:bCs/>
                <w:iCs/>
                <w:color w:val="243285"/>
                <w:sz w:val="36"/>
                <w:szCs w:val="36"/>
              </w:rPr>
              <w:t>1501</w:t>
            </w:r>
          </w:p>
          <w:p w:rsidR="00C03C96" w:rsidRPr="00A443C2" w:rsidRDefault="00C03C96" w:rsidP="0083242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832425">
              <w:rPr>
                <w:rFonts w:ascii="Tahoma" w:hAnsi="Tahoma" w:cs="Tahoma"/>
                <w:b/>
                <w:bCs/>
                <w:iCs/>
                <w:color w:val="243285"/>
                <w:szCs w:val="24"/>
              </w:rPr>
              <w:t>5</w:t>
            </w:r>
            <w:r w:rsidRPr="00A443C2">
              <w:rPr>
                <w:rFonts w:ascii="Tahoma" w:hAnsi="Tahoma" w:cs="Tahoma"/>
                <w:b/>
                <w:bCs/>
                <w:iCs/>
                <w:color w:val="243285"/>
                <w:szCs w:val="24"/>
              </w:rPr>
              <w:t>/</w:t>
            </w:r>
            <w:r w:rsidR="00832425">
              <w:rPr>
                <w:rFonts w:ascii="Tahoma" w:hAnsi="Tahoma" w:cs="Tahoma"/>
                <w:b/>
                <w:bCs/>
                <w:iCs/>
                <w:color w:val="243285"/>
                <w:szCs w:val="24"/>
              </w:rPr>
              <w:t>2000</w:t>
            </w:r>
            <w:r w:rsidRPr="00A443C2">
              <w:rPr>
                <w:rFonts w:ascii="Tahoma" w:hAnsi="Tahoma" w:cs="Tahoma"/>
                <w:b/>
                <w:bCs/>
                <w:iCs/>
                <w:color w:val="243285"/>
                <w:szCs w:val="24"/>
              </w:rPr>
              <w:t>)</w:t>
            </w:r>
          </w:p>
        </w:tc>
      </w:tr>
      <w:tr w:rsidR="00C03C96" w:rsidRPr="00F54FBD" w:rsidTr="00785FC3">
        <w:tc>
          <w:tcPr>
            <w:tcW w:w="10089" w:type="dxa"/>
          </w:tcPr>
          <w:p w:rsidR="00C03C96" w:rsidRDefault="00C03C96" w:rsidP="00785FC3">
            <w:pPr>
              <w:spacing w:before="80" w:line="500" w:lineRule="exact"/>
              <w:jc w:val="right"/>
              <w:rPr>
                <w:rFonts w:ascii="Tahoma" w:hAnsi="Tahoma" w:cs="Tahoma"/>
                <w:b/>
                <w:bCs/>
                <w:iCs/>
                <w:color w:val="243285"/>
                <w:sz w:val="44"/>
                <w:szCs w:val="44"/>
              </w:rPr>
            </w:pPr>
          </w:p>
          <w:p w:rsidR="00C03C96" w:rsidRPr="00832425" w:rsidRDefault="00832425" w:rsidP="00785FC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Distance de coordination pour les systèmes du service fixe utilisant des stations placées sur des plates-formes à haute altitude (HAPS) qui partagent les bandes de fréquences 47,2-47,5 GHz et 47,9-48,2 GHz avec d'autres systèmes du service fixe</w:t>
            </w:r>
          </w:p>
          <w:p w:rsidR="00C03C96" w:rsidRPr="00F54FBD" w:rsidRDefault="00C03C96" w:rsidP="00785FC3">
            <w:pPr>
              <w:spacing w:before="80" w:line="500" w:lineRule="exact"/>
              <w:jc w:val="right"/>
              <w:rPr>
                <w:rFonts w:ascii="Tahoma" w:hAnsi="Tahoma" w:cs="Tahoma"/>
                <w:b/>
                <w:bCs/>
                <w:iCs/>
                <w:color w:val="243285"/>
                <w:sz w:val="44"/>
                <w:szCs w:val="44"/>
              </w:rPr>
            </w:pPr>
          </w:p>
        </w:tc>
      </w:tr>
      <w:tr w:rsidR="00C03C96" w:rsidRPr="00F54FBD" w:rsidTr="00785FC3">
        <w:tc>
          <w:tcPr>
            <w:tcW w:w="10089" w:type="dxa"/>
          </w:tcPr>
          <w:p w:rsidR="00C03C96" w:rsidRPr="00F54FBD" w:rsidRDefault="00C03C96" w:rsidP="00785FC3">
            <w:pPr>
              <w:spacing w:before="80" w:line="280" w:lineRule="exact"/>
              <w:ind w:right="640"/>
              <w:rPr>
                <w:rFonts w:ascii="Tahoma" w:hAnsi="Tahoma" w:cs="Tahoma"/>
                <w:b/>
                <w:bCs/>
                <w:iCs/>
                <w:color w:val="243285"/>
                <w:sz w:val="32"/>
                <w:szCs w:val="32"/>
              </w:rPr>
            </w:pPr>
          </w:p>
          <w:p w:rsidR="00C03C96" w:rsidRPr="00F54FBD" w:rsidRDefault="00C03C96" w:rsidP="00785FC3">
            <w:pPr>
              <w:spacing w:before="80" w:line="280" w:lineRule="exact"/>
              <w:ind w:right="640"/>
              <w:rPr>
                <w:rFonts w:ascii="Tahoma" w:hAnsi="Tahoma" w:cs="Tahoma"/>
                <w:b/>
                <w:bCs/>
                <w:iCs/>
                <w:color w:val="243285"/>
                <w:sz w:val="32"/>
                <w:szCs w:val="32"/>
              </w:rPr>
            </w:pPr>
          </w:p>
          <w:p w:rsidR="00C03C96" w:rsidRPr="00F54FBD" w:rsidRDefault="00C03C96" w:rsidP="00785FC3">
            <w:pPr>
              <w:spacing w:before="80" w:after="180" w:line="360" w:lineRule="exact"/>
              <w:ind w:right="720"/>
              <w:rPr>
                <w:rFonts w:ascii="Tahoma" w:hAnsi="Tahoma" w:cs="Tahoma"/>
                <w:b/>
                <w:bCs/>
                <w:iCs/>
                <w:color w:val="243285"/>
                <w:sz w:val="36"/>
                <w:szCs w:val="36"/>
              </w:rPr>
            </w:pPr>
          </w:p>
          <w:p w:rsidR="00C03C96" w:rsidRPr="00F54FBD" w:rsidRDefault="00C03C96" w:rsidP="00785FC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C03C96" w:rsidRPr="00F54FBD" w:rsidRDefault="00C03C96" w:rsidP="00785FC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C03C96" w:rsidRPr="00F54FBD" w:rsidRDefault="00C03C96" w:rsidP="00C03C96">
      <w:pPr>
        <w:spacing w:before="80"/>
        <w:rPr>
          <w:i/>
          <w:sz w:val="22"/>
        </w:rPr>
      </w:pPr>
    </w:p>
    <w:p w:rsidR="00C03C96" w:rsidRPr="00F54FBD" w:rsidRDefault="00C03C96" w:rsidP="00C03C96">
      <w:pPr>
        <w:spacing w:before="80"/>
        <w:rPr>
          <w:i/>
          <w:sz w:val="22"/>
        </w:rPr>
      </w:pPr>
    </w:p>
    <w:p w:rsidR="00C03C96" w:rsidRPr="00F54FBD" w:rsidRDefault="00C03C96" w:rsidP="00C03C96">
      <w:pPr>
        <w:spacing w:before="80"/>
        <w:rPr>
          <w:i/>
          <w:sz w:val="22"/>
        </w:rPr>
      </w:pPr>
    </w:p>
    <w:p w:rsidR="00C03C96" w:rsidRPr="00F54FBD" w:rsidRDefault="00C03C96" w:rsidP="00C03C96">
      <w:pPr>
        <w:spacing w:before="80"/>
        <w:rPr>
          <w:i/>
          <w:sz w:val="22"/>
        </w:rPr>
      </w:pPr>
    </w:p>
    <w:p w:rsidR="00C03C96" w:rsidRPr="00F54FBD" w:rsidRDefault="00C03C96" w:rsidP="00C03C96">
      <w:pPr>
        <w:spacing w:before="80"/>
        <w:rPr>
          <w:i/>
          <w:sz w:val="22"/>
        </w:rPr>
      </w:pPr>
    </w:p>
    <w:p w:rsidR="00C03C96" w:rsidRPr="00F54FBD" w:rsidRDefault="00C03C96" w:rsidP="00C03C96">
      <w:pPr>
        <w:spacing w:before="80"/>
        <w:rPr>
          <w:i/>
          <w:sz w:val="22"/>
        </w:rPr>
      </w:pPr>
    </w:p>
    <w:p w:rsidR="00C03C96" w:rsidRPr="00F54FBD" w:rsidRDefault="00C03C96" w:rsidP="00C03C96">
      <w:pPr>
        <w:pStyle w:val="Equation"/>
        <w:tabs>
          <w:tab w:val="clear" w:pos="4820"/>
          <w:tab w:val="clear" w:pos="9639"/>
          <w:tab w:val="left" w:pos="1191"/>
          <w:tab w:val="left" w:pos="1588"/>
          <w:tab w:val="left" w:pos="1985"/>
        </w:tabs>
        <w:rPr>
          <w:rFonts w:ascii="Palatino Linotype" w:hAnsi="Palatino Linotype"/>
        </w:rPr>
        <w:sectPr w:rsidR="00C03C96" w:rsidRPr="00F54FBD">
          <w:headerReference w:type="even" r:id="rId8"/>
          <w:headerReference w:type="default" r:id="rId9"/>
          <w:pgSz w:w="11907" w:h="16840" w:code="9"/>
          <w:pgMar w:top="1089" w:right="1089" w:bottom="284" w:left="1089" w:header="567" w:footer="284" w:gutter="0"/>
          <w:pgNumType w:start="1"/>
          <w:cols w:space="720"/>
        </w:sectPr>
      </w:pPr>
    </w:p>
    <w:p w:rsidR="00C03C96" w:rsidRPr="00F54FBD" w:rsidRDefault="00C03C96" w:rsidP="00C03C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C03C96" w:rsidRPr="00F54FBD" w:rsidRDefault="00C03C96" w:rsidP="00C03C9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03C96" w:rsidRPr="00F54FBD" w:rsidRDefault="00C03C96" w:rsidP="00C03C9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03C96" w:rsidRPr="00E44CBB" w:rsidRDefault="00C03C96" w:rsidP="00C03C9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03C96" w:rsidRPr="00E44CBB" w:rsidRDefault="00C03C96" w:rsidP="00C03C9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03C96" w:rsidRPr="0043797F" w:rsidRDefault="00C03C96" w:rsidP="00C03C9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03C96" w:rsidRPr="009454F8" w:rsidTr="00785FC3">
        <w:tc>
          <w:tcPr>
            <w:tcW w:w="9360" w:type="dxa"/>
            <w:gridSpan w:val="2"/>
          </w:tcPr>
          <w:p w:rsidR="00C03C96" w:rsidRPr="009454F8" w:rsidRDefault="00C03C96" w:rsidP="00785FC3">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C03C96" w:rsidRPr="009454F8"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C03C96" w:rsidRPr="00036EE3" w:rsidTr="00785FC3">
        <w:tc>
          <w:tcPr>
            <w:tcW w:w="1140" w:type="dxa"/>
            <w:tcBorders>
              <w:bottom w:val="nil"/>
            </w:tcBorders>
          </w:tcPr>
          <w:p w:rsidR="00C03C96" w:rsidRPr="00614CC6" w:rsidRDefault="00C03C96" w:rsidP="00785FC3">
            <w:pPr>
              <w:spacing w:before="90" w:after="100"/>
              <w:ind w:left="57"/>
              <w:rPr>
                <w:b/>
                <w:bCs/>
                <w:sz w:val="20"/>
                <w:lang w:val="en-US"/>
              </w:rPr>
            </w:pPr>
            <w:r w:rsidRPr="00614CC6">
              <w:rPr>
                <w:b/>
                <w:bCs/>
                <w:sz w:val="20"/>
                <w:lang w:val="en-US"/>
              </w:rPr>
              <w:t>Séries</w:t>
            </w:r>
          </w:p>
        </w:tc>
        <w:tc>
          <w:tcPr>
            <w:tcW w:w="8220" w:type="dxa"/>
            <w:tcBorders>
              <w:bottom w:val="nil"/>
            </w:tcBorders>
          </w:tcPr>
          <w:p w:rsidR="00C03C96" w:rsidRPr="00614CC6"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03C96" w:rsidRPr="005E427C" w:rsidTr="00785FC3">
        <w:tc>
          <w:tcPr>
            <w:tcW w:w="1140" w:type="dxa"/>
            <w:tcBorders>
              <w:top w:val="nil"/>
              <w:bottom w:val="nil"/>
            </w:tcBorders>
            <w:shd w:val="clear" w:color="auto" w:fill="auto"/>
          </w:tcPr>
          <w:p w:rsidR="00C03C96" w:rsidRPr="005E427C" w:rsidRDefault="00C03C96" w:rsidP="00785FC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03C96" w:rsidRPr="005E427C"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03C96" w:rsidRPr="009454F8" w:rsidTr="00785FC3">
        <w:tc>
          <w:tcPr>
            <w:tcW w:w="1140" w:type="dxa"/>
            <w:tcBorders>
              <w:top w:val="nil"/>
              <w:bottom w:val="nil"/>
            </w:tcBorders>
          </w:tcPr>
          <w:p w:rsidR="00C03C96" w:rsidRPr="00614CC6" w:rsidRDefault="00C03C96" w:rsidP="00785FC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03C96" w:rsidRPr="00614CC6"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03C96" w:rsidRPr="00E80F1D" w:rsidTr="00785FC3">
        <w:tc>
          <w:tcPr>
            <w:tcW w:w="1140" w:type="dxa"/>
            <w:tcBorders>
              <w:top w:val="nil"/>
              <w:bottom w:val="nil"/>
            </w:tcBorders>
            <w:shd w:val="clear" w:color="auto" w:fill="auto"/>
          </w:tcPr>
          <w:p w:rsidR="00C03C96" w:rsidRPr="00E80F1D" w:rsidRDefault="00C03C96" w:rsidP="00785FC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03C96" w:rsidRPr="00E80F1D"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03C96" w:rsidRPr="00ED2695" w:rsidTr="00785FC3">
        <w:tc>
          <w:tcPr>
            <w:tcW w:w="1140" w:type="dxa"/>
            <w:tcBorders>
              <w:top w:val="nil"/>
              <w:bottom w:val="nil"/>
            </w:tcBorders>
            <w:shd w:val="clear" w:color="auto" w:fill="auto"/>
          </w:tcPr>
          <w:p w:rsidR="00C03C96" w:rsidRPr="00614CC6" w:rsidRDefault="00C03C96" w:rsidP="00785FC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03C96" w:rsidRPr="00614CC6"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03C96" w:rsidRPr="00E80F1D" w:rsidTr="00785FC3">
        <w:tc>
          <w:tcPr>
            <w:tcW w:w="1140" w:type="dxa"/>
            <w:tcBorders>
              <w:top w:val="nil"/>
              <w:bottom w:val="nil"/>
            </w:tcBorders>
            <w:shd w:val="clear" w:color="auto" w:fill="F3F3F3"/>
          </w:tcPr>
          <w:p w:rsidR="00C03C96" w:rsidRPr="00E80F1D" w:rsidRDefault="00C03C96" w:rsidP="00785FC3">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C03C96" w:rsidRPr="00E80F1D" w:rsidRDefault="00C03C96" w:rsidP="00785F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C03C96" w:rsidRPr="00B21066" w:rsidTr="00785FC3">
        <w:tc>
          <w:tcPr>
            <w:tcW w:w="1140" w:type="dxa"/>
            <w:tcBorders>
              <w:top w:val="nil"/>
              <w:bottom w:val="nil"/>
            </w:tcBorders>
            <w:shd w:val="clear" w:color="auto" w:fill="auto"/>
          </w:tcPr>
          <w:p w:rsidR="00C03C96" w:rsidRPr="00B21066" w:rsidRDefault="00C03C96" w:rsidP="00785FC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03C96" w:rsidRPr="00B21066" w:rsidRDefault="00C03C96" w:rsidP="00785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03C96" w:rsidRPr="00036EE3" w:rsidTr="00785FC3">
        <w:tc>
          <w:tcPr>
            <w:tcW w:w="1140" w:type="dxa"/>
            <w:tcBorders>
              <w:top w:val="nil"/>
            </w:tcBorders>
          </w:tcPr>
          <w:p w:rsidR="00C03C96" w:rsidRPr="00614CC6" w:rsidRDefault="00C03C96" w:rsidP="00785FC3">
            <w:pPr>
              <w:spacing w:before="30" w:after="30"/>
              <w:ind w:left="57"/>
              <w:jc w:val="left"/>
              <w:rPr>
                <w:b/>
                <w:bCs/>
                <w:sz w:val="20"/>
                <w:lang w:val="fr-CH"/>
              </w:rPr>
            </w:pPr>
            <w:r w:rsidRPr="00614CC6">
              <w:rPr>
                <w:b/>
                <w:bCs/>
                <w:sz w:val="20"/>
                <w:lang w:val="fr-CH"/>
              </w:rPr>
              <w:t>P</w:t>
            </w:r>
          </w:p>
        </w:tc>
        <w:tc>
          <w:tcPr>
            <w:tcW w:w="8220" w:type="dxa"/>
            <w:tcBorders>
              <w:top w:val="nil"/>
            </w:tcBorders>
          </w:tcPr>
          <w:p w:rsidR="00C03C96" w:rsidRPr="00614CC6" w:rsidRDefault="00C03C96" w:rsidP="00785FC3">
            <w:pPr>
              <w:spacing w:before="30" w:after="30"/>
              <w:jc w:val="left"/>
              <w:rPr>
                <w:sz w:val="20"/>
                <w:lang w:val="fr-CH"/>
              </w:rPr>
            </w:pPr>
            <w:r w:rsidRPr="00614CC6">
              <w:rPr>
                <w:sz w:val="20"/>
              </w:rPr>
              <w:t>Propagation des ondes radioélectriques</w:t>
            </w:r>
          </w:p>
        </w:tc>
      </w:tr>
      <w:tr w:rsidR="00C03C96" w:rsidRPr="00036EE3"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RA</w:t>
            </w:r>
          </w:p>
        </w:tc>
        <w:tc>
          <w:tcPr>
            <w:tcW w:w="8220" w:type="dxa"/>
          </w:tcPr>
          <w:p w:rsidR="00C03C96" w:rsidRPr="00614CC6" w:rsidRDefault="00C03C96" w:rsidP="00785F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03C96" w:rsidRPr="00036EE3"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RS</w:t>
            </w:r>
          </w:p>
        </w:tc>
        <w:tc>
          <w:tcPr>
            <w:tcW w:w="8220" w:type="dxa"/>
          </w:tcPr>
          <w:p w:rsidR="00C03C96" w:rsidRPr="00614CC6" w:rsidRDefault="00C03C96" w:rsidP="00785F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03C96" w:rsidRPr="00036EE3"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S</w:t>
            </w:r>
          </w:p>
        </w:tc>
        <w:tc>
          <w:tcPr>
            <w:tcW w:w="8220" w:type="dxa"/>
          </w:tcPr>
          <w:p w:rsidR="00C03C96" w:rsidRPr="00614CC6" w:rsidRDefault="00C03C96" w:rsidP="00785FC3">
            <w:pPr>
              <w:spacing w:before="30" w:after="30"/>
              <w:jc w:val="left"/>
              <w:rPr>
                <w:sz w:val="20"/>
                <w:lang w:val="en-US"/>
              </w:rPr>
            </w:pPr>
            <w:r w:rsidRPr="00614CC6">
              <w:rPr>
                <w:sz w:val="20"/>
              </w:rPr>
              <w:t>Service fixe par satellite</w:t>
            </w:r>
          </w:p>
        </w:tc>
      </w:tr>
      <w:tr w:rsidR="00C03C96" w:rsidRPr="00036EE3"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SA</w:t>
            </w:r>
          </w:p>
        </w:tc>
        <w:tc>
          <w:tcPr>
            <w:tcW w:w="8220" w:type="dxa"/>
          </w:tcPr>
          <w:p w:rsidR="00C03C96" w:rsidRPr="00614CC6" w:rsidRDefault="00C03C96" w:rsidP="00785FC3">
            <w:pPr>
              <w:spacing w:before="30" w:after="30"/>
              <w:jc w:val="left"/>
              <w:rPr>
                <w:sz w:val="20"/>
                <w:lang w:val="en-US"/>
              </w:rPr>
            </w:pPr>
            <w:r w:rsidRPr="00614CC6">
              <w:rPr>
                <w:sz w:val="20"/>
              </w:rPr>
              <w:t>Applications spatiales et météorologie</w:t>
            </w:r>
          </w:p>
        </w:tc>
      </w:tr>
      <w:tr w:rsidR="00C03C96" w:rsidRPr="00614CC6"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SF</w:t>
            </w:r>
          </w:p>
        </w:tc>
        <w:tc>
          <w:tcPr>
            <w:tcW w:w="8220" w:type="dxa"/>
          </w:tcPr>
          <w:p w:rsidR="00C03C96" w:rsidRPr="00614CC6" w:rsidRDefault="00C03C96" w:rsidP="00785FC3">
            <w:pPr>
              <w:spacing w:before="30" w:after="30"/>
              <w:jc w:val="left"/>
              <w:rPr>
                <w:sz w:val="20"/>
              </w:rPr>
            </w:pPr>
            <w:r w:rsidRPr="00614CC6">
              <w:rPr>
                <w:sz w:val="20"/>
              </w:rPr>
              <w:t>Partage des fréquences et coordination entre les systèmes du service fixe par satellite et du service fixe</w:t>
            </w:r>
          </w:p>
        </w:tc>
      </w:tr>
      <w:tr w:rsidR="00C03C96" w:rsidRPr="00036EE3" w:rsidTr="00785FC3">
        <w:tc>
          <w:tcPr>
            <w:tcW w:w="1140" w:type="dxa"/>
            <w:shd w:val="clear" w:color="auto" w:fill="auto"/>
          </w:tcPr>
          <w:p w:rsidR="00C03C96" w:rsidRPr="00592F9F" w:rsidRDefault="00C03C96" w:rsidP="00785FC3">
            <w:pPr>
              <w:spacing w:before="30" w:after="30"/>
              <w:ind w:left="57"/>
              <w:jc w:val="left"/>
              <w:rPr>
                <w:b/>
                <w:bCs/>
                <w:sz w:val="20"/>
                <w:lang w:val="en-US"/>
              </w:rPr>
            </w:pPr>
            <w:r w:rsidRPr="00592F9F">
              <w:rPr>
                <w:b/>
                <w:bCs/>
                <w:sz w:val="20"/>
                <w:lang w:val="en-US"/>
              </w:rPr>
              <w:t>SM</w:t>
            </w:r>
          </w:p>
        </w:tc>
        <w:tc>
          <w:tcPr>
            <w:tcW w:w="8220" w:type="dxa"/>
            <w:shd w:val="clear" w:color="auto" w:fill="auto"/>
          </w:tcPr>
          <w:p w:rsidR="00C03C96" w:rsidRPr="00592F9F" w:rsidRDefault="00C03C96" w:rsidP="00785FC3">
            <w:pPr>
              <w:spacing w:before="30" w:after="30"/>
              <w:jc w:val="left"/>
              <w:rPr>
                <w:sz w:val="20"/>
                <w:lang w:val="en-US"/>
              </w:rPr>
            </w:pPr>
            <w:r w:rsidRPr="00592F9F">
              <w:rPr>
                <w:sz w:val="20"/>
              </w:rPr>
              <w:t>Gestion du spectre</w:t>
            </w:r>
          </w:p>
        </w:tc>
      </w:tr>
      <w:tr w:rsidR="00C03C96" w:rsidRPr="00036EE3"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SNG</w:t>
            </w:r>
          </w:p>
        </w:tc>
        <w:tc>
          <w:tcPr>
            <w:tcW w:w="8220" w:type="dxa"/>
          </w:tcPr>
          <w:p w:rsidR="00C03C96" w:rsidRPr="00614CC6" w:rsidRDefault="00C03C96" w:rsidP="00785FC3">
            <w:pPr>
              <w:spacing w:before="30" w:after="30"/>
              <w:jc w:val="left"/>
              <w:rPr>
                <w:sz w:val="20"/>
                <w:lang w:val="en-US"/>
              </w:rPr>
            </w:pPr>
            <w:r w:rsidRPr="00614CC6">
              <w:rPr>
                <w:sz w:val="20"/>
              </w:rPr>
              <w:t>Reportage d'actualités par satellite</w:t>
            </w:r>
          </w:p>
        </w:tc>
      </w:tr>
      <w:tr w:rsidR="00C03C96" w:rsidRPr="00614CC6"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TF</w:t>
            </w:r>
          </w:p>
        </w:tc>
        <w:tc>
          <w:tcPr>
            <w:tcW w:w="8220" w:type="dxa"/>
          </w:tcPr>
          <w:p w:rsidR="00C03C96" w:rsidRPr="00614CC6" w:rsidRDefault="00C03C96" w:rsidP="00785FC3">
            <w:pPr>
              <w:spacing w:before="30" w:after="30"/>
              <w:jc w:val="left"/>
              <w:rPr>
                <w:sz w:val="20"/>
              </w:rPr>
            </w:pPr>
            <w:r w:rsidRPr="00614CC6">
              <w:rPr>
                <w:sz w:val="20"/>
              </w:rPr>
              <w:t>Emissions de fréquences étalon et de signaux horaires</w:t>
            </w:r>
          </w:p>
        </w:tc>
      </w:tr>
      <w:tr w:rsidR="00C03C96" w:rsidRPr="00036EE3" w:rsidTr="00785FC3">
        <w:tc>
          <w:tcPr>
            <w:tcW w:w="1140" w:type="dxa"/>
          </w:tcPr>
          <w:p w:rsidR="00C03C96" w:rsidRPr="00614CC6" w:rsidRDefault="00C03C96" w:rsidP="00785FC3">
            <w:pPr>
              <w:spacing w:before="30" w:after="30"/>
              <w:ind w:left="57"/>
              <w:jc w:val="left"/>
              <w:rPr>
                <w:b/>
                <w:bCs/>
                <w:sz w:val="20"/>
                <w:lang w:val="en-US"/>
              </w:rPr>
            </w:pPr>
            <w:r w:rsidRPr="00614CC6">
              <w:rPr>
                <w:b/>
                <w:bCs/>
                <w:sz w:val="20"/>
                <w:lang w:val="en-US"/>
              </w:rPr>
              <w:t>V</w:t>
            </w:r>
          </w:p>
        </w:tc>
        <w:tc>
          <w:tcPr>
            <w:tcW w:w="8220" w:type="dxa"/>
          </w:tcPr>
          <w:p w:rsidR="00C03C96" w:rsidRPr="00614CC6" w:rsidRDefault="00C03C96" w:rsidP="00785FC3">
            <w:pPr>
              <w:spacing w:before="30" w:after="140"/>
              <w:jc w:val="left"/>
              <w:rPr>
                <w:sz w:val="20"/>
                <w:lang w:val="en-US"/>
              </w:rPr>
            </w:pPr>
            <w:r w:rsidRPr="00614CC6">
              <w:rPr>
                <w:sz w:val="20"/>
              </w:rPr>
              <w:t>Vocabulaire et sujets associés</w:t>
            </w:r>
          </w:p>
        </w:tc>
      </w:tr>
    </w:tbl>
    <w:p w:rsidR="00C03C96" w:rsidRPr="00036EE3" w:rsidRDefault="00C03C96" w:rsidP="00C03C96">
      <w:pPr>
        <w:spacing w:before="0"/>
        <w:jc w:val="center"/>
        <w:rPr>
          <w:sz w:val="20"/>
          <w:lang w:val="en-US"/>
        </w:rPr>
      </w:pPr>
    </w:p>
    <w:p w:rsidR="00C03C96" w:rsidRPr="00036EE3" w:rsidRDefault="00C03C96" w:rsidP="00C03C9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03C96" w:rsidRPr="00756B4D" w:rsidTr="00785FC3">
        <w:tc>
          <w:tcPr>
            <w:tcW w:w="9360" w:type="dxa"/>
          </w:tcPr>
          <w:p w:rsidR="00C03C96" w:rsidRPr="00756B4D" w:rsidRDefault="00C03C96" w:rsidP="00785FC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C03C96" w:rsidRPr="00756B4D" w:rsidRDefault="00C03C96" w:rsidP="00C03C96">
      <w:pPr>
        <w:spacing w:before="0"/>
        <w:jc w:val="center"/>
        <w:rPr>
          <w:sz w:val="22"/>
        </w:rPr>
      </w:pPr>
    </w:p>
    <w:p w:rsidR="00C03C96" w:rsidRPr="00614CC6" w:rsidRDefault="00C03C96" w:rsidP="00C03C96">
      <w:pPr>
        <w:spacing w:before="100"/>
        <w:jc w:val="right"/>
        <w:rPr>
          <w:i/>
          <w:iCs/>
          <w:sz w:val="20"/>
        </w:rPr>
      </w:pPr>
      <w:r w:rsidRPr="00614CC6">
        <w:rPr>
          <w:i/>
          <w:iCs/>
          <w:sz w:val="20"/>
        </w:rPr>
        <w:t>Publication électronique</w:t>
      </w:r>
    </w:p>
    <w:p w:rsidR="00C03C96" w:rsidRPr="00614CC6" w:rsidRDefault="00C03C96" w:rsidP="00C03C96">
      <w:pPr>
        <w:spacing w:before="0"/>
        <w:jc w:val="right"/>
        <w:rPr>
          <w:sz w:val="20"/>
        </w:rPr>
      </w:pPr>
      <w:r w:rsidRPr="00614CC6">
        <w:rPr>
          <w:sz w:val="20"/>
        </w:rPr>
        <w:t>Genève, 20</w:t>
      </w:r>
      <w:r w:rsidR="00864090">
        <w:rPr>
          <w:sz w:val="20"/>
        </w:rPr>
        <w:t>11</w:t>
      </w:r>
    </w:p>
    <w:p w:rsidR="00C03C96" w:rsidRPr="00614CC6" w:rsidRDefault="00C03C96" w:rsidP="00C03C9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864090">
        <w:rPr>
          <w:sz w:val="20"/>
        </w:rPr>
        <w:t>11</w:t>
      </w:r>
    </w:p>
    <w:p w:rsidR="00C03C96" w:rsidRPr="00614CC6" w:rsidRDefault="00C03C96" w:rsidP="00C03C9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03C96" w:rsidRPr="00614CC6" w:rsidRDefault="00C03C96" w:rsidP="00C03C96">
      <w:pPr>
        <w:spacing w:before="160"/>
        <w:rPr>
          <w:i/>
          <w:sz w:val="20"/>
          <w:highlight w:val="yellow"/>
        </w:rPr>
        <w:sectPr w:rsidR="00C03C96" w:rsidRPr="00614CC6" w:rsidSect="00785FC3">
          <w:headerReference w:type="even" r:id="rId12"/>
          <w:headerReference w:type="default" r:id="rId13"/>
          <w:pgSz w:w="11907" w:h="16834" w:code="9"/>
          <w:pgMar w:top="1418" w:right="1134" w:bottom="1134" w:left="1134" w:header="720" w:footer="482" w:gutter="0"/>
          <w:pgNumType w:fmt="lowerRoman" w:start="2"/>
          <w:cols w:space="720"/>
        </w:sectPr>
      </w:pPr>
    </w:p>
    <w:p w:rsidR="00C03C96" w:rsidRPr="00756B4D" w:rsidRDefault="00C03C96" w:rsidP="00864090">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864090" w:rsidRPr="00864090">
        <w:t xml:space="preserve"> </w:t>
      </w:r>
      <w:r w:rsidR="00864090">
        <w:t>1501</w:t>
      </w:r>
      <w:r w:rsidR="00864090">
        <w:rPr>
          <w:rStyle w:val="FootnoteReference"/>
        </w:rPr>
        <w:footnoteReference w:customMarkFollows="1" w:id="1"/>
        <w:t>*</w:t>
      </w:r>
    </w:p>
    <w:p w:rsidR="009957E8" w:rsidRDefault="009957E8" w:rsidP="009957E8">
      <w:pPr>
        <w:pStyle w:val="RecTitle0"/>
      </w:pPr>
      <w:r>
        <w:t xml:space="preserve">DISTANCE DE COORDINATION POUR LES SYSTÈMES DU SERVICE FIXE UTILISANT DES STATIONS PLACÉES SUR DES PLATES-FORMES </w:t>
      </w:r>
      <w:r>
        <w:br/>
        <w:t xml:space="preserve">À HAUTE ALTITUDE (HAPS) QUI PARTAGENT </w:t>
      </w:r>
      <w:r>
        <w:br/>
        <w:t>LES BANDES DE FRÉQUENCES 47,2</w:t>
      </w:r>
      <w:r>
        <w:noBreakHyphen/>
        <w:t xml:space="preserve">47,5 GHz ET 47,9-48,2 GHz </w:t>
      </w:r>
      <w:r>
        <w:br/>
        <w:t>AVEC D'AUTRES SYSTÈMES DU SERVICE FIXE</w:t>
      </w:r>
    </w:p>
    <w:p w:rsidR="009957E8" w:rsidRDefault="009957E8" w:rsidP="009957E8">
      <w:pPr>
        <w:pStyle w:val="RepTitleRef"/>
      </w:pPr>
    </w:p>
    <w:p w:rsidR="009957E8" w:rsidRDefault="009957E8" w:rsidP="009957E8">
      <w:pPr>
        <w:pStyle w:val="RepTitleDate"/>
      </w:pPr>
      <w:r>
        <w:t>(2000)</w:t>
      </w:r>
    </w:p>
    <w:p w:rsidR="009957E8" w:rsidRDefault="009957E8" w:rsidP="009957E8">
      <w:pPr>
        <w:pStyle w:val="headfoot"/>
        <w:rPr>
          <w:color w:val="FFFFFF"/>
        </w:rPr>
      </w:pPr>
      <w:r>
        <w:rPr>
          <w:color w:val="FFFFFF"/>
        </w:rPr>
        <w:t>Rec. UIT-R F.1501</w:t>
      </w:r>
    </w:p>
    <w:p w:rsidR="009957E8" w:rsidRPr="00BC7645" w:rsidRDefault="009957E8" w:rsidP="002C60AF">
      <w:pPr>
        <w:pStyle w:val="HeadingSum"/>
        <w:rPr>
          <w:lang w:val="fr-CH"/>
        </w:rPr>
      </w:pPr>
      <w:r w:rsidRPr="00BC7645">
        <w:rPr>
          <w:lang w:val="fr-CH"/>
        </w:rPr>
        <w:t>Champ d'application</w:t>
      </w:r>
    </w:p>
    <w:p w:rsidR="009957E8" w:rsidRPr="002C60AF" w:rsidRDefault="009957E8" w:rsidP="002C60AF">
      <w:pPr>
        <w:pStyle w:val="Summary"/>
        <w:rPr>
          <w:lang w:val="fr-CH"/>
        </w:rPr>
      </w:pPr>
      <w:r w:rsidRPr="002C60AF">
        <w:rPr>
          <w:lang w:val="fr-CH"/>
        </w:rPr>
        <w:t>La présente Recommandation</w:t>
      </w:r>
      <w:r w:rsidR="00BD58B4" w:rsidRPr="002C60AF">
        <w:rPr>
          <w:lang w:val="fr-CH"/>
        </w:rPr>
        <w:t xml:space="preserve"> donne des méthodes </w:t>
      </w:r>
      <w:r w:rsidRPr="002C60AF">
        <w:rPr>
          <w:lang w:val="fr-CH"/>
        </w:rPr>
        <w:t>de calcul pour déterminer les distances de coordination entre, d'une part, le service fixe utilisant des stations placées sur des plates-formes à haute altitude (HAPS) et,</w:t>
      </w:r>
      <w:r w:rsidR="002C60AF" w:rsidRPr="002C60AF">
        <w:rPr>
          <w:lang w:val="fr-CH"/>
        </w:rPr>
        <w:t xml:space="preserve"> d'autre </w:t>
      </w:r>
      <w:r w:rsidRPr="002C60AF">
        <w:rPr>
          <w:lang w:val="fr-CH"/>
        </w:rPr>
        <w:t>part, d'autres systèmes du service fixe dans les bandes 47,2</w:t>
      </w:r>
      <w:r w:rsidRPr="002C60AF">
        <w:rPr>
          <w:lang w:val="fr-CH"/>
        </w:rPr>
        <w:noBreakHyphen/>
        <w:t>47,5 GHz et 47,9</w:t>
      </w:r>
      <w:r w:rsidRPr="002C60AF">
        <w:rPr>
          <w:lang w:val="fr-CH"/>
        </w:rPr>
        <w:noBreakHyphen/>
        <w:t>48,2 GHz.</w:t>
      </w:r>
    </w:p>
    <w:p w:rsidR="009957E8" w:rsidRDefault="009957E8" w:rsidP="002C60AF">
      <w:r>
        <w:t>L'Assemblée des radiocommunications de l'UIT,</w:t>
      </w:r>
    </w:p>
    <w:p w:rsidR="009957E8" w:rsidRDefault="009957E8" w:rsidP="009957E8">
      <w:pPr>
        <w:pStyle w:val="call0"/>
      </w:pPr>
      <w:proofErr w:type="gramStart"/>
      <w:r>
        <w:t>considérant</w:t>
      </w:r>
      <w:proofErr w:type="gramEnd"/>
    </w:p>
    <w:p w:rsidR="009957E8" w:rsidRDefault="009957E8" w:rsidP="009957E8">
      <w:r>
        <w:t>a)</w:t>
      </w:r>
      <w:r>
        <w:tab/>
        <w:t>que la CMR-97 a désigné les bandes 47,2-47,5 GHz et 47,9-48,2 GHz pour les HAPS du service fixe;</w:t>
      </w:r>
    </w:p>
    <w:p w:rsidR="009957E8" w:rsidRDefault="009957E8" w:rsidP="009957E8">
      <w:r>
        <w:t>b)</w:t>
      </w:r>
      <w:r>
        <w:tab/>
        <w:t>que ces bandes sont de plus attribuées aux services fixe, fixe par satellite et mobile;</w:t>
      </w:r>
    </w:p>
    <w:p w:rsidR="009957E8" w:rsidRDefault="009957E8" w:rsidP="009957E8">
      <w:r>
        <w:t>c)</w:t>
      </w:r>
      <w:r>
        <w:tab/>
        <w:t>que l'UIT-R étudie actuellement le partage des fréquences entre des systèmes du service fixe utilisant des HAPS et d'autres systèmes du service fixe;</w:t>
      </w:r>
    </w:p>
    <w:p w:rsidR="009957E8" w:rsidRDefault="009957E8" w:rsidP="009957E8">
      <w:r>
        <w:t>d)</w:t>
      </w:r>
      <w:r>
        <w:tab/>
        <w:t>qu'il faudra peut-être élaborer des critères permettant de déterminer les distances de coordination pour lesquelles des dispositions de partage détaillées devront être définies ou préciser des distances de coordination prédéterminées,</w:t>
      </w:r>
    </w:p>
    <w:p w:rsidR="009957E8" w:rsidRDefault="009957E8" w:rsidP="009957E8">
      <w:pPr>
        <w:pStyle w:val="call0"/>
      </w:pPr>
      <w:proofErr w:type="gramStart"/>
      <w:r>
        <w:t>recommande</w:t>
      </w:r>
      <w:proofErr w:type="gramEnd"/>
    </w:p>
    <w:p w:rsidR="009957E8" w:rsidRDefault="009957E8" w:rsidP="009957E8">
      <w:r>
        <w:rPr>
          <w:b/>
          <w:bCs/>
        </w:rPr>
        <w:t>1</w:t>
      </w:r>
      <w:r>
        <w:tab/>
        <w:t>que l'on utilise l'Annexe 1 pour déterminer la distance de coordination ou pour établir une distance de coordination prédéterminée entre des stations fonctionnant dans un réseau de plates-formes à haute altitude (HAPN) et d'autres stations du service fixe.</w:t>
      </w:r>
    </w:p>
    <w:p w:rsidR="009957E8" w:rsidRDefault="009957E8" w:rsidP="009957E8">
      <w:pPr>
        <w:tabs>
          <w:tab w:val="clear" w:pos="794"/>
          <w:tab w:val="clear" w:pos="1191"/>
          <w:tab w:val="clear" w:pos="1588"/>
          <w:tab w:val="clear" w:pos="1985"/>
        </w:tabs>
        <w:overflowPunct/>
        <w:autoSpaceDE/>
        <w:autoSpaceDN/>
        <w:adjustRightInd/>
        <w:spacing w:before="0"/>
        <w:textAlignment w:val="auto"/>
      </w:pPr>
      <w:r>
        <w:br w:type="page"/>
      </w:r>
    </w:p>
    <w:p w:rsidR="009957E8" w:rsidRDefault="009957E8" w:rsidP="009957E8">
      <w:pPr>
        <w:pStyle w:val="Annex"/>
      </w:pPr>
      <w:r>
        <w:lastRenderedPageBreak/>
        <w:t>ANNEXE  1</w:t>
      </w:r>
    </w:p>
    <w:p w:rsidR="009957E8" w:rsidRDefault="009957E8" w:rsidP="009957E8">
      <w:pPr>
        <w:pStyle w:val="AnnexTitle"/>
      </w:pPr>
      <w:r>
        <w:t>Distance de coordination applicable aux systèmes utilisant des HAPS</w:t>
      </w:r>
    </w:p>
    <w:p w:rsidR="009957E8" w:rsidRDefault="009957E8" w:rsidP="009957E8">
      <w:pPr>
        <w:pStyle w:val="Heading1"/>
      </w:pPr>
      <w:r>
        <w:t>1</w:t>
      </w:r>
      <w:r>
        <w:tab/>
        <w:t>Distance de coordination géométrique</w:t>
      </w:r>
    </w:p>
    <w:p w:rsidR="009957E8" w:rsidRDefault="009957E8" w:rsidP="009957E8">
      <w:pPr>
        <w:widowControl w:val="0"/>
      </w:pPr>
      <w:r>
        <w:t>Il pourrait être approprié dans un premier temps d'utiliser une distance de coordination fondée sur la visibilité au</w:t>
      </w:r>
      <w:r>
        <w:noBreakHyphen/>
        <w:t>dessus de l'horizon (incluant la réfraction atmosphérique) entre une HAPS et d'autres stations du service fixe classique ou faisant partie de différents HAPN.</w:t>
      </w:r>
    </w:p>
    <w:p w:rsidR="009957E8" w:rsidRDefault="009957E8" w:rsidP="002C60AF">
      <w:r>
        <w:t>Il convient d'adopter la distance de coordination prédéterminée suivante (mesurée depuis le point sous-HAPS) entre une station HAPS et des terminaux au sol d'autres systèmes du service fixe classique ou faisant partie de différents réseaux HAPN:</w:t>
      </w:r>
    </w:p>
    <w:p w:rsidR="009957E8" w:rsidRDefault="009957E8" w:rsidP="009957E8">
      <w:pPr>
        <w:pStyle w:val="Equation"/>
      </w:pPr>
      <w:r>
        <w:rPr>
          <w:position w:val="-10"/>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1pt" o:ole="">
            <v:imagedata r:id="rId14" o:title=""/>
          </v:shape>
          <o:OLEObject Type="Embed" ProgID="Equation.3" ShapeID="_x0000_i1025" DrawAspect="Content" ObjectID="_1360138560" r:id="rId15"/>
        </w:object>
      </w:r>
      <w:r>
        <w:tab/>
      </w:r>
      <w:r>
        <w:tab/>
      </w:r>
      <w:r>
        <w:rPr>
          <w:position w:val="-10"/>
        </w:rPr>
        <w:object w:dxaOrig="3580" w:dyaOrig="360">
          <v:shape id="_x0000_i1026" type="#_x0000_t75" style="width:178.95pt;height:18.15pt" o:ole="">
            <v:imagedata r:id="rId16" o:title=""/>
          </v:shape>
          <o:OLEObject Type="Embed" ProgID="Equation.3" ShapeID="_x0000_i1026" DrawAspect="Content" ObjectID="_1360138561" r:id="rId17"/>
        </w:object>
      </w:r>
      <w:r>
        <w:tab/>
        <w:t>(1)</w:t>
      </w:r>
    </w:p>
    <w:p w:rsidR="009957E8" w:rsidRDefault="009957E8" w:rsidP="009957E8">
      <w:pPr>
        <w:widowControl w:val="0"/>
      </w:pPr>
      <w:proofErr w:type="gramStart"/>
      <w:r>
        <w:t>où</w:t>
      </w:r>
      <w:proofErr w:type="gramEnd"/>
      <w:r>
        <w:t xml:space="preserve"> </w:t>
      </w:r>
      <w:r>
        <w:rPr>
          <w:i/>
          <w:iCs/>
        </w:rPr>
        <w:t>h</w:t>
      </w:r>
      <w:r>
        <w:t xml:space="preserve"> représente l'altitude de la station HAPS (km) au-dessus du niveau de la mer comprise entre 20 et 50 km.</w:t>
      </w:r>
    </w:p>
    <w:p w:rsidR="009957E8" w:rsidRDefault="009957E8" w:rsidP="009957E8">
      <w:pPr>
        <w:widowControl w:val="0"/>
      </w:pPr>
      <w:r>
        <w:t>Il convient d'adopter la distance de coordination prédéterminée suivante (mesurée depuis le point sous-HAPS) entre des HAPS faisant partie de différents systèmes:</w:t>
      </w:r>
    </w:p>
    <w:p w:rsidR="009957E8" w:rsidRDefault="009957E8" w:rsidP="009957E8">
      <w:pPr>
        <w:pStyle w:val="Equation"/>
        <w:widowControl w:val="0"/>
      </w:pPr>
      <w:r>
        <w:tab/>
      </w:r>
      <w:r>
        <w:tab/>
      </w:r>
      <w:r>
        <w:rPr>
          <w:position w:val="-12"/>
        </w:rPr>
        <w:object w:dxaOrig="5539" w:dyaOrig="380">
          <v:shape id="_x0000_i1027" type="#_x0000_t75" style="width:276.8pt;height:18.85pt" o:ole="">
            <v:imagedata r:id="rId18" o:title=""/>
          </v:shape>
          <o:OLEObject Type="Embed" ProgID="Equation.3" ShapeID="_x0000_i1027" DrawAspect="Content" ObjectID="_1360138562" r:id="rId19"/>
        </w:object>
      </w:r>
      <w:r>
        <w:tab/>
        <w:t>(2)</w:t>
      </w:r>
    </w:p>
    <w:p w:rsidR="009957E8" w:rsidRDefault="009957E8" w:rsidP="009957E8">
      <w:pPr>
        <w:widowControl w:val="0"/>
      </w:pPr>
      <w:proofErr w:type="gramStart"/>
      <w:r>
        <w:t>où</w:t>
      </w:r>
      <w:proofErr w:type="gramEnd"/>
      <w:r>
        <w:t xml:space="preserve"> </w:t>
      </w:r>
      <w:r>
        <w:rPr>
          <w:i/>
          <w:iCs/>
        </w:rPr>
        <w:t>h</w:t>
      </w:r>
      <w:r>
        <w:rPr>
          <w:position w:val="-4"/>
          <w:sz w:val="16"/>
        </w:rPr>
        <w:t>1</w:t>
      </w:r>
      <w:r>
        <w:t xml:space="preserve"> et </w:t>
      </w:r>
      <w:r>
        <w:rPr>
          <w:i/>
          <w:iCs/>
        </w:rPr>
        <w:t>h</w:t>
      </w:r>
      <w:r>
        <w:rPr>
          <w:position w:val="-4"/>
          <w:sz w:val="16"/>
        </w:rPr>
        <w:t>2</w:t>
      </w:r>
      <w:r>
        <w:t xml:space="preserve"> représentent l'altitude de deux stations HAPS (km) au-dessus du niveau de la mer, comprise entre 20 et 50 km.</w:t>
      </w:r>
    </w:p>
    <w:p w:rsidR="009957E8" w:rsidRDefault="009957E8" w:rsidP="009957E8">
      <w:pPr>
        <w:pStyle w:val="Heading1"/>
      </w:pPr>
      <w:r>
        <w:t>2</w:t>
      </w:r>
      <w:r>
        <w:tab/>
        <w:t>Distance de coordination calculée à l'aide de paramètres de systèmes types et de conditions de propagation représentatives pour les bandes 47,2-47,5 GHz et 47,9</w:t>
      </w:r>
      <w:r>
        <w:noBreakHyphen/>
        <w:t>48,2 GHz</w:t>
      </w:r>
    </w:p>
    <w:p w:rsidR="009957E8" w:rsidRDefault="009957E8" w:rsidP="009957E8">
      <w:pPr>
        <w:pStyle w:val="Heading2"/>
        <w:keepNext w:val="0"/>
        <w:keepLines w:val="0"/>
        <w:widowControl w:val="0"/>
      </w:pPr>
      <w:r>
        <w:t>2.1</w:t>
      </w:r>
      <w:r>
        <w:tab/>
        <w:t>Affaiblissement minimal de propagation dû aux gaz atmosphériques</w:t>
      </w:r>
    </w:p>
    <w:p w:rsidR="009957E8" w:rsidRDefault="009957E8" w:rsidP="009957E8">
      <w:pPr>
        <w:pStyle w:val="Heading3"/>
        <w:keepNext w:val="0"/>
        <w:keepLines w:val="0"/>
        <w:widowControl w:val="0"/>
      </w:pPr>
      <w:r>
        <w:t>2.1.1</w:t>
      </w:r>
      <w:r>
        <w:tab/>
        <w:t>Affaiblissement entre une station HAPS et des terminaux au sol</w:t>
      </w:r>
    </w:p>
    <w:p w:rsidR="009957E8" w:rsidRDefault="009957E8" w:rsidP="009957E8">
      <w:pPr>
        <w:widowControl w:val="0"/>
      </w:pPr>
      <w:r>
        <w:t>Le long du trajet entre une station HAPS et des terminaux au sol d'autres systèmes du service fixe classique ou faisant partie de différents réseaux HAPN, les gaz atmosphériques, y compris la vapeur d'eau, provoquent un affaiblissement qui dépend de la distribution le long du trajet de paramètres météorologiques tels que la température, la pression et l'humidité, et qui varie donc en fonction du lieu géographique du site, du mois de l'année, de l'altitude d'un terminal au sol au</w:t>
      </w:r>
      <w:r>
        <w:noBreakHyphen/>
        <w:t>dessus du niveau de la mer, de l'angle d'élévation du trajet oblique ainsi que de la fréquence de fonctionnement.</w:t>
      </w:r>
    </w:p>
    <w:p w:rsidR="009957E8" w:rsidRDefault="009957E8" w:rsidP="009957E8">
      <w:r>
        <w:t>Conformément à la Recommandation UIT-R SF.1395, on peut appliquer les formules suivantes pour calculer l'affaiblissement minimum sur le trajet oblique dans la bande des 47 GHz:</w:t>
      </w:r>
    </w:p>
    <w:p w:rsidR="009957E8" w:rsidRDefault="009957E8" w:rsidP="009957E8">
      <w:pPr>
        <w:pStyle w:val="enumlev1"/>
        <w:ind w:left="1021" w:hanging="1021"/>
      </w:pPr>
      <w:r>
        <w:rPr>
          <w:i/>
          <w:iCs/>
        </w:rPr>
        <w:t>A</w:t>
      </w:r>
      <w:r>
        <w:rPr>
          <w:i/>
          <w:iCs/>
          <w:position w:val="-4"/>
          <w:sz w:val="16"/>
        </w:rPr>
        <w:t>L</w:t>
      </w:r>
      <w:r>
        <w:rPr>
          <w:sz w:val="28"/>
          <w:vertAlign w:val="subscript"/>
        </w:rPr>
        <w:t xml:space="preserve"> </w:t>
      </w:r>
      <w:r>
        <w:t>(</w:t>
      </w:r>
      <w:r>
        <w:rPr>
          <w:i/>
          <w:iCs/>
        </w:rPr>
        <w:t>h</w:t>
      </w:r>
      <w:proofErr w:type="gramStart"/>
      <w:r>
        <w:t xml:space="preserve">, </w:t>
      </w:r>
      <w:proofErr w:type="gramEnd"/>
      <w:r>
        <w:sym w:font="Symbol" w:char="F071"/>
      </w:r>
      <w:r>
        <w:t xml:space="preserve">), </w:t>
      </w:r>
      <w:r>
        <w:rPr>
          <w:i/>
          <w:iCs/>
        </w:rPr>
        <w:t>A</w:t>
      </w:r>
      <w:r>
        <w:rPr>
          <w:i/>
          <w:iCs/>
          <w:position w:val="-4"/>
          <w:sz w:val="16"/>
        </w:rPr>
        <w:t>M</w:t>
      </w:r>
      <w:r>
        <w:t xml:space="preserve"> (</w:t>
      </w:r>
      <w:r>
        <w:rPr>
          <w:i/>
          <w:iCs/>
        </w:rPr>
        <w:t>h</w:t>
      </w:r>
      <w:r>
        <w:t xml:space="preserve">, </w:t>
      </w:r>
      <w:r>
        <w:sym w:font="Symbol" w:char="F071"/>
      </w:r>
      <w:r>
        <w:t xml:space="preserve">) et </w:t>
      </w:r>
      <w:r>
        <w:rPr>
          <w:i/>
          <w:iCs/>
        </w:rPr>
        <w:t>A</w:t>
      </w:r>
      <w:r>
        <w:rPr>
          <w:i/>
          <w:iCs/>
          <w:position w:val="-4"/>
          <w:sz w:val="16"/>
        </w:rPr>
        <w:t>H</w:t>
      </w:r>
      <w:r>
        <w:t xml:space="preserve"> (</w:t>
      </w:r>
      <w:r>
        <w:rPr>
          <w:i/>
          <w:iCs/>
        </w:rPr>
        <w:t>h</w:t>
      </w:r>
      <w:r>
        <w:t xml:space="preserve">, </w:t>
      </w:r>
      <w:r>
        <w:sym w:font="Symbol" w:char="F071"/>
      </w:r>
      <w:r>
        <w:t>): affaiblissement total d'absorption atmosphérique (dB) pour les zones de basse latitude (inférieure à 22,5</w:t>
      </w:r>
      <w:r>
        <w:rPr>
          <w:rFonts w:ascii="Symbol" w:hAnsi="Symbol"/>
        </w:rPr>
        <w:t></w:t>
      </w:r>
      <w:r>
        <w:t xml:space="preserve"> par rapport à l'équateur), de moyenne latitude (supérieure à 22,5</w:t>
      </w:r>
      <w:r>
        <w:rPr>
          <w:rFonts w:ascii="Symbol" w:hAnsi="Symbol"/>
        </w:rPr>
        <w:t></w:t>
      </w:r>
      <w:r>
        <w:t>, mais inférieure à 45</w:t>
      </w:r>
      <w:r>
        <w:rPr>
          <w:rFonts w:ascii="Symbol" w:hAnsi="Symbol"/>
        </w:rPr>
        <w:t></w:t>
      </w:r>
      <w:r>
        <w:t xml:space="preserve"> par rapport à l'équateur), de haute latitude (égale ou supérieure à 45</w:t>
      </w:r>
      <w:r>
        <w:rPr>
          <w:rFonts w:ascii="Symbol" w:hAnsi="Symbol"/>
        </w:rPr>
        <w:t></w:t>
      </w:r>
      <w:r>
        <w:t xml:space="preserve"> par rapport à l'équateur), respectivement;</w:t>
      </w:r>
    </w:p>
    <w:p w:rsidR="009957E8" w:rsidRDefault="009957E8" w:rsidP="009957E8">
      <w:pPr>
        <w:pStyle w:val="enumlev1"/>
        <w:ind w:left="1021" w:hanging="1021"/>
      </w:pPr>
      <w:proofErr w:type="gramStart"/>
      <w:r>
        <w:rPr>
          <w:i/>
          <w:iCs/>
        </w:rPr>
        <w:t>h</w:t>
      </w:r>
      <w:proofErr w:type="gramEnd"/>
      <w:r>
        <w:t xml:space="preserve"> et </w:t>
      </w:r>
      <w:r>
        <w:sym w:font="Symbol" w:char="F071"/>
      </w:r>
      <w:r>
        <w:t xml:space="preserve">: </w:t>
      </w:r>
      <w:r>
        <w:tab/>
      </w:r>
      <w:r w:rsidR="00BC7645">
        <w:tab/>
      </w:r>
      <w:r>
        <w:t>altitude de l'antenne du terminal au sol au-dessus du niveau de la mer (km) et angle d'élévation (degrés), respectivement.</w:t>
      </w:r>
    </w:p>
    <w:p w:rsidR="009957E8" w:rsidRDefault="009957E8" w:rsidP="002C60AF">
      <w:pPr>
        <w:keepNext/>
        <w:keepLines/>
      </w:pPr>
      <w:r>
        <w:lastRenderedPageBreak/>
        <w:t xml:space="preserve">L'approximation a été effectuée pour 0 </w:t>
      </w:r>
      <w:r>
        <w:rPr>
          <w:rFonts w:ascii="Symbol" w:hAnsi="Symbol"/>
        </w:rPr>
        <w:sym w:font="Symbol" w:char="F0A3"/>
      </w:r>
      <w:r>
        <w:t xml:space="preserve"> </w:t>
      </w:r>
      <w:r>
        <w:rPr>
          <w:i/>
        </w:rPr>
        <w:t>h</w:t>
      </w:r>
      <w:r>
        <w:t xml:space="preserve"> </w:t>
      </w:r>
      <w:r>
        <w:rPr>
          <w:rFonts w:ascii="Symbol" w:hAnsi="Symbol"/>
        </w:rPr>
        <w:sym w:font="Symbol" w:char="F0A3"/>
      </w:r>
      <w:r>
        <w:t xml:space="preserve"> 3 km et 0 </w:t>
      </w:r>
      <w:r>
        <w:rPr>
          <w:rFonts w:ascii="Symbol" w:hAnsi="Symbol"/>
        </w:rPr>
        <w:sym w:font="Symbol" w:char="F0A3"/>
      </w:r>
      <w:r>
        <w:t xml:space="preserve"> </w:t>
      </w:r>
      <w:r>
        <w:sym w:font="Symbol" w:char="F071"/>
      </w:r>
      <w:r>
        <w:t xml:space="preserve"> </w:t>
      </w:r>
      <w:r>
        <w:rPr>
          <w:rFonts w:ascii="Symbol" w:hAnsi="Symbol"/>
        </w:rPr>
        <w:sym w:font="Symbol" w:char="F0A3"/>
      </w:r>
      <w:r>
        <w:t xml:space="preserve"> 90</w:t>
      </w:r>
      <w:r>
        <w:rPr>
          <w:rFonts w:ascii="Symbol" w:hAnsi="Symbol"/>
        </w:rPr>
        <w:t></w:t>
      </w:r>
      <w:r>
        <w:t>. L'angle d'élévation réel peut être calculé à partir de l'angle d'élévation obtenu dans des conditions de propagation en espace libre au moyen de la méthode décrite dans la Recommandation UIT-R F.1333. Pour des angles d'élévation réels inférieurs à 0</w:t>
      </w:r>
      <w:r>
        <w:rPr>
          <w:rFonts w:ascii="Symbol" w:hAnsi="Symbol"/>
        </w:rPr>
        <w:t></w:t>
      </w:r>
      <w:r>
        <w:t>, la valeur d'affaiblissement pour 0</w:t>
      </w:r>
      <w:r>
        <w:rPr>
          <w:rFonts w:ascii="Symbol" w:hAnsi="Symbol"/>
        </w:rPr>
        <w:t></w:t>
      </w:r>
      <w:r>
        <w:t xml:space="preserve"> devrait être retenue.</w:t>
      </w:r>
    </w:p>
    <w:p w:rsidR="009957E8" w:rsidRDefault="009957E8" w:rsidP="009957E8">
      <w:pPr>
        <w:pStyle w:val="Heading7"/>
        <w:keepLines w:val="0"/>
        <w:tabs>
          <w:tab w:val="left" w:pos="794"/>
          <w:tab w:val="left" w:pos="1191"/>
        </w:tabs>
        <w:spacing w:before="136"/>
        <w:rPr>
          <w:b w:val="0"/>
          <w:i/>
          <w:iCs/>
        </w:rPr>
      </w:pPr>
      <w:r>
        <w:rPr>
          <w:b w:val="0"/>
          <w:i/>
          <w:iCs/>
        </w:rPr>
        <w:t>Bande de fréquences 47,2-47,5 GHz</w:t>
      </w:r>
    </w:p>
    <w:p w:rsidR="009957E8" w:rsidRDefault="009957E8" w:rsidP="009957E8">
      <w:r>
        <w:t>Dans cette bande de fréquences, l'affaiblissement est plus important aux fréquences élevées et, par conséquent, les formules ci</w:t>
      </w:r>
      <w:r>
        <w:noBreakHyphen/>
        <w:t>dessous donnent l'affaiblissement à 47,2 GHz.</w:t>
      </w:r>
    </w:p>
    <w:p w:rsidR="009957E8" w:rsidRPr="008F7245" w:rsidRDefault="009957E8" w:rsidP="009957E8">
      <w:pPr>
        <w:pStyle w:val="Equation"/>
        <w:tabs>
          <w:tab w:val="left" w:pos="851"/>
        </w:tabs>
        <w:rPr>
          <w:lang w:val="fr-CH"/>
        </w:rPr>
      </w:pPr>
      <w:r>
        <w:tab/>
      </w:r>
      <w:r>
        <w:tab/>
      </w:r>
      <w:r>
        <w:rPr>
          <w:position w:val="-30"/>
        </w:rPr>
        <w:object w:dxaOrig="7900" w:dyaOrig="720">
          <v:shape id="_x0000_i1028" type="#_x0000_t75" style="width:395.65pt;height:36.35pt" o:ole="">
            <v:imagedata r:id="rId20" o:title=""/>
          </v:shape>
          <o:OLEObject Type="Embed" ProgID="Equation.3" ShapeID="_x0000_i1028" DrawAspect="Content" ObjectID="_1360138563" r:id="rId21"/>
        </w:object>
      </w:r>
      <w:r w:rsidRPr="008F7245">
        <w:rPr>
          <w:lang w:val="fr-CH"/>
        </w:rPr>
        <w:tab/>
        <w:t>(3a)</w:t>
      </w:r>
    </w:p>
    <w:p w:rsidR="009957E8" w:rsidRPr="008F7245" w:rsidRDefault="009957E8" w:rsidP="009957E8">
      <w:pPr>
        <w:pStyle w:val="Equation"/>
        <w:tabs>
          <w:tab w:val="left" w:pos="709"/>
        </w:tabs>
        <w:rPr>
          <w:lang w:val="fr-CH"/>
        </w:rPr>
      </w:pPr>
      <w:r w:rsidRPr="008F7245">
        <w:rPr>
          <w:lang w:val="fr-CH"/>
        </w:rPr>
        <w:tab/>
      </w:r>
      <w:r w:rsidRPr="008F7245">
        <w:rPr>
          <w:lang w:val="fr-CH"/>
        </w:rPr>
        <w:tab/>
      </w:r>
      <w:r>
        <w:rPr>
          <w:position w:val="-30"/>
        </w:rPr>
        <w:object w:dxaOrig="7980" w:dyaOrig="720">
          <v:shape id="_x0000_i1029" type="#_x0000_t75" style="width:399.15pt;height:36.35pt" o:ole="">
            <v:imagedata r:id="rId22" o:title=""/>
          </v:shape>
          <o:OLEObject Type="Embed" ProgID="Equation.3" ShapeID="_x0000_i1029" DrawAspect="Content" ObjectID="_1360138564" r:id="rId23"/>
        </w:object>
      </w:r>
      <w:r w:rsidRPr="008F7245">
        <w:rPr>
          <w:lang w:val="fr-CH"/>
        </w:rPr>
        <w:tab/>
        <w:t>(3b)</w:t>
      </w:r>
    </w:p>
    <w:p w:rsidR="009957E8" w:rsidRPr="008F7245" w:rsidRDefault="009957E8" w:rsidP="009957E8">
      <w:pPr>
        <w:pStyle w:val="Equation"/>
        <w:tabs>
          <w:tab w:val="clear" w:pos="794"/>
          <w:tab w:val="left" w:pos="737"/>
          <w:tab w:val="center" w:pos="4791"/>
        </w:tabs>
        <w:rPr>
          <w:lang w:val="fr-CH"/>
        </w:rPr>
      </w:pPr>
      <w:r w:rsidRPr="008F7245">
        <w:rPr>
          <w:lang w:val="fr-CH"/>
        </w:rPr>
        <w:tab/>
      </w:r>
      <w:r w:rsidRPr="008F7245">
        <w:rPr>
          <w:lang w:val="fr-CH"/>
        </w:rPr>
        <w:tab/>
      </w:r>
      <w:r>
        <w:rPr>
          <w:position w:val="-30"/>
        </w:rPr>
        <w:object w:dxaOrig="7980" w:dyaOrig="720">
          <v:shape id="_x0000_i1030" type="#_x0000_t75" style="width:399.15pt;height:36.35pt" o:ole="">
            <v:imagedata r:id="rId24" o:title=""/>
          </v:shape>
          <o:OLEObject Type="Embed" ProgID="Equation.3" ShapeID="_x0000_i1030" DrawAspect="Content" ObjectID="_1360138565" r:id="rId25"/>
        </w:object>
      </w:r>
      <w:r w:rsidRPr="008F7245">
        <w:rPr>
          <w:lang w:val="fr-CH"/>
        </w:rPr>
        <w:tab/>
        <w:t>(3c)</w:t>
      </w:r>
    </w:p>
    <w:p w:rsidR="009957E8" w:rsidRDefault="009957E8" w:rsidP="009957E8">
      <w:pPr>
        <w:pStyle w:val="Heading7"/>
        <w:keepLines w:val="0"/>
        <w:tabs>
          <w:tab w:val="left" w:pos="794"/>
          <w:tab w:val="left" w:pos="1191"/>
        </w:tabs>
        <w:spacing w:before="136"/>
        <w:rPr>
          <w:b w:val="0"/>
          <w:i/>
          <w:iCs/>
        </w:rPr>
      </w:pPr>
      <w:r>
        <w:rPr>
          <w:b w:val="0"/>
          <w:i/>
          <w:iCs/>
        </w:rPr>
        <w:t>Bande de fréquences 47,9-48,2 GHz</w:t>
      </w:r>
    </w:p>
    <w:p w:rsidR="009957E8" w:rsidRDefault="009957E8" w:rsidP="009957E8">
      <w:r>
        <w:t>Dans cette bande de fréquences, l'affaiblissement est plus important aux fréquences élevées et, par conséquent, les formules ci</w:t>
      </w:r>
      <w:r>
        <w:noBreakHyphen/>
        <w:t>dessous donnent l'affaiblissement à 47,9 GHz.</w:t>
      </w:r>
    </w:p>
    <w:p w:rsidR="009957E8" w:rsidRPr="008F7245" w:rsidRDefault="009957E8" w:rsidP="009957E8">
      <w:pPr>
        <w:pStyle w:val="Equation"/>
        <w:tabs>
          <w:tab w:val="left" w:pos="851"/>
        </w:tabs>
        <w:rPr>
          <w:lang w:val="fr-CH"/>
        </w:rPr>
      </w:pPr>
      <w:r>
        <w:tab/>
      </w:r>
      <w:r>
        <w:tab/>
      </w:r>
      <w:r>
        <w:rPr>
          <w:position w:val="-30"/>
        </w:rPr>
        <w:object w:dxaOrig="7920" w:dyaOrig="720">
          <v:shape id="_x0000_i1031" type="#_x0000_t75" style="width:396.35pt;height:36.35pt" o:ole="">
            <v:imagedata r:id="rId26" o:title=""/>
          </v:shape>
          <o:OLEObject Type="Embed" ProgID="Equation.3" ShapeID="_x0000_i1031" DrawAspect="Content" ObjectID="_1360138566" r:id="rId27"/>
        </w:object>
      </w:r>
      <w:r w:rsidRPr="008F7245">
        <w:rPr>
          <w:lang w:val="fr-CH"/>
        </w:rPr>
        <w:tab/>
        <w:t>(4a)</w:t>
      </w:r>
    </w:p>
    <w:p w:rsidR="009957E8" w:rsidRPr="008F7245" w:rsidRDefault="009957E8" w:rsidP="009957E8">
      <w:pPr>
        <w:pStyle w:val="Equation"/>
        <w:tabs>
          <w:tab w:val="left" w:pos="709"/>
          <w:tab w:val="left" w:pos="1985"/>
        </w:tabs>
        <w:rPr>
          <w:lang w:val="fr-CH"/>
        </w:rPr>
      </w:pPr>
      <w:r w:rsidRPr="008F7245">
        <w:rPr>
          <w:lang w:val="fr-CH"/>
        </w:rPr>
        <w:tab/>
      </w:r>
      <w:r w:rsidRPr="008F7245">
        <w:rPr>
          <w:lang w:val="fr-CH"/>
        </w:rPr>
        <w:tab/>
      </w:r>
      <w:r>
        <w:rPr>
          <w:position w:val="-30"/>
        </w:rPr>
        <w:object w:dxaOrig="7980" w:dyaOrig="720">
          <v:shape id="_x0000_i1032" type="#_x0000_t75" style="width:399.15pt;height:36.35pt" o:ole="">
            <v:imagedata r:id="rId28" o:title=""/>
          </v:shape>
          <o:OLEObject Type="Embed" ProgID="Equation.3" ShapeID="_x0000_i1032" DrawAspect="Content" ObjectID="_1360138567" r:id="rId29"/>
        </w:object>
      </w:r>
      <w:r w:rsidRPr="008F7245">
        <w:rPr>
          <w:lang w:val="fr-CH"/>
        </w:rPr>
        <w:tab/>
        <w:t>(4b)</w:t>
      </w:r>
    </w:p>
    <w:p w:rsidR="009957E8" w:rsidRPr="008F7245" w:rsidRDefault="009957E8" w:rsidP="009957E8">
      <w:pPr>
        <w:pStyle w:val="Equation"/>
        <w:tabs>
          <w:tab w:val="center" w:pos="4763"/>
        </w:tabs>
        <w:rPr>
          <w:lang w:val="fr-CH"/>
        </w:rPr>
      </w:pPr>
      <w:r w:rsidRPr="008F7245">
        <w:rPr>
          <w:lang w:val="fr-CH"/>
        </w:rPr>
        <w:tab/>
      </w:r>
      <w:r w:rsidRPr="008F7245">
        <w:rPr>
          <w:lang w:val="fr-CH"/>
        </w:rPr>
        <w:tab/>
      </w:r>
      <w:r>
        <w:rPr>
          <w:position w:val="-30"/>
        </w:rPr>
        <w:object w:dxaOrig="7920" w:dyaOrig="720">
          <v:shape id="_x0000_i1033" type="#_x0000_t75" style="width:396.35pt;height:36.35pt" o:ole="">
            <v:imagedata r:id="rId30" o:title=""/>
          </v:shape>
          <o:OLEObject Type="Embed" ProgID="Equation.3" ShapeID="_x0000_i1033" DrawAspect="Content" ObjectID="_1360138568" r:id="rId31"/>
        </w:object>
      </w:r>
      <w:r w:rsidRPr="008F7245">
        <w:rPr>
          <w:lang w:val="fr-CH"/>
        </w:rPr>
        <w:tab/>
        <w:t>(4c)</w:t>
      </w:r>
    </w:p>
    <w:p w:rsidR="009957E8" w:rsidRDefault="009957E8" w:rsidP="009957E8">
      <w:pPr>
        <w:pStyle w:val="Heading3"/>
      </w:pPr>
      <w:r>
        <w:t>2.1.2</w:t>
      </w:r>
      <w:r>
        <w:tab/>
        <w:t>Affaiblissement entre deux stations HAPS</w:t>
      </w:r>
    </w:p>
    <w:p w:rsidR="009957E8" w:rsidRDefault="009957E8" w:rsidP="009957E8">
      <w:r>
        <w:t>Si deux stations HAPS utilisent deux bandes de fréquences pour les sens de transmission opposés, il se peut qu'il en résulte des brouillages réciproques inacceptables. Si la distance entre les points sous</w:t>
      </w:r>
      <w:r>
        <w:noBreakHyphen/>
        <w:t>HAPS est suffisamment grande, le trajet risque de subir un affaiblissement dû aux gaz atmosphériques, notamment dans la basse atmosphère. La méthode de calcul de la valeur minimale de cet affaiblissement est décrite ci-après.</w:t>
      </w:r>
    </w:p>
    <w:p w:rsidR="009957E8" w:rsidRDefault="009957E8" w:rsidP="009957E8">
      <w:r>
        <w:t xml:space="preserve">Calculer l'altitude moyenne, </w:t>
      </w:r>
      <w:r>
        <w:rPr>
          <w:i/>
          <w:iCs/>
        </w:rPr>
        <w:t>h</w:t>
      </w:r>
      <w:r>
        <w:rPr>
          <w:position w:val="-4"/>
          <w:sz w:val="16"/>
        </w:rPr>
        <w:t>0</w:t>
      </w:r>
      <w:r>
        <w:t xml:space="preserve"> (km), entre les altitudes </w:t>
      </w:r>
      <w:r>
        <w:rPr>
          <w:i/>
          <w:iCs/>
        </w:rPr>
        <w:t>h</w:t>
      </w:r>
      <w:r>
        <w:rPr>
          <w:position w:val="-4"/>
          <w:sz w:val="16"/>
        </w:rPr>
        <w:t>1</w:t>
      </w:r>
      <w:r>
        <w:t xml:space="preserve"> et </w:t>
      </w:r>
      <w:r>
        <w:rPr>
          <w:i/>
          <w:iCs/>
        </w:rPr>
        <w:t>h</w:t>
      </w:r>
      <w:r>
        <w:rPr>
          <w:position w:val="-4"/>
          <w:sz w:val="16"/>
        </w:rPr>
        <w:t>2</w:t>
      </w:r>
      <w:r>
        <w:t xml:space="preserve"> de deux stations HAPS de la façon suivante:</w:t>
      </w:r>
    </w:p>
    <w:p w:rsidR="009957E8" w:rsidRPr="008F7245" w:rsidRDefault="009957E8" w:rsidP="009957E8">
      <w:pPr>
        <w:pStyle w:val="Equation"/>
        <w:rPr>
          <w:lang w:val="fr-CH"/>
        </w:rPr>
      </w:pPr>
      <w:r>
        <w:rPr>
          <w:i/>
          <w:iCs/>
        </w:rPr>
        <w:tab/>
      </w:r>
      <w:r>
        <w:rPr>
          <w:i/>
          <w:iCs/>
        </w:rPr>
        <w:tab/>
      </w:r>
      <w:r w:rsidRPr="008F7245">
        <w:rPr>
          <w:i/>
          <w:iCs/>
          <w:lang w:val="fr-CH"/>
        </w:rPr>
        <w:t>h</w:t>
      </w:r>
      <w:r>
        <w:rPr>
          <w:position w:val="-4"/>
          <w:sz w:val="18"/>
        </w:rPr>
        <w:t>0</w:t>
      </w:r>
      <w:r w:rsidRPr="008F7245">
        <w:rPr>
          <w:lang w:val="fr-CH"/>
        </w:rPr>
        <w:t>  </w:t>
      </w:r>
      <w:r>
        <w:rPr>
          <w:rFonts w:ascii="Symbol" w:hAnsi="Symbol"/>
          <w:lang w:val="en-US"/>
        </w:rPr>
        <w:t></w:t>
      </w:r>
      <w:r w:rsidRPr="008F7245">
        <w:rPr>
          <w:lang w:val="fr-CH"/>
        </w:rPr>
        <w:t>  (</w:t>
      </w:r>
      <w:r w:rsidRPr="008F7245">
        <w:rPr>
          <w:i/>
          <w:iCs/>
          <w:lang w:val="fr-CH"/>
        </w:rPr>
        <w:t>h</w:t>
      </w:r>
      <w:r>
        <w:rPr>
          <w:position w:val="-4"/>
          <w:sz w:val="18"/>
        </w:rPr>
        <w:t>1</w:t>
      </w:r>
      <w:r w:rsidRPr="008F7245">
        <w:rPr>
          <w:lang w:val="fr-CH"/>
        </w:rPr>
        <w:t>  </w:t>
      </w:r>
      <w:r>
        <w:rPr>
          <w:rFonts w:ascii="Symbol" w:hAnsi="Symbol"/>
          <w:lang w:val="en-US"/>
        </w:rPr>
        <w:t></w:t>
      </w:r>
      <w:r w:rsidRPr="008F7245">
        <w:rPr>
          <w:lang w:val="fr-CH"/>
        </w:rPr>
        <w:t>  </w:t>
      </w:r>
      <w:r w:rsidRPr="008F7245">
        <w:rPr>
          <w:i/>
          <w:iCs/>
          <w:lang w:val="fr-CH"/>
        </w:rPr>
        <w:t>h</w:t>
      </w:r>
      <w:r>
        <w:rPr>
          <w:position w:val="-4"/>
          <w:sz w:val="18"/>
        </w:rPr>
        <w:t>2</w:t>
      </w:r>
      <w:r w:rsidRPr="008F7245">
        <w:rPr>
          <w:lang w:val="fr-CH"/>
        </w:rPr>
        <w:t>)/2</w:t>
      </w:r>
      <w:r w:rsidRPr="008F7245">
        <w:rPr>
          <w:lang w:val="fr-CH"/>
        </w:rPr>
        <w:tab/>
        <w:t>(5)</w:t>
      </w:r>
    </w:p>
    <w:p w:rsidR="009957E8" w:rsidRDefault="009957E8" w:rsidP="009957E8">
      <w:r>
        <w:t xml:space="preserve">On suppose que les valeurs de </w:t>
      </w:r>
      <w:r>
        <w:rPr>
          <w:i/>
          <w:iCs/>
        </w:rPr>
        <w:t>h</w:t>
      </w:r>
      <w:r>
        <w:rPr>
          <w:position w:val="-4"/>
          <w:sz w:val="16"/>
        </w:rPr>
        <w:t>1</w:t>
      </w:r>
      <w:r>
        <w:t xml:space="preserve"> et </w:t>
      </w:r>
      <w:r>
        <w:rPr>
          <w:i/>
          <w:iCs/>
        </w:rPr>
        <w:t>h</w:t>
      </w:r>
      <w:r>
        <w:rPr>
          <w:position w:val="-4"/>
          <w:sz w:val="16"/>
        </w:rPr>
        <w:t>2</w:t>
      </w:r>
      <w:r>
        <w:t xml:space="preserve"> peuvent être différentes, mais ces différences ne sont pas significatives (voir la Note 2).</w:t>
      </w:r>
    </w:p>
    <w:p w:rsidR="009957E8" w:rsidRDefault="009957E8" w:rsidP="009957E8">
      <w:r>
        <w:t>A l'aide du Tableau 1, lorsque 20 </w:t>
      </w:r>
      <w:r>
        <w:rPr>
          <w:rFonts w:ascii="Symbol" w:hAnsi="Symbol"/>
        </w:rPr>
        <w:sym w:font="Symbol" w:char="F0A3"/>
      </w:r>
      <w:r>
        <w:t> </w:t>
      </w:r>
      <w:r>
        <w:rPr>
          <w:i/>
          <w:iCs/>
        </w:rPr>
        <w:t>h</w:t>
      </w:r>
      <w:r>
        <w:rPr>
          <w:position w:val="-4"/>
          <w:sz w:val="16"/>
        </w:rPr>
        <w:t>0</w:t>
      </w:r>
      <w:r>
        <w:t> </w:t>
      </w:r>
      <w:r>
        <w:rPr>
          <w:rFonts w:ascii="Symbol" w:hAnsi="Symbol"/>
        </w:rPr>
        <w:sym w:font="Symbol" w:char="F0A3"/>
      </w:r>
      <w:r>
        <w:t xml:space="preserve"> 30 km, calculer l'altitude minimale du trajet, </w:t>
      </w:r>
      <w:r>
        <w:rPr>
          <w:i/>
          <w:iCs/>
        </w:rPr>
        <w:t xml:space="preserve">h </w:t>
      </w:r>
      <w:r>
        <w:t xml:space="preserve">(km), entre deux stations HAPS. Pour les valeurs de </w:t>
      </w:r>
      <w:r>
        <w:rPr>
          <w:i/>
          <w:iCs/>
        </w:rPr>
        <w:t>h</w:t>
      </w:r>
      <w:r>
        <w:rPr>
          <w:position w:val="-4"/>
          <w:sz w:val="16"/>
        </w:rPr>
        <w:t>0</w:t>
      </w:r>
      <w:r>
        <w:t xml:space="preserve"> et la distance que ne sont pas indiquées dans le Tableau 1, on peut calculer l'altitude minimale du trajet en procédant par interpolation.</w:t>
      </w:r>
    </w:p>
    <w:p w:rsidR="009957E8" w:rsidRDefault="009957E8" w:rsidP="009957E8">
      <w:r>
        <w:t>Le Tableau 1 a été élaboré pour le modèle du coïndice maximum de réfraction dans l'atmosphère défini dans la Recommandation UIT-R SF.765.</w:t>
      </w:r>
    </w:p>
    <w:p w:rsidR="009957E8" w:rsidRPr="008F7245" w:rsidRDefault="009957E8" w:rsidP="009957E8">
      <w:pPr>
        <w:pStyle w:val="Table"/>
        <w:rPr>
          <w:lang w:val="fr-CH"/>
        </w:rPr>
      </w:pPr>
      <w:r w:rsidRPr="008F7245">
        <w:rPr>
          <w:lang w:val="fr-CH"/>
        </w:rPr>
        <w:lastRenderedPageBreak/>
        <w:t>TABLEAU  1</w:t>
      </w:r>
    </w:p>
    <w:p w:rsidR="009957E8" w:rsidRDefault="009957E8" w:rsidP="009957E8">
      <w:pPr>
        <w:pStyle w:val="TableTitle0"/>
        <w:rPr>
          <w:lang w:val="fr-FR"/>
        </w:rPr>
      </w:pPr>
      <w:r>
        <w:rPr>
          <w:lang w:val="fr-FR"/>
        </w:rPr>
        <w:t>Altitude minimale du trajet entre deux stations HAPS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61"/>
        <w:gridCol w:w="1245"/>
        <w:gridCol w:w="1245"/>
        <w:gridCol w:w="1245"/>
        <w:gridCol w:w="1245"/>
        <w:gridCol w:w="1245"/>
        <w:gridCol w:w="1245"/>
      </w:tblGrid>
      <w:tr w:rsidR="009957E8" w:rsidTr="00785FC3">
        <w:trPr>
          <w:cantSplit/>
        </w:trPr>
        <w:tc>
          <w:tcPr>
            <w:tcW w:w="1361" w:type="dxa"/>
            <w:tcBorders>
              <w:bottom w:val="single" w:sz="6" w:space="0" w:color="auto"/>
            </w:tcBorders>
          </w:tcPr>
          <w:p w:rsidR="009957E8" w:rsidRDefault="009957E8" w:rsidP="00785FC3">
            <w:pPr>
              <w:pStyle w:val="TableText0"/>
              <w:framePr w:hSpace="181" w:wrap="notBeside" w:vAnchor="text" w:hAnchor="text" w:xAlign="center" w:y="1"/>
              <w:jc w:val="center"/>
              <w:rPr>
                <w:lang w:val="fr-FR"/>
              </w:rPr>
            </w:pPr>
            <w:r>
              <w:rPr>
                <w:lang w:val="fr-FR"/>
              </w:rPr>
              <w:t>Distance</w:t>
            </w:r>
            <w:r>
              <w:rPr>
                <w:lang w:val="fr-FR"/>
              </w:rPr>
              <w:br/>
              <w:t>depuis le point sous-HAPS (km)</w:t>
            </w:r>
          </w:p>
        </w:tc>
        <w:tc>
          <w:tcPr>
            <w:tcW w:w="7470" w:type="dxa"/>
            <w:gridSpan w:val="6"/>
          </w:tcPr>
          <w:p w:rsidR="009957E8" w:rsidRPr="008F7245" w:rsidRDefault="009957E8" w:rsidP="00785FC3">
            <w:pPr>
              <w:pStyle w:val="TableText0"/>
              <w:framePr w:hSpace="181" w:wrap="notBeside" w:vAnchor="text" w:hAnchor="text" w:xAlign="center" w:y="1"/>
              <w:jc w:val="center"/>
              <w:rPr>
                <w:lang w:val="fr-CH"/>
              </w:rPr>
            </w:pPr>
            <w:r w:rsidRPr="008F7245">
              <w:rPr>
                <w:lang w:val="fr-CH"/>
              </w:rPr>
              <w:t xml:space="preserve">Altitude minimale du trajet, </w:t>
            </w:r>
            <w:r w:rsidRPr="008F7245">
              <w:rPr>
                <w:i/>
                <w:iCs/>
                <w:lang w:val="fr-CH"/>
              </w:rPr>
              <w:t>h</w:t>
            </w:r>
            <w:r w:rsidRPr="008F7245">
              <w:rPr>
                <w:lang w:val="fr-CH"/>
              </w:rPr>
              <w:t xml:space="preserve"> </w:t>
            </w:r>
            <w:r w:rsidRPr="008F7245">
              <w:rPr>
                <w:lang w:val="fr-CH"/>
              </w:rPr>
              <w:br/>
              <w:t>(km)</w:t>
            </w:r>
          </w:p>
        </w:tc>
      </w:tr>
      <w:tr w:rsidR="009957E8" w:rsidTr="00785FC3">
        <w:trPr>
          <w:cantSplit/>
        </w:trPr>
        <w:tc>
          <w:tcPr>
            <w:tcW w:w="1361" w:type="dxa"/>
            <w:tcBorders>
              <w:bottom w:val="nil"/>
            </w:tcBorders>
          </w:tcPr>
          <w:p w:rsidR="009957E8" w:rsidRPr="008F7245" w:rsidRDefault="009957E8" w:rsidP="00785FC3">
            <w:pPr>
              <w:pStyle w:val="TableText0"/>
              <w:framePr w:hSpace="181" w:wrap="notBeside" w:vAnchor="text" w:hAnchor="text" w:xAlign="center" w:y="1"/>
              <w:rPr>
                <w:lang w:val="fr-CH"/>
              </w:rPr>
            </w:pPr>
          </w:p>
        </w:tc>
        <w:tc>
          <w:tcPr>
            <w:tcW w:w="7470" w:type="dxa"/>
            <w:gridSpan w:val="6"/>
          </w:tcPr>
          <w:p w:rsidR="009957E8" w:rsidRPr="008F7245" w:rsidRDefault="009957E8" w:rsidP="00785FC3">
            <w:pPr>
              <w:pStyle w:val="TableText0"/>
              <w:framePr w:hSpace="181" w:wrap="notBeside" w:vAnchor="text" w:hAnchor="text" w:xAlign="center" w:y="1"/>
              <w:jc w:val="center"/>
              <w:rPr>
                <w:lang w:val="fr-CH"/>
              </w:rPr>
            </w:pPr>
            <w:r w:rsidRPr="008F7245">
              <w:rPr>
                <w:lang w:val="fr-CH"/>
              </w:rPr>
              <w:t xml:space="preserve">Pour une altitude moyenne de deux stations HAPS, </w:t>
            </w:r>
            <w:r w:rsidRPr="008F7245">
              <w:rPr>
                <w:i/>
                <w:iCs/>
                <w:lang w:val="fr-CH"/>
              </w:rPr>
              <w:t>h</w:t>
            </w:r>
            <w:r w:rsidRPr="008F7245">
              <w:rPr>
                <w:position w:val="-4"/>
                <w:sz w:val="14"/>
                <w:lang w:val="fr-CH"/>
              </w:rPr>
              <w:t>0</w:t>
            </w:r>
          </w:p>
        </w:tc>
      </w:tr>
      <w:tr w:rsidR="009957E8" w:rsidTr="00785FC3">
        <w:trPr>
          <w:cantSplit/>
        </w:trPr>
        <w:tc>
          <w:tcPr>
            <w:tcW w:w="1361" w:type="dxa"/>
            <w:tcBorders>
              <w:top w:val="nil"/>
            </w:tcBorders>
          </w:tcPr>
          <w:p w:rsidR="009957E8" w:rsidRPr="008F7245" w:rsidRDefault="009957E8" w:rsidP="00785FC3">
            <w:pPr>
              <w:pStyle w:val="TableText0"/>
              <w:framePr w:hSpace="181" w:wrap="notBeside" w:vAnchor="text" w:hAnchor="text" w:xAlign="center" w:y="1"/>
              <w:jc w:val="center"/>
              <w:rPr>
                <w:lang w:val="fr-CH"/>
              </w:rPr>
            </w:pPr>
          </w:p>
        </w:tc>
        <w:tc>
          <w:tcPr>
            <w:tcW w:w="1245" w:type="dxa"/>
          </w:tcPr>
          <w:p w:rsidR="009957E8" w:rsidRDefault="009957E8" w:rsidP="00785FC3">
            <w:pPr>
              <w:pStyle w:val="TableText0"/>
              <w:framePr w:hSpace="181" w:wrap="notBeside" w:vAnchor="text" w:hAnchor="text" w:xAlign="center" w:y="1"/>
              <w:jc w:val="center"/>
            </w:pPr>
            <w:r>
              <w:t>20 km</w:t>
            </w:r>
          </w:p>
        </w:tc>
        <w:tc>
          <w:tcPr>
            <w:tcW w:w="1245" w:type="dxa"/>
          </w:tcPr>
          <w:p w:rsidR="009957E8" w:rsidRDefault="009957E8" w:rsidP="00785FC3">
            <w:pPr>
              <w:pStyle w:val="TableText0"/>
              <w:framePr w:hSpace="181" w:wrap="notBeside" w:vAnchor="text" w:hAnchor="text" w:xAlign="center" w:y="1"/>
              <w:jc w:val="center"/>
            </w:pPr>
            <w:r>
              <w:t>22 km</w:t>
            </w:r>
          </w:p>
        </w:tc>
        <w:tc>
          <w:tcPr>
            <w:tcW w:w="1245" w:type="dxa"/>
          </w:tcPr>
          <w:p w:rsidR="009957E8" w:rsidRDefault="009957E8" w:rsidP="00785FC3">
            <w:pPr>
              <w:pStyle w:val="TableText0"/>
              <w:framePr w:hSpace="181" w:wrap="notBeside" w:vAnchor="text" w:hAnchor="text" w:xAlign="center" w:y="1"/>
              <w:jc w:val="center"/>
            </w:pPr>
            <w:r>
              <w:t>24 km</w:t>
            </w:r>
          </w:p>
        </w:tc>
        <w:tc>
          <w:tcPr>
            <w:tcW w:w="1245" w:type="dxa"/>
          </w:tcPr>
          <w:p w:rsidR="009957E8" w:rsidRDefault="009957E8" w:rsidP="00785FC3">
            <w:pPr>
              <w:pStyle w:val="TableText0"/>
              <w:framePr w:hSpace="181" w:wrap="notBeside" w:vAnchor="text" w:hAnchor="text" w:xAlign="center" w:y="1"/>
              <w:jc w:val="center"/>
            </w:pPr>
            <w:r>
              <w:t>26 km</w:t>
            </w:r>
          </w:p>
        </w:tc>
        <w:tc>
          <w:tcPr>
            <w:tcW w:w="1245" w:type="dxa"/>
          </w:tcPr>
          <w:p w:rsidR="009957E8" w:rsidRDefault="009957E8" w:rsidP="00785FC3">
            <w:pPr>
              <w:pStyle w:val="TableText0"/>
              <w:framePr w:hSpace="181" w:wrap="notBeside" w:vAnchor="text" w:hAnchor="text" w:xAlign="center" w:y="1"/>
              <w:jc w:val="center"/>
            </w:pPr>
            <w:r>
              <w:t>28 km</w:t>
            </w:r>
          </w:p>
        </w:tc>
        <w:tc>
          <w:tcPr>
            <w:tcW w:w="1245" w:type="dxa"/>
          </w:tcPr>
          <w:p w:rsidR="009957E8" w:rsidRDefault="009957E8" w:rsidP="00785FC3">
            <w:pPr>
              <w:pStyle w:val="TableText0"/>
              <w:framePr w:hSpace="181" w:wrap="notBeside" w:vAnchor="text" w:hAnchor="text" w:xAlign="center" w:y="1"/>
              <w:jc w:val="center"/>
            </w:pPr>
            <w:r>
              <w:t>30 km</w:t>
            </w:r>
          </w:p>
        </w:tc>
      </w:tr>
      <w:tr w:rsidR="009957E8" w:rsidTr="00785FC3">
        <w:trPr>
          <w:cantSplit/>
        </w:trPr>
        <w:tc>
          <w:tcPr>
            <w:tcW w:w="1361"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350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400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450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500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550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600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650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700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750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800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850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900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950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000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050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100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150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200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250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300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350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400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52"/>
              </w:tabs>
              <w:spacing w:before="40" w:after="40"/>
              <w:jc w:val="left"/>
            </w:pPr>
            <w:r>
              <w:tab/>
              <w:t>1</w:t>
            </w:r>
            <w:r>
              <w:rPr>
                <w:rFonts w:ascii="Tms Rmn" w:hAnsi="Tms Rmn"/>
                <w:sz w:val="12"/>
              </w:rPr>
              <w:t> </w:t>
            </w:r>
            <w:r>
              <w:t>450</w:t>
            </w:r>
          </w:p>
        </w:tc>
        <w:tc>
          <w:tcPr>
            <w:tcW w:w="1245"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17,63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16,91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16,10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15,20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14,22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13,16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12,03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10,84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9,61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8,36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7,11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5,89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4,73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3,64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2,66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0,32</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tc>
        <w:tc>
          <w:tcPr>
            <w:tcW w:w="1245" w:type="dxa"/>
          </w:tcPr>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17,16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16,16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15,08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13,92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12,69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11,41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10,09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8,75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7,42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6,13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4,91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3,77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2,75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1,84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0,35</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tc>
        <w:tc>
          <w:tcPr>
            <w:tcW w:w="1245" w:type="dxa"/>
          </w:tcPr>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17,03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15,85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14,59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13,26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11,89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10,47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9,05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7,64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6,29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5,01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3,84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2,79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1,89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1,05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pPr>
            <w:r>
              <w:t>0,35</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tc>
        <w:tc>
          <w:tcPr>
            <w:tcW w:w="1245" w:type="dxa"/>
          </w:tcPr>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17,79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16,51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15,16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13,74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12,27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10,77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9,26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7,79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6,37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5,05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3,85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2,78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1,84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0,32</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tc>
        <w:tc>
          <w:tcPr>
            <w:tcW w:w="1245" w:type="dxa"/>
          </w:tcPr>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17,08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15,63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14,12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12,56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10,97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9,39</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7,85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6,38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5,03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3,80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2,72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0,96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0,26</w:t>
            </w:r>
          </w:p>
          <w:p w:rsidR="009957E8" w:rsidRDefault="009957E8" w:rsidP="00785FC3">
            <w:pPr>
              <w:pStyle w:val="TableText0"/>
              <w:framePr w:hSpace="181" w:wrap="notBeside" w:vAnchor="text" w:hAnchor="text" w:xAlign="center" w:y="1"/>
              <w:spacing w:before="40" w:after="40"/>
              <w:jc w:val="center"/>
            </w:pPr>
            <w:r>
              <w:t>–</w:t>
            </w:r>
          </w:p>
        </w:tc>
        <w:tc>
          <w:tcPr>
            <w:tcW w:w="1245" w:type="dxa"/>
          </w:tcPr>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spacing w:before="40" w:after="40"/>
              <w:jc w:val="center"/>
            </w:pPr>
            <w:r>
              <w:t>–</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17,55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16,01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14,40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12,75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pPr>
            <w:r>
              <w:t>11,08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9,43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7,83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6,33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4,95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3,71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2,62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1,68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0,87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decimal" w:pos="454"/>
              </w:tabs>
              <w:spacing w:before="40" w:after="40"/>
              <w:jc w:val="left"/>
              <w:rPr>
                <w:lang w:val="fr-FR"/>
              </w:rPr>
            </w:pPr>
            <w:r>
              <w:rPr>
                <w:lang w:val="fr-FR"/>
              </w:rPr>
              <w:t>0,18</w:t>
            </w:r>
          </w:p>
        </w:tc>
      </w:tr>
    </w:tbl>
    <w:p w:rsidR="009957E8" w:rsidRDefault="009957E8" w:rsidP="009957E8">
      <w:pPr>
        <w:pStyle w:val="Tablefin"/>
        <w:rPr>
          <w:lang w:val="fr-FR"/>
        </w:rPr>
      </w:pPr>
    </w:p>
    <w:p w:rsidR="009957E8" w:rsidRDefault="009957E8" w:rsidP="00DB483B">
      <w:r>
        <w:t xml:space="preserve">Lorsque </w:t>
      </w:r>
      <w:r>
        <w:rPr>
          <w:i/>
        </w:rPr>
        <w:t>h </w:t>
      </w:r>
      <w:r>
        <w:rPr>
          <w:rFonts w:ascii="Symbol" w:hAnsi="Symbol"/>
        </w:rPr>
        <w:t></w:t>
      </w:r>
      <w:r>
        <w:t xml:space="preserve"> 17 km, l'affaiblissement est négligeable. Si 0 </w:t>
      </w:r>
      <w:r w:rsidR="00DB483B">
        <w:t>≤</w:t>
      </w:r>
      <w:r>
        <w:t xml:space="preserve"> </w:t>
      </w:r>
      <w:r>
        <w:rPr>
          <w:i/>
        </w:rPr>
        <w:t>h</w:t>
      </w:r>
      <w:r>
        <w:t xml:space="preserve"> </w:t>
      </w:r>
      <w:r>
        <w:rPr>
          <w:rFonts w:ascii="Symbol" w:hAnsi="Symbol"/>
        </w:rPr>
        <w:t></w:t>
      </w:r>
      <w:r>
        <w:t xml:space="preserve"> 17 km, l'affaiblissement minimal de propagation peut être calculé à l'aide la formule suivante, où:</w:t>
      </w:r>
    </w:p>
    <w:p w:rsidR="009957E8" w:rsidRDefault="009957E8" w:rsidP="00775C9F">
      <w:pPr>
        <w:tabs>
          <w:tab w:val="clear" w:pos="1985"/>
          <w:tab w:val="left" w:pos="2268"/>
        </w:tabs>
        <w:ind w:left="2268" w:hanging="2268"/>
      </w:pPr>
      <w:r>
        <w:rPr>
          <w:i/>
        </w:rPr>
        <w:t>A</w:t>
      </w:r>
      <w:r>
        <w:rPr>
          <w:i/>
          <w:iCs/>
          <w:position w:val="-4"/>
          <w:sz w:val="16"/>
        </w:rPr>
        <w:t>L</w:t>
      </w:r>
      <w:r>
        <w:t xml:space="preserve"> (</w:t>
      </w:r>
      <w:r>
        <w:rPr>
          <w:i/>
        </w:rPr>
        <w:t>h</w:t>
      </w:r>
      <w:r>
        <w:t xml:space="preserve">), </w:t>
      </w:r>
      <w:r>
        <w:rPr>
          <w:i/>
        </w:rPr>
        <w:t>A</w:t>
      </w:r>
      <w:r>
        <w:rPr>
          <w:i/>
          <w:iCs/>
          <w:position w:val="-4"/>
          <w:sz w:val="16"/>
        </w:rPr>
        <w:t>M</w:t>
      </w:r>
      <w:r>
        <w:t xml:space="preserve"> (</w:t>
      </w:r>
      <w:r>
        <w:rPr>
          <w:i/>
        </w:rPr>
        <w:t>h</w:t>
      </w:r>
      <w:r>
        <w:t xml:space="preserve">), </w:t>
      </w:r>
      <w:r>
        <w:rPr>
          <w:i/>
        </w:rPr>
        <w:t>A</w:t>
      </w:r>
      <w:r>
        <w:rPr>
          <w:i/>
          <w:iCs/>
          <w:position w:val="-4"/>
          <w:sz w:val="16"/>
        </w:rPr>
        <w:t>H</w:t>
      </w:r>
      <w:r>
        <w:t xml:space="preserve"> (</w:t>
      </w:r>
      <w:r>
        <w:rPr>
          <w:i/>
        </w:rPr>
        <w:t>h</w:t>
      </w:r>
      <w:r>
        <w:t>):</w:t>
      </w:r>
      <w:r>
        <w:tab/>
        <w:t>affaiblissement total d'absorption atmosphérique (dB) pour les zones de basse, de moyenne ou de haute latitude, respectivement.</w:t>
      </w:r>
    </w:p>
    <w:p w:rsidR="009957E8" w:rsidRDefault="009957E8" w:rsidP="009957E8">
      <w:pPr>
        <w:pStyle w:val="Heading7"/>
        <w:rPr>
          <w:b w:val="0"/>
          <w:bCs/>
          <w:i/>
          <w:iCs/>
        </w:rPr>
      </w:pPr>
      <w:r>
        <w:rPr>
          <w:b w:val="0"/>
          <w:bCs/>
          <w:i/>
          <w:iCs/>
        </w:rPr>
        <w:t>Bande de fréquences 47,2-47,5 GHz</w:t>
      </w:r>
    </w:p>
    <w:p w:rsidR="009957E8" w:rsidRPr="006066F7" w:rsidRDefault="009957E8" w:rsidP="009957E8">
      <w:pPr>
        <w:pStyle w:val="Equation"/>
        <w:tabs>
          <w:tab w:val="left" w:pos="1843"/>
        </w:tabs>
        <w:rPr>
          <w:lang w:val="fr-CH"/>
        </w:rPr>
      </w:pPr>
      <w:r>
        <w:tab/>
      </w:r>
      <w:r>
        <w:tab/>
      </w:r>
      <w:r>
        <w:rPr>
          <w:position w:val="-30"/>
        </w:rPr>
        <w:object w:dxaOrig="6259" w:dyaOrig="720">
          <v:shape id="_x0000_i1034" type="#_x0000_t75" style="width:325.05pt;height:37.75pt" o:ole="">
            <v:imagedata r:id="rId32" o:title=""/>
          </v:shape>
          <o:OLEObject Type="Embed" ProgID="Equation.3" ShapeID="_x0000_i1034" DrawAspect="Content" ObjectID="_1360138569" r:id="rId33"/>
        </w:object>
      </w:r>
      <w:r w:rsidRPr="006066F7">
        <w:rPr>
          <w:lang w:val="fr-CH"/>
        </w:rPr>
        <w:tab/>
        <w:t>(6a)</w:t>
      </w:r>
    </w:p>
    <w:p w:rsidR="009957E8" w:rsidRPr="00A672BE" w:rsidRDefault="009957E8" w:rsidP="009957E8">
      <w:pPr>
        <w:pStyle w:val="Equation"/>
        <w:tabs>
          <w:tab w:val="clear" w:pos="794"/>
          <w:tab w:val="left" w:pos="1814"/>
        </w:tabs>
        <w:spacing w:before="0"/>
        <w:rPr>
          <w:lang w:val="fr-CH"/>
        </w:rPr>
      </w:pPr>
      <w:r w:rsidRPr="006066F7">
        <w:rPr>
          <w:lang w:val="fr-CH"/>
        </w:rPr>
        <w:tab/>
      </w:r>
      <w:r w:rsidRPr="006066F7">
        <w:rPr>
          <w:lang w:val="fr-CH"/>
        </w:rPr>
        <w:tab/>
      </w:r>
      <w:r>
        <w:rPr>
          <w:position w:val="-30"/>
        </w:rPr>
        <w:object w:dxaOrig="6120" w:dyaOrig="720">
          <v:shape id="_x0000_i1035" type="#_x0000_t75" style="width:306.15pt;height:36.35pt" o:ole="">
            <v:imagedata r:id="rId34" o:title=""/>
          </v:shape>
          <o:OLEObject Type="Embed" ProgID="Equation.3" ShapeID="_x0000_i1035" DrawAspect="Content" ObjectID="_1360138570" r:id="rId35"/>
        </w:object>
      </w:r>
      <w:r w:rsidRPr="00A672BE">
        <w:rPr>
          <w:lang w:val="fr-CH"/>
        </w:rPr>
        <w:tab/>
        <w:t>(6b)</w:t>
      </w:r>
    </w:p>
    <w:p w:rsidR="009957E8" w:rsidRPr="00A672BE" w:rsidRDefault="009957E8" w:rsidP="00E009BA">
      <w:pPr>
        <w:pStyle w:val="Equation"/>
        <w:tabs>
          <w:tab w:val="clear" w:pos="794"/>
          <w:tab w:val="left" w:pos="1701"/>
          <w:tab w:val="left" w:pos="1843"/>
        </w:tabs>
        <w:spacing w:before="0"/>
        <w:rPr>
          <w:lang w:val="fr-CH"/>
        </w:rPr>
      </w:pPr>
      <w:r w:rsidRPr="00A672BE">
        <w:rPr>
          <w:lang w:val="fr-CH"/>
        </w:rPr>
        <w:tab/>
      </w:r>
      <w:r w:rsidRPr="00A672BE">
        <w:rPr>
          <w:lang w:val="fr-CH"/>
        </w:rPr>
        <w:tab/>
      </w:r>
      <w:r>
        <w:rPr>
          <w:position w:val="-30"/>
        </w:rPr>
        <w:object w:dxaOrig="6200" w:dyaOrig="720">
          <v:shape id="_x0000_i1036" type="#_x0000_t75" style="width:309.65pt;height:36.35pt" o:ole="">
            <v:imagedata r:id="rId36" o:title=""/>
          </v:shape>
          <o:OLEObject Type="Embed" ProgID="Equation.3" ShapeID="_x0000_i1036" DrawAspect="Content" ObjectID="_1360138571" r:id="rId37"/>
        </w:object>
      </w:r>
      <w:r w:rsidRPr="00A672BE">
        <w:rPr>
          <w:lang w:val="fr-CH"/>
        </w:rPr>
        <w:tab/>
        <w:t>(6c)</w:t>
      </w:r>
    </w:p>
    <w:p w:rsidR="009957E8" w:rsidRDefault="009957E8" w:rsidP="009957E8">
      <w:pPr>
        <w:pStyle w:val="Heading7"/>
        <w:rPr>
          <w:b w:val="0"/>
          <w:bCs/>
          <w:i/>
          <w:iCs/>
        </w:rPr>
      </w:pPr>
      <w:r>
        <w:rPr>
          <w:b w:val="0"/>
          <w:bCs/>
          <w:i/>
          <w:iCs/>
        </w:rPr>
        <w:t>Bande de fréquences 47,9-48,2 GHz</w:t>
      </w:r>
    </w:p>
    <w:p w:rsidR="009957E8" w:rsidRPr="008F7245" w:rsidRDefault="009957E8" w:rsidP="009957E8">
      <w:pPr>
        <w:pStyle w:val="Equation"/>
        <w:rPr>
          <w:lang w:val="fr-CH"/>
        </w:rPr>
      </w:pPr>
      <w:r>
        <w:tab/>
      </w:r>
      <w:r>
        <w:tab/>
      </w:r>
      <w:r>
        <w:rPr>
          <w:position w:val="-10"/>
        </w:rPr>
        <w:object w:dxaOrig="180" w:dyaOrig="320">
          <v:shape id="_x0000_i1037" type="#_x0000_t75" style="width:9.1pt;height:16.1pt" o:ole="">
            <v:imagedata r:id="rId14" o:title=""/>
          </v:shape>
          <o:OLEObject Type="Embed" ProgID="Equation.3" ShapeID="_x0000_i1037" DrawAspect="Content" ObjectID="_1360138572" r:id="rId38"/>
        </w:object>
      </w:r>
      <w:r>
        <w:rPr>
          <w:position w:val="-30"/>
        </w:rPr>
        <w:object w:dxaOrig="6180" w:dyaOrig="720">
          <v:shape id="_x0000_i1038" type="#_x0000_t75" style="width:308.95pt;height:36.35pt" o:ole="">
            <v:imagedata r:id="rId39" o:title=""/>
          </v:shape>
          <o:OLEObject Type="Embed" ProgID="Equation.3" ShapeID="_x0000_i1038" DrawAspect="Content" ObjectID="_1360138573" r:id="rId40"/>
        </w:object>
      </w:r>
      <w:r w:rsidRPr="008F7245">
        <w:rPr>
          <w:lang w:val="fr-CH"/>
        </w:rPr>
        <w:tab/>
        <w:t>(7a)</w:t>
      </w:r>
    </w:p>
    <w:p w:rsidR="009957E8" w:rsidRPr="008F7245" w:rsidRDefault="009957E8" w:rsidP="00E009BA">
      <w:pPr>
        <w:pStyle w:val="Equation"/>
        <w:spacing w:before="0"/>
        <w:rPr>
          <w:lang w:val="fr-CH"/>
        </w:rPr>
      </w:pPr>
      <w:r w:rsidRPr="008F7245">
        <w:rPr>
          <w:lang w:val="fr-CH"/>
        </w:rPr>
        <w:tab/>
      </w:r>
      <w:r w:rsidRPr="008F7245">
        <w:rPr>
          <w:lang w:val="fr-CH"/>
        </w:rPr>
        <w:tab/>
      </w:r>
      <w:r>
        <w:rPr>
          <w:position w:val="-30"/>
        </w:rPr>
        <w:object w:dxaOrig="6259" w:dyaOrig="720">
          <v:shape id="_x0000_i1039" type="#_x0000_t75" style="width:312.45pt;height:36.35pt" o:ole="">
            <v:imagedata r:id="rId41" o:title=""/>
          </v:shape>
          <o:OLEObject Type="Embed" ProgID="Equation.3" ShapeID="_x0000_i1039" DrawAspect="Content" ObjectID="_1360138574" r:id="rId42"/>
        </w:object>
      </w:r>
      <w:r w:rsidRPr="008F7245">
        <w:rPr>
          <w:lang w:val="fr-CH"/>
        </w:rPr>
        <w:tab/>
        <w:t>(7b)</w:t>
      </w:r>
    </w:p>
    <w:p w:rsidR="009957E8" w:rsidRPr="008F7245" w:rsidRDefault="009957E8" w:rsidP="00E009BA">
      <w:pPr>
        <w:pStyle w:val="Equation"/>
        <w:tabs>
          <w:tab w:val="left" w:pos="1843"/>
        </w:tabs>
        <w:spacing w:before="0"/>
        <w:rPr>
          <w:lang w:val="fr-CH"/>
        </w:rPr>
      </w:pPr>
      <w:r w:rsidRPr="008F7245">
        <w:rPr>
          <w:lang w:val="fr-CH"/>
        </w:rPr>
        <w:lastRenderedPageBreak/>
        <w:tab/>
      </w:r>
      <w:r w:rsidRPr="008F7245">
        <w:rPr>
          <w:lang w:val="fr-CH"/>
        </w:rPr>
        <w:tab/>
      </w:r>
      <w:r>
        <w:rPr>
          <w:position w:val="-30"/>
        </w:rPr>
        <w:object w:dxaOrig="6240" w:dyaOrig="720">
          <v:shape id="_x0000_i1040" type="#_x0000_t75" style="width:311.75pt;height:36.35pt" o:ole="">
            <v:imagedata r:id="rId43" o:title=""/>
          </v:shape>
          <o:OLEObject Type="Embed" ProgID="Equation.3" ShapeID="_x0000_i1040" DrawAspect="Content" ObjectID="_1360138575" r:id="rId44"/>
        </w:object>
      </w:r>
      <w:r w:rsidRPr="008F7245">
        <w:rPr>
          <w:lang w:val="fr-CH"/>
        </w:rPr>
        <w:tab/>
        <w:t>(7c)</w:t>
      </w:r>
    </w:p>
    <w:p w:rsidR="009957E8" w:rsidRDefault="009957E8" w:rsidP="009957E8">
      <w:pPr>
        <w:pStyle w:val="Note"/>
      </w:pPr>
      <w:r>
        <w:t xml:space="preserve">NOTE 1 – Lorsque 0 </w:t>
      </w:r>
      <w:r>
        <w:sym w:font="Symbol" w:char="F0A3"/>
      </w:r>
      <w:r>
        <w:t xml:space="preserve"> </w:t>
      </w:r>
      <w:r>
        <w:rPr>
          <w:i/>
          <w:iCs/>
        </w:rPr>
        <w:t>h</w:t>
      </w:r>
      <w:r>
        <w:t xml:space="preserve"> </w:t>
      </w:r>
      <w:r>
        <w:sym w:font="Symbol" w:char="F0A3"/>
      </w:r>
      <w:r>
        <w:t xml:space="preserve"> 3 km, les valeurs données par les formules (6a)-(7c) sont presque deux fois plus élevées que celles données par les formules (3a)-(4c) pour la même </w:t>
      </w:r>
      <w:bookmarkStart w:id="3" w:name="_GoBack"/>
      <w:bookmarkEnd w:id="3"/>
      <w:r>
        <w:t xml:space="preserve">altitude et </w:t>
      </w:r>
      <w:r>
        <w:sym w:font="Symbol" w:char="F071"/>
      </w:r>
      <w:r>
        <w:t xml:space="preserve">  =  0°.</w:t>
      </w:r>
    </w:p>
    <w:p w:rsidR="009957E8" w:rsidRDefault="009957E8" w:rsidP="009957E8">
      <w:pPr>
        <w:pStyle w:val="Note"/>
      </w:pPr>
      <w:r>
        <w:t xml:space="preserve">NOTE 2 – Pour la même altitude moyenne </w:t>
      </w:r>
      <w:r>
        <w:rPr>
          <w:i/>
          <w:iCs/>
        </w:rPr>
        <w:t>R</w:t>
      </w:r>
      <w:r>
        <w:rPr>
          <w:position w:val="-4"/>
          <w:sz w:val="16"/>
        </w:rPr>
        <w:t>0</w:t>
      </w:r>
      <w:r>
        <w:t xml:space="preserve">, lorsque </w:t>
      </w:r>
      <w:r>
        <w:rPr>
          <w:i/>
          <w:iCs/>
        </w:rPr>
        <w:t>h</w:t>
      </w:r>
      <w:r>
        <w:rPr>
          <w:position w:val="-4"/>
          <w:sz w:val="16"/>
        </w:rPr>
        <w:t>1</w:t>
      </w:r>
      <w:r>
        <w:t xml:space="preserve"> et </w:t>
      </w:r>
      <w:r>
        <w:rPr>
          <w:i/>
          <w:iCs/>
        </w:rPr>
        <w:t>h</w:t>
      </w:r>
      <w:r>
        <w:rPr>
          <w:position w:val="-4"/>
          <w:sz w:val="16"/>
        </w:rPr>
        <w:t>2</w:t>
      </w:r>
      <w:r>
        <w:t xml:space="preserve"> ont des valeurs différentes, l'altitude minimale du trajet est légèrement inférieure, d'où un affaiblissement d'absorption atmosphérique légèrement plus élevé. Le Tableau 2 indique l'altitude minimale (km) du trajet lorsque </w:t>
      </w:r>
      <w:r>
        <w:rPr>
          <w:i/>
          <w:iCs/>
        </w:rPr>
        <w:t>h</w:t>
      </w:r>
      <w:r>
        <w:rPr>
          <w:position w:val="-4"/>
          <w:sz w:val="16"/>
        </w:rPr>
        <w:t>0</w:t>
      </w:r>
      <w:r>
        <w:rPr>
          <w:sz w:val="28"/>
          <w:vertAlign w:val="subscript"/>
        </w:rPr>
        <w:t xml:space="preserve"> </w:t>
      </w:r>
      <w:r>
        <w:rPr>
          <w:rFonts w:ascii="Symbol" w:hAnsi="Symbol"/>
        </w:rPr>
        <w:t></w:t>
      </w:r>
      <w:r>
        <w:t xml:space="preserve"> 25 km. Les effets des différences d'altitude entre des stations HAPS sont négligeables.</w:t>
      </w:r>
    </w:p>
    <w:p w:rsidR="009957E8" w:rsidRPr="008F7245" w:rsidRDefault="009957E8" w:rsidP="009957E8">
      <w:pPr>
        <w:pStyle w:val="Table"/>
        <w:spacing w:before="360"/>
        <w:rPr>
          <w:lang w:val="fr-CH"/>
        </w:rPr>
      </w:pPr>
      <w:r w:rsidRPr="008F7245">
        <w:rPr>
          <w:lang w:val="fr-CH"/>
        </w:rPr>
        <w:t>TABLEAU  2</w:t>
      </w:r>
    </w:p>
    <w:p w:rsidR="009957E8" w:rsidRDefault="009957E8" w:rsidP="009957E8">
      <w:pPr>
        <w:pStyle w:val="TableTitle0"/>
        <w:rPr>
          <w:lang w:val="fr-FR"/>
        </w:rPr>
      </w:pPr>
      <w:r>
        <w:rPr>
          <w:lang w:val="fr-FR"/>
        </w:rPr>
        <w:t xml:space="preserve">Altitude minimale du trajet lorsque </w:t>
      </w:r>
      <w:r>
        <w:rPr>
          <w:i/>
          <w:iCs/>
          <w:lang w:val="fr-FR"/>
        </w:rPr>
        <w:t>h</w:t>
      </w:r>
      <w:r w:rsidRPr="008F7245">
        <w:rPr>
          <w:position w:val="-4"/>
          <w:sz w:val="14"/>
          <w:lang w:val="fr-CH"/>
        </w:rPr>
        <w:t>0</w:t>
      </w:r>
      <w:r>
        <w:rPr>
          <w:lang w:val="fr-FR"/>
        </w:rPr>
        <w:t xml:space="preserve"> </w:t>
      </w:r>
      <w:r>
        <w:rPr>
          <w:rFonts w:ascii="Symbol" w:hAnsi="Symbol"/>
          <w:lang w:val="fr-FR"/>
        </w:rPr>
        <w:t></w:t>
      </w:r>
      <w:r>
        <w:rPr>
          <w:lang w:val="fr-FR"/>
        </w:rPr>
        <w:t xml:space="preserve"> 25 km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81"/>
        <w:gridCol w:w="1134"/>
        <w:gridCol w:w="1136"/>
        <w:gridCol w:w="1245"/>
        <w:gridCol w:w="1245"/>
        <w:gridCol w:w="1245"/>
        <w:gridCol w:w="1245"/>
      </w:tblGrid>
      <w:tr w:rsidR="009957E8" w:rsidTr="00785FC3">
        <w:trPr>
          <w:cantSplit/>
        </w:trPr>
        <w:tc>
          <w:tcPr>
            <w:tcW w:w="2181" w:type="dxa"/>
            <w:tcBorders>
              <w:bottom w:val="single" w:sz="6" w:space="0" w:color="auto"/>
            </w:tcBorders>
          </w:tcPr>
          <w:p w:rsidR="009957E8" w:rsidRDefault="009957E8" w:rsidP="00785FC3">
            <w:pPr>
              <w:pStyle w:val="TableText0"/>
              <w:framePr w:hSpace="181" w:wrap="notBeside" w:vAnchor="text" w:hAnchor="text" w:xAlign="center" w:y="1"/>
              <w:jc w:val="center"/>
              <w:rPr>
                <w:lang w:val="fr-FR"/>
              </w:rPr>
            </w:pPr>
            <w:r>
              <w:rPr>
                <w:lang w:val="fr-FR"/>
              </w:rPr>
              <w:t>Distance depuis le</w:t>
            </w:r>
            <w:r>
              <w:rPr>
                <w:lang w:val="fr-FR"/>
              </w:rPr>
              <w:br/>
              <w:t>point sous-</w:t>
            </w:r>
            <w:proofErr w:type="gramStart"/>
            <w:r>
              <w:rPr>
                <w:lang w:val="fr-FR"/>
              </w:rPr>
              <w:t>HAPS</w:t>
            </w:r>
            <w:proofErr w:type="gramEnd"/>
            <w:r>
              <w:rPr>
                <w:lang w:val="fr-FR"/>
              </w:rPr>
              <w:br/>
              <w:t>(km)</w:t>
            </w:r>
          </w:p>
        </w:tc>
        <w:tc>
          <w:tcPr>
            <w:tcW w:w="7250" w:type="dxa"/>
            <w:gridSpan w:val="6"/>
          </w:tcPr>
          <w:p w:rsidR="009957E8" w:rsidRDefault="009957E8" w:rsidP="00785FC3">
            <w:pPr>
              <w:pStyle w:val="TableText0"/>
              <w:framePr w:hSpace="181" w:wrap="notBeside" w:vAnchor="text" w:hAnchor="text" w:xAlign="center" w:y="1"/>
              <w:jc w:val="center"/>
              <w:rPr>
                <w:lang w:val="fr-FR"/>
              </w:rPr>
            </w:pPr>
            <w:r>
              <w:rPr>
                <w:lang w:val="fr-FR"/>
              </w:rPr>
              <w:t xml:space="preserve">Altitude minimale du trajet </w:t>
            </w:r>
            <w:r>
              <w:rPr>
                <w:lang w:val="fr-FR"/>
              </w:rPr>
              <w:br/>
              <w:t>(km)</w:t>
            </w:r>
          </w:p>
        </w:tc>
      </w:tr>
      <w:tr w:rsidR="009957E8" w:rsidTr="00785FC3">
        <w:trPr>
          <w:cantSplit/>
        </w:trPr>
        <w:tc>
          <w:tcPr>
            <w:tcW w:w="2181" w:type="dxa"/>
            <w:tcBorders>
              <w:bottom w:val="nil"/>
            </w:tcBorders>
          </w:tcPr>
          <w:p w:rsidR="009957E8" w:rsidRDefault="009957E8" w:rsidP="00785FC3">
            <w:pPr>
              <w:pStyle w:val="TableText0"/>
              <w:framePr w:hSpace="181" w:wrap="notBeside" w:vAnchor="text" w:hAnchor="text" w:xAlign="center" w:y="1"/>
              <w:jc w:val="center"/>
              <w:rPr>
                <w:lang w:val="fr-FR"/>
              </w:rPr>
            </w:pPr>
          </w:p>
        </w:tc>
        <w:tc>
          <w:tcPr>
            <w:tcW w:w="7250" w:type="dxa"/>
            <w:gridSpan w:val="6"/>
          </w:tcPr>
          <w:p w:rsidR="009957E8" w:rsidRDefault="009957E8" w:rsidP="00785FC3">
            <w:pPr>
              <w:pStyle w:val="TableText0"/>
              <w:framePr w:hSpace="181" w:wrap="notBeside" w:vAnchor="text" w:hAnchor="text" w:xAlign="center" w:y="1"/>
              <w:jc w:val="center"/>
            </w:pPr>
            <w:r>
              <w:t xml:space="preserve">Pour </w:t>
            </w:r>
            <w:r>
              <w:rPr>
                <w:i/>
              </w:rPr>
              <w:t>h</w:t>
            </w:r>
            <w:r>
              <w:rPr>
                <w:position w:val="-4"/>
                <w:sz w:val="14"/>
              </w:rPr>
              <w:t>1</w:t>
            </w:r>
            <w:r>
              <w:rPr>
                <w:vertAlign w:val="subscript"/>
              </w:rPr>
              <w:t xml:space="preserve"> </w:t>
            </w:r>
            <w:r>
              <w:t xml:space="preserve">et </w:t>
            </w:r>
            <w:r>
              <w:rPr>
                <w:i/>
              </w:rPr>
              <w:t>h</w:t>
            </w:r>
            <w:r>
              <w:rPr>
                <w:position w:val="-4"/>
                <w:sz w:val="14"/>
              </w:rPr>
              <w:t>2</w:t>
            </w:r>
          </w:p>
        </w:tc>
      </w:tr>
      <w:tr w:rsidR="009957E8" w:rsidTr="00785FC3">
        <w:trPr>
          <w:cantSplit/>
        </w:trPr>
        <w:tc>
          <w:tcPr>
            <w:tcW w:w="2181" w:type="dxa"/>
            <w:tcBorders>
              <w:top w:val="nil"/>
            </w:tcBorders>
          </w:tcPr>
          <w:p w:rsidR="009957E8" w:rsidRDefault="009957E8" w:rsidP="00785FC3">
            <w:pPr>
              <w:pStyle w:val="TableText0"/>
              <w:framePr w:hSpace="181" w:wrap="notBeside" w:vAnchor="text" w:hAnchor="text" w:xAlign="center" w:y="1"/>
              <w:jc w:val="center"/>
            </w:pPr>
          </w:p>
        </w:tc>
        <w:tc>
          <w:tcPr>
            <w:tcW w:w="1134" w:type="dxa"/>
          </w:tcPr>
          <w:p w:rsidR="009957E8" w:rsidRDefault="009957E8" w:rsidP="00785FC3">
            <w:pPr>
              <w:pStyle w:val="TableText0"/>
              <w:framePr w:hSpace="181" w:wrap="notBeside" w:vAnchor="text" w:hAnchor="text" w:xAlign="center" w:y="1"/>
              <w:jc w:val="center"/>
              <w:rPr>
                <w:lang w:val="en-US"/>
              </w:rPr>
            </w:pPr>
            <w:r>
              <w:rPr>
                <w:lang w:val="en-US"/>
              </w:rPr>
              <w:t>25/25 km</w:t>
            </w:r>
          </w:p>
        </w:tc>
        <w:tc>
          <w:tcPr>
            <w:tcW w:w="1136" w:type="dxa"/>
          </w:tcPr>
          <w:p w:rsidR="009957E8" w:rsidRDefault="009957E8" w:rsidP="00785FC3">
            <w:pPr>
              <w:pStyle w:val="TableText0"/>
              <w:framePr w:hSpace="181" w:wrap="notBeside" w:vAnchor="text" w:hAnchor="text" w:xAlign="center" w:y="1"/>
              <w:jc w:val="center"/>
              <w:rPr>
                <w:lang w:val="en-US"/>
              </w:rPr>
            </w:pPr>
            <w:r>
              <w:rPr>
                <w:lang w:val="en-US"/>
              </w:rPr>
              <w:t>24/26 km</w:t>
            </w:r>
          </w:p>
        </w:tc>
        <w:tc>
          <w:tcPr>
            <w:tcW w:w="1245" w:type="dxa"/>
          </w:tcPr>
          <w:p w:rsidR="009957E8" w:rsidRDefault="009957E8" w:rsidP="00785FC3">
            <w:pPr>
              <w:pStyle w:val="TableText0"/>
              <w:framePr w:hSpace="181" w:wrap="notBeside" w:vAnchor="text" w:hAnchor="text" w:xAlign="center" w:y="1"/>
              <w:jc w:val="center"/>
              <w:rPr>
                <w:lang w:val="en-US"/>
              </w:rPr>
            </w:pPr>
            <w:r>
              <w:rPr>
                <w:lang w:val="en-US"/>
              </w:rPr>
              <w:t>23/27 km</w:t>
            </w:r>
          </w:p>
        </w:tc>
        <w:tc>
          <w:tcPr>
            <w:tcW w:w="1245" w:type="dxa"/>
          </w:tcPr>
          <w:p w:rsidR="009957E8" w:rsidRDefault="009957E8" w:rsidP="00785FC3">
            <w:pPr>
              <w:pStyle w:val="TableText0"/>
              <w:framePr w:hSpace="181" w:wrap="notBeside" w:vAnchor="text" w:hAnchor="text" w:xAlign="center" w:y="1"/>
              <w:jc w:val="center"/>
              <w:rPr>
                <w:lang w:val="en-US"/>
              </w:rPr>
            </w:pPr>
            <w:r>
              <w:rPr>
                <w:lang w:val="en-US"/>
              </w:rPr>
              <w:t>22/28 km</w:t>
            </w:r>
          </w:p>
        </w:tc>
        <w:tc>
          <w:tcPr>
            <w:tcW w:w="1245" w:type="dxa"/>
          </w:tcPr>
          <w:p w:rsidR="009957E8" w:rsidRDefault="009957E8" w:rsidP="00785FC3">
            <w:pPr>
              <w:pStyle w:val="TableText0"/>
              <w:framePr w:hSpace="181" w:wrap="notBeside" w:vAnchor="text" w:hAnchor="text" w:xAlign="center" w:y="1"/>
              <w:jc w:val="center"/>
              <w:rPr>
                <w:lang w:val="en-US"/>
              </w:rPr>
            </w:pPr>
            <w:r>
              <w:rPr>
                <w:lang w:val="en-US"/>
              </w:rPr>
              <w:t>21/29 km</w:t>
            </w:r>
          </w:p>
        </w:tc>
        <w:tc>
          <w:tcPr>
            <w:tcW w:w="1245" w:type="dxa"/>
          </w:tcPr>
          <w:p w:rsidR="009957E8" w:rsidRDefault="009957E8" w:rsidP="00785FC3">
            <w:pPr>
              <w:pStyle w:val="TableText0"/>
              <w:framePr w:hSpace="181" w:wrap="notBeside" w:vAnchor="text" w:hAnchor="text" w:xAlign="center" w:y="1"/>
              <w:jc w:val="center"/>
              <w:rPr>
                <w:lang w:val="en-US"/>
              </w:rPr>
            </w:pPr>
            <w:r>
              <w:rPr>
                <w:lang w:val="en-US"/>
              </w:rPr>
              <w:t>20/30 km</w:t>
            </w:r>
          </w:p>
        </w:tc>
      </w:tr>
      <w:tr w:rsidR="009957E8" w:rsidTr="00785FC3">
        <w:trPr>
          <w:cantSplit/>
        </w:trPr>
        <w:tc>
          <w:tcPr>
            <w:tcW w:w="2181"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1016"/>
              </w:tabs>
              <w:spacing w:before="60" w:after="60"/>
              <w:jc w:val="left"/>
              <w:rPr>
                <w:lang w:val="fr-FR"/>
              </w:rPr>
            </w:pPr>
            <w:r>
              <w:rPr>
                <w:lang w:val="fr-FR"/>
              </w:rPr>
              <w:tab/>
              <w:t>700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1016"/>
              </w:tabs>
              <w:spacing w:before="60" w:after="60"/>
              <w:jc w:val="left"/>
              <w:rPr>
                <w:lang w:val="fr-FR"/>
              </w:rPr>
            </w:pPr>
            <w:r>
              <w:rPr>
                <w:lang w:val="fr-FR"/>
              </w:rPr>
              <w:tab/>
              <w:t>900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1016"/>
              </w:tabs>
              <w:spacing w:before="60" w:after="60"/>
              <w:jc w:val="left"/>
              <w:rPr>
                <w:lang w:val="fr-FR"/>
              </w:rPr>
            </w:pPr>
            <w:r>
              <w:rPr>
                <w:lang w:val="fr-FR"/>
              </w:rPr>
              <w:tab/>
              <w:t>1</w:t>
            </w:r>
            <w:r>
              <w:rPr>
                <w:rFonts w:ascii="Tms Rmn" w:hAnsi="Tms Rmn"/>
                <w:sz w:val="12"/>
                <w:lang w:val="fr-FR"/>
              </w:rPr>
              <w:t> </w:t>
            </w:r>
            <w:r>
              <w:rPr>
                <w:lang w:val="fr-FR"/>
              </w:rPr>
              <w:t>100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1016"/>
              </w:tabs>
              <w:spacing w:before="60" w:after="60"/>
              <w:jc w:val="left"/>
              <w:rPr>
                <w:lang w:val="fr-FR"/>
              </w:rPr>
            </w:pPr>
            <w:r>
              <w:rPr>
                <w:lang w:val="fr-FR"/>
              </w:rPr>
              <w:tab/>
              <w:t>1</w:t>
            </w:r>
            <w:r>
              <w:rPr>
                <w:rFonts w:ascii="Tms Rmn" w:hAnsi="Tms Rmn"/>
                <w:sz w:val="12"/>
                <w:lang w:val="fr-FR"/>
              </w:rPr>
              <w:t> </w:t>
            </w:r>
            <w:r>
              <w:rPr>
                <w:lang w:val="fr-FR"/>
              </w:rPr>
              <w:t>300</w:t>
            </w:r>
          </w:p>
        </w:tc>
        <w:tc>
          <w:tcPr>
            <w:tcW w:w="1134"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78"/>
              </w:tabs>
              <w:spacing w:before="60" w:after="60"/>
              <w:jc w:val="left"/>
              <w:rPr>
                <w:lang w:val="fr-FR"/>
              </w:rPr>
            </w:pPr>
            <w:r>
              <w:rPr>
                <w:lang w:val="fr-FR"/>
              </w:rPr>
              <w:tab/>
              <w:t>15,55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78"/>
              </w:tabs>
              <w:spacing w:before="60" w:after="60"/>
              <w:jc w:val="left"/>
              <w:rPr>
                <w:lang w:val="fr-FR"/>
              </w:rPr>
            </w:pPr>
            <w:r>
              <w:rPr>
                <w:lang w:val="fr-FR"/>
              </w:rPr>
              <w:tab/>
              <w:t>9,90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78"/>
              </w:tabs>
              <w:spacing w:before="60" w:after="60"/>
              <w:jc w:val="left"/>
              <w:rPr>
                <w:lang w:val="fr-FR"/>
              </w:rPr>
            </w:pPr>
            <w:r>
              <w:rPr>
                <w:lang w:val="fr-FR"/>
              </w:rPr>
              <w:tab/>
              <w:t>4,43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78"/>
              </w:tabs>
              <w:spacing w:before="60" w:after="60"/>
              <w:jc w:val="left"/>
              <w:rPr>
                <w:lang w:val="fr-FR"/>
              </w:rPr>
            </w:pPr>
            <w:r>
              <w:rPr>
                <w:lang w:val="fr-FR"/>
              </w:rPr>
              <w:tab/>
              <w:t>0,68</w:t>
            </w:r>
          </w:p>
        </w:tc>
        <w:tc>
          <w:tcPr>
            <w:tcW w:w="1136"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15,52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9,88</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4,42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0,67</w:t>
            </w:r>
          </w:p>
        </w:tc>
        <w:tc>
          <w:tcPr>
            <w:tcW w:w="1245"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15,45</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9,84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4,40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0,66</w:t>
            </w:r>
          </w:p>
        </w:tc>
        <w:tc>
          <w:tcPr>
            <w:tcW w:w="1245"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15,32</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9,77</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4,36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0,64</w:t>
            </w:r>
          </w:p>
        </w:tc>
        <w:tc>
          <w:tcPr>
            <w:tcW w:w="1245"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15,14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9,66</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4,31</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0,62</w:t>
            </w:r>
          </w:p>
        </w:tc>
        <w:tc>
          <w:tcPr>
            <w:tcW w:w="1245" w:type="dxa"/>
          </w:tcPr>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14,90</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9,53</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4,24</w:t>
            </w:r>
          </w:p>
          <w:p w:rsidR="009957E8" w:rsidRDefault="009957E8" w:rsidP="00785FC3">
            <w:pPr>
              <w:pStyle w:val="TableText0"/>
              <w:framePr w:hSpace="181" w:wrap="notBeside" w:vAnchor="text" w:hAnchor="text" w:xAlign="center" w:y="1"/>
              <w:tabs>
                <w:tab w:val="clear" w:pos="794"/>
                <w:tab w:val="clear" w:pos="1191"/>
                <w:tab w:val="clear" w:pos="1588"/>
                <w:tab w:val="clear" w:pos="1985"/>
                <w:tab w:val="right" w:pos="624"/>
              </w:tabs>
              <w:spacing w:before="60" w:after="60"/>
              <w:jc w:val="left"/>
              <w:rPr>
                <w:lang w:val="fr-FR"/>
              </w:rPr>
            </w:pPr>
            <w:r>
              <w:rPr>
                <w:lang w:val="fr-FR"/>
              </w:rPr>
              <w:tab/>
              <w:t>0,58</w:t>
            </w:r>
          </w:p>
        </w:tc>
      </w:tr>
    </w:tbl>
    <w:p w:rsidR="009957E8" w:rsidRDefault="009957E8" w:rsidP="009957E8">
      <w:pPr>
        <w:pStyle w:val="Tablefin"/>
        <w:rPr>
          <w:lang w:val="fr-FR"/>
        </w:rPr>
      </w:pPr>
    </w:p>
    <w:p w:rsidR="009957E8" w:rsidRDefault="009957E8" w:rsidP="009957E8">
      <w:pPr>
        <w:pStyle w:val="Heading2"/>
      </w:pPr>
      <w:r>
        <w:t>2.2</w:t>
      </w:r>
      <w:r>
        <w:tab/>
        <w:t>Distance de coordination calculée à l'aide de paramètres de systèmes types</w:t>
      </w:r>
    </w:p>
    <w:p w:rsidR="009957E8" w:rsidRDefault="009957E8" w:rsidP="009957E8">
      <w:r>
        <w:t>Cette question appelle un complément d'étude.</w:t>
      </w:r>
    </w:p>
    <w:p w:rsidR="002C60AF" w:rsidRDefault="002C60AF" w:rsidP="009957E8"/>
    <w:p w:rsidR="009957E8" w:rsidRPr="00BC7645" w:rsidRDefault="009957E8" w:rsidP="002C60AF">
      <w:pPr>
        <w:pStyle w:val="Line"/>
        <w:rPr>
          <w:lang w:val="fr-CH"/>
        </w:rPr>
      </w:pPr>
    </w:p>
    <w:p w:rsidR="009957E8" w:rsidRPr="00BC7645" w:rsidRDefault="009957E8" w:rsidP="00A6617B">
      <w:pPr>
        <w:rPr>
          <w:lang w:val="fr-CH"/>
        </w:rPr>
      </w:pPr>
    </w:p>
    <w:sectPr w:rsidR="009957E8" w:rsidRPr="00BC7645" w:rsidSect="005E5B34">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645" w:rsidRDefault="00BC7645">
      <w:r>
        <w:separator/>
      </w:r>
    </w:p>
  </w:endnote>
  <w:endnote w:type="continuationSeparator" w:id="0">
    <w:p w:rsidR="00BC7645" w:rsidRDefault="00BC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645" w:rsidRDefault="00BC7645">
      <w:r>
        <w:separator/>
      </w:r>
    </w:p>
  </w:footnote>
  <w:footnote w:type="continuationSeparator" w:id="0">
    <w:p w:rsidR="00BC7645" w:rsidRDefault="00BC7645">
      <w:r>
        <w:continuationSeparator/>
      </w:r>
    </w:p>
  </w:footnote>
  <w:footnote w:id="1">
    <w:p w:rsidR="00BC7645" w:rsidRPr="00FF5D9F" w:rsidRDefault="00BC7645" w:rsidP="00864090">
      <w:pPr>
        <w:pStyle w:val="FootnoteText"/>
        <w:rPr>
          <w:lang w:val="fr-CH"/>
        </w:rPr>
      </w:pPr>
      <w:r>
        <w:rPr>
          <w:rStyle w:val="FootnoteReference"/>
        </w:rPr>
        <w:t>*</w:t>
      </w:r>
      <w:r>
        <w:tab/>
        <w:t>La Commission d'études 5 a apporté des modifications rédactionnelles à la présente Recommandation (7 et 8 décembre 2009) conformément aux dispositions de la Résolution UIT</w:t>
      </w:r>
      <w: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45" w:rsidRDefault="00BC764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45" w:rsidRDefault="00BC7645" w:rsidP="00785FC3">
    <w:pPr>
      <w:pStyle w:val="Header"/>
      <w:ind w:right="360" w:firstLine="360"/>
    </w:pPr>
    <w:r>
      <w:rPr>
        <w:noProof/>
        <w:lang w:val="en-US" w:eastAsia="zh-CN"/>
      </w:rPr>
      <w:drawing>
        <wp:anchor distT="0" distB="0" distL="114300" distR="114300" simplePos="0" relativeHeight="251659264" behindDoc="1" locked="0" layoutInCell="1" allowOverlap="1" wp14:anchorId="2EA64A5C" wp14:editId="3C7F7F7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45" w:rsidRPr="00837CB5" w:rsidRDefault="00BC764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75C9F">
      <w:rPr>
        <w:rStyle w:val="PageNumber"/>
        <w:b/>
        <w:bCs/>
        <w:noProof/>
      </w:rPr>
      <w:t>ii</w:t>
    </w:r>
    <w:r>
      <w:rPr>
        <w:rStyle w:val="PageNumber"/>
        <w:b/>
        <w:bCs/>
      </w:rPr>
      <w:fldChar w:fldCharType="end"/>
    </w:r>
    <w:r w:rsidRPr="00837CB5">
      <w:tab/>
    </w:r>
    <w:fldSimple w:instr=" DOCPROPERTY &quot;Header&quot; \* MERGEFORMAT ">
      <w:r w:rsidRPr="00785FC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75C9F">
      <w:rPr>
        <w:b/>
        <w:bCs/>
        <w:noProof/>
      </w:rPr>
      <w:t>UIT-R  F.</w:t>
    </w:r>
    <w:r>
      <w:rPr>
        <w:b/>
        <w:bCs/>
      </w:rPr>
      <w:fldChar w:fldCharType="end"/>
    </w:r>
    <w:r>
      <w:rPr>
        <w:b/>
        <w:bCs/>
      </w:rPr>
      <w:t>1501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45" w:rsidRDefault="00BC7645">
    <w:pPr>
      <w:pStyle w:val="Header"/>
    </w:pPr>
    <w:r>
      <w:tab/>
    </w:r>
    <w:fldSimple w:instr=" DOCPROPERTY &quot;Header&quot; \* MERGEFORMAT ">
      <w:r w:rsidRPr="00785FC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45" w:rsidRDefault="00BC764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09BA">
      <w:rPr>
        <w:rStyle w:val="PageNumber"/>
        <w:b/>
        <w:bCs/>
        <w:noProof/>
        <w:lang w:val="en-US"/>
      </w:rPr>
      <w:t>4</w:t>
    </w:r>
    <w:r>
      <w:rPr>
        <w:rStyle w:val="PageNumber"/>
        <w:b/>
        <w:bCs/>
      </w:rPr>
      <w:fldChar w:fldCharType="end"/>
    </w:r>
    <w:r>
      <w:rPr>
        <w:lang w:val="en-US"/>
      </w:rPr>
      <w:tab/>
    </w:r>
    <w:fldSimple w:instr=" DOCPROPERTY &quot;Header&quot; \* MERGEFORMAT ">
      <w:r w:rsidRPr="00785FC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009BA">
      <w:rPr>
        <w:b/>
        <w:bCs/>
        <w:noProof/>
      </w:rPr>
      <w:t>UIT-R  F.</w:t>
    </w:r>
    <w:r>
      <w:rPr>
        <w:b/>
        <w:bCs/>
      </w:rPr>
      <w:fldChar w:fldCharType="end"/>
    </w:r>
    <w:r>
      <w:rPr>
        <w:b/>
        <w:bCs/>
      </w:rPr>
      <w:t>1501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45" w:rsidRDefault="00BC7645">
    <w:pPr>
      <w:pStyle w:val="Header"/>
    </w:pPr>
    <w:r>
      <w:tab/>
    </w:r>
    <w:fldSimple w:instr=" DOCPROPERTY &quot;Header&quot; \* MERGEFORMAT ">
      <w:r w:rsidRPr="00785F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09BA">
      <w:rPr>
        <w:b/>
        <w:bCs/>
        <w:noProof/>
      </w:rPr>
      <w:t>UIT-R  F.</w:t>
    </w:r>
    <w:r>
      <w:rPr>
        <w:b/>
        <w:bCs/>
      </w:rPr>
      <w:fldChar w:fldCharType="end"/>
    </w:r>
    <w:r>
      <w:rPr>
        <w:b/>
        <w:bCs/>
      </w:rPr>
      <w:t>1501</w:t>
    </w:r>
    <w:r>
      <w:tab/>
    </w:r>
    <w:r>
      <w:rPr>
        <w:rStyle w:val="PageNumber"/>
        <w:b/>
        <w:bCs/>
      </w:rPr>
      <w:fldChar w:fldCharType="begin"/>
    </w:r>
    <w:r>
      <w:rPr>
        <w:rStyle w:val="PageNumber"/>
        <w:b/>
        <w:bCs/>
      </w:rPr>
      <w:instrText xml:space="preserve"> PAGE </w:instrText>
    </w:r>
    <w:r>
      <w:rPr>
        <w:rStyle w:val="PageNumber"/>
        <w:b/>
        <w:bCs/>
      </w:rPr>
      <w:fldChar w:fldCharType="separate"/>
    </w:r>
    <w:r w:rsidR="00E009B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96"/>
    <w:rsid w:val="00217EBF"/>
    <w:rsid w:val="002C60AF"/>
    <w:rsid w:val="002D76C4"/>
    <w:rsid w:val="004F1C4A"/>
    <w:rsid w:val="005E5B34"/>
    <w:rsid w:val="00607D68"/>
    <w:rsid w:val="007468DA"/>
    <w:rsid w:val="00775C9F"/>
    <w:rsid w:val="00785FC3"/>
    <w:rsid w:val="00832425"/>
    <w:rsid w:val="00864090"/>
    <w:rsid w:val="009957E8"/>
    <w:rsid w:val="00A6617B"/>
    <w:rsid w:val="00AB0DC8"/>
    <w:rsid w:val="00B24376"/>
    <w:rsid w:val="00B44E24"/>
    <w:rsid w:val="00BC7645"/>
    <w:rsid w:val="00BD58B4"/>
    <w:rsid w:val="00C03C96"/>
    <w:rsid w:val="00DB483B"/>
    <w:rsid w:val="00DF4176"/>
    <w:rsid w:val="00E009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C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03C96"/>
    <w:rPr>
      <w:color w:val="0000FF"/>
      <w:u w:val="single"/>
    </w:rPr>
  </w:style>
  <w:style w:type="paragraph" w:customStyle="1" w:styleId="RecNoBR">
    <w:name w:val="Rec_No_BR"/>
    <w:basedOn w:val="Normal"/>
    <w:next w:val="Rectitle"/>
    <w:rsid w:val="009957E8"/>
    <w:pPr>
      <w:keepNext/>
      <w:keepLines/>
      <w:spacing w:before="480"/>
      <w:jc w:val="center"/>
    </w:pPr>
    <w:rPr>
      <w:caps/>
      <w:sz w:val="28"/>
    </w:rPr>
  </w:style>
  <w:style w:type="paragraph" w:customStyle="1" w:styleId="Annex">
    <w:name w:val="Annex_#"/>
    <w:basedOn w:val="Normal"/>
    <w:next w:val="Normal"/>
    <w:rsid w:val="009957E8"/>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9957E8"/>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9957E8"/>
    <w:pPr>
      <w:spacing w:before="480"/>
      <w:jc w:val="left"/>
    </w:pPr>
  </w:style>
  <w:style w:type="paragraph" w:customStyle="1" w:styleId="RecTitle0">
    <w:name w:val="Rec_Title"/>
    <w:basedOn w:val="Normal"/>
    <w:next w:val="Normal"/>
    <w:rsid w:val="009957E8"/>
    <w:pPr>
      <w:keepNext/>
      <w:keepLines/>
      <w:tabs>
        <w:tab w:val="clear" w:pos="794"/>
        <w:tab w:val="clear" w:pos="1191"/>
        <w:tab w:val="clear" w:pos="1588"/>
        <w:tab w:val="clear" w:pos="1985"/>
        <w:tab w:val="center" w:pos="4849"/>
        <w:tab w:val="right" w:pos="9696"/>
      </w:tabs>
      <w:spacing w:before="180"/>
      <w:jc w:val="center"/>
    </w:pPr>
    <w:rPr>
      <w:b/>
    </w:rPr>
  </w:style>
  <w:style w:type="paragraph" w:customStyle="1" w:styleId="headfoot">
    <w:name w:val="head_foot"/>
    <w:basedOn w:val="Normal"/>
    <w:next w:val="Normalaftertitle0"/>
    <w:rsid w:val="009957E8"/>
    <w:pPr>
      <w:tabs>
        <w:tab w:val="clear" w:pos="794"/>
        <w:tab w:val="clear" w:pos="1191"/>
        <w:tab w:val="clear" w:pos="1588"/>
        <w:tab w:val="clear" w:pos="1985"/>
      </w:tabs>
      <w:spacing w:before="0"/>
      <w:jc w:val="left"/>
    </w:pPr>
    <w:rPr>
      <w:color w:val="FF0000"/>
      <w:sz w:val="8"/>
    </w:rPr>
  </w:style>
  <w:style w:type="paragraph" w:customStyle="1" w:styleId="call0">
    <w:name w:val="call"/>
    <w:basedOn w:val="Normal"/>
    <w:next w:val="Normal"/>
    <w:rsid w:val="009957E8"/>
    <w:pPr>
      <w:keepNext/>
      <w:keepLines/>
      <w:tabs>
        <w:tab w:val="clear" w:pos="1191"/>
        <w:tab w:val="clear" w:pos="1588"/>
        <w:tab w:val="clear" w:pos="1985"/>
      </w:tabs>
      <w:spacing w:before="227"/>
      <w:ind w:left="794"/>
      <w:jc w:val="left"/>
    </w:pPr>
    <w:rPr>
      <w:i/>
    </w:rPr>
  </w:style>
  <w:style w:type="paragraph" w:customStyle="1" w:styleId="RepTitleRef">
    <w:name w:val="Rep_Title/Ref"/>
    <w:basedOn w:val="Normal"/>
    <w:next w:val="RepTitleDate"/>
    <w:rsid w:val="009957E8"/>
    <w:pPr>
      <w:keepNext/>
      <w:keepLines/>
      <w:tabs>
        <w:tab w:val="clear" w:pos="794"/>
        <w:tab w:val="clear" w:pos="1191"/>
        <w:tab w:val="clear" w:pos="1588"/>
        <w:tab w:val="clear" w:pos="1985"/>
        <w:tab w:val="center" w:pos="4849"/>
        <w:tab w:val="right" w:pos="9696"/>
      </w:tabs>
      <w:jc w:val="center"/>
    </w:pPr>
  </w:style>
  <w:style w:type="paragraph" w:customStyle="1" w:styleId="RepTitleDate">
    <w:name w:val="Rep_Title/Date"/>
    <w:basedOn w:val="Normal"/>
    <w:next w:val="headfoot"/>
    <w:rsid w:val="009957E8"/>
    <w:pPr>
      <w:keepNext/>
      <w:keepLines/>
      <w:tabs>
        <w:tab w:val="clear" w:pos="794"/>
        <w:tab w:val="clear" w:pos="1191"/>
        <w:tab w:val="clear" w:pos="1588"/>
        <w:tab w:val="clear" w:pos="1985"/>
        <w:tab w:val="right" w:pos="9696"/>
      </w:tabs>
      <w:jc w:val="right"/>
    </w:pPr>
  </w:style>
  <w:style w:type="paragraph" w:customStyle="1" w:styleId="TableTitle0">
    <w:name w:val="Table_Title"/>
    <w:basedOn w:val="Table"/>
    <w:next w:val="Blanc"/>
    <w:rsid w:val="009957E8"/>
    <w:pPr>
      <w:spacing w:before="0"/>
    </w:pPr>
    <w:rPr>
      <w:b/>
    </w:rPr>
  </w:style>
  <w:style w:type="paragraph" w:customStyle="1" w:styleId="Table">
    <w:name w:val="Table_#"/>
    <w:basedOn w:val="Normal"/>
    <w:next w:val="TableTitle0"/>
    <w:rsid w:val="009957E8"/>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Normal"/>
    <w:rsid w:val="009957E8"/>
    <w:pPr>
      <w:keepNext/>
      <w:spacing w:before="100" w:after="100" w:line="190" w:lineRule="exact"/>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C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03C96"/>
    <w:rPr>
      <w:color w:val="0000FF"/>
      <w:u w:val="single"/>
    </w:rPr>
  </w:style>
  <w:style w:type="paragraph" w:customStyle="1" w:styleId="RecNoBR">
    <w:name w:val="Rec_No_BR"/>
    <w:basedOn w:val="Normal"/>
    <w:next w:val="Rectitle"/>
    <w:rsid w:val="009957E8"/>
    <w:pPr>
      <w:keepNext/>
      <w:keepLines/>
      <w:spacing w:before="480"/>
      <w:jc w:val="center"/>
    </w:pPr>
    <w:rPr>
      <w:caps/>
      <w:sz w:val="28"/>
    </w:rPr>
  </w:style>
  <w:style w:type="paragraph" w:customStyle="1" w:styleId="Annex">
    <w:name w:val="Annex_#"/>
    <w:basedOn w:val="Normal"/>
    <w:next w:val="Normal"/>
    <w:rsid w:val="009957E8"/>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9957E8"/>
    <w:pPr>
      <w:tabs>
        <w:tab w:val="clear" w:pos="794"/>
        <w:tab w:val="clear" w:pos="1191"/>
        <w:tab w:val="clear" w:pos="1588"/>
        <w:tab w:val="clear" w:pos="1985"/>
        <w:tab w:val="left" w:pos="4849"/>
        <w:tab w:val="right" w:pos="9696"/>
      </w:tabs>
      <w:spacing w:after="200"/>
      <w:jc w:val="center"/>
    </w:pPr>
    <w:rPr>
      <w:b/>
    </w:rPr>
  </w:style>
  <w:style w:type="paragraph" w:customStyle="1" w:styleId="Normalaftertitle0">
    <w:name w:val="Normal after title"/>
    <w:basedOn w:val="Normal"/>
    <w:next w:val="Normal"/>
    <w:rsid w:val="009957E8"/>
    <w:pPr>
      <w:spacing w:before="480"/>
      <w:jc w:val="left"/>
    </w:pPr>
  </w:style>
  <w:style w:type="paragraph" w:customStyle="1" w:styleId="RecTitle0">
    <w:name w:val="Rec_Title"/>
    <w:basedOn w:val="Normal"/>
    <w:next w:val="Normal"/>
    <w:rsid w:val="009957E8"/>
    <w:pPr>
      <w:keepNext/>
      <w:keepLines/>
      <w:tabs>
        <w:tab w:val="clear" w:pos="794"/>
        <w:tab w:val="clear" w:pos="1191"/>
        <w:tab w:val="clear" w:pos="1588"/>
        <w:tab w:val="clear" w:pos="1985"/>
        <w:tab w:val="center" w:pos="4849"/>
        <w:tab w:val="right" w:pos="9696"/>
      </w:tabs>
      <w:spacing w:before="180"/>
      <w:jc w:val="center"/>
    </w:pPr>
    <w:rPr>
      <w:b/>
    </w:rPr>
  </w:style>
  <w:style w:type="paragraph" w:customStyle="1" w:styleId="headfoot">
    <w:name w:val="head_foot"/>
    <w:basedOn w:val="Normal"/>
    <w:next w:val="Normalaftertitle0"/>
    <w:rsid w:val="009957E8"/>
    <w:pPr>
      <w:tabs>
        <w:tab w:val="clear" w:pos="794"/>
        <w:tab w:val="clear" w:pos="1191"/>
        <w:tab w:val="clear" w:pos="1588"/>
        <w:tab w:val="clear" w:pos="1985"/>
      </w:tabs>
      <w:spacing w:before="0"/>
      <w:jc w:val="left"/>
    </w:pPr>
    <w:rPr>
      <w:color w:val="FF0000"/>
      <w:sz w:val="8"/>
    </w:rPr>
  </w:style>
  <w:style w:type="paragraph" w:customStyle="1" w:styleId="call0">
    <w:name w:val="call"/>
    <w:basedOn w:val="Normal"/>
    <w:next w:val="Normal"/>
    <w:rsid w:val="009957E8"/>
    <w:pPr>
      <w:keepNext/>
      <w:keepLines/>
      <w:tabs>
        <w:tab w:val="clear" w:pos="1191"/>
        <w:tab w:val="clear" w:pos="1588"/>
        <w:tab w:val="clear" w:pos="1985"/>
      </w:tabs>
      <w:spacing w:before="227"/>
      <w:ind w:left="794"/>
      <w:jc w:val="left"/>
    </w:pPr>
    <w:rPr>
      <w:i/>
    </w:rPr>
  </w:style>
  <w:style w:type="paragraph" w:customStyle="1" w:styleId="RepTitleRef">
    <w:name w:val="Rep_Title/Ref"/>
    <w:basedOn w:val="Normal"/>
    <w:next w:val="RepTitleDate"/>
    <w:rsid w:val="009957E8"/>
    <w:pPr>
      <w:keepNext/>
      <w:keepLines/>
      <w:tabs>
        <w:tab w:val="clear" w:pos="794"/>
        <w:tab w:val="clear" w:pos="1191"/>
        <w:tab w:val="clear" w:pos="1588"/>
        <w:tab w:val="clear" w:pos="1985"/>
        <w:tab w:val="center" w:pos="4849"/>
        <w:tab w:val="right" w:pos="9696"/>
      </w:tabs>
      <w:jc w:val="center"/>
    </w:pPr>
  </w:style>
  <w:style w:type="paragraph" w:customStyle="1" w:styleId="RepTitleDate">
    <w:name w:val="Rep_Title/Date"/>
    <w:basedOn w:val="Normal"/>
    <w:next w:val="headfoot"/>
    <w:rsid w:val="009957E8"/>
    <w:pPr>
      <w:keepNext/>
      <w:keepLines/>
      <w:tabs>
        <w:tab w:val="clear" w:pos="794"/>
        <w:tab w:val="clear" w:pos="1191"/>
        <w:tab w:val="clear" w:pos="1588"/>
        <w:tab w:val="clear" w:pos="1985"/>
        <w:tab w:val="right" w:pos="9696"/>
      </w:tabs>
      <w:jc w:val="right"/>
    </w:pPr>
  </w:style>
  <w:style w:type="paragraph" w:customStyle="1" w:styleId="TableTitle0">
    <w:name w:val="Table_Title"/>
    <w:basedOn w:val="Table"/>
    <w:next w:val="Blanc"/>
    <w:rsid w:val="009957E8"/>
    <w:pPr>
      <w:spacing w:before="0"/>
    </w:pPr>
    <w:rPr>
      <w:b/>
    </w:rPr>
  </w:style>
  <w:style w:type="paragraph" w:customStyle="1" w:styleId="Table">
    <w:name w:val="Table_#"/>
    <w:basedOn w:val="Normal"/>
    <w:next w:val="TableTitle0"/>
    <w:rsid w:val="009957E8"/>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Normal"/>
    <w:rsid w:val="009957E8"/>
    <w:pPr>
      <w:keepNext/>
      <w:spacing w:before="100" w:after="100" w:line="190" w:lineRule="exact"/>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4.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6.w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FB7FC-FCC5-4071-A028-7D2FAB84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224</TotalTime>
  <Pages>7</Pages>
  <Words>1774</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bricec</dc:creator>
  <cp:keywords/>
  <dc:description/>
  <cp:lastModifiedBy>bricec</cp:lastModifiedBy>
  <cp:revision>12</cp:revision>
  <cp:lastPrinted>2011-02-21T09:27:00Z</cp:lastPrinted>
  <dcterms:created xsi:type="dcterms:W3CDTF">2011-02-21T08:26:00Z</dcterms:created>
  <dcterms:modified xsi:type="dcterms:W3CDTF">2011-02-25T10:28:00Z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