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4D9" w:rsidRPr="00575CB8" w:rsidRDefault="00BE64D9" w:rsidP="00BE64D9">
      <w:pPr>
        <w:rPr>
          <w:lang w:val="en-US"/>
        </w:rPr>
      </w:pPr>
    </w:p>
    <w:p w:rsidR="00BE64D9" w:rsidRDefault="00BE64D9" w:rsidP="00BE64D9"/>
    <w:p w:rsidR="00BE64D9" w:rsidRDefault="00BE64D9" w:rsidP="00BE64D9"/>
    <w:p w:rsidR="00BE64D9" w:rsidRDefault="00BE64D9" w:rsidP="00BE64D9"/>
    <w:p w:rsidR="00BE64D9" w:rsidRDefault="00BE64D9" w:rsidP="00BE64D9"/>
    <w:p w:rsidR="00BE64D9" w:rsidRDefault="00BE64D9" w:rsidP="00BE64D9"/>
    <w:p w:rsidR="00BE64D9" w:rsidRDefault="00BE64D9" w:rsidP="00BE64D9"/>
    <w:p w:rsidR="00BE64D9" w:rsidRDefault="00BE64D9" w:rsidP="00BE64D9"/>
    <w:p w:rsidR="00BE64D9" w:rsidRDefault="00BE64D9" w:rsidP="00BE64D9"/>
    <w:p w:rsidR="00BE64D9" w:rsidRDefault="00BE64D9" w:rsidP="00BE64D9"/>
    <w:p w:rsidR="00BE64D9" w:rsidRDefault="00BE64D9" w:rsidP="00BE64D9"/>
    <w:tbl>
      <w:tblPr>
        <w:tblW w:w="10089" w:type="dxa"/>
        <w:tblLook w:val="01E0"/>
      </w:tblPr>
      <w:tblGrid>
        <w:gridCol w:w="10089"/>
      </w:tblGrid>
      <w:tr w:rsidR="00BE64D9" w:rsidRPr="0010336F" w:rsidTr="00BE64D9">
        <w:tc>
          <w:tcPr>
            <w:tcW w:w="10089" w:type="dxa"/>
          </w:tcPr>
          <w:p w:rsidR="00BE64D9" w:rsidRPr="00BE64D9" w:rsidRDefault="00BE64D9" w:rsidP="00BE64D9">
            <w:pPr>
              <w:spacing w:before="380" w:line="280" w:lineRule="exact"/>
              <w:jc w:val="right"/>
              <w:rPr>
                <w:rFonts w:ascii="Tahoma" w:hAnsi="Tahoma" w:cs="Tahoma"/>
                <w:b/>
                <w:bCs/>
                <w:iCs/>
                <w:color w:val="243285"/>
                <w:sz w:val="32"/>
                <w:szCs w:val="32"/>
                <w:lang w:val="en-US"/>
              </w:rPr>
            </w:pPr>
          </w:p>
          <w:p w:rsidR="00BE64D9" w:rsidRPr="00BE64D9" w:rsidRDefault="00BE64D9" w:rsidP="00BE64D9">
            <w:pPr>
              <w:spacing w:before="380" w:line="280" w:lineRule="exact"/>
              <w:jc w:val="right"/>
              <w:rPr>
                <w:rFonts w:ascii="Tahoma" w:hAnsi="Tahoma" w:cs="Tahoma"/>
                <w:b/>
                <w:bCs/>
                <w:iCs/>
                <w:color w:val="243285"/>
                <w:sz w:val="36"/>
                <w:szCs w:val="36"/>
                <w:lang w:val="es-ES_tradnl"/>
              </w:rPr>
            </w:pPr>
            <w:r w:rsidRPr="00BE64D9">
              <w:rPr>
                <w:rFonts w:ascii="Tahoma" w:hAnsi="Tahoma" w:cs="Tahoma"/>
                <w:b/>
                <w:bCs/>
                <w:iCs/>
                <w:color w:val="243285"/>
                <w:sz w:val="36"/>
                <w:szCs w:val="36"/>
                <w:lang w:val="es-ES_tradnl"/>
              </w:rPr>
              <w:t>Recomendación  UIT-R  F.1500</w:t>
            </w:r>
          </w:p>
          <w:p w:rsidR="00BE64D9" w:rsidRPr="00BE64D9" w:rsidRDefault="00BE64D9" w:rsidP="00BE64D9">
            <w:pPr>
              <w:spacing w:before="80" w:line="280" w:lineRule="exact"/>
              <w:jc w:val="right"/>
              <w:rPr>
                <w:rFonts w:ascii="Tahoma" w:hAnsi="Tahoma" w:cs="Tahoma"/>
                <w:b/>
                <w:bCs/>
                <w:iCs/>
                <w:color w:val="243285"/>
                <w:szCs w:val="24"/>
                <w:lang w:val="es-ES_tradnl"/>
              </w:rPr>
            </w:pPr>
            <w:r w:rsidRPr="00BE64D9">
              <w:rPr>
                <w:rFonts w:ascii="Tahoma" w:hAnsi="Tahoma" w:cs="Tahoma"/>
                <w:b/>
                <w:bCs/>
                <w:iCs/>
                <w:color w:val="243285"/>
                <w:szCs w:val="24"/>
                <w:lang w:val="es-ES_tradnl"/>
              </w:rPr>
              <w:t>(05/2000)</w:t>
            </w:r>
          </w:p>
        </w:tc>
      </w:tr>
      <w:tr w:rsidR="00BE64D9" w:rsidRPr="00C71B8B" w:rsidTr="00BE64D9">
        <w:tc>
          <w:tcPr>
            <w:tcW w:w="10089" w:type="dxa"/>
          </w:tcPr>
          <w:p w:rsidR="00BE64D9" w:rsidRPr="00BE64D9" w:rsidRDefault="00BE64D9" w:rsidP="00BE64D9">
            <w:pPr>
              <w:spacing w:before="80" w:line="500" w:lineRule="exact"/>
              <w:jc w:val="right"/>
              <w:rPr>
                <w:rFonts w:ascii="Tahoma" w:hAnsi="Tahoma" w:cs="Tahoma"/>
                <w:b/>
                <w:bCs/>
                <w:iCs/>
                <w:color w:val="243285"/>
                <w:sz w:val="44"/>
                <w:szCs w:val="44"/>
                <w:lang w:val="es-ES_tradnl"/>
              </w:rPr>
            </w:pPr>
          </w:p>
          <w:p w:rsidR="00BE64D9" w:rsidRPr="00BE64D9" w:rsidRDefault="00BE64D9" w:rsidP="008C0664">
            <w:pPr>
              <w:spacing w:before="80" w:line="500" w:lineRule="exact"/>
              <w:jc w:val="right"/>
              <w:rPr>
                <w:rFonts w:ascii="Tahoma" w:hAnsi="Tahoma" w:cs="Tahoma"/>
                <w:b/>
                <w:bCs/>
                <w:color w:val="243285"/>
                <w:sz w:val="44"/>
                <w:szCs w:val="44"/>
                <w:lang w:val="es-ES_tradnl"/>
              </w:rPr>
            </w:pPr>
            <w:r w:rsidRPr="00BE64D9">
              <w:rPr>
                <w:rFonts w:ascii="Tahoma" w:hAnsi="Tahoma" w:cs="Tahoma"/>
                <w:b/>
                <w:bCs/>
                <w:color w:val="243285"/>
                <w:sz w:val="44"/>
                <w:szCs w:val="44"/>
                <w:lang w:val="es-ES_tradnl"/>
              </w:rPr>
              <w:t>Características preferidas de los sistemas</w:t>
            </w:r>
            <w:r w:rsidR="008C0664">
              <w:rPr>
                <w:rFonts w:ascii="Tahoma" w:hAnsi="Tahoma" w:cs="Tahoma"/>
                <w:b/>
                <w:bCs/>
                <w:color w:val="243285"/>
                <w:sz w:val="44"/>
                <w:szCs w:val="44"/>
                <w:lang w:val="es-ES_tradnl"/>
              </w:rPr>
              <w:t xml:space="preserve"> </w:t>
            </w:r>
            <w:r w:rsidR="008C0664" w:rsidRPr="00BE64D9">
              <w:rPr>
                <w:rFonts w:ascii="Tahoma" w:hAnsi="Tahoma" w:cs="Tahoma"/>
                <w:b/>
                <w:bCs/>
                <w:color w:val="243285"/>
                <w:sz w:val="44"/>
                <w:szCs w:val="44"/>
                <w:lang w:val="es-ES_tradnl"/>
              </w:rPr>
              <w:t>del</w:t>
            </w:r>
            <w:r w:rsidRPr="00BE64D9">
              <w:rPr>
                <w:rFonts w:ascii="Tahoma" w:hAnsi="Tahoma" w:cs="Tahoma"/>
                <w:b/>
                <w:bCs/>
                <w:color w:val="243285"/>
                <w:sz w:val="44"/>
                <w:szCs w:val="44"/>
                <w:lang w:val="es-ES_tradnl"/>
              </w:rPr>
              <w:t xml:space="preserve"> servicio fijo que utilizan</w:t>
            </w:r>
            <w:r w:rsidR="008C0664">
              <w:rPr>
                <w:rFonts w:ascii="Tahoma" w:hAnsi="Tahoma" w:cs="Tahoma"/>
                <w:b/>
                <w:bCs/>
                <w:color w:val="243285"/>
                <w:sz w:val="44"/>
                <w:szCs w:val="44"/>
                <w:lang w:val="es-ES_tradnl"/>
              </w:rPr>
              <w:t xml:space="preserve"> </w:t>
            </w:r>
            <w:r w:rsidR="008C0664" w:rsidRPr="00BE64D9">
              <w:rPr>
                <w:rFonts w:ascii="Tahoma" w:hAnsi="Tahoma" w:cs="Tahoma"/>
                <w:b/>
                <w:bCs/>
                <w:color w:val="243285"/>
                <w:sz w:val="44"/>
                <w:szCs w:val="44"/>
                <w:lang w:val="es-ES_tradnl"/>
              </w:rPr>
              <w:t>plataformas</w:t>
            </w:r>
            <w:r w:rsidR="008C0664">
              <w:rPr>
                <w:rFonts w:ascii="Tahoma" w:hAnsi="Tahoma" w:cs="Tahoma"/>
                <w:b/>
                <w:bCs/>
                <w:color w:val="243285"/>
                <w:sz w:val="44"/>
                <w:szCs w:val="44"/>
                <w:lang w:val="es-ES_tradnl"/>
              </w:rPr>
              <w:t xml:space="preserve"> de</w:t>
            </w:r>
            <w:r w:rsidR="008C0664">
              <w:rPr>
                <w:rFonts w:ascii="Tahoma" w:hAnsi="Tahoma" w:cs="Tahoma"/>
                <w:b/>
                <w:bCs/>
                <w:color w:val="243285"/>
                <w:sz w:val="44"/>
                <w:szCs w:val="44"/>
                <w:lang w:val="es-ES_tradnl"/>
              </w:rPr>
              <w:br/>
            </w:r>
            <w:r w:rsidRPr="00BE64D9">
              <w:rPr>
                <w:rFonts w:ascii="Tahoma" w:hAnsi="Tahoma" w:cs="Tahoma"/>
                <w:b/>
                <w:bCs/>
                <w:color w:val="243285"/>
                <w:sz w:val="44"/>
                <w:szCs w:val="44"/>
                <w:lang w:val="es-ES_tradnl"/>
              </w:rPr>
              <w:t>gran altitud en</w:t>
            </w:r>
            <w:r w:rsidR="008C0664">
              <w:rPr>
                <w:rFonts w:ascii="Tahoma" w:hAnsi="Tahoma" w:cs="Tahoma"/>
                <w:b/>
                <w:bCs/>
                <w:color w:val="243285"/>
                <w:sz w:val="44"/>
                <w:szCs w:val="44"/>
                <w:lang w:val="es-ES_tradnl"/>
              </w:rPr>
              <w:t xml:space="preserve"> las bandas </w:t>
            </w:r>
            <w:r w:rsidRPr="00BE64D9">
              <w:rPr>
                <w:rFonts w:ascii="Tahoma" w:hAnsi="Tahoma" w:cs="Tahoma"/>
                <w:b/>
                <w:bCs/>
                <w:color w:val="243285"/>
                <w:sz w:val="44"/>
                <w:szCs w:val="44"/>
                <w:lang w:val="es-ES_tradnl"/>
              </w:rPr>
              <w:t>47,2-47,5 GHz</w:t>
            </w:r>
            <w:r w:rsidR="008C0664">
              <w:rPr>
                <w:rFonts w:ascii="Tahoma" w:hAnsi="Tahoma" w:cs="Tahoma"/>
                <w:b/>
                <w:bCs/>
                <w:color w:val="243285"/>
                <w:sz w:val="44"/>
                <w:szCs w:val="44"/>
                <w:lang w:val="es-ES_tradnl"/>
              </w:rPr>
              <w:br/>
            </w:r>
            <w:r w:rsidRPr="00BE64D9">
              <w:rPr>
                <w:rFonts w:ascii="Tahoma" w:hAnsi="Tahoma" w:cs="Tahoma"/>
                <w:b/>
                <w:bCs/>
                <w:color w:val="243285"/>
                <w:sz w:val="44"/>
                <w:szCs w:val="44"/>
                <w:lang w:val="es-ES_tradnl"/>
              </w:rPr>
              <w:t>y 47,9-48,2 GHz</w:t>
            </w:r>
          </w:p>
          <w:p w:rsidR="00BE64D9" w:rsidRPr="00BE64D9" w:rsidRDefault="00BE64D9" w:rsidP="00BE64D9">
            <w:pPr>
              <w:spacing w:before="80" w:line="500" w:lineRule="exact"/>
              <w:jc w:val="right"/>
              <w:rPr>
                <w:rFonts w:ascii="Tahoma" w:hAnsi="Tahoma" w:cs="Tahoma"/>
                <w:b/>
                <w:bCs/>
                <w:iCs/>
                <w:color w:val="243285"/>
                <w:sz w:val="44"/>
                <w:szCs w:val="44"/>
                <w:lang w:val="es-ES_tradnl"/>
              </w:rPr>
            </w:pPr>
          </w:p>
        </w:tc>
      </w:tr>
      <w:tr w:rsidR="00BE64D9" w:rsidRPr="0026666F" w:rsidTr="00BE64D9">
        <w:tc>
          <w:tcPr>
            <w:tcW w:w="10089" w:type="dxa"/>
          </w:tcPr>
          <w:p w:rsidR="00BE64D9" w:rsidRPr="00BE64D9" w:rsidRDefault="00BE64D9" w:rsidP="00BE64D9">
            <w:pPr>
              <w:spacing w:before="80" w:line="280" w:lineRule="exact"/>
              <w:ind w:right="640"/>
              <w:rPr>
                <w:rFonts w:ascii="Tahoma" w:hAnsi="Tahoma" w:cs="Tahoma"/>
                <w:b/>
                <w:bCs/>
                <w:iCs/>
                <w:color w:val="243285"/>
                <w:sz w:val="32"/>
                <w:szCs w:val="32"/>
                <w:lang w:val="es-ES_tradnl"/>
              </w:rPr>
            </w:pPr>
          </w:p>
          <w:p w:rsidR="00BE64D9" w:rsidRPr="00BE64D9" w:rsidRDefault="00BE64D9" w:rsidP="00BE64D9">
            <w:pPr>
              <w:spacing w:before="80" w:line="280" w:lineRule="exact"/>
              <w:ind w:right="640"/>
              <w:rPr>
                <w:rFonts w:ascii="Tahoma" w:hAnsi="Tahoma" w:cs="Tahoma"/>
                <w:b/>
                <w:bCs/>
                <w:iCs/>
                <w:color w:val="243285"/>
                <w:sz w:val="32"/>
                <w:szCs w:val="32"/>
                <w:lang w:val="es-ES_tradnl"/>
              </w:rPr>
            </w:pPr>
          </w:p>
          <w:p w:rsidR="00BE64D9" w:rsidRPr="00BE64D9" w:rsidRDefault="00BE64D9" w:rsidP="00BE64D9">
            <w:pPr>
              <w:spacing w:before="80" w:after="180" w:line="360" w:lineRule="exact"/>
              <w:ind w:right="720"/>
              <w:rPr>
                <w:rFonts w:ascii="Tahoma" w:hAnsi="Tahoma" w:cs="Tahoma"/>
                <w:b/>
                <w:bCs/>
                <w:iCs/>
                <w:color w:val="243285"/>
                <w:sz w:val="36"/>
                <w:szCs w:val="36"/>
                <w:lang w:val="es-ES_tradnl"/>
              </w:rPr>
            </w:pPr>
          </w:p>
          <w:p w:rsidR="00BE64D9" w:rsidRPr="00BE64D9" w:rsidRDefault="00BE64D9" w:rsidP="00BE64D9">
            <w:pPr>
              <w:spacing w:before="80" w:after="180" w:line="360" w:lineRule="exact"/>
              <w:jc w:val="right"/>
              <w:rPr>
                <w:rFonts w:ascii="Tahoma" w:hAnsi="Tahoma" w:cs="Tahoma"/>
                <w:b/>
                <w:bCs/>
                <w:iCs/>
                <w:color w:val="243285"/>
                <w:sz w:val="36"/>
                <w:szCs w:val="36"/>
                <w:lang w:val="es-ES_tradnl"/>
              </w:rPr>
            </w:pPr>
            <w:r w:rsidRPr="00BE64D9">
              <w:rPr>
                <w:rFonts w:ascii="Tahoma" w:hAnsi="Tahoma" w:cs="Tahoma"/>
                <w:b/>
                <w:bCs/>
                <w:iCs/>
                <w:color w:val="243285"/>
                <w:sz w:val="36"/>
                <w:szCs w:val="36"/>
                <w:lang w:val="es-ES_tradnl"/>
              </w:rPr>
              <w:t>Serie F</w:t>
            </w:r>
          </w:p>
          <w:p w:rsidR="00BE64D9" w:rsidRPr="00BE64D9" w:rsidRDefault="00BE64D9" w:rsidP="00BE64D9">
            <w:pPr>
              <w:spacing w:before="80" w:line="420" w:lineRule="exact"/>
              <w:jc w:val="right"/>
              <w:rPr>
                <w:rFonts w:ascii="Tahoma" w:hAnsi="Tahoma" w:cs="Tahoma"/>
                <w:b/>
                <w:bCs/>
                <w:iCs/>
                <w:color w:val="243285"/>
                <w:sz w:val="36"/>
                <w:szCs w:val="36"/>
                <w:lang w:val="es-ES_tradnl"/>
              </w:rPr>
            </w:pPr>
            <w:r w:rsidRPr="00BE64D9">
              <w:rPr>
                <w:rFonts w:ascii="Tahoma" w:hAnsi="Tahoma" w:cs="Tahoma"/>
                <w:b/>
                <w:bCs/>
                <w:iCs/>
                <w:color w:val="243285"/>
                <w:sz w:val="36"/>
                <w:szCs w:val="36"/>
                <w:lang w:val="es-ES_tradnl"/>
              </w:rPr>
              <w:t>Servicio fijo</w:t>
            </w:r>
          </w:p>
        </w:tc>
      </w:tr>
    </w:tbl>
    <w:p w:rsidR="00BE64D9" w:rsidRPr="0026666F" w:rsidRDefault="00BE64D9" w:rsidP="00BE64D9">
      <w:pPr>
        <w:spacing w:before="80"/>
        <w:rPr>
          <w:i/>
          <w:sz w:val="22"/>
          <w:lang w:val="es-ES_tradnl"/>
        </w:rPr>
      </w:pPr>
    </w:p>
    <w:p w:rsidR="00BE64D9" w:rsidRPr="0026666F" w:rsidRDefault="00BE64D9" w:rsidP="00BE64D9">
      <w:pPr>
        <w:spacing w:before="80"/>
        <w:rPr>
          <w:i/>
          <w:sz w:val="22"/>
          <w:lang w:val="es-ES_tradnl"/>
        </w:rPr>
      </w:pPr>
    </w:p>
    <w:p w:rsidR="00BE64D9" w:rsidRPr="0026666F" w:rsidRDefault="00BE64D9" w:rsidP="00BE64D9">
      <w:pPr>
        <w:spacing w:before="80"/>
        <w:rPr>
          <w:i/>
          <w:sz w:val="22"/>
          <w:lang w:val="es-ES_tradnl"/>
        </w:rPr>
      </w:pPr>
    </w:p>
    <w:p w:rsidR="00BE64D9" w:rsidRPr="0026666F" w:rsidRDefault="00BE64D9" w:rsidP="00BE64D9">
      <w:pPr>
        <w:spacing w:before="80"/>
        <w:rPr>
          <w:i/>
          <w:sz w:val="22"/>
          <w:lang w:val="es-ES_tradnl"/>
        </w:rPr>
      </w:pPr>
    </w:p>
    <w:p w:rsidR="00BE64D9" w:rsidRPr="0026666F" w:rsidRDefault="00BE64D9" w:rsidP="00BE64D9">
      <w:pPr>
        <w:spacing w:before="80"/>
        <w:rPr>
          <w:i/>
          <w:sz w:val="22"/>
          <w:lang w:val="es-ES_tradnl"/>
        </w:rPr>
      </w:pPr>
    </w:p>
    <w:p w:rsidR="00BE64D9" w:rsidRPr="0026666F" w:rsidRDefault="00BE64D9" w:rsidP="00BE64D9">
      <w:pPr>
        <w:spacing w:before="80"/>
        <w:rPr>
          <w:i/>
          <w:sz w:val="22"/>
          <w:lang w:val="es-ES_tradnl"/>
        </w:rPr>
      </w:pPr>
    </w:p>
    <w:p w:rsidR="00BE64D9" w:rsidRPr="0026666F" w:rsidRDefault="00BE64D9" w:rsidP="00BE64D9">
      <w:pPr>
        <w:pStyle w:val="Equation"/>
        <w:tabs>
          <w:tab w:val="left" w:pos="1191"/>
          <w:tab w:val="left" w:pos="1588"/>
          <w:tab w:val="left" w:pos="1985"/>
        </w:tabs>
        <w:rPr>
          <w:rFonts w:ascii="Palatino Linotype" w:hAnsi="Palatino Linotype"/>
          <w:lang w:val="es-ES_tradnl"/>
        </w:rPr>
        <w:sectPr w:rsidR="00BE64D9" w:rsidRPr="0026666F">
          <w:headerReference w:type="even" r:id="rId7"/>
          <w:headerReference w:type="default" r:id="rId8"/>
          <w:pgSz w:w="11907" w:h="16840" w:code="9"/>
          <w:pgMar w:top="1089" w:right="1089" w:bottom="284" w:left="1089" w:header="567" w:footer="284" w:gutter="0"/>
          <w:pgNumType w:start="1"/>
          <w:cols w:space="720"/>
        </w:sectPr>
      </w:pPr>
    </w:p>
    <w:p w:rsidR="00BE64D9" w:rsidRPr="006C718C" w:rsidRDefault="00BE64D9" w:rsidP="00BE64D9">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BE64D9" w:rsidRPr="006C718C" w:rsidRDefault="00BE64D9" w:rsidP="00BE64D9">
      <w:pPr>
        <w:spacing w:before="180"/>
        <w:rPr>
          <w:lang w:val="es-ES_tradnl"/>
        </w:rPr>
      </w:pPr>
      <w:r w:rsidRPr="006C718C">
        <w:rPr>
          <w:lang w:val="es-ES_tradnl"/>
        </w:rPr>
        <w:t>El Sector de Radiocomunicaciones tiene como cometido garantizar la utilizaci</w:t>
      </w:r>
      <w:r>
        <w:rPr>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E64D9" w:rsidRPr="006C718C" w:rsidRDefault="00BE64D9" w:rsidP="00BE64D9">
      <w:pPr>
        <w:rPr>
          <w:lang w:val="es-ES_tradnl"/>
        </w:rPr>
      </w:pPr>
      <w:r w:rsidRPr="006C718C">
        <w:rPr>
          <w:lang w:val="es-ES_tradnl"/>
        </w:rPr>
        <w:t>Las Conferencias Mundiales y Regionales de Radiocomunicaciones y las Asambleas de Radiocomunicaciones, c</w:t>
      </w:r>
      <w:r>
        <w:rPr>
          <w:lang w:val="es-ES_tradnl"/>
        </w:rPr>
        <w:t>on la colaboración de las Comisiones de Estudio, cumplen las funciones reglamentarias y políticas del Sector de Radiocomunicaciones.</w:t>
      </w:r>
    </w:p>
    <w:p w:rsidR="00BE64D9" w:rsidRPr="00021E8A" w:rsidRDefault="00BE64D9" w:rsidP="00BE64D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E64D9" w:rsidRPr="00021E8A" w:rsidRDefault="00BE64D9" w:rsidP="00BE64D9">
      <w:pPr>
        <w:spacing w:before="180"/>
        <w:rPr>
          <w:lang w:val="es-ES_tradnl"/>
        </w:rPr>
      </w:pPr>
      <w:r w:rsidRPr="00021E8A">
        <w:rPr>
          <w:lang w:val="es-ES_tradnl"/>
        </w:rPr>
        <w:t>La política del UIT</w:t>
      </w:r>
      <w:r w:rsidRPr="00021E8A">
        <w:rPr>
          <w:lang w:val="es-ES_tradnl"/>
        </w:rPr>
        <w:noBreakHyphen/>
        <w:t>R sobre Derechos de Propiedad Intelectual se describe en la Política Común de Patentes UIT</w:t>
      </w:r>
      <w:r w:rsidRPr="00021E8A">
        <w:rPr>
          <w:lang w:val="es-ES_tradnl"/>
        </w:rPr>
        <w:noBreakHyphen/>
        <w:t>T/UIT</w:t>
      </w:r>
      <w:r w:rsidRPr="00021E8A">
        <w:rPr>
          <w:lang w:val="es-ES_tradnl"/>
        </w:rPr>
        <w:noBreakHyphen/>
        <w:t>R/ISO/CEI a la que se hace referencia en el Anexo 1 a la Resolución UIT</w:t>
      </w:r>
      <w:r w:rsidRPr="00021E8A">
        <w:rPr>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lang w:val="es-ES_tradnl"/>
          </w:rPr>
          <w:t>http://www.itu.int/ITU-R/go/patents/es</w:t>
        </w:r>
      </w:hyperlink>
      <w:r w:rsidRPr="00021E8A">
        <w:rPr>
          <w:lang w:val="es-ES_tradnl"/>
        </w:rPr>
        <w:t>, donde también aparecen las Directrices para la implementación de la Política Común de Patentes UIT</w:t>
      </w:r>
      <w:r w:rsidRPr="00021E8A">
        <w:rPr>
          <w:lang w:val="es-ES_tradnl"/>
        </w:rPr>
        <w:noBreakHyphen/>
        <w:t>T/UIT</w:t>
      </w:r>
      <w:r w:rsidRPr="00021E8A">
        <w:rPr>
          <w:lang w:val="es-ES_tradnl"/>
        </w:rPr>
        <w:noBreakHyphen/>
        <w:t>R/ISO/CEI y la base de datos sobre información de patentes del UIT</w:t>
      </w:r>
      <w:r w:rsidRPr="00021E8A">
        <w:rPr>
          <w:lang w:val="es-ES_tradnl"/>
        </w:rPr>
        <w:noBreakHyphen/>
        <w:t>R sobre este asunto.</w:t>
      </w:r>
    </w:p>
    <w:p w:rsidR="00BE64D9" w:rsidRPr="007C36CA" w:rsidRDefault="00BE64D9" w:rsidP="00BE64D9">
      <w:pPr>
        <w:spacing w:before="0"/>
        <w:jc w:val="center"/>
        <w:rPr>
          <w:sz w:val="22"/>
          <w:lang w:val="es-ES_tradnl"/>
        </w:rPr>
      </w:pPr>
    </w:p>
    <w:p w:rsidR="00BE64D9" w:rsidRPr="007C36CA" w:rsidRDefault="00BE64D9" w:rsidP="00BE64D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E64D9" w:rsidRPr="00C71B8B" w:rsidTr="005253F2">
        <w:tc>
          <w:tcPr>
            <w:tcW w:w="9360" w:type="dxa"/>
            <w:gridSpan w:val="2"/>
          </w:tcPr>
          <w:p w:rsidR="00BE64D9" w:rsidRPr="00021E8A" w:rsidRDefault="00BE64D9" w:rsidP="005253F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E64D9" w:rsidRPr="00763D08" w:rsidRDefault="00BE64D9" w:rsidP="005253F2">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E64D9" w:rsidRPr="00036EE3" w:rsidTr="005253F2">
        <w:tc>
          <w:tcPr>
            <w:tcW w:w="1140" w:type="dxa"/>
            <w:tcBorders>
              <w:bottom w:val="nil"/>
            </w:tcBorders>
          </w:tcPr>
          <w:p w:rsidR="00BE64D9" w:rsidRPr="00036EE3" w:rsidRDefault="00BE64D9" w:rsidP="005253F2">
            <w:pPr>
              <w:spacing w:before="180" w:after="100"/>
              <w:ind w:left="57"/>
              <w:rPr>
                <w:b/>
                <w:bCs/>
                <w:lang w:val="en-US"/>
              </w:rPr>
            </w:pPr>
            <w:r w:rsidRPr="00036EE3">
              <w:rPr>
                <w:b/>
                <w:bCs/>
                <w:lang w:val="en-US"/>
              </w:rPr>
              <w:t>Series</w:t>
            </w:r>
          </w:p>
        </w:tc>
        <w:tc>
          <w:tcPr>
            <w:tcW w:w="8220" w:type="dxa"/>
            <w:tcBorders>
              <w:bottom w:val="nil"/>
            </w:tcBorders>
          </w:tcPr>
          <w:p w:rsidR="00BE64D9" w:rsidRPr="00036EE3" w:rsidRDefault="00BE64D9" w:rsidP="005253F2">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E64D9" w:rsidRPr="004532F7" w:rsidTr="005253F2">
        <w:tc>
          <w:tcPr>
            <w:tcW w:w="1140" w:type="dxa"/>
            <w:tcBorders>
              <w:top w:val="nil"/>
              <w:bottom w:val="nil"/>
            </w:tcBorders>
            <w:shd w:val="clear" w:color="auto" w:fill="auto"/>
          </w:tcPr>
          <w:p w:rsidR="00BE64D9" w:rsidRPr="004532F7" w:rsidRDefault="00BE64D9" w:rsidP="005253F2">
            <w:pPr>
              <w:spacing w:before="30" w:after="30"/>
              <w:ind w:left="57"/>
              <w:jc w:val="left"/>
              <w:rPr>
                <w:b/>
                <w:bCs/>
                <w:lang w:val="en-US"/>
              </w:rPr>
            </w:pPr>
            <w:r w:rsidRPr="004532F7">
              <w:rPr>
                <w:b/>
                <w:bCs/>
                <w:lang w:val="en-US"/>
              </w:rPr>
              <w:t>BO</w:t>
            </w:r>
          </w:p>
        </w:tc>
        <w:tc>
          <w:tcPr>
            <w:tcW w:w="8220" w:type="dxa"/>
            <w:tcBorders>
              <w:top w:val="nil"/>
              <w:bottom w:val="nil"/>
            </w:tcBorders>
            <w:shd w:val="clear" w:color="auto" w:fill="auto"/>
          </w:tcPr>
          <w:p w:rsidR="00BE64D9" w:rsidRPr="004532F7" w:rsidRDefault="00BE64D9" w:rsidP="005253F2">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E64D9" w:rsidRPr="00C71B8B" w:rsidTr="005253F2">
        <w:tc>
          <w:tcPr>
            <w:tcW w:w="1140" w:type="dxa"/>
            <w:tcBorders>
              <w:top w:val="nil"/>
              <w:bottom w:val="nil"/>
            </w:tcBorders>
            <w:shd w:val="clear" w:color="auto" w:fill="auto"/>
          </w:tcPr>
          <w:p w:rsidR="00BE64D9" w:rsidRPr="006B22C3" w:rsidRDefault="00BE64D9" w:rsidP="005253F2">
            <w:pPr>
              <w:spacing w:before="30" w:after="30"/>
              <w:ind w:left="57"/>
              <w:jc w:val="left"/>
              <w:rPr>
                <w:b/>
                <w:bCs/>
                <w:lang w:val="en-US"/>
              </w:rPr>
            </w:pPr>
            <w:r w:rsidRPr="006B22C3">
              <w:rPr>
                <w:b/>
                <w:bCs/>
                <w:lang w:val="en-US"/>
              </w:rPr>
              <w:t>BR</w:t>
            </w:r>
          </w:p>
        </w:tc>
        <w:tc>
          <w:tcPr>
            <w:tcW w:w="8220" w:type="dxa"/>
            <w:tcBorders>
              <w:top w:val="nil"/>
              <w:bottom w:val="nil"/>
            </w:tcBorders>
            <w:shd w:val="clear" w:color="auto" w:fill="auto"/>
          </w:tcPr>
          <w:p w:rsidR="00BE64D9" w:rsidRPr="006B22C3" w:rsidRDefault="00BE64D9" w:rsidP="005253F2">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E64D9" w:rsidRPr="00847DD5" w:rsidTr="005253F2">
        <w:tc>
          <w:tcPr>
            <w:tcW w:w="1140" w:type="dxa"/>
            <w:tcBorders>
              <w:top w:val="nil"/>
              <w:bottom w:val="nil"/>
            </w:tcBorders>
            <w:shd w:val="clear" w:color="auto" w:fill="auto"/>
          </w:tcPr>
          <w:p w:rsidR="00BE64D9" w:rsidRPr="00847DD5" w:rsidRDefault="00BE64D9" w:rsidP="005253F2">
            <w:pPr>
              <w:spacing w:before="30" w:after="30"/>
              <w:ind w:left="57"/>
              <w:jc w:val="left"/>
              <w:rPr>
                <w:b/>
                <w:bCs/>
                <w:lang w:val="en-US"/>
              </w:rPr>
            </w:pPr>
            <w:r w:rsidRPr="00847DD5">
              <w:rPr>
                <w:b/>
                <w:bCs/>
                <w:lang w:val="en-US"/>
              </w:rPr>
              <w:t>BS</w:t>
            </w:r>
          </w:p>
        </w:tc>
        <w:tc>
          <w:tcPr>
            <w:tcW w:w="8220" w:type="dxa"/>
            <w:tcBorders>
              <w:top w:val="nil"/>
              <w:bottom w:val="nil"/>
            </w:tcBorders>
            <w:shd w:val="clear" w:color="auto" w:fill="auto"/>
          </w:tcPr>
          <w:p w:rsidR="00BE64D9" w:rsidRPr="00847DD5" w:rsidRDefault="00BE64D9" w:rsidP="005253F2">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E64D9" w:rsidRPr="00ED2695" w:rsidTr="005253F2">
        <w:tc>
          <w:tcPr>
            <w:tcW w:w="1140" w:type="dxa"/>
            <w:tcBorders>
              <w:top w:val="nil"/>
              <w:bottom w:val="nil"/>
            </w:tcBorders>
            <w:shd w:val="clear" w:color="auto" w:fill="auto"/>
          </w:tcPr>
          <w:p w:rsidR="00BE64D9" w:rsidRPr="00ED2695" w:rsidRDefault="00BE64D9" w:rsidP="005253F2">
            <w:pPr>
              <w:spacing w:before="30" w:after="30"/>
              <w:ind w:left="57"/>
              <w:jc w:val="left"/>
              <w:rPr>
                <w:b/>
                <w:bCs/>
                <w:lang w:val="en-US"/>
              </w:rPr>
            </w:pPr>
            <w:r w:rsidRPr="00ED2695">
              <w:rPr>
                <w:b/>
                <w:bCs/>
                <w:lang w:val="en-US"/>
              </w:rPr>
              <w:t>BT</w:t>
            </w:r>
          </w:p>
        </w:tc>
        <w:tc>
          <w:tcPr>
            <w:tcW w:w="8220" w:type="dxa"/>
            <w:tcBorders>
              <w:top w:val="nil"/>
              <w:bottom w:val="nil"/>
            </w:tcBorders>
            <w:shd w:val="clear" w:color="auto" w:fill="auto"/>
          </w:tcPr>
          <w:p w:rsidR="00BE64D9" w:rsidRPr="00021E8A" w:rsidRDefault="00BE64D9" w:rsidP="005253F2">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E64D9" w:rsidRPr="00847DD5" w:rsidTr="005253F2">
        <w:tc>
          <w:tcPr>
            <w:tcW w:w="1140" w:type="dxa"/>
            <w:tcBorders>
              <w:top w:val="nil"/>
              <w:bottom w:val="nil"/>
            </w:tcBorders>
            <w:shd w:val="clear" w:color="auto" w:fill="F3F3F3"/>
          </w:tcPr>
          <w:p w:rsidR="00BE64D9" w:rsidRPr="00847DD5" w:rsidRDefault="00BE64D9" w:rsidP="005253F2">
            <w:pPr>
              <w:spacing w:before="30" w:after="30"/>
              <w:ind w:left="57"/>
              <w:jc w:val="left"/>
              <w:rPr>
                <w:b/>
                <w:bCs/>
                <w:color w:val="000080"/>
                <w:lang w:val="fr-CH"/>
              </w:rPr>
            </w:pPr>
            <w:r w:rsidRPr="00847DD5">
              <w:rPr>
                <w:b/>
                <w:bCs/>
                <w:color w:val="000080"/>
                <w:lang w:val="fr-CH"/>
              </w:rPr>
              <w:t>F</w:t>
            </w:r>
          </w:p>
        </w:tc>
        <w:tc>
          <w:tcPr>
            <w:tcW w:w="8220" w:type="dxa"/>
            <w:tcBorders>
              <w:top w:val="nil"/>
              <w:bottom w:val="nil"/>
            </w:tcBorders>
            <w:shd w:val="clear" w:color="auto" w:fill="F3F3F3"/>
          </w:tcPr>
          <w:p w:rsidR="00BE64D9" w:rsidRPr="00847DD5" w:rsidRDefault="00BE64D9" w:rsidP="005253F2">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BE64D9" w:rsidRPr="00C71B8B" w:rsidTr="005253F2">
        <w:tc>
          <w:tcPr>
            <w:tcW w:w="1140" w:type="dxa"/>
            <w:tcBorders>
              <w:top w:val="nil"/>
              <w:bottom w:val="nil"/>
            </w:tcBorders>
            <w:shd w:val="clear" w:color="auto" w:fill="auto"/>
          </w:tcPr>
          <w:p w:rsidR="00BE64D9" w:rsidRPr="0010336F" w:rsidRDefault="00BE64D9" w:rsidP="005253F2">
            <w:pPr>
              <w:spacing w:before="30" w:after="30"/>
              <w:ind w:left="57"/>
              <w:jc w:val="left"/>
              <w:rPr>
                <w:rFonts w:hAnsi="Times New Roman Bold"/>
                <w:b/>
                <w:bCs/>
                <w:lang w:val="en-US"/>
              </w:rPr>
            </w:pPr>
            <w:r w:rsidRPr="0010336F">
              <w:rPr>
                <w:rFonts w:hAnsi="Times New Roman Bold"/>
                <w:b/>
                <w:bCs/>
                <w:lang w:val="en-US"/>
              </w:rPr>
              <w:t>M</w:t>
            </w:r>
          </w:p>
        </w:tc>
        <w:tc>
          <w:tcPr>
            <w:tcW w:w="8220" w:type="dxa"/>
            <w:tcBorders>
              <w:top w:val="nil"/>
              <w:bottom w:val="nil"/>
            </w:tcBorders>
            <w:shd w:val="clear" w:color="auto" w:fill="auto"/>
          </w:tcPr>
          <w:p w:rsidR="00BE64D9" w:rsidRPr="0010336F" w:rsidRDefault="00BE64D9" w:rsidP="005253F2">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E64D9" w:rsidRPr="00C71B8B" w:rsidTr="005253F2">
        <w:tc>
          <w:tcPr>
            <w:tcW w:w="1140" w:type="dxa"/>
            <w:tcBorders>
              <w:top w:val="nil"/>
            </w:tcBorders>
          </w:tcPr>
          <w:p w:rsidR="00BE64D9" w:rsidRPr="00036EE3" w:rsidRDefault="00BE64D9" w:rsidP="005253F2">
            <w:pPr>
              <w:spacing w:before="30" w:after="30"/>
              <w:ind w:left="57"/>
              <w:jc w:val="left"/>
              <w:rPr>
                <w:b/>
                <w:bCs/>
                <w:lang w:val="fr-CH"/>
              </w:rPr>
            </w:pPr>
            <w:r w:rsidRPr="00036EE3">
              <w:rPr>
                <w:b/>
                <w:bCs/>
                <w:lang w:val="fr-CH"/>
              </w:rPr>
              <w:t>P</w:t>
            </w:r>
          </w:p>
        </w:tc>
        <w:tc>
          <w:tcPr>
            <w:tcW w:w="8220" w:type="dxa"/>
            <w:tcBorders>
              <w:top w:val="nil"/>
            </w:tcBorders>
          </w:tcPr>
          <w:p w:rsidR="00BE64D9" w:rsidRPr="00021E8A" w:rsidRDefault="00BE64D9" w:rsidP="005253F2">
            <w:pPr>
              <w:spacing w:before="30" w:after="30"/>
              <w:jc w:val="left"/>
              <w:rPr>
                <w:bCs/>
                <w:lang w:val="es-ES_tradnl"/>
              </w:rPr>
            </w:pPr>
            <w:r w:rsidRPr="00021E8A">
              <w:rPr>
                <w:bCs/>
                <w:lang w:val="es-ES_tradnl"/>
              </w:rPr>
              <w:t>Propagación de las ondas radioeléctricas</w:t>
            </w:r>
          </w:p>
        </w:tc>
      </w:tr>
      <w:tr w:rsidR="00BE64D9" w:rsidRPr="00036EE3" w:rsidTr="005253F2">
        <w:tc>
          <w:tcPr>
            <w:tcW w:w="1140" w:type="dxa"/>
          </w:tcPr>
          <w:p w:rsidR="00BE64D9" w:rsidRPr="00036EE3" w:rsidRDefault="00BE64D9" w:rsidP="005253F2">
            <w:pPr>
              <w:spacing w:before="30" w:after="30"/>
              <w:ind w:left="57"/>
              <w:jc w:val="left"/>
              <w:rPr>
                <w:b/>
                <w:bCs/>
                <w:lang w:val="en-US"/>
              </w:rPr>
            </w:pPr>
            <w:r w:rsidRPr="00036EE3">
              <w:rPr>
                <w:b/>
                <w:bCs/>
                <w:lang w:val="en-US"/>
              </w:rPr>
              <w:t>RA</w:t>
            </w:r>
          </w:p>
        </w:tc>
        <w:tc>
          <w:tcPr>
            <w:tcW w:w="8220" w:type="dxa"/>
          </w:tcPr>
          <w:p w:rsidR="00BE64D9" w:rsidRPr="00021E8A" w:rsidRDefault="00BE64D9" w:rsidP="005253F2">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E64D9" w:rsidRPr="00C71B8B" w:rsidTr="005253F2">
        <w:tc>
          <w:tcPr>
            <w:tcW w:w="1140" w:type="dxa"/>
          </w:tcPr>
          <w:p w:rsidR="00BE64D9" w:rsidRPr="00036EE3" w:rsidRDefault="00BE64D9" w:rsidP="005253F2">
            <w:pPr>
              <w:spacing w:before="30" w:after="30"/>
              <w:ind w:left="57"/>
              <w:jc w:val="left"/>
              <w:rPr>
                <w:b/>
                <w:bCs/>
                <w:lang w:val="en-US"/>
              </w:rPr>
            </w:pPr>
            <w:r w:rsidRPr="00036EE3">
              <w:rPr>
                <w:b/>
                <w:bCs/>
                <w:lang w:val="en-US"/>
              </w:rPr>
              <w:t>RS</w:t>
            </w:r>
          </w:p>
        </w:tc>
        <w:tc>
          <w:tcPr>
            <w:tcW w:w="8220" w:type="dxa"/>
          </w:tcPr>
          <w:p w:rsidR="00BE64D9" w:rsidRPr="00021E8A" w:rsidRDefault="00BE64D9" w:rsidP="005253F2">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E64D9" w:rsidRPr="00036EE3" w:rsidTr="005253F2">
        <w:tc>
          <w:tcPr>
            <w:tcW w:w="1140" w:type="dxa"/>
          </w:tcPr>
          <w:p w:rsidR="00BE64D9" w:rsidRPr="00036EE3" w:rsidRDefault="00BE64D9" w:rsidP="005253F2">
            <w:pPr>
              <w:spacing w:before="30" w:after="30"/>
              <w:ind w:left="57"/>
              <w:jc w:val="left"/>
              <w:rPr>
                <w:b/>
                <w:bCs/>
                <w:lang w:val="en-US"/>
              </w:rPr>
            </w:pPr>
            <w:r w:rsidRPr="00036EE3">
              <w:rPr>
                <w:b/>
                <w:bCs/>
                <w:lang w:val="en-US"/>
              </w:rPr>
              <w:t>S</w:t>
            </w:r>
          </w:p>
        </w:tc>
        <w:tc>
          <w:tcPr>
            <w:tcW w:w="8220" w:type="dxa"/>
          </w:tcPr>
          <w:p w:rsidR="00BE64D9" w:rsidRPr="00021E8A" w:rsidRDefault="00BE64D9" w:rsidP="005253F2">
            <w:pPr>
              <w:spacing w:before="30" w:after="30"/>
              <w:jc w:val="left"/>
              <w:rPr>
                <w:bCs/>
                <w:lang w:val="en-US"/>
              </w:rPr>
            </w:pPr>
            <w:r w:rsidRPr="00021E8A">
              <w:rPr>
                <w:bCs/>
              </w:rPr>
              <w:t>Servicio fijo por satélite</w:t>
            </w:r>
          </w:p>
        </w:tc>
      </w:tr>
      <w:tr w:rsidR="00BE64D9" w:rsidRPr="00036EE3" w:rsidTr="005253F2">
        <w:tc>
          <w:tcPr>
            <w:tcW w:w="1140" w:type="dxa"/>
          </w:tcPr>
          <w:p w:rsidR="00BE64D9" w:rsidRPr="00036EE3" w:rsidRDefault="00BE64D9" w:rsidP="005253F2">
            <w:pPr>
              <w:spacing w:before="30" w:after="30"/>
              <w:ind w:left="57"/>
              <w:jc w:val="left"/>
              <w:rPr>
                <w:b/>
                <w:bCs/>
                <w:lang w:val="en-US"/>
              </w:rPr>
            </w:pPr>
            <w:r w:rsidRPr="00036EE3">
              <w:rPr>
                <w:b/>
                <w:bCs/>
                <w:lang w:val="en-US"/>
              </w:rPr>
              <w:t>SA</w:t>
            </w:r>
          </w:p>
        </w:tc>
        <w:tc>
          <w:tcPr>
            <w:tcW w:w="8220" w:type="dxa"/>
          </w:tcPr>
          <w:p w:rsidR="00BE64D9" w:rsidRPr="00021E8A" w:rsidRDefault="00BE64D9" w:rsidP="005253F2">
            <w:pPr>
              <w:spacing w:before="30" w:after="30"/>
              <w:jc w:val="left"/>
              <w:rPr>
                <w:bCs/>
                <w:lang w:val="en-US"/>
              </w:rPr>
            </w:pPr>
            <w:r w:rsidRPr="00021E8A">
              <w:rPr>
                <w:bCs/>
              </w:rPr>
              <w:t>Aplicaciones espaciales y meteorología</w:t>
            </w:r>
          </w:p>
        </w:tc>
      </w:tr>
      <w:tr w:rsidR="00BE64D9" w:rsidRPr="00C71B8B" w:rsidTr="005253F2">
        <w:tc>
          <w:tcPr>
            <w:tcW w:w="1140" w:type="dxa"/>
          </w:tcPr>
          <w:p w:rsidR="00BE64D9" w:rsidRPr="00036EE3" w:rsidRDefault="00BE64D9" w:rsidP="005253F2">
            <w:pPr>
              <w:spacing w:before="30" w:after="30"/>
              <w:ind w:left="57"/>
              <w:jc w:val="left"/>
              <w:rPr>
                <w:b/>
                <w:bCs/>
                <w:lang w:val="en-US"/>
              </w:rPr>
            </w:pPr>
            <w:r w:rsidRPr="00036EE3">
              <w:rPr>
                <w:b/>
                <w:bCs/>
                <w:lang w:val="en-US"/>
              </w:rPr>
              <w:t>SF</w:t>
            </w:r>
          </w:p>
        </w:tc>
        <w:tc>
          <w:tcPr>
            <w:tcW w:w="8220" w:type="dxa"/>
          </w:tcPr>
          <w:p w:rsidR="00BE64D9" w:rsidRPr="00021E8A" w:rsidRDefault="00BE64D9" w:rsidP="005253F2">
            <w:pPr>
              <w:spacing w:before="30" w:after="30"/>
              <w:jc w:val="left"/>
              <w:rPr>
                <w:bCs/>
                <w:lang w:val="es-ES_tradnl"/>
              </w:rPr>
            </w:pPr>
            <w:r w:rsidRPr="00021E8A">
              <w:rPr>
                <w:bCs/>
                <w:lang w:val="es-ES_tradnl"/>
              </w:rPr>
              <w:t>Compartición de frecuencias y coordinación entre los sistemas del servicio fijo por satélite y del servicio fijo</w:t>
            </w:r>
          </w:p>
        </w:tc>
      </w:tr>
      <w:tr w:rsidR="00BE64D9" w:rsidRPr="00036EE3" w:rsidTr="005253F2">
        <w:tc>
          <w:tcPr>
            <w:tcW w:w="1140" w:type="dxa"/>
            <w:shd w:val="clear" w:color="auto" w:fill="auto"/>
          </w:tcPr>
          <w:p w:rsidR="00BE64D9" w:rsidRPr="001240BC" w:rsidRDefault="00BE64D9" w:rsidP="005253F2">
            <w:pPr>
              <w:spacing w:before="30" w:after="30"/>
              <w:ind w:left="57"/>
              <w:jc w:val="left"/>
              <w:rPr>
                <w:b/>
                <w:bCs/>
                <w:lang w:val="en-US"/>
              </w:rPr>
            </w:pPr>
            <w:r w:rsidRPr="001240BC">
              <w:rPr>
                <w:b/>
                <w:bCs/>
                <w:lang w:val="en-US"/>
              </w:rPr>
              <w:t>SM</w:t>
            </w:r>
          </w:p>
        </w:tc>
        <w:tc>
          <w:tcPr>
            <w:tcW w:w="8220" w:type="dxa"/>
            <w:shd w:val="clear" w:color="auto" w:fill="auto"/>
          </w:tcPr>
          <w:p w:rsidR="00BE64D9" w:rsidRPr="001240BC" w:rsidRDefault="00BE64D9" w:rsidP="005253F2">
            <w:pPr>
              <w:spacing w:before="30" w:after="30"/>
              <w:jc w:val="left"/>
              <w:rPr>
                <w:lang w:val="en-US"/>
              </w:rPr>
            </w:pPr>
            <w:r w:rsidRPr="001240BC">
              <w:t>Gestión del espectro</w:t>
            </w:r>
          </w:p>
        </w:tc>
      </w:tr>
      <w:tr w:rsidR="00BE64D9" w:rsidRPr="00036EE3" w:rsidTr="005253F2">
        <w:tc>
          <w:tcPr>
            <w:tcW w:w="1140" w:type="dxa"/>
          </w:tcPr>
          <w:p w:rsidR="00BE64D9" w:rsidRPr="00036EE3" w:rsidRDefault="00BE64D9" w:rsidP="005253F2">
            <w:pPr>
              <w:spacing w:before="30" w:after="30"/>
              <w:ind w:left="57"/>
              <w:jc w:val="left"/>
              <w:rPr>
                <w:b/>
                <w:bCs/>
                <w:lang w:val="en-US"/>
              </w:rPr>
            </w:pPr>
            <w:r w:rsidRPr="00036EE3">
              <w:rPr>
                <w:b/>
                <w:bCs/>
                <w:lang w:val="en-US"/>
              </w:rPr>
              <w:t>SNG</w:t>
            </w:r>
          </w:p>
        </w:tc>
        <w:tc>
          <w:tcPr>
            <w:tcW w:w="8220" w:type="dxa"/>
          </w:tcPr>
          <w:p w:rsidR="00BE64D9" w:rsidRPr="00021E8A" w:rsidRDefault="00BE64D9" w:rsidP="005253F2">
            <w:pPr>
              <w:spacing w:before="30" w:after="30"/>
              <w:jc w:val="left"/>
              <w:rPr>
                <w:bCs/>
                <w:lang w:val="en-US"/>
              </w:rPr>
            </w:pPr>
            <w:r w:rsidRPr="00021E8A">
              <w:rPr>
                <w:bCs/>
              </w:rPr>
              <w:t>Periodismo electrónico por satélite</w:t>
            </w:r>
          </w:p>
        </w:tc>
      </w:tr>
      <w:tr w:rsidR="00BE64D9" w:rsidRPr="00C71B8B" w:rsidTr="005253F2">
        <w:tc>
          <w:tcPr>
            <w:tcW w:w="1140" w:type="dxa"/>
          </w:tcPr>
          <w:p w:rsidR="00BE64D9" w:rsidRPr="00036EE3" w:rsidRDefault="00BE64D9" w:rsidP="005253F2">
            <w:pPr>
              <w:spacing w:before="30" w:after="30"/>
              <w:ind w:left="57"/>
              <w:jc w:val="left"/>
              <w:rPr>
                <w:b/>
                <w:bCs/>
                <w:lang w:val="en-US"/>
              </w:rPr>
            </w:pPr>
            <w:r w:rsidRPr="00036EE3">
              <w:rPr>
                <w:b/>
                <w:bCs/>
                <w:lang w:val="en-US"/>
              </w:rPr>
              <w:t>TF</w:t>
            </w:r>
          </w:p>
        </w:tc>
        <w:tc>
          <w:tcPr>
            <w:tcW w:w="8220" w:type="dxa"/>
          </w:tcPr>
          <w:p w:rsidR="00BE64D9" w:rsidRPr="00021E8A" w:rsidRDefault="00BE64D9" w:rsidP="005253F2">
            <w:pPr>
              <w:spacing w:before="30" w:after="30"/>
              <w:jc w:val="left"/>
              <w:rPr>
                <w:bCs/>
                <w:lang w:val="es-ES_tradnl"/>
              </w:rPr>
            </w:pPr>
            <w:r w:rsidRPr="00021E8A">
              <w:rPr>
                <w:bCs/>
                <w:lang w:val="es-ES_tradnl"/>
              </w:rPr>
              <w:t>Emisiones de frecuencias patrón y señales horarias</w:t>
            </w:r>
          </w:p>
        </w:tc>
      </w:tr>
      <w:tr w:rsidR="00BE64D9" w:rsidRPr="00036EE3" w:rsidTr="005253F2">
        <w:tc>
          <w:tcPr>
            <w:tcW w:w="1140" w:type="dxa"/>
          </w:tcPr>
          <w:p w:rsidR="00BE64D9" w:rsidRPr="00036EE3" w:rsidRDefault="00BE64D9" w:rsidP="005253F2">
            <w:pPr>
              <w:spacing w:before="30" w:after="30"/>
              <w:ind w:left="57"/>
              <w:jc w:val="left"/>
              <w:rPr>
                <w:b/>
                <w:bCs/>
                <w:lang w:val="en-US"/>
              </w:rPr>
            </w:pPr>
            <w:r w:rsidRPr="00036EE3">
              <w:rPr>
                <w:b/>
                <w:bCs/>
                <w:lang w:val="en-US"/>
              </w:rPr>
              <w:t>V</w:t>
            </w:r>
          </w:p>
        </w:tc>
        <w:tc>
          <w:tcPr>
            <w:tcW w:w="8220" w:type="dxa"/>
          </w:tcPr>
          <w:p w:rsidR="00BE64D9" w:rsidRPr="00021E8A" w:rsidRDefault="00BE64D9" w:rsidP="005253F2">
            <w:pPr>
              <w:spacing w:before="30" w:after="140"/>
              <w:jc w:val="left"/>
              <w:rPr>
                <w:bCs/>
                <w:lang w:val="en-US"/>
              </w:rPr>
            </w:pPr>
            <w:r w:rsidRPr="00021E8A">
              <w:rPr>
                <w:bCs/>
              </w:rPr>
              <w:t>Vocabulario y cuestiones afines</w:t>
            </w:r>
          </w:p>
        </w:tc>
      </w:tr>
    </w:tbl>
    <w:p w:rsidR="00BE64D9" w:rsidRPr="00036EE3" w:rsidRDefault="00BE64D9" w:rsidP="00BE64D9">
      <w:pPr>
        <w:spacing w:before="0" w:after="140"/>
        <w:jc w:val="center"/>
        <w:rPr>
          <w:lang w:val="en-US"/>
        </w:rPr>
      </w:pPr>
    </w:p>
    <w:tbl>
      <w:tblPr>
        <w:tblpPr w:leftFromText="180" w:rightFromText="180" w:vertAnchor="text" w:tblpX="-5771" w:tblpY="-4031"/>
        <w:tblW w:w="0" w:type="auto"/>
        <w:tblLook w:val="0000"/>
      </w:tblPr>
      <w:tblGrid>
        <w:gridCol w:w="720"/>
      </w:tblGrid>
      <w:tr w:rsidR="00BE64D9" w:rsidTr="005253F2">
        <w:tc>
          <w:tcPr>
            <w:tcW w:w="720" w:type="dxa"/>
          </w:tcPr>
          <w:p w:rsidR="00BE64D9" w:rsidRDefault="00BE64D9" w:rsidP="005253F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E64D9" w:rsidRPr="00C71B8B" w:rsidTr="00BE64D9">
        <w:tc>
          <w:tcPr>
            <w:tcW w:w="9360" w:type="dxa"/>
          </w:tcPr>
          <w:p w:rsidR="00BE64D9" w:rsidRPr="00BE64D9" w:rsidRDefault="00BE64D9" w:rsidP="00BE64D9">
            <w:pPr>
              <w:spacing w:before="92" w:after="92"/>
              <w:jc w:val="left"/>
              <w:rPr>
                <w:i/>
                <w:iCs/>
                <w:lang w:val="es-ES_tradnl"/>
              </w:rPr>
            </w:pPr>
            <w:r w:rsidRPr="00BE64D9">
              <w:rPr>
                <w:b/>
                <w:bCs/>
                <w:i/>
                <w:iCs/>
                <w:lang w:val="es-ES_tradnl"/>
              </w:rPr>
              <w:t xml:space="preserve">         Nota</w:t>
            </w:r>
            <w:r w:rsidRPr="00BE64D9">
              <w:rPr>
                <w:i/>
                <w:iCs/>
                <w:lang w:val="es-ES_tradnl"/>
              </w:rPr>
              <w:t xml:space="preserve">: Esta Recomendación UIT-R fue aprobada en inglés conforme al procedimiento detallado en la </w:t>
            </w:r>
            <w:r w:rsidRPr="00BE64D9">
              <w:rPr>
                <w:i/>
                <w:iCs/>
                <w:lang w:val="es-ES_tradnl"/>
              </w:rPr>
              <w:br/>
              <w:t xml:space="preserve">        Resolución UIT-R 1.</w:t>
            </w:r>
          </w:p>
        </w:tc>
      </w:tr>
    </w:tbl>
    <w:p w:rsidR="00BE64D9" w:rsidRPr="00763D08" w:rsidRDefault="00BE64D9" w:rsidP="00BE64D9">
      <w:pPr>
        <w:spacing w:before="0"/>
        <w:jc w:val="center"/>
        <w:rPr>
          <w:sz w:val="22"/>
          <w:lang w:val="es-ES_tradnl"/>
        </w:rPr>
      </w:pPr>
    </w:p>
    <w:p w:rsidR="00BE64D9" w:rsidRPr="00763D08" w:rsidRDefault="00BE64D9" w:rsidP="00BE64D9">
      <w:pPr>
        <w:spacing w:before="60"/>
        <w:jc w:val="right"/>
        <w:rPr>
          <w:i/>
          <w:iCs/>
          <w:lang w:val="es-ES_tradnl"/>
        </w:rPr>
      </w:pPr>
      <w:r w:rsidRPr="00763D08">
        <w:rPr>
          <w:i/>
          <w:iCs/>
          <w:lang w:val="es-ES_tradnl"/>
        </w:rPr>
        <w:t>Publicación electrónica</w:t>
      </w:r>
    </w:p>
    <w:p w:rsidR="00BE64D9" w:rsidRPr="00763D08" w:rsidRDefault="00BE64D9" w:rsidP="00BE64D9">
      <w:pPr>
        <w:spacing w:before="0" w:after="40"/>
        <w:jc w:val="right"/>
        <w:rPr>
          <w:lang w:val="es-ES_tradnl"/>
        </w:rPr>
      </w:pPr>
      <w:r w:rsidRPr="00763D08">
        <w:rPr>
          <w:lang w:val="es-ES_tradnl"/>
        </w:rPr>
        <w:t>Ginebra, 20</w:t>
      </w:r>
      <w:r>
        <w:rPr>
          <w:lang w:val="es-ES_tradnl"/>
        </w:rPr>
        <w:t>10</w:t>
      </w:r>
    </w:p>
    <w:p w:rsidR="00BE64D9" w:rsidRPr="00763D08" w:rsidRDefault="00BE64D9" w:rsidP="00BE64D9">
      <w:pPr>
        <w:spacing w:before="0"/>
        <w:jc w:val="center"/>
        <w:rPr>
          <w:lang w:val="es-ES_tradnl"/>
        </w:rPr>
      </w:pPr>
      <w:r w:rsidRPr="00470E28">
        <w:rPr>
          <w:lang w:val="en-US"/>
        </w:rPr>
        <w:sym w:font="Symbol" w:char="F0E3"/>
      </w:r>
      <w:r w:rsidRPr="00763D08">
        <w:rPr>
          <w:lang w:val="es-ES_tradnl"/>
        </w:rPr>
        <w:t xml:space="preserve"> UIT </w:t>
      </w:r>
      <w:bookmarkStart w:id="1" w:name="iiannee"/>
      <w:bookmarkEnd w:id="1"/>
      <w:r w:rsidRPr="00763D08">
        <w:rPr>
          <w:lang w:val="es-ES_tradnl"/>
        </w:rPr>
        <w:t>20</w:t>
      </w:r>
      <w:r>
        <w:rPr>
          <w:lang w:val="es-ES_tradnl"/>
        </w:rPr>
        <w:t>10</w:t>
      </w:r>
    </w:p>
    <w:p w:rsidR="00BE64D9" w:rsidRPr="006C718C" w:rsidRDefault="00BE64D9" w:rsidP="00BE64D9">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E64D9" w:rsidRPr="006C718C" w:rsidRDefault="00BE64D9" w:rsidP="00BE64D9">
      <w:pPr>
        <w:spacing w:before="160"/>
        <w:rPr>
          <w:i/>
          <w:highlight w:val="yellow"/>
          <w:lang w:val="es-ES_tradnl"/>
        </w:rPr>
        <w:sectPr w:rsidR="00BE64D9" w:rsidRPr="006C718C" w:rsidSect="005253F2">
          <w:headerReference w:type="even" r:id="rId11"/>
          <w:headerReference w:type="default" r:id="rId12"/>
          <w:pgSz w:w="11907" w:h="16834" w:code="9"/>
          <w:pgMar w:top="1418" w:right="1134" w:bottom="1134" w:left="1134" w:header="720" w:footer="482" w:gutter="0"/>
          <w:pgNumType w:fmt="lowerRoman" w:start="2"/>
          <w:cols w:space="720"/>
        </w:sectPr>
      </w:pPr>
    </w:p>
    <w:p w:rsidR="005253F2" w:rsidRPr="008C0664" w:rsidRDefault="005253F2">
      <w:pPr>
        <w:pStyle w:val="Rec"/>
        <w:spacing w:before="0"/>
        <w:rPr>
          <w:lang w:val="es-ES_tradnl"/>
        </w:rPr>
      </w:pPr>
      <w:r w:rsidRPr="008C0664">
        <w:rPr>
          <w:lang w:val="es-ES_tradnl"/>
        </w:rPr>
        <w:lastRenderedPageBreak/>
        <w:t>RECOMENDACIÓN  UIT-R  F.1500</w:t>
      </w:r>
      <w:r w:rsidRPr="008C0664">
        <w:rPr>
          <w:rStyle w:val="FootnoteReference"/>
          <w:lang w:val="es-ES_tradnl"/>
        </w:rPr>
        <w:footnoteReference w:customMarkFollows="1" w:id="1"/>
        <w:t>*</w:t>
      </w:r>
      <w:r w:rsidR="0042774D" w:rsidRPr="008C0664">
        <w:rPr>
          <w:position w:val="6"/>
          <w:sz w:val="16"/>
          <w:lang w:val="es-ES_tradnl"/>
        </w:rPr>
        <w:t xml:space="preserve">, </w:t>
      </w:r>
      <w:r w:rsidR="0042774D" w:rsidRPr="008C0664">
        <w:rPr>
          <w:rStyle w:val="FootnoteReference"/>
          <w:lang w:val="es-ES_tradnl"/>
        </w:rPr>
        <w:footnoteReference w:customMarkFollows="1" w:id="2"/>
        <w:t>**</w:t>
      </w:r>
    </w:p>
    <w:p w:rsidR="005253F2" w:rsidRPr="008C0664" w:rsidRDefault="005253F2">
      <w:pPr>
        <w:pStyle w:val="RecTitle"/>
        <w:rPr>
          <w:lang w:val="es-ES_tradnl"/>
        </w:rPr>
      </w:pPr>
      <w:r w:rsidRPr="008C0664">
        <w:rPr>
          <w:lang w:val="es-ES_tradnl"/>
        </w:rPr>
        <w:t>CARACTERÍSTICAS  PREFERIDAS  DE  LOS  SISTEMAS  DEL  SERVICIO  FIJO</w:t>
      </w:r>
      <w:r w:rsidRPr="008C0664">
        <w:rPr>
          <w:lang w:val="es-ES_tradnl"/>
        </w:rPr>
        <w:br/>
        <w:t>QUE  UTILIZAN  PLATAFORMAS  DE  GRAN  ALTITUD  EN  LAS</w:t>
      </w:r>
      <w:r w:rsidRPr="008C0664">
        <w:rPr>
          <w:lang w:val="es-ES_tradnl"/>
        </w:rPr>
        <w:br/>
        <w:t>BANDAS  47,2-47,5 GHz  Y  47,9-48,2 GHz</w:t>
      </w:r>
    </w:p>
    <w:p w:rsidR="005253F2" w:rsidRPr="008C0664" w:rsidRDefault="005253F2">
      <w:pPr>
        <w:pStyle w:val="RecTitleRef"/>
        <w:rPr>
          <w:lang w:val="es-ES_tradnl"/>
        </w:rPr>
      </w:pPr>
      <w:r w:rsidRPr="008C0664">
        <w:rPr>
          <w:lang w:val="es-ES_tradnl"/>
        </w:rPr>
        <w:t>(Cuestión UIT-R 212/9)</w:t>
      </w:r>
    </w:p>
    <w:p w:rsidR="005253F2" w:rsidRPr="008C0664" w:rsidRDefault="005253F2">
      <w:pPr>
        <w:pStyle w:val="RecTitleDate"/>
        <w:rPr>
          <w:lang w:val="es-ES_tradnl"/>
        </w:rPr>
      </w:pPr>
      <w:r w:rsidRPr="008C0664">
        <w:rPr>
          <w:lang w:val="es-ES_tradnl"/>
        </w:rPr>
        <w:t>(2000)</w:t>
      </w:r>
    </w:p>
    <w:p w:rsidR="005253F2" w:rsidRPr="008C0664" w:rsidRDefault="005253F2">
      <w:pPr>
        <w:pStyle w:val="headfoot"/>
        <w:rPr>
          <w:lang w:val="es-ES_tradnl"/>
        </w:rPr>
      </w:pPr>
      <w:r w:rsidRPr="008C0664">
        <w:rPr>
          <w:lang w:val="es-ES_tradnl"/>
        </w:rPr>
        <w:t>Rec. UIT-R F.1500</w:t>
      </w:r>
    </w:p>
    <w:p w:rsidR="0042774D" w:rsidRPr="008C0664" w:rsidRDefault="0042774D" w:rsidP="0042774D">
      <w:pPr>
        <w:rPr>
          <w:rFonts w:ascii="Times New Roman Bold" w:hAnsi="Times New Roman Bold" w:cs="Times New Roman Bold"/>
          <w:b/>
          <w:bCs/>
          <w:sz w:val="18"/>
          <w:lang w:val="es-ES_tradnl"/>
        </w:rPr>
      </w:pPr>
      <w:r w:rsidRPr="008C0664">
        <w:rPr>
          <w:rFonts w:ascii="Times New Roman Bold" w:hAnsi="Times New Roman Bold" w:cs="Times New Roman Bold"/>
          <w:b/>
          <w:bCs/>
          <w:sz w:val="18"/>
          <w:lang w:val="es-ES_tradnl"/>
        </w:rPr>
        <w:t>Cometido</w:t>
      </w:r>
    </w:p>
    <w:p w:rsidR="0042774D" w:rsidRPr="008C0664" w:rsidRDefault="0042774D" w:rsidP="0042774D">
      <w:pPr>
        <w:rPr>
          <w:sz w:val="18"/>
          <w:lang w:val="es-ES_tradnl"/>
        </w:rPr>
      </w:pPr>
      <w:r w:rsidRPr="008C0664">
        <w:rPr>
          <w:sz w:val="18"/>
          <w:szCs w:val="22"/>
          <w:lang w:val="es-ES_tradnl"/>
        </w:rPr>
        <w:t>Esta Recomendación proporciona las características preferidas de los sistemas del servicio fijo que utilizan estaciones situadas en plataformas a gran altitud (HAPS). El Anexo 1 se ha elaborado para utilizarlo en el análisis de la reutilización de frecuencias y las posibilidades de compartición entre esos sistemas y otros sistemas en las bandas 47,2-47,5 GHz y 47,9-48,2 GHz.</w:t>
      </w:r>
    </w:p>
    <w:p w:rsidR="005253F2" w:rsidRPr="008C0664" w:rsidRDefault="005253F2">
      <w:pPr>
        <w:pStyle w:val="Normalaftertitle"/>
        <w:rPr>
          <w:lang w:val="es-ES_tradnl"/>
        </w:rPr>
      </w:pPr>
      <w:r w:rsidRPr="008C0664">
        <w:rPr>
          <w:lang w:val="es-ES_tradnl"/>
        </w:rPr>
        <w:t>La Asamblea de Radiocomunicaciones de la UIT,</w:t>
      </w:r>
    </w:p>
    <w:p w:rsidR="005253F2" w:rsidRPr="008C0664" w:rsidRDefault="005253F2">
      <w:pPr>
        <w:pStyle w:val="call"/>
        <w:rPr>
          <w:lang w:val="es-ES_tradnl"/>
        </w:rPr>
      </w:pPr>
      <w:r w:rsidRPr="008C0664">
        <w:rPr>
          <w:lang w:val="es-ES_tradnl"/>
        </w:rPr>
        <w:t>considerando</w:t>
      </w:r>
    </w:p>
    <w:p w:rsidR="005253F2" w:rsidRPr="008C0664" w:rsidRDefault="005253F2">
      <w:pPr>
        <w:rPr>
          <w:lang w:val="es-ES_tradnl"/>
        </w:rPr>
      </w:pPr>
      <w:r w:rsidRPr="008C0664">
        <w:rPr>
          <w:lang w:val="es-ES_tradnl"/>
        </w:rPr>
        <w:t>a)</w:t>
      </w:r>
      <w:r w:rsidRPr="008C0664">
        <w:rPr>
          <w:i/>
          <w:iCs/>
          <w:lang w:val="es-ES_tradnl"/>
        </w:rPr>
        <w:tab/>
      </w:r>
      <w:r w:rsidRPr="008C0664">
        <w:rPr>
          <w:lang w:val="es-ES_tradnl"/>
        </w:rPr>
        <w:t>que se está desarrollando una nueva tecnología que utiliza estaciones repetidoras de telecomunicación situadas en puntos fijos en la estratosfera (véase la Nota 1);</w:t>
      </w:r>
    </w:p>
    <w:p w:rsidR="005253F2" w:rsidRPr="008C0664" w:rsidRDefault="005253F2">
      <w:pPr>
        <w:rPr>
          <w:lang w:val="es-ES_tradnl"/>
        </w:rPr>
      </w:pPr>
      <w:r w:rsidRPr="008C0664">
        <w:rPr>
          <w:lang w:val="es-ES_tradnl"/>
        </w:rPr>
        <w:t>b)</w:t>
      </w:r>
      <w:r w:rsidRPr="008C0664">
        <w:rPr>
          <w:lang w:val="es-ES_tradnl"/>
        </w:rPr>
        <w:tab/>
        <w:t>que los sistemas que utilizan una o más estaciones situadas en plataformas de gran altitud (HAPS) en un punto fijo de la estratosfera pueden contar con atributos convenientes para las comunicaciones digitales de banda ancha y gran velocidad, incluyendo las aplicaciones de vídeo interactivo y otras diversas, con un potencial significativo de reutilización de frecuencias;</w:t>
      </w:r>
    </w:p>
    <w:p w:rsidR="005253F2" w:rsidRPr="008C0664" w:rsidRDefault="005253F2">
      <w:pPr>
        <w:rPr>
          <w:lang w:val="es-ES_tradnl"/>
        </w:rPr>
      </w:pPr>
      <w:r w:rsidRPr="008C0664">
        <w:rPr>
          <w:lang w:val="es-ES_tradnl"/>
        </w:rPr>
        <w:t>c)</w:t>
      </w:r>
      <w:r w:rsidRPr="008C0664">
        <w:rPr>
          <w:lang w:val="es-ES_tradnl"/>
        </w:rPr>
        <w:tab/>
        <w:t>que dichos sistemas pueden ser capaces de dar cobertura a regiones metropolitanas con grandes ángulos de elevación y a las zonas rurales separadas o a países vecinos con ángulos de elevación reducidos;</w:t>
      </w:r>
    </w:p>
    <w:p w:rsidR="005253F2" w:rsidRPr="008C0664" w:rsidRDefault="005253F2">
      <w:pPr>
        <w:rPr>
          <w:lang w:val="es-ES_tradnl"/>
        </w:rPr>
      </w:pPr>
      <w:r w:rsidRPr="008C0664">
        <w:rPr>
          <w:lang w:val="es-ES_tradnl"/>
        </w:rPr>
        <w:t>d)</w:t>
      </w:r>
      <w:r w:rsidRPr="008C0664">
        <w:rPr>
          <w:lang w:val="es-ES_tradnl"/>
        </w:rPr>
        <w:tab/>
        <w:t>que los servicios digitales de banda ancha proporcionados por dichos sistemas en el servicio fijo se destinan a infraestructuras de información de comunicaciones generalizadas que propician la realización de la infraestructura mundial de la información;</w:t>
      </w:r>
    </w:p>
    <w:p w:rsidR="005253F2" w:rsidRPr="008C0664" w:rsidRDefault="005253F2">
      <w:pPr>
        <w:rPr>
          <w:lang w:val="es-ES_tradnl"/>
        </w:rPr>
      </w:pPr>
      <w:r w:rsidRPr="008C0664">
        <w:rPr>
          <w:lang w:val="es-ES_tradnl"/>
        </w:rPr>
        <w:t>e)</w:t>
      </w:r>
      <w:r w:rsidRPr="008C0664">
        <w:rPr>
          <w:lang w:val="es-ES_tradnl"/>
        </w:rPr>
        <w:tab/>
        <w:t>que los enlaces radioeléctricos entre repetidores situados en HAPS pueden establecer una red de telecomunicaciones de ámbito nacional o regional;</w:t>
      </w:r>
    </w:p>
    <w:p w:rsidR="005253F2" w:rsidRPr="008C0664" w:rsidRDefault="005253F2">
      <w:pPr>
        <w:rPr>
          <w:lang w:val="es-ES_tradnl"/>
        </w:rPr>
      </w:pPr>
      <w:r w:rsidRPr="008C0664">
        <w:rPr>
          <w:lang w:val="es-ES_tradnl"/>
        </w:rPr>
        <w:t>f)</w:t>
      </w:r>
      <w:r w:rsidRPr="008C0664">
        <w:rPr>
          <w:lang w:val="es-ES_tradnl"/>
        </w:rPr>
        <w:tab/>
        <w:t>que el espectro radioeléctrico por encima de 30 GHz está atribuido a diversos servicios radioeléctricos y que muchos sistemas distintos utilizan ya o prevén utilizar estas atribuciones;</w:t>
      </w:r>
    </w:p>
    <w:p w:rsidR="005253F2" w:rsidRPr="008C0664" w:rsidRDefault="005253F2">
      <w:pPr>
        <w:rPr>
          <w:lang w:val="es-ES_tradnl"/>
        </w:rPr>
      </w:pPr>
      <w:r w:rsidRPr="008C0664">
        <w:rPr>
          <w:lang w:val="es-ES_tradnl"/>
        </w:rPr>
        <w:t>g)</w:t>
      </w:r>
      <w:r w:rsidRPr="008C0664">
        <w:rPr>
          <w:lang w:val="es-ES_tradnl"/>
        </w:rPr>
        <w:tab/>
        <w:t>que hay una demanda creciente de acceso a estas atribuciones;</w:t>
      </w:r>
    </w:p>
    <w:p w:rsidR="005253F2" w:rsidRPr="008C0664" w:rsidRDefault="005253F2" w:rsidP="00001134">
      <w:pPr>
        <w:rPr>
          <w:lang w:val="es-ES_tradnl"/>
        </w:rPr>
      </w:pPr>
      <w:r w:rsidRPr="008C0664">
        <w:rPr>
          <w:lang w:val="es-ES_tradnl"/>
        </w:rPr>
        <w:t>h)</w:t>
      </w:r>
      <w:r w:rsidRPr="008C0664">
        <w:rPr>
          <w:lang w:val="es-ES_tradnl"/>
        </w:rPr>
        <w:tab/>
      </w:r>
      <w:r w:rsidR="0042774D" w:rsidRPr="008C0664">
        <w:rPr>
          <w:lang w:val="es-ES_tradnl"/>
        </w:rPr>
        <w:t>que la atribución de las bandas 47,2-47,5 GHz y 47,9-48,2 GHz al SF está destinada a su utilización por los</w:t>
      </w:r>
      <w:r w:rsidR="00001134">
        <w:rPr>
          <w:lang w:val="es-ES_tradnl"/>
        </w:rPr>
        <w:t> </w:t>
      </w:r>
      <w:r w:rsidR="0042774D" w:rsidRPr="008C0664">
        <w:rPr>
          <w:lang w:val="es-ES_tradnl"/>
        </w:rPr>
        <w:t>HAPS;</w:t>
      </w:r>
    </w:p>
    <w:p w:rsidR="005253F2" w:rsidRPr="008C0664" w:rsidRDefault="005253F2" w:rsidP="00C71B8B">
      <w:pPr>
        <w:rPr>
          <w:lang w:val="es-ES_tradnl"/>
        </w:rPr>
      </w:pPr>
      <w:r w:rsidRPr="008C0664">
        <w:rPr>
          <w:lang w:val="es-ES_tradnl"/>
        </w:rPr>
        <w:t>j)</w:t>
      </w:r>
      <w:r w:rsidRPr="008C0664">
        <w:rPr>
          <w:lang w:val="es-ES_tradnl"/>
        </w:rPr>
        <w:tab/>
      </w:r>
      <w:r w:rsidR="00C108FA">
        <w:rPr>
          <w:lang w:val="es-ES_tradnl"/>
        </w:rPr>
        <w:t>que es necesario identificar las características preferidas de los</w:t>
      </w:r>
      <w:r w:rsidR="00C71B8B">
        <w:rPr>
          <w:lang w:val="es-ES_tradnl"/>
        </w:rPr>
        <w:t xml:space="preserve"> sistemas del SF que utilizan lo</w:t>
      </w:r>
      <w:r w:rsidR="00C108FA">
        <w:rPr>
          <w:lang w:val="es-ES_tradnl"/>
        </w:rPr>
        <w:t xml:space="preserve">s HAPS a fin de facilitar la coordinación entre las </w:t>
      </w:r>
      <w:r w:rsidR="00C71B8B">
        <w:rPr>
          <w:lang w:val="es-ES_tradnl"/>
        </w:rPr>
        <w:t xml:space="preserve">estaciones del servicio fijo situadas en </w:t>
      </w:r>
      <w:r w:rsidR="00C108FA">
        <w:rPr>
          <w:lang w:val="es-ES_tradnl"/>
        </w:rPr>
        <w:t xml:space="preserve">HAPS que funcionan en </w:t>
      </w:r>
      <w:r w:rsidR="0042774D" w:rsidRPr="008C0664">
        <w:rPr>
          <w:lang w:val="es-ES_tradnl"/>
        </w:rPr>
        <w:t>las bandas 47,2</w:t>
      </w:r>
      <w:r w:rsidR="00C71B8B">
        <w:rPr>
          <w:lang w:val="es-ES_tradnl"/>
        </w:rPr>
        <w:noBreakHyphen/>
      </w:r>
      <w:r w:rsidR="0042774D" w:rsidRPr="008C0664">
        <w:rPr>
          <w:lang w:val="es-ES_tradnl"/>
        </w:rPr>
        <w:t>47,5 GHz y 47,9-48,2 GHz</w:t>
      </w:r>
      <w:r w:rsidR="00C108FA">
        <w:rPr>
          <w:lang w:val="es-ES_tradnl"/>
        </w:rPr>
        <w:t xml:space="preserve"> y otros servicios con </w:t>
      </w:r>
      <w:r w:rsidR="00C71B8B">
        <w:rPr>
          <w:lang w:val="es-ES_tradnl"/>
        </w:rPr>
        <w:t>atribución</w:t>
      </w:r>
      <w:r w:rsidR="00C108FA">
        <w:rPr>
          <w:lang w:val="es-ES_tradnl"/>
        </w:rPr>
        <w:t xml:space="preserve"> </w:t>
      </w:r>
      <w:r w:rsidR="00C71B8B">
        <w:rPr>
          <w:lang w:val="es-ES_tradnl"/>
        </w:rPr>
        <w:t>co</w:t>
      </w:r>
      <w:r w:rsidR="00C108FA">
        <w:rPr>
          <w:lang w:val="es-ES_tradnl"/>
        </w:rPr>
        <w:t>primaria en su territo</w:t>
      </w:r>
      <w:r w:rsidR="005D45C4">
        <w:rPr>
          <w:lang w:val="es-ES_tradnl"/>
        </w:rPr>
        <w:t xml:space="preserve">rio y en </w:t>
      </w:r>
      <w:r w:rsidR="00C71B8B">
        <w:rPr>
          <w:lang w:val="es-ES_tradnl"/>
        </w:rPr>
        <w:t xml:space="preserve">los </w:t>
      </w:r>
      <w:r w:rsidR="005D45C4">
        <w:rPr>
          <w:lang w:val="es-ES_tradnl"/>
        </w:rPr>
        <w:t>territorios adyacentes,</w:t>
      </w:r>
    </w:p>
    <w:p w:rsidR="005253F2" w:rsidRPr="008C0664" w:rsidRDefault="005253F2">
      <w:pPr>
        <w:pStyle w:val="call"/>
        <w:rPr>
          <w:lang w:val="es-ES_tradnl"/>
        </w:rPr>
      </w:pPr>
      <w:r w:rsidRPr="008C0664">
        <w:rPr>
          <w:lang w:val="es-ES_tradnl"/>
        </w:rPr>
        <w:t>recomienda</w:t>
      </w:r>
    </w:p>
    <w:p w:rsidR="005253F2" w:rsidRPr="008C0664" w:rsidRDefault="005253F2">
      <w:pPr>
        <w:rPr>
          <w:lang w:val="es-ES_tradnl"/>
        </w:rPr>
      </w:pPr>
      <w:r w:rsidRPr="008C0664">
        <w:rPr>
          <w:b/>
          <w:bCs/>
          <w:lang w:val="es-ES_tradnl"/>
        </w:rPr>
        <w:t>1</w:t>
      </w:r>
      <w:r w:rsidRPr="008C0664">
        <w:rPr>
          <w:lang w:val="es-ES_tradnl"/>
        </w:rPr>
        <w:tab/>
        <w:t>que al analizar la reutilización de frecuencias y las posibilidades de compartición entre dichos sistemas y otros sistemas del servicio fijo en las bandas 47,2-47,5 GHz y 47,9-48,2 GHz se apliquen provisionalmente las características de los sistemas del servicio fijo que utilizan HAPS indicadas en el Anexo 1.</w:t>
      </w:r>
    </w:p>
    <w:p w:rsidR="005253F2" w:rsidRPr="008C0664" w:rsidRDefault="005253F2" w:rsidP="00001134">
      <w:pPr>
        <w:pStyle w:val="Annex"/>
        <w:keepNext/>
        <w:keepLines/>
        <w:rPr>
          <w:lang w:val="es-ES_tradnl"/>
        </w:rPr>
      </w:pPr>
      <w:r w:rsidRPr="008C0664">
        <w:rPr>
          <w:lang w:val="es-ES_tradnl"/>
        </w:rPr>
        <w:lastRenderedPageBreak/>
        <w:t>ANEXO  1</w:t>
      </w:r>
    </w:p>
    <w:p w:rsidR="005253F2" w:rsidRPr="008C0664" w:rsidRDefault="005253F2">
      <w:pPr>
        <w:pStyle w:val="AnnexTitle"/>
        <w:rPr>
          <w:lang w:val="es-ES_tradnl"/>
        </w:rPr>
      </w:pPr>
      <w:r w:rsidRPr="008C0664">
        <w:rPr>
          <w:lang w:val="es-ES_tradnl"/>
        </w:rPr>
        <w:t>Características  preferidas  de  los  sistemas  del  servicio  fijo  que  utilizan  plataformas</w:t>
      </w:r>
      <w:r w:rsidRPr="008C0664">
        <w:rPr>
          <w:lang w:val="es-ES_tradnl"/>
        </w:rPr>
        <w:br/>
        <w:t>de  gran  altitud  en  las  bandas  47,2-47,5  GHz  y  47,9-48,2  GHz</w:t>
      </w:r>
    </w:p>
    <w:p w:rsidR="005253F2" w:rsidRPr="008C0664" w:rsidRDefault="005253F2">
      <w:pPr>
        <w:pStyle w:val="Heading1"/>
        <w:rPr>
          <w:lang w:val="es-ES_tradnl"/>
        </w:rPr>
      </w:pPr>
      <w:r w:rsidRPr="008C0664">
        <w:rPr>
          <w:lang w:val="es-ES_tradnl"/>
        </w:rPr>
        <w:t>1</w:t>
      </w:r>
      <w:r w:rsidRPr="008C0664">
        <w:rPr>
          <w:lang w:val="es-ES_tradnl"/>
        </w:rPr>
        <w:tab/>
        <w:t>Introducción</w:t>
      </w:r>
    </w:p>
    <w:p w:rsidR="005253F2" w:rsidRPr="008C0664" w:rsidRDefault="005253F2">
      <w:pPr>
        <w:rPr>
          <w:lang w:val="es-ES_tradnl"/>
        </w:rPr>
      </w:pPr>
      <w:r w:rsidRPr="008C0664">
        <w:rPr>
          <w:lang w:val="es-ES_tradnl"/>
        </w:rPr>
        <w:t>La Resolución 122 (CMR-97) pedía estudios urgentes sobre los criterios técnicos adecuados de compartición entre sistemas del servicio fijo que utilizan HAPS y los sistemas de los servicios fijo, fijo por satélite y móvil en las bandas 47,2</w:t>
      </w:r>
      <w:r w:rsidRPr="008C0664">
        <w:rPr>
          <w:lang w:val="es-ES_tradnl"/>
        </w:rPr>
        <w:noBreakHyphen/>
        <w:t>47,5 GHz y 47,9-48,2 GHz.</w:t>
      </w:r>
    </w:p>
    <w:p w:rsidR="005253F2" w:rsidRPr="008C0664" w:rsidRDefault="005253F2">
      <w:pPr>
        <w:rPr>
          <w:lang w:val="es-ES_tradnl"/>
        </w:rPr>
      </w:pPr>
      <w:r w:rsidRPr="008C0664">
        <w:rPr>
          <w:lang w:val="es-ES_tradnl"/>
        </w:rPr>
        <w:t>Aparte de dichos estudios, este Anexo presenta un conjunto de parámetros técnicos para aplicaciones en el servicio fijo de gran densidad que utilizan plataformas de gran altitud.</w:t>
      </w:r>
    </w:p>
    <w:p w:rsidR="005253F2" w:rsidRPr="008C0664" w:rsidRDefault="005253F2">
      <w:pPr>
        <w:pStyle w:val="Heading1"/>
        <w:rPr>
          <w:lang w:val="es-ES_tradnl"/>
        </w:rPr>
      </w:pPr>
      <w:r w:rsidRPr="008C0664">
        <w:rPr>
          <w:lang w:val="es-ES_tradnl"/>
        </w:rPr>
        <w:t>2</w:t>
      </w:r>
      <w:r w:rsidRPr="008C0664">
        <w:rPr>
          <w:lang w:val="es-ES_tradnl"/>
        </w:rPr>
        <w:tab/>
        <w:t>Sistema situado en plataforma de gran altitud</w:t>
      </w:r>
    </w:p>
    <w:p w:rsidR="005253F2" w:rsidRPr="008C0664" w:rsidRDefault="005253F2">
      <w:pPr>
        <w:rPr>
          <w:lang w:val="es-ES_tradnl"/>
        </w:rPr>
      </w:pPr>
      <w:r w:rsidRPr="008C0664">
        <w:rPr>
          <w:lang w:val="es-ES_tradnl"/>
        </w:rPr>
        <w:t>El sistema comprende una plataforma de gran altitud situada en un emplazamiento nominalmente fijo en la estratosfera, a una altura comprendida entre 21 y 25 km. La comunicación se establece entre la plataforma y los terminales de usuario en el suelo, en una disposición celular que permite una reutilización de frecuencias considerable. Los terminales de usuario se clasifican según su situación en una de las tres zonas siguientes: zona de cobertura urbana, zona de cobertura suburbana y zona de cobertura rural, respectivamente).</w:t>
      </w:r>
    </w:p>
    <w:p w:rsidR="005253F2" w:rsidRPr="008C0664" w:rsidRDefault="005253F2">
      <w:pPr>
        <w:rPr>
          <w:lang w:val="es-ES_tradnl"/>
        </w:rPr>
      </w:pPr>
      <w:r w:rsidRPr="008C0664">
        <w:rPr>
          <w:lang w:val="es-ES_tradnl"/>
        </w:rPr>
        <w:t>Además, las comunicaciones se establecen en las mismas bandas de frecuencia entre la plataforma y una serie de estaciones de cabecera situadas en el suelo, en las zonas de cobertura urbana o suburbana, que establecen la interconexión con la red fija de telecomunicación.</w:t>
      </w:r>
    </w:p>
    <w:p w:rsidR="005253F2" w:rsidRPr="008C0664" w:rsidRDefault="005253F2">
      <w:pPr>
        <w:pStyle w:val="Heading2"/>
        <w:rPr>
          <w:lang w:val="es-ES_tradnl"/>
        </w:rPr>
      </w:pPr>
      <w:r w:rsidRPr="008C0664">
        <w:rPr>
          <w:lang w:val="es-ES_tradnl"/>
        </w:rPr>
        <w:t>2.1</w:t>
      </w:r>
      <w:r w:rsidRPr="008C0664">
        <w:rPr>
          <w:lang w:val="es-ES_tradnl"/>
        </w:rPr>
        <w:tab/>
        <w:t>Características de funcionamiento</w:t>
      </w:r>
    </w:p>
    <w:p w:rsidR="005253F2" w:rsidRPr="008C0664" w:rsidRDefault="005253F2" w:rsidP="005253F2">
      <w:pPr>
        <w:rPr>
          <w:lang w:val="es-ES_tradnl"/>
        </w:rPr>
      </w:pPr>
      <w:r w:rsidRPr="008C0664">
        <w:rPr>
          <w:lang w:val="es-ES_tradnl"/>
        </w:rPr>
        <w:t xml:space="preserve">La plataforma de gran altitud se alimenta con células solares eficaces y células de regeneración de combustible hidrógeno-oxígeno. Los componentes de la célula de combustible de regeneración y del subsistema electrolítico convierten el agua en combustible durante el día y dicho combustible se utiliza para generar la energía eléctrica que requiere el funcionamiento nocturno. El electrolito convierte el agua en gases hidrógeno y oxígeno para el funcionamiento nocturno de la célula de combustible. El sistema de propulsión consta de unas hélices de velocidad variable activadas por un motor eléctrico, aunque también pueden emplearse otros tipos de propulsión con características de funcionamiento similares. Las HAPS utilizan un sensor GPS diferencial para el mantenimiento mediante control en bucle cerrado de su emplazamiento espacial en un círculo de 400 m de radio y una variación vertical de </w:t>
      </w:r>
      <w:r>
        <w:rPr>
          <w:lang w:val="fr-FR"/>
        </w:rPr>
        <w:sym w:font="Symbol" w:char="F0B1"/>
      </w:r>
      <w:r w:rsidRPr="008C0664">
        <w:rPr>
          <w:lang w:val="es-ES_tradnl"/>
        </w:rPr>
        <w:t>700 m de altitud.</w:t>
      </w:r>
    </w:p>
    <w:p w:rsidR="005253F2" w:rsidRPr="008C0664" w:rsidRDefault="005253F2">
      <w:pPr>
        <w:rPr>
          <w:lang w:val="es-ES_tradnl"/>
        </w:rPr>
      </w:pPr>
      <w:r w:rsidRPr="008C0664">
        <w:rPr>
          <w:lang w:val="es-ES_tradnl"/>
        </w:rPr>
        <w:t>La carga útil cuenta con un sistema giroscópico de 3 ejes. Dicha carga útil tiene su propio sistema de estabilización para compensar el movimiento de la plataforma y mantener un esquema de cobertura estable en el suelo. La carga útil aporta también su propio control térmico, estando refrigerada por un fluido presurizado.</w:t>
      </w:r>
    </w:p>
    <w:p w:rsidR="005253F2" w:rsidRPr="008C0664" w:rsidRDefault="005253F2">
      <w:pPr>
        <w:rPr>
          <w:lang w:val="es-ES_tradnl"/>
        </w:rPr>
      </w:pPr>
      <w:r w:rsidRPr="008C0664">
        <w:rPr>
          <w:lang w:val="es-ES_tradnl"/>
        </w:rPr>
        <w:t>La zona de cobertura total de la HAPS se divide en tres zonas que son las necesarias para garantizar un servicio de banda ancha coherente a los usuarios a lo largo de toda la huella en el suelo de la HAPS que tiene un diámetro de unos 1</w:t>
      </w:r>
      <w:r w:rsidRPr="008C0664">
        <w:rPr>
          <w:rFonts w:ascii="Tms Rmn" w:hAnsi="Tms Rmn"/>
          <w:sz w:val="12"/>
          <w:lang w:val="es-ES_tradnl"/>
        </w:rPr>
        <w:t> </w:t>
      </w:r>
      <w:r w:rsidRPr="008C0664">
        <w:rPr>
          <w:lang w:val="es-ES_tradnl"/>
        </w:rPr>
        <w:t>000 km. Las zonas son:</w:t>
      </w:r>
    </w:p>
    <w:p w:rsidR="005253F2" w:rsidRPr="008C0664" w:rsidRDefault="005253F2" w:rsidP="005253F2">
      <w:pPr>
        <w:pStyle w:val="enumlev1"/>
        <w:rPr>
          <w:lang w:val="es-ES_tradnl"/>
        </w:rPr>
      </w:pPr>
      <w:r w:rsidRPr="008C0664">
        <w:rPr>
          <w:lang w:val="es-ES_tradnl"/>
        </w:rPr>
        <w:t>–</w:t>
      </w:r>
      <w:r w:rsidRPr="008C0664">
        <w:rPr>
          <w:lang w:val="es-ES_tradnl"/>
        </w:rPr>
        <w:tab/>
        <w:t xml:space="preserve">Zona de cobertura urbana: La zona de cobertura urbana se extiende entre 36 y 43 km desde un punto situado directamente bajo la plataforma. Los usuarios de estas zonas pueden utilizar módems de terminal de usuario portátil con una abertura de haz de unos 11°, o una ganancia de antena de 26 dBi y antenas de 10 cm </w:t>
      </w:r>
      <w:r>
        <w:rPr>
          <w:lang w:val="fr-FR"/>
        </w:rPr>
        <w:sym w:font="Symbol" w:char="F0B4"/>
      </w:r>
      <w:r w:rsidRPr="008C0664">
        <w:rPr>
          <w:lang w:val="es-ES_tradnl"/>
        </w:rPr>
        <w:t xml:space="preserve"> 10 cm. Las antenas de la plataforma deben tener una ganancia de 30 dBi (1W o potencia de RF por canal). Todos los usuarios de estas zonas tendrán un ángulo de elevación comprendido entre 30° y 90° desde el suelo hacia la plataforma HAPS. Los terminales de usuario requieren aproximadamente una potencia de RF de transmisión de 0,15W.</w:t>
      </w:r>
    </w:p>
    <w:p w:rsidR="005253F2" w:rsidRPr="008C0664" w:rsidRDefault="005253F2" w:rsidP="005253F2">
      <w:pPr>
        <w:pStyle w:val="enumlev1"/>
        <w:rPr>
          <w:lang w:val="es-ES_tradnl"/>
        </w:rPr>
      </w:pPr>
      <w:r w:rsidRPr="008C0664">
        <w:rPr>
          <w:lang w:val="es-ES_tradnl"/>
        </w:rPr>
        <w:t>–</w:t>
      </w:r>
      <w:r w:rsidRPr="008C0664">
        <w:rPr>
          <w:lang w:val="es-ES_tradnl"/>
        </w:rPr>
        <w:tab/>
        <w:t>Zona de cobertura suburbana: La zona de cobertura suburbana va desde la zona de cobertura urbana hasta 76,5/90,5 km, dependiendo de la altitud de funcionamiento. Los usuarios de la zona de cobertura suburbana utilizarán antenas direccionales de ganancia superior (41 dBi) con una potencia de transmisión de 0,2 W. Pueden también utilizarse las mismas antenas en las zonas de cobertura urbana para instalaciones fijas en azoteas. Las antenas de transmisión de la plataforma son las mismas que para las zona de cobertura urbana. Los ángulos de elevación oscilan entre 15° y 30°.</w:t>
      </w:r>
    </w:p>
    <w:p w:rsidR="005253F2" w:rsidRPr="008C0664" w:rsidRDefault="005253F2" w:rsidP="005253F2">
      <w:pPr>
        <w:pStyle w:val="enumlev1"/>
        <w:rPr>
          <w:lang w:val="es-ES_tradnl"/>
        </w:rPr>
      </w:pPr>
      <w:r w:rsidRPr="008C0664">
        <w:rPr>
          <w:lang w:val="es-ES_tradnl"/>
        </w:rPr>
        <w:t>–</w:t>
      </w:r>
      <w:r w:rsidRPr="008C0664">
        <w:rPr>
          <w:lang w:val="es-ES_tradnl"/>
        </w:rPr>
        <w:tab/>
        <w:t>Zona de cobertura rural: Los ángulos de elevación van de 15° a 5°. Esta zona se reserva para el acceso especializado de gran velocidad punto a punto y para coberturas de zona amplia en bandas de frecuencia inferiores, tales como las de 800 MHz a 5 GHz. Hay demasiada atenuación atmosférica y debida a la lluvia en 47/48 GHz.</w:t>
      </w:r>
    </w:p>
    <w:p w:rsidR="005253F2" w:rsidRDefault="005253F2">
      <w:pPr>
        <w:pStyle w:val="Table"/>
        <w:spacing w:before="240"/>
        <w:rPr>
          <w:lang w:val="fr-FR"/>
        </w:rPr>
      </w:pPr>
      <w:r>
        <w:rPr>
          <w:lang w:val="fr-FR"/>
        </w:rPr>
        <w:lastRenderedPageBreak/>
        <w:t>CUADRO  1</w:t>
      </w:r>
    </w:p>
    <w:p w:rsidR="005253F2" w:rsidRDefault="005253F2">
      <w:pPr>
        <w:pStyle w:val="TableTitle"/>
        <w:rPr>
          <w:lang w:val="fr-FR"/>
        </w:rPr>
      </w:pPr>
      <w:r>
        <w:rPr>
          <w:lang w:val="fr-FR"/>
        </w:rPr>
        <w:t>Zonas de cobertura</w:t>
      </w:r>
    </w:p>
    <w:p w:rsidR="005253F2" w:rsidRDefault="005253F2">
      <w:pPr>
        <w:pStyle w:val="Blanc"/>
        <w:rPr>
          <w:sz w:val="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2"/>
        <w:gridCol w:w="1985"/>
        <w:gridCol w:w="2268"/>
        <w:gridCol w:w="2268"/>
      </w:tblGrid>
      <w:tr w:rsidR="005253F2" w:rsidTr="00001134">
        <w:trPr>
          <w:jc w:val="center"/>
        </w:trPr>
        <w:tc>
          <w:tcPr>
            <w:tcW w:w="2002" w:type="dxa"/>
            <w:vMerge w:val="restart"/>
            <w:vAlign w:val="center"/>
          </w:tcPr>
          <w:p w:rsidR="005253F2" w:rsidRDefault="005253F2" w:rsidP="00001134">
            <w:pPr>
              <w:pStyle w:val="TableText"/>
              <w:spacing w:before="160" w:after="0"/>
              <w:jc w:val="center"/>
              <w:rPr>
                <w:lang w:val="fr-FR"/>
              </w:rPr>
            </w:pPr>
            <w:r>
              <w:rPr>
                <w:lang w:val="fr-FR"/>
              </w:rPr>
              <w:t xml:space="preserve">Zona de </w:t>
            </w:r>
            <w:r>
              <w:t>cobertura</w:t>
            </w:r>
          </w:p>
        </w:tc>
        <w:tc>
          <w:tcPr>
            <w:tcW w:w="1985" w:type="dxa"/>
            <w:vMerge w:val="restart"/>
            <w:vAlign w:val="center"/>
          </w:tcPr>
          <w:p w:rsidR="005253F2" w:rsidRDefault="005253F2" w:rsidP="00001134">
            <w:pPr>
              <w:pStyle w:val="TableText"/>
              <w:spacing w:after="60"/>
              <w:jc w:val="center"/>
              <w:rPr>
                <w:lang w:val="fr-FR"/>
              </w:rPr>
            </w:pPr>
            <w:r>
              <w:rPr>
                <w:lang w:val="fr-FR"/>
              </w:rPr>
              <w:t xml:space="preserve">Ángulos de elevación </w:t>
            </w:r>
            <w:r>
              <w:rPr>
                <w:lang w:val="fr-FR"/>
              </w:rPr>
              <w:br/>
              <w:t>(grados)</w:t>
            </w:r>
          </w:p>
        </w:tc>
        <w:tc>
          <w:tcPr>
            <w:tcW w:w="4536" w:type="dxa"/>
            <w:gridSpan w:val="2"/>
          </w:tcPr>
          <w:p w:rsidR="005253F2" w:rsidRDefault="005253F2" w:rsidP="00001134">
            <w:pPr>
              <w:pStyle w:val="TableText"/>
              <w:jc w:val="center"/>
            </w:pPr>
            <w:r>
              <w:t>Alcance del suelo</w:t>
            </w:r>
            <w:r>
              <w:br/>
              <w:t>(km)</w:t>
            </w:r>
          </w:p>
        </w:tc>
      </w:tr>
      <w:tr w:rsidR="005253F2" w:rsidTr="00001134">
        <w:trPr>
          <w:jc w:val="center"/>
        </w:trPr>
        <w:tc>
          <w:tcPr>
            <w:tcW w:w="2002" w:type="dxa"/>
            <w:vMerge/>
          </w:tcPr>
          <w:p w:rsidR="005253F2" w:rsidRDefault="005253F2" w:rsidP="00001134">
            <w:pPr>
              <w:pStyle w:val="TableText"/>
              <w:spacing w:before="60" w:after="60"/>
              <w:jc w:val="center"/>
            </w:pPr>
          </w:p>
        </w:tc>
        <w:tc>
          <w:tcPr>
            <w:tcW w:w="1985" w:type="dxa"/>
            <w:vMerge/>
          </w:tcPr>
          <w:p w:rsidR="005253F2" w:rsidRDefault="005253F2" w:rsidP="00001134">
            <w:pPr>
              <w:pStyle w:val="TableText"/>
              <w:spacing w:before="60" w:after="60"/>
              <w:jc w:val="center"/>
            </w:pPr>
          </w:p>
        </w:tc>
        <w:tc>
          <w:tcPr>
            <w:tcW w:w="2268" w:type="dxa"/>
          </w:tcPr>
          <w:p w:rsidR="005253F2" w:rsidRDefault="005253F2" w:rsidP="00001134">
            <w:pPr>
              <w:pStyle w:val="TableText"/>
              <w:spacing w:before="60" w:after="60"/>
              <w:jc w:val="center"/>
            </w:pPr>
            <w:r>
              <w:t>Plataforma a 21</w:t>
            </w:r>
          </w:p>
        </w:tc>
        <w:tc>
          <w:tcPr>
            <w:tcW w:w="2268" w:type="dxa"/>
          </w:tcPr>
          <w:p w:rsidR="005253F2" w:rsidRDefault="005253F2" w:rsidP="00001134">
            <w:pPr>
              <w:pStyle w:val="TableText"/>
              <w:spacing w:before="60" w:after="60"/>
              <w:jc w:val="center"/>
            </w:pPr>
            <w:r>
              <w:t>Plataforma a 25</w:t>
            </w:r>
          </w:p>
        </w:tc>
      </w:tr>
      <w:tr w:rsidR="005253F2" w:rsidTr="00001134">
        <w:trPr>
          <w:jc w:val="center"/>
        </w:trPr>
        <w:tc>
          <w:tcPr>
            <w:tcW w:w="2002" w:type="dxa"/>
          </w:tcPr>
          <w:p w:rsidR="005253F2" w:rsidRDefault="005253F2" w:rsidP="00001134">
            <w:pPr>
              <w:pStyle w:val="TableText"/>
              <w:spacing w:before="60" w:after="60"/>
              <w:jc w:val="center"/>
              <w:rPr>
                <w:lang w:val="en-US"/>
              </w:rPr>
            </w:pPr>
            <w:r>
              <w:rPr>
                <w:lang w:val="en-US"/>
              </w:rPr>
              <w:t>Urbana</w:t>
            </w:r>
          </w:p>
        </w:tc>
        <w:tc>
          <w:tcPr>
            <w:tcW w:w="1985" w:type="dxa"/>
          </w:tcPr>
          <w:p w:rsidR="005253F2" w:rsidRDefault="005253F2" w:rsidP="00001134">
            <w:pPr>
              <w:pStyle w:val="TableText"/>
              <w:spacing w:before="60" w:after="60"/>
              <w:jc w:val="center"/>
              <w:rPr>
                <w:lang w:val="en-US"/>
              </w:rPr>
            </w:pPr>
            <w:r>
              <w:rPr>
                <w:lang w:val="en-US"/>
              </w:rPr>
              <w:t>90-30</w:t>
            </w:r>
          </w:p>
        </w:tc>
        <w:tc>
          <w:tcPr>
            <w:tcW w:w="2268" w:type="dxa"/>
          </w:tcPr>
          <w:p w:rsidR="005253F2" w:rsidRDefault="005253F2" w:rsidP="00001134">
            <w:pPr>
              <w:pStyle w:val="TableText"/>
              <w:spacing w:before="60" w:after="60"/>
              <w:jc w:val="center"/>
              <w:rPr>
                <w:lang w:val="fr-FR"/>
              </w:rPr>
            </w:pPr>
            <w:r>
              <w:rPr>
                <w:lang w:val="fr-FR"/>
              </w:rPr>
              <w:t>0-36</w:t>
            </w:r>
          </w:p>
        </w:tc>
        <w:tc>
          <w:tcPr>
            <w:tcW w:w="2268" w:type="dxa"/>
          </w:tcPr>
          <w:p w:rsidR="005253F2" w:rsidRDefault="005253F2" w:rsidP="00001134">
            <w:pPr>
              <w:pStyle w:val="TableText"/>
              <w:spacing w:before="60" w:after="60"/>
              <w:jc w:val="center"/>
              <w:rPr>
                <w:lang w:val="fr-FR"/>
              </w:rPr>
            </w:pPr>
            <w:r>
              <w:rPr>
                <w:lang w:val="fr-FR"/>
              </w:rPr>
              <w:t>0-43</w:t>
            </w:r>
          </w:p>
        </w:tc>
      </w:tr>
      <w:tr w:rsidR="005253F2" w:rsidTr="00001134">
        <w:trPr>
          <w:jc w:val="center"/>
        </w:trPr>
        <w:tc>
          <w:tcPr>
            <w:tcW w:w="2002" w:type="dxa"/>
          </w:tcPr>
          <w:p w:rsidR="005253F2" w:rsidRDefault="005253F2" w:rsidP="00001134">
            <w:pPr>
              <w:pStyle w:val="TableText"/>
              <w:spacing w:before="60" w:after="60"/>
              <w:jc w:val="center"/>
              <w:rPr>
                <w:lang w:val="fr-FR"/>
              </w:rPr>
            </w:pPr>
            <w:r>
              <w:rPr>
                <w:lang w:val="fr-FR"/>
              </w:rPr>
              <w:t>Suburbana</w:t>
            </w:r>
          </w:p>
        </w:tc>
        <w:tc>
          <w:tcPr>
            <w:tcW w:w="1985" w:type="dxa"/>
          </w:tcPr>
          <w:p w:rsidR="005253F2" w:rsidRDefault="005253F2" w:rsidP="00001134">
            <w:pPr>
              <w:pStyle w:val="TableText"/>
              <w:spacing w:before="60" w:after="60"/>
              <w:jc w:val="center"/>
              <w:rPr>
                <w:lang w:val="fr-FR"/>
              </w:rPr>
            </w:pPr>
            <w:r>
              <w:rPr>
                <w:lang w:val="fr-FR"/>
              </w:rPr>
              <w:t>30-15</w:t>
            </w:r>
          </w:p>
        </w:tc>
        <w:tc>
          <w:tcPr>
            <w:tcW w:w="2268" w:type="dxa"/>
          </w:tcPr>
          <w:p w:rsidR="005253F2" w:rsidRDefault="005253F2" w:rsidP="00001134">
            <w:pPr>
              <w:pStyle w:val="TableText"/>
              <w:spacing w:before="60" w:after="60"/>
              <w:jc w:val="center"/>
              <w:rPr>
                <w:lang w:val="fr-FR"/>
              </w:rPr>
            </w:pPr>
            <w:r>
              <w:rPr>
                <w:lang w:val="fr-FR"/>
              </w:rPr>
              <w:t>36-76,5</w:t>
            </w:r>
          </w:p>
        </w:tc>
        <w:tc>
          <w:tcPr>
            <w:tcW w:w="2268" w:type="dxa"/>
          </w:tcPr>
          <w:p w:rsidR="005253F2" w:rsidRDefault="005253F2" w:rsidP="00001134">
            <w:pPr>
              <w:pStyle w:val="TableText"/>
              <w:spacing w:before="60" w:after="60"/>
              <w:jc w:val="center"/>
              <w:rPr>
                <w:lang w:val="fr-FR"/>
              </w:rPr>
            </w:pPr>
            <w:r>
              <w:rPr>
                <w:lang w:val="fr-FR"/>
              </w:rPr>
              <w:t>43-90,5</w:t>
            </w:r>
          </w:p>
        </w:tc>
      </w:tr>
      <w:tr w:rsidR="005253F2" w:rsidTr="00001134">
        <w:trPr>
          <w:jc w:val="center"/>
        </w:trPr>
        <w:tc>
          <w:tcPr>
            <w:tcW w:w="2002" w:type="dxa"/>
          </w:tcPr>
          <w:p w:rsidR="005253F2" w:rsidRDefault="005253F2" w:rsidP="00001134">
            <w:pPr>
              <w:pStyle w:val="TableText"/>
              <w:spacing w:before="60" w:after="60"/>
              <w:jc w:val="center"/>
              <w:rPr>
                <w:lang w:val="fr-FR"/>
              </w:rPr>
            </w:pPr>
            <w:r>
              <w:rPr>
                <w:lang w:val="fr-FR"/>
              </w:rPr>
              <w:t>Rural</w:t>
            </w:r>
          </w:p>
        </w:tc>
        <w:tc>
          <w:tcPr>
            <w:tcW w:w="1985" w:type="dxa"/>
          </w:tcPr>
          <w:p w:rsidR="005253F2" w:rsidRDefault="005253F2" w:rsidP="00001134">
            <w:pPr>
              <w:pStyle w:val="TableText"/>
              <w:spacing w:before="60" w:after="60"/>
              <w:jc w:val="center"/>
              <w:rPr>
                <w:lang w:val="fr-FR"/>
              </w:rPr>
            </w:pPr>
            <w:r>
              <w:rPr>
                <w:lang w:val="fr-FR"/>
              </w:rPr>
              <w:t>15-5</w:t>
            </w:r>
          </w:p>
        </w:tc>
        <w:tc>
          <w:tcPr>
            <w:tcW w:w="2268" w:type="dxa"/>
          </w:tcPr>
          <w:p w:rsidR="005253F2" w:rsidRDefault="005253F2" w:rsidP="00001134">
            <w:pPr>
              <w:pStyle w:val="TableText"/>
              <w:spacing w:before="60" w:after="60"/>
              <w:jc w:val="center"/>
              <w:rPr>
                <w:lang w:val="fr-FR"/>
              </w:rPr>
            </w:pPr>
            <w:r>
              <w:rPr>
                <w:lang w:val="fr-FR"/>
              </w:rPr>
              <w:t>76,5-203</w:t>
            </w:r>
          </w:p>
        </w:tc>
        <w:tc>
          <w:tcPr>
            <w:tcW w:w="2268" w:type="dxa"/>
          </w:tcPr>
          <w:p w:rsidR="005253F2" w:rsidRDefault="005253F2" w:rsidP="00001134">
            <w:pPr>
              <w:pStyle w:val="TableText"/>
              <w:spacing w:before="60" w:after="60"/>
              <w:jc w:val="center"/>
              <w:rPr>
                <w:lang w:val="fr-FR"/>
              </w:rPr>
            </w:pPr>
            <w:r>
              <w:rPr>
                <w:lang w:val="fr-FR"/>
              </w:rPr>
              <w:t>90,5-234</w:t>
            </w:r>
          </w:p>
        </w:tc>
      </w:tr>
    </w:tbl>
    <w:p w:rsidR="005253F2" w:rsidRDefault="005253F2">
      <w:pPr>
        <w:pStyle w:val="Tablefin"/>
        <w:spacing w:before="0"/>
        <w:rPr>
          <w:sz w:val="6"/>
          <w:lang w:val="fr-FR"/>
        </w:rPr>
      </w:pPr>
    </w:p>
    <w:p w:rsidR="005253F2" w:rsidRPr="008C0664" w:rsidRDefault="005253F2">
      <w:pPr>
        <w:rPr>
          <w:lang w:val="es-ES_tradnl"/>
        </w:rPr>
      </w:pPr>
      <w:r w:rsidRPr="008C0664">
        <w:rPr>
          <w:lang w:val="es-ES_tradnl"/>
        </w:rPr>
        <w:t>Una carga útil típica de plataforma HAPS tendrá un sistema de antenas de ranura giroscópico con una inserción de unidad de polarización que asegure un aislamiento adecuado de transpolarización. El sistema de antenas proyectará un total de 700 haces en cada una de las zonas de cobertura urbana y de cobertura suburbana y una cobertura selectiva en la zona de cobertura rural con un total de hasta 700 haces. El esquema de células presentará un factor de reutilización de frecuencias de 7:1.</w:t>
      </w:r>
    </w:p>
    <w:p w:rsidR="005253F2" w:rsidRPr="008C0664" w:rsidRDefault="005253F2" w:rsidP="005253F2">
      <w:pPr>
        <w:rPr>
          <w:lang w:val="es-ES_tradnl"/>
        </w:rPr>
      </w:pPr>
      <w:r w:rsidRPr="008C0664">
        <w:rPr>
          <w:lang w:val="es-ES_tradnl"/>
        </w:rPr>
        <w:t>Para hacer máxima la eficacia espectral se utiliza un esquema de acceso múltiple por asignación dinámica que permite a los usuarios compartir eficazmente la anchura de banda, y a bordo hay una unidad de conmutación y multiplexadores de modo de transferencia asíncrono (ATM) para multiplexar estadísticamente el tráfico de usuario. En el enlace ascendente y en el descendente se utiliza la modulación MDP-4 y una codificación FEC concatenada de índice 0,6 (Reed-Solomon + codificación convolucional de índice 2/3 con limitación de longitud 9). Se utiliza también la codificación de entrelazado para reducir los errores de ráfaga. Dada la eficaz compartición de la anchura de banda y el reducido ciclo de trabajo en la mayoría de los tipos del tráfico de banda ancha, cabe esperar que la totalidad de los 110</w:t>
      </w:r>
      <w:r w:rsidRPr="008C0664">
        <w:rPr>
          <w:rFonts w:ascii="Tms Rmn" w:hAnsi="Tms Rmn"/>
          <w:sz w:val="12"/>
          <w:lang w:val="es-ES_tradnl"/>
        </w:rPr>
        <w:t> </w:t>
      </w:r>
      <w:r w:rsidRPr="008C0664">
        <w:rPr>
          <w:lang w:val="es-ES_tradnl"/>
        </w:rPr>
        <w:t>560 usuarios logren una velocidad máxima de carga de 2</w:t>
      </w:r>
      <w:r w:rsidRPr="008C0664">
        <w:rPr>
          <w:rFonts w:ascii="Tms Rmn" w:hAnsi="Tms Rmn"/>
          <w:sz w:val="12"/>
          <w:lang w:val="es-ES_tradnl"/>
        </w:rPr>
        <w:t> </w:t>
      </w:r>
      <w:r w:rsidRPr="008C0664">
        <w:rPr>
          <w:lang w:val="es-ES_tradnl"/>
        </w:rPr>
        <w:t>048 Mbit/s y una velocidad de descarga de 11,24 Mbit/s con una atribución de frecuencia de sólo 2 </w:t>
      </w:r>
      <w:r>
        <w:rPr>
          <w:lang w:val="fr-FR"/>
        </w:rPr>
        <w:sym w:font="Symbol" w:char="F0B4"/>
      </w:r>
      <w:r w:rsidRPr="008C0664">
        <w:rPr>
          <w:lang w:val="es-ES_tradnl"/>
        </w:rPr>
        <w:t> 100 MHz. Suponiendo que en todo momento esté activa una media del 10% de la población total de abonados, una sola red HAPS (red de plataforma de gran altitud (HAPN)) puede servir para una población de abonados de cerca de un millón de usuarios con la atribución de 2 </w:t>
      </w:r>
      <w:r>
        <w:rPr>
          <w:lang w:val="fr-FR"/>
        </w:rPr>
        <w:sym w:font="Symbol" w:char="F0B4"/>
      </w:r>
      <w:r w:rsidRPr="008C0664">
        <w:rPr>
          <w:lang w:val="es-ES_tradnl"/>
        </w:rPr>
        <w:t> 100 MHz. Si la atribución de frecuencia se aumenta a 2 </w:t>
      </w:r>
      <w:r>
        <w:rPr>
          <w:lang w:val="fr-FR"/>
        </w:rPr>
        <w:sym w:font="Symbol" w:char="F0B4"/>
      </w:r>
      <w:r w:rsidRPr="008C0664">
        <w:rPr>
          <w:lang w:val="es-ES_tradnl"/>
        </w:rPr>
        <w:t> 300 MHz, cabe esperar que una sola HAPN sirva para más de cinco millones de abonados.</w:t>
      </w:r>
    </w:p>
    <w:p w:rsidR="005253F2" w:rsidRPr="008C0664" w:rsidRDefault="005253F2">
      <w:pPr>
        <w:rPr>
          <w:lang w:val="es-ES_tradnl"/>
        </w:rPr>
      </w:pPr>
      <w:r w:rsidRPr="008C0664">
        <w:rPr>
          <w:lang w:val="es-ES_tradnl"/>
        </w:rPr>
        <w:t>El sistema de base incluye también estaciones múltiples de cabecera en el suelo que utilizan el múltiplex por división en el tiempo (MDT) síncrono de gran velocidad por enlace para el tráfico que da la HAPN a la RTPC y a Internet. La velocidad de este enlace de conexión es de hasta 0,72 Gbit/s para una atribución de frecuencia de 300/300 MHz. Se utiliza la modulación MAQ-64 y una codificación FEC de índice 0,71 para optimizar la anchura de banda disponible. También pueden establecerse enlaces adicionales punto a punto de gran velocidad para clientes empresariales y suministradores de servicio.</w:t>
      </w:r>
    </w:p>
    <w:p w:rsidR="005253F2" w:rsidRPr="008C0664" w:rsidRDefault="005253F2">
      <w:pPr>
        <w:pStyle w:val="Heading2"/>
        <w:rPr>
          <w:lang w:val="es-ES_tradnl"/>
        </w:rPr>
      </w:pPr>
      <w:r w:rsidRPr="008C0664">
        <w:rPr>
          <w:lang w:val="es-ES_tradnl"/>
        </w:rPr>
        <w:t>2.2</w:t>
      </w:r>
      <w:r w:rsidRPr="008C0664">
        <w:rPr>
          <w:lang w:val="es-ES_tradnl"/>
        </w:rPr>
        <w:tab/>
        <w:t>Características del sistema de comunicaciones</w:t>
      </w:r>
    </w:p>
    <w:p w:rsidR="005253F2" w:rsidRPr="008C0664" w:rsidRDefault="005253F2">
      <w:pPr>
        <w:rPr>
          <w:lang w:val="es-ES_tradnl"/>
        </w:rPr>
      </w:pPr>
      <w:r w:rsidRPr="008C0664">
        <w:rPr>
          <w:lang w:val="es-ES_tradnl"/>
        </w:rPr>
        <w:t>Las HAPN tienen una configuración en estrella, dando servicio a la plataforma HAPS en el nodo principal. La carga útil proyecta múltiples haces puntuales en el suelo y da una cobertura ubicua en un círculo de unos 150 km de diámetro.</w:t>
      </w:r>
    </w:p>
    <w:p w:rsidR="005253F2" w:rsidRDefault="009B4B43">
      <w:pPr>
        <w:pStyle w:val="Fig"/>
      </w:pPr>
      <w:r>
        <w:rPr>
          <w:noProof/>
          <w:lang w:eastAsia="zh-CN"/>
        </w:rPr>
        <w:drawing>
          <wp:inline distT="0" distB="0" distL="0" distR="0">
            <wp:extent cx="5509260" cy="29337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509260" cy="2933700"/>
                    </a:xfrm>
                    <a:prstGeom prst="rect">
                      <a:avLst/>
                    </a:prstGeom>
                    <a:noFill/>
                    <a:ln w="9525">
                      <a:noFill/>
                      <a:miter lim="800000"/>
                      <a:headEnd/>
                      <a:tailEnd/>
                    </a:ln>
                  </pic:spPr>
                </pic:pic>
              </a:graphicData>
            </a:graphic>
          </wp:inline>
        </w:drawing>
      </w:r>
    </w:p>
    <w:p w:rsidR="005253F2" w:rsidRPr="008C0664" w:rsidRDefault="005253F2">
      <w:pPr>
        <w:pStyle w:val="Fig0"/>
        <w:spacing w:before="0"/>
        <w:rPr>
          <w:sz w:val="2"/>
          <w:lang w:val="es-ES_tradnl"/>
        </w:rPr>
      </w:pPr>
      <w:r w:rsidRPr="008C0664">
        <w:rPr>
          <w:sz w:val="2"/>
          <w:lang w:val="es-ES_tradnl"/>
        </w:rPr>
        <w:t xml:space="preserve">FIGURE 1/F.1500...[D01] = 3 CM </w:t>
      </w:r>
    </w:p>
    <w:p w:rsidR="005253F2" w:rsidRPr="008C0664" w:rsidRDefault="005253F2">
      <w:pPr>
        <w:rPr>
          <w:lang w:val="es-ES_tradnl"/>
        </w:rPr>
      </w:pPr>
      <w:r w:rsidRPr="008C0664">
        <w:rPr>
          <w:lang w:val="es-ES_tradnl"/>
        </w:rPr>
        <w:lastRenderedPageBreak/>
        <w:t>Los terminales de usuario son dispositivos portátiles que comunican directamente con la carga útil. Un terminal de usuario consta de una antena y una unidad de interfaz digital. Se prevén diversas unidades de interfaz digital, incluyendo tarjetas de computador personal y terminales de mesa multifunción. La conmutación de las comunicaciones entre usuarios se realiza directamente en la carga útil que contiene una gran unidad de conmutación ATM.</w:t>
      </w:r>
    </w:p>
    <w:p w:rsidR="005253F2" w:rsidRPr="008C0664" w:rsidRDefault="005253F2">
      <w:pPr>
        <w:rPr>
          <w:lang w:val="es-ES_tradnl"/>
        </w:rPr>
      </w:pPr>
      <w:r w:rsidRPr="008C0664">
        <w:rPr>
          <w:lang w:val="es-ES_tradnl"/>
        </w:rPr>
        <w:t>Con las estaciones de cabecera los usuarios pueden acceder a las actuales redes públicas tales como la RTPC y a Internet. El sistema se concibe de forma que las estaciones de cabecera puedan estar situadas básicamente en cualquier punto de la zona de cobertura, a fin de minimizar los requisitos de infraestructura en el suelo. Normalmente estarán situadas en una instalación central de operador o en un punto de presencia de proveedor de servicio de Internet. Pueden añadirse estaciones de cabecera en el suelo a medida que la operación lo exija.</w:t>
      </w:r>
    </w:p>
    <w:p w:rsidR="005253F2" w:rsidRPr="008C0664" w:rsidRDefault="005253F2">
      <w:pPr>
        <w:rPr>
          <w:lang w:val="es-ES_tradnl"/>
        </w:rPr>
      </w:pPr>
      <w:r w:rsidRPr="008C0664">
        <w:rPr>
          <w:lang w:val="es-ES_tradnl"/>
        </w:rPr>
        <w:t>En los sistemas de primera generación no habrá un enlace directo entre dos HAPN. Las comunicaciones entre las HAPN se efectuarán a través de estaciones de cabecera. La capacidad de la estación de cabecera está comprendida entre 4 Gbit/s y 12 Gbit/s, con posibilidad de tramitar el 60% de todo el tráfico de usuario. La capacidad total de la carga útil es por tanto de 11-33 Gbit/s.</w:t>
      </w:r>
    </w:p>
    <w:p w:rsidR="005253F2" w:rsidRPr="008C0664" w:rsidRDefault="005253F2">
      <w:pPr>
        <w:rPr>
          <w:lang w:val="es-ES_tradnl"/>
        </w:rPr>
      </w:pPr>
      <w:r w:rsidRPr="008C0664">
        <w:rPr>
          <w:lang w:val="es-ES_tradnl"/>
        </w:rPr>
        <w:t>El sistema HAPS se diseña para dar canales digitales dúplex de velocidad variable a hogares y a las denominadas pequeñas oficinas de profesión liberal y teletrabajo. Los servicios previstos son los de aplicaciones multimedio tales como videoconferencia y videoteléfono, además del acceso a Internet de gran velocidad. Las velocidades binarias elevadas, una gran cobertura metropolitana y el hecho de que los terminales de usuario no dependan de una infraes</w:t>
      </w:r>
      <w:r w:rsidRPr="008C0664">
        <w:rPr>
          <w:lang w:val="es-ES_tradnl"/>
        </w:rPr>
        <w:softHyphen/>
        <w:t>tructura en el suelo, hace también de las HAPS una plataforma ideal para un intercambio de trabajo en el domicilio propio o en el del cliente. Así pues, el sistema se concibe para dar servicio a un gran número de redes de área local (LAN) virtuales, de forma que los usuarios puedan acceder a sus redes empresariales como si estuvieran en la oficina.</w:t>
      </w:r>
    </w:p>
    <w:p w:rsidR="005253F2" w:rsidRPr="008C0664" w:rsidRDefault="005253F2">
      <w:pPr>
        <w:rPr>
          <w:lang w:val="es-ES_tradnl"/>
        </w:rPr>
      </w:pPr>
      <w:r w:rsidRPr="008C0664">
        <w:rPr>
          <w:lang w:val="es-ES_tradnl"/>
        </w:rPr>
        <w:t xml:space="preserve">En el enlace descendente, cada terminal de usuario recibirá constantemente, pero sólo mantendrá las células a las que tiene derecho. De esta manera se puede aprovechar al máximo la ventaja de la multiplexación estadística de la conmutación ATM. </w:t>
      </w:r>
    </w:p>
    <w:p w:rsidR="005253F2" w:rsidRPr="008C0664" w:rsidRDefault="005253F2">
      <w:pPr>
        <w:rPr>
          <w:lang w:val="es-ES_tradnl"/>
        </w:rPr>
      </w:pPr>
      <w:r w:rsidRPr="008C0664">
        <w:rPr>
          <w:lang w:val="es-ES_tradnl"/>
        </w:rPr>
        <w:t>Una estación de cabecera utiliza las mismas frecuencias excepto para el segmento que emplea la célula en la que está situada. De esta manera, cada cabecera utiliza un tramo importante de la anchura de banda total atribuida. También utiliza la otra polarización para lograr un aislamiento adicional.</w:t>
      </w:r>
    </w:p>
    <w:p w:rsidR="005253F2" w:rsidRPr="008C0664" w:rsidRDefault="005253F2" w:rsidP="005253F2">
      <w:pPr>
        <w:rPr>
          <w:lang w:val="es-ES_tradnl"/>
        </w:rPr>
      </w:pPr>
      <w:r w:rsidRPr="008C0664">
        <w:rPr>
          <w:lang w:val="es-ES_tradnl"/>
        </w:rPr>
        <w:t>El sistema HAPS utilizará un par de bandas de la gama 47,2-48,2 GHz con una anchura de banda de 100 MHz a 300 MHz. Con un factor de reutilización de frecuencias de 7, una atribución de 2 </w:t>
      </w:r>
      <w:r>
        <w:rPr>
          <w:lang w:val="fr-FR"/>
        </w:rPr>
        <w:sym w:font="Symbol" w:char="F0B4"/>
      </w:r>
      <w:r w:rsidRPr="008C0664">
        <w:rPr>
          <w:lang w:val="es-ES_tradnl"/>
        </w:rPr>
        <w:t> 100 MHz se reutilizará 100 veces en cada una de las zonas de cobertura. Cada intervalo de tiempo AMDT del enlace ascendente lleva una célula ATM. El carácter asíncrono del ATM ofrece gran flexibilidad. Por ejemplo, no se requiere un plan de tiempos de ráfaga. El esquema de acceso múltiple por asignación dinámica mencionado se integrará en la llamada de tipo ATM y en la gestión del tráfico para hacer máxima la eficacia de la gestión de recursos de comunicación.</w:t>
      </w:r>
    </w:p>
    <w:p w:rsidR="005253F2" w:rsidRPr="008C0664" w:rsidRDefault="005253F2" w:rsidP="00001134">
      <w:pPr>
        <w:rPr>
          <w:lang w:val="es-ES_tradnl"/>
        </w:rPr>
      </w:pPr>
      <w:r w:rsidRPr="008C0664">
        <w:rPr>
          <w:lang w:val="es-ES_tradnl"/>
        </w:rPr>
        <w:t>En el lado del usuario, se utilizan multiplexores ATM inteligentes para reducir el número de puertos en el Centro de Conmutación Principal. Cada multiplexador ATM multiplexa 16 haces en un puerto OC3 (portadora óptica, nivel</w:t>
      </w:r>
      <w:r w:rsidR="00001134">
        <w:rPr>
          <w:lang w:val="es-ES_tradnl"/>
        </w:rPr>
        <w:t> </w:t>
      </w:r>
      <w:r w:rsidRPr="008C0664">
        <w:rPr>
          <w:lang w:val="es-ES_tradnl"/>
        </w:rPr>
        <w:t>3 (155,52 Mbit/s)) de la central de conmutación. Se necesitan como mínimo 44 puertos para encargarse de </w:t>
      </w:r>
      <w:r>
        <w:rPr>
          <w:lang w:val="fr-FR"/>
        </w:rPr>
        <w:sym w:font="Symbol" w:char="F03E"/>
      </w:r>
      <w:r w:rsidRPr="008C0664">
        <w:rPr>
          <w:lang w:val="es-ES_tradnl"/>
        </w:rPr>
        <w:t> 1</w:t>
      </w:r>
      <w:r w:rsidRPr="008C0664">
        <w:rPr>
          <w:rFonts w:ascii="Tms Rmn" w:hAnsi="Tms Rmn"/>
          <w:sz w:val="12"/>
          <w:lang w:val="es-ES_tradnl"/>
        </w:rPr>
        <w:t> </w:t>
      </w:r>
      <w:r w:rsidRPr="008C0664">
        <w:rPr>
          <w:lang w:val="es-ES_tradnl"/>
        </w:rPr>
        <w:t>400 haces. El AMDT dinámico convierte cada haz en un bus compartido. Pueden registrarse en todo momento hasta 1</w:t>
      </w:r>
      <w:r w:rsidRPr="008C0664">
        <w:rPr>
          <w:rFonts w:ascii="Tms Rmn" w:hAnsi="Tms Rmn"/>
          <w:sz w:val="12"/>
          <w:lang w:val="es-ES_tradnl"/>
        </w:rPr>
        <w:t> </w:t>
      </w:r>
      <w:r w:rsidRPr="008C0664">
        <w:rPr>
          <w:lang w:val="es-ES_tradnl"/>
        </w:rPr>
        <w:t>000 terminales de usuario. El diseño exige básicamente que el multiplexador ATM se encargue de la parte no normalizada de los protocolos de señalización, de forma que puedan utilizarse conmutadores ATM centralizados.</w:t>
      </w:r>
    </w:p>
    <w:p w:rsidR="005253F2" w:rsidRPr="008C0664" w:rsidRDefault="005253F2">
      <w:pPr>
        <w:rPr>
          <w:lang w:val="es-ES_tradnl"/>
        </w:rPr>
      </w:pPr>
      <w:r w:rsidRPr="008C0664">
        <w:rPr>
          <w:lang w:val="es-ES_tradnl"/>
        </w:rPr>
        <w:t>Las estaciones de cabecera establecen la interfaz con las redes públicas, tales como la red interurbana de larga distancia del operador e Internet. La configuración real depende del escenario de despliegue. Cabe pensar que una estación de cabecera pueda dedicarse a un gran suministrador de servicio como America Online. El sistema está concebido para poder reconocer a los usuarios cuando se inscriben y permitirles conectar con sus suministradores de servicio únicamente.</w:t>
      </w:r>
    </w:p>
    <w:p w:rsidR="005253F2" w:rsidRPr="008C0664" w:rsidRDefault="005253F2">
      <w:pPr>
        <w:rPr>
          <w:lang w:val="es-ES_tradnl"/>
        </w:rPr>
      </w:pPr>
      <w:r w:rsidRPr="008C0664">
        <w:rPr>
          <w:lang w:val="es-ES_tradnl"/>
        </w:rPr>
        <w:t>El balance de peso y potencia incluye todo el equipo de banda de base, a saber, la unidad de conmutación ATM y los multiplexores.</w:t>
      </w:r>
    </w:p>
    <w:p w:rsidR="005253F2" w:rsidRPr="008C0664" w:rsidRDefault="005253F2">
      <w:pPr>
        <w:rPr>
          <w:lang w:val="es-ES_tradnl"/>
        </w:rPr>
      </w:pPr>
      <w:r w:rsidRPr="008C0664">
        <w:rPr>
          <w:lang w:val="es-ES_tradnl"/>
        </w:rPr>
        <w:t>El sistema de tierra consta de las estaciones de cabecera y del centro de control de la HAPS. Cada estación de cabecera utilizará antenas orientables de alta ganancia con haces estrechos. El equipo RF es similar a los de la carga útil. La unidad de conmutación ATM que se requiere no es grande – unos cuatro puertos OC3, más todo lo que sea necesario para la gestión de los servidores locales y/o la red. Para conectarse con las actuales redes públicas pueden ser necesarias múltiples interfaces la mayoría de las cuales están disponibles hoy en día, o lo estarán en breve, como opciones normalizadas que proponen múltiples suministradores. El sistema se ha diseñado para cumplir las normas actuales.</w:t>
      </w:r>
    </w:p>
    <w:p w:rsidR="005253F2" w:rsidRPr="008C0664" w:rsidRDefault="005253F2">
      <w:pPr>
        <w:rPr>
          <w:lang w:val="es-ES_tradnl"/>
        </w:rPr>
      </w:pPr>
      <w:r w:rsidRPr="008C0664">
        <w:rPr>
          <w:lang w:val="es-ES_tradnl"/>
        </w:rPr>
        <w:t xml:space="preserve">Para la interfaz con la red ATM pública, se prefiere la interfaz de nodo de red privada (P-NNI, </w:t>
      </w:r>
      <w:r w:rsidRPr="008C0664">
        <w:rPr>
          <w:i/>
          <w:iCs/>
          <w:lang w:val="es-ES_tradnl"/>
        </w:rPr>
        <w:t>private network node interface</w:t>
      </w:r>
      <w:r w:rsidRPr="008C0664">
        <w:rPr>
          <w:lang w:val="es-ES_tradnl"/>
        </w:rPr>
        <w:t xml:space="preserve">) porque permite un equilibrio de carga dinámico entre múltiples estaciones de cabecera. El sistema de direccionamiento interno se concibe para permitir un equilibrio de la carga, incluso con la interfaz de portadora entre centrales de banda ancha (B-ICI, </w:t>
      </w:r>
      <w:r w:rsidRPr="008C0664">
        <w:rPr>
          <w:i/>
          <w:iCs/>
          <w:lang w:val="es-ES_tradnl"/>
        </w:rPr>
        <w:t>broadband interchange carrier interface</w:t>
      </w:r>
      <w:r w:rsidRPr="008C0664">
        <w:rPr>
          <w:lang w:val="es-ES_tradnl"/>
        </w:rPr>
        <w:t>), aunque no tan dinámico.</w:t>
      </w:r>
    </w:p>
    <w:p w:rsidR="005253F2" w:rsidRDefault="009B4B43">
      <w:pPr>
        <w:pStyle w:val="Fig"/>
      </w:pPr>
      <w:r>
        <w:rPr>
          <w:noProof/>
          <w:lang w:eastAsia="zh-CN"/>
        </w:rPr>
        <w:lastRenderedPageBreak/>
        <w:drawing>
          <wp:inline distT="0" distB="0" distL="0" distR="0">
            <wp:extent cx="5722620" cy="33909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722620" cy="3390900"/>
                    </a:xfrm>
                    <a:prstGeom prst="rect">
                      <a:avLst/>
                    </a:prstGeom>
                    <a:noFill/>
                    <a:ln w="9525">
                      <a:noFill/>
                      <a:miter lim="800000"/>
                      <a:headEnd/>
                      <a:tailEnd/>
                    </a:ln>
                  </pic:spPr>
                </pic:pic>
              </a:graphicData>
            </a:graphic>
          </wp:inline>
        </w:drawing>
      </w:r>
    </w:p>
    <w:p w:rsidR="005253F2" w:rsidRPr="008C0664" w:rsidRDefault="005253F2">
      <w:pPr>
        <w:pStyle w:val="Fig0"/>
        <w:rPr>
          <w:lang w:val="es-ES_tradnl"/>
        </w:rPr>
      </w:pPr>
      <w:r w:rsidRPr="008C0664">
        <w:rPr>
          <w:lang w:val="es-ES_tradnl"/>
        </w:rPr>
        <w:t xml:space="preserve">FIGURE 2/F.1500...[D01] = 3 CM </w:t>
      </w:r>
    </w:p>
    <w:p w:rsidR="005253F2" w:rsidRPr="008C0664" w:rsidRDefault="005253F2">
      <w:pPr>
        <w:rPr>
          <w:lang w:val="es-ES_tradnl"/>
        </w:rPr>
      </w:pPr>
      <w:r w:rsidRPr="008C0664">
        <w:rPr>
          <w:lang w:val="es-ES_tradnl"/>
        </w:rPr>
        <w:t>La mayoría de las estaciones de cabecera se diseñan como unidades no atendidas y autónomas, que funcionan por control a distancia desde el centro de control de las HAPS. Dicho centro de control de las HAPS consta de una estación de cabecera que da la comunicación con la carga útil y el resto del sistema, y cuatro entidades de operaciones y gestión. Los circuitos del centro de control de configuración se encargan del seguimiento, la telemedida y las instrucciones de la plataforma y la carga útil. Se parece mucho a un centro de operaciones de satélite con un funcionamiento de 24 h.</w:t>
      </w:r>
    </w:p>
    <w:p w:rsidR="005253F2" w:rsidRPr="008C0664" w:rsidRDefault="005253F2">
      <w:pPr>
        <w:rPr>
          <w:lang w:val="es-ES_tradnl"/>
        </w:rPr>
      </w:pPr>
      <w:r w:rsidRPr="008C0664">
        <w:rPr>
          <w:lang w:val="es-ES_tradnl"/>
        </w:rPr>
        <w:t>El centro de control de recursos de comunicaciones se encarga de todo el control en tiempo real de los recursos de la red. Ello incluye la autenticación de usuario, el control de la llamada, la gestión del recurso radioeléctrico, la gestión del tráfico y la recogida de datos de utilización a efectos de facturación y contabilidad.</w:t>
      </w:r>
    </w:p>
    <w:p w:rsidR="005253F2" w:rsidRPr="008C0664" w:rsidRDefault="005253F2">
      <w:pPr>
        <w:rPr>
          <w:lang w:val="es-ES_tradnl"/>
        </w:rPr>
      </w:pPr>
      <w:r w:rsidRPr="008C0664">
        <w:rPr>
          <w:lang w:val="es-ES_tradnl"/>
        </w:rPr>
        <w:t>El centro de control distante de la estación en tierra efectúa todas las tareas de gestión de la red que no van en tiempo real, incluyendo las de todas las estaciones de cabecera distantes. Es fundamentalmente el centro de operaciones de la red. Algunas funciones pueden incluso extenderse a las HAPS próximas.</w:t>
      </w:r>
    </w:p>
    <w:p w:rsidR="005253F2" w:rsidRPr="008C0664" w:rsidRDefault="005253F2">
      <w:pPr>
        <w:rPr>
          <w:lang w:val="es-ES_tradnl"/>
        </w:rPr>
      </w:pPr>
      <w:r w:rsidRPr="008C0664">
        <w:rPr>
          <w:lang w:val="es-ES_tradnl"/>
        </w:rPr>
        <w:t>El centro comercial regional se encarga del control comercial y financiero local, incluyendo la facturación a los abonados, la contabilidad del operador, los análisis de tendencias, etc. Un centro comercial regional puede ocuparse de un grupo de sistemas HAPS.</w:t>
      </w:r>
    </w:p>
    <w:p w:rsidR="005253F2" w:rsidRPr="008C0664" w:rsidRDefault="005253F2">
      <w:pPr>
        <w:pStyle w:val="Heading2"/>
        <w:rPr>
          <w:lang w:val="es-ES_tradnl"/>
        </w:rPr>
      </w:pPr>
      <w:r w:rsidRPr="008C0664">
        <w:rPr>
          <w:lang w:val="es-ES_tradnl"/>
        </w:rPr>
        <w:t>2.3</w:t>
      </w:r>
      <w:r w:rsidRPr="008C0664">
        <w:rPr>
          <w:lang w:val="es-ES_tradnl"/>
        </w:rPr>
        <w:tab/>
        <w:t>Ejemplo de plan de frecuencias</w:t>
      </w:r>
    </w:p>
    <w:p w:rsidR="005253F2" w:rsidRPr="008C0664" w:rsidRDefault="005253F2">
      <w:pPr>
        <w:rPr>
          <w:lang w:val="es-ES_tradnl"/>
        </w:rPr>
      </w:pPr>
      <w:r w:rsidRPr="008C0664">
        <w:rPr>
          <w:lang w:val="es-ES_tradnl"/>
        </w:rPr>
        <w:t>Un ejemplo de plan de canales para las HAPS con una atribución de espectro de 300 MHz + 300 MHz puede consistir en dividir el espectro de frecuencia de 300 MHz en cada sentido en siete bandas de frecuencia de 33 MHz cada una, con dos bandas de guarda de 33 MHz. Las siete bandas de frecuencia se disponen según un esquema de reutilización de frecuencias de 7 células para hacer máxima la eficacia espectral. Para los enlaces de abonado directos, cada banda de 33 MHz se divide a su vez en 3 canales de 11 MHz. Para los enlaces de abonado inversos, cada banda se divide en 15 canales de 2,2 MHz. Cada canal de enlace inverso vuelve a segmentarse en 32 intervalos de tiempo de 64 kbit/s, más un intervalo de guarda, un intervalo de control de acceso y un intervalo piloto. De forma similar, cada canal de enlace directo se divide en múltiples intervalos de 64 kbit/s más todos los intervalos de composición de trama. Cada periodo de trama es de 6 ms. Hay 700 células en cada una de las zonas de cobertura urbana, de cobertura suburbana y de cobertura rural. Hay hasta 20 estaciones de cabecera en cada una de las zonas de cobertura urbana y de cobertura suburbana. Cada estación de cabecera se sitúa en el centro de una célula para minimizar la interferencia cocanal con las células adyacentes. Cada enlace de cabecera utiliza todo el espectro atribuido, excepto la banda utilizada por las células anfitrionas, y las bandas de guarda necesarias para reducir la interferencia del canal adyacente, a fin de maximizar la capacidad del enlace. Cada estación de cabecera utiliza en total 22 canales de 11 MHz, con un total de 242 MHz en cada sentido, lo que deja cuatro bandas de guarda de 11,75 MHz.</w:t>
      </w:r>
    </w:p>
    <w:p w:rsidR="005253F2" w:rsidRPr="008C0664" w:rsidRDefault="005253F2">
      <w:pPr>
        <w:pStyle w:val="Heading2"/>
        <w:rPr>
          <w:lang w:val="es-ES_tradnl"/>
        </w:rPr>
      </w:pPr>
      <w:r w:rsidRPr="008C0664">
        <w:rPr>
          <w:lang w:val="es-ES_tradnl"/>
        </w:rPr>
        <w:lastRenderedPageBreak/>
        <w:t>2.4</w:t>
      </w:r>
      <w:r w:rsidRPr="008C0664">
        <w:rPr>
          <w:lang w:val="es-ES_tradnl"/>
        </w:rPr>
        <w:tab/>
        <w:t>Características de transmisión de la estación situada en la plataforma</w:t>
      </w:r>
    </w:p>
    <w:p w:rsidR="005253F2" w:rsidRPr="008C0664" w:rsidRDefault="005253F2" w:rsidP="006201E6">
      <w:pPr>
        <w:keepNext/>
        <w:keepLines/>
        <w:rPr>
          <w:lang w:val="es-ES_tradnl"/>
        </w:rPr>
      </w:pPr>
      <w:r w:rsidRPr="008C0664">
        <w:rPr>
          <w:lang w:val="es-ES_tradnl"/>
        </w:rPr>
        <w:t>El Cuadro 2 da las características típicas del transmisor y la antena de una estación de plataforma.</w:t>
      </w:r>
    </w:p>
    <w:p w:rsidR="005253F2" w:rsidRPr="008C0664" w:rsidRDefault="005253F2" w:rsidP="005253F2">
      <w:pPr>
        <w:rPr>
          <w:lang w:val="es-ES_tradnl"/>
        </w:rPr>
      </w:pPr>
      <w:r w:rsidRPr="008C0664">
        <w:rPr>
          <w:lang w:val="es-ES_tradnl"/>
        </w:rPr>
        <w:t>Las comunicaciones con los terminales de usuario utilizarán la modulación MDP-4 con MDT en una anchura de banda de 11 MHz para el enlace descendente y de 2,2 MHz para el enlace ascendente. Las comunicaciones con las estaciones  de cabecera utilizarán la modulación de alto nivel, MAQ-64, en una anchura de banda de 88 MHz (11 MHz por portadora). En ambas se supone una utilización de frecuencias de 2 </w:t>
      </w:r>
      <w:r>
        <w:rPr>
          <w:lang w:val="fr-FR"/>
        </w:rPr>
        <w:sym w:font="Symbol" w:char="F0B4"/>
      </w:r>
      <w:r w:rsidRPr="008C0664">
        <w:rPr>
          <w:lang w:val="es-ES_tradnl"/>
        </w:rPr>
        <w:t> 100 MHz. Si se emplease un espectro de frecuencia de 2 </w:t>
      </w:r>
      <w:r>
        <w:rPr>
          <w:lang w:val="fr-FR"/>
        </w:rPr>
        <w:sym w:font="Symbol" w:char="F0B4"/>
      </w:r>
      <w:r w:rsidRPr="008C0664">
        <w:rPr>
          <w:lang w:val="es-ES_tradnl"/>
        </w:rPr>
        <w:t> 300 MHz, sería posible que los terminales de usuario comunicasen con las HAPS en una anchura de banda de 33 MHz para el enlace descendente.</w:t>
      </w:r>
    </w:p>
    <w:p w:rsidR="005253F2" w:rsidRPr="008C0664" w:rsidRDefault="005253F2">
      <w:pPr>
        <w:pStyle w:val="Table"/>
        <w:rPr>
          <w:lang w:val="es-ES_tradnl"/>
        </w:rPr>
      </w:pPr>
      <w:r w:rsidRPr="008C0664">
        <w:rPr>
          <w:lang w:val="es-ES_tradnl"/>
        </w:rPr>
        <w:t>CUADRO  2</w:t>
      </w:r>
    </w:p>
    <w:p w:rsidR="005253F2" w:rsidRPr="008C0664" w:rsidRDefault="005253F2">
      <w:pPr>
        <w:pStyle w:val="TableTitle"/>
        <w:spacing w:after="0"/>
        <w:rPr>
          <w:lang w:val="es-ES_tradnl"/>
        </w:rPr>
      </w:pPr>
      <w:r w:rsidRPr="008C0664">
        <w:rPr>
          <w:lang w:val="es-ES_tradnl"/>
        </w:rPr>
        <w:t>Parámetros del transmisor de la estación situada en la plataforma</w:t>
      </w:r>
    </w:p>
    <w:p w:rsidR="005253F2" w:rsidRPr="008C0664" w:rsidRDefault="005253F2">
      <w:pPr>
        <w:pStyle w:val="Blanc"/>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402"/>
        <w:gridCol w:w="2835"/>
        <w:gridCol w:w="2268"/>
      </w:tblGrid>
      <w:tr w:rsidR="005253F2" w:rsidTr="00001134">
        <w:trPr>
          <w:cantSplit/>
          <w:jc w:val="center"/>
        </w:trPr>
        <w:tc>
          <w:tcPr>
            <w:tcW w:w="3402" w:type="dxa"/>
          </w:tcPr>
          <w:p w:rsidR="005253F2" w:rsidRDefault="005253F2" w:rsidP="00001134">
            <w:pPr>
              <w:pStyle w:val="TableText"/>
              <w:spacing w:before="200"/>
              <w:jc w:val="center"/>
            </w:pPr>
            <w:r>
              <w:t>Comunicación con</w:t>
            </w:r>
          </w:p>
        </w:tc>
        <w:tc>
          <w:tcPr>
            <w:tcW w:w="2835" w:type="dxa"/>
          </w:tcPr>
          <w:p w:rsidR="005253F2" w:rsidRDefault="005253F2" w:rsidP="00001134">
            <w:pPr>
              <w:pStyle w:val="TableText"/>
              <w:jc w:val="center"/>
            </w:pPr>
            <w:r>
              <w:t xml:space="preserve">Potencia del transmisor </w:t>
            </w:r>
            <w:r>
              <w:br/>
              <w:t>(dBW)</w:t>
            </w:r>
          </w:p>
        </w:tc>
        <w:tc>
          <w:tcPr>
            <w:tcW w:w="2268" w:type="dxa"/>
          </w:tcPr>
          <w:p w:rsidR="005253F2" w:rsidRDefault="005253F2" w:rsidP="00001134">
            <w:pPr>
              <w:pStyle w:val="TableText"/>
              <w:jc w:val="center"/>
              <w:rPr>
                <w:lang w:val="fr-FR"/>
              </w:rPr>
            </w:pPr>
            <w:r>
              <w:rPr>
                <w:lang w:val="fr-FR"/>
              </w:rPr>
              <w:t xml:space="preserve">Ganancia de antena </w:t>
            </w:r>
            <w:r>
              <w:rPr>
                <w:lang w:val="fr-FR"/>
              </w:rPr>
              <w:br/>
              <w:t>(dBi)</w:t>
            </w:r>
            <w:r>
              <w:rPr>
                <w:position w:val="6"/>
                <w:sz w:val="14"/>
                <w:lang w:val="fr-FR"/>
              </w:rPr>
              <w:t>(1)</w:t>
            </w:r>
          </w:p>
        </w:tc>
      </w:tr>
      <w:tr w:rsidR="005253F2" w:rsidTr="00001134">
        <w:trPr>
          <w:cantSplit/>
          <w:jc w:val="center"/>
        </w:trPr>
        <w:tc>
          <w:tcPr>
            <w:tcW w:w="3402" w:type="dxa"/>
          </w:tcPr>
          <w:p w:rsidR="005253F2" w:rsidRDefault="005253F2" w:rsidP="00001134">
            <w:pPr>
              <w:pStyle w:val="TableText"/>
              <w:spacing w:before="80" w:after="80"/>
              <w:jc w:val="left"/>
              <w:rPr>
                <w:lang w:val="fr-FR"/>
              </w:rPr>
            </w:pPr>
            <w:r>
              <w:rPr>
                <w:lang w:val="fr-FR"/>
              </w:rPr>
              <w:t>Zona de cobertura urbana</w:t>
            </w:r>
          </w:p>
        </w:tc>
        <w:tc>
          <w:tcPr>
            <w:tcW w:w="2835" w:type="dxa"/>
          </w:tcPr>
          <w:p w:rsidR="005253F2" w:rsidRDefault="005253F2" w:rsidP="00001134">
            <w:pPr>
              <w:pStyle w:val="TableText"/>
              <w:tabs>
                <w:tab w:val="clear" w:pos="794"/>
                <w:tab w:val="clear" w:pos="1191"/>
                <w:tab w:val="clear" w:pos="1588"/>
                <w:tab w:val="clear" w:pos="1985"/>
                <w:tab w:val="decimal" w:pos="1168"/>
              </w:tabs>
              <w:spacing w:before="80" w:after="80"/>
              <w:jc w:val="left"/>
              <w:rPr>
                <w:lang w:val="fr-FR"/>
              </w:rPr>
            </w:pPr>
            <w:r>
              <w:rPr>
                <w:lang w:val="fr-FR"/>
              </w:rPr>
              <w:t>1,3</w:t>
            </w:r>
          </w:p>
        </w:tc>
        <w:tc>
          <w:tcPr>
            <w:tcW w:w="2268" w:type="dxa"/>
          </w:tcPr>
          <w:p w:rsidR="005253F2" w:rsidRDefault="005253F2" w:rsidP="00001134">
            <w:pPr>
              <w:pStyle w:val="TableText"/>
              <w:spacing w:before="80" w:after="80"/>
              <w:jc w:val="center"/>
              <w:rPr>
                <w:lang w:val="fr-FR"/>
              </w:rPr>
            </w:pPr>
            <w:r>
              <w:rPr>
                <w:lang w:val="fr-FR"/>
              </w:rPr>
              <w:t>30</w:t>
            </w:r>
          </w:p>
        </w:tc>
      </w:tr>
      <w:tr w:rsidR="005253F2" w:rsidTr="00001134">
        <w:trPr>
          <w:cantSplit/>
          <w:jc w:val="center"/>
        </w:trPr>
        <w:tc>
          <w:tcPr>
            <w:tcW w:w="3402" w:type="dxa"/>
          </w:tcPr>
          <w:p w:rsidR="005253F2" w:rsidRDefault="005253F2" w:rsidP="00001134">
            <w:pPr>
              <w:pStyle w:val="TableText"/>
              <w:spacing w:before="80" w:after="80"/>
              <w:jc w:val="left"/>
              <w:rPr>
                <w:lang w:val="fr-FR"/>
              </w:rPr>
            </w:pPr>
            <w:r>
              <w:rPr>
                <w:lang w:val="fr-FR"/>
              </w:rPr>
              <w:t>Zona de cobertura suburbana</w:t>
            </w:r>
          </w:p>
        </w:tc>
        <w:tc>
          <w:tcPr>
            <w:tcW w:w="2835" w:type="dxa"/>
          </w:tcPr>
          <w:p w:rsidR="005253F2" w:rsidRDefault="005253F2" w:rsidP="00001134">
            <w:pPr>
              <w:pStyle w:val="TableText"/>
              <w:tabs>
                <w:tab w:val="clear" w:pos="794"/>
                <w:tab w:val="clear" w:pos="1191"/>
                <w:tab w:val="clear" w:pos="1588"/>
                <w:tab w:val="clear" w:pos="1985"/>
                <w:tab w:val="decimal" w:pos="1168"/>
              </w:tabs>
              <w:spacing w:before="80" w:after="80"/>
              <w:jc w:val="left"/>
              <w:rPr>
                <w:lang w:val="fr-FR"/>
              </w:rPr>
            </w:pPr>
            <w:r>
              <w:rPr>
                <w:lang w:val="fr-FR"/>
              </w:rPr>
              <w:t>1,3</w:t>
            </w:r>
          </w:p>
        </w:tc>
        <w:tc>
          <w:tcPr>
            <w:tcW w:w="2268" w:type="dxa"/>
          </w:tcPr>
          <w:p w:rsidR="005253F2" w:rsidRDefault="005253F2" w:rsidP="00001134">
            <w:pPr>
              <w:pStyle w:val="TableText"/>
              <w:spacing w:before="80" w:after="80"/>
              <w:jc w:val="center"/>
              <w:rPr>
                <w:lang w:val="fr-FR"/>
              </w:rPr>
            </w:pPr>
            <w:r>
              <w:rPr>
                <w:lang w:val="fr-FR"/>
              </w:rPr>
              <w:t>30</w:t>
            </w:r>
          </w:p>
        </w:tc>
      </w:tr>
      <w:tr w:rsidR="005253F2" w:rsidTr="00001134">
        <w:trPr>
          <w:cantSplit/>
          <w:jc w:val="center"/>
        </w:trPr>
        <w:tc>
          <w:tcPr>
            <w:tcW w:w="3402" w:type="dxa"/>
          </w:tcPr>
          <w:p w:rsidR="005253F2" w:rsidRDefault="005253F2" w:rsidP="00001134">
            <w:pPr>
              <w:pStyle w:val="TableText"/>
              <w:spacing w:before="80" w:after="80"/>
              <w:jc w:val="left"/>
              <w:rPr>
                <w:lang w:val="fr-FR"/>
              </w:rPr>
            </w:pPr>
            <w:r>
              <w:rPr>
                <w:lang w:val="fr-FR"/>
              </w:rPr>
              <w:t>Zona de cobertura rural</w:t>
            </w:r>
          </w:p>
        </w:tc>
        <w:tc>
          <w:tcPr>
            <w:tcW w:w="2835" w:type="dxa"/>
          </w:tcPr>
          <w:p w:rsidR="005253F2" w:rsidRDefault="005253F2" w:rsidP="00001134">
            <w:pPr>
              <w:pStyle w:val="TableText"/>
              <w:tabs>
                <w:tab w:val="clear" w:pos="794"/>
                <w:tab w:val="clear" w:pos="1191"/>
                <w:tab w:val="clear" w:pos="1588"/>
                <w:tab w:val="clear" w:pos="1985"/>
                <w:tab w:val="decimal" w:pos="1168"/>
              </w:tabs>
              <w:spacing w:before="80" w:after="80"/>
              <w:jc w:val="left"/>
              <w:rPr>
                <w:lang w:val="fr-FR"/>
              </w:rPr>
            </w:pPr>
            <w:r>
              <w:rPr>
                <w:lang w:val="fr-FR"/>
              </w:rPr>
              <w:t>3,5</w:t>
            </w:r>
          </w:p>
        </w:tc>
        <w:tc>
          <w:tcPr>
            <w:tcW w:w="2268" w:type="dxa"/>
          </w:tcPr>
          <w:p w:rsidR="005253F2" w:rsidRDefault="005253F2" w:rsidP="00001134">
            <w:pPr>
              <w:pStyle w:val="TableText"/>
              <w:spacing w:before="80" w:after="80"/>
              <w:jc w:val="center"/>
              <w:rPr>
                <w:lang w:val="fr-FR"/>
              </w:rPr>
            </w:pPr>
            <w:r>
              <w:rPr>
                <w:lang w:val="fr-FR"/>
              </w:rPr>
              <w:t>41</w:t>
            </w:r>
          </w:p>
        </w:tc>
      </w:tr>
      <w:tr w:rsidR="005253F2" w:rsidTr="00001134">
        <w:trPr>
          <w:cantSplit/>
          <w:jc w:val="center"/>
        </w:trPr>
        <w:tc>
          <w:tcPr>
            <w:tcW w:w="3402" w:type="dxa"/>
          </w:tcPr>
          <w:p w:rsidR="005253F2" w:rsidRPr="008C0664" w:rsidRDefault="005253F2" w:rsidP="00001134">
            <w:pPr>
              <w:pStyle w:val="TableText"/>
              <w:spacing w:before="80" w:after="80"/>
              <w:jc w:val="left"/>
              <w:rPr>
                <w:lang w:val="es-ES_tradnl"/>
              </w:rPr>
            </w:pPr>
            <w:r w:rsidRPr="008C0664">
              <w:rPr>
                <w:lang w:val="es-ES_tradnl"/>
              </w:rPr>
              <w:t xml:space="preserve">Cabecera (zona de </w:t>
            </w:r>
            <w:r w:rsidR="00001134">
              <w:rPr>
                <w:lang w:val="es-ES_tradnl"/>
              </w:rPr>
              <w:t>cober</w:t>
            </w:r>
            <w:r>
              <w:rPr>
                <w:lang w:val="es-ES_tradnl"/>
              </w:rPr>
              <w:t>tura</w:t>
            </w:r>
            <w:r w:rsidRPr="008C0664">
              <w:rPr>
                <w:lang w:val="es-ES_tradnl"/>
              </w:rPr>
              <w:t xml:space="preserve"> urbana)</w:t>
            </w:r>
          </w:p>
        </w:tc>
        <w:tc>
          <w:tcPr>
            <w:tcW w:w="2835" w:type="dxa"/>
          </w:tcPr>
          <w:p w:rsidR="005253F2" w:rsidRDefault="005253F2" w:rsidP="00001134">
            <w:pPr>
              <w:pStyle w:val="TableText"/>
              <w:tabs>
                <w:tab w:val="clear" w:pos="794"/>
                <w:tab w:val="clear" w:pos="1191"/>
                <w:tab w:val="clear" w:pos="1588"/>
                <w:tab w:val="clear" w:pos="1985"/>
                <w:tab w:val="decimal" w:pos="1168"/>
              </w:tabs>
              <w:spacing w:before="80" w:after="80"/>
              <w:jc w:val="left"/>
              <w:rPr>
                <w:lang w:val="fr-FR"/>
              </w:rPr>
            </w:pPr>
            <w:r>
              <w:rPr>
                <w:lang w:val="fr-FR"/>
              </w:rPr>
              <w:t>0</w:t>
            </w:r>
          </w:p>
        </w:tc>
        <w:tc>
          <w:tcPr>
            <w:tcW w:w="2268" w:type="dxa"/>
          </w:tcPr>
          <w:p w:rsidR="005253F2" w:rsidRDefault="005253F2" w:rsidP="00001134">
            <w:pPr>
              <w:pStyle w:val="TableText"/>
              <w:spacing w:before="80" w:after="80"/>
              <w:jc w:val="center"/>
              <w:rPr>
                <w:lang w:val="fr-FR"/>
              </w:rPr>
            </w:pPr>
            <w:r>
              <w:rPr>
                <w:lang w:val="fr-FR"/>
              </w:rPr>
              <w:t>35</w:t>
            </w:r>
          </w:p>
        </w:tc>
      </w:tr>
      <w:tr w:rsidR="005253F2" w:rsidTr="00001134">
        <w:trPr>
          <w:cantSplit/>
          <w:jc w:val="center"/>
        </w:trPr>
        <w:tc>
          <w:tcPr>
            <w:tcW w:w="3402" w:type="dxa"/>
            <w:tcBorders>
              <w:bottom w:val="single" w:sz="6" w:space="0" w:color="auto"/>
            </w:tcBorders>
          </w:tcPr>
          <w:p w:rsidR="005253F2" w:rsidRPr="008C0664" w:rsidRDefault="00001134" w:rsidP="00001134">
            <w:pPr>
              <w:pStyle w:val="TableText"/>
              <w:spacing w:before="80" w:after="80"/>
              <w:jc w:val="left"/>
              <w:rPr>
                <w:lang w:val="es-ES_tradnl"/>
              </w:rPr>
            </w:pPr>
            <w:r>
              <w:rPr>
                <w:lang w:val="es-ES_tradnl"/>
              </w:rPr>
              <w:t>Cabecera (zona de cober</w:t>
            </w:r>
            <w:r w:rsidR="005253F2" w:rsidRPr="008C0664">
              <w:rPr>
                <w:lang w:val="es-ES_tradnl"/>
              </w:rPr>
              <w:t>tura suburbana)</w:t>
            </w:r>
          </w:p>
        </w:tc>
        <w:tc>
          <w:tcPr>
            <w:tcW w:w="2835" w:type="dxa"/>
            <w:tcBorders>
              <w:bottom w:val="single" w:sz="6" w:space="0" w:color="auto"/>
            </w:tcBorders>
          </w:tcPr>
          <w:p w:rsidR="005253F2" w:rsidRDefault="005253F2" w:rsidP="00001134">
            <w:pPr>
              <w:pStyle w:val="TableText"/>
              <w:tabs>
                <w:tab w:val="clear" w:pos="794"/>
                <w:tab w:val="clear" w:pos="1191"/>
                <w:tab w:val="clear" w:pos="1588"/>
                <w:tab w:val="clear" w:pos="1985"/>
                <w:tab w:val="decimal" w:pos="1168"/>
              </w:tabs>
              <w:spacing w:before="80" w:after="80"/>
              <w:jc w:val="left"/>
              <w:rPr>
                <w:lang w:val="fr-FR"/>
              </w:rPr>
            </w:pPr>
            <w:r>
              <w:rPr>
                <w:lang w:val="fr-FR"/>
              </w:rPr>
              <w:t>9,7</w:t>
            </w:r>
          </w:p>
        </w:tc>
        <w:tc>
          <w:tcPr>
            <w:tcW w:w="2268" w:type="dxa"/>
            <w:tcBorders>
              <w:bottom w:val="single" w:sz="6" w:space="0" w:color="auto"/>
            </w:tcBorders>
          </w:tcPr>
          <w:p w:rsidR="005253F2" w:rsidRDefault="005253F2" w:rsidP="00001134">
            <w:pPr>
              <w:pStyle w:val="TableText"/>
              <w:spacing w:before="80" w:after="80"/>
              <w:jc w:val="center"/>
              <w:rPr>
                <w:lang w:val="fr-FR"/>
              </w:rPr>
            </w:pPr>
            <w:r>
              <w:rPr>
                <w:lang w:val="fr-FR"/>
              </w:rPr>
              <w:t>38</w:t>
            </w:r>
          </w:p>
        </w:tc>
      </w:tr>
      <w:tr w:rsidR="005253F2" w:rsidTr="00001134">
        <w:trPr>
          <w:cantSplit/>
          <w:jc w:val="center"/>
        </w:trPr>
        <w:tc>
          <w:tcPr>
            <w:tcW w:w="8504" w:type="dxa"/>
            <w:gridSpan w:val="3"/>
            <w:tcBorders>
              <w:left w:val="nil"/>
              <w:bottom w:val="nil"/>
              <w:right w:val="nil"/>
            </w:tcBorders>
          </w:tcPr>
          <w:p w:rsidR="005253F2" w:rsidRDefault="005253F2" w:rsidP="00001134">
            <w:pPr>
              <w:pStyle w:val="TableLegend"/>
              <w:tabs>
                <w:tab w:val="clear" w:pos="794"/>
                <w:tab w:val="left" w:pos="142"/>
              </w:tabs>
              <w:spacing w:before="60"/>
              <w:rPr>
                <w:lang w:val="fr-FR"/>
              </w:rPr>
            </w:pPr>
            <w:r>
              <w:rPr>
                <w:position w:val="6"/>
                <w:sz w:val="14"/>
                <w:lang w:val="fr-FR"/>
              </w:rPr>
              <w:t>(1)</w:t>
            </w:r>
            <w:r>
              <w:rPr>
                <w:lang w:val="fr-FR"/>
              </w:rPr>
              <w:tab/>
              <w:t>Ganancias máximas de antena.</w:t>
            </w:r>
          </w:p>
        </w:tc>
      </w:tr>
    </w:tbl>
    <w:p w:rsidR="005253F2" w:rsidRDefault="005253F2">
      <w:pPr>
        <w:pStyle w:val="Tablefin"/>
      </w:pPr>
    </w:p>
    <w:p w:rsidR="005253F2" w:rsidRPr="008C0664" w:rsidRDefault="005253F2">
      <w:pPr>
        <w:pStyle w:val="Heading2"/>
        <w:spacing w:before="360"/>
        <w:rPr>
          <w:lang w:val="es-ES_tradnl"/>
        </w:rPr>
      </w:pPr>
      <w:r w:rsidRPr="008C0664">
        <w:rPr>
          <w:lang w:val="es-ES_tradnl"/>
        </w:rPr>
        <w:t>2.5</w:t>
      </w:r>
      <w:r w:rsidRPr="008C0664">
        <w:rPr>
          <w:lang w:val="es-ES_tradnl"/>
        </w:rPr>
        <w:tab/>
        <w:t>Terminales de usuario y estaciones de cabecera</w:t>
      </w:r>
    </w:p>
    <w:p w:rsidR="005253F2" w:rsidRPr="008C0664" w:rsidRDefault="005253F2">
      <w:pPr>
        <w:rPr>
          <w:lang w:val="es-ES_tradnl"/>
        </w:rPr>
      </w:pPr>
      <w:r w:rsidRPr="008C0664">
        <w:rPr>
          <w:lang w:val="es-ES_tradnl"/>
        </w:rPr>
        <w:t>El Cuadro 3 da los parámetros correspondientes para las estaciones en tierra. En la dirección ascendente, los terminales de usuario utilizarán una multiportadora AMDT con asignación por demanda y modulación MDP-4, mientras que las estaciones de cabecera utilizarán técnicas similares a las de la plataforma.</w:t>
      </w:r>
    </w:p>
    <w:p w:rsidR="005253F2" w:rsidRPr="008C0664" w:rsidRDefault="005253F2">
      <w:pPr>
        <w:pStyle w:val="Table"/>
        <w:rPr>
          <w:lang w:val="es-ES_tradnl"/>
        </w:rPr>
      </w:pPr>
      <w:r w:rsidRPr="008C0664">
        <w:rPr>
          <w:lang w:val="es-ES_tradnl"/>
        </w:rPr>
        <w:t>CUADRO  3</w:t>
      </w:r>
    </w:p>
    <w:p w:rsidR="005253F2" w:rsidRPr="008C0664" w:rsidRDefault="005253F2">
      <w:pPr>
        <w:pStyle w:val="TableTitle"/>
        <w:spacing w:after="0"/>
        <w:rPr>
          <w:lang w:val="es-ES_tradnl"/>
        </w:rPr>
      </w:pPr>
      <w:r w:rsidRPr="008C0664">
        <w:rPr>
          <w:lang w:val="es-ES_tradnl"/>
        </w:rPr>
        <w:t>Características del transmisor de la estación en tierra</w:t>
      </w:r>
    </w:p>
    <w:p w:rsidR="005253F2" w:rsidRPr="008C0664" w:rsidRDefault="005253F2">
      <w:pPr>
        <w:pStyle w:val="Blanc"/>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402"/>
        <w:gridCol w:w="2835"/>
        <w:gridCol w:w="2268"/>
      </w:tblGrid>
      <w:tr w:rsidR="005253F2" w:rsidTr="00001134">
        <w:trPr>
          <w:cantSplit/>
          <w:jc w:val="center"/>
        </w:trPr>
        <w:tc>
          <w:tcPr>
            <w:tcW w:w="3402" w:type="dxa"/>
          </w:tcPr>
          <w:p w:rsidR="005253F2" w:rsidRDefault="005253F2" w:rsidP="00001134">
            <w:pPr>
              <w:pStyle w:val="TableText"/>
              <w:spacing w:before="200"/>
              <w:jc w:val="center"/>
              <w:rPr>
                <w:lang w:val="fr-FR"/>
              </w:rPr>
            </w:pPr>
            <w:r>
              <w:rPr>
                <w:lang w:val="fr-FR"/>
              </w:rPr>
              <w:t>Comunicación con</w:t>
            </w:r>
          </w:p>
        </w:tc>
        <w:tc>
          <w:tcPr>
            <w:tcW w:w="2835" w:type="dxa"/>
          </w:tcPr>
          <w:p w:rsidR="005253F2" w:rsidRDefault="005253F2" w:rsidP="00001134">
            <w:pPr>
              <w:pStyle w:val="TableText"/>
              <w:jc w:val="center"/>
              <w:rPr>
                <w:lang w:val="fr-FR"/>
              </w:rPr>
            </w:pPr>
            <w:r>
              <w:rPr>
                <w:lang w:val="fr-FR"/>
              </w:rPr>
              <w:t xml:space="preserve">Potencia del transmisor </w:t>
            </w:r>
            <w:r>
              <w:rPr>
                <w:lang w:val="fr-FR"/>
              </w:rPr>
              <w:br/>
              <w:t>(dBW)</w:t>
            </w:r>
          </w:p>
        </w:tc>
        <w:tc>
          <w:tcPr>
            <w:tcW w:w="2268" w:type="dxa"/>
          </w:tcPr>
          <w:p w:rsidR="005253F2" w:rsidRDefault="005253F2" w:rsidP="00001134">
            <w:pPr>
              <w:pStyle w:val="TableText"/>
              <w:jc w:val="center"/>
              <w:rPr>
                <w:lang w:val="fr-FR"/>
              </w:rPr>
            </w:pPr>
            <w:r>
              <w:rPr>
                <w:lang w:val="fr-FR"/>
              </w:rPr>
              <w:t xml:space="preserve">Ganancia de antena </w:t>
            </w:r>
            <w:r>
              <w:rPr>
                <w:lang w:val="fr-FR"/>
              </w:rPr>
              <w:br/>
              <w:t>(dBi)</w:t>
            </w:r>
          </w:p>
        </w:tc>
      </w:tr>
      <w:tr w:rsidR="005253F2" w:rsidTr="00001134">
        <w:trPr>
          <w:cantSplit/>
          <w:jc w:val="center"/>
        </w:trPr>
        <w:tc>
          <w:tcPr>
            <w:tcW w:w="3402" w:type="dxa"/>
          </w:tcPr>
          <w:p w:rsidR="005253F2" w:rsidRDefault="005253F2" w:rsidP="00001134">
            <w:pPr>
              <w:pStyle w:val="TableText"/>
              <w:spacing w:before="80" w:after="80"/>
              <w:jc w:val="left"/>
              <w:rPr>
                <w:lang w:val="fr-FR"/>
              </w:rPr>
            </w:pPr>
            <w:r>
              <w:rPr>
                <w:lang w:val="fr-FR"/>
              </w:rPr>
              <w:t>Zona de cobertura urbana</w:t>
            </w:r>
          </w:p>
        </w:tc>
        <w:tc>
          <w:tcPr>
            <w:tcW w:w="2835" w:type="dxa"/>
          </w:tcPr>
          <w:p w:rsidR="005253F2" w:rsidRDefault="005253F2" w:rsidP="00001134">
            <w:pPr>
              <w:pStyle w:val="TableText"/>
              <w:tabs>
                <w:tab w:val="clear" w:pos="794"/>
                <w:tab w:val="clear" w:pos="1191"/>
                <w:tab w:val="clear" w:pos="1588"/>
                <w:tab w:val="clear" w:pos="1985"/>
                <w:tab w:val="decimal" w:pos="1168"/>
              </w:tabs>
              <w:spacing w:before="80" w:after="80"/>
              <w:jc w:val="left"/>
              <w:rPr>
                <w:lang w:val="fr-FR"/>
              </w:rPr>
            </w:pPr>
            <w:r>
              <w:rPr>
                <w:lang w:val="fr-FR"/>
              </w:rPr>
              <w:t>–</w:t>
            </w:r>
            <w:r>
              <w:rPr>
                <w:rFonts w:ascii="Tms Rmn" w:hAnsi="Tms Rmn"/>
                <w:sz w:val="12"/>
                <w:lang w:val="fr-FR"/>
              </w:rPr>
              <w:t> </w:t>
            </w:r>
            <w:r>
              <w:rPr>
                <w:lang w:val="fr-FR"/>
              </w:rPr>
              <w:t>8,2</w:t>
            </w:r>
          </w:p>
        </w:tc>
        <w:tc>
          <w:tcPr>
            <w:tcW w:w="2268" w:type="dxa"/>
          </w:tcPr>
          <w:p w:rsidR="005253F2" w:rsidRDefault="005253F2" w:rsidP="00001134">
            <w:pPr>
              <w:pStyle w:val="TableText"/>
              <w:spacing w:before="80" w:after="80"/>
              <w:jc w:val="center"/>
              <w:rPr>
                <w:lang w:val="fr-FR"/>
              </w:rPr>
            </w:pPr>
            <w:r>
              <w:rPr>
                <w:lang w:val="fr-FR"/>
              </w:rPr>
              <w:t>23</w:t>
            </w:r>
          </w:p>
        </w:tc>
      </w:tr>
      <w:tr w:rsidR="005253F2" w:rsidTr="00001134">
        <w:trPr>
          <w:cantSplit/>
          <w:jc w:val="center"/>
        </w:trPr>
        <w:tc>
          <w:tcPr>
            <w:tcW w:w="3402" w:type="dxa"/>
          </w:tcPr>
          <w:p w:rsidR="005253F2" w:rsidRDefault="005253F2" w:rsidP="00001134">
            <w:pPr>
              <w:pStyle w:val="TableText"/>
              <w:spacing w:before="80" w:after="80"/>
              <w:jc w:val="left"/>
              <w:rPr>
                <w:lang w:val="fr-FR"/>
              </w:rPr>
            </w:pPr>
            <w:r>
              <w:rPr>
                <w:lang w:val="fr-FR"/>
              </w:rPr>
              <w:t>Zona de cobertura suburbana</w:t>
            </w:r>
          </w:p>
        </w:tc>
        <w:tc>
          <w:tcPr>
            <w:tcW w:w="2835" w:type="dxa"/>
          </w:tcPr>
          <w:p w:rsidR="005253F2" w:rsidRDefault="005253F2" w:rsidP="00001134">
            <w:pPr>
              <w:pStyle w:val="TableText"/>
              <w:tabs>
                <w:tab w:val="clear" w:pos="794"/>
                <w:tab w:val="clear" w:pos="1191"/>
                <w:tab w:val="clear" w:pos="1588"/>
                <w:tab w:val="clear" w:pos="1985"/>
                <w:tab w:val="decimal" w:pos="1168"/>
              </w:tabs>
              <w:spacing w:before="80" w:after="80"/>
              <w:jc w:val="left"/>
              <w:rPr>
                <w:lang w:val="fr-FR"/>
              </w:rPr>
            </w:pPr>
            <w:r>
              <w:rPr>
                <w:lang w:val="fr-FR"/>
              </w:rPr>
              <w:t>–7</w:t>
            </w:r>
          </w:p>
        </w:tc>
        <w:tc>
          <w:tcPr>
            <w:tcW w:w="2268" w:type="dxa"/>
          </w:tcPr>
          <w:p w:rsidR="005253F2" w:rsidRDefault="005253F2" w:rsidP="00001134">
            <w:pPr>
              <w:pStyle w:val="TableText"/>
              <w:spacing w:before="80" w:after="80"/>
              <w:jc w:val="center"/>
              <w:rPr>
                <w:lang w:val="fr-FR"/>
              </w:rPr>
            </w:pPr>
            <w:r>
              <w:rPr>
                <w:lang w:val="fr-FR"/>
              </w:rPr>
              <w:t>38</w:t>
            </w:r>
          </w:p>
        </w:tc>
      </w:tr>
      <w:tr w:rsidR="005253F2" w:rsidTr="00001134">
        <w:trPr>
          <w:cantSplit/>
          <w:jc w:val="center"/>
        </w:trPr>
        <w:tc>
          <w:tcPr>
            <w:tcW w:w="3402" w:type="dxa"/>
          </w:tcPr>
          <w:p w:rsidR="005253F2" w:rsidRDefault="005253F2" w:rsidP="00001134">
            <w:pPr>
              <w:pStyle w:val="TableText"/>
              <w:spacing w:before="80" w:after="80"/>
              <w:jc w:val="left"/>
              <w:rPr>
                <w:lang w:val="fr-FR"/>
              </w:rPr>
            </w:pPr>
            <w:r>
              <w:rPr>
                <w:lang w:val="fr-FR"/>
              </w:rPr>
              <w:t>Zona de cobertura rural</w:t>
            </w:r>
          </w:p>
        </w:tc>
        <w:tc>
          <w:tcPr>
            <w:tcW w:w="2835" w:type="dxa"/>
          </w:tcPr>
          <w:p w:rsidR="005253F2" w:rsidRDefault="005253F2" w:rsidP="00001134">
            <w:pPr>
              <w:pStyle w:val="TableText"/>
              <w:tabs>
                <w:tab w:val="clear" w:pos="794"/>
                <w:tab w:val="clear" w:pos="1191"/>
                <w:tab w:val="clear" w:pos="1588"/>
                <w:tab w:val="clear" w:pos="1985"/>
                <w:tab w:val="decimal" w:pos="1168"/>
              </w:tabs>
              <w:spacing w:before="80" w:after="80"/>
              <w:jc w:val="left"/>
              <w:rPr>
                <w:lang w:val="fr-FR"/>
              </w:rPr>
            </w:pPr>
            <w:r>
              <w:rPr>
                <w:lang w:val="fr-FR"/>
              </w:rPr>
              <w:t>–1,5</w:t>
            </w:r>
          </w:p>
        </w:tc>
        <w:tc>
          <w:tcPr>
            <w:tcW w:w="2268" w:type="dxa"/>
          </w:tcPr>
          <w:p w:rsidR="005253F2" w:rsidRDefault="005253F2" w:rsidP="00001134">
            <w:pPr>
              <w:pStyle w:val="TableText"/>
              <w:spacing w:before="80" w:after="80"/>
              <w:jc w:val="center"/>
              <w:rPr>
                <w:lang w:val="fr-FR"/>
              </w:rPr>
            </w:pPr>
            <w:r>
              <w:rPr>
                <w:lang w:val="fr-FR"/>
              </w:rPr>
              <w:t>38</w:t>
            </w:r>
          </w:p>
        </w:tc>
      </w:tr>
      <w:tr w:rsidR="005253F2" w:rsidTr="00001134">
        <w:trPr>
          <w:cantSplit/>
          <w:jc w:val="center"/>
        </w:trPr>
        <w:tc>
          <w:tcPr>
            <w:tcW w:w="3402" w:type="dxa"/>
          </w:tcPr>
          <w:p w:rsidR="005253F2" w:rsidRPr="008C0664" w:rsidRDefault="005253F2" w:rsidP="00001134">
            <w:pPr>
              <w:pStyle w:val="TableText"/>
              <w:spacing w:before="80" w:after="80"/>
              <w:jc w:val="left"/>
              <w:rPr>
                <w:lang w:val="es-ES_tradnl"/>
              </w:rPr>
            </w:pPr>
            <w:r w:rsidRPr="008C0664">
              <w:rPr>
                <w:lang w:val="es-ES_tradnl"/>
              </w:rPr>
              <w:t xml:space="preserve">Cabecera (zona de </w:t>
            </w:r>
            <w:r>
              <w:rPr>
                <w:lang w:val="es-ES_tradnl"/>
              </w:rPr>
              <w:t>cober</w:t>
            </w:r>
            <w:r>
              <w:rPr>
                <w:lang w:val="es-ES_tradnl"/>
              </w:rPr>
              <w:softHyphen/>
              <w:t>tura</w:t>
            </w:r>
            <w:r w:rsidRPr="008C0664">
              <w:rPr>
                <w:lang w:val="es-ES_tradnl"/>
              </w:rPr>
              <w:t xml:space="preserve"> urbana)</w:t>
            </w:r>
          </w:p>
        </w:tc>
        <w:tc>
          <w:tcPr>
            <w:tcW w:w="2835" w:type="dxa"/>
          </w:tcPr>
          <w:p w:rsidR="005253F2" w:rsidRDefault="005253F2" w:rsidP="00001134">
            <w:pPr>
              <w:pStyle w:val="TableText"/>
              <w:tabs>
                <w:tab w:val="clear" w:pos="794"/>
                <w:tab w:val="clear" w:pos="1191"/>
                <w:tab w:val="clear" w:pos="1588"/>
                <w:tab w:val="clear" w:pos="1985"/>
                <w:tab w:val="decimal" w:pos="1168"/>
              </w:tabs>
              <w:spacing w:before="80" w:after="80"/>
              <w:jc w:val="left"/>
              <w:rPr>
                <w:lang w:val="fr-FR"/>
              </w:rPr>
            </w:pPr>
            <w:r>
              <w:rPr>
                <w:lang w:val="fr-FR"/>
              </w:rPr>
              <w:t>1,7</w:t>
            </w:r>
          </w:p>
        </w:tc>
        <w:tc>
          <w:tcPr>
            <w:tcW w:w="2268" w:type="dxa"/>
          </w:tcPr>
          <w:p w:rsidR="005253F2" w:rsidRDefault="005253F2" w:rsidP="00001134">
            <w:pPr>
              <w:pStyle w:val="TableText"/>
              <w:spacing w:before="80" w:after="80"/>
              <w:jc w:val="center"/>
              <w:rPr>
                <w:lang w:val="fr-FR"/>
              </w:rPr>
            </w:pPr>
            <w:r>
              <w:rPr>
                <w:lang w:val="fr-FR"/>
              </w:rPr>
              <w:t>46</w:t>
            </w:r>
          </w:p>
        </w:tc>
      </w:tr>
      <w:tr w:rsidR="005253F2" w:rsidTr="00001134">
        <w:trPr>
          <w:cantSplit/>
          <w:jc w:val="center"/>
        </w:trPr>
        <w:tc>
          <w:tcPr>
            <w:tcW w:w="3402" w:type="dxa"/>
            <w:tcBorders>
              <w:bottom w:val="single" w:sz="6" w:space="0" w:color="auto"/>
            </w:tcBorders>
          </w:tcPr>
          <w:p w:rsidR="005253F2" w:rsidRPr="008C0664" w:rsidRDefault="005253F2" w:rsidP="00001134">
            <w:pPr>
              <w:pStyle w:val="TableText"/>
              <w:spacing w:before="80" w:after="80"/>
              <w:jc w:val="left"/>
              <w:rPr>
                <w:lang w:val="es-ES_tradnl"/>
              </w:rPr>
            </w:pPr>
            <w:r w:rsidRPr="008C0664">
              <w:rPr>
                <w:lang w:val="es-ES_tradnl"/>
              </w:rPr>
              <w:t>Cabecera (zona de cober</w:t>
            </w:r>
            <w:r w:rsidRPr="008C0664">
              <w:rPr>
                <w:lang w:val="es-ES_tradnl"/>
              </w:rPr>
              <w:softHyphen/>
              <w:t>tura suburbana)</w:t>
            </w:r>
          </w:p>
        </w:tc>
        <w:tc>
          <w:tcPr>
            <w:tcW w:w="2835" w:type="dxa"/>
            <w:tcBorders>
              <w:bottom w:val="single" w:sz="6" w:space="0" w:color="auto"/>
            </w:tcBorders>
          </w:tcPr>
          <w:p w:rsidR="005253F2" w:rsidRDefault="005253F2" w:rsidP="00001134">
            <w:pPr>
              <w:pStyle w:val="TableText"/>
              <w:tabs>
                <w:tab w:val="clear" w:pos="794"/>
                <w:tab w:val="clear" w:pos="1191"/>
                <w:tab w:val="clear" w:pos="1588"/>
                <w:tab w:val="clear" w:pos="1985"/>
                <w:tab w:val="decimal" w:pos="1168"/>
              </w:tabs>
              <w:spacing w:before="80" w:after="80"/>
              <w:jc w:val="left"/>
              <w:rPr>
                <w:lang w:val="fr-FR"/>
              </w:rPr>
            </w:pPr>
            <w:r>
              <w:rPr>
                <w:lang w:val="fr-FR"/>
              </w:rPr>
              <w:t>13,4</w:t>
            </w:r>
          </w:p>
        </w:tc>
        <w:tc>
          <w:tcPr>
            <w:tcW w:w="2268" w:type="dxa"/>
            <w:tcBorders>
              <w:bottom w:val="single" w:sz="6" w:space="0" w:color="auto"/>
            </w:tcBorders>
          </w:tcPr>
          <w:p w:rsidR="005253F2" w:rsidRDefault="005253F2" w:rsidP="00001134">
            <w:pPr>
              <w:pStyle w:val="TableText"/>
              <w:spacing w:before="80" w:after="80"/>
              <w:jc w:val="center"/>
              <w:rPr>
                <w:lang w:val="fr-FR"/>
              </w:rPr>
            </w:pPr>
            <w:r>
              <w:rPr>
                <w:lang w:val="fr-FR"/>
              </w:rPr>
              <w:t>46</w:t>
            </w:r>
          </w:p>
        </w:tc>
      </w:tr>
    </w:tbl>
    <w:p w:rsidR="005253F2" w:rsidRDefault="005253F2">
      <w:pPr>
        <w:pStyle w:val="Tablefin"/>
        <w:rPr>
          <w:lang w:val="fr-FR"/>
        </w:rPr>
      </w:pPr>
    </w:p>
    <w:p w:rsidR="005253F2" w:rsidRPr="008C0664" w:rsidRDefault="005253F2">
      <w:pPr>
        <w:rPr>
          <w:lang w:val="es-ES_tradnl"/>
        </w:rPr>
      </w:pPr>
      <w:r w:rsidRPr="008C0664">
        <w:rPr>
          <w:lang w:val="es-ES_tradnl"/>
        </w:rPr>
        <w:t>Los diagramas de antena de las estaciones de cabecera en la HAPN y de los terminales de usuario descritos en el Cuadro 3 pueden estimarse ampliando la información que figura en la Recomendación UIT-R F.699 a la banda de frecuencias 47,2</w:t>
      </w:r>
      <w:r w:rsidRPr="008C0664">
        <w:rPr>
          <w:lang w:val="es-ES_tradnl"/>
        </w:rPr>
        <w:noBreakHyphen/>
        <w:t>48,2 GHz y utilizando las ganancias de antena de la columna 3 del Cuadro 3.</w:t>
      </w:r>
    </w:p>
    <w:p w:rsidR="005253F2" w:rsidRPr="008C0664" w:rsidRDefault="005253F2">
      <w:pPr>
        <w:pStyle w:val="Heading2"/>
        <w:rPr>
          <w:lang w:val="es-ES_tradnl"/>
        </w:rPr>
      </w:pPr>
      <w:r w:rsidRPr="008C0664">
        <w:rPr>
          <w:lang w:val="es-ES_tradnl"/>
        </w:rPr>
        <w:lastRenderedPageBreak/>
        <w:t>2.6</w:t>
      </w:r>
      <w:r w:rsidRPr="008C0664">
        <w:rPr>
          <w:lang w:val="es-ES_tradnl"/>
        </w:rPr>
        <w:tab/>
        <w:t>Diagramas de radiación de antena</w:t>
      </w:r>
    </w:p>
    <w:p w:rsidR="005253F2" w:rsidRPr="008C0664" w:rsidRDefault="005253F2" w:rsidP="006201E6">
      <w:pPr>
        <w:keepNext/>
        <w:keepLines/>
        <w:rPr>
          <w:lang w:val="es-ES_tradnl"/>
        </w:rPr>
      </w:pPr>
      <w:r w:rsidRPr="008C0664">
        <w:rPr>
          <w:lang w:val="es-ES_tradnl"/>
        </w:rPr>
        <w:t>Los diagramas de radiación de las antenas de la plataforma se ajustan a la Recomendación UIT-R S.672. El diagrama de radiación de referencia viene dado por:</w:t>
      </w:r>
    </w:p>
    <w:p w:rsidR="005253F2" w:rsidRPr="008C0664" w:rsidRDefault="005253F2" w:rsidP="005253F2">
      <w:pPr>
        <w:pStyle w:val="Equation"/>
        <w:tabs>
          <w:tab w:val="clear" w:pos="4849"/>
          <w:tab w:val="left" w:pos="5075"/>
          <w:tab w:val="center" w:pos="5103"/>
        </w:tabs>
        <w:rPr>
          <w:lang w:val="es-ES_tradnl"/>
        </w:rPr>
      </w:pPr>
      <w:r w:rsidRPr="008C0664">
        <w:rPr>
          <w:i/>
          <w:lang w:val="es-ES_tradnl"/>
        </w:rPr>
        <w:tab/>
        <w:t>G</w:t>
      </w:r>
      <w:r w:rsidRPr="008C0664">
        <w:rPr>
          <w:lang w:val="es-ES_tradnl"/>
        </w:rPr>
        <w:t>(</w:t>
      </w:r>
      <w:r>
        <w:rPr>
          <w:lang w:val="fr-FR"/>
        </w:rPr>
        <w:sym w:font="Symbol" w:char="F079"/>
      </w:r>
      <w:r w:rsidRPr="008C0664">
        <w:rPr>
          <w:lang w:val="es-ES_tradnl"/>
        </w:rPr>
        <w:t xml:space="preserve">) </w:t>
      </w:r>
      <w:r>
        <w:rPr>
          <w:lang w:val="fr-FR"/>
        </w:rPr>
        <w:sym w:font="Symbol" w:char="F03D"/>
      </w:r>
      <w:r w:rsidRPr="008C0664">
        <w:rPr>
          <w:lang w:val="es-ES_tradnl"/>
        </w:rPr>
        <w:t xml:space="preserve"> </w:t>
      </w:r>
      <w:r w:rsidRPr="008C0664">
        <w:rPr>
          <w:i/>
          <w:lang w:val="es-ES_tradnl"/>
        </w:rPr>
        <w:t>G</w:t>
      </w:r>
      <w:r w:rsidRPr="008C0664">
        <w:rPr>
          <w:i/>
          <w:position w:val="-4"/>
          <w:sz w:val="18"/>
          <w:lang w:val="es-ES_tradnl"/>
        </w:rPr>
        <w:t>m</w:t>
      </w:r>
      <w:r w:rsidRPr="008C0664">
        <w:rPr>
          <w:lang w:val="es-ES_tradnl"/>
        </w:rPr>
        <w:t xml:space="preserve"> – 3 (</w:t>
      </w:r>
      <w:r>
        <w:rPr>
          <w:lang w:val="fr-FR"/>
        </w:rPr>
        <w:sym w:font="Symbol" w:char="F079"/>
      </w:r>
      <w:r w:rsidRPr="008C0664">
        <w:rPr>
          <w:lang w:val="es-ES_tradnl"/>
        </w:rPr>
        <w:t>/</w:t>
      </w:r>
      <w:r>
        <w:rPr>
          <w:lang w:val="fr-FR"/>
        </w:rPr>
        <w:sym w:font="Symbol" w:char="F079"/>
      </w:r>
      <w:r w:rsidRPr="008C0664">
        <w:rPr>
          <w:i/>
          <w:position w:val="-4"/>
          <w:sz w:val="18"/>
          <w:lang w:val="es-ES_tradnl"/>
        </w:rPr>
        <w:t>b</w:t>
      </w:r>
      <w:r w:rsidRPr="008C0664">
        <w:rPr>
          <w:lang w:val="es-ES_tradnl"/>
        </w:rPr>
        <w:t>)</w:t>
      </w:r>
      <w:r w:rsidR="002F26D4">
        <w:rPr>
          <w:position w:val="6"/>
          <w:sz w:val="18"/>
        </w:rPr>
        <w:sym w:font="Symbol" w:char="F061"/>
      </w:r>
      <w:r w:rsidRPr="008C0664">
        <w:rPr>
          <w:rFonts w:hint="eastAsia"/>
          <w:lang w:val="es-ES_tradnl"/>
        </w:rPr>
        <w:t>               </w:t>
      </w:r>
      <w:r w:rsidRPr="008C0664">
        <w:rPr>
          <w:lang w:val="es-ES_tradnl"/>
        </w:rPr>
        <w:t>dBi</w:t>
      </w:r>
      <w:r w:rsidRPr="008C0664">
        <w:rPr>
          <w:lang w:val="es-ES_tradnl"/>
        </w:rPr>
        <w:tab/>
        <w:t>para  </w:t>
      </w:r>
      <w:r>
        <w:rPr>
          <w:lang w:val="fr-FR"/>
        </w:rPr>
        <w:sym w:font="Symbol" w:char="F079"/>
      </w:r>
      <w:r w:rsidRPr="008C0664">
        <w:rPr>
          <w:i/>
          <w:position w:val="-4"/>
          <w:sz w:val="18"/>
          <w:lang w:val="es-ES_tradnl"/>
        </w:rPr>
        <w:t xml:space="preserve">b </w:t>
      </w:r>
      <w:r w:rsidRPr="008C0664">
        <w:rPr>
          <w:i/>
          <w:szCs w:val="22"/>
          <w:lang w:val="es-ES_tradnl"/>
        </w:rPr>
        <w:t xml:space="preserve"> </w:t>
      </w:r>
      <w:r w:rsidRPr="005253F2">
        <w:sym w:font="Symbol" w:char="F0A3"/>
      </w:r>
      <w:r w:rsidRPr="008C0664">
        <w:rPr>
          <w:lang w:val="es-ES_tradnl"/>
        </w:rPr>
        <w:t xml:space="preserve"> </w:t>
      </w:r>
      <w:r>
        <w:rPr>
          <w:lang w:val="fr-FR"/>
        </w:rPr>
        <w:sym w:font="Symbol" w:char="F079"/>
      </w:r>
      <w:r w:rsidRPr="008C0664">
        <w:rPr>
          <w:lang w:val="es-ES_tradnl"/>
        </w:rPr>
        <w:t xml:space="preserve"> </w:t>
      </w:r>
      <w:r w:rsidRPr="005253F2">
        <w:sym w:font="Symbol" w:char="F0A3"/>
      </w:r>
      <w:r w:rsidRPr="008C0664">
        <w:rPr>
          <w:lang w:val="es-ES_tradnl"/>
        </w:rPr>
        <w:t xml:space="preserve"> </w:t>
      </w:r>
      <w:r w:rsidRPr="008C0664">
        <w:rPr>
          <w:i/>
          <w:lang w:val="es-ES_tradnl"/>
        </w:rPr>
        <w:t>a</w:t>
      </w:r>
      <w:r w:rsidRPr="008C0664">
        <w:rPr>
          <w:lang w:val="es-ES_tradnl"/>
        </w:rPr>
        <w:t xml:space="preserve"> </w:t>
      </w:r>
      <w:r>
        <w:rPr>
          <w:lang w:val="fr-FR"/>
        </w:rPr>
        <w:sym w:font="Symbol" w:char="F079"/>
      </w:r>
      <w:r w:rsidRPr="008C0664">
        <w:rPr>
          <w:i/>
          <w:position w:val="-4"/>
          <w:sz w:val="18"/>
          <w:lang w:val="es-ES_tradnl"/>
        </w:rPr>
        <w:t>b</w:t>
      </w:r>
      <w:r w:rsidRPr="008C0664">
        <w:rPr>
          <w:i/>
          <w:position w:val="-4"/>
          <w:sz w:val="18"/>
          <w:lang w:val="es-ES_tradnl"/>
        </w:rPr>
        <w:tab/>
      </w:r>
      <w:r w:rsidRPr="008C0664">
        <w:rPr>
          <w:lang w:val="es-ES_tradnl"/>
        </w:rPr>
        <w:t>(1)</w:t>
      </w:r>
    </w:p>
    <w:p w:rsidR="005253F2" w:rsidRPr="008C0664" w:rsidRDefault="005253F2" w:rsidP="005253F2">
      <w:pPr>
        <w:pStyle w:val="Equation"/>
        <w:tabs>
          <w:tab w:val="clear" w:pos="4849"/>
          <w:tab w:val="left" w:pos="5075"/>
          <w:tab w:val="center" w:pos="5103"/>
        </w:tabs>
        <w:rPr>
          <w:lang w:val="es-ES_tradnl"/>
        </w:rPr>
      </w:pPr>
      <w:r w:rsidRPr="008C0664">
        <w:rPr>
          <w:i/>
          <w:lang w:val="es-ES_tradnl"/>
        </w:rPr>
        <w:tab/>
        <w:t>G</w:t>
      </w:r>
      <w:r w:rsidRPr="008C0664">
        <w:rPr>
          <w:lang w:val="es-ES_tradnl"/>
        </w:rPr>
        <w:t>(</w:t>
      </w:r>
      <w:r>
        <w:rPr>
          <w:lang w:val="fr-FR"/>
        </w:rPr>
        <w:sym w:font="Symbol" w:char="F079"/>
      </w:r>
      <w:r w:rsidRPr="008C0664">
        <w:rPr>
          <w:lang w:val="es-ES_tradnl"/>
        </w:rPr>
        <w:t xml:space="preserve">) </w:t>
      </w:r>
      <w:r>
        <w:rPr>
          <w:lang w:val="fr-FR"/>
        </w:rPr>
        <w:sym w:font="Symbol" w:char="F03D"/>
      </w:r>
      <w:r w:rsidRPr="008C0664">
        <w:rPr>
          <w:lang w:val="es-ES_tradnl"/>
        </w:rPr>
        <w:t xml:space="preserve"> </w:t>
      </w:r>
      <w:r w:rsidRPr="008C0664">
        <w:rPr>
          <w:i/>
          <w:lang w:val="es-ES_tradnl"/>
        </w:rPr>
        <w:t>G</w:t>
      </w:r>
      <w:r w:rsidRPr="008C0664">
        <w:rPr>
          <w:i/>
          <w:position w:val="-4"/>
          <w:sz w:val="18"/>
          <w:lang w:val="es-ES_tradnl"/>
        </w:rPr>
        <w:t>m</w:t>
      </w:r>
      <w:r w:rsidRPr="008C0664">
        <w:rPr>
          <w:lang w:val="es-ES_tradnl"/>
        </w:rPr>
        <w:t xml:space="preserve"> </w:t>
      </w:r>
      <w:r>
        <w:rPr>
          <w:lang w:val="fr-FR"/>
        </w:rPr>
        <w:sym w:font="Symbol" w:char="F02B"/>
      </w:r>
      <w:r w:rsidRPr="008C0664">
        <w:rPr>
          <w:lang w:val="es-ES_tradnl"/>
        </w:rPr>
        <w:t xml:space="preserve"> </w:t>
      </w:r>
      <w:r w:rsidRPr="008C0664">
        <w:rPr>
          <w:i/>
          <w:lang w:val="es-ES_tradnl"/>
        </w:rPr>
        <w:t>L</w:t>
      </w:r>
      <w:r w:rsidRPr="008C0664">
        <w:rPr>
          <w:i/>
          <w:position w:val="-4"/>
          <w:sz w:val="18"/>
          <w:lang w:val="es-ES_tradnl"/>
        </w:rPr>
        <w:t>N</w:t>
      </w:r>
      <w:r w:rsidRPr="008C0664">
        <w:rPr>
          <w:lang w:val="es-ES_tradnl"/>
        </w:rPr>
        <w:t xml:space="preserve"> </w:t>
      </w:r>
      <w:r>
        <w:rPr>
          <w:lang w:val="fr-FR"/>
        </w:rPr>
        <w:sym w:font="Symbol" w:char="F02B"/>
      </w:r>
      <w:r w:rsidRPr="008C0664">
        <w:rPr>
          <w:lang w:val="es-ES_tradnl"/>
        </w:rPr>
        <w:t xml:space="preserve"> 20 log (</w:t>
      </w:r>
      <w:r w:rsidRPr="008C0664">
        <w:rPr>
          <w:i/>
          <w:lang w:val="es-ES_tradnl"/>
        </w:rPr>
        <w:t>z</w:t>
      </w:r>
      <w:r w:rsidRPr="008C0664">
        <w:rPr>
          <w:iCs/>
          <w:lang w:val="es-ES_tradnl"/>
        </w:rPr>
        <w:t>)</w:t>
      </w:r>
      <w:r w:rsidRPr="008C0664">
        <w:rPr>
          <w:rFonts w:hint="eastAsia"/>
          <w:lang w:val="es-ES_tradnl"/>
        </w:rPr>
        <w:t>               </w:t>
      </w:r>
      <w:r w:rsidRPr="008C0664">
        <w:rPr>
          <w:lang w:val="es-ES_tradnl"/>
        </w:rPr>
        <w:t>dBi</w:t>
      </w:r>
      <w:r w:rsidRPr="008C0664">
        <w:rPr>
          <w:lang w:val="es-ES_tradnl"/>
        </w:rPr>
        <w:tab/>
        <w:t>para  </w:t>
      </w:r>
      <w:r w:rsidRPr="008C0664">
        <w:rPr>
          <w:i/>
          <w:lang w:val="es-ES_tradnl"/>
        </w:rPr>
        <w:t xml:space="preserve">a </w:t>
      </w:r>
      <w:r>
        <w:rPr>
          <w:lang w:val="fr-FR"/>
        </w:rPr>
        <w:sym w:font="Symbol" w:char="F079"/>
      </w:r>
      <w:r w:rsidRPr="008C0664">
        <w:rPr>
          <w:i/>
          <w:position w:val="-4"/>
          <w:sz w:val="18"/>
          <w:lang w:val="es-ES_tradnl"/>
        </w:rPr>
        <w:t xml:space="preserve">b </w:t>
      </w:r>
      <w:r>
        <w:rPr>
          <w:lang w:val="fr-FR"/>
        </w:rPr>
        <w:sym w:font="Symbol" w:char="F03C"/>
      </w:r>
      <w:r w:rsidRPr="008C0664">
        <w:rPr>
          <w:lang w:val="es-ES_tradnl"/>
        </w:rPr>
        <w:t xml:space="preserve"> </w:t>
      </w:r>
      <w:r>
        <w:rPr>
          <w:lang w:val="fr-FR"/>
        </w:rPr>
        <w:sym w:font="Symbol" w:char="F079"/>
      </w:r>
      <w:r w:rsidRPr="008C0664">
        <w:rPr>
          <w:lang w:val="es-ES_tradnl"/>
        </w:rPr>
        <w:t xml:space="preserve"> </w:t>
      </w:r>
      <w:r w:rsidRPr="005253F2">
        <w:sym w:font="Symbol" w:char="F0A3"/>
      </w:r>
      <w:r w:rsidRPr="008C0664">
        <w:rPr>
          <w:lang w:val="es-ES_tradnl"/>
        </w:rPr>
        <w:t xml:space="preserve"> 0,5</w:t>
      </w:r>
      <w:r w:rsidRPr="008C0664">
        <w:rPr>
          <w:i/>
          <w:lang w:val="es-ES_tradnl"/>
        </w:rPr>
        <w:t>b</w:t>
      </w:r>
      <w:r w:rsidRPr="008C0664">
        <w:rPr>
          <w:lang w:val="es-ES_tradnl"/>
        </w:rPr>
        <w:t xml:space="preserve"> </w:t>
      </w:r>
      <w:r>
        <w:rPr>
          <w:lang w:val="fr-FR"/>
        </w:rPr>
        <w:sym w:font="Symbol" w:char="F079"/>
      </w:r>
      <w:r w:rsidRPr="008C0664">
        <w:rPr>
          <w:i/>
          <w:position w:val="-4"/>
          <w:sz w:val="18"/>
          <w:lang w:val="es-ES_tradnl"/>
        </w:rPr>
        <w:t>b</w:t>
      </w:r>
      <w:r w:rsidRPr="008C0664">
        <w:rPr>
          <w:i/>
          <w:position w:val="-4"/>
          <w:sz w:val="18"/>
          <w:lang w:val="es-ES_tradnl"/>
        </w:rPr>
        <w:tab/>
      </w:r>
      <w:r w:rsidRPr="008C0664">
        <w:rPr>
          <w:lang w:val="es-ES_tradnl"/>
        </w:rPr>
        <w:t>(2a)</w:t>
      </w:r>
    </w:p>
    <w:p w:rsidR="005253F2" w:rsidRPr="008C0664" w:rsidRDefault="005253F2" w:rsidP="005253F2">
      <w:pPr>
        <w:pStyle w:val="Equation"/>
        <w:tabs>
          <w:tab w:val="clear" w:pos="4849"/>
          <w:tab w:val="left" w:pos="5075"/>
          <w:tab w:val="center" w:pos="5103"/>
        </w:tabs>
        <w:rPr>
          <w:lang w:val="es-ES_tradnl"/>
        </w:rPr>
      </w:pPr>
      <w:r w:rsidRPr="008C0664">
        <w:rPr>
          <w:i/>
          <w:lang w:val="es-ES_tradnl"/>
        </w:rPr>
        <w:tab/>
        <w:t>G</w:t>
      </w:r>
      <w:r w:rsidRPr="008C0664">
        <w:rPr>
          <w:lang w:val="es-ES_tradnl"/>
        </w:rPr>
        <w:t>(</w:t>
      </w:r>
      <w:r>
        <w:rPr>
          <w:lang w:val="fr-FR"/>
        </w:rPr>
        <w:sym w:font="Symbol" w:char="F079"/>
      </w:r>
      <w:r w:rsidRPr="008C0664">
        <w:rPr>
          <w:lang w:val="es-ES_tradnl"/>
        </w:rPr>
        <w:t xml:space="preserve">) </w:t>
      </w:r>
      <w:r>
        <w:rPr>
          <w:lang w:val="fr-FR"/>
        </w:rPr>
        <w:sym w:font="Symbol" w:char="F03D"/>
      </w:r>
      <w:r w:rsidRPr="008C0664">
        <w:rPr>
          <w:lang w:val="es-ES_tradnl"/>
        </w:rPr>
        <w:t xml:space="preserve"> </w:t>
      </w:r>
      <w:r w:rsidRPr="008C0664">
        <w:rPr>
          <w:i/>
          <w:lang w:val="es-ES_tradnl"/>
        </w:rPr>
        <w:t>G</w:t>
      </w:r>
      <w:r w:rsidRPr="008C0664">
        <w:rPr>
          <w:i/>
          <w:position w:val="-4"/>
          <w:sz w:val="18"/>
          <w:lang w:val="es-ES_tradnl"/>
        </w:rPr>
        <w:t>m</w:t>
      </w:r>
      <w:r w:rsidRPr="008C0664">
        <w:rPr>
          <w:lang w:val="es-ES_tradnl"/>
        </w:rPr>
        <w:t xml:space="preserve"> </w:t>
      </w:r>
      <w:r>
        <w:rPr>
          <w:lang w:val="fr-FR"/>
        </w:rPr>
        <w:sym w:font="Symbol" w:char="F02B"/>
      </w:r>
      <w:r w:rsidRPr="008C0664">
        <w:rPr>
          <w:lang w:val="es-ES_tradnl"/>
        </w:rPr>
        <w:t xml:space="preserve"> </w:t>
      </w:r>
      <w:r w:rsidRPr="008C0664">
        <w:rPr>
          <w:i/>
          <w:lang w:val="es-ES_tradnl"/>
        </w:rPr>
        <w:t>L</w:t>
      </w:r>
      <w:r w:rsidRPr="008C0664">
        <w:rPr>
          <w:i/>
          <w:position w:val="-4"/>
          <w:sz w:val="18"/>
          <w:lang w:val="es-ES_tradnl"/>
        </w:rPr>
        <w:t>N</w:t>
      </w:r>
      <w:r w:rsidRPr="008C0664">
        <w:rPr>
          <w:rFonts w:hint="eastAsia"/>
          <w:lang w:val="es-ES_tradnl"/>
        </w:rPr>
        <w:t>               </w:t>
      </w:r>
      <w:r w:rsidRPr="008C0664">
        <w:rPr>
          <w:lang w:val="es-ES_tradnl"/>
        </w:rPr>
        <w:t>dBi</w:t>
      </w:r>
      <w:r w:rsidRPr="008C0664">
        <w:rPr>
          <w:lang w:val="es-ES_tradnl"/>
        </w:rPr>
        <w:tab/>
        <w:t>para  0,5</w:t>
      </w:r>
      <w:r w:rsidRPr="008C0664">
        <w:rPr>
          <w:i/>
          <w:lang w:val="es-ES_tradnl"/>
        </w:rPr>
        <w:t>b</w:t>
      </w:r>
      <w:r w:rsidRPr="008C0664">
        <w:rPr>
          <w:lang w:val="es-ES_tradnl"/>
        </w:rPr>
        <w:t xml:space="preserve"> </w:t>
      </w:r>
      <w:r>
        <w:rPr>
          <w:lang w:val="fr-FR"/>
        </w:rPr>
        <w:sym w:font="Symbol" w:char="F079"/>
      </w:r>
      <w:r w:rsidRPr="008C0664">
        <w:rPr>
          <w:i/>
          <w:position w:val="-4"/>
          <w:sz w:val="18"/>
          <w:lang w:val="es-ES_tradnl"/>
        </w:rPr>
        <w:t>b</w:t>
      </w:r>
      <w:r w:rsidRPr="008C0664">
        <w:rPr>
          <w:lang w:val="es-ES_tradnl"/>
        </w:rPr>
        <w:t xml:space="preserve"> </w:t>
      </w:r>
      <w:r>
        <w:rPr>
          <w:lang w:val="fr-FR"/>
        </w:rPr>
        <w:sym w:font="Symbol" w:char="F03C"/>
      </w:r>
      <w:r w:rsidRPr="008C0664">
        <w:rPr>
          <w:lang w:val="es-ES_tradnl"/>
        </w:rPr>
        <w:t xml:space="preserve"> </w:t>
      </w:r>
      <w:r>
        <w:rPr>
          <w:lang w:val="fr-FR"/>
        </w:rPr>
        <w:sym w:font="Symbol" w:char="F079"/>
      </w:r>
      <w:r w:rsidRPr="008C0664">
        <w:rPr>
          <w:lang w:val="es-ES_tradnl"/>
        </w:rPr>
        <w:t xml:space="preserve"> </w:t>
      </w:r>
      <w:r w:rsidRPr="005253F2">
        <w:sym w:font="Symbol" w:char="F0A3"/>
      </w:r>
      <w:r w:rsidRPr="008C0664">
        <w:rPr>
          <w:lang w:val="es-ES_tradnl"/>
        </w:rPr>
        <w:t xml:space="preserve"> </w:t>
      </w:r>
      <w:r w:rsidRPr="008C0664">
        <w:rPr>
          <w:i/>
          <w:lang w:val="es-ES_tradnl"/>
        </w:rPr>
        <w:t>b</w:t>
      </w:r>
      <w:r w:rsidRPr="008C0664">
        <w:rPr>
          <w:lang w:val="es-ES_tradnl"/>
        </w:rPr>
        <w:t xml:space="preserve"> </w:t>
      </w:r>
      <w:r>
        <w:rPr>
          <w:lang w:val="fr-FR"/>
        </w:rPr>
        <w:sym w:font="Symbol" w:char="F079"/>
      </w:r>
      <w:r w:rsidRPr="008C0664">
        <w:rPr>
          <w:i/>
          <w:position w:val="-4"/>
          <w:sz w:val="18"/>
          <w:lang w:val="es-ES_tradnl"/>
        </w:rPr>
        <w:t>b</w:t>
      </w:r>
      <w:r w:rsidRPr="008C0664">
        <w:rPr>
          <w:i/>
          <w:position w:val="-4"/>
          <w:sz w:val="18"/>
          <w:lang w:val="es-ES_tradnl"/>
        </w:rPr>
        <w:tab/>
      </w:r>
      <w:r w:rsidRPr="008C0664">
        <w:rPr>
          <w:lang w:val="es-ES_tradnl"/>
        </w:rPr>
        <w:t>(2b)</w:t>
      </w:r>
    </w:p>
    <w:p w:rsidR="005253F2" w:rsidRPr="008C0664" w:rsidRDefault="005253F2" w:rsidP="002F26D4">
      <w:pPr>
        <w:pStyle w:val="Equation"/>
        <w:tabs>
          <w:tab w:val="clear" w:pos="4849"/>
          <w:tab w:val="left" w:pos="5075"/>
          <w:tab w:val="center" w:pos="5103"/>
        </w:tabs>
        <w:rPr>
          <w:lang w:val="es-ES_tradnl"/>
        </w:rPr>
      </w:pPr>
      <w:r w:rsidRPr="008C0664">
        <w:rPr>
          <w:i/>
          <w:lang w:val="es-ES_tradnl"/>
        </w:rPr>
        <w:tab/>
        <w:t>G</w:t>
      </w:r>
      <w:r w:rsidRPr="008C0664">
        <w:rPr>
          <w:lang w:val="es-ES_tradnl"/>
        </w:rPr>
        <w:t>(</w:t>
      </w:r>
      <w:r>
        <w:rPr>
          <w:lang w:val="fr-FR"/>
        </w:rPr>
        <w:sym w:font="Symbol" w:char="F079"/>
      </w:r>
      <w:r w:rsidRPr="008C0664">
        <w:rPr>
          <w:lang w:val="es-ES_tradnl"/>
        </w:rPr>
        <w:t xml:space="preserve">) </w:t>
      </w:r>
      <w:r>
        <w:rPr>
          <w:lang w:val="fr-FR"/>
        </w:rPr>
        <w:sym w:font="Symbol" w:char="F03D"/>
      </w:r>
      <w:r w:rsidRPr="008C0664">
        <w:rPr>
          <w:lang w:val="es-ES_tradnl"/>
        </w:rPr>
        <w:t xml:space="preserve"> </w:t>
      </w:r>
      <w:r w:rsidRPr="008C0664">
        <w:rPr>
          <w:i/>
          <w:lang w:val="es-ES_tradnl"/>
        </w:rPr>
        <w:t>X</w:t>
      </w:r>
      <w:r w:rsidRPr="008C0664">
        <w:rPr>
          <w:lang w:val="es-ES_tradnl"/>
        </w:rPr>
        <w:t xml:space="preserve"> – 25 log (</w:t>
      </w:r>
      <w:r>
        <w:rPr>
          <w:lang w:val="fr-FR"/>
        </w:rPr>
        <w:sym w:font="Symbol" w:char="F079"/>
      </w:r>
      <w:r w:rsidR="002F26D4" w:rsidRPr="008C0664">
        <w:rPr>
          <w:lang w:val="es-ES_tradnl"/>
        </w:rPr>
        <w:t>)</w:t>
      </w:r>
      <w:r w:rsidRPr="008C0664">
        <w:rPr>
          <w:rFonts w:hint="eastAsia"/>
          <w:lang w:val="es-ES_tradnl"/>
        </w:rPr>
        <w:t>               </w:t>
      </w:r>
      <w:r w:rsidRPr="008C0664">
        <w:rPr>
          <w:lang w:val="es-ES_tradnl"/>
        </w:rPr>
        <w:t>dBi</w:t>
      </w:r>
      <w:r w:rsidRPr="008C0664">
        <w:rPr>
          <w:lang w:val="es-ES_tradnl"/>
        </w:rPr>
        <w:tab/>
        <w:t>para  </w:t>
      </w:r>
      <w:r w:rsidRPr="008C0664">
        <w:rPr>
          <w:i/>
          <w:lang w:val="es-ES_tradnl"/>
        </w:rPr>
        <w:t>b</w:t>
      </w:r>
      <w:r w:rsidRPr="008C0664">
        <w:rPr>
          <w:lang w:val="es-ES_tradnl"/>
        </w:rPr>
        <w:t xml:space="preserve"> </w:t>
      </w:r>
      <w:r>
        <w:rPr>
          <w:lang w:val="fr-FR"/>
        </w:rPr>
        <w:sym w:font="Symbol" w:char="F079"/>
      </w:r>
      <w:r w:rsidRPr="008C0664">
        <w:rPr>
          <w:i/>
          <w:position w:val="-4"/>
          <w:sz w:val="18"/>
          <w:lang w:val="es-ES_tradnl"/>
        </w:rPr>
        <w:t xml:space="preserve">b </w:t>
      </w:r>
      <w:r>
        <w:rPr>
          <w:lang w:val="fr-FR"/>
        </w:rPr>
        <w:sym w:font="Symbol" w:char="F03C"/>
      </w:r>
      <w:r w:rsidRPr="008C0664">
        <w:rPr>
          <w:i/>
          <w:lang w:val="es-ES_tradnl"/>
        </w:rPr>
        <w:t xml:space="preserve"> </w:t>
      </w:r>
      <w:r>
        <w:rPr>
          <w:lang w:val="fr-FR"/>
        </w:rPr>
        <w:sym w:font="Symbol" w:char="F079"/>
      </w:r>
      <w:r w:rsidRPr="008C0664">
        <w:rPr>
          <w:lang w:val="es-ES_tradnl"/>
        </w:rPr>
        <w:t xml:space="preserve"> </w:t>
      </w:r>
      <w:r w:rsidRPr="005253F2">
        <w:sym w:font="Symbol" w:char="F0A3"/>
      </w:r>
      <w:r w:rsidRPr="008C0664">
        <w:rPr>
          <w:lang w:val="es-ES_tradnl"/>
        </w:rPr>
        <w:t xml:space="preserve"> </w:t>
      </w:r>
      <w:r w:rsidRPr="008C0664">
        <w:rPr>
          <w:i/>
          <w:lang w:val="es-ES_tradnl"/>
        </w:rPr>
        <w:t>Y</w:t>
      </w:r>
      <w:r w:rsidRPr="008C0664">
        <w:rPr>
          <w:i/>
          <w:lang w:val="es-ES_tradnl"/>
        </w:rPr>
        <w:tab/>
      </w:r>
      <w:bookmarkStart w:id="2" w:name="F001"/>
      <w:r w:rsidRPr="008C0664">
        <w:rPr>
          <w:lang w:val="es-ES_tradnl"/>
        </w:rPr>
        <w:t>(3)</w:t>
      </w:r>
    </w:p>
    <w:p w:rsidR="005253F2" w:rsidRPr="008C0664" w:rsidRDefault="005253F2" w:rsidP="005253F2">
      <w:pPr>
        <w:pStyle w:val="Equation"/>
        <w:tabs>
          <w:tab w:val="clear" w:pos="4849"/>
          <w:tab w:val="left" w:pos="5075"/>
          <w:tab w:val="center" w:pos="5103"/>
        </w:tabs>
        <w:rPr>
          <w:lang w:val="es-ES_tradnl"/>
        </w:rPr>
      </w:pPr>
      <w:r w:rsidRPr="008C0664">
        <w:rPr>
          <w:i/>
          <w:lang w:val="es-ES_tradnl"/>
        </w:rPr>
        <w:tab/>
        <w:t>G</w:t>
      </w:r>
      <w:r w:rsidRPr="008C0664">
        <w:rPr>
          <w:lang w:val="es-ES_tradnl"/>
        </w:rPr>
        <w:t>(</w:t>
      </w:r>
      <w:r>
        <w:rPr>
          <w:lang w:val="fr-FR"/>
        </w:rPr>
        <w:sym w:font="Symbol" w:char="F079"/>
      </w:r>
      <w:r w:rsidRPr="008C0664">
        <w:rPr>
          <w:lang w:val="es-ES_tradnl"/>
        </w:rPr>
        <w:t xml:space="preserve">) </w:t>
      </w:r>
      <w:r>
        <w:rPr>
          <w:lang w:val="fr-FR"/>
        </w:rPr>
        <w:sym w:font="Symbol" w:char="F03D"/>
      </w:r>
      <w:r w:rsidRPr="008C0664">
        <w:rPr>
          <w:lang w:val="es-ES_tradnl"/>
        </w:rPr>
        <w:t xml:space="preserve"> </w:t>
      </w:r>
      <w:r w:rsidRPr="008C0664">
        <w:rPr>
          <w:i/>
          <w:lang w:val="es-ES_tradnl"/>
        </w:rPr>
        <w:t>L</w:t>
      </w:r>
      <w:r w:rsidRPr="008C0664">
        <w:rPr>
          <w:i/>
          <w:position w:val="-4"/>
          <w:sz w:val="18"/>
          <w:lang w:val="es-ES_tradnl"/>
        </w:rPr>
        <w:t>F</w:t>
      </w:r>
      <w:r w:rsidRPr="008C0664">
        <w:rPr>
          <w:rFonts w:hint="eastAsia"/>
          <w:lang w:val="es-ES_tradnl"/>
        </w:rPr>
        <w:t>               </w:t>
      </w:r>
      <w:r w:rsidRPr="008C0664">
        <w:rPr>
          <w:lang w:val="es-ES_tradnl"/>
        </w:rPr>
        <w:t>dBi</w:t>
      </w:r>
      <w:r w:rsidRPr="008C0664">
        <w:rPr>
          <w:lang w:val="es-ES_tradnl"/>
        </w:rPr>
        <w:tab/>
        <w:t>para  </w:t>
      </w:r>
      <w:r w:rsidRPr="008C0664">
        <w:rPr>
          <w:i/>
          <w:lang w:val="es-ES_tradnl"/>
        </w:rPr>
        <w:t xml:space="preserve">Y </w:t>
      </w:r>
      <w:r>
        <w:rPr>
          <w:lang w:val="fr-FR"/>
        </w:rPr>
        <w:sym w:font="Symbol" w:char="F03C"/>
      </w:r>
      <w:r w:rsidRPr="008C0664">
        <w:rPr>
          <w:lang w:val="es-ES_tradnl"/>
        </w:rPr>
        <w:t xml:space="preserve"> </w:t>
      </w:r>
      <w:r>
        <w:rPr>
          <w:lang w:val="fr-FR"/>
        </w:rPr>
        <w:sym w:font="Symbol" w:char="F079"/>
      </w:r>
      <w:r w:rsidRPr="008C0664">
        <w:rPr>
          <w:lang w:val="es-ES_tradnl"/>
        </w:rPr>
        <w:t xml:space="preserve"> </w:t>
      </w:r>
      <w:r w:rsidRPr="005253F2">
        <w:sym w:font="Symbol" w:char="F0A3"/>
      </w:r>
      <w:r w:rsidRPr="008C0664">
        <w:rPr>
          <w:lang w:val="es-ES_tradnl"/>
        </w:rPr>
        <w:t xml:space="preserve"> </w:t>
      </w:r>
      <w:r w:rsidRPr="008C0664">
        <w:rPr>
          <w:rFonts w:ascii="Tms Rmn" w:hAnsi="Tms Rmn"/>
          <w:sz w:val="12"/>
          <w:lang w:val="es-ES_tradnl"/>
        </w:rPr>
        <w:t> </w:t>
      </w:r>
      <w:r w:rsidRPr="008C0664">
        <w:rPr>
          <w:lang w:val="es-ES_tradnl"/>
        </w:rPr>
        <w:t>90°</w:t>
      </w:r>
      <w:r w:rsidRPr="008C0664">
        <w:rPr>
          <w:lang w:val="es-ES_tradnl"/>
        </w:rPr>
        <w:tab/>
        <w:t>(4a)</w:t>
      </w:r>
    </w:p>
    <w:p w:rsidR="005253F2" w:rsidRPr="008C0664" w:rsidRDefault="005253F2" w:rsidP="002F26D4">
      <w:pPr>
        <w:pStyle w:val="Equation"/>
        <w:tabs>
          <w:tab w:val="clear" w:pos="4849"/>
          <w:tab w:val="left" w:pos="5075"/>
          <w:tab w:val="center" w:pos="5103"/>
        </w:tabs>
        <w:rPr>
          <w:lang w:val="es-ES_tradnl"/>
        </w:rPr>
      </w:pPr>
      <w:r w:rsidRPr="008C0664">
        <w:rPr>
          <w:i/>
          <w:lang w:val="es-ES_tradnl"/>
        </w:rPr>
        <w:tab/>
        <w:t>G</w:t>
      </w:r>
      <w:r w:rsidRPr="008C0664">
        <w:rPr>
          <w:lang w:val="es-ES_tradnl"/>
        </w:rPr>
        <w:t>(</w:t>
      </w:r>
      <w:r>
        <w:rPr>
          <w:lang w:val="fr-FR"/>
        </w:rPr>
        <w:sym w:font="Symbol" w:char="F079"/>
      </w:r>
      <w:r w:rsidRPr="008C0664">
        <w:rPr>
          <w:lang w:val="es-ES_tradnl"/>
        </w:rPr>
        <w:t xml:space="preserve">) </w:t>
      </w:r>
      <w:r>
        <w:rPr>
          <w:lang w:val="fr-FR"/>
        </w:rPr>
        <w:sym w:font="Symbol" w:char="F03D"/>
      </w:r>
      <w:r w:rsidRPr="008C0664">
        <w:rPr>
          <w:lang w:val="es-ES_tradnl"/>
        </w:rPr>
        <w:t xml:space="preserve"> </w:t>
      </w:r>
      <w:r w:rsidRPr="008C0664">
        <w:rPr>
          <w:i/>
          <w:lang w:val="es-ES_tradnl"/>
        </w:rPr>
        <w:t>L</w:t>
      </w:r>
      <w:r w:rsidRPr="008C0664">
        <w:rPr>
          <w:i/>
          <w:position w:val="-4"/>
          <w:sz w:val="18"/>
          <w:lang w:val="es-ES_tradnl"/>
        </w:rPr>
        <w:t>B</w:t>
      </w:r>
      <w:r w:rsidRPr="008C0664">
        <w:rPr>
          <w:rFonts w:hint="eastAsia"/>
          <w:lang w:val="es-ES_tradnl"/>
        </w:rPr>
        <w:t>               </w:t>
      </w:r>
      <w:r w:rsidRPr="008C0664">
        <w:rPr>
          <w:lang w:val="es-ES_tradnl"/>
        </w:rPr>
        <w:t>dBi</w:t>
      </w:r>
      <w:r w:rsidRPr="008C0664">
        <w:rPr>
          <w:lang w:val="es-ES_tradnl"/>
        </w:rPr>
        <w:tab/>
        <w:t xml:space="preserve">para  90° </w:t>
      </w:r>
      <w:r>
        <w:rPr>
          <w:lang w:val="fr-FR"/>
        </w:rPr>
        <w:sym w:font="Symbol" w:char="F03C"/>
      </w:r>
      <w:r w:rsidRPr="008C0664">
        <w:rPr>
          <w:lang w:val="es-ES_tradnl"/>
        </w:rPr>
        <w:t xml:space="preserve"> </w:t>
      </w:r>
      <w:r>
        <w:rPr>
          <w:lang w:val="fr-FR"/>
        </w:rPr>
        <w:sym w:font="Symbol" w:char="F079"/>
      </w:r>
      <w:r w:rsidRPr="008C0664">
        <w:rPr>
          <w:lang w:val="es-ES_tradnl"/>
        </w:rPr>
        <w:t xml:space="preserve"> </w:t>
      </w:r>
      <w:r w:rsidRPr="005253F2">
        <w:sym w:font="Symbol" w:char="F0A3"/>
      </w:r>
      <w:r w:rsidRPr="008C0664">
        <w:rPr>
          <w:lang w:val="es-ES_tradnl"/>
        </w:rPr>
        <w:t xml:space="preserve"> 180°</w:t>
      </w:r>
      <w:r w:rsidRPr="008C0664">
        <w:rPr>
          <w:lang w:val="es-ES_tradnl"/>
        </w:rPr>
        <w:tab/>
        <w:t>(4b</w:t>
      </w:r>
      <w:r w:rsidR="002F26D4" w:rsidRPr="008C0664">
        <w:rPr>
          <w:lang w:val="es-ES_tradnl"/>
        </w:rPr>
        <w:t>)</w:t>
      </w:r>
    </w:p>
    <w:bookmarkEnd w:id="2"/>
    <w:p w:rsidR="005253F2" w:rsidRPr="008C0664" w:rsidRDefault="005253F2">
      <w:pPr>
        <w:rPr>
          <w:lang w:val="es-ES_tradnl"/>
        </w:rPr>
      </w:pPr>
      <w:r w:rsidRPr="008C0664">
        <w:rPr>
          <w:lang w:val="es-ES_tradnl"/>
        </w:rPr>
        <w:t>siendo:</w:t>
      </w:r>
    </w:p>
    <w:p w:rsidR="005253F2" w:rsidRPr="008C0664" w:rsidRDefault="005253F2" w:rsidP="002F26D4">
      <w:pPr>
        <w:pStyle w:val="enumlev1"/>
        <w:tabs>
          <w:tab w:val="clear" w:pos="397"/>
          <w:tab w:val="left" w:pos="426"/>
          <w:tab w:val="left" w:pos="1134"/>
        </w:tabs>
        <w:rPr>
          <w:lang w:val="es-ES_tradnl"/>
        </w:rPr>
      </w:pPr>
      <w:r w:rsidRPr="008C0664">
        <w:rPr>
          <w:iCs/>
          <w:lang w:val="es-ES_tradnl"/>
        </w:rPr>
        <w:tab/>
      </w:r>
      <w:r w:rsidRPr="008C0664">
        <w:rPr>
          <w:i/>
          <w:lang w:val="es-ES_tradnl"/>
        </w:rPr>
        <w:t>X = G</w:t>
      </w:r>
      <w:r w:rsidRPr="008C0664">
        <w:rPr>
          <w:i/>
          <w:iCs/>
          <w:position w:val="-4"/>
          <w:sz w:val="16"/>
          <w:lang w:val="es-ES_tradnl"/>
        </w:rPr>
        <w:t>m</w:t>
      </w:r>
      <w:r w:rsidRPr="008C0664">
        <w:rPr>
          <w:lang w:val="es-ES_tradnl"/>
        </w:rPr>
        <w:t xml:space="preserve"> + </w:t>
      </w:r>
      <w:r w:rsidRPr="008C0664">
        <w:rPr>
          <w:i/>
          <w:lang w:val="es-ES_tradnl"/>
        </w:rPr>
        <w:t>L</w:t>
      </w:r>
      <w:r w:rsidRPr="008C0664">
        <w:rPr>
          <w:i/>
          <w:iCs/>
          <w:position w:val="-4"/>
          <w:sz w:val="16"/>
          <w:lang w:val="es-ES_tradnl"/>
        </w:rPr>
        <w:t>N</w:t>
      </w:r>
      <w:r w:rsidRPr="008C0664">
        <w:rPr>
          <w:lang w:val="es-ES_tradnl"/>
        </w:rPr>
        <w:t xml:space="preserve"> + 25 log (</w:t>
      </w:r>
      <w:r w:rsidRPr="008C0664">
        <w:rPr>
          <w:i/>
          <w:lang w:val="es-ES_tradnl"/>
        </w:rPr>
        <w:t>b</w:t>
      </w:r>
      <w:r w:rsidRPr="008C0664">
        <w:rPr>
          <w:lang w:val="es-ES_tradnl"/>
        </w:rPr>
        <w:t xml:space="preserve"> </w:t>
      </w:r>
      <w:r w:rsidR="002F26D4">
        <w:rPr>
          <w:lang w:val="fr-FR"/>
        </w:rPr>
        <w:sym w:font="Symbol" w:char="F079"/>
      </w:r>
      <w:r w:rsidRPr="008C0664">
        <w:rPr>
          <w:i/>
          <w:iCs/>
          <w:position w:val="-4"/>
          <w:sz w:val="16"/>
          <w:lang w:val="es-ES_tradnl"/>
        </w:rPr>
        <w:t>b</w:t>
      </w:r>
      <w:r w:rsidRPr="008C0664">
        <w:rPr>
          <w:lang w:val="es-ES_tradnl"/>
        </w:rPr>
        <w:t>)         e         </w:t>
      </w:r>
      <w:r w:rsidRPr="008C0664">
        <w:rPr>
          <w:i/>
          <w:iCs/>
          <w:lang w:val="es-ES_tradnl"/>
        </w:rPr>
        <w:t>Y</w:t>
      </w:r>
      <w:r w:rsidRPr="008C0664">
        <w:rPr>
          <w:lang w:val="es-ES_tradnl"/>
        </w:rPr>
        <w:t xml:space="preserve"> </w:t>
      </w:r>
      <w:r w:rsidR="002F26D4">
        <w:rPr>
          <w:lang w:val="fr-FR"/>
        </w:rPr>
        <w:sym w:font="Symbol" w:char="F03D"/>
      </w:r>
      <w:r w:rsidRPr="008C0664">
        <w:rPr>
          <w:lang w:val="es-ES_tradnl"/>
        </w:rPr>
        <w:t xml:space="preserve"> </w:t>
      </w:r>
      <w:r w:rsidRPr="008C0664">
        <w:rPr>
          <w:i/>
          <w:iCs/>
          <w:lang w:val="es-ES_tradnl"/>
        </w:rPr>
        <w:t>b</w:t>
      </w:r>
      <w:r w:rsidRPr="008C0664">
        <w:rPr>
          <w:lang w:val="es-ES_tradnl"/>
        </w:rPr>
        <w:t xml:space="preserve"> </w:t>
      </w:r>
      <w:r w:rsidR="002F26D4">
        <w:rPr>
          <w:lang w:val="fr-FR"/>
        </w:rPr>
        <w:sym w:font="Symbol" w:char="F079"/>
      </w:r>
      <w:r w:rsidRPr="008C0664">
        <w:rPr>
          <w:i/>
          <w:iCs/>
          <w:position w:val="-4"/>
          <w:sz w:val="16"/>
          <w:lang w:val="es-ES_tradnl"/>
        </w:rPr>
        <w:t>b</w:t>
      </w:r>
      <w:r w:rsidRPr="008C0664">
        <w:rPr>
          <w:lang w:val="es-ES_tradnl"/>
        </w:rPr>
        <w:t xml:space="preserve"> </w:t>
      </w:r>
      <w:r>
        <w:rPr>
          <w:lang w:val="fr-FR"/>
        </w:rPr>
        <w:sym w:font="Symbol" w:char="F0B4"/>
      </w:r>
      <w:r w:rsidRPr="008C0664">
        <w:rPr>
          <w:lang w:val="es-ES_tradnl"/>
        </w:rPr>
        <w:t xml:space="preserve"> 10</w:t>
      </w:r>
      <w:r w:rsidRPr="008C0664">
        <w:rPr>
          <w:position w:val="6"/>
          <w:sz w:val="16"/>
          <w:lang w:val="es-ES_tradnl"/>
        </w:rPr>
        <w:t>0,04(</w:t>
      </w:r>
      <w:r w:rsidRPr="008C0664">
        <w:rPr>
          <w:i/>
          <w:iCs/>
          <w:position w:val="6"/>
          <w:sz w:val="16"/>
          <w:lang w:val="es-ES_tradnl"/>
        </w:rPr>
        <w:t>G</w:t>
      </w:r>
      <w:r w:rsidRPr="008C0664">
        <w:rPr>
          <w:i/>
          <w:iCs/>
          <w:position w:val="2"/>
          <w:sz w:val="12"/>
          <w:lang w:val="es-ES_tradnl"/>
        </w:rPr>
        <w:t>m</w:t>
      </w:r>
      <w:r w:rsidRPr="008C0664">
        <w:rPr>
          <w:position w:val="6"/>
          <w:sz w:val="16"/>
          <w:lang w:val="es-ES_tradnl"/>
        </w:rPr>
        <w:t xml:space="preserve"> + </w:t>
      </w:r>
      <w:r w:rsidRPr="008C0664">
        <w:rPr>
          <w:i/>
          <w:iCs/>
          <w:position w:val="6"/>
          <w:sz w:val="16"/>
          <w:lang w:val="es-ES_tradnl"/>
        </w:rPr>
        <w:t>L</w:t>
      </w:r>
      <w:r w:rsidRPr="008C0664">
        <w:rPr>
          <w:i/>
          <w:iCs/>
          <w:position w:val="2"/>
          <w:sz w:val="12"/>
          <w:lang w:val="es-ES_tradnl"/>
        </w:rPr>
        <w:t>N</w:t>
      </w:r>
      <w:r w:rsidRPr="008C0664">
        <w:rPr>
          <w:position w:val="6"/>
          <w:sz w:val="16"/>
          <w:lang w:val="es-ES_tradnl"/>
        </w:rPr>
        <w:t xml:space="preserve">  – </w:t>
      </w:r>
      <w:r w:rsidRPr="008C0664">
        <w:rPr>
          <w:i/>
          <w:iCs/>
          <w:position w:val="6"/>
          <w:sz w:val="16"/>
          <w:lang w:val="es-ES_tradnl"/>
        </w:rPr>
        <w:t>L</w:t>
      </w:r>
      <w:r w:rsidRPr="008C0664">
        <w:rPr>
          <w:i/>
          <w:iCs/>
          <w:position w:val="2"/>
          <w:sz w:val="12"/>
          <w:lang w:val="es-ES_tradnl"/>
        </w:rPr>
        <w:t>F</w:t>
      </w:r>
      <w:r w:rsidRPr="008C0664">
        <w:rPr>
          <w:position w:val="6"/>
          <w:sz w:val="16"/>
          <w:lang w:val="es-ES_tradnl"/>
        </w:rPr>
        <w:t>)</w:t>
      </w:r>
    </w:p>
    <w:p w:rsidR="005253F2" w:rsidRPr="008C0664" w:rsidRDefault="005253F2" w:rsidP="002F26D4">
      <w:pPr>
        <w:pStyle w:val="enumlev1"/>
        <w:tabs>
          <w:tab w:val="left" w:pos="1134"/>
        </w:tabs>
        <w:rPr>
          <w:lang w:val="es-ES_tradnl"/>
        </w:rPr>
      </w:pPr>
      <w:r w:rsidRPr="008C0664">
        <w:rPr>
          <w:i/>
          <w:lang w:val="es-ES_tradnl"/>
        </w:rPr>
        <w:tab/>
        <w:t>G</w:t>
      </w:r>
      <w:r w:rsidRPr="008C0664">
        <w:rPr>
          <w:rFonts w:ascii="Tms Rmn" w:hAnsi="Tms Rmn"/>
          <w:i/>
          <w:sz w:val="12"/>
          <w:lang w:val="es-ES_tradnl"/>
        </w:rPr>
        <w:t> </w:t>
      </w:r>
      <w:r w:rsidRPr="008C0664">
        <w:rPr>
          <w:lang w:val="es-ES_tradnl"/>
        </w:rPr>
        <w:t>(</w:t>
      </w:r>
      <w:r w:rsidR="002F26D4">
        <w:rPr>
          <w:lang w:val="fr-FR"/>
        </w:rPr>
        <w:sym w:font="Symbol" w:char="F079"/>
      </w:r>
      <w:r w:rsidRPr="008C0664">
        <w:rPr>
          <w:lang w:val="es-ES_tradnl"/>
        </w:rPr>
        <w:t>)</w:t>
      </w:r>
      <w:r w:rsidRPr="008C0664">
        <w:rPr>
          <w:rFonts w:ascii="Tms Rmn" w:hAnsi="Tms Rmn"/>
          <w:sz w:val="12"/>
          <w:lang w:val="es-ES_tradnl"/>
        </w:rPr>
        <w:t> </w:t>
      </w:r>
      <w:r w:rsidRPr="008C0664">
        <w:rPr>
          <w:lang w:val="es-ES_tradnl"/>
        </w:rPr>
        <w:t>:</w:t>
      </w:r>
      <w:r w:rsidRPr="008C0664">
        <w:rPr>
          <w:lang w:val="es-ES_tradnl"/>
        </w:rPr>
        <w:tab/>
        <w:t>ganancia para un ángulo </w:t>
      </w:r>
      <w:r w:rsidR="002F26D4">
        <w:rPr>
          <w:lang w:val="fr-FR"/>
        </w:rPr>
        <w:sym w:font="Symbol" w:char="F079"/>
      </w:r>
      <w:r w:rsidRPr="008C0664">
        <w:rPr>
          <w:lang w:val="es-ES_tradnl"/>
        </w:rPr>
        <w:t xml:space="preserve"> a partir de la dirección del haz principal (dBi)</w:t>
      </w:r>
    </w:p>
    <w:p w:rsidR="005253F2" w:rsidRPr="008C0664" w:rsidRDefault="005253F2">
      <w:pPr>
        <w:pStyle w:val="enumlev1"/>
        <w:tabs>
          <w:tab w:val="left" w:pos="1134"/>
        </w:tabs>
        <w:rPr>
          <w:lang w:val="es-ES_tradnl"/>
        </w:rPr>
      </w:pPr>
      <w:r w:rsidRPr="008C0664">
        <w:rPr>
          <w:i/>
          <w:lang w:val="es-ES_tradnl"/>
        </w:rPr>
        <w:tab/>
        <w:t>G</w:t>
      </w:r>
      <w:r w:rsidRPr="008C0664">
        <w:rPr>
          <w:i/>
          <w:position w:val="-4"/>
          <w:sz w:val="16"/>
          <w:lang w:val="es-ES_tradnl"/>
        </w:rPr>
        <w:t>m</w:t>
      </w:r>
      <w:r w:rsidRPr="008C0664">
        <w:rPr>
          <w:rFonts w:ascii="Tms Rmn" w:hAnsi="Tms Rmn"/>
          <w:sz w:val="12"/>
          <w:lang w:val="es-ES_tradnl"/>
        </w:rPr>
        <w:t> </w:t>
      </w:r>
      <w:r w:rsidRPr="008C0664">
        <w:rPr>
          <w:lang w:val="es-ES_tradnl"/>
        </w:rPr>
        <w:t>:</w:t>
      </w:r>
      <w:r w:rsidRPr="008C0664">
        <w:rPr>
          <w:lang w:val="es-ES_tradnl"/>
        </w:rPr>
        <w:tab/>
        <w:t>ganancia máxima en el lóbulo principal (dBi)</w:t>
      </w:r>
    </w:p>
    <w:p w:rsidR="005253F2" w:rsidRPr="008C0664" w:rsidRDefault="005253F2" w:rsidP="002F26D4">
      <w:pPr>
        <w:pStyle w:val="enumlev1"/>
        <w:tabs>
          <w:tab w:val="left" w:pos="1134"/>
        </w:tabs>
        <w:rPr>
          <w:lang w:val="es-ES_tradnl"/>
        </w:rPr>
      </w:pPr>
      <w:r w:rsidRPr="008C0664">
        <w:rPr>
          <w:lang w:val="es-ES_tradnl"/>
        </w:rPr>
        <w:tab/>
      </w:r>
      <w:r w:rsidR="002F26D4">
        <w:rPr>
          <w:lang w:val="fr-FR"/>
        </w:rPr>
        <w:sym w:font="Symbol" w:char="F079"/>
      </w:r>
      <w:r w:rsidRPr="008C0664">
        <w:rPr>
          <w:i/>
          <w:position w:val="-4"/>
          <w:sz w:val="16"/>
          <w:lang w:val="es-ES_tradnl"/>
        </w:rPr>
        <w:t>b</w:t>
      </w:r>
      <w:r w:rsidRPr="008C0664">
        <w:rPr>
          <w:rFonts w:ascii="Tms Rmn" w:hAnsi="Tms Rmn"/>
          <w:sz w:val="12"/>
          <w:lang w:val="es-ES_tradnl"/>
        </w:rPr>
        <w:t> </w:t>
      </w:r>
      <w:r w:rsidRPr="008C0664">
        <w:rPr>
          <w:lang w:val="es-ES_tradnl"/>
        </w:rPr>
        <w:t>:</w:t>
      </w:r>
      <w:r w:rsidRPr="008C0664">
        <w:rPr>
          <w:lang w:val="es-ES_tradnl"/>
        </w:rPr>
        <w:tab/>
        <w:t>la mitad de la apertura del haz de 3 dB en el plano de interés (3 dB por debajo de </w:t>
      </w:r>
      <w:r w:rsidRPr="008C0664">
        <w:rPr>
          <w:i/>
          <w:lang w:val="es-ES_tradnl"/>
        </w:rPr>
        <w:t>G</w:t>
      </w:r>
      <w:r w:rsidRPr="008C0664">
        <w:rPr>
          <w:i/>
          <w:position w:val="-4"/>
          <w:sz w:val="16"/>
          <w:lang w:val="es-ES_tradnl"/>
        </w:rPr>
        <w:t>m</w:t>
      </w:r>
      <w:r w:rsidRPr="008C0664">
        <w:rPr>
          <w:lang w:val="es-ES_tradnl"/>
        </w:rPr>
        <w:t>) (grados)</w:t>
      </w:r>
    </w:p>
    <w:p w:rsidR="005253F2" w:rsidRPr="008C0664" w:rsidRDefault="005253F2">
      <w:pPr>
        <w:pStyle w:val="enumlev1"/>
        <w:tabs>
          <w:tab w:val="left" w:pos="1134"/>
        </w:tabs>
        <w:rPr>
          <w:lang w:val="es-ES_tradnl"/>
        </w:rPr>
      </w:pPr>
      <w:r w:rsidRPr="008C0664">
        <w:rPr>
          <w:i/>
          <w:lang w:val="es-ES_tradnl"/>
        </w:rPr>
        <w:tab/>
        <w:t>L</w:t>
      </w:r>
      <w:r w:rsidRPr="008C0664">
        <w:rPr>
          <w:i/>
          <w:position w:val="-4"/>
          <w:sz w:val="16"/>
          <w:lang w:val="es-ES_tradnl"/>
        </w:rPr>
        <w:t>N</w:t>
      </w:r>
      <w:r w:rsidRPr="008C0664">
        <w:rPr>
          <w:rFonts w:ascii="Tms Rmn" w:hAnsi="Tms Rmn"/>
          <w:sz w:val="12"/>
          <w:lang w:val="es-ES_tradnl"/>
        </w:rPr>
        <w:t> </w:t>
      </w:r>
      <w:r w:rsidRPr="008C0664">
        <w:rPr>
          <w:lang w:val="es-ES_tradnl"/>
        </w:rPr>
        <w:t>:</w:t>
      </w:r>
      <w:r w:rsidRPr="008C0664">
        <w:rPr>
          <w:lang w:val="es-ES_tradnl"/>
        </w:rPr>
        <w:tab/>
        <w:t>nivel del lóbulo dirigido al oído, (dB) con relación a la ganancia de cresta que exige el diseño del sistema</w:t>
      </w:r>
    </w:p>
    <w:p w:rsidR="005253F2" w:rsidRPr="008C0664" w:rsidRDefault="005253F2">
      <w:pPr>
        <w:pStyle w:val="enumlev1"/>
        <w:tabs>
          <w:tab w:val="left" w:pos="1134"/>
        </w:tabs>
        <w:rPr>
          <w:rFonts w:ascii="Tms Rmn" w:hAnsi="Tms Rmn"/>
          <w:lang w:val="es-ES_tradnl"/>
        </w:rPr>
      </w:pPr>
      <w:r w:rsidRPr="008C0664">
        <w:rPr>
          <w:i/>
          <w:lang w:val="es-ES_tradnl"/>
        </w:rPr>
        <w:tab/>
        <w:t>L</w:t>
      </w:r>
      <w:r w:rsidRPr="008C0664">
        <w:rPr>
          <w:i/>
          <w:position w:val="-4"/>
          <w:sz w:val="16"/>
          <w:lang w:val="es-ES_tradnl"/>
        </w:rPr>
        <w:t>F</w:t>
      </w:r>
      <w:r w:rsidRPr="008C0664">
        <w:rPr>
          <w:rFonts w:ascii="Tms Rmn" w:hAnsi="Tms Rmn"/>
          <w:sz w:val="12"/>
          <w:lang w:val="es-ES_tradnl"/>
        </w:rPr>
        <w:t> </w:t>
      </w:r>
      <w:r w:rsidRPr="008C0664">
        <w:rPr>
          <w:lang w:val="es-ES_tradnl"/>
        </w:rPr>
        <w:t xml:space="preserve">: </w:t>
      </w:r>
      <w:r w:rsidRPr="008C0664">
        <w:rPr>
          <w:lang w:val="es-ES_tradnl"/>
        </w:rPr>
        <w:tab/>
        <w:t>nivel de 0 dBi del lóbulo exterior (dBi) (véase la Nota 2)</w:t>
      </w:r>
    </w:p>
    <w:p w:rsidR="005253F2" w:rsidRPr="008C0664" w:rsidRDefault="005253F2">
      <w:pPr>
        <w:pStyle w:val="enumlev1"/>
        <w:tabs>
          <w:tab w:val="left" w:pos="1134"/>
        </w:tabs>
        <w:rPr>
          <w:lang w:val="es-ES_tradnl"/>
        </w:rPr>
      </w:pPr>
      <w:r w:rsidRPr="008C0664">
        <w:rPr>
          <w:i/>
          <w:lang w:val="es-ES_tradnl"/>
        </w:rPr>
        <w:tab/>
        <w:t>z</w:t>
      </w:r>
      <w:r w:rsidRPr="008C0664">
        <w:rPr>
          <w:rFonts w:ascii="Tms Rmn" w:hAnsi="Tms Rmn"/>
          <w:sz w:val="12"/>
          <w:lang w:val="es-ES_tradnl"/>
        </w:rPr>
        <w:t> </w:t>
      </w:r>
      <w:r w:rsidRPr="008C0664">
        <w:rPr>
          <w:lang w:val="es-ES_tradnl"/>
        </w:rPr>
        <w:t>:</w:t>
      </w:r>
      <w:r w:rsidRPr="008C0664">
        <w:rPr>
          <w:rFonts w:ascii="Tms Rmn" w:hAnsi="Tms Rmn"/>
          <w:sz w:val="12"/>
          <w:lang w:val="es-ES_tradnl"/>
        </w:rPr>
        <w:t xml:space="preserve"> </w:t>
      </w:r>
      <w:r w:rsidRPr="008C0664">
        <w:rPr>
          <w:lang w:val="es-ES_tradnl"/>
        </w:rPr>
        <w:tab/>
        <w:t>(eje mayor/eje menor) para el haz radiado</w:t>
      </w:r>
    </w:p>
    <w:p w:rsidR="005253F2" w:rsidRPr="008C0664" w:rsidRDefault="005253F2" w:rsidP="005253F2">
      <w:pPr>
        <w:pStyle w:val="enumlev1"/>
        <w:tabs>
          <w:tab w:val="left" w:pos="1134"/>
        </w:tabs>
        <w:rPr>
          <w:lang w:val="es-ES_tradnl"/>
        </w:rPr>
      </w:pPr>
      <w:r w:rsidRPr="008C0664">
        <w:rPr>
          <w:i/>
          <w:lang w:val="es-ES_tradnl"/>
        </w:rPr>
        <w:tab/>
        <w:t>L</w:t>
      </w:r>
      <w:r w:rsidRPr="008C0664">
        <w:rPr>
          <w:i/>
          <w:position w:val="-4"/>
          <w:sz w:val="16"/>
          <w:lang w:val="es-ES_tradnl"/>
        </w:rPr>
        <w:t>B</w:t>
      </w:r>
      <w:r w:rsidRPr="008C0664">
        <w:rPr>
          <w:rFonts w:ascii="Tms Rmn" w:hAnsi="Tms Rmn"/>
          <w:sz w:val="12"/>
          <w:lang w:val="es-ES_tradnl"/>
        </w:rPr>
        <w:t> </w:t>
      </w:r>
      <w:r w:rsidRPr="008C0664">
        <w:rPr>
          <w:lang w:val="es-ES_tradnl"/>
        </w:rPr>
        <w:t>:</w:t>
      </w:r>
      <w:r w:rsidRPr="008C0664">
        <w:rPr>
          <w:lang w:val="es-ES_tradnl"/>
        </w:rPr>
        <w:tab/>
        <w:t xml:space="preserve">el valor mayor de 15 + </w:t>
      </w:r>
      <w:r w:rsidRPr="008C0664">
        <w:rPr>
          <w:i/>
          <w:lang w:val="es-ES_tradnl"/>
        </w:rPr>
        <w:t>L</w:t>
      </w:r>
      <w:r w:rsidRPr="008C0664">
        <w:rPr>
          <w:i/>
          <w:position w:val="-4"/>
          <w:sz w:val="16"/>
          <w:lang w:val="es-ES_tradnl"/>
        </w:rPr>
        <w:t>N</w:t>
      </w:r>
      <w:r w:rsidRPr="008C0664">
        <w:rPr>
          <w:lang w:val="es-ES_tradnl"/>
        </w:rPr>
        <w:t xml:space="preserve"> + 0,25 </w:t>
      </w:r>
      <w:r w:rsidRPr="008C0664">
        <w:rPr>
          <w:i/>
          <w:lang w:val="es-ES_tradnl"/>
        </w:rPr>
        <w:t>G</w:t>
      </w:r>
      <w:r w:rsidRPr="008C0664">
        <w:rPr>
          <w:i/>
          <w:position w:val="-4"/>
          <w:sz w:val="16"/>
          <w:lang w:val="es-ES_tradnl"/>
        </w:rPr>
        <w:t>m</w:t>
      </w:r>
      <w:r w:rsidRPr="008C0664">
        <w:rPr>
          <w:lang w:val="es-ES_tradnl"/>
        </w:rPr>
        <w:t xml:space="preserve"> + 5 log </w:t>
      </w:r>
      <w:r w:rsidRPr="008C0664">
        <w:rPr>
          <w:i/>
          <w:lang w:val="es-ES_tradnl"/>
        </w:rPr>
        <w:t>z</w:t>
      </w:r>
      <w:r w:rsidRPr="008C0664">
        <w:rPr>
          <w:lang w:val="es-ES_tradnl"/>
        </w:rPr>
        <w:t> dBi o 0 dBi.</w:t>
      </w:r>
    </w:p>
    <w:p w:rsidR="005253F2" w:rsidRPr="008C0664" w:rsidRDefault="005253F2">
      <w:pPr>
        <w:pStyle w:val="Note"/>
        <w:rPr>
          <w:lang w:val="es-ES_tradnl"/>
        </w:rPr>
      </w:pPr>
      <w:r w:rsidRPr="008C0664">
        <w:rPr>
          <w:lang w:val="es-ES_tradnl"/>
        </w:rPr>
        <w:t>NOTA 1 – Los diagramas aplicables a haces elípticos requieren verificación experimental. Los valores de </w:t>
      </w:r>
      <w:r w:rsidRPr="008C0664">
        <w:rPr>
          <w:i/>
          <w:iCs/>
          <w:lang w:val="es-ES_tradnl"/>
        </w:rPr>
        <w:t>a</w:t>
      </w:r>
      <w:r w:rsidRPr="008C0664">
        <w:rPr>
          <w:lang w:val="es-ES_tradnl"/>
        </w:rPr>
        <w:t xml:space="preserve"> del Cuadro 4 son provisionales.</w:t>
      </w:r>
    </w:p>
    <w:p w:rsidR="005253F2" w:rsidRPr="008C0664" w:rsidRDefault="005253F2">
      <w:pPr>
        <w:pStyle w:val="Note"/>
        <w:rPr>
          <w:lang w:val="es-ES_tradnl"/>
        </w:rPr>
      </w:pPr>
      <w:r w:rsidRPr="008C0664">
        <w:rPr>
          <w:lang w:val="es-ES_tradnl"/>
        </w:rPr>
        <w:t>NOTA 2 – Se ha supuesto un nivel del lóbulo exterior de –10 dBi para las antenas de transmisión y de recepción de la HAPS de gran calidad.</w:t>
      </w:r>
    </w:p>
    <w:p w:rsidR="005253F2" w:rsidRDefault="005253F2">
      <w:pPr>
        <w:pStyle w:val="Table"/>
        <w:rPr>
          <w:lang w:val="fr-FR"/>
        </w:rPr>
      </w:pPr>
      <w:r>
        <w:rPr>
          <w:lang w:val="fr-FR"/>
        </w:rPr>
        <w:t>CUADRO  4</w:t>
      </w:r>
    </w:p>
    <w:p w:rsidR="005253F2" w:rsidRDefault="005253F2">
      <w:pPr>
        <w:pStyle w:val="Blanc"/>
        <w:rPr>
          <w:lang w:val="fr-FR"/>
        </w:rPr>
      </w:pPr>
    </w:p>
    <w:tbl>
      <w:tblPr>
        <w:tblW w:w="0" w:type="auto"/>
        <w:jc w:val="center"/>
        <w:tblLayout w:type="fixed"/>
        <w:tblCellMar>
          <w:left w:w="107" w:type="dxa"/>
          <w:right w:w="107" w:type="dxa"/>
        </w:tblCellMar>
        <w:tblLook w:val="0000"/>
      </w:tblPr>
      <w:tblGrid>
        <w:gridCol w:w="964"/>
        <w:gridCol w:w="2381"/>
        <w:gridCol w:w="907"/>
        <w:gridCol w:w="737"/>
      </w:tblGrid>
      <w:tr w:rsidR="005253F2" w:rsidTr="00001134">
        <w:trPr>
          <w:cantSplit/>
          <w:jc w:val="center"/>
        </w:trPr>
        <w:tc>
          <w:tcPr>
            <w:tcW w:w="964"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i/>
                <w:lang w:val="fr-FR"/>
              </w:rPr>
              <w:t>L</w:t>
            </w:r>
            <w:r>
              <w:rPr>
                <w:i/>
                <w:position w:val="-4"/>
                <w:sz w:val="14"/>
                <w:lang w:val="fr-FR"/>
              </w:rPr>
              <w:t>N</w:t>
            </w:r>
            <w:r>
              <w:rPr>
                <w:lang w:val="fr-FR"/>
              </w:rPr>
              <w:br/>
              <w:t>(dB)</w:t>
            </w:r>
          </w:p>
        </w:tc>
        <w:tc>
          <w:tcPr>
            <w:tcW w:w="2381" w:type="dxa"/>
            <w:tcBorders>
              <w:top w:val="single" w:sz="6" w:space="0" w:color="auto"/>
              <w:bottom w:val="single" w:sz="6" w:space="0" w:color="auto"/>
              <w:right w:val="single" w:sz="6" w:space="0" w:color="auto"/>
            </w:tcBorders>
          </w:tcPr>
          <w:p w:rsidR="005253F2" w:rsidRDefault="005253F2" w:rsidP="00001134">
            <w:pPr>
              <w:pStyle w:val="TableText"/>
              <w:spacing w:before="180"/>
              <w:jc w:val="center"/>
              <w:rPr>
                <w:lang w:val="fr-FR"/>
              </w:rPr>
            </w:pPr>
            <w:r>
              <w:rPr>
                <w:i/>
                <w:lang w:val="fr-FR"/>
              </w:rPr>
              <w:t>a</w:t>
            </w:r>
          </w:p>
        </w:tc>
        <w:tc>
          <w:tcPr>
            <w:tcW w:w="907" w:type="dxa"/>
            <w:tcBorders>
              <w:top w:val="single" w:sz="6" w:space="0" w:color="auto"/>
              <w:bottom w:val="single" w:sz="6" w:space="0" w:color="auto"/>
              <w:right w:val="single" w:sz="6" w:space="0" w:color="auto"/>
            </w:tcBorders>
          </w:tcPr>
          <w:p w:rsidR="005253F2" w:rsidRDefault="005253F2" w:rsidP="00001134">
            <w:pPr>
              <w:pStyle w:val="TableText"/>
              <w:spacing w:before="180"/>
              <w:jc w:val="center"/>
              <w:rPr>
                <w:lang w:val="fr-FR"/>
              </w:rPr>
            </w:pPr>
            <w:r>
              <w:rPr>
                <w:i/>
                <w:lang w:val="fr-FR"/>
              </w:rPr>
              <w:t>b</w:t>
            </w:r>
          </w:p>
        </w:tc>
        <w:tc>
          <w:tcPr>
            <w:tcW w:w="737" w:type="dxa"/>
            <w:tcBorders>
              <w:top w:val="single" w:sz="6" w:space="0" w:color="auto"/>
              <w:bottom w:val="single" w:sz="6" w:space="0" w:color="auto"/>
              <w:right w:val="single" w:sz="6" w:space="0" w:color="auto"/>
            </w:tcBorders>
          </w:tcPr>
          <w:p w:rsidR="005253F2" w:rsidRPr="002F26D4" w:rsidRDefault="002F26D4" w:rsidP="00001134">
            <w:pPr>
              <w:pStyle w:val="TableText"/>
              <w:spacing w:before="180"/>
              <w:jc w:val="center"/>
              <w:rPr>
                <w:lang w:val="fr-FR"/>
              </w:rPr>
            </w:pPr>
            <w:r w:rsidRPr="002F26D4">
              <w:sym w:font="Symbol" w:char="F061"/>
            </w:r>
          </w:p>
        </w:tc>
      </w:tr>
      <w:tr w:rsidR="005253F2" w:rsidTr="00001134">
        <w:trPr>
          <w:cantSplit/>
          <w:trHeight w:val="270"/>
          <w:jc w:val="center"/>
        </w:trPr>
        <w:tc>
          <w:tcPr>
            <w:tcW w:w="964"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spacing w:before="120" w:after="80"/>
              <w:jc w:val="center"/>
              <w:rPr>
                <w:lang w:val="fr-FR"/>
              </w:rPr>
            </w:pPr>
            <w:r>
              <w:rPr>
                <w:lang w:val="fr-FR"/>
              </w:rPr>
              <w:t>–20</w:t>
            </w:r>
          </w:p>
        </w:tc>
        <w:tc>
          <w:tcPr>
            <w:tcW w:w="2381" w:type="dxa"/>
            <w:tcBorders>
              <w:top w:val="single" w:sz="6" w:space="0" w:color="auto"/>
              <w:bottom w:val="single" w:sz="6" w:space="0" w:color="auto"/>
              <w:right w:val="single" w:sz="6" w:space="0" w:color="auto"/>
            </w:tcBorders>
          </w:tcPr>
          <w:p w:rsidR="005253F2" w:rsidRDefault="005253F2" w:rsidP="00001134">
            <w:pPr>
              <w:pStyle w:val="TableText"/>
              <w:tabs>
                <w:tab w:val="left" w:pos="528"/>
              </w:tabs>
              <w:spacing w:before="120" w:after="80"/>
              <w:jc w:val="center"/>
              <w:rPr>
                <w:lang w:val="fr-FR"/>
              </w:rPr>
            </w:pPr>
            <w:r>
              <w:rPr>
                <w:lang w:val="fr-FR"/>
              </w:rPr>
              <w:t xml:space="preserve">2,58 </w:t>
            </w:r>
            <w:r w:rsidRPr="00822A39">
              <w:rPr>
                <w:position w:val="-12"/>
              </w:rPr>
              <w:object w:dxaOrig="9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pt;height:18pt" o:ole="">
                  <v:imagedata r:id="rId15" o:title=""/>
                </v:shape>
                <o:OLEObject Type="Embed" ProgID="Equation.3" ShapeID="_x0000_i1025" DrawAspect="Content" ObjectID="_1352895991" r:id="rId16"/>
              </w:object>
            </w:r>
          </w:p>
        </w:tc>
        <w:tc>
          <w:tcPr>
            <w:tcW w:w="907" w:type="dxa"/>
            <w:tcBorders>
              <w:top w:val="single" w:sz="6" w:space="0" w:color="auto"/>
              <w:bottom w:val="single" w:sz="6" w:space="0" w:color="auto"/>
              <w:right w:val="single" w:sz="6" w:space="0" w:color="auto"/>
            </w:tcBorders>
          </w:tcPr>
          <w:p w:rsidR="005253F2" w:rsidRDefault="005253F2" w:rsidP="00001134">
            <w:pPr>
              <w:pStyle w:val="TableText"/>
              <w:spacing w:before="120" w:after="80"/>
              <w:jc w:val="center"/>
              <w:rPr>
                <w:lang w:val="fr-FR"/>
              </w:rPr>
            </w:pPr>
            <w:r>
              <w:rPr>
                <w:lang w:val="fr-FR"/>
              </w:rPr>
              <w:t>6,32</w:t>
            </w:r>
          </w:p>
        </w:tc>
        <w:tc>
          <w:tcPr>
            <w:tcW w:w="737" w:type="dxa"/>
            <w:tcBorders>
              <w:top w:val="single" w:sz="6" w:space="0" w:color="auto"/>
              <w:bottom w:val="single" w:sz="6" w:space="0" w:color="auto"/>
              <w:right w:val="single" w:sz="6" w:space="0" w:color="auto"/>
            </w:tcBorders>
          </w:tcPr>
          <w:p w:rsidR="005253F2" w:rsidRDefault="005253F2" w:rsidP="00001134">
            <w:pPr>
              <w:pStyle w:val="TableText"/>
              <w:spacing w:before="120" w:after="80"/>
              <w:jc w:val="center"/>
              <w:rPr>
                <w:lang w:val="fr-FR"/>
              </w:rPr>
            </w:pPr>
            <w:r>
              <w:rPr>
                <w:lang w:val="fr-FR"/>
              </w:rPr>
              <w:t>2</w:t>
            </w:r>
          </w:p>
        </w:tc>
      </w:tr>
      <w:tr w:rsidR="005253F2" w:rsidTr="00001134">
        <w:trPr>
          <w:cantSplit/>
          <w:trHeight w:val="270"/>
          <w:jc w:val="center"/>
        </w:trPr>
        <w:tc>
          <w:tcPr>
            <w:tcW w:w="964"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spacing w:before="120" w:after="80"/>
              <w:jc w:val="center"/>
              <w:rPr>
                <w:lang w:val="fr-FR"/>
              </w:rPr>
            </w:pPr>
            <w:r>
              <w:rPr>
                <w:lang w:val="fr-FR"/>
              </w:rPr>
              <w:t>–25</w:t>
            </w:r>
          </w:p>
        </w:tc>
        <w:tc>
          <w:tcPr>
            <w:tcW w:w="2381" w:type="dxa"/>
            <w:tcBorders>
              <w:top w:val="single" w:sz="6" w:space="0" w:color="auto"/>
              <w:bottom w:val="single" w:sz="6" w:space="0" w:color="auto"/>
              <w:right w:val="single" w:sz="6" w:space="0" w:color="auto"/>
            </w:tcBorders>
          </w:tcPr>
          <w:p w:rsidR="005253F2" w:rsidRDefault="005253F2" w:rsidP="00001134">
            <w:pPr>
              <w:pStyle w:val="TableText"/>
              <w:spacing w:before="120" w:after="80"/>
              <w:jc w:val="center"/>
              <w:rPr>
                <w:lang w:val="fr-FR"/>
              </w:rPr>
            </w:pPr>
            <w:r>
              <w:rPr>
                <w:lang w:val="fr-FR"/>
              </w:rPr>
              <w:t xml:space="preserve">2,58 </w:t>
            </w:r>
            <w:r w:rsidRPr="00822A39">
              <w:rPr>
                <w:position w:val="-12"/>
              </w:rPr>
              <w:object w:dxaOrig="1219" w:dyaOrig="360">
                <v:shape id="_x0000_i1026" type="#_x0000_t75" style="width:60.75pt;height:18pt" o:ole="">
                  <v:imagedata r:id="rId17" o:title=""/>
                </v:shape>
                <o:OLEObject Type="Embed" ProgID="Equation.3" ShapeID="_x0000_i1026" DrawAspect="Content" ObjectID="_1352895992" r:id="rId18"/>
              </w:object>
            </w:r>
          </w:p>
        </w:tc>
        <w:tc>
          <w:tcPr>
            <w:tcW w:w="907" w:type="dxa"/>
            <w:tcBorders>
              <w:top w:val="single" w:sz="6" w:space="0" w:color="auto"/>
              <w:bottom w:val="single" w:sz="6" w:space="0" w:color="auto"/>
              <w:right w:val="single" w:sz="6" w:space="0" w:color="auto"/>
            </w:tcBorders>
          </w:tcPr>
          <w:p w:rsidR="005253F2" w:rsidRDefault="005253F2" w:rsidP="00001134">
            <w:pPr>
              <w:pStyle w:val="TableText"/>
              <w:spacing w:before="120" w:after="80"/>
              <w:jc w:val="center"/>
              <w:rPr>
                <w:lang w:val="fr-FR"/>
              </w:rPr>
            </w:pPr>
            <w:r>
              <w:rPr>
                <w:lang w:val="fr-FR"/>
              </w:rPr>
              <w:t>6,32</w:t>
            </w:r>
          </w:p>
        </w:tc>
        <w:tc>
          <w:tcPr>
            <w:tcW w:w="737" w:type="dxa"/>
            <w:tcBorders>
              <w:top w:val="single" w:sz="6" w:space="0" w:color="auto"/>
              <w:bottom w:val="single" w:sz="6" w:space="0" w:color="auto"/>
              <w:right w:val="single" w:sz="6" w:space="0" w:color="auto"/>
            </w:tcBorders>
          </w:tcPr>
          <w:p w:rsidR="005253F2" w:rsidRDefault="005253F2" w:rsidP="00001134">
            <w:pPr>
              <w:pStyle w:val="TableText"/>
              <w:spacing w:before="120" w:after="80"/>
              <w:jc w:val="center"/>
              <w:rPr>
                <w:lang w:val="fr-FR"/>
              </w:rPr>
            </w:pPr>
            <w:r>
              <w:rPr>
                <w:lang w:val="fr-FR"/>
              </w:rPr>
              <w:t>2</w:t>
            </w:r>
          </w:p>
        </w:tc>
      </w:tr>
      <w:tr w:rsidR="005253F2" w:rsidTr="00001134">
        <w:trPr>
          <w:cantSplit/>
          <w:trHeight w:val="270"/>
          <w:jc w:val="center"/>
        </w:trPr>
        <w:tc>
          <w:tcPr>
            <w:tcW w:w="964"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–30</w:t>
            </w:r>
          </w:p>
        </w:tc>
        <w:tc>
          <w:tcPr>
            <w:tcW w:w="2381" w:type="dxa"/>
            <w:tcBorders>
              <w:top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w:t>
            </w:r>
          </w:p>
        </w:tc>
        <w:tc>
          <w:tcPr>
            <w:tcW w:w="907" w:type="dxa"/>
            <w:tcBorders>
              <w:top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6,32</w:t>
            </w:r>
          </w:p>
        </w:tc>
        <w:tc>
          <w:tcPr>
            <w:tcW w:w="737" w:type="dxa"/>
            <w:tcBorders>
              <w:top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w:t>
            </w:r>
          </w:p>
        </w:tc>
      </w:tr>
    </w:tbl>
    <w:p w:rsidR="005253F2" w:rsidRDefault="005253F2">
      <w:pPr>
        <w:pStyle w:val="Tablefin"/>
        <w:rPr>
          <w:lang w:val="fr-FR"/>
        </w:rPr>
      </w:pPr>
    </w:p>
    <w:p w:rsidR="005253F2" w:rsidRPr="00C71B8B" w:rsidRDefault="005253F2" w:rsidP="005253F2">
      <w:pPr>
        <w:rPr>
          <w:lang w:val="es-ES_tradnl"/>
        </w:rPr>
      </w:pPr>
      <w:r w:rsidRPr="00C71B8B">
        <w:rPr>
          <w:lang w:val="es-ES_tradnl"/>
        </w:rPr>
        <w:t xml:space="preserve">Para una apertura del haz de 3 dB (2 </w:t>
      </w:r>
      <w:r>
        <w:rPr>
          <w:lang w:val="fr-FR"/>
        </w:rPr>
        <w:sym w:font="Symbol" w:char="F059"/>
      </w:r>
      <w:r>
        <w:rPr>
          <w:lang w:val="fr-FR"/>
        </w:rPr>
        <w:sym w:font="Symbol" w:char="F079"/>
      </w:r>
      <w:r w:rsidRPr="00C71B8B">
        <w:rPr>
          <w:i/>
          <w:iCs/>
          <w:position w:val="-4"/>
          <w:sz w:val="16"/>
          <w:lang w:val="es-ES_tradnl"/>
        </w:rPr>
        <w:t>b</w:t>
      </w:r>
      <w:r w:rsidRPr="00C71B8B">
        <w:rPr>
          <w:lang w:val="es-ES_tradnl"/>
        </w:rPr>
        <w:t>) (grados</w:t>
      </w:r>
      <w:r w:rsidRPr="00C71B8B">
        <w:rPr>
          <w:position w:val="6"/>
          <w:sz w:val="16"/>
          <w:lang w:val="es-ES_tradnl"/>
        </w:rPr>
        <w:t>2</w:t>
      </w:r>
      <w:r w:rsidRPr="00C71B8B">
        <w:rPr>
          <w:lang w:val="es-ES_tradnl"/>
        </w:rPr>
        <w:t>):</w:t>
      </w:r>
    </w:p>
    <w:p w:rsidR="005253F2" w:rsidRPr="00C71B8B" w:rsidRDefault="005253F2">
      <w:pPr>
        <w:pStyle w:val="Equation"/>
        <w:jc w:val="center"/>
        <w:rPr>
          <w:lang w:val="es-ES_tradnl"/>
        </w:rPr>
      </w:pPr>
      <w:r w:rsidRPr="00822A39">
        <w:rPr>
          <w:position w:val="-26"/>
        </w:rPr>
        <w:object w:dxaOrig="1680" w:dyaOrig="620">
          <v:shape id="_x0000_i1027" type="#_x0000_t75" style="width:84.4pt;height:31.5pt" o:ole="">
            <v:imagedata r:id="rId19" o:title=""/>
          </v:shape>
          <o:OLEObject Type="Embed" ProgID="Equation.3" ShapeID="_x0000_i1027" DrawAspect="Content" ObjectID="_1352895993" r:id="rId20"/>
        </w:object>
      </w:r>
      <w:r w:rsidRPr="00C71B8B">
        <w:rPr>
          <w:lang w:val="es-ES_tradnl"/>
        </w:rPr>
        <w:t>                        grados</w:t>
      </w:r>
      <w:r w:rsidRPr="00C71B8B">
        <w:rPr>
          <w:position w:val="6"/>
          <w:sz w:val="18"/>
          <w:lang w:val="es-ES_tradnl"/>
        </w:rPr>
        <w:t>2</w:t>
      </w:r>
    </w:p>
    <w:p w:rsidR="005253F2" w:rsidRPr="00C71B8B" w:rsidRDefault="005253F2">
      <w:pPr>
        <w:rPr>
          <w:lang w:val="es-ES_tradnl"/>
        </w:rPr>
      </w:pPr>
      <w:r w:rsidRPr="00C71B8B">
        <w:rPr>
          <w:lang w:val="es-ES_tradnl"/>
        </w:rPr>
        <w:t xml:space="preserve">en donde </w:t>
      </w:r>
      <w:r w:rsidRPr="00C71B8B">
        <w:rPr>
          <w:i/>
          <w:iCs/>
          <w:lang w:val="es-ES_tradnl"/>
        </w:rPr>
        <w:t>G</w:t>
      </w:r>
      <w:r w:rsidRPr="00C71B8B">
        <w:rPr>
          <w:i/>
          <w:iCs/>
          <w:vertAlign w:val="subscript"/>
          <w:lang w:val="es-ES_tradnl"/>
        </w:rPr>
        <w:t>m</w:t>
      </w:r>
      <w:r w:rsidRPr="00C71B8B">
        <w:rPr>
          <w:b/>
          <w:vertAlign w:val="subscript"/>
          <w:lang w:val="es-ES_tradnl"/>
        </w:rPr>
        <w:t xml:space="preserve"> </w:t>
      </w:r>
      <w:r w:rsidRPr="00C71B8B">
        <w:rPr>
          <w:lang w:val="es-ES_tradnl"/>
        </w:rPr>
        <w:t>es</w:t>
      </w:r>
      <w:r w:rsidRPr="00C71B8B">
        <w:rPr>
          <w:b/>
          <w:lang w:val="es-ES_tradnl"/>
        </w:rPr>
        <w:t xml:space="preserve"> </w:t>
      </w:r>
      <w:r w:rsidRPr="00C71B8B">
        <w:rPr>
          <w:lang w:val="es-ES_tradnl"/>
        </w:rPr>
        <w:t>la ganancia de la apertura de cresta (dBi).</w:t>
      </w:r>
    </w:p>
    <w:p w:rsidR="005253F2" w:rsidRDefault="009B4B43">
      <w:pPr>
        <w:pStyle w:val="Fig"/>
      </w:pPr>
      <w:r>
        <w:rPr>
          <w:noProof/>
          <w:lang w:eastAsia="zh-CN"/>
        </w:rPr>
        <w:lastRenderedPageBreak/>
        <w:drawing>
          <wp:inline distT="0" distB="0" distL="0" distR="0">
            <wp:extent cx="4838700" cy="4564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838700" cy="4564380"/>
                    </a:xfrm>
                    <a:prstGeom prst="rect">
                      <a:avLst/>
                    </a:prstGeom>
                    <a:noFill/>
                    <a:ln w="9525">
                      <a:noFill/>
                      <a:miter lim="800000"/>
                      <a:headEnd/>
                      <a:tailEnd/>
                    </a:ln>
                  </pic:spPr>
                </pic:pic>
              </a:graphicData>
            </a:graphic>
          </wp:inline>
        </w:drawing>
      </w:r>
    </w:p>
    <w:p w:rsidR="005253F2" w:rsidRPr="00C71B8B" w:rsidRDefault="005253F2">
      <w:pPr>
        <w:pStyle w:val="Fig0"/>
        <w:rPr>
          <w:lang w:val="es-ES_tradnl"/>
        </w:rPr>
      </w:pPr>
      <w:r w:rsidRPr="00C71B8B">
        <w:rPr>
          <w:lang w:val="es-ES_tradnl"/>
        </w:rPr>
        <w:t xml:space="preserve">FIGURE 3/F.3020...[D01] = 3 CM </w:t>
      </w:r>
    </w:p>
    <w:p w:rsidR="005253F2" w:rsidRPr="00C71B8B" w:rsidRDefault="005253F2">
      <w:pPr>
        <w:rPr>
          <w:lang w:val="es-ES_tradnl"/>
        </w:rPr>
      </w:pPr>
    </w:p>
    <w:p w:rsidR="005253F2" w:rsidRPr="00C71B8B" w:rsidRDefault="005253F2">
      <w:pPr>
        <w:rPr>
          <w:lang w:val="es-ES_tradnl"/>
        </w:rPr>
      </w:pPr>
      <w:r w:rsidRPr="00C71B8B">
        <w:rPr>
          <w:lang w:val="es-ES_tradnl"/>
        </w:rPr>
        <w:t>De la Recomendación UIT-R S.672 se obtiene:</w:t>
      </w:r>
    </w:p>
    <w:p w:rsidR="005253F2" w:rsidRPr="00C71B8B" w:rsidRDefault="005253F2" w:rsidP="002F26D4">
      <w:pPr>
        <w:pStyle w:val="enumlev1"/>
        <w:tabs>
          <w:tab w:val="left" w:pos="1985"/>
        </w:tabs>
        <w:rPr>
          <w:lang w:val="en-US"/>
        </w:rPr>
      </w:pPr>
      <w:r w:rsidRPr="00C71B8B">
        <w:rPr>
          <w:i/>
          <w:iCs/>
          <w:lang w:val="es-ES_tradnl"/>
        </w:rPr>
        <w:tab/>
      </w:r>
      <w:r w:rsidRPr="00C71B8B">
        <w:rPr>
          <w:i/>
          <w:iCs/>
          <w:lang w:val="en-US"/>
        </w:rPr>
        <w:t>G</w:t>
      </w:r>
      <w:r w:rsidRPr="00C71B8B">
        <w:rPr>
          <w:i/>
          <w:iCs/>
          <w:vertAlign w:val="subscript"/>
          <w:lang w:val="en-US"/>
        </w:rPr>
        <w:t>m</w:t>
      </w:r>
      <w:r w:rsidRPr="00C71B8B">
        <w:rPr>
          <w:lang w:val="en-US"/>
        </w:rPr>
        <w:t xml:space="preserve"> </w:t>
      </w:r>
      <w:r w:rsidR="002F26D4">
        <w:rPr>
          <w:lang w:val="fr-FR"/>
        </w:rPr>
        <w:sym w:font="Symbol" w:char="F03D"/>
      </w:r>
      <w:r w:rsidRPr="00C71B8B">
        <w:rPr>
          <w:lang w:val="en-US"/>
        </w:rPr>
        <w:t xml:space="preserve"> 30,62 dB</w:t>
      </w:r>
    </w:p>
    <w:p w:rsidR="005253F2" w:rsidRPr="00C71B8B" w:rsidRDefault="005253F2" w:rsidP="002F26D4">
      <w:pPr>
        <w:pStyle w:val="enumlev1"/>
        <w:tabs>
          <w:tab w:val="left" w:pos="1985"/>
        </w:tabs>
        <w:rPr>
          <w:lang w:val="en-US"/>
        </w:rPr>
      </w:pPr>
      <w:r w:rsidRPr="00C71B8B">
        <w:rPr>
          <w:i/>
          <w:iCs/>
          <w:lang w:val="en-US"/>
        </w:rPr>
        <w:tab/>
        <w:t>D</w:t>
      </w:r>
      <w:r w:rsidRPr="00C71B8B">
        <w:rPr>
          <w:lang w:val="en-US"/>
        </w:rPr>
        <w:t>/</w:t>
      </w:r>
      <w:r w:rsidR="002F26D4">
        <w:rPr>
          <w:lang w:val="fr-FR"/>
        </w:rPr>
        <w:sym w:font="Symbol" w:char="F06C"/>
      </w:r>
      <w:r w:rsidRPr="00C71B8B">
        <w:rPr>
          <w:lang w:val="en-US"/>
        </w:rPr>
        <w:t xml:space="preserve"> </w:t>
      </w:r>
      <w:r w:rsidR="002F26D4">
        <w:rPr>
          <w:lang w:val="fr-FR"/>
        </w:rPr>
        <w:sym w:font="Symbol" w:char="F03D"/>
      </w:r>
      <w:r w:rsidRPr="00C71B8B">
        <w:rPr>
          <w:lang w:val="en-US"/>
        </w:rPr>
        <w:t xml:space="preserve"> 14</w:t>
      </w:r>
    </w:p>
    <w:p w:rsidR="005253F2" w:rsidRPr="00C71B8B" w:rsidRDefault="005253F2" w:rsidP="002F26D4">
      <w:pPr>
        <w:pStyle w:val="enumlev1"/>
        <w:tabs>
          <w:tab w:val="left" w:pos="1985"/>
        </w:tabs>
        <w:rPr>
          <w:lang w:val="en-US"/>
        </w:rPr>
      </w:pPr>
      <w:r w:rsidRPr="00C71B8B">
        <w:rPr>
          <w:lang w:val="en-US"/>
        </w:rPr>
        <w:tab/>
      </w:r>
      <w:r w:rsidR="002F26D4">
        <w:rPr>
          <w:lang w:val="fr-FR"/>
        </w:rPr>
        <w:sym w:font="Symbol" w:char="F079"/>
      </w:r>
      <w:r w:rsidRPr="00C71B8B">
        <w:rPr>
          <w:i/>
          <w:iCs/>
          <w:position w:val="-4"/>
          <w:sz w:val="16"/>
          <w:lang w:val="en-US"/>
        </w:rPr>
        <w:t>b</w:t>
      </w:r>
      <w:r w:rsidRPr="00C71B8B">
        <w:rPr>
          <w:lang w:val="en-US"/>
        </w:rPr>
        <w:t xml:space="preserve"> </w:t>
      </w:r>
      <w:r w:rsidR="002F26D4">
        <w:rPr>
          <w:lang w:val="fr-FR"/>
        </w:rPr>
        <w:sym w:font="Symbol" w:char="F03D"/>
      </w:r>
      <w:r w:rsidRPr="00C71B8B">
        <w:rPr>
          <w:lang w:val="en-US"/>
        </w:rPr>
        <w:t xml:space="preserve"> 2,4</w:t>
      </w:r>
      <w:r w:rsidR="002F26D4" w:rsidRPr="00C71B8B">
        <w:rPr>
          <w:lang w:val="en-US"/>
        </w:rPr>
        <w:t>°</w:t>
      </w:r>
    </w:p>
    <w:p w:rsidR="005253F2" w:rsidRDefault="005253F2" w:rsidP="002F26D4">
      <w:pPr>
        <w:pStyle w:val="enumlev1"/>
        <w:tabs>
          <w:tab w:val="left" w:pos="1985"/>
        </w:tabs>
        <w:rPr>
          <w:lang w:val="en-US"/>
        </w:rPr>
      </w:pPr>
      <w:r w:rsidRPr="00C71B8B">
        <w:rPr>
          <w:i/>
          <w:iCs/>
          <w:lang w:val="en-US"/>
        </w:rPr>
        <w:tab/>
      </w:r>
      <w:r>
        <w:rPr>
          <w:i/>
          <w:iCs/>
          <w:lang w:val="en-US"/>
        </w:rPr>
        <w:t xml:space="preserve">a </w:t>
      </w:r>
      <w:r w:rsidR="002F26D4">
        <w:rPr>
          <w:lang w:val="fr-FR"/>
        </w:rPr>
        <w:sym w:font="Symbol" w:char="F079"/>
      </w:r>
      <w:r>
        <w:rPr>
          <w:i/>
          <w:iCs/>
          <w:position w:val="-4"/>
          <w:sz w:val="16"/>
        </w:rPr>
        <w:t>b</w:t>
      </w:r>
      <w:r>
        <w:rPr>
          <w:lang w:val="en-US"/>
        </w:rPr>
        <w:t xml:space="preserve"> </w:t>
      </w:r>
      <w:r w:rsidR="002F26D4">
        <w:rPr>
          <w:lang w:val="en-US"/>
        </w:rPr>
        <w:sym w:font="Symbol" w:char="F03D"/>
      </w:r>
      <w:r>
        <w:rPr>
          <w:lang w:val="en-US"/>
        </w:rPr>
        <w:t xml:space="preserve"> 6,2</w:t>
      </w:r>
      <w:r w:rsidR="002F26D4">
        <w:rPr>
          <w:lang w:val="en-US"/>
        </w:rPr>
        <w:t>°</w:t>
      </w:r>
    </w:p>
    <w:p w:rsidR="005253F2" w:rsidRDefault="005253F2" w:rsidP="002F26D4">
      <w:pPr>
        <w:pStyle w:val="enumlev1"/>
        <w:tabs>
          <w:tab w:val="left" w:pos="1985"/>
        </w:tabs>
        <w:rPr>
          <w:lang w:val="en-US"/>
        </w:rPr>
      </w:pPr>
      <w:r>
        <w:rPr>
          <w:i/>
          <w:iCs/>
          <w:lang w:val="en-US"/>
        </w:rPr>
        <w:tab/>
        <w:t xml:space="preserve">b </w:t>
      </w:r>
      <w:r w:rsidR="002F26D4">
        <w:rPr>
          <w:lang w:val="fr-FR"/>
        </w:rPr>
        <w:sym w:font="Symbol" w:char="F079"/>
      </w:r>
      <w:r>
        <w:rPr>
          <w:i/>
          <w:iCs/>
          <w:position w:val="-4"/>
          <w:sz w:val="16"/>
        </w:rPr>
        <w:t>b</w:t>
      </w:r>
      <w:r>
        <w:rPr>
          <w:lang w:val="en-US"/>
        </w:rPr>
        <w:t xml:space="preserve"> </w:t>
      </w:r>
      <w:r w:rsidR="002F26D4">
        <w:rPr>
          <w:lang w:val="en-US"/>
        </w:rPr>
        <w:sym w:font="Symbol" w:char="F03D"/>
      </w:r>
      <w:r>
        <w:rPr>
          <w:lang w:val="en-US"/>
        </w:rPr>
        <w:t xml:space="preserve"> 15,3</w:t>
      </w:r>
      <w:r w:rsidR="002F26D4">
        <w:rPr>
          <w:lang w:val="en-US"/>
        </w:rPr>
        <w:t>°</w:t>
      </w:r>
    </w:p>
    <w:p w:rsidR="005253F2" w:rsidRPr="00C71B8B" w:rsidRDefault="005253F2" w:rsidP="002F26D4">
      <w:pPr>
        <w:pStyle w:val="enumlev1"/>
        <w:tabs>
          <w:tab w:val="left" w:pos="1985"/>
        </w:tabs>
        <w:rPr>
          <w:lang w:val="es-ES_tradnl"/>
        </w:rPr>
      </w:pPr>
      <w:r>
        <w:rPr>
          <w:lang w:val="en-US"/>
        </w:rPr>
        <w:tab/>
      </w:r>
      <w:r w:rsidRPr="00C71B8B">
        <w:rPr>
          <w:lang w:val="es-ES_tradnl"/>
        </w:rPr>
        <w:t xml:space="preserve">Lóbulo lateral </w:t>
      </w:r>
      <w:r w:rsidR="002F26D4">
        <w:rPr>
          <w:lang w:val="fr-FR"/>
        </w:rPr>
        <w:sym w:font="Symbol" w:char="F03D"/>
      </w:r>
      <w:r w:rsidRPr="00C71B8B">
        <w:rPr>
          <w:lang w:val="es-ES_tradnl"/>
        </w:rPr>
        <w:t xml:space="preserve"> –27,5 dB</w:t>
      </w:r>
    </w:p>
    <w:p w:rsidR="005253F2" w:rsidRPr="00C71B8B" w:rsidRDefault="005253F2" w:rsidP="002F26D4">
      <w:pPr>
        <w:pStyle w:val="enumlev1"/>
        <w:tabs>
          <w:tab w:val="left" w:pos="1985"/>
        </w:tabs>
        <w:rPr>
          <w:lang w:val="es-ES_tradnl"/>
        </w:rPr>
      </w:pPr>
      <w:r w:rsidRPr="00C71B8B">
        <w:rPr>
          <w:i/>
          <w:iCs/>
          <w:lang w:val="es-ES_tradnl"/>
        </w:rPr>
        <w:tab/>
        <w:t>X</w:t>
      </w:r>
      <w:r w:rsidRPr="00C71B8B">
        <w:rPr>
          <w:lang w:val="es-ES_tradnl"/>
        </w:rPr>
        <w:t xml:space="preserve"> </w:t>
      </w:r>
      <w:r w:rsidR="002F26D4">
        <w:rPr>
          <w:lang w:val="fr-FR"/>
        </w:rPr>
        <w:sym w:font="Symbol" w:char="F03D"/>
      </w:r>
      <w:r w:rsidRPr="00C71B8B">
        <w:rPr>
          <w:lang w:val="es-ES_tradnl"/>
        </w:rPr>
        <w:t xml:space="preserve"> 2,11</w:t>
      </w:r>
    </w:p>
    <w:p w:rsidR="005253F2" w:rsidRPr="00C71B8B" w:rsidRDefault="005253F2" w:rsidP="002F26D4">
      <w:pPr>
        <w:pStyle w:val="enumlev1"/>
        <w:tabs>
          <w:tab w:val="left" w:pos="1985"/>
        </w:tabs>
        <w:rPr>
          <w:lang w:val="es-ES_tradnl"/>
        </w:rPr>
      </w:pPr>
      <w:r w:rsidRPr="00C71B8B">
        <w:rPr>
          <w:i/>
          <w:iCs/>
          <w:lang w:val="es-ES_tradnl"/>
        </w:rPr>
        <w:tab/>
        <w:t>Y</w:t>
      </w:r>
      <w:r w:rsidRPr="00C71B8B">
        <w:rPr>
          <w:lang w:val="es-ES_tradnl"/>
        </w:rPr>
        <w:t xml:space="preserve"> </w:t>
      </w:r>
      <w:r w:rsidR="002F26D4">
        <w:rPr>
          <w:lang w:val="fr-FR"/>
        </w:rPr>
        <w:sym w:font="Symbol" w:char="F03D"/>
      </w:r>
      <w:r w:rsidRPr="00C71B8B">
        <w:rPr>
          <w:lang w:val="es-ES_tradnl"/>
        </w:rPr>
        <w:t xml:space="preserve"> 51,2</w:t>
      </w:r>
      <w:r w:rsidR="002F26D4" w:rsidRPr="00C71B8B">
        <w:rPr>
          <w:lang w:val="es-ES_tradnl"/>
        </w:rPr>
        <w:t>°</w:t>
      </w:r>
    </w:p>
    <w:p w:rsidR="005253F2" w:rsidRPr="00C71B8B" w:rsidRDefault="005253F2" w:rsidP="002F26D4">
      <w:pPr>
        <w:pStyle w:val="enumlev1"/>
        <w:tabs>
          <w:tab w:val="left" w:pos="1985"/>
        </w:tabs>
        <w:rPr>
          <w:lang w:val="es-ES_tradnl"/>
        </w:rPr>
      </w:pPr>
      <w:r w:rsidRPr="00C71B8B">
        <w:rPr>
          <w:i/>
          <w:iCs/>
          <w:lang w:val="es-ES_tradnl"/>
        </w:rPr>
        <w:tab/>
        <w:t>L</w:t>
      </w:r>
      <w:r w:rsidRPr="00C71B8B">
        <w:rPr>
          <w:i/>
          <w:iCs/>
          <w:position w:val="-4"/>
          <w:sz w:val="16"/>
          <w:lang w:val="es-ES_tradnl"/>
        </w:rPr>
        <w:t>F</w:t>
      </w:r>
      <w:r w:rsidRPr="00C71B8B">
        <w:rPr>
          <w:lang w:val="es-ES_tradnl"/>
        </w:rPr>
        <w:t xml:space="preserve"> </w:t>
      </w:r>
      <w:r w:rsidR="002F26D4">
        <w:rPr>
          <w:lang w:val="fr-FR"/>
        </w:rPr>
        <w:sym w:font="Symbol" w:char="F03D"/>
      </w:r>
      <w:r w:rsidRPr="00C71B8B">
        <w:rPr>
          <w:lang w:val="es-ES_tradnl"/>
        </w:rPr>
        <w:t xml:space="preserve"> –10 dB</w:t>
      </w:r>
    </w:p>
    <w:p w:rsidR="005253F2" w:rsidRPr="00C71B8B" w:rsidRDefault="005253F2" w:rsidP="00624662">
      <w:pPr>
        <w:keepNext/>
        <w:keepLines/>
        <w:rPr>
          <w:lang w:val="es-ES_tradnl"/>
        </w:rPr>
      </w:pPr>
      <w:r w:rsidRPr="00C71B8B">
        <w:rPr>
          <w:lang w:val="es-ES_tradnl"/>
        </w:rPr>
        <w:lastRenderedPageBreak/>
        <w:t>Suponiendo una geometría de 700 células y un diagrama de reutilización de frecuencias de 7 células, el cálculo de la relación </w:t>
      </w:r>
      <w:r w:rsidRPr="00C71B8B">
        <w:rPr>
          <w:i/>
          <w:iCs/>
          <w:lang w:val="es-ES_tradnl"/>
        </w:rPr>
        <w:t>C</w:t>
      </w:r>
      <w:r w:rsidRPr="00C71B8B">
        <w:rPr>
          <w:lang w:val="es-ES_tradnl"/>
        </w:rPr>
        <w:t>/</w:t>
      </w:r>
      <w:r w:rsidRPr="00C71B8B">
        <w:rPr>
          <w:i/>
          <w:iCs/>
          <w:lang w:val="es-ES_tradnl"/>
        </w:rPr>
        <w:t>I</w:t>
      </w:r>
      <w:r w:rsidRPr="00C71B8B">
        <w:rPr>
          <w:lang w:val="es-ES_tradnl"/>
        </w:rPr>
        <w:t xml:space="preserve"> de cresta para el diagrama hexagonal iluminado por una antena multihaz da lo siguiente:</w:t>
      </w:r>
    </w:p>
    <w:p w:rsidR="005253F2" w:rsidRDefault="005253F2">
      <w:pPr>
        <w:pStyle w:val="Table"/>
        <w:rPr>
          <w:lang w:val="en-US"/>
        </w:rPr>
      </w:pPr>
      <w:r>
        <w:rPr>
          <w:lang w:val="en-US"/>
        </w:rPr>
        <w:t>CUADRO  5</w:t>
      </w:r>
    </w:p>
    <w:p w:rsidR="005253F2" w:rsidRDefault="005253F2">
      <w:pPr>
        <w:pStyle w:val="Blanc"/>
        <w:rPr>
          <w:lang w:val="en-US"/>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1361"/>
        <w:gridCol w:w="1361"/>
        <w:gridCol w:w="1361"/>
        <w:gridCol w:w="1361"/>
        <w:gridCol w:w="1361"/>
        <w:gridCol w:w="1361"/>
        <w:gridCol w:w="1364"/>
      </w:tblGrid>
      <w:tr w:rsidR="005253F2" w:rsidTr="00001134">
        <w:trPr>
          <w:cantSplit/>
          <w:jc w:val="center"/>
        </w:trPr>
        <w:tc>
          <w:tcPr>
            <w:tcW w:w="9530" w:type="dxa"/>
            <w:gridSpan w:val="7"/>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en-US"/>
              </w:rPr>
            </w:pPr>
            <w:r>
              <w:t>Recomendación</w:t>
            </w:r>
            <w:r>
              <w:rPr>
                <w:lang w:val="en-US"/>
              </w:rPr>
              <w:t xml:space="preserve"> UIT-R S.672</w:t>
            </w:r>
          </w:p>
        </w:tc>
      </w:tr>
      <w:tr w:rsidR="005253F2" w:rsidTr="00001134">
        <w:trPr>
          <w:cantSplit/>
          <w:jc w:val="center"/>
        </w:trPr>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pBdr>
                <w:left w:val="single" w:sz="6" w:space="31" w:color="auto"/>
                <w:right w:val="single" w:sz="6" w:space="31" w:color="auto"/>
              </w:pBdr>
              <w:spacing w:before="200" w:after="0"/>
              <w:jc w:val="center"/>
            </w:pPr>
            <w:r>
              <w:t>Separación respecto al eje</w:t>
            </w:r>
          </w:p>
        </w:tc>
        <w:tc>
          <w:tcPr>
            <w:tcW w:w="1361" w:type="dxa"/>
            <w:tcBorders>
              <w:top w:val="single" w:sz="6" w:space="0" w:color="auto"/>
              <w:left w:val="single" w:sz="6" w:space="0" w:color="auto"/>
              <w:bottom w:val="single" w:sz="6" w:space="0" w:color="auto"/>
              <w:right w:val="single" w:sz="6" w:space="0" w:color="auto"/>
            </w:tcBorders>
            <w:vAlign w:val="center"/>
          </w:tcPr>
          <w:p w:rsidR="005253F2" w:rsidRDefault="005253F2" w:rsidP="00001134">
            <w:pPr>
              <w:pStyle w:val="TableText"/>
              <w:pBdr>
                <w:left w:val="single" w:sz="6" w:space="31" w:color="auto"/>
                <w:right w:val="single" w:sz="6" w:space="31" w:color="auto"/>
              </w:pBdr>
              <w:jc w:val="center"/>
            </w:pPr>
            <w:r>
              <w:t>Ángulo</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pBdr>
                <w:left w:val="single" w:sz="6" w:space="31" w:color="auto"/>
                <w:right w:val="single" w:sz="6" w:space="31" w:color="auto"/>
              </w:pBdr>
              <w:spacing w:before="200" w:after="0"/>
              <w:jc w:val="center"/>
            </w:pPr>
            <w:r>
              <w:t xml:space="preserve">Disco </w:t>
            </w:r>
            <w:r>
              <w:br/>
              <w:t>(dB)</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pBdr>
                <w:left w:val="single" w:sz="6" w:space="31" w:color="auto"/>
                <w:right w:val="single" w:sz="6" w:space="31" w:color="auto"/>
              </w:pBdr>
              <w:spacing w:before="200" w:after="0"/>
              <w:jc w:val="center"/>
              <w:rPr>
                <w:lang w:val="fr-FR"/>
              </w:rPr>
            </w:pPr>
            <w:r>
              <w:rPr>
                <w:lang w:val="fr-FR"/>
              </w:rPr>
              <w:t>Número de haces</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pBdr>
                <w:left w:val="single" w:sz="6" w:space="31" w:color="auto"/>
                <w:right w:val="single" w:sz="6" w:space="31" w:color="auto"/>
              </w:pBdr>
              <w:spacing w:before="200" w:after="0"/>
              <w:jc w:val="center"/>
              <w:rPr>
                <w:lang w:val="en-US"/>
              </w:rPr>
            </w:pPr>
            <w:r>
              <w:rPr>
                <w:lang w:val="en-US"/>
              </w:rPr>
              <w:t>Interferencia (dB)</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pBdr>
                <w:left w:val="single" w:sz="6" w:space="31" w:color="auto"/>
                <w:right w:val="single" w:sz="6" w:space="31" w:color="auto"/>
              </w:pBdr>
              <w:jc w:val="center"/>
              <w:rPr>
                <w:lang w:val="en-US"/>
              </w:rPr>
            </w:pPr>
            <w:r>
              <w:rPr>
                <w:i/>
                <w:iCs/>
                <w:lang w:val="en-US"/>
              </w:rPr>
              <w:t>C</w:t>
            </w:r>
            <w:r>
              <w:rPr>
                <w:lang w:val="en-US"/>
              </w:rPr>
              <w:t>/</w:t>
            </w:r>
            <w:r>
              <w:rPr>
                <w:i/>
                <w:iCs/>
                <w:lang w:val="en-US"/>
              </w:rPr>
              <w:t>I</w:t>
            </w:r>
            <w:r>
              <w:rPr>
                <w:lang w:val="en-US"/>
              </w:rPr>
              <w:t xml:space="preserve"> </w:t>
            </w:r>
            <w:r>
              <w:rPr>
                <w:lang w:val="en-US"/>
              </w:rPr>
              <w:br/>
              <w:t>combinada</w:t>
            </w:r>
            <w:r>
              <w:rPr>
                <w:lang w:val="en-US"/>
              </w:rPr>
              <w:br/>
              <w:t>(dB)</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pBdr>
                <w:left w:val="single" w:sz="6" w:space="31" w:color="auto"/>
                <w:right w:val="single" w:sz="6" w:space="31" w:color="auto"/>
              </w:pBdr>
              <w:jc w:val="center"/>
              <w:rPr>
                <w:lang w:val="en-US"/>
              </w:rPr>
            </w:pPr>
            <w:r>
              <w:rPr>
                <w:i/>
                <w:iCs/>
                <w:lang w:val="en-US"/>
              </w:rPr>
              <w:t>C</w:t>
            </w:r>
            <w:r>
              <w:rPr>
                <w:lang w:val="en-US"/>
              </w:rPr>
              <w:t>/</w:t>
            </w:r>
            <w:r>
              <w:rPr>
                <w:i/>
                <w:iCs/>
                <w:lang w:val="en-US"/>
              </w:rPr>
              <w:t>I</w:t>
            </w:r>
            <w:r>
              <w:rPr>
                <w:lang w:val="en-US"/>
              </w:rPr>
              <w:t xml:space="preserve"> </w:t>
            </w:r>
            <w:r>
              <w:rPr>
                <w:lang w:val="en-US"/>
              </w:rPr>
              <w:br/>
              <w:t>combinada</w:t>
            </w:r>
            <w:r>
              <w:rPr>
                <w:lang w:val="en-US"/>
              </w:rPr>
              <w:br/>
              <w:t>(dB)</w:t>
            </w:r>
          </w:p>
        </w:tc>
      </w:tr>
      <w:tr w:rsidR="005253F2" w:rsidTr="00001134">
        <w:trPr>
          <w:cantSplit/>
          <w:jc w:val="center"/>
        </w:trPr>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1D</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11,12</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–27,50</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6</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–19,72</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–19,72</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19,72</w:t>
            </w:r>
          </w:p>
        </w:tc>
      </w:tr>
      <w:tr w:rsidR="005253F2" w:rsidTr="00001134">
        <w:trPr>
          <w:cantSplit/>
          <w:jc w:val="center"/>
        </w:trPr>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2D</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22,25</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–31,58</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12</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–20,78</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–17,21</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17,21</w:t>
            </w:r>
          </w:p>
        </w:tc>
      </w:tr>
      <w:tr w:rsidR="005253F2" w:rsidTr="00001134">
        <w:trPr>
          <w:cantSplit/>
          <w:jc w:val="center"/>
        </w:trPr>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3D</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33,37</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–35,98</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18</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–23,43</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–16,28</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16,28</w:t>
            </w:r>
          </w:p>
        </w:tc>
      </w:tr>
      <w:tr w:rsidR="005253F2" w:rsidTr="00001134">
        <w:trPr>
          <w:cantSplit/>
          <w:jc w:val="center"/>
        </w:trPr>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4D</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44,50</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–39,10</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24</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–25,30</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–15,77</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15,77</w:t>
            </w:r>
          </w:p>
        </w:tc>
      </w:tr>
      <w:tr w:rsidR="005253F2" w:rsidTr="00001134">
        <w:trPr>
          <w:cantSplit/>
          <w:jc w:val="center"/>
        </w:trPr>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5D</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55,62</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–40,62</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30</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–25,85</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–15,36</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15,36</w:t>
            </w:r>
          </w:p>
        </w:tc>
      </w:tr>
      <w:tr w:rsidR="005253F2" w:rsidTr="00001134">
        <w:trPr>
          <w:cantSplit/>
          <w:jc w:val="center"/>
        </w:trPr>
        <w:tc>
          <w:tcPr>
            <w:tcW w:w="1361" w:type="dxa"/>
            <w:tcBorders>
              <w:top w:val="single" w:sz="6" w:space="0" w:color="auto"/>
              <w:left w:val="single" w:sz="6" w:space="0" w:color="auto"/>
              <w:bottom w:val="single" w:sz="6" w:space="0" w:color="auto"/>
              <w:right w:val="nil"/>
            </w:tcBorders>
          </w:tcPr>
          <w:p w:rsidR="005253F2" w:rsidRDefault="005253F2" w:rsidP="00001134">
            <w:pPr>
              <w:pStyle w:val="TableText"/>
              <w:jc w:val="center"/>
              <w:rPr>
                <w:lang w:val="fr-FR"/>
              </w:rPr>
            </w:pPr>
          </w:p>
        </w:tc>
        <w:tc>
          <w:tcPr>
            <w:tcW w:w="1361" w:type="dxa"/>
            <w:tcBorders>
              <w:top w:val="single" w:sz="6" w:space="0" w:color="auto"/>
              <w:left w:val="nil"/>
              <w:bottom w:val="single" w:sz="6" w:space="0" w:color="auto"/>
              <w:right w:val="nil"/>
            </w:tcBorders>
          </w:tcPr>
          <w:p w:rsidR="005253F2" w:rsidRDefault="005253F2" w:rsidP="00001134">
            <w:pPr>
              <w:pStyle w:val="TableText"/>
              <w:jc w:val="center"/>
              <w:rPr>
                <w:lang w:val="fr-FR"/>
              </w:rPr>
            </w:pPr>
          </w:p>
        </w:tc>
        <w:tc>
          <w:tcPr>
            <w:tcW w:w="1361" w:type="dxa"/>
            <w:tcBorders>
              <w:top w:val="single" w:sz="6" w:space="0" w:color="auto"/>
              <w:left w:val="nil"/>
              <w:bottom w:val="single" w:sz="6" w:space="0" w:color="auto"/>
              <w:right w:val="single" w:sz="6" w:space="0" w:color="auto"/>
            </w:tcBorders>
          </w:tcPr>
          <w:p w:rsidR="005253F2" w:rsidRDefault="005253F2" w:rsidP="00001134">
            <w:pPr>
              <w:pStyle w:val="TableText"/>
              <w:jc w:val="center"/>
              <w:rPr>
                <w:lang w:val="fr-FR"/>
              </w:rPr>
            </w:pPr>
            <w:r>
              <w:rPr>
                <w:lang w:val="fr-FR"/>
              </w:rPr>
              <w:t>Total de haces</w:t>
            </w:r>
          </w:p>
        </w:tc>
        <w:tc>
          <w:tcPr>
            <w:tcW w:w="136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90</w:t>
            </w:r>
          </w:p>
        </w:tc>
        <w:tc>
          <w:tcPr>
            <w:tcW w:w="1361" w:type="dxa"/>
            <w:tcBorders>
              <w:top w:val="single" w:sz="6" w:space="0" w:color="auto"/>
              <w:left w:val="single" w:sz="6" w:space="0" w:color="auto"/>
              <w:bottom w:val="single" w:sz="6" w:space="0" w:color="auto"/>
              <w:right w:val="nil"/>
            </w:tcBorders>
          </w:tcPr>
          <w:p w:rsidR="005253F2" w:rsidRDefault="005253F2" w:rsidP="00001134">
            <w:pPr>
              <w:pStyle w:val="TableText"/>
              <w:jc w:val="center"/>
              <w:rPr>
                <w:lang w:val="fr-FR"/>
              </w:rPr>
            </w:pPr>
          </w:p>
        </w:tc>
        <w:tc>
          <w:tcPr>
            <w:tcW w:w="1361" w:type="dxa"/>
            <w:tcBorders>
              <w:top w:val="single" w:sz="6" w:space="0" w:color="auto"/>
              <w:left w:val="nil"/>
              <w:bottom w:val="single" w:sz="6" w:space="0" w:color="auto"/>
              <w:right w:val="nil"/>
            </w:tcBorders>
          </w:tcPr>
          <w:p w:rsidR="005253F2" w:rsidRDefault="005253F2" w:rsidP="00001134">
            <w:pPr>
              <w:pStyle w:val="TableText"/>
              <w:jc w:val="center"/>
              <w:rPr>
                <w:lang w:val="fr-FR"/>
              </w:rPr>
            </w:pPr>
          </w:p>
        </w:tc>
        <w:tc>
          <w:tcPr>
            <w:tcW w:w="1361" w:type="dxa"/>
            <w:tcBorders>
              <w:top w:val="single" w:sz="6" w:space="0" w:color="auto"/>
              <w:left w:val="nil"/>
              <w:bottom w:val="single" w:sz="6" w:space="0" w:color="auto"/>
              <w:right w:val="single" w:sz="6" w:space="0" w:color="auto"/>
            </w:tcBorders>
          </w:tcPr>
          <w:p w:rsidR="005253F2" w:rsidRDefault="005253F2" w:rsidP="00001134">
            <w:pPr>
              <w:pStyle w:val="TableText"/>
              <w:jc w:val="center"/>
              <w:rPr>
                <w:lang w:val="fr-FR"/>
              </w:rPr>
            </w:pPr>
          </w:p>
        </w:tc>
      </w:tr>
    </w:tbl>
    <w:p w:rsidR="005253F2" w:rsidRDefault="005253F2">
      <w:pPr>
        <w:pStyle w:val="Tablefin"/>
        <w:rPr>
          <w:lang w:val="fr-FR"/>
        </w:rPr>
      </w:pPr>
    </w:p>
    <w:p w:rsidR="005253F2" w:rsidRPr="00C71B8B" w:rsidRDefault="005253F2">
      <w:pPr>
        <w:rPr>
          <w:lang w:val="es-ES_tradnl"/>
        </w:rPr>
      </w:pPr>
      <w:r w:rsidRPr="00C71B8B">
        <w:rPr>
          <w:lang w:val="es-ES_tradnl"/>
        </w:rPr>
        <w:t xml:space="preserve">Puede estimarse un valor más desfavorable de la </w:t>
      </w:r>
      <w:r w:rsidRPr="00C71B8B">
        <w:rPr>
          <w:i/>
          <w:iCs/>
          <w:lang w:val="es-ES_tradnl"/>
        </w:rPr>
        <w:t>C</w:t>
      </w:r>
      <w:r w:rsidRPr="00C71B8B">
        <w:rPr>
          <w:lang w:val="es-ES_tradnl"/>
        </w:rPr>
        <w:t>/</w:t>
      </w:r>
      <w:r w:rsidRPr="00C71B8B">
        <w:rPr>
          <w:i/>
          <w:iCs/>
          <w:lang w:val="es-ES_tradnl"/>
        </w:rPr>
        <w:t>I</w:t>
      </w:r>
      <w:r w:rsidRPr="00C71B8B">
        <w:rPr>
          <w:lang w:val="es-ES_tradnl"/>
        </w:rPr>
        <w:t xml:space="preserve"> de 15,36 dB. Con ello se obtiene un extremo superior de –4,36 dB para la relación </w:t>
      </w:r>
      <w:r w:rsidRPr="00C71B8B">
        <w:rPr>
          <w:i/>
          <w:iCs/>
          <w:lang w:val="es-ES_tradnl"/>
        </w:rPr>
        <w:t>I</w:t>
      </w:r>
      <w:r w:rsidRPr="00C71B8B">
        <w:rPr>
          <w:lang w:val="es-ES_tradnl"/>
        </w:rPr>
        <w:t>/</w:t>
      </w:r>
      <w:r w:rsidRPr="00C71B8B">
        <w:rPr>
          <w:i/>
          <w:iCs/>
          <w:lang w:val="es-ES_tradnl"/>
        </w:rPr>
        <w:t>N</w:t>
      </w:r>
      <w:r w:rsidRPr="00C71B8B">
        <w:rPr>
          <w:lang w:val="es-ES_tradnl"/>
        </w:rPr>
        <w:t xml:space="preserve"> cocanal. Con ello se reducirá el margen del enlace para los enlaces de usuario en 1,36 dB. Ello está en la línea de la reducción de 0,414 dB en el margen del enlace obtenida al aplicar el criterio habitual de que la interferencia debe ser inferior al ruido en al menos 10 dB. Como el diagrama de radiación de referencia del UIT-R es un límite superior, el nivel real de la interferencia cocanal debe ser considerablemente inferior.</w:t>
      </w:r>
    </w:p>
    <w:p w:rsidR="005253F2" w:rsidRPr="00C71B8B" w:rsidRDefault="005253F2">
      <w:pPr>
        <w:pStyle w:val="Heading2"/>
        <w:rPr>
          <w:lang w:val="es-ES_tradnl"/>
        </w:rPr>
      </w:pPr>
      <w:r w:rsidRPr="00C71B8B">
        <w:rPr>
          <w:lang w:val="es-ES_tradnl"/>
        </w:rPr>
        <w:t>2.7</w:t>
      </w:r>
      <w:r w:rsidRPr="00C71B8B">
        <w:rPr>
          <w:lang w:val="es-ES_tradnl"/>
        </w:rPr>
        <w:tab/>
        <w:t>Respuestas del filtro de RF y emisión fuera de banda</w:t>
      </w:r>
    </w:p>
    <w:p w:rsidR="005253F2" w:rsidRPr="00C71B8B" w:rsidRDefault="005253F2">
      <w:pPr>
        <w:rPr>
          <w:lang w:val="es-ES_tradnl"/>
        </w:rPr>
      </w:pPr>
      <w:r w:rsidRPr="00C71B8B">
        <w:rPr>
          <w:lang w:val="es-ES_tradnl"/>
        </w:rPr>
        <w:t>Para los enlaces de usuario, se utiliza la modulación MDP-4. Ello produce una densidad de espectro de potencia que disminuye cuadráticamente en función de la frecuencia de emisión con relación a la frecuencia portadora.</w:t>
      </w:r>
    </w:p>
    <w:p w:rsidR="00624662" w:rsidRPr="00C71B8B" w:rsidRDefault="00624662" w:rsidP="005D45C4">
      <w:pPr>
        <w:pStyle w:val="Blanc"/>
        <w:rPr>
          <w:lang w:val="es-ES_tradnl"/>
        </w:rPr>
      </w:pPr>
    </w:p>
    <w:p w:rsidR="005253F2" w:rsidRDefault="005253F2">
      <w:pPr>
        <w:pStyle w:val="Equation"/>
      </w:pPr>
      <w:r w:rsidRPr="00C71B8B">
        <w:rPr>
          <w:lang w:val="es-ES_tradnl"/>
        </w:rPr>
        <w:tab/>
      </w:r>
      <w:r w:rsidRPr="00C71B8B">
        <w:rPr>
          <w:lang w:val="es-ES_tradnl"/>
        </w:rPr>
        <w:tab/>
      </w:r>
      <w:r w:rsidRPr="00822A39">
        <w:rPr>
          <w:position w:val="-30"/>
        </w:rPr>
        <w:object w:dxaOrig="4599" w:dyaOrig="780">
          <v:shape id="_x0000_i1028" type="#_x0000_t75" style="width:230.05pt;height:38.8pt" o:ole="">
            <v:imagedata r:id="rId22" o:title=""/>
          </v:shape>
          <o:OLEObject Type="Embed" ProgID="Equation.3" ShapeID="_x0000_i1028" DrawAspect="Content" ObjectID="_1352895994" r:id="rId23"/>
        </w:object>
      </w:r>
    </w:p>
    <w:p w:rsidR="00624662" w:rsidRPr="00DC1FEE" w:rsidRDefault="00624662" w:rsidP="00624662">
      <w:pPr>
        <w:pStyle w:val="Blanc"/>
      </w:pPr>
    </w:p>
    <w:p w:rsidR="005253F2" w:rsidRPr="00C71B8B" w:rsidRDefault="005253F2">
      <w:pPr>
        <w:pStyle w:val="enumlev1"/>
        <w:tabs>
          <w:tab w:val="left" w:pos="1418"/>
        </w:tabs>
        <w:rPr>
          <w:lang w:val="es-ES_tradnl"/>
        </w:rPr>
      </w:pPr>
      <w:r>
        <w:rPr>
          <w:i/>
          <w:iCs/>
          <w:lang w:val="fr-FR"/>
        </w:rPr>
        <w:tab/>
      </w:r>
      <w:r w:rsidRPr="00C71B8B">
        <w:rPr>
          <w:i/>
          <w:lang w:val="es-ES_tradnl"/>
        </w:rPr>
        <w:t>C</w:t>
      </w:r>
      <w:r w:rsidRPr="00C71B8B">
        <w:rPr>
          <w:lang w:val="es-ES_tradnl"/>
        </w:rPr>
        <w:t xml:space="preserve"> · </w:t>
      </w:r>
      <w:r w:rsidRPr="00C71B8B">
        <w:rPr>
          <w:i/>
          <w:iCs/>
          <w:lang w:val="es-ES_tradnl"/>
        </w:rPr>
        <w:t>A</w:t>
      </w:r>
      <w:r w:rsidRPr="00C71B8B">
        <w:rPr>
          <w:position w:val="6"/>
          <w:sz w:val="16"/>
          <w:lang w:val="es-ES_tradnl"/>
        </w:rPr>
        <w:t>2</w:t>
      </w:r>
      <w:r w:rsidRPr="00C71B8B">
        <w:rPr>
          <w:lang w:val="es-ES_tradnl"/>
        </w:rPr>
        <w:t>:</w:t>
      </w:r>
      <w:r w:rsidRPr="00C71B8B">
        <w:rPr>
          <w:i/>
          <w:iCs/>
          <w:lang w:val="es-ES_tradnl"/>
        </w:rPr>
        <w:tab/>
      </w:r>
      <w:r w:rsidRPr="00C71B8B">
        <w:rPr>
          <w:lang w:val="es-ES_tradnl"/>
        </w:rPr>
        <w:t>potencia total de la señal en una anchura de banda infinita, normalizada en una resistencia de 1 </w:t>
      </w:r>
      <w:r>
        <w:sym w:font="Symbol" w:char="F057"/>
      </w:r>
    </w:p>
    <w:p w:rsidR="005253F2" w:rsidRPr="00C71B8B" w:rsidRDefault="005253F2">
      <w:pPr>
        <w:pStyle w:val="enumlev1"/>
        <w:tabs>
          <w:tab w:val="left" w:pos="1418"/>
        </w:tabs>
        <w:rPr>
          <w:lang w:val="es-ES_tradnl"/>
        </w:rPr>
      </w:pPr>
      <w:r w:rsidRPr="00C71B8B">
        <w:rPr>
          <w:i/>
          <w:iCs/>
          <w:lang w:val="es-ES_tradnl"/>
        </w:rPr>
        <w:tab/>
      </w:r>
      <w:r w:rsidRPr="00C71B8B">
        <w:rPr>
          <w:i/>
          <w:lang w:val="es-ES_tradnl"/>
        </w:rPr>
        <w:t>f</w:t>
      </w:r>
      <w:r w:rsidRPr="00C71B8B">
        <w:rPr>
          <w:i/>
          <w:iCs/>
          <w:position w:val="-4"/>
          <w:sz w:val="16"/>
          <w:lang w:val="es-ES_tradnl"/>
        </w:rPr>
        <w:t>b</w:t>
      </w:r>
      <w:r w:rsidRPr="00C71B8B">
        <w:rPr>
          <w:lang w:val="es-ES_tradnl"/>
        </w:rPr>
        <w:t>:</w:t>
      </w:r>
      <w:r w:rsidRPr="00C71B8B">
        <w:rPr>
          <w:lang w:val="es-ES_tradnl"/>
        </w:rPr>
        <w:tab/>
        <w:t>velocidad binaria</w:t>
      </w:r>
    </w:p>
    <w:p w:rsidR="005253F2" w:rsidRPr="00C71B8B" w:rsidRDefault="005253F2" w:rsidP="002F26D4">
      <w:pPr>
        <w:pStyle w:val="enumlev1"/>
        <w:tabs>
          <w:tab w:val="left" w:pos="1418"/>
        </w:tabs>
        <w:rPr>
          <w:lang w:val="es-ES_tradnl"/>
        </w:rPr>
      </w:pPr>
      <w:r w:rsidRPr="00C71B8B">
        <w:rPr>
          <w:i/>
          <w:iCs/>
          <w:lang w:val="es-ES_tradnl"/>
        </w:rPr>
        <w:tab/>
      </w:r>
      <w:r w:rsidRPr="00C71B8B">
        <w:rPr>
          <w:i/>
          <w:lang w:val="es-ES_tradnl"/>
        </w:rPr>
        <w:t>T</w:t>
      </w:r>
      <w:r w:rsidRPr="00C71B8B">
        <w:rPr>
          <w:i/>
          <w:iCs/>
          <w:position w:val="-4"/>
          <w:sz w:val="16"/>
          <w:lang w:val="es-ES_tradnl"/>
        </w:rPr>
        <w:t>b</w:t>
      </w:r>
      <w:r w:rsidRPr="00C71B8B">
        <w:rPr>
          <w:lang w:val="es-ES_tradnl"/>
        </w:rPr>
        <w:t xml:space="preserve"> </w:t>
      </w:r>
      <w:r w:rsidR="002F26D4">
        <w:rPr>
          <w:lang w:val="fr-FR"/>
        </w:rPr>
        <w:sym w:font="Symbol" w:char="F03D"/>
      </w:r>
      <w:r w:rsidRPr="00C71B8B">
        <w:rPr>
          <w:lang w:val="es-ES_tradnl"/>
        </w:rPr>
        <w:t xml:space="preserve"> 1</w:t>
      </w:r>
      <w:r w:rsidRPr="00C71B8B">
        <w:rPr>
          <w:i/>
          <w:lang w:val="es-ES_tradnl"/>
        </w:rPr>
        <w:t>/f</w:t>
      </w:r>
      <w:r w:rsidRPr="00C71B8B">
        <w:rPr>
          <w:i/>
          <w:iCs/>
          <w:position w:val="-4"/>
          <w:sz w:val="16"/>
          <w:lang w:val="es-ES_tradnl"/>
        </w:rPr>
        <w:t>b</w:t>
      </w:r>
      <w:r w:rsidRPr="00C71B8B">
        <w:rPr>
          <w:lang w:val="es-ES_tradnl"/>
        </w:rPr>
        <w:t>:</w:t>
      </w:r>
      <w:r w:rsidRPr="00C71B8B">
        <w:rPr>
          <w:lang w:val="es-ES_tradnl"/>
        </w:rPr>
        <w:tab/>
        <w:t>duración del bit</w:t>
      </w:r>
    </w:p>
    <w:p w:rsidR="005253F2" w:rsidRPr="00C71B8B" w:rsidRDefault="005253F2">
      <w:pPr>
        <w:pStyle w:val="enumlev1"/>
        <w:tabs>
          <w:tab w:val="left" w:pos="1418"/>
        </w:tabs>
        <w:rPr>
          <w:lang w:val="es-ES_tradnl"/>
        </w:rPr>
      </w:pPr>
      <w:r w:rsidRPr="00C71B8B">
        <w:rPr>
          <w:i/>
          <w:iCs/>
          <w:lang w:val="es-ES_tradnl"/>
        </w:rPr>
        <w:tab/>
      </w:r>
      <w:r w:rsidRPr="00C71B8B">
        <w:rPr>
          <w:i/>
          <w:lang w:val="es-ES_tradnl"/>
        </w:rPr>
        <w:t>f</w:t>
      </w:r>
      <w:r w:rsidRPr="00C71B8B">
        <w:rPr>
          <w:i/>
          <w:iCs/>
          <w:position w:val="-4"/>
          <w:sz w:val="16"/>
          <w:lang w:val="es-ES_tradnl"/>
        </w:rPr>
        <w:t>c</w:t>
      </w:r>
      <w:r w:rsidRPr="00C71B8B">
        <w:rPr>
          <w:lang w:val="es-ES_tradnl"/>
        </w:rPr>
        <w:t>:</w:t>
      </w:r>
      <w:r w:rsidRPr="00C71B8B">
        <w:rPr>
          <w:lang w:val="es-ES_tradnl"/>
        </w:rPr>
        <w:tab/>
        <w:t>frecuencia portadora.</w:t>
      </w:r>
    </w:p>
    <w:p w:rsidR="005253F2" w:rsidRPr="00C71B8B" w:rsidRDefault="005253F2">
      <w:pPr>
        <w:rPr>
          <w:lang w:val="es-ES_tradnl"/>
        </w:rPr>
      </w:pPr>
      <w:r w:rsidRPr="00C71B8B">
        <w:rPr>
          <w:lang w:val="es-ES_tradnl"/>
        </w:rPr>
        <w:t>Con técnicas de modulación más avanzadas, tales como la FMDP-4-FK patentada [Kato y Feher, 1983], es posible una atenuación más aguda con una mayor separación de frecuencias.</w:t>
      </w:r>
    </w:p>
    <w:p w:rsidR="005253F2" w:rsidRPr="00C71B8B" w:rsidRDefault="005253F2" w:rsidP="002F26D4">
      <w:pPr>
        <w:rPr>
          <w:lang w:val="es-ES_tradnl"/>
        </w:rPr>
      </w:pPr>
      <w:r w:rsidRPr="00C71B8B">
        <w:rPr>
          <w:lang w:val="es-ES_tradnl"/>
        </w:rPr>
        <w:t xml:space="preserve">Se necesita un filtrado adicional para minimizar la interferencia entre símbolos y reducir más la emisión fuera de banda. Ello puede lograrse con un filtro en coseno exponencial, que puede realizarse únicamente con filtros SAW o con una combinación de filtrado digital (banda de base) y filtrado analógico utilizando filtros de onda acústica de superficie (SAW). Las técnicas de filtrado SAW son extremadamente flexibles: puede sintetizarse cualquier filtro paso banda lineal con amplitud y fase arbitrarias, con la única limitación de la anchura de la línea y el tamaño del cristal. Con filtros SAW habituales de tipo transductor unidireccional de fase única pueden atenuarse emisiones fuera de banda hasta en 60 dB, con una planitud de la banda de paso inferior a 0,5 dB entre máximos y un rizado de fase inferior a 1°. Esto, junto con otros 16 dB (10 </w:t>
      </w:r>
      <w:r w:rsidRPr="00C71B8B">
        <w:rPr>
          <w:iCs/>
          <w:lang w:val="es-ES_tradnl"/>
        </w:rPr>
        <w:t xml:space="preserve">log </w:t>
      </w:r>
      <w:r w:rsidRPr="00C71B8B">
        <w:rPr>
          <w:lang w:val="es-ES_tradnl"/>
        </w:rPr>
        <w:t>4</w:t>
      </w:r>
      <w:r w:rsidR="002F26D4">
        <w:rPr>
          <w:lang w:val="fr-FR"/>
        </w:rPr>
        <w:sym w:font="Symbol" w:char="F070"/>
      </w:r>
      <w:r w:rsidRPr="00C71B8B">
        <w:rPr>
          <w:position w:val="6"/>
          <w:sz w:val="16"/>
          <w:lang w:val="es-ES_tradnl"/>
        </w:rPr>
        <w:t>2</w:t>
      </w:r>
      <w:r w:rsidRPr="00C71B8B">
        <w:rPr>
          <w:lang w:val="es-ES_tradnl"/>
        </w:rPr>
        <w:t>) de atenuación en el primer lóbulo lateral de la curva de densidad espectral de potencia MPD-4, permite ya obtener una reducción de 75 dB en la emisión fuera de banda.</w:t>
      </w:r>
    </w:p>
    <w:p w:rsidR="005253F2" w:rsidRPr="00624662" w:rsidRDefault="005253F2" w:rsidP="00624662">
      <w:pPr>
        <w:keepNext/>
        <w:keepLines/>
        <w:rPr>
          <w:lang w:val="es-ES_tradnl"/>
        </w:rPr>
      </w:pPr>
      <w:r w:rsidRPr="00C71B8B">
        <w:rPr>
          <w:lang w:val="es-ES_tradnl"/>
        </w:rPr>
        <w:lastRenderedPageBreak/>
        <w:t xml:space="preserve">Para lograr más de 80 dB de rechazo del canal adyacente, la única solución práctica es la de dos filtros SAW en cascada, con unas pérdidas de inserción de sólo 6 dB. Ésta es exactamente la técnica utilizada por los fabricantes de microteléfonos AMDC para reducir la interferencia del canal adyacente con estaciones de base del servicio de comunicaciones personales a menos de –80 dB. </w:t>
      </w:r>
      <w:r w:rsidRPr="00624662">
        <w:rPr>
          <w:lang w:val="es-ES_tradnl"/>
        </w:rPr>
        <w:t>Los filtros modernos de tipo transductor unidireccional de fase única con pérdidas de inserción reducidas tienen amplitudes de saturación y capacidad de tratamiento de potencia relativamente grandes, y como no es necesario llevar los filtros de tipo transductor unidireccional de fase única a las proximidades de la saturación a fin de maximizar la eficacia de potencia, puede rechazarse con bastante seguridad toda generación no lineal de emisiones no esenciales.</w:t>
      </w:r>
    </w:p>
    <w:p w:rsidR="005253F2" w:rsidRPr="00C71B8B" w:rsidRDefault="005253F2">
      <w:pPr>
        <w:pStyle w:val="Heading2"/>
        <w:rPr>
          <w:lang w:val="es-ES_tradnl"/>
        </w:rPr>
      </w:pPr>
      <w:r w:rsidRPr="00C71B8B">
        <w:rPr>
          <w:lang w:val="es-ES_tradnl"/>
        </w:rPr>
        <w:t>2.8</w:t>
      </w:r>
      <w:r w:rsidRPr="00C71B8B">
        <w:rPr>
          <w:lang w:val="es-ES_tradnl"/>
        </w:rPr>
        <w:tab/>
        <w:t>Características de emisión radioeléctrica del sistema de HAPS</w:t>
      </w:r>
    </w:p>
    <w:p w:rsidR="005253F2" w:rsidRPr="00C71B8B" w:rsidRDefault="005253F2">
      <w:pPr>
        <w:rPr>
          <w:lang w:val="es-ES_tradnl"/>
        </w:rPr>
      </w:pPr>
      <w:r w:rsidRPr="00C71B8B">
        <w:rPr>
          <w:lang w:val="es-ES_tradnl"/>
        </w:rPr>
        <w:t>El esquema de utilización de frecuencias en el sistema de HAPS dependerá de los requisitos específicos de cada zona de servicio, lo que afectará a la anchura de banda asignada a cada una de las plataformas y a sus terminales en tierra correspondientes.</w:t>
      </w:r>
    </w:p>
    <w:p w:rsidR="005253F2" w:rsidRPr="00C71B8B" w:rsidRDefault="005253F2" w:rsidP="002F26D4">
      <w:pPr>
        <w:rPr>
          <w:lang w:val="es-ES_tradnl"/>
        </w:rPr>
      </w:pPr>
      <w:r w:rsidRPr="00C71B8B">
        <w:rPr>
          <w:lang w:val="es-ES_tradnl"/>
        </w:rPr>
        <w:t>Un sistema HAPS aislado que esté situado en una zona distante respecto a otro sistema HAPS puede estar equipado para utilizar hasta la totalidad de la anchura de banda de 2 </w:t>
      </w:r>
      <w:r w:rsidR="002F26D4">
        <w:rPr>
          <w:lang w:val="fr-FR"/>
        </w:rPr>
        <w:sym w:font="Symbol" w:char="F0B4"/>
      </w:r>
      <w:r w:rsidRPr="00C71B8B">
        <w:rPr>
          <w:lang w:val="es-ES_tradnl"/>
        </w:rPr>
        <w:t> 300 MHz, dependiendo del número de usuarios que se abonen al sistema.</w:t>
      </w:r>
    </w:p>
    <w:p w:rsidR="005253F2" w:rsidRPr="00C71B8B" w:rsidRDefault="005253F2" w:rsidP="002F26D4">
      <w:pPr>
        <w:rPr>
          <w:lang w:val="es-ES_tradnl"/>
        </w:rPr>
      </w:pPr>
      <w:r w:rsidRPr="00C71B8B">
        <w:rPr>
          <w:lang w:val="es-ES_tradnl"/>
        </w:rPr>
        <w:t>Otro escenario más adecuado a los servicios de HAPS en una amplia zona regional puede ser el de suponer un despliegue equilateral de una serie de plataformas de HAPS que funcionen con arreglo a un esquema de reutilización de frecuencia triple, es decir, en el que cada plataforma emplee 2 </w:t>
      </w:r>
      <w:r w:rsidR="002F26D4">
        <w:rPr>
          <w:lang w:val="fr-FR"/>
        </w:rPr>
        <w:sym w:font="Symbol" w:char="F0B4"/>
      </w:r>
      <w:r w:rsidRPr="00C71B8B">
        <w:rPr>
          <w:lang w:val="es-ES_tradnl"/>
        </w:rPr>
        <w:t> 100 MHz.</w:t>
      </w:r>
    </w:p>
    <w:p w:rsidR="005253F2" w:rsidRPr="00C71B8B" w:rsidRDefault="005253F2">
      <w:pPr>
        <w:rPr>
          <w:lang w:val="es-ES_tradnl"/>
        </w:rPr>
      </w:pPr>
      <w:r w:rsidRPr="00C71B8B">
        <w:rPr>
          <w:lang w:val="es-ES_tradnl"/>
        </w:rPr>
        <w:t>Otros escenarios serán más adecuados para otros entornos y esquemas de demanda.</w:t>
      </w:r>
    </w:p>
    <w:p w:rsidR="005253F2" w:rsidRPr="00C71B8B" w:rsidRDefault="005253F2" w:rsidP="002F26D4">
      <w:pPr>
        <w:rPr>
          <w:lang w:val="es-ES_tradnl"/>
        </w:rPr>
      </w:pPr>
      <w:r w:rsidRPr="00C71B8B">
        <w:rPr>
          <w:lang w:val="es-ES_tradnl"/>
        </w:rPr>
        <w:t xml:space="preserve">Como ejemplo, se considerará la utilización de 2 </w:t>
      </w:r>
      <w:r w:rsidR="002F26D4">
        <w:rPr>
          <w:lang w:val="fr-FR"/>
        </w:rPr>
        <w:sym w:font="Symbol" w:char="F0B4"/>
      </w:r>
      <w:r w:rsidRPr="00C71B8B">
        <w:rPr>
          <w:lang w:val="es-ES_tradnl"/>
        </w:rPr>
        <w:t xml:space="preserve"> 100 MHz a partir de una sola plataforma. Suponiendo que las velocidades de información en ráfagas procedentes de los terminales de usuario se producen a 2 Mbit/s y dando un margen para la codificación y otros suplementos, y adoptando también una tasa de reutilización de 7 </w:t>
      </w:r>
      <w:r w:rsidR="002F26D4">
        <w:rPr>
          <w:lang w:val="fr-FR"/>
        </w:rPr>
        <w:sym w:font="Symbol" w:char="F0B4"/>
      </w:r>
      <w:r w:rsidRPr="00C71B8B">
        <w:rPr>
          <w:lang w:val="es-ES_tradnl"/>
        </w:rPr>
        <w:t xml:space="preserve"> la frecuencia, los 100 MHz se dividen en 7 tramos de 11 MHz, más una banda de guarda de 23 MHz. Cada tramo de 11 MHz sirve para un solo usuario, a la proporcion total de ráfagas del enlace descendente y a un quinto de la proporcion total de ráfagas en el enlace descendente con un factor de canales en dicho enlace ascendente de 5. La división en canales en el enlace ascendente reduce la potencia de la ráfaga a una relación de potencia media en los terminales de usuario que hace disminuir el coste de éstos. Si el mismo suministrador de servicio explota todas las plataformas, las bandas de guarda no son necesarias.</w:t>
      </w:r>
    </w:p>
    <w:p w:rsidR="005253F2" w:rsidRPr="00C71B8B" w:rsidRDefault="005253F2">
      <w:pPr>
        <w:rPr>
          <w:lang w:val="es-ES_tradnl"/>
        </w:rPr>
      </w:pPr>
      <w:r w:rsidRPr="00C71B8B">
        <w:rPr>
          <w:lang w:val="es-ES_tradnl"/>
        </w:rPr>
        <w:t>Dependiendo del factor de actividad que se suponga para un usuario medio, cada tramo de 11 MHz puede servir tal vez para hasta 10 usuarios de gran velocidad. Cada uno tendrá una velocidad binaria media de más de 1 Mbit/s, que en ráfagas puede ascender hasta 10 Mbit/s en el enlace descendente y a 2 Mbit/s en el ascendente. Se asegura una compartición en el tiempo eficaz entre los distintos usuarios mediante un esquema de acceso múltiple rápido con asignación por demanda que reasigna dinámicamente los canales de usuario a gran velocidad cada 20 ms.</w:t>
      </w:r>
    </w:p>
    <w:p w:rsidR="005253F2" w:rsidRPr="008C0664" w:rsidRDefault="005253F2" w:rsidP="002F26D4">
      <w:pPr>
        <w:rPr>
          <w:lang w:val="es-ES_tradnl"/>
        </w:rPr>
      </w:pPr>
      <w:r w:rsidRPr="00C71B8B">
        <w:rPr>
          <w:lang w:val="es-ES_tradnl"/>
        </w:rPr>
        <w:t xml:space="preserve">Hay 700 células en cada una de las zonas, urbana, suburbana y rural. Así pues, para la zona de cobertura urbana, la densidad de potencia de los terminales de usuario es de –8,2 dB(W/2 MHz) multiplicada por la reutilización de frecuencia de 100 veces y modificada por el diagrama de radiación de los lóbulos laterales del terminal de usuario. </w:t>
      </w:r>
      <w:r w:rsidRPr="008C0664">
        <w:rPr>
          <w:lang w:val="es-ES_tradnl"/>
        </w:rPr>
        <w:t xml:space="preserve">Para la zona de cobertura suburbana, la cifra es de –7,0 dB(W/2 MHz) por 100, y para la zona de cobertura rural es de </w:t>
      </w:r>
      <w:r w:rsidR="00F9182E">
        <w:rPr>
          <w:lang w:val="fr-FR"/>
        </w:rPr>
        <w:fldChar w:fldCharType="begin"/>
      </w:r>
      <w:r w:rsidR="002F26D4" w:rsidRPr="008C0664">
        <w:rPr>
          <w:lang w:val="es-ES_tradnl"/>
        </w:rPr>
        <w:instrText xml:space="preserve"> EQ  –1,55 dB(W/2</w:instrText>
      </w:r>
      <w:r w:rsidR="002F26D4">
        <w:rPr>
          <w:lang w:val="fr-FR"/>
        </w:rPr>
        <w:instrText> </w:instrText>
      </w:r>
      <w:r w:rsidR="002F26D4" w:rsidRPr="008C0664">
        <w:rPr>
          <w:lang w:val="es-ES_tradnl"/>
        </w:rPr>
        <w:instrText>MHz)</w:instrText>
      </w:r>
      <w:r w:rsidR="00F9182E">
        <w:rPr>
          <w:lang w:val="fr-FR"/>
        </w:rPr>
        <w:fldChar w:fldCharType="end"/>
      </w:r>
      <w:r w:rsidRPr="008C0664">
        <w:rPr>
          <w:lang w:val="es-ES_tradnl"/>
        </w:rPr>
        <w:t xml:space="preserve"> por 100, como máximo.</w:t>
      </w:r>
    </w:p>
    <w:p w:rsidR="005253F2" w:rsidRPr="00C71B8B" w:rsidRDefault="005253F2">
      <w:pPr>
        <w:rPr>
          <w:lang w:val="es-ES_tradnl"/>
        </w:rPr>
      </w:pPr>
      <w:r w:rsidRPr="00C71B8B">
        <w:rPr>
          <w:lang w:val="es-ES_tradnl"/>
        </w:rPr>
        <w:t>Para cursar el tráfico de usuario concentrado, se necesitan hasta 20 estaciones de cabecera en las zonas de cobertura urbana y suburbana. Dichas estaciones funcionan con MAQ-64 en una anchura de banda de 88 MHz (100 MHz menos 12 MHz) y una densidad de potencia en cada una de aproximadamente –8 dB(W/2 MHz) para las estaciones de cabecera de la zona urbana y de 4 dB(W/2 MHz) para las estaciones de cabecera en la zona suburbana y en la zona rural. Excluyendo la FEC, la disposición en trama y otros suplementos, la modulación MAQ-64 puede dar unos 4 bit/s/Hz de eficacia espectral, o 352 Mbit/s por estación de cabecera. Con 20 estaciones de cabecera por zona se obtendrán 14,8 Gbit/s de caudal en la cabecera o 60% del tráfico máximo de usuario que pueda cursarse.</w:t>
      </w:r>
    </w:p>
    <w:p w:rsidR="005253F2" w:rsidRPr="00C71B8B" w:rsidRDefault="005253F2">
      <w:pPr>
        <w:rPr>
          <w:lang w:val="es-ES_tradnl"/>
        </w:rPr>
      </w:pPr>
      <w:r w:rsidRPr="00C71B8B">
        <w:rPr>
          <w:lang w:val="es-ES_tradnl"/>
        </w:rPr>
        <w:t>La transmisión desde la plataforma utiliza toda la anchura de banda disponible en compartición del tiempo y la frecuencia y una densidad de potencia de 20,6 dB(W/2 MHz). Esto se basa en la densidad de potencia estimada para los enlaces de usuario y los enlaces de la estación de cabecera. Para los enlaces de usuario, la densidad de potencia es de 0 dB(W/11 MHz) en las zonas de cobertura urbana y suburbana y de 2,2 dB(W/11 MHz) en la zona de cobertura rural. Para las estaciones de cabecera, la densidad de potencia es de 0 dB(W/11 MHz) en la zona de cobertura urbana y de 9,7 dB(W/11 MHz) en la zona de cobertura suburbana. La potencia de RF total de la plataforma es de unos 10 kW.</w:t>
      </w:r>
    </w:p>
    <w:p w:rsidR="005253F2" w:rsidRPr="00C71B8B" w:rsidRDefault="005253F2">
      <w:pPr>
        <w:pStyle w:val="Heading2"/>
        <w:rPr>
          <w:lang w:val="es-ES_tradnl"/>
        </w:rPr>
      </w:pPr>
      <w:r w:rsidRPr="00C71B8B">
        <w:rPr>
          <w:lang w:val="es-ES_tradnl"/>
        </w:rPr>
        <w:lastRenderedPageBreak/>
        <w:t>2.9</w:t>
      </w:r>
      <w:r w:rsidRPr="00C71B8B">
        <w:rPr>
          <w:lang w:val="es-ES_tradnl"/>
        </w:rPr>
        <w:tab/>
        <w:t>Ejemplo de cálculo del balance del enlace</w:t>
      </w:r>
    </w:p>
    <w:p w:rsidR="005253F2" w:rsidRPr="00C71B8B" w:rsidRDefault="005253F2" w:rsidP="00624662">
      <w:pPr>
        <w:keepNext/>
        <w:keepLines/>
        <w:rPr>
          <w:lang w:val="es-ES_tradnl"/>
        </w:rPr>
      </w:pPr>
      <w:r w:rsidRPr="00C71B8B">
        <w:rPr>
          <w:lang w:val="es-ES_tradnl"/>
        </w:rPr>
        <w:t xml:space="preserve">A continuación se presenta un cálculo representativo del balance del enlace. Las ganancias de antena de la plataforma para los enlaces del terminal de usuario son ganancias de antena en el extremo de la célula, 3 dB inferiores a las ganancias de antena máximas. </w:t>
      </w:r>
      <w:r w:rsidRPr="00624662">
        <w:rPr>
          <w:lang w:val="es-ES_tradnl"/>
        </w:rPr>
        <w:t xml:space="preserve">La relación </w:t>
      </w:r>
      <w:r w:rsidRPr="00624662">
        <w:rPr>
          <w:i/>
          <w:iCs/>
          <w:lang w:val="es-ES_tradnl"/>
        </w:rPr>
        <w:t>E</w:t>
      </w:r>
      <w:r w:rsidRPr="00624662">
        <w:rPr>
          <w:i/>
          <w:iCs/>
          <w:position w:val="-4"/>
          <w:sz w:val="16"/>
          <w:lang w:val="es-ES_tradnl"/>
        </w:rPr>
        <w:t>b</w:t>
      </w:r>
      <w:r w:rsidRPr="00624662">
        <w:rPr>
          <w:lang w:val="es-ES_tradnl"/>
        </w:rPr>
        <w:t>/(</w:t>
      </w:r>
      <w:r w:rsidRPr="00624662">
        <w:rPr>
          <w:i/>
          <w:iCs/>
          <w:lang w:val="es-ES_tradnl"/>
        </w:rPr>
        <w:t>N</w:t>
      </w:r>
      <w:r w:rsidRPr="00624662">
        <w:rPr>
          <w:position w:val="-4"/>
          <w:sz w:val="16"/>
          <w:lang w:val="es-ES_tradnl"/>
        </w:rPr>
        <w:t>0</w:t>
      </w:r>
      <w:r w:rsidRPr="00624662">
        <w:rPr>
          <w:lang w:val="es-ES_tradnl"/>
        </w:rPr>
        <w:t> </w:t>
      </w:r>
      <w:r w:rsidR="002F26D4">
        <w:rPr>
          <w:lang w:val="fr-FR"/>
        </w:rPr>
        <w:sym w:font="Symbol" w:char="F02B"/>
      </w:r>
      <w:r w:rsidRPr="00624662">
        <w:rPr>
          <w:lang w:val="es-ES_tradnl"/>
        </w:rPr>
        <w:t> </w:t>
      </w:r>
      <w:r w:rsidRPr="00624662">
        <w:rPr>
          <w:i/>
          <w:iCs/>
          <w:lang w:val="es-ES_tradnl"/>
        </w:rPr>
        <w:t>I</w:t>
      </w:r>
      <w:r w:rsidRPr="00624662">
        <w:rPr>
          <w:position w:val="-4"/>
          <w:sz w:val="16"/>
          <w:lang w:val="es-ES_tradnl"/>
        </w:rPr>
        <w:t>0</w:t>
      </w:r>
      <w:r w:rsidRPr="00624662">
        <w:rPr>
          <w:lang w:val="es-ES_tradnl"/>
        </w:rPr>
        <w:t xml:space="preserve">) se basa en la modulación MDP-4 con un código convolucional de índice 2/3 y </w:t>
      </w:r>
      <w:r w:rsidRPr="00624662">
        <w:rPr>
          <w:i/>
          <w:iCs/>
          <w:lang w:val="es-ES_tradnl"/>
        </w:rPr>
        <w:t>k</w:t>
      </w:r>
      <w:r w:rsidRPr="00624662">
        <w:rPr>
          <w:lang w:val="es-ES_tradnl"/>
        </w:rPr>
        <w:t> </w:t>
      </w:r>
      <w:r w:rsidR="002F26D4">
        <w:rPr>
          <w:lang w:val="fr-FR"/>
        </w:rPr>
        <w:sym w:font="Symbol" w:char="F03D"/>
      </w:r>
      <w:r w:rsidRPr="00624662">
        <w:rPr>
          <w:lang w:val="es-ES_tradnl"/>
        </w:rPr>
        <w:t> 7 para una BER inferior a 1 </w:t>
      </w:r>
      <w:r w:rsidR="002F26D4">
        <w:rPr>
          <w:lang w:val="fr-FR"/>
        </w:rPr>
        <w:sym w:font="Symbol" w:char="F0B4"/>
      </w:r>
      <w:r w:rsidRPr="00624662">
        <w:rPr>
          <w:rFonts w:hint="eastAsia"/>
          <w:lang w:val="es-ES_tradnl"/>
        </w:rPr>
        <w:t> </w:t>
      </w:r>
      <w:r w:rsidRPr="00624662">
        <w:rPr>
          <w:lang w:val="es-ES_tradnl"/>
        </w:rPr>
        <w:t>10</w:t>
      </w:r>
      <w:r w:rsidRPr="00624662">
        <w:rPr>
          <w:position w:val="6"/>
          <w:sz w:val="16"/>
          <w:lang w:val="es-ES_tradnl"/>
        </w:rPr>
        <w:t>–7</w:t>
      </w:r>
      <w:r w:rsidRPr="00624662">
        <w:rPr>
          <w:lang w:val="es-ES_tradnl"/>
        </w:rPr>
        <w:t xml:space="preserve">. </w:t>
      </w:r>
      <w:r w:rsidRPr="00C71B8B">
        <w:rPr>
          <w:lang w:val="es-ES_tradnl"/>
        </w:rPr>
        <w:t xml:space="preserve">Las velocidades de información de usuario tienen en cuenta los suplementos de los encabezamientos ATM y la disposición en trama. La atenuación debida a la lluvia se basa en una disponibilidad </w:t>
      </w:r>
      <w:r w:rsidR="002F26D4">
        <w:rPr>
          <w:lang w:val="fr-FR"/>
        </w:rPr>
        <w:sym w:font="Symbol" w:char="F03E"/>
      </w:r>
      <w:r w:rsidRPr="00C71B8B">
        <w:rPr>
          <w:lang w:val="es-ES_tradnl"/>
        </w:rPr>
        <w:t xml:space="preserve">99,5% para las estadísticas de la Región K del UIT-R. En la relación </w:t>
      </w:r>
      <w:r w:rsidRPr="00C71B8B">
        <w:rPr>
          <w:i/>
          <w:iCs/>
          <w:lang w:val="es-ES_tradnl"/>
        </w:rPr>
        <w:t>G</w:t>
      </w:r>
      <w:r w:rsidRPr="00C71B8B">
        <w:rPr>
          <w:lang w:val="es-ES_tradnl"/>
        </w:rPr>
        <w:t>/</w:t>
      </w:r>
      <w:r w:rsidRPr="00C71B8B">
        <w:rPr>
          <w:i/>
          <w:iCs/>
          <w:lang w:val="es-ES_tradnl"/>
        </w:rPr>
        <w:t>T</w:t>
      </w:r>
      <w:r w:rsidRPr="00C71B8B">
        <w:rPr>
          <w:lang w:val="es-ES_tradnl"/>
        </w:rPr>
        <w:t xml:space="preserve"> del receptor se supone una temperatura de ruido en éste de 900 K para los terminales de usuario y las estaciones de cabecera, y de 500 K para las plataformas.</w:t>
      </w:r>
    </w:p>
    <w:p w:rsidR="005253F2" w:rsidRPr="00C71B8B" w:rsidRDefault="005253F2">
      <w:pPr>
        <w:pStyle w:val="Table"/>
        <w:rPr>
          <w:lang w:val="es-ES_tradnl"/>
        </w:rPr>
      </w:pPr>
      <w:r w:rsidRPr="00C71B8B">
        <w:rPr>
          <w:lang w:val="es-ES_tradnl"/>
        </w:rPr>
        <w:t>CUADRO  6</w:t>
      </w:r>
    </w:p>
    <w:p w:rsidR="005253F2" w:rsidRPr="00C71B8B" w:rsidRDefault="005253F2">
      <w:pPr>
        <w:pStyle w:val="TableTitle"/>
        <w:rPr>
          <w:lang w:val="es-ES_tradnl"/>
        </w:rPr>
      </w:pPr>
      <w:r w:rsidRPr="00C71B8B">
        <w:rPr>
          <w:lang w:val="es-ES_tradnl"/>
        </w:rPr>
        <w:t>Enlaces del terminal de usuario</w:t>
      </w:r>
    </w:p>
    <w:p w:rsidR="005253F2" w:rsidRPr="00C71B8B" w:rsidRDefault="005253F2">
      <w:pPr>
        <w:pStyle w:val="Blanc"/>
        <w:rPr>
          <w:lang w:val="es-ES_tradnl"/>
        </w:rPr>
      </w:pPr>
    </w:p>
    <w:tbl>
      <w:tblPr>
        <w:tblW w:w="0" w:type="auto"/>
        <w:jc w:val="center"/>
        <w:tblLayout w:type="fixed"/>
        <w:tblCellMar>
          <w:left w:w="107" w:type="dxa"/>
          <w:right w:w="107" w:type="dxa"/>
        </w:tblCellMar>
        <w:tblLook w:val="0000"/>
      </w:tblPr>
      <w:tblGrid>
        <w:gridCol w:w="3686"/>
        <w:gridCol w:w="1021"/>
        <w:gridCol w:w="965"/>
        <w:gridCol w:w="1021"/>
        <w:gridCol w:w="993"/>
        <w:gridCol w:w="1021"/>
        <w:gridCol w:w="1021"/>
      </w:tblGrid>
      <w:tr w:rsidR="005253F2" w:rsidTr="00001134">
        <w:trPr>
          <w:cantSplit/>
          <w:trHeight w:val="259"/>
          <w:jc w:val="center"/>
        </w:trPr>
        <w:tc>
          <w:tcPr>
            <w:tcW w:w="3686" w:type="dxa"/>
            <w:tcBorders>
              <w:top w:val="single" w:sz="6" w:space="0" w:color="auto"/>
              <w:left w:val="single" w:sz="6" w:space="0" w:color="auto"/>
              <w:right w:val="single" w:sz="6" w:space="0" w:color="auto"/>
            </w:tcBorders>
          </w:tcPr>
          <w:p w:rsidR="005253F2" w:rsidRPr="00C71B8B" w:rsidRDefault="005253F2" w:rsidP="00001134">
            <w:pPr>
              <w:pStyle w:val="TableText"/>
              <w:spacing w:before="80" w:after="80"/>
              <w:jc w:val="left"/>
              <w:rPr>
                <w:lang w:val="es-ES_tradnl"/>
              </w:rPr>
            </w:pP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Zona de cobertura urbana</w:t>
            </w:r>
          </w:p>
        </w:tc>
        <w:tc>
          <w:tcPr>
            <w:tcW w:w="965"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Zona de cobertura urbana</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Zona de cobertura suburbana</w:t>
            </w:r>
          </w:p>
        </w:tc>
        <w:tc>
          <w:tcPr>
            <w:tcW w:w="99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Zona de cobertura suburbana</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Zona de cobertura rural</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spacing w:before="80" w:after="80"/>
              <w:jc w:val="center"/>
              <w:rPr>
                <w:lang w:val="fr-FR"/>
              </w:rPr>
            </w:pPr>
            <w:r>
              <w:rPr>
                <w:lang w:val="fr-FR"/>
              </w:rPr>
              <w:t>Zona de cobertura rural</w:t>
            </w:r>
          </w:p>
        </w:tc>
      </w:tr>
      <w:tr w:rsidR="005253F2" w:rsidTr="00001134">
        <w:trPr>
          <w:cantSplit/>
          <w:trHeight w:val="259"/>
          <w:jc w:val="center"/>
        </w:trPr>
        <w:tc>
          <w:tcPr>
            <w:tcW w:w="3686" w:type="dxa"/>
            <w:tcBorders>
              <w:left w:val="single" w:sz="6" w:space="0" w:color="auto"/>
              <w:bottom w:val="single" w:sz="6" w:space="0" w:color="auto"/>
              <w:right w:val="single" w:sz="6" w:space="0" w:color="auto"/>
            </w:tcBorders>
          </w:tcPr>
          <w:p w:rsidR="005253F2" w:rsidRDefault="005253F2" w:rsidP="00001134">
            <w:pPr>
              <w:pStyle w:val="TableText"/>
              <w:spacing w:before="80" w:after="80"/>
              <w:jc w:val="left"/>
              <w:rPr>
                <w:lang w:val="fr-FR"/>
              </w:rPr>
            </w:pP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spacing w:before="80" w:after="80"/>
              <w:ind w:left="-57" w:right="-57"/>
              <w:jc w:val="center"/>
              <w:rPr>
                <w:lang w:val="fr-FR"/>
              </w:rPr>
            </w:pPr>
            <w:r>
              <w:rPr>
                <w:lang w:val="fr-FR"/>
              </w:rPr>
              <w:t>MDT descendente</w:t>
            </w:r>
          </w:p>
        </w:tc>
        <w:tc>
          <w:tcPr>
            <w:tcW w:w="965"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spacing w:before="80" w:after="80"/>
              <w:ind w:left="-57" w:right="-57"/>
              <w:jc w:val="center"/>
              <w:rPr>
                <w:lang w:val="fr-FR"/>
              </w:rPr>
            </w:pPr>
            <w:r>
              <w:rPr>
                <w:lang w:val="fr-FR"/>
              </w:rPr>
              <w:t>AMDF ascendente</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spacing w:before="80" w:after="80"/>
              <w:ind w:left="-57" w:right="-57"/>
              <w:jc w:val="center"/>
              <w:rPr>
                <w:lang w:val="fr-FR"/>
              </w:rPr>
            </w:pPr>
            <w:r>
              <w:rPr>
                <w:lang w:val="fr-FR"/>
              </w:rPr>
              <w:t>MDT descendente</w:t>
            </w:r>
          </w:p>
        </w:tc>
        <w:tc>
          <w:tcPr>
            <w:tcW w:w="99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spacing w:before="80" w:after="80"/>
              <w:ind w:left="-57" w:right="-57"/>
              <w:jc w:val="center"/>
              <w:rPr>
                <w:lang w:val="fr-FR"/>
              </w:rPr>
            </w:pPr>
            <w:r>
              <w:rPr>
                <w:lang w:val="fr-FR"/>
              </w:rPr>
              <w:t>AMDF ascendente</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spacing w:before="80" w:after="80"/>
              <w:ind w:left="-57" w:right="-57"/>
              <w:jc w:val="center"/>
              <w:rPr>
                <w:lang w:val="fr-FR"/>
              </w:rPr>
            </w:pPr>
            <w:r>
              <w:rPr>
                <w:lang w:val="fr-FR"/>
              </w:rPr>
              <w:t>MDT descendente</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spacing w:before="80" w:after="80"/>
              <w:ind w:left="-57" w:right="-57"/>
              <w:jc w:val="center"/>
              <w:rPr>
                <w:lang w:val="fr-FR"/>
              </w:rPr>
            </w:pPr>
            <w:r>
              <w:rPr>
                <w:lang w:val="fr-FR"/>
              </w:rPr>
              <w:t>AMDF ascendente</w:t>
            </w:r>
          </w:p>
        </w:tc>
      </w:tr>
      <w:tr w:rsidR="005253F2" w:rsidTr="00001134">
        <w:trPr>
          <w:cantSplit/>
          <w:trHeight w:val="250"/>
          <w:jc w:val="center"/>
        </w:trPr>
        <w:tc>
          <w:tcPr>
            <w:tcW w:w="3686"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rPr>
                <w:lang w:val="fr-FR"/>
              </w:rPr>
            </w:pPr>
            <w:r>
              <w:rPr>
                <w:lang w:val="fr-FR"/>
              </w:rPr>
              <w:t>Frecuencia (GHz)</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47,0</w:t>
            </w:r>
          </w:p>
        </w:tc>
        <w:tc>
          <w:tcPr>
            <w:tcW w:w="965"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48,0</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47,0</w:t>
            </w:r>
          </w:p>
        </w:tc>
        <w:tc>
          <w:tcPr>
            <w:tcW w:w="99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48,0</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47,0</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48,0</w:t>
            </w:r>
          </w:p>
        </w:tc>
      </w:tr>
      <w:tr w:rsidR="005253F2" w:rsidTr="00001134">
        <w:trPr>
          <w:cantSplit/>
          <w:trHeight w:val="250"/>
          <w:jc w:val="center"/>
        </w:trPr>
        <w:tc>
          <w:tcPr>
            <w:tcW w:w="3686"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rPr>
                <w:lang w:val="fr-FR"/>
              </w:rPr>
            </w:pPr>
            <w:r>
              <w:rPr>
                <w:lang w:val="fr-FR"/>
              </w:rPr>
              <w:t>Anchura de banda (MHz)</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11,0</w:t>
            </w:r>
          </w:p>
        </w:tc>
        <w:tc>
          <w:tcPr>
            <w:tcW w:w="965"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2,0</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11,0</w:t>
            </w:r>
          </w:p>
        </w:tc>
        <w:tc>
          <w:tcPr>
            <w:tcW w:w="99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2,0</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11,0</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2,0</w:t>
            </w:r>
          </w:p>
        </w:tc>
      </w:tr>
      <w:tr w:rsidR="005253F2" w:rsidTr="00001134">
        <w:trPr>
          <w:cantSplit/>
          <w:trHeight w:val="250"/>
          <w:jc w:val="center"/>
        </w:trPr>
        <w:tc>
          <w:tcPr>
            <w:tcW w:w="3686"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rPr>
                <w:lang w:val="en-US"/>
              </w:rPr>
            </w:pPr>
            <w:r>
              <w:t>Potencia del transmisor (dBW)</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1,3</w:t>
            </w:r>
          </w:p>
        </w:tc>
        <w:tc>
          <w:tcPr>
            <w:tcW w:w="965"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–8,2</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1,3</w:t>
            </w:r>
          </w:p>
        </w:tc>
        <w:tc>
          <w:tcPr>
            <w:tcW w:w="99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–7,0</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3,5</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–1,5</w:t>
            </w:r>
          </w:p>
        </w:tc>
      </w:tr>
      <w:tr w:rsidR="005253F2" w:rsidTr="00001134">
        <w:trPr>
          <w:cantSplit/>
          <w:trHeight w:val="250"/>
          <w:jc w:val="center"/>
        </w:trPr>
        <w:tc>
          <w:tcPr>
            <w:tcW w:w="3686"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rPr>
                <w:lang w:val="fr-FR"/>
              </w:rPr>
            </w:pPr>
            <w:r>
              <w:rPr>
                <w:lang w:val="fr-FR"/>
              </w:rPr>
              <w:t>Ganancia de antena (dBi)</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27,0</w:t>
            </w:r>
          </w:p>
        </w:tc>
        <w:tc>
          <w:tcPr>
            <w:tcW w:w="965"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23,0</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27,0</w:t>
            </w:r>
          </w:p>
        </w:tc>
        <w:tc>
          <w:tcPr>
            <w:tcW w:w="99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38,0</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38,0</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38,0</w:t>
            </w:r>
          </w:p>
        </w:tc>
      </w:tr>
      <w:tr w:rsidR="005253F2" w:rsidTr="00001134">
        <w:trPr>
          <w:cantSplit/>
          <w:trHeight w:val="250"/>
          <w:jc w:val="center"/>
        </w:trPr>
        <w:tc>
          <w:tcPr>
            <w:tcW w:w="3686" w:type="dxa"/>
            <w:tcBorders>
              <w:top w:val="single" w:sz="6" w:space="0" w:color="auto"/>
              <w:left w:val="single" w:sz="6" w:space="0" w:color="auto"/>
              <w:bottom w:val="single" w:sz="6" w:space="0" w:color="auto"/>
              <w:right w:val="single" w:sz="6" w:space="0" w:color="auto"/>
            </w:tcBorders>
          </w:tcPr>
          <w:p w:rsidR="005253F2" w:rsidRPr="00C71B8B" w:rsidRDefault="005253F2" w:rsidP="00001134">
            <w:pPr>
              <w:pStyle w:val="TableText"/>
              <w:jc w:val="left"/>
              <w:rPr>
                <w:lang w:val="es-ES_tradnl"/>
              </w:rPr>
            </w:pPr>
            <w:r w:rsidRPr="00C71B8B">
              <w:rPr>
                <w:lang w:val="es-ES_tradnl"/>
              </w:rPr>
              <w:t>Pérdidas híbrido (H)/guiaondas (W) (dB)</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0,5</w:t>
            </w:r>
          </w:p>
        </w:tc>
        <w:tc>
          <w:tcPr>
            <w:tcW w:w="965"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0,5</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0,5</w:t>
            </w:r>
          </w:p>
        </w:tc>
        <w:tc>
          <w:tcPr>
            <w:tcW w:w="99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0,5</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0,5</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0,5</w:t>
            </w:r>
          </w:p>
        </w:tc>
      </w:tr>
      <w:tr w:rsidR="005253F2" w:rsidTr="00001134">
        <w:trPr>
          <w:cantSplit/>
          <w:trHeight w:val="250"/>
          <w:jc w:val="center"/>
        </w:trPr>
        <w:tc>
          <w:tcPr>
            <w:tcW w:w="3686"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rPr>
                <w:lang w:val="fr-FR"/>
              </w:rPr>
            </w:pPr>
            <w:r>
              <w:rPr>
                <w:lang w:val="fr-FR"/>
              </w:rPr>
              <w:t>p.i.r.e. (dBW)</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27,8</w:t>
            </w:r>
          </w:p>
        </w:tc>
        <w:tc>
          <w:tcPr>
            <w:tcW w:w="965"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14,3</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27,8</w:t>
            </w:r>
          </w:p>
        </w:tc>
        <w:tc>
          <w:tcPr>
            <w:tcW w:w="99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30,6</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41,0</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36,1</w:t>
            </w:r>
          </w:p>
        </w:tc>
      </w:tr>
      <w:tr w:rsidR="005253F2" w:rsidTr="00001134">
        <w:trPr>
          <w:cantSplit/>
          <w:trHeight w:val="250"/>
          <w:jc w:val="center"/>
        </w:trPr>
        <w:tc>
          <w:tcPr>
            <w:tcW w:w="3686"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rPr>
                <w:lang w:val="en-US"/>
              </w:rPr>
            </w:pPr>
            <w:r>
              <w:t>Alcance oblicuo (km)</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42,0</w:t>
            </w:r>
          </w:p>
        </w:tc>
        <w:tc>
          <w:tcPr>
            <w:tcW w:w="965"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42,0</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81,1</w:t>
            </w:r>
          </w:p>
        </w:tc>
        <w:tc>
          <w:tcPr>
            <w:tcW w:w="99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81,1</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240,9</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240,9</w:t>
            </w:r>
          </w:p>
        </w:tc>
      </w:tr>
      <w:tr w:rsidR="005253F2" w:rsidTr="00001134">
        <w:trPr>
          <w:cantSplit/>
          <w:trHeight w:val="250"/>
          <w:jc w:val="center"/>
        </w:trPr>
        <w:tc>
          <w:tcPr>
            <w:tcW w:w="3686" w:type="dxa"/>
            <w:tcBorders>
              <w:top w:val="single" w:sz="6" w:space="0" w:color="auto"/>
              <w:left w:val="single" w:sz="6" w:space="0" w:color="auto"/>
              <w:bottom w:val="single" w:sz="6" w:space="0" w:color="auto"/>
              <w:right w:val="single" w:sz="6" w:space="0" w:color="auto"/>
            </w:tcBorders>
          </w:tcPr>
          <w:p w:rsidR="005253F2" w:rsidRPr="00C71B8B" w:rsidRDefault="005253F2" w:rsidP="00001134">
            <w:pPr>
              <w:pStyle w:val="TableText"/>
              <w:jc w:val="left"/>
              <w:rPr>
                <w:lang w:val="es-ES_tradnl"/>
              </w:rPr>
            </w:pPr>
            <w:r w:rsidRPr="00C71B8B">
              <w:rPr>
                <w:lang w:val="es-ES_tradnl"/>
              </w:rPr>
              <w:t>Pérdidas en el espacio libre (dB)</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158,3</w:t>
            </w:r>
          </w:p>
        </w:tc>
        <w:tc>
          <w:tcPr>
            <w:tcW w:w="965"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158,5</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164,1</w:t>
            </w:r>
          </w:p>
        </w:tc>
        <w:tc>
          <w:tcPr>
            <w:tcW w:w="99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164,3</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173,5</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173,7</w:t>
            </w:r>
          </w:p>
        </w:tc>
      </w:tr>
      <w:tr w:rsidR="005253F2" w:rsidTr="00001134">
        <w:trPr>
          <w:cantSplit/>
          <w:trHeight w:val="250"/>
          <w:jc w:val="center"/>
        </w:trPr>
        <w:tc>
          <w:tcPr>
            <w:tcW w:w="3686"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rPr>
                <w:lang w:val="fr-FR"/>
              </w:rPr>
            </w:pPr>
            <w:r>
              <w:rPr>
                <w:lang w:val="fr-FR"/>
              </w:rPr>
              <w:t>Pérdidas atmosféricas (dB)</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2,3</w:t>
            </w:r>
          </w:p>
        </w:tc>
        <w:tc>
          <w:tcPr>
            <w:tcW w:w="965"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2,8</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5,2</w:t>
            </w:r>
          </w:p>
        </w:tc>
        <w:tc>
          <w:tcPr>
            <w:tcW w:w="99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5,8</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6,3</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7,7</w:t>
            </w:r>
          </w:p>
        </w:tc>
      </w:tr>
      <w:tr w:rsidR="005253F2" w:rsidTr="00001134">
        <w:trPr>
          <w:cantSplit/>
          <w:trHeight w:val="250"/>
          <w:jc w:val="center"/>
        </w:trPr>
        <w:tc>
          <w:tcPr>
            <w:tcW w:w="3686" w:type="dxa"/>
            <w:tcBorders>
              <w:top w:val="single" w:sz="6" w:space="0" w:color="auto"/>
              <w:left w:val="single" w:sz="6" w:space="0" w:color="auto"/>
              <w:bottom w:val="single" w:sz="6" w:space="0" w:color="auto"/>
              <w:right w:val="single" w:sz="6" w:space="0" w:color="auto"/>
            </w:tcBorders>
          </w:tcPr>
          <w:p w:rsidR="005253F2" w:rsidRPr="00C71B8B" w:rsidRDefault="005253F2" w:rsidP="00001134">
            <w:pPr>
              <w:pStyle w:val="TableText"/>
              <w:jc w:val="left"/>
              <w:rPr>
                <w:lang w:val="es-ES_tradnl"/>
              </w:rPr>
            </w:pPr>
            <w:r w:rsidRPr="00C71B8B">
              <w:rPr>
                <w:lang w:val="es-ES_tradnl"/>
              </w:rPr>
              <w:t>Atenuación debida a la lluvia (dB)</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11,2</w:t>
            </w:r>
          </w:p>
        </w:tc>
        <w:tc>
          <w:tcPr>
            <w:tcW w:w="965"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11,2</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14,8</w:t>
            </w:r>
          </w:p>
        </w:tc>
        <w:tc>
          <w:tcPr>
            <w:tcW w:w="99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14,9</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20,2</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22,4</w:t>
            </w:r>
          </w:p>
        </w:tc>
      </w:tr>
      <w:tr w:rsidR="005253F2" w:rsidTr="00001134">
        <w:trPr>
          <w:cantSplit/>
          <w:trHeight w:val="250"/>
          <w:jc w:val="center"/>
        </w:trPr>
        <w:tc>
          <w:tcPr>
            <w:tcW w:w="3686" w:type="dxa"/>
            <w:tcBorders>
              <w:top w:val="single" w:sz="6" w:space="0" w:color="auto"/>
              <w:left w:val="single" w:sz="6" w:space="0" w:color="auto"/>
              <w:bottom w:val="single" w:sz="6" w:space="0" w:color="auto"/>
              <w:right w:val="single" w:sz="6" w:space="0" w:color="auto"/>
            </w:tcBorders>
          </w:tcPr>
          <w:p w:rsidR="005253F2" w:rsidRPr="00C71B8B" w:rsidRDefault="005253F2" w:rsidP="00001134">
            <w:pPr>
              <w:pStyle w:val="TableText"/>
              <w:jc w:val="left"/>
              <w:rPr>
                <w:lang w:val="es-ES_tradnl"/>
              </w:rPr>
            </w:pPr>
            <w:r w:rsidRPr="00C71B8B">
              <w:rPr>
                <w:lang w:val="es-ES_tradnl"/>
              </w:rPr>
              <w:t>dfp en el suelo (dB(W/(m</w:t>
            </w:r>
            <w:r w:rsidRPr="00C71B8B">
              <w:rPr>
                <w:position w:val="6"/>
                <w:sz w:val="14"/>
                <w:lang w:val="es-ES_tradnl"/>
              </w:rPr>
              <w:t>2</w:t>
            </w:r>
            <w:r w:rsidRPr="00C71B8B">
              <w:rPr>
                <w:lang w:val="es-ES_tradnl"/>
              </w:rPr>
              <w:t xml:space="preserve"> · MHz)))</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–99,6</w:t>
            </w:r>
          </w:p>
        </w:tc>
        <w:tc>
          <w:tcPr>
            <w:tcW w:w="965"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–111,8</w:t>
            </w:r>
          </w:p>
        </w:tc>
        <w:tc>
          <w:tcPr>
            <w:tcW w:w="99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–114,5</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w:t>
            </w:r>
          </w:p>
        </w:tc>
      </w:tr>
      <w:tr w:rsidR="005253F2" w:rsidTr="00001134">
        <w:trPr>
          <w:cantSplit/>
          <w:trHeight w:val="250"/>
          <w:jc w:val="center"/>
        </w:trPr>
        <w:tc>
          <w:tcPr>
            <w:tcW w:w="3686"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rPr>
                <w:lang w:val="fr-FR"/>
              </w:rPr>
            </w:pPr>
            <w:r>
              <w:t xml:space="preserve">Receptor </w:t>
            </w:r>
            <w:r>
              <w:rPr>
                <w:i/>
                <w:iCs/>
              </w:rPr>
              <w:t>G</w:t>
            </w:r>
            <w:r>
              <w:t>/</w:t>
            </w:r>
            <w:r>
              <w:rPr>
                <w:i/>
                <w:iCs/>
              </w:rPr>
              <w:t>T</w:t>
            </w:r>
            <w:r>
              <w:t xml:space="preserve"> (dB(K</w:t>
            </w:r>
            <w:r>
              <w:rPr>
                <w:position w:val="6"/>
                <w:sz w:val="14"/>
              </w:rPr>
              <w:t>–1</w:t>
            </w:r>
            <w:r>
              <w:t>))</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–6,5</w:t>
            </w:r>
          </w:p>
        </w:tc>
        <w:tc>
          <w:tcPr>
            <w:tcW w:w="965"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0,0</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8,5</w:t>
            </w:r>
          </w:p>
        </w:tc>
        <w:tc>
          <w:tcPr>
            <w:tcW w:w="99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0,0</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8,5</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11,1</w:t>
            </w:r>
          </w:p>
        </w:tc>
      </w:tr>
      <w:tr w:rsidR="005253F2" w:rsidTr="00001134">
        <w:trPr>
          <w:cantSplit/>
          <w:trHeight w:val="250"/>
          <w:jc w:val="center"/>
        </w:trPr>
        <w:tc>
          <w:tcPr>
            <w:tcW w:w="3686"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rPr>
                <w:lang w:val="fr-FR"/>
              </w:rPr>
            </w:pPr>
            <w:r>
              <w:rPr>
                <w:lang w:val="fr-FR"/>
              </w:rPr>
              <w:t>Pérdidas de polarización (dB)</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0,5</w:t>
            </w:r>
          </w:p>
        </w:tc>
        <w:tc>
          <w:tcPr>
            <w:tcW w:w="965"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0,5</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0,5</w:t>
            </w:r>
          </w:p>
        </w:tc>
        <w:tc>
          <w:tcPr>
            <w:tcW w:w="99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0,5</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0,5</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0,5</w:t>
            </w:r>
          </w:p>
        </w:tc>
      </w:tr>
      <w:tr w:rsidR="005253F2" w:rsidTr="00001134">
        <w:trPr>
          <w:cantSplit/>
          <w:trHeight w:val="250"/>
          <w:jc w:val="center"/>
        </w:trPr>
        <w:tc>
          <w:tcPr>
            <w:tcW w:w="3686"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rPr>
                <w:lang w:val="fr-FR"/>
              </w:rPr>
            </w:pPr>
            <w:r>
              <w:rPr>
                <w:lang w:val="fr-FR"/>
              </w:rPr>
              <w:t>Constante de Boltzmann (dB(W/K))</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–228,6</w:t>
            </w:r>
          </w:p>
        </w:tc>
        <w:tc>
          <w:tcPr>
            <w:tcW w:w="965"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–228,6</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–228,6</w:t>
            </w:r>
          </w:p>
        </w:tc>
        <w:tc>
          <w:tcPr>
            <w:tcW w:w="99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–228,6</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–228,6</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–228,6</w:t>
            </w:r>
          </w:p>
        </w:tc>
      </w:tr>
      <w:tr w:rsidR="005253F2" w:rsidTr="00001134">
        <w:trPr>
          <w:cantSplit/>
          <w:trHeight w:val="250"/>
          <w:jc w:val="center"/>
        </w:trPr>
        <w:tc>
          <w:tcPr>
            <w:tcW w:w="3686"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pPr>
            <w:r>
              <w:t>Velocidad binaria (dB(Hz))</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en-US"/>
              </w:rPr>
            </w:pPr>
            <w:r>
              <w:rPr>
                <w:lang w:val="en-US"/>
              </w:rPr>
              <w:t> </w:t>
            </w:r>
            <w:r>
              <w:rPr>
                <w:lang w:val="en-US"/>
              </w:rPr>
              <w:t>70,0</w:t>
            </w:r>
          </w:p>
        </w:tc>
        <w:tc>
          <w:tcPr>
            <w:tcW w:w="965"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en-US"/>
              </w:rPr>
            </w:pPr>
            <w:r>
              <w:rPr>
                <w:lang w:val="en-US"/>
              </w:rPr>
              <w:t> </w:t>
            </w:r>
            <w:r>
              <w:rPr>
                <w:lang w:val="en-US"/>
              </w:rPr>
              <w:t>63,1</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en-US"/>
              </w:rPr>
            </w:pPr>
            <w:r>
              <w:rPr>
                <w:lang w:val="en-US"/>
              </w:rPr>
              <w:t> </w:t>
            </w:r>
            <w:r>
              <w:rPr>
                <w:lang w:val="en-US"/>
              </w:rPr>
              <w:t>70,0</w:t>
            </w:r>
          </w:p>
        </w:tc>
        <w:tc>
          <w:tcPr>
            <w:tcW w:w="99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en-US"/>
              </w:rPr>
            </w:pPr>
            <w:r>
              <w:rPr>
                <w:lang w:val="en-US"/>
              </w:rPr>
              <w:t> </w:t>
            </w:r>
            <w:r>
              <w:rPr>
                <w:lang w:val="en-US"/>
              </w:rPr>
              <w:t>63,1</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en-US"/>
              </w:rPr>
            </w:pPr>
            <w:r>
              <w:rPr>
                <w:lang w:val="en-US"/>
              </w:rPr>
              <w:t> </w:t>
            </w:r>
            <w:r>
              <w:rPr>
                <w:lang w:val="en-US"/>
              </w:rPr>
              <w:t>70,0</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en-US"/>
              </w:rPr>
            </w:pPr>
            <w:r>
              <w:rPr>
                <w:lang w:val="en-US"/>
              </w:rPr>
              <w:t> </w:t>
            </w:r>
            <w:r>
              <w:rPr>
                <w:lang w:val="en-US"/>
              </w:rPr>
              <w:t>63,1</w:t>
            </w:r>
          </w:p>
        </w:tc>
      </w:tr>
      <w:tr w:rsidR="005253F2" w:rsidTr="00001134">
        <w:trPr>
          <w:cantSplit/>
          <w:trHeight w:val="250"/>
          <w:jc w:val="center"/>
        </w:trPr>
        <w:tc>
          <w:tcPr>
            <w:tcW w:w="3686"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pPr>
            <w:r>
              <w:rPr>
                <w:i/>
                <w:iCs/>
              </w:rPr>
              <w:t>E</w:t>
            </w:r>
            <w:r>
              <w:rPr>
                <w:i/>
                <w:iCs/>
                <w:position w:val="-4"/>
                <w:sz w:val="14"/>
              </w:rPr>
              <w:t>b</w:t>
            </w:r>
            <w:r>
              <w:t>/(</w:t>
            </w:r>
            <w:r>
              <w:rPr>
                <w:i/>
                <w:iCs/>
              </w:rPr>
              <w:t>N</w:t>
            </w:r>
            <w:r>
              <w:rPr>
                <w:position w:val="-4"/>
                <w:sz w:val="14"/>
              </w:rPr>
              <w:t>0</w:t>
            </w:r>
            <w:r>
              <w:t> </w:t>
            </w:r>
            <w:r w:rsidR="002F26D4">
              <w:sym w:font="Symbol" w:char="F02B"/>
            </w:r>
            <w:r>
              <w:t> </w:t>
            </w:r>
            <w:r>
              <w:rPr>
                <w:i/>
                <w:iCs/>
              </w:rPr>
              <w:t>I</w:t>
            </w:r>
            <w:r>
              <w:rPr>
                <w:position w:val="-4"/>
                <w:sz w:val="14"/>
              </w:rPr>
              <w:t>0</w:t>
            </w:r>
            <w:r>
              <w:t>) (</w:t>
            </w:r>
            <w:r>
              <w:rPr>
                <w:i/>
                <w:iCs/>
              </w:rPr>
              <w:t>I</w:t>
            </w:r>
            <w:r>
              <w:t> </w:t>
            </w:r>
            <w:r w:rsidR="002F26D4">
              <w:t>=</w:t>
            </w:r>
            <w:r>
              <w:t> 0) (dB)</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en-US"/>
              </w:rPr>
            </w:pPr>
            <w:r>
              <w:rPr>
                <w:lang w:val="en-US"/>
              </w:rPr>
              <w:t> </w:t>
            </w:r>
            <w:r>
              <w:rPr>
                <w:lang w:val="en-US"/>
              </w:rPr>
              <w:t> </w:t>
            </w:r>
            <w:r>
              <w:rPr>
                <w:lang w:val="en-US"/>
              </w:rPr>
              <w:t>7,5</w:t>
            </w:r>
          </w:p>
        </w:tc>
        <w:tc>
          <w:tcPr>
            <w:tcW w:w="965"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en-US"/>
              </w:rPr>
            </w:pPr>
            <w:r>
              <w:rPr>
                <w:lang w:val="en-US"/>
              </w:rPr>
              <w:t> </w:t>
            </w:r>
            <w:r>
              <w:rPr>
                <w:lang w:val="en-US"/>
              </w:rPr>
              <w:t> </w:t>
            </w:r>
            <w:r>
              <w:rPr>
                <w:lang w:val="en-US"/>
              </w:rPr>
              <w:t>6,8</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en-US"/>
              </w:rPr>
            </w:pPr>
            <w:r>
              <w:rPr>
                <w:lang w:val="en-US"/>
              </w:rPr>
              <w:t> </w:t>
            </w:r>
            <w:r>
              <w:rPr>
                <w:lang w:val="en-US"/>
              </w:rPr>
              <w:t>10,3</w:t>
            </w:r>
          </w:p>
        </w:tc>
        <w:tc>
          <w:tcPr>
            <w:tcW w:w="99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en-US"/>
              </w:rPr>
            </w:pPr>
            <w:r>
              <w:rPr>
                <w:lang w:val="en-US"/>
              </w:rPr>
              <w:t> </w:t>
            </w:r>
            <w:r>
              <w:rPr>
                <w:lang w:val="en-US"/>
              </w:rPr>
              <w:t>10,6</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en-US"/>
              </w:rPr>
            </w:pPr>
            <w:r>
              <w:rPr>
                <w:lang w:val="en-US"/>
              </w:rPr>
              <w:t> </w:t>
            </w:r>
            <w:r>
              <w:rPr>
                <w:lang w:val="en-US"/>
              </w:rPr>
              <w:t> </w:t>
            </w:r>
            <w:r>
              <w:rPr>
                <w:lang w:val="en-US"/>
              </w:rPr>
              <w:t>7,6</w:t>
            </w:r>
          </w:p>
        </w:tc>
        <w:tc>
          <w:tcPr>
            <w:tcW w:w="1021"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en-US"/>
              </w:rPr>
            </w:pPr>
            <w:r>
              <w:rPr>
                <w:lang w:val="en-US"/>
              </w:rPr>
              <w:t> </w:t>
            </w:r>
            <w:r>
              <w:rPr>
                <w:lang w:val="en-US"/>
              </w:rPr>
              <w:t> </w:t>
            </w:r>
            <w:r>
              <w:rPr>
                <w:lang w:val="en-US"/>
              </w:rPr>
              <w:t>8,3</w:t>
            </w:r>
          </w:p>
        </w:tc>
      </w:tr>
      <w:tr w:rsidR="005253F2" w:rsidTr="00001134">
        <w:trPr>
          <w:cantSplit/>
          <w:trHeight w:val="250"/>
          <w:jc w:val="center"/>
        </w:trPr>
        <w:tc>
          <w:tcPr>
            <w:tcW w:w="3686" w:type="dxa"/>
            <w:tcBorders>
              <w:top w:val="single" w:sz="6" w:space="0" w:color="auto"/>
              <w:left w:val="single" w:sz="6" w:space="0" w:color="auto"/>
              <w:right w:val="single" w:sz="6" w:space="0" w:color="auto"/>
            </w:tcBorders>
          </w:tcPr>
          <w:p w:rsidR="005253F2" w:rsidRDefault="005253F2" w:rsidP="00001134">
            <w:pPr>
              <w:pStyle w:val="TableText"/>
              <w:jc w:val="left"/>
              <w:rPr>
                <w:lang w:val="en-US"/>
              </w:rPr>
            </w:pPr>
            <w:r>
              <w:rPr>
                <w:i/>
                <w:iCs/>
                <w:lang w:val="en-US"/>
              </w:rPr>
              <w:t>E</w:t>
            </w:r>
            <w:r>
              <w:rPr>
                <w:i/>
                <w:iCs/>
                <w:position w:val="-4"/>
                <w:sz w:val="14"/>
                <w:lang w:val="en-US"/>
              </w:rPr>
              <w:t>b</w:t>
            </w:r>
            <w:r>
              <w:rPr>
                <w:lang w:val="en-US"/>
              </w:rPr>
              <w:t>/(</w:t>
            </w:r>
            <w:r>
              <w:rPr>
                <w:i/>
                <w:iCs/>
                <w:lang w:val="en-US"/>
              </w:rPr>
              <w:t>N</w:t>
            </w:r>
            <w:r>
              <w:rPr>
                <w:position w:val="-4"/>
                <w:sz w:val="14"/>
                <w:lang w:val="en-US"/>
              </w:rPr>
              <w:t>0</w:t>
            </w:r>
            <w:r>
              <w:t> </w:t>
            </w:r>
            <w:r w:rsidR="002F26D4">
              <w:sym w:font="Symbol" w:char="F02B"/>
            </w:r>
            <w:r>
              <w:t> </w:t>
            </w:r>
            <w:r>
              <w:rPr>
                <w:i/>
                <w:iCs/>
                <w:lang w:val="en-US"/>
              </w:rPr>
              <w:t>I</w:t>
            </w:r>
            <w:r>
              <w:rPr>
                <w:position w:val="-4"/>
                <w:sz w:val="14"/>
                <w:lang w:val="en-US"/>
              </w:rPr>
              <w:t>0</w:t>
            </w:r>
            <w:r>
              <w:rPr>
                <w:lang w:val="en-US"/>
              </w:rPr>
              <w:t>) requerida (dB)</w:t>
            </w:r>
          </w:p>
        </w:tc>
        <w:tc>
          <w:tcPr>
            <w:tcW w:w="1021" w:type="dxa"/>
            <w:tcBorders>
              <w:top w:val="single" w:sz="6" w:space="0" w:color="auto"/>
              <w:left w:val="single" w:sz="6" w:space="0" w:color="auto"/>
              <w:right w:val="single" w:sz="6" w:space="0" w:color="auto"/>
            </w:tcBorders>
          </w:tcPr>
          <w:p w:rsidR="005253F2" w:rsidRDefault="005253F2" w:rsidP="00001134">
            <w:pPr>
              <w:pStyle w:val="TableText"/>
              <w:jc w:val="center"/>
              <w:rPr>
                <w:lang w:val="en-US"/>
              </w:rPr>
            </w:pPr>
            <w:r>
              <w:rPr>
                <w:lang w:val="fr-FR"/>
              </w:rPr>
              <w:t> </w:t>
            </w:r>
            <w:r>
              <w:rPr>
                <w:lang w:val="fr-FR"/>
              </w:rPr>
              <w:t> </w:t>
            </w:r>
            <w:r>
              <w:rPr>
                <w:lang w:val="en-US"/>
              </w:rPr>
              <w:t>6,1</w:t>
            </w:r>
          </w:p>
        </w:tc>
        <w:tc>
          <w:tcPr>
            <w:tcW w:w="965" w:type="dxa"/>
            <w:tcBorders>
              <w:top w:val="single" w:sz="6" w:space="0" w:color="auto"/>
              <w:left w:val="single" w:sz="6" w:space="0" w:color="auto"/>
              <w:right w:val="single" w:sz="6" w:space="0" w:color="auto"/>
            </w:tcBorders>
          </w:tcPr>
          <w:p w:rsidR="005253F2" w:rsidRDefault="005253F2" w:rsidP="00001134">
            <w:pPr>
              <w:pStyle w:val="TableText"/>
              <w:jc w:val="center"/>
              <w:rPr>
                <w:lang w:val="en-US"/>
              </w:rPr>
            </w:pPr>
            <w:r>
              <w:rPr>
                <w:lang w:val="fr-FR"/>
              </w:rPr>
              <w:t> </w:t>
            </w:r>
            <w:r>
              <w:rPr>
                <w:lang w:val="fr-FR"/>
              </w:rPr>
              <w:t> </w:t>
            </w:r>
            <w:r>
              <w:rPr>
                <w:lang w:val="en-US"/>
              </w:rPr>
              <w:t>6,1</w:t>
            </w:r>
          </w:p>
        </w:tc>
        <w:tc>
          <w:tcPr>
            <w:tcW w:w="1021" w:type="dxa"/>
            <w:tcBorders>
              <w:top w:val="single" w:sz="6" w:space="0" w:color="auto"/>
              <w:left w:val="single" w:sz="6" w:space="0" w:color="auto"/>
              <w:right w:val="single" w:sz="6" w:space="0" w:color="auto"/>
            </w:tcBorders>
          </w:tcPr>
          <w:p w:rsidR="005253F2" w:rsidRDefault="005253F2" w:rsidP="00001134">
            <w:pPr>
              <w:pStyle w:val="TableText"/>
              <w:jc w:val="center"/>
              <w:rPr>
                <w:lang w:val="en-US"/>
              </w:rPr>
            </w:pPr>
            <w:r>
              <w:rPr>
                <w:lang w:val="fr-FR"/>
              </w:rPr>
              <w:t> </w:t>
            </w:r>
            <w:r>
              <w:rPr>
                <w:lang w:val="fr-FR"/>
              </w:rPr>
              <w:t> </w:t>
            </w:r>
            <w:r>
              <w:rPr>
                <w:lang w:val="en-US"/>
              </w:rPr>
              <w:t>6,1</w:t>
            </w:r>
          </w:p>
        </w:tc>
        <w:tc>
          <w:tcPr>
            <w:tcW w:w="993" w:type="dxa"/>
            <w:tcBorders>
              <w:top w:val="single" w:sz="6" w:space="0" w:color="auto"/>
              <w:left w:val="single" w:sz="6" w:space="0" w:color="auto"/>
              <w:right w:val="single" w:sz="6" w:space="0" w:color="auto"/>
            </w:tcBorders>
          </w:tcPr>
          <w:p w:rsidR="005253F2" w:rsidRDefault="005253F2" w:rsidP="00001134">
            <w:pPr>
              <w:pStyle w:val="TableText"/>
              <w:jc w:val="center"/>
              <w:rPr>
                <w:lang w:val="en-US"/>
              </w:rPr>
            </w:pPr>
            <w:r>
              <w:rPr>
                <w:lang w:val="fr-FR"/>
              </w:rPr>
              <w:t> </w:t>
            </w:r>
            <w:r>
              <w:rPr>
                <w:lang w:val="fr-FR"/>
              </w:rPr>
              <w:t> </w:t>
            </w:r>
            <w:r>
              <w:rPr>
                <w:lang w:val="en-US"/>
              </w:rPr>
              <w:t>6,1</w:t>
            </w:r>
          </w:p>
        </w:tc>
        <w:tc>
          <w:tcPr>
            <w:tcW w:w="1021" w:type="dxa"/>
            <w:tcBorders>
              <w:top w:val="single" w:sz="6" w:space="0" w:color="auto"/>
              <w:left w:val="single" w:sz="6" w:space="0" w:color="auto"/>
              <w:right w:val="single" w:sz="6" w:space="0" w:color="auto"/>
            </w:tcBorders>
          </w:tcPr>
          <w:p w:rsidR="005253F2" w:rsidRDefault="005253F2" w:rsidP="00001134">
            <w:pPr>
              <w:pStyle w:val="TableText"/>
              <w:jc w:val="center"/>
              <w:rPr>
                <w:lang w:val="en-US"/>
              </w:rPr>
            </w:pPr>
            <w:r>
              <w:rPr>
                <w:lang w:val="fr-FR"/>
              </w:rPr>
              <w:t> </w:t>
            </w:r>
            <w:r>
              <w:rPr>
                <w:lang w:val="fr-FR"/>
              </w:rPr>
              <w:t> </w:t>
            </w:r>
            <w:r>
              <w:rPr>
                <w:lang w:val="en-US"/>
              </w:rPr>
              <w:t>6,1</w:t>
            </w:r>
          </w:p>
        </w:tc>
        <w:tc>
          <w:tcPr>
            <w:tcW w:w="1021" w:type="dxa"/>
            <w:tcBorders>
              <w:top w:val="single" w:sz="6" w:space="0" w:color="auto"/>
              <w:left w:val="single" w:sz="6" w:space="0" w:color="auto"/>
              <w:right w:val="single" w:sz="6" w:space="0" w:color="auto"/>
            </w:tcBorders>
          </w:tcPr>
          <w:p w:rsidR="005253F2" w:rsidRDefault="005253F2" w:rsidP="00001134">
            <w:pPr>
              <w:pStyle w:val="TableText"/>
              <w:jc w:val="center"/>
              <w:rPr>
                <w:lang w:val="en-US"/>
              </w:rPr>
            </w:pPr>
            <w:r>
              <w:rPr>
                <w:lang w:val="fr-FR"/>
              </w:rPr>
              <w:t> </w:t>
            </w:r>
            <w:r>
              <w:rPr>
                <w:lang w:val="fr-FR"/>
              </w:rPr>
              <w:t> </w:t>
            </w:r>
            <w:r>
              <w:rPr>
                <w:lang w:val="en-US"/>
              </w:rPr>
              <w:t>6,1</w:t>
            </w:r>
          </w:p>
        </w:tc>
      </w:tr>
      <w:tr w:rsidR="005253F2" w:rsidTr="00001134">
        <w:trPr>
          <w:cantSplit/>
          <w:trHeight w:val="250"/>
          <w:jc w:val="center"/>
        </w:trPr>
        <w:tc>
          <w:tcPr>
            <w:tcW w:w="3686" w:type="dxa"/>
            <w:tcBorders>
              <w:top w:val="single" w:sz="6" w:space="0" w:color="auto"/>
              <w:left w:val="single" w:sz="6" w:space="0" w:color="auto"/>
              <w:bottom w:val="single" w:sz="6" w:space="0" w:color="auto"/>
              <w:right w:val="single" w:sz="6" w:space="0" w:color="auto"/>
            </w:tcBorders>
            <w:shd w:val="clear" w:color="FFFFFF" w:fill="auto"/>
          </w:tcPr>
          <w:p w:rsidR="005253F2" w:rsidRDefault="005253F2" w:rsidP="00001134">
            <w:pPr>
              <w:pStyle w:val="TableText"/>
              <w:jc w:val="left"/>
              <w:rPr>
                <w:lang w:val="en-US"/>
              </w:rPr>
            </w:pPr>
            <w:r>
              <w:rPr>
                <w:lang w:val="en-US"/>
              </w:rPr>
              <w:t>Margen (dB)</w:t>
            </w:r>
          </w:p>
        </w:tc>
        <w:tc>
          <w:tcPr>
            <w:tcW w:w="1021" w:type="dxa"/>
            <w:tcBorders>
              <w:top w:val="single" w:sz="6" w:space="0" w:color="auto"/>
              <w:left w:val="single" w:sz="6" w:space="0" w:color="auto"/>
              <w:bottom w:val="single" w:sz="6" w:space="0" w:color="auto"/>
              <w:right w:val="single" w:sz="6" w:space="0" w:color="auto"/>
            </w:tcBorders>
            <w:shd w:val="clear" w:color="FFFFFF" w:fill="auto"/>
          </w:tcPr>
          <w:p w:rsidR="005253F2" w:rsidRDefault="005253F2" w:rsidP="00001134">
            <w:pPr>
              <w:pStyle w:val="TableText"/>
              <w:jc w:val="center"/>
              <w:rPr>
                <w:lang w:val="en-US"/>
              </w:rPr>
            </w:pPr>
            <w:r>
              <w:rPr>
                <w:lang w:val="fr-FR"/>
              </w:rPr>
              <w:t> </w:t>
            </w:r>
            <w:r>
              <w:rPr>
                <w:lang w:val="fr-FR"/>
              </w:rPr>
              <w:t> </w:t>
            </w:r>
            <w:r>
              <w:rPr>
                <w:lang w:val="en-US"/>
              </w:rPr>
              <w:t>1,4</w:t>
            </w:r>
          </w:p>
        </w:tc>
        <w:tc>
          <w:tcPr>
            <w:tcW w:w="965" w:type="dxa"/>
            <w:tcBorders>
              <w:top w:val="single" w:sz="6" w:space="0" w:color="auto"/>
              <w:left w:val="single" w:sz="6" w:space="0" w:color="auto"/>
              <w:bottom w:val="single" w:sz="6" w:space="0" w:color="auto"/>
              <w:right w:val="single" w:sz="6" w:space="0" w:color="auto"/>
            </w:tcBorders>
            <w:shd w:val="clear" w:color="FFFFFF" w:fill="auto"/>
          </w:tcPr>
          <w:p w:rsidR="005253F2" w:rsidRDefault="005253F2" w:rsidP="00001134">
            <w:pPr>
              <w:pStyle w:val="TableText"/>
              <w:jc w:val="center"/>
              <w:rPr>
                <w:lang w:val="en-US"/>
              </w:rPr>
            </w:pPr>
            <w:r>
              <w:rPr>
                <w:lang w:val="fr-FR"/>
              </w:rPr>
              <w:t> </w:t>
            </w:r>
            <w:r>
              <w:rPr>
                <w:lang w:val="fr-FR"/>
              </w:rPr>
              <w:t> </w:t>
            </w:r>
            <w:r>
              <w:rPr>
                <w:lang w:val="en-US"/>
              </w:rPr>
              <w:t>0,7</w:t>
            </w:r>
          </w:p>
        </w:tc>
        <w:tc>
          <w:tcPr>
            <w:tcW w:w="1021" w:type="dxa"/>
            <w:tcBorders>
              <w:top w:val="single" w:sz="6" w:space="0" w:color="auto"/>
              <w:left w:val="single" w:sz="6" w:space="0" w:color="auto"/>
              <w:bottom w:val="single" w:sz="6" w:space="0" w:color="auto"/>
              <w:right w:val="single" w:sz="6" w:space="0" w:color="auto"/>
            </w:tcBorders>
            <w:shd w:val="clear" w:color="FFFFFF" w:fill="auto"/>
          </w:tcPr>
          <w:p w:rsidR="005253F2" w:rsidRDefault="005253F2" w:rsidP="00001134">
            <w:pPr>
              <w:pStyle w:val="TableText"/>
              <w:jc w:val="center"/>
              <w:rPr>
                <w:lang w:val="en-US"/>
              </w:rPr>
            </w:pPr>
            <w:r>
              <w:rPr>
                <w:lang w:val="fr-FR"/>
              </w:rPr>
              <w:t> </w:t>
            </w:r>
            <w:r>
              <w:rPr>
                <w:lang w:val="fr-FR"/>
              </w:rPr>
              <w:t> </w:t>
            </w:r>
            <w:r>
              <w:rPr>
                <w:lang w:val="en-US"/>
              </w:rPr>
              <w:t>4,2</w:t>
            </w:r>
          </w:p>
        </w:tc>
        <w:tc>
          <w:tcPr>
            <w:tcW w:w="993" w:type="dxa"/>
            <w:tcBorders>
              <w:top w:val="single" w:sz="6" w:space="0" w:color="auto"/>
              <w:left w:val="single" w:sz="6" w:space="0" w:color="auto"/>
              <w:bottom w:val="single" w:sz="6" w:space="0" w:color="auto"/>
              <w:right w:val="single" w:sz="6" w:space="0" w:color="auto"/>
            </w:tcBorders>
            <w:shd w:val="clear" w:color="FFFFFF" w:fill="auto"/>
          </w:tcPr>
          <w:p w:rsidR="005253F2" w:rsidRDefault="005253F2" w:rsidP="00001134">
            <w:pPr>
              <w:pStyle w:val="TableText"/>
              <w:jc w:val="center"/>
              <w:rPr>
                <w:lang w:val="en-US"/>
              </w:rPr>
            </w:pPr>
            <w:r>
              <w:rPr>
                <w:lang w:val="fr-FR"/>
              </w:rPr>
              <w:t> </w:t>
            </w:r>
            <w:r>
              <w:rPr>
                <w:lang w:val="fr-FR"/>
              </w:rPr>
              <w:t> </w:t>
            </w:r>
            <w:r>
              <w:rPr>
                <w:lang w:val="en-US"/>
              </w:rPr>
              <w:t>4,5</w:t>
            </w:r>
          </w:p>
        </w:tc>
        <w:tc>
          <w:tcPr>
            <w:tcW w:w="1021" w:type="dxa"/>
            <w:tcBorders>
              <w:top w:val="single" w:sz="6" w:space="0" w:color="auto"/>
              <w:left w:val="single" w:sz="6" w:space="0" w:color="auto"/>
              <w:bottom w:val="single" w:sz="6" w:space="0" w:color="auto"/>
              <w:right w:val="single" w:sz="6" w:space="0" w:color="auto"/>
            </w:tcBorders>
            <w:shd w:val="clear" w:color="FFFFFF" w:fill="auto"/>
          </w:tcPr>
          <w:p w:rsidR="005253F2" w:rsidRDefault="005253F2" w:rsidP="00001134">
            <w:pPr>
              <w:pStyle w:val="TableText"/>
              <w:jc w:val="center"/>
              <w:rPr>
                <w:lang w:val="en-US"/>
              </w:rPr>
            </w:pPr>
            <w:r>
              <w:rPr>
                <w:lang w:val="fr-FR"/>
              </w:rPr>
              <w:t> </w:t>
            </w:r>
            <w:r>
              <w:rPr>
                <w:lang w:val="fr-FR"/>
              </w:rPr>
              <w:t> </w:t>
            </w:r>
            <w:r>
              <w:rPr>
                <w:lang w:val="en-US"/>
              </w:rPr>
              <w:t>1,5</w:t>
            </w:r>
          </w:p>
        </w:tc>
        <w:tc>
          <w:tcPr>
            <w:tcW w:w="1021" w:type="dxa"/>
            <w:tcBorders>
              <w:top w:val="single" w:sz="6" w:space="0" w:color="auto"/>
              <w:left w:val="single" w:sz="6" w:space="0" w:color="auto"/>
              <w:bottom w:val="single" w:sz="6" w:space="0" w:color="auto"/>
              <w:right w:val="single" w:sz="6" w:space="0" w:color="auto"/>
            </w:tcBorders>
            <w:shd w:val="clear" w:color="FFFFFF" w:fill="auto"/>
          </w:tcPr>
          <w:p w:rsidR="005253F2" w:rsidRDefault="005253F2" w:rsidP="00001134">
            <w:pPr>
              <w:pStyle w:val="TableText"/>
              <w:jc w:val="center"/>
              <w:rPr>
                <w:lang w:val="en-US"/>
              </w:rPr>
            </w:pPr>
            <w:r>
              <w:rPr>
                <w:lang w:val="fr-FR"/>
              </w:rPr>
              <w:t> </w:t>
            </w:r>
            <w:r>
              <w:rPr>
                <w:lang w:val="fr-FR"/>
              </w:rPr>
              <w:t> </w:t>
            </w:r>
            <w:r>
              <w:rPr>
                <w:lang w:val="en-US"/>
              </w:rPr>
              <w:t>2,2</w:t>
            </w:r>
          </w:p>
        </w:tc>
      </w:tr>
    </w:tbl>
    <w:p w:rsidR="005253F2" w:rsidRDefault="005253F2" w:rsidP="00624662">
      <w:pPr>
        <w:pStyle w:val="Tablefin"/>
        <w:spacing w:before="0"/>
        <w:rPr>
          <w:lang w:val="en-US"/>
        </w:rPr>
      </w:pPr>
    </w:p>
    <w:p w:rsidR="005253F2" w:rsidRPr="00C71B8B" w:rsidRDefault="005253F2" w:rsidP="002F26D4">
      <w:pPr>
        <w:rPr>
          <w:lang w:val="es-ES_tradnl"/>
        </w:rPr>
      </w:pPr>
      <w:r w:rsidRPr="00C71B8B">
        <w:rPr>
          <w:lang w:val="es-ES_tradnl"/>
        </w:rPr>
        <w:t xml:space="preserve">Para los enlaces de estación de cabecera se utiliza el control de potencia adaptable a fin de combatir el desvanecimiento debido a la lluvia. Cada amplificador de potencia de la estación de cabecera puede aumentar su potencia hasta en 4 dB para los enlaces que resultan afectados más gravemente por la lluvia. Esto produce una ganancia del control de potencia de 4 dB. Los enlaces de la estación de cabecera van a 44 Mbit/s por portadora. La </w:t>
      </w:r>
      <w:r w:rsidRPr="00C71B8B">
        <w:rPr>
          <w:i/>
          <w:iCs/>
          <w:lang w:val="es-ES_tradnl"/>
        </w:rPr>
        <w:t>E</w:t>
      </w:r>
      <w:r w:rsidRPr="00C71B8B">
        <w:rPr>
          <w:i/>
          <w:iCs/>
          <w:vertAlign w:val="subscript"/>
          <w:lang w:val="es-ES_tradnl"/>
        </w:rPr>
        <w:t>b</w:t>
      </w:r>
      <w:r w:rsidRPr="00C71B8B">
        <w:rPr>
          <w:lang w:val="es-ES_tradnl"/>
        </w:rPr>
        <w:t>/(</w:t>
      </w:r>
      <w:r w:rsidRPr="00C71B8B">
        <w:rPr>
          <w:i/>
          <w:iCs/>
          <w:lang w:val="es-ES_tradnl"/>
        </w:rPr>
        <w:t>N</w:t>
      </w:r>
      <w:r w:rsidRPr="00C71B8B">
        <w:rPr>
          <w:vertAlign w:val="subscript"/>
          <w:lang w:val="es-ES_tradnl"/>
        </w:rPr>
        <w:t>0</w:t>
      </w:r>
      <w:r w:rsidRPr="00C71B8B">
        <w:rPr>
          <w:lang w:val="es-ES_tradnl"/>
        </w:rPr>
        <w:t> </w:t>
      </w:r>
      <w:r w:rsidR="002F26D4">
        <w:rPr>
          <w:lang w:val="fr-FR"/>
        </w:rPr>
        <w:sym w:font="Symbol" w:char="F02B"/>
      </w:r>
      <w:r w:rsidRPr="00C71B8B">
        <w:rPr>
          <w:lang w:val="es-ES_tradnl"/>
        </w:rPr>
        <w:t> </w:t>
      </w:r>
      <w:r w:rsidRPr="00C71B8B">
        <w:rPr>
          <w:i/>
          <w:iCs/>
          <w:lang w:val="es-ES_tradnl"/>
        </w:rPr>
        <w:t>I</w:t>
      </w:r>
      <w:r w:rsidRPr="00C71B8B">
        <w:rPr>
          <w:vertAlign w:val="subscript"/>
          <w:lang w:val="es-ES_tradnl"/>
        </w:rPr>
        <w:t>0</w:t>
      </w:r>
      <w:r w:rsidRPr="00C71B8B">
        <w:rPr>
          <w:lang w:val="es-ES_tradnl"/>
        </w:rPr>
        <w:t>) requerida para la estación de cabecera se basa en una modulación de MAQ-64 con una codificación convolucional de índice 4/5 (</w:t>
      </w:r>
      <w:r w:rsidRPr="00C71B8B">
        <w:rPr>
          <w:i/>
          <w:iCs/>
          <w:lang w:val="es-ES_tradnl"/>
        </w:rPr>
        <w:t>k</w:t>
      </w:r>
      <w:r w:rsidRPr="00C71B8B">
        <w:rPr>
          <w:lang w:val="es-ES_tradnl"/>
        </w:rPr>
        <w:t> </w:t>
      </w:r>
      <w:r w:rsidR="002F26D4">
        <w:rPr>
          <w:lang w:val="fr-FR"/>
        </w:rPr>
        <w:sym w:font="Symbol" w:char="F03D"/>
      </w:r>
      <w:r w:rsidRPr="00C71B8B">
        <w:rPr>
          <w:lang w:val="es-ES_tradnl"/>
        </w:rPr>
        <w:t> 9) concatenada con un código exterior Reed-Solomon de gran velocidad y codificación de entrelazado largo, a fin de lograr una BER superior a 1 </w:t>
      </w:r>
      <w:r w:rsidR="002F26D4">
        <w:rPr>
          <w:lang w:val="fr-FR"/>
        </w:rPr>
        <w:sym w:font="Symbol" w:char="F0B4"/>
      </w:r>
      <w:r w:rsidRPr="00C71B8B">
        <w:rPr>
          <w:rFonts w:hint="eastAsia"/>
          <w:lang w:val="es-ES_tradnl"/>
        </w:rPr>
        <w:t> </w:t>
      </w:r>
      <w:r w:rsidRPr="00C71B8B">
        <w:rPr>
          <w:lang w:val="es-ES_tradnl"/>
        </w:rPr>
        <w:t>10</w:t>
      </w:r>
      <w:r w:rsidRPr="00C71B8B">
        <w:rPr>
          <w:position w:val="6"/>
          <w:sz w:val="16"/>
          <w:lang w:val="es-ES_tradnl"/>
        </w:rPr>
        <w:t>–10</w:t>
      </w:r>
      <w:r w:rsidRPr="00C71B8B">
        <w:rPr>
          <w:lang w:val="es-ES_tradnl"/>
        </w:rPr>
        <w:t xml:space="preserve"> (véase la Nota 1).</w:t>
      </w:r>
    </w:p>
    <w:p w:rsidR="005253F2" w:rsidRPr="00C71B8B" w:rsidRDefault="005253F2">
      <w:pPr>
        <w:pStyle w:val="Note"/>
        <w:rPr>
          <w:lang w:val="es-ES_tradnl"/>
        </w:rPr>
      </w:pPr>
      <w:r w:rsidRPr="00C71B8B">
        <w:rPr>
          <w:lang w:val="es-ES_tradnl"/>
        </w:rPr>
        <w:lastRenderedPageBreak/>
        <w:t>NOTA 1 – Véase que la profundidad del entrelazado será varios cientos de veces la longitud con restricción del código convolucional y que su objetivo es aleatorizar los errores de ráfaga producidos por el decodificador de Viterbi.</w:t>
      </w:r>
    </w:p>
    <w:p w:rsidR="005253F2" w:rsidRPr="00C71B8B" w:rsidRDefault="005253F2">
      <w:pPr>
        <w:pStyle w:val="Table"/>
        <w:rPr>
          <w:lang w:val="es-ES_tradnl"/>
        </w:rPr>
      </w:pPr>
      <w:r w:rsidRPr="00C71B8B">
        <w:rPr>
          <w:lang w:val="es-ES_tradnl"/>
        </w:rPr>
        <w:t>CUADRO  7</w:t>
      </w:r>
    </w:p>
    <w:p w:rsidR="005253F2" w:rsidRPr="00C71B8B" w:rsidRDefault="005253F2">
      <w:pPr>
        <w:pStyle w:val="TableTitle"/>
        <w:rPr>
          <w:lang w:val="es-ES_tradnl"/>
        </w:rPr>
      </w:pPr>
      <w:r w:rsidRPr="00C71B8B">
        <w:rPr>
          <w:lang w:val="es-ES_tradnl"/>
        </w:rPr>
        <w:t>Enlaces de estación de cabecera</w:t>
      </w:r>
    </w:p>
    <w:tbl>
      <w:tblPr>
        <w:tblW w:w="0" w:type="auto"/>
        <w:jc w:val="center"/>
        <w:tblLayout w:type="fixed"/>
        <w:tblCellMar>
          <w:left w:w="107" w:type="dxa"/>
          <w:right w:w="107" w:type="dxa"/>
        </w:tblCellMar>
        <w:tblLook w:val="0000"/>
      </w:tblPr>
      <w:tblGrid>
        <w:gridCol w:w="3828"/>
        <w:gridCol w:w="1418"/>
        <w:gridCol w:w="1417"/>
        <w:gridCol w:w="1383"/>
        <w:gridCol w:w="1452"/>
      </w:tblGrid>
      <w:tr w:rsidR="005253F2" w:rsidTr="00001134">
        <w:trPr>
          <w:cantSplit/>
          <w:trHeight w:val="250"/>
          <w:jc w:val="center"/>
        </w:trPr>
        <w:tc>
          <w:tcPr>
            <w:tcW w:w="3828" w:type="dxa"/>
            <w:tcBorders>
              <w:top w:val="single" w:sz="6" w:space="0" w:color="auto"/>
              <w:left w:val="single" w:sz="6" w:space="0" w:color="auto"/>
              <w:right w:val="single" w:sz="6" w:space="0" w:color="auto"/>
            </w:tcBorders>
          </w:tcPr>
          <w:p w:rsidR="005253F2" w:rsidRPr="00C71B8B" w:rsidRDefault="005253F2" w:rsidP="00001134">
            <w:pPr>
              <w:pStyle w:val="TableText"/>
              <w:jc w:val="left"/>
              <w:rPr>
                <w:lang w:val="es-ES_tradnl"/>
              </w:rPr>
            </w:pPr>
          </w:p>
        </w:tc>
        <w:tc>
          <w:tcPr>
            <w:tcW w:w="1418" w:type="dxa"/>
            <w:tcBorders>
              <w:top w:val="single" w:sz="6" w:space="0" w:color="auto"/>
              <w:left w:val="single" w:sz="6" w:space="0" w:color="auto"/>
              <w:right w:val="single" w:sz="6" w:space="0" w:color="auto"/>
            </w:tcBorders>
          </w:tcPr>
          <w:p w:rsidR="005253F2" w:rsidRDefault="005253F2" w:rsidP="00001134">
            <w:pPr>
              <w:pStyle w:val="TableText"/>
              <w:jc w:val="center"/>
              <w:rPr>
                <w:lang w:val="fr-FR"/>
              </w:rPr>
            </w:pPr>
            <w:r>
              <w:rPr>
                <w:lang w:val="fr-FR"/>
              </w:rPr>
              <w:t>Zona de cobertura urbana</w:t>
            </w:r>
          </w:p>
        </w:tc>
        <w:tc>
          <w:tcPr>
            <w:tcW w:w="1417" w:type="dxa"/>
            <w:tcBorders>
              <w:top w:val="single" w:sz="6" w:space="0" w:color="auto"/>
              <w:left w:val="single" w:sz="6" w:space="0" w:color="auto"/>
              <w:right w:val="single" w:sz="6" w:space="0" w:color="auto"/>
            </w:tcBorders>
          </w:tcPr>
          <w:p w:rsidR="005253F2" w:rsidRDefault="005253F2" w:rsidP="00001134">
            <w:pPr>
              <w:pStyle w:val="TableText"/>
              <w:jc w:val="center"/>
              <w:rPr>
                <w:lang w:val="fr-FR"/>
              </w:rPr>
            </w:pPr>
            <w:r>
              <w:rPr>
                <w:lang w:val="fr-FR"/>
              </w:rPr>
              <w:t>Zona de cobertura urbana</w:t>
            </w:r>
          </w:p>
        </w:tc>
        <w:tc>
          <w:tcPr>
            <w:tcW w:w="1383" w:type="dxa"/>
            <w:tcBorders>
              <w:top w:val="single" w:sz="6" w:space="0" w:color="auto"/>
              <w:left w:val="single" w:sz="6" w:space="0" w:color="auto"/>
              <w:right w:val="single" w:sz="6" w:space="0" w:color="auto"/>
            </w:tcBorders>
          </w:tcPr>
          <w:p w:rsidR="005253F2" w:rsidRDefault="005253F2" w:rsidP="00001134">
            <w:pPr>
              <w:pStyle w:val="TableText"/>
              <w:jc w:val="center"/>
              <w:rPr>
                <w:lang w:val="fr-FR"/>
              </w:rPr>
            </w:pPr>
            <w:r>
              <w:rPr>
                <w:lang w:val="fr-FR"/>
              </w:rPr>
              <w:t>Zona de cobertura suburbana</w:t>
            </w:r>
          </w:p>
        </w:tc>
        <w:tc>
          <w:tcPr>
            <w:tcW w:w="1452" w:type="dxa"/>
            <w:tcBorders>
              <w:top w:val="single" w:sz="6" w:space="0" w:color="auto"/>
              <w:left w:val="single" w:sz="6" w:space="0" w:color="auto"/>
              <w:right w:val="single" w:sz="6" w:space="0" w:color="auto"/>
            </w:tcBorders>
          </w:tcPr>
          <w:p w:rsidR="005253F2" w:rsidRDefault="005253F2" w:rsidP="00001134">
            <w:pPr>
              <w:pStyle w:val="TableText"/>
              <w:jc w:val="center"/>
              <w:rPr>
                <w:lang w:val="fr-FR"/>
              </w:rPr>
            </w:pPr>
            <w:r>
              <w:rPr>
                <w:lang w:val="fr-FR"/>
              </w:rPr>
              <w:t>Zona de cobertura suburbana</w:t>
            </w:r>
          </w:p>
        </w:tc>
      </w:tr>
      <w:tr w:rsidR="005253F2" w:rsidTr="00001134">
        <w:trPr>
          <w:cantSplit/>
          <w:trHeight w:val="250"/>
          <w:jc w:val="center"/>
        </w:trPr>
        <w:tc>
          <w:tcPr>
            <w:tcW w:w="3828" w:type="dxa"/>
            <w:tcBorders>
              <w:left w:val="single" w:sz="6" w:space="0" w:color="auto"/>
              <w:right w:val="single" w:sz="6" w:space="0" w:color="auto"/>
            </w:tcBorders>
          </w:tcPr>
          <w:p w:rsidR="005253F2" w:rsidRDefault="005253F2" w:rsidP="00001134">
            <w:pPr>
              <w:pStyle w:val="TableText"/>
              <w:spacing w:after="0"/>
              <w:jc w:val="left"/>
              <w:rPr>
                <w:lang w:val="fr-FR"/>
              </w:rPr>
            </w:pPr>
          </w:p>
        </w:tc>
        <w:tc>
          <w:tcPr>
            <w:tcW w:w="1418" w:type="dxa"/>
            <w:vMerge w:val="restart"/>
            <w:tcBorders>
              <w:top w:val="single" w:sz="6" w:space="0" w:color="auto"/>
              <w:left w:val="single" w:sz="6" w:space="0" w:color="auto"/>
              <w:right w:val="single" w:sz="6" w:space="0" w:color="auto"/>
            </w:tcBorders>
          </w:tcPr>
          <w:p w:rsidR="005253F2" w:rsidRDefault="005253F2" w:rsidP="00001134">
            <w:pPr>
              <w:pStyle w:val="TableText"/>
              <w:jc w:val="center"/>
              <w:rPr>
                <w:lang w:val="fr-FR"/>
              </w:rPr>
            </w:pPr>
            <w:r>
              <w:rPr>
                <w:lang w:val="fr-FR"/>
              </w:rPr>
              <w:t>MDT descendente (por portadora)</w:t>
            </w:r>
          </w:p>
        </w:tc>
        <w:tc>
          <w:tcPr>
            <w:tcW w:w="1417" w:type="dxa"/>
            <w:vMerge w:val="restart"/>
            <w:tcBorders>
              <w:top w:val="single" w:sz="6" w:space="0" w:color="auto"/>
              <w:left w:val="single" w:sz="6" w:space="0" w:color="auto"/>
              <w:right w:val="single" w:sz="6" w:space="0" w:color="auto"/>
            </w:tcBorders>
          </w:tcPr>
          <w:p w:rsidR="005253F2" w:rsidRDefault="005253F2" w:rsidP="00001134">
            <w:pPr>
              <w:pStyle w:val="TableText"/>
              <w:jc w:val="center"/>
              <w:rPr>
                <w:lang w:val="fr-FR"/>
              </w:rPr>
            </w:pPr>
            <w:r>
              <w:rPr>
                <w:lang w:val="fr-FR"/>
              </w:rPr>
              <w:t xml:space="preserve">MDT ascendente </w:t>
            </w:r>
            <w:r>
              <w:rPr>
                <w:lang w:val="fr-FR"/>
              </w:rPr>
              <w:br/>
              <w:t>(por portadora)</w:t>
            </w:r>
          </w:p>
        </w:tc>
        <w:tc>
          <w:tcPr>
            <w:tcW w:w="1383" w:type="dxa"/>
            <w:vMerge w:val="restart"/>
            <w:tcBorders>
              <w:top w:val="single" w:sz="6" w:space="0" w:color="auto"/>
              <w:left w:val="single" w:sz="6" w:space="0" w:color="auto"/>
              <w:right w:val="single" w:sz="6" w:space="0" w:color="auto"/>
            </w:tcBorders>
          </w:tcPr>
          <w:p w:rsidR="005253F2" w:rsidRDefault="005253F2" w:rsidP="00001134">
            <w:pPr>
              <w:pStyle w:val="TableText"/>
              <w:jc w:val="center"/>
              <w:rPr>
                <w:lang w:val="fr-FR"/>
              </w:rPr>
            </w:pPr>
            <w:r>
              <w:rPr>
                <w:lang w:val="fr-FR"/>
              </w:rPr>
              <w:t>MDT descendente (por portadora)</w:t>
            </w:r>
          </w:p>
        </w:tc>
        <w:tc>
          <w:tcPr>
            <w:tcW w:w="1452" w:type="dxa"/>
            <w:vMerge w:val="restart"/>
            <w:tcBorders>
              <w:top w:val="single" w:sz="6" w:space="0" w:color="auto"/>
              <w:left w:val="single" w:sz="6" w:space="0" w:color="auto"/>
              <w:right w:val="single" w:sz="6" w:space="0" w:color="auto"/>
            </w:tcBorders>
          </w:tcPr>
          <w:p w:rsidR="005253F2" w:rsidRDefault="005253F2" w:rsidP="00001134">
            <w:pPr>
              <w:pStyle w:val="TableText"/>
              <w:jc w:val="center"/>
              <w:rPr>
                <w:lang w:val="fr-FR"/>
              </w:rPr>
            </w:pPr>
            <w:r>
              <w:rPr>
                <w:lang w:val="fr-FR"/>
              </w:rPr>
              <w:t>AMDF ascendente (por portadora)</w:t>
            </w:r>
          </w:p>
        </w:tc>
      </w:tr>
      <w:tr w:rsidR="005253F2" w:rsidTr="00001134">
        <w:trPr>
          <w:cantSplit/>
          <w:trHeight w:val="250"/>
          <w:jc w:val="center"/>
        </w:trPr>
        <w:tc>
          <w:tcPr>
            <w:tcW w:w="3828" w:type="dxa"/>
            <w:tcBorders>
              <w:left w:val="single" w:sz="6" w:space="0" w:color="auto"/>
              <w:bottom w:val="single" w:sz="6" w:space="0" w:color="auto"/>
              <w:right w:val="single" w:sz="6" w:space="0" w:color="auto"/>
            </w:tcBorders>
          </w:tcPr>
          <w:p w:rsidR="005253F2" w:rsidRDefault="005253F2" w:rsidP="00001134">
            <w:pPr>
              <w:pStyle w:val="TableText"/>
              <w:spacing w:before="0"/>
              <w:jc w:val="left"/>
              <w:rPr>
                <w:lang w:val="fr-FR"/>
              </w:rPr>
            </w:pPr>
          </w:p>
        </w:tc>
        <w:tc>
          <w:tcPr>
            <w:tcW w:w="1418" w:type="dxa"/>
            <w:vMerge/>
            <w:tcBorders>
              <w:left w:val="single" w:sz="6" w:space="0" w:color="auto"/>
              <w:bottom w:val="single" w:sz="6" w:space="0" w:color="auto"/>
              <w:right w:val="single" w:sz="6" w:space="0" w:color="auto"/>
            </w:tcBorders>
          </w:tcPr>
          <w:p w:rsidR="005253F2" w:rsidRDefault="005253F2" w:rsidP="00001134">
            <w:pPr>
              <w:pStyle w:val="TableText"/>
              <w:spacing w:before="0"/>
              <w:jc w:val="center"/>
              <w:rPr>
                <w:lang w:val="fr-FR"/>
              </w:rPr>
            </w:pPr>
          </w:p>
        </w:tc>
        <w:tc>
          <w:tcPr>
            <w:tcW w:w="1417" w:type="dxa"/>
            <w:vMerge/>
            <w:tcBorders>
              <w:left w:val="single" w:sz="6" w:space="0" w:color="auto"/>
              <w:bottom w:val="single" w:sz="6" w:space="0" w:color="auto"/>
              <w:right w:val="single" w:sz="6" w:space="0" w:color="auto"/>
            </w:tcBorders>
          </w:tcPr>
          <w:p w:rsidR="005253F2" w:rsidRDefault="005253F2" w:rsidP="00001134">
            <w:pPr>
              <w:pStyle w:val="TableText"/>
              <w:spacing w:before="0"/>
              <w:jc w:val="center"/>
              <w:rPr>
                <w:lang w:val="fr-FR"/>
              </w:rPr>
            </w:pPr>
          </w:p>
        </w:tc>
        <w:tc>
          <w:tcPr>
            <w:tcW w:w="1383" w:type="dxa"/>
            <w:vMerge/>
            <w:tcBorders>
              <w:left w:val="single" w:sz="6" w:space="0" w:color="auto"/>
              <w:bottom w:val="single" w:sz="6" w:space="0" w:color="auto"/>
              <w:right w:val="single" w:sz="6" w:space="0" w:color="auto"/>
            </w:tcBorders>
          </w:tcPr>
          <w:p w:rsidR="005253F2" w:rsidRDefault="005253F2" w:rsidP="00001134">
            <w:pPr>
              <w:pStyle w:val="TableText"/>
              <w:spacing w:before="0"/>
              <w:jc w:val="center"/>
              <w:rPr>
                <w:lang w:val="fr-FR"/>
              </w:rPr>
            </w:pPr>
          </w:p>
        </w:tc>
        <w:tc>
          <w:tcPr>
            <w:tcW w:w="1452" w:type="dxa"/>
            <w:vMerge/>
            <w:tcBorders>
              <w:left w:val="single" w:sz="6" w:space="0" w:color="auto"/>
              <w:bottom w:val="single" w:sz="6" w:space="0" w:color="auto"/>
              <w:right w:val="single" w:sz="6" w:space="0" w:color="auto"/>
            </w:tcBorders>
          </w:tcPr>
          <w:p w:rsidR="005253F2" w:rsidRDefault="005253F2" w:rsidP="00001134">
            <w:pPr>
              <w:pStyle w:val="TableText"/>
              <w:spacing w:before="0"/>
              <w:jc w:val="center"/>
              <w:rPr>
                <w:lang w:val="fr-FR"/>
              </w:rPr>
            </w:pPr>
          </w:p>
        </w:tc>
      </w:tr>
      <w:tr w:rsidR="005253F2" w:rsidTr="00001134">
        <w:trPr>
          <w:cantSplit/>
          <w:trHeight w:val="250"/>
          <w:jc w:val="center"/>
        </w:trPr>
        <w:tc>
          <w:tcPr>
            <w:tcW w:w="382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rPr>
                <w:lang w:val="fr-FR"/>
              </w:rPr>
            </w:pPr>
            <w:r>
              <w:rPr>
                <w:lang w:val="fr-FR"/>
              </w:rPr>
              <w:t>Frecuencia (GHz)</w:t>
            </w:r>
          </w:p>
        </w:tc>
        <w:tc>
          <w:tcPr>
            <w:tcW w:w="141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47,0</w:t>
            </w:r>
          </w:p>
        </w:tc>
        <w:tc>
          <w:tcPr>
            <w:tcW w:w="1417"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48,0</w:t>
            </w:r>
          </w:p>
        </w:tc>
        <w:tc>
          <w:tcPr>
            <w:tcW w:w="138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47,0</w:t>
            </w:r>
          </w:p>
        </w:tc>
        <w:tc>
          <w:tcPr>
            <w:tcW w:w="1452"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48,0</w:t>
            </w:r>
          </w:p>
        </w:tc>
      </w:tr>
      <w:tr w:rsidR="005253F2" w:rsidTr="00001134">
        <w:trPr>
          <w:cantSplit/>
          <w:trHeight w:val="250"/>
          <w:jc w:val="center"/>
        </w:trPr>
        <w:tc>
          <w:tcPr>
            <w:tcW w:w="382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rPr>
                <w:lang w:val="fr-FR"/>
              </w:rPr>
            </w:pPr>
            <w:r>
              <w:rPr>
                <w:lang w:val="fr-FR"/>
              </w:rPr>
              <w:t>Anchura de banda (MHz)</w:t>
            </w:r>
          </w:p>
        </w:tc>
        <w:tc>
          <w:tcPr>
            <w:tcW w:w="141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11,0</w:t>
            </w:r>
          </w:p>
        </w:tc>
        <w:tc>
          <w:tcPr>
            <w:tcW w:w="1417"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11,0</w:t>
            </w:r>
          </w:p>
        </w:tc>
        <w:tc>
          <w:tcPr>
            <w:tcW w:w="138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11,0</w:t>
            </w:r>
          </w:p>
        </w:tc>
        <w:tc>
          <w:tcPr>
            <w:tcW w:w="1452"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11,0</w:t>
            </w:r>
          </w:p>
        </w:tc>
      </w:tr>
      <w:tr w:rsidR="005253F2" w:rsidTr="00001134">
        <w:trPr>
          <w:cantSplit/>
          <w:trHeight w:val="250"/>
          <w:jc w:val="center"/>
        </w:trPr>
        <w:tc>
          <w:tcPr>
            <w:tcW w:w="382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rPr>
                <w:lang w:val="en-US"/>
              </w:rPr>
            </w:pPr>
            <w:r>
              <w:t>Potencia del transmisor (dBW)</w:t>
            </w:r>
          </w:p>
        </w:tc>
        <w:tc>
          <w:tcPr>
            <w:tcW w:w="141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0,0</w:t>
            </w:r>
          </w:p>
        </w:tc>
        <w:tc>
          <w:tcPr>
            <w:tcW w:w="1417"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1,7</w:t>
            </w:r>
          </w:p>
        </w:tc>
        <w:tc>
          <w:tcPr>
            <w:tcW w:w="138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9,7</w:t>
            </w:r>
          </w:p>
        </w:tc>
        <w:tc>
          <w:tcPr>
            <w:tcW w:w="1452"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13,4</w:t>
            </w:r>
          </w:p>
        </w:tc>
      </w:tr>
      <w:tr w:rsidR="005253F2" w:rsidTr="00001134">
        <w:trPr>
          <w:cantSplit/>
          <w:trHeight w:val="250"/>
          <w:jc w:val="center"/>
        </w:trPr>
        <w:tc>
          <w:tcPr>
            <w:tcW w:w="382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rPr>
                <w:lang w:val="fr-FR"/>
              </w:rPr>
            </w:pPr>
            <w:r>
              <w:rPr>
                <w:lang w:val="fr-FR"/>
              </w:rPr>
              <w:t>Ganancia de antena (dBi)</w:t>
            </w:r>
          </w:p>
        </w:tc>
        <w:tc>
          <w:tcPr>
            <w:tcW w:w="141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35,0</w:t>
            </w:r>
          </w:p>
        </w:tc>
        <w:tc>
          <w:tcPr>
            <w:tcW w:w="1417"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46,0</w:t>
            </w:r>
          </w:p>
        </w:tc>
        <w:tc>
          <w:tcPr>
            <w:tcW w:w="138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38,0</w:t>
            </w:r>
          </w:p>
        </w:tc>
        <w:tc>
          <w:tcPr>
            <w:tcW w:w="1452"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46,0</w:t>
            </w:r>
          </w:p>
        </w:tc>
      </w:tr>
      <w:tr w:rsidR="005253F2" w:rsidTr="00001134">
        <w:trPr>
          <w:cantSplit/>
          <w:trHeight w:val="250"/>
          <w:jc w:val="center"/>
        </w:trPr>
        <w:tc>
          <w:tcPr>
            <w:tcW w:w="3828" w:type="dxa"/>
            <w:tcBorders>
              <w:top w:val="single" w:sz="6" w:space="0" w:color="auto"/>
              <w:left w:val="single" w:sz="6" w:space="0" w:color="auto"/>
              <w:bottom w:val="single" w:sz="6" w:space="0" w:color="auto"/>
              <w:right w:val="single" w:sz="6" w:space="0" w:color="auto"/>
            </w:tcBorders>
          </w:tcPr>
          <w:p w:rsidR="005253F2" w:rsidRPr="00C71B8B" w:rsidRDefault="005253F2" w:rsidP="00001134">
            <w:pPr>
              <w:pStyle w:val="TableText"/>
              <w:jc w:val="left"/>
              <w:rPr>
                <w:lang w:val="es-ES_tradnl"/>
              </w:rPr>
            </w:pPr>
            <w:r w:rsidRPr="00C71B8B">
              <w:rPr>
                <w:lang w:val="es-ES_tradnl"/>
              </w:rPr>
              <w:t>Pérdidas híbrido H/W (dB)</w:t>
            </w:r>
          </w:p>
        </w:tc>
        <w:tc>
          <w:tcPr>
            <w:tcW w:w="141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en-US"/>
              </w:rPr>
            </w:pPr>
            <w:r>
              <w:rPr>
                <w:lang w:val="fr-FR"/>
              </w:rPr>
              <w:t> </w:t>
            </w:r>
            <w:r>
              <w:rPr>
                <w:lang w:val="fr-FR"/>
              </w:rPr>
              <w:t> </w:t>
            </w:r>
            <w:r>
              <w:rPr>
                <w:lang w:val="en-US"/>
              </w:rPr>
              <w:t>8,5</w:t>
            </w:r>
          </w:p>
        </w:tc>
        <w:tc>
          <w:tcPr>
            <w:tcW w:w="1417"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8,5</w:t>
            </w:r>
          </w:p>
        </w:tc>
        <w:tc>
          <w:tcPr>
            <w:tcW w:w="138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8,5</w:t>
            </w:r>
          </w:p>
        </w:tc>
        <w:tc>
          <w:tcPr>
            <w:tcW w:w="1452"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8,5</w:t>
            </w:r>
          </w:p>
        </w:tc>
      </w:tr>
      <w:tr w:rsidR="005253F2" w:rsidTr="00001134">
        <w:trPr>
          <w:cantSplit/>
          <w:trHeight w:val="250"/>
          <w:jc w:val="center"/>
        </w:trPr>
        <w:tc>
          <w:tcPr>
            <w:tcW w:w="382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rPr>
                <w:lang w:val="fr-FR"/>
              </w:rPr>
            </w:pPr>
            <w:r>
              <w:rPr>
                <w:lang w:val="fr-FR"/>
              </w:rPr>
              <w:t>p.i.r.e. (dBW)</w:t>
            </w:r>
          </w:p>
        </w:tc>
        <w:tc>
          <w:tcPr>
            <w:tcW w:w="141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26,5</w:t>
            </w:r>
          </w:p>
        </w:tc>
        <w:tc>
          <w:tcPr>
            <w:tcW w:w="1417"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39,3</w:t>
            </w:r>
          </w:p>
        </w:tc>
        <w:tc>
          <w:tcPr>
            <w:tcW w:w="138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39,2</w:t>
            </w:r>
          </w:p>
        </w:tc>
        <w:tc>
          <w:tcPr>
            <w:tcW w:w="1452"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50,9</w:t>
            </w:r>
          </w:p>
        </w:tc>
      </w:tr>
      <w:tr w:rsidR="005253F2" w:rsidTr="00001134">
        <w:trPr>
          <w:cantSplit/>
          <w:trHeight w:val="250"/>
          <w:jc w:val="center"/>
        </w:trPr>
        <w:tc>
          <w:tcPr>
            <w:tcW w:w="382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pPr>
            <w:r>
              <w:t>Alcance oblicuo (km)</w:t>
            </w:r>
          </w:p>
        </w:tc>
        <w:tc>
          <w:tcPr>
            <w:tcW w:w="141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42,0</w:t>
            </w:r>
          </w:p>
        </w:tc>
        <w:tc>
          <w:tcPr>
            <w:tcW w:w="1417"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42,0</w:t>
            </w:r>
          </w:p>
        </w:tc>
        <w:tc>
          <w:tcPr>
            <w:tcW w:w="138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81,1</w:t>
            </w:r>
          </w:p>
        </w:tc>
        <w:tc>
          <w:tcPr>
            <w:tcW w:w="1452"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81,1</w:t>
            </w:r>
          </w:p>
        </w:tc>
      </w:tr>
      <w:tr w:rsidR="005253F2" w:rsidTr="00001134">
        <w:trPr>
          <w:cantSplit/>
          <w:trHeight w:val="250"/>
          <w:jc w:val="center"/>
        </w:trPr>
        <w:tc>
          <w:tcPr>
            <w:tcW w:w="3828" w:type="dxa"/>
            <w:tcBorders>
              <w:top w:val="single" w:sz="6" w:space="0" w:color="auto"/>
              <w:left w:val="single" w:sz="6" w:space="0" w:color="auto"/>
              <w:bottom w:val="single" w:sz="6" w:space="0" w:color="auto"/>
              <w:right w:val="single" w:sz="6" w:space="0" w:color="auto"/>
            </w:tcBorders>
          </w:tcPr>
          <w:p w:rsidR="005253F2" w:rsidRPr="00C71B8B" w:rsidRDefault="005253F2" w:rsidP="00001134">
            <w:pPr>
              <w:pStyle w:val="TableText"/>
              <w:jc w:val="left"/>
              <w:rPr>
                <w:lang w:val="es-ES_tradnl"/>
              </w:rPr>
            </w:pPr>
            <w:r w:rsidRPr="00C71B8B">
              <w:rPr>
                <w:lang w:val="es-ES_tradnl"/>
              </w:rPr>
              <w:t>Pérdidas en el espacio libre (dB)</w:t>
            </w:r>
          </w:p>
        </w:tc>
        <w:tc>
          <w:tcPr>
            <w:tcW w:w="141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t> </w:t>
            </w:r>
            <w:r>
              <w:rPr>
                <w:lang w:val="fr-FR"/>
              </w:rPr>
              <w:t>158,3</w:t>
            </w:r>
          </w:p>
        </w:tc>
        <w:tc>
          <w:tcPr>
            <w:tcW w:w="1417"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t> </w:t>
            </w:r>
            <w:r>
              <w:rPr>
                <w:lang w:val="fr-FR"/>
              </w:rPr>
              <w:t>158,5</w:t>
            </w:r>
          </w:p>
        </w:tc>
        <w:tc>
          <w:tcPr>
            <w:tcW w:w="138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t> </w:t>
            </w:r>
            <w:r>
              <w:rPr>
                <w:lang w:val="fr-FR"/>
              </w:rPr>
              <w:t>164,1</w:t>
            </w:r>
          </w:p>
        </w:tc>
        <w:tc>
          <w:tcPr>
            <w:tcW w:w="1452"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t> </w:t>
            </w:r>
            <w:r>
              <w:rPr>
                <w:lang w:val="fr-FR"/>
              </w:rPr>
              <w:t>164,3</w:t>
            </w:r>
          </w:p>
        </w:tc>
      </w:tr>
      <w:tr w:rsidR="005253F2" w:rsidTr="00001134">
        <w:trPr>
          <w:cantSplit/>
          <w:trHeight w:val="250"/>
          <w:jc w:val="center"/>
        </w:trPr>
        <w:tc>
          <w:tcPr>
            <w:tcW w:w="382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rPr>
                <w:lang w:val="fr-FR"/>
              </w:rPr>
            </w:pPr>
            <w:r>
              <w:rPr>
                <w:lang w:val="fr-FR"/>
              </w:rPr>
              <w:t>Pérdidas atmosféricas (dB)</w:t>
            </w:r>
          </w:p>
        </w:tc>
        <w:tc>
          <w:tcPr>
            <w:tcW w:w="141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t> </w:t>
            </w:r>
            <w:r>
              <w:t> </w:t>
            </w:r>
            <w:r>
              <w:rPr>
                <w:lang w:val="fr-FR"/>
              </w:rPr>
              <w:t>2,3</w:t>
            </w:r>
          </w:p>
        </w:tc>
        <w:tc>
          <w:tcPr>
            <w:tcW w:w="1417"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t> </w:t>
            </w:r>
            <w:r>
              <w:t> </w:t>
            </w:r>
            <w:r>
              <w:rPr>
                <w:lang w:val="fr-FR"/>
              </w:rPr>
              <w:t>2,8</w:t>
            </w:r>
          </w:p>
        </w:tc>
        <w:tc>
          <w:tcPr>
            <w:tcW w:w="138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t> </w:t>
            </w:r>
            <w:r>
              <w:t> </w:t>
            </w:r>
            <w:r>
              <w:rPr>
                <w:lang w:val="fr-FR"/>
              </w:rPr>
              <w:t>5,2</w:t>
            </w:r>
          </w:p>
        </w:tc>
        <w:tc>
          <w:tcPr>
            <w:tcW w:w="1452"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t> </w:t>
            </w:r>
            <w:r>
              <w:t> </w:t>
            </w:r>
            <w:r>
              <w:rPr>
                <w:lang w:val="fr-FR"/>
              </w:rPr>
              <w:t>5,8</w:t>
            </w:r>
          </w:p>
        </w:tc>
      </w:tr>
      <w:tr w:rsidR="005253F2" w:rsidTr="00001134">
        <w:trPr>
          <w:cantSplit/>
          <w:trHeight w:val="250"/>
          <w:jc w:val="center"/>
        </w:trPr>
        <w:tc>
          <w:tcPr>
            <w:tcW w:w="3828" w:type="dxa"/>
            <w:tcBorders>
              <w:top w:val="single" w:sz="6" w:space="0" w:color="auto"/>
              <w:left w:val="single" w:sz="6" w:space="0" w:color="auto"/>
              <w:bottom w:val="single" w:sz="6" w:space="0" w:color="auto"/>
              <w:right w:val="single" w:sz="6" w:space="0" w:color="auto"/>
            </w:tcBorders>
          </w:tcPr>
          <w:p w:rsidR="005253F2" w:rsidRPr="00C71B8B" w:rsidRDefault="005253F2" w:rsidP="00001134">
            <w:pPr>
              <w:pStyle w:val="TableText"/>
              <w:jc w:val="left"/>
              <w:rPr>
                <w:lang w:val="es-ES_tradnl"/>
              </w:rPr>
            </w:pPr>
            <w:r w:rsidRPr="00C71B8B">
              <w:rPr>
                <w:lang w:val="es-ES_tradnl"/>
              </w:rPr>
              <w:t>Atenuación debida a la lluvia (dB)</w:t>
            </w:r>
          </w:p>
        </w:tc>
        <w:tc>
          <w:tcPr>
            <w:tcW w:w="141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11,2</w:t>
            </w:r>
          </w:p>
        </w:tc>
        <w:tc>
          <w:tcPr>
            <w:tcW w:w="1417"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11,2</w:t>
            </w:r>
          </w:p>
        </w:tc>
        <w:tc>
          <w:tcPr>
            <w:tcW w:w="138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14,8</w:t>
            </w:r>
          </w:p>
        </w:tc>
        <w:tc>
          <w:tcPr>
            <w:tcW w:w="1452"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14,9</w:t>
            </w:r>
          </w:p>
        </w:tc>
      </w:tr>
      <w:tr w:rsidR="005253F2" w:rsidTr="00001134">
        <w:trPr>
          <w:cantSplit/>
          <w:trHeight w:val="250"/>
          <w:jc w:val="center"/>
        </w:trPr>
        <w:tc>
          <w:tcPr>
            <w:tcW w:w="3828" w:type="dxa"/>
            <w:tcBorders>
              <w:top w:val="single" w:sz="6" w:space="0" w:color="auto"/>
              <w:left w:val="single" w:sz="6" w:space="0" w:color="auto"/>
              <w:bottom w:val="single" w:sz="6" w:space="0" w:color="auto"/>
              <w:right w:val="single" w:sz="6" w:space="0" w:color="auto"/>
            </w:tcBorders>
          </w:tcPr>
          <w:p w:rsidR="005253F2" w:rsidRPr="00C71B8B" w:rsidRDefault="005253F2" w:rsidP="00001134">
            <w:pPr>
              <w:pStyle w:val="TableText"/>
              <w:jc w:val="left"/>
              <w:rPr>
                <w:lang w:val="es-ES_tradnl"/>
              </w:rPr>
            </w:pPr>
            <w:r w:rsidRPr="00C71B8B">
              <w:rPr>
                <w:lang w:val="es-ES_tradnl"/>
              </w:rPr>
              <w:t>Ganancia del control de potencia (dB)</w:t>
            </w:r>
          </w:p>
        </w:tc>
        <w:tc>
          <w:tcPr>
            <w:tcW w:w="141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4,0</w:t>
            </w:r>
          </w:p>
        </w:tc>
        <w:tc>
          <w:tcPr>
            <w:tcW w:w="1417"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4,0</w:t>
            </w:r>
          </w:p>
        </w:tc>
        <w:tc>
          <w:tcPr>
            <w:tcW w:w="138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4,0</w:t>
            </w:r>
          </w:p>
        </w:tc>
        <w:tc>
          <w:tcPr>
            <w:tcW w:w="1452"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4,0</w:t>
            </w:r>
          </w:p>
        </w:tc>
      </w:tr>
      <w:tr w:rsidR="005253F2" w:rsidTr="00001134">
        <w:trPr>
          <w:cantSplit/>
          <w:trHeight w:val="250"/>
          <w:jc w:val="center"/>
        </w:trPr>
        <w:tc>
          <w:tcPr>
            <w:tcW w:w="3828" w:type="dxa"/>
            <w:tcBorders>
              <w:top w:val="single" w:sz="6" w:space="0" w:color="auto"/>
              <w:left w:val="single" w:sz="6" w:space="0" w:color="auto"/>
              <w:bottom w:val="single" w:sz="6" w:space="0" w:color="auto"/>
              <w:right w:val="single" w:sz="6" w:space="0" w:color="auto"/>
            </w:tcBorders>
          </w:tcPr>
          <w:p w:rsidR="005253F2" w:rsidRPr="00C71B8B" w:rsidRDefault="005253F2" w:rsidP="00001134">
            <w:pPr>
              <w:pStyle w:val="TableText"/>
              <w:jc w:val="left"/>
              <w:rPr>
                <w:bCs/>
                <w:lang w:val="es-ES_tradnl"/>
              </w:rPr>
            </w:pPr>
            <w:r w:rsidRPr="00C71B8B">
              <w:rPr>
                <w:bCs/>
                <w:lang w:val="es-ES_tradnl"/>
              </w:rPr>
              <w:t>dfp en el suelo (dB(W/(m</w:t>
            </w:r>
            <w:r w:rsidRPr="00C71B8B">
              <w:rPr>
                <w:position w:val="6"/>
                <w:sz w:val="14"/>
                <w:lang w:val="es-ES_tradnl"/>
              </w:rPr>
              <w:t>2</w:t>
            </w:r>
            <w:r w:rsidRPr="00C71B8B">
              <w:rPr>
                <w:bCs/>
                <w:vertAlign w:val="superscript"/>
                <w:lang w:val="es-ES_tradnl"/>
              </w:rPr>
              <w:t xml:space="preserve"> </w:t>
            </w:r>
            <w:r w:rsidRPr="00C71B8B">
              <w:rPr>
                <w:bCs/>
                <w:lang w:val="es-ES_tradnl"/>
              </w:rPr>
              <w:t>· MHz)))</w:t>
            </w:r>
          </w:p>
        </w:tc>
        <w:tc>
          <w:tcPr>
            <w:tcW w:w="141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–96,8</w:t>
            </w:r>
          </w:p>
        </w:tc>
        <w:tc>
          <w:tcPr>
            <w:tcW w:w="1417"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w:t>
            </w:r>
          </w:p>
        </w:tc>
        <w:tc>
          <w:tcPr>
            <w:tcW w:w="138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–96,4</w:t>
            </w:r>
          </w:p>
        </w:tc>
        <w:tc>
          <w:tcPr>
            <w:tcW w:w="1452"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w:t>
            </w:r>
          </w:p>
        </w:tc>
      </w:tr>
      <w:tr w:rsidR="005253F2" w:rsidTr="00001134">
        <w:trPr>
          <w:cantSplit/>
          <w:trHeight w:val="250"/>
          <w:jc w:val="center"/>
        </w:trPr>
        <w:tc>
          <w:tcPr>
            <w:tcW w:w="382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rPr>
                <w:lang w:val="fr-FR"/>
              </w:rPr>
            </w:pPr>
            <w:r>
              <w:rPr>
                <w:lang w:val="fr-FR"/>
              </w:rPr>
              <w:t xml:space="preserve">Receptor </w:t>
            </w:r>
            <w:r>
              <w:rPr>
                <w:i/>
                <w:iCs/>
                <w:lang w:val="fr-FR"/>
              </w:rPr>
              <w:t>G</w:t>
            </w:r>
            <w:r>
              <w:rPr>
                <w:lang w:val="fr-FR"/>
              </w:rPr>
              <w:t>/</w:t>
            </w:r>
            <w:r>
              <w:rPr>
                <w:i/>
                <w:iCs/>
                <w:lang w:val="fr-FR"/>
              </w:rPr>
              <w:t>T</w:t>
            </w:r>
            <w:r>
              <w:rPr>
                <w:lang w:val="fr-FR"/>
              </w:rPr>
              <w:t xml:space="preserve"> (dB(K</w:t>
            </w:r>
            <w:r>
              <w:rPr>
                <w:position w:val="6"/>
                <w:sz w:val="14"/>
              </w:rPr>
              <w:t>–1</w:t>
            </w:r>
            <w:r>
              <w:rPr>
                <w:lang w:val="fr-FR"/>
              </w:rPr>
              <w:t>))</w:t>
            </w:r>
          </w:p>
        </w:tc>
        <w:tc>
          <w:tcPr>
            <w:tcW w:w="141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16,5</w:t>
            </w:r>
          </w:p>
        </w:tc>
        <w:tc>
          <w:tcPr>
            <w:tcW w:w="1417"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5,5</w:t>
            </w:r>
          </w:p>
        </w:tc>
        <w:tc>
          <w:tcPr>
            <w:tcW w:w="138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16,5</w:t>
            </w:r>
          </w:p>
        </w:tc>
        <w:tc>
          <w:tcPr>
            <w:tcW w:w="1452"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8,5</w:t>
            </w:r>
          </w:p>
        </w:tc>
      </w:tr>
      <w:tr w:rsidR="005253F2" w:rsidTr="00001134">
        <w:trPr>
          <w:cantSplit/>
          <w:trHeight w:val="250"/>
          <w:jc w:val="center"/>
        </w:trPr>
        <w:tc>
          <w:tcPr>
            <w:tcW w:w="382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rPr>
                <w:lang w:val="fr-FR"/>
              </w:rPr>
            </w:pPr>
            <w:r>
              <w:rPr>
                <w:lang w:val="fr-FR"/>
              </w:rPr>
              <w:t>Pérdidas de polarización (dB)</w:t>
            </w:r>
          </w:p>
        </w:tc>
        <w:tc>
          <w:tcPr>
            <w:tcW w:w="141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0,5</w:t>
            </w:r>
          </w:p>
        </w:tc>
        <w:tc>
          <w:tcPr>
            <w:tcW w:w="1417"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0,5</w:t>
            </w:r>
          </w:p>
        </w:tc>
        <w:tc>
          <w:tcPr>
            <w:tcW w:w="138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0,5</w:t>
            </w:r>
          </w:p>
        </w:tc>
        <w:tc>
          <w:tcPr>
            <w:tcW w:w="1452"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 </w:t>
            </w:r>
            <w:r>
              <w:rPr>
                <w:lang w:val="fr-FR"/>
              </w:rPr>
              <w:t> </w:t>
            </w:r>
            <w:r>
              <w:rPr>
                <w:lang w:val="fr-FR"/>
              </w:rPr>
              <w:t>0,5</w:t>
            </w:r>
          </w:p>
        </w:tc>
      </w:tr>
      <w:tr w:rsidR="005253F2" w:rsidTr="00001134">
        <w:trPr>
          <w:cantSplit/>
          <w:trHeight w:val="250"/>
          <w:jc w:val="center"/>
        </w:trPr>
        <w:tc>
          <w:tcPr>
            <w:tcW w:w="382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rPr>
                <w:lang w:val="fr-FR"/>
              </w:rPr>
            </w:pPr>
            <w:r>
              <w:rPr>
                <w:lang w:val="fr-FR"/>
              </w:rPr>
              <w:t>Constante de Boltzmann (dB(W/K))</w:t>
            </w:r>
          </w:p>
        </w:tc>
        <w:tc>
          <w:tcPr>
            <w:tcW w:w="141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–228,6</w:t>
            </w:r>
          </w:p>
        </w:tc>
        <w:tc>
          <w:tcPr>
            <w:tcW w:w="1417"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–228,6</w:t>
            </w:r>
          </w:p>
        </w:tc>
        <w:tc>
          <w:tcPr>
            <w:tcW w:w="138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–228,6</w:t>
            </w:r>
          </w:p>
        </w:tc>
        <w:tc>
          <w:tcPr>
            <w:tcW w:w="1452"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fr-FR"/>
              </w:rPr>
            </w:pPr>
            <w:r>
              <w:rPr>
                <w:lang w:val="fr-FR"/>
              </w:rPr>
              <w:t>–228,6</w:t>
            </w:r>
          </w:p>
        </w:tc>
      </w:tr>
      <w:tr w:rsidR="005253F2" w:rsidTr="00001134">
        <w:trPr>
          <w:cantSplit/>
          <w:trHeight w:val="250"/>
          <w:jc w:val="center"/>
        </w:trPr>
        <w:tc>
          <w:tcPr>
            <w:tcW w:w="382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pPr>
            <w:r>
              <w:t>Velocidad binaria (dB(Hz))</w:t>
            </w:r>
          </w:p>
        </w:tc>
        <w:tc>
          <w:tcPr>
            <w:tcW w:w="141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en-US"/>
              </w:rPr>
            </w:pPr>
            <w:r>
              <w:rPr>
                <w:lang w:val="en-US"/>
              </w:rPr>
              <w:t> </w:t>
            </w:r>
            <w:r>
              <w:rPr>
                <w:lang w:val="en-US"/>
              </w:rPr>
              <w:t>76,4</w:t>
            </w:r>
          </w:p>
        </w:tc>
        <w:tc>
          <w:tcPr>
            <w:tcW w:w="1417"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en-US"/>
              </w:rPr>
            </w:pPr>
            <w:r>
              <w:rPr>
                <w:lang w:val="en-US"/>
              </w:rPr>
              <w:t> </w:t>
            </w:r>
            <w:r>
              <w:rPr>
                <w:lang w:val="en-US"/>
              </w:rPr>
              <w:t>76,4</w:t>
            </w:r>
          </w:p>
        </w:tc>
        <w:tc>
          <w:tcPr>
            <w:tcW w:w="138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en-US"/>
              </w:rPr>
            </w:pPr>
            <w:r>
              <w:rPr>
                <w:lang w:val="en-US"/>
              </w:rPr>
              <w:t> </w:t>
            </w:r>
            <w:r>
              <w:rPr>
                <w:lang w:val="en-US"/>
              </w:rPr>
              <w:t>76,4</w:t>
            </w:r>
          </w:p>
        </w:tc>
        <w:tc>
          <w:tcPr>
            <w:tcW w:w="1452"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rPr>
                <w:lang w:val="en-US"/>
              </w:rPr>
            </w:pPr>
            <w:r>
              <w:rPr>
                <w:lang w:val="en-US"/>
              </w:rPr>
              <w:t> </w:t>
            </w:r>
            <w:r>
              <w:rPr>
                <w:lang w:val="en-US"/>
              </w:rPr>
              <w:t>76,4</w:t>
            </w:r>
          </w:p>
        </w:tc>
      </w:tr>
      <w:tr w:rsidR="005253F2" w:rsidTr="00001134">
        <w:trPr>
          <w:cantSplit/>
          <w:trHeight w:val="250"/>
          <w:jc w:val="center"/>
        </w:trPr>
        <w:tc>
          <w:tcPr>
            <w:tcW w:w="3828" w:type="dxa"/>
            <w:tcBorders>
              <w:top w:val="single" w:sz="6" w:space="0" w:color="auto"/>
              <w:left w:val="single" w:sz="6" w:space="0" w:color="auto"/>
              <w:right w:val="single" w:sz="6" w:space="0" w:color="auto"/>
            </w:tcBorders>
          </w:tcPr>
          <w:p w:rsidR="005253F2" w:rsidRDefault="005253F2" w:rsidP="00001134">
            <w:pPr>
              <w:pStyle w:val="TableText"/>
              <w:jc w:val="left"/>
              <w:rPr>
                <w:lang w:val="en-US"/>
              </w:rPr>
            </w:pPr>
            <w:r>
              <w:rPr>
                <w:i/>
                <w:iCs/>
                <w:lang w:val="en-US"/>
              </w:rPr>
              <w:t>E</w:t>
            </w:r>
            <w:r>
              <w:rPr>
                <w:i/>
                <w:iCs/>
                <w:position w:val="-4"/>
                <w:sz w:val="14"/>
                <w:lang w:val="en-US"/>
              </w:rPr>
              <w:t>b</w:t>
            </w:r>
            <w:r>
              <w:rPr>
                <w:lang w:val="en-US"/>
              </w:rPr>
              <w:t>/(</w:t>
            </w:r>
            <w:r>
              <w:rPr>
                <w:i/>
                <w:iCs/>
                <w:lang w:val="en-US"/>
              </w:rPr>
              <w:t>N</w:t>
            </w:r>
            <w:r>
              <w:rPr>
                <w:position w:val="-4"/>
                <w:sz w:val="14"/>
              </w:rPr>
              <w:t>0</w:t>
            </w:r>
            <w:r>
              <w:t> </w:t>
            </w:r>
            <w:r w:rsidR="002F26D4">
              <w:sym w:font="Symbol" w:char="F02B"/>
            </w:r>
            <w:r>
              <w:t> </w:t>
            </w:r>
            <w:r>
              <w:rPr>
                <w:i/>
                <w:iCs/>
                <w:lang w:val="en-US"/>
              </w:rPr>
              <w:t>I</w:t>
            </w:r>
            <w:r>
              <w:rPr>
                <w:position w:val="-4"/>
                <w:sz w:val="14"/>
              </w:rPr>
              <w:t>0</w:t>
            </w:r>
            <w:r>
              <w:rPr>
                <w:lang w:val="en-US"/>
              </w:rPr>
              <w:t>) (</w:t>
            </w:r>
            <w:r>
              <w:rPr>
                <w:i/>
                <w:iCs/>
                <w:lang w:val="en-US"/>
              </w:rPr>
              <w:t>I</w:t>
            </w:r>
            <w:r>
              <w:rPr>
                <w:lang w:val="en-US"/>
              </w:rPr>
              <w:t xml:space="preserve"> </w:t>
            </w:r>
            <w:r w:rsidR="002F26D4">
              <w:rPr>
                <w:lang w:val="en-US"/>
              </w:rPr>
              <w:sym w:font="Symbol" w:char="F03D"/>
            </w:r>
            <w:r>
              <w:rPr>
                <w:lang w:val="en-US"/>
              </w:rPr>
              <w:t xml:space="preserve"> 0) (dB)</w:t>
            </w:r>
          </w:p>
        </w:tc>
        <w:tc>
          <w:tcPr>
            <w:tcW w:w="1418" w:type="dxa"/>
            <w:tcBorders>
              <w:top w:val="single" w:sz="6" w:space="0" w:color="auto"/>
              <w:left w:val="single" w:sz="6" w:space="0" w:color="auto"/>
              <w:right w:val="single" w:sz="6" w:space="0" w:color="auto"/>
            </w:tcBorders>
          </w:tcPr>
          <w:p w:rsidR="005253F2" w:rsidRDefault="005253F2" w:rsidP="00001134">
            <w:pPr>
              <w:pStyle w:val="TableText"/>
              <w:jc w:val="center"/>
              <w:rPr>
                <w:lang w:val="en-US"/>
              </w:rPr>
            </w:pPr>
            <w:r>
              <w:rPr>
                <w:lang w:val="en-US"/>
              </w:rPr>
              <w:t> </w:t>
            </w:r>
            <w:r>
              <w:rPr>
                <w:lang w:val="en-US"/>
              </w:rPr>
              <w:t>26,8</w:t>
            </w:r>
          </w:p>
        </w:tc>
        <w:tc>
          <w:tcPr>
            <w:tcW w:w="1417" w:type="dxa"/>
            <w:tcBorders>
              <w:top w:val="single" w:sz="6" w:space="0" w:color="auto"/>
              <w:left w:val="single" w:sz="6" w:space="0" w:color="auto"/>
              <w:right w:val="single" w:sz="6" w:space="0" w:color="auto"/>
            </w:tcBorders>
          </w:tcPr>
          <w:p w:rsidR="005253F2" w:rsidRDefault="005253F2" w:rsidP="00001134">
            <w:pPr>
              <w:pStyle w:val="TableText"/>
              <w:jc w:val="center"/>
              <w:rPr>
                <w:lang w:val="en-US"/>
              </w:rPr>
            </w:pPr>
            <w:r>
              <w:rPr>
                <w:lang w:val="en-US"/>
              </w:rPr>
              <w:t> </w:t>
            </w:r>
            <w:r>
              <w:rPr>
                <w:lang w:val="en-US"/>
              </w:rPr>
              <w:t>27,9</w:t>
            </w:r>
          </w:p>
        </w:tc>
        <w:tc>
          <w:tcPr>
            <w:tcW w:w="1383" w:type="dxa"/>
            <w:tcBorders>
              <w:top w:val="single" w:sz="6" w:space="0" w:color="auto"/>
              <w:left w:val="single" w:sz="6" w:space="0" w:color="auto"/>
              <w:right w:val="single" w:sz="6" w:space="0" w:color="auto"/>
            </w:tcBorders>
          </w:tcPr>
          <w:p w:rsidR="005253F2" w:rsidRDefault="005253F2" w:rsidP="00001134">
            <w:pPr>
              <w:pStyle w:val="TableText"/>
              <w:jc w:val="center"/>
              <w:rPr>
                <w:lang w:val="en-US"/>
              </w:rPr>
            </w:pPr>
            <w:r>
              <w:rPr>
                <w:lang w:val="en-US"/>
              </w:rPr>
              <w:t> </w:t>
            </w:r>
            <w:r>
              <w:rPr>
                <w:lang w:val="en-US"/>
              </w:rPr>
              <w:t>27,3</w:t>
            </w:r>
          </w:p>
        </w:tc>
        <w:tc>
          <w:tcPr>
            <w:tcW w:w="1452" w:type="dxa"/>
            <w:tcBorders>
              <w:top w:val="single" w:sz="6" w:space="0" w:color="auto"/>
              <w:left w:val="single" w:sz="6" w:space="0" w:color="auto"/>
              <w:right w:val="single" w:sz="6" w:space="0" w:color="auto"/>
            </w:tcBorders>
          </w:tcPr>
          <w:p w:rsidR="005253F2" w:rsidRDefault="005253F2" w:rsidP="00001134">
            <w:pPr>
              <w:pStyle w:val="TableText"/>
              <w:jc w:val="center"/>
              <w:rPr>
                <w:lang w:val="en-US"/>
              </w:rPr>
            </w:pPr>
            <w:r>
              <w:rPr>
                <w:lang w:val="en-US"/>
              </w:rPr>
              <w:t> </w:t>
            </w:r>
            <w:r>
              <w:rPr>
                <w:lang w:val="en-US"/>
              </w:rPr>
              <w:t>30,1</w:t>
            </w:r>
          </w:p>
        </w:tc>
      </w:tr>
      <w:tr w:rsidR="005253F2" w:rsidTr="00001134">
        <w:trPr>
          <w:cantSplit/>
          <w:trHeight w:val="250"/>
          <w:jc w:val="center"/>
        </w:trPr>
        <w:tc>
          <w:tcPr>
            <w:tcW w:w="3828" w:type="dxa"/>
            <w:tcBorders>
              <w:top w:val="single" w:sz="6" w:space="0" w:color="auto"/>
              <w:left w:val="single" w:sz="6" w:space="0" w:color="auto"/>
              <w:bottom w:val="single" w:sz="6" w:space="0" w:color="auto"/>
              <w:right w:val="single" w:sz="6" w:space="0" w:color="auto"/>
            </w:tcBorders>
            <w:shd w:val="clear" w:color="FFFFFF" w:fill="auto"/>
          </w:tcPr>
          <w:p w:rsidR="005253F2" w:rsidRDefault="005253F2" w:rsidP="00001134">
            <w:pPr>
              <w:pStyle w:val="TableText"/>
              <w:jc w:val="left"/>
              <w:rPr>
                <w:lang w:val="en-US"/>
              </w:rPr>
            </w:pPr>
            <w:r>
              <w:rPr>
                <w:i/>
                <w:iCs/>
                <w:lang w:val="en-US"/>
              </w:rPr>
              <w:t>E</w:t>
            </w:r>
            <w:r>
              <w:rPr>
                <w:i/>
                <w:iCs/>
                <w:position w:val="-4"/>
                <w:sz w:val="14"/>
                <w:lang w:val="en-US"/>
              </w:rPr>
              <w:t>b</w:t>
            </w:r>
            <w:r>
              <w:rPr>
                <w:lang w:val="en-US"/>
              </w:rPr>
              <w:t>/(</w:t>
            </w:r>
            <w:r>
              <w:rPr>
                <w:i/>
                <w:iCs/>
                <w:lang w:val="en-US"/>
              </w:rPr>
              <w:t>N</w:t>
            </w:r>
            <w:r>
              <w:rPr>
                <w:position w:val="-4"/>
                <w:sz w:val="14"/>
              </w:rPr>
              <w:t>0</w:t>
            </w:r>
            <w:r>
              <w:t> </w:t>
            </w:r>
            <w:r w:rsidR="002F26D4">
              <w:sym w:font="Symbol" w:char="F02B"/>
            </w:r>
            <w:r>
              <w:t> </w:t>
            </w:r>
            <w:r>
              <w:rPr>
                <w:i/>
                <w:iCs/>
                <w:lang w:val="en-US"/>
              </w:rPr>
              <w:t>I</w:t>
            </w:r>
            <w:r>
              <w:rPr>
                <w:position w:val="-4"/>
                <w:sz w:val="14"/>
              </w:rPr>
              <w:t>0</w:t>
            </w:r>
            <w:r>
              <w:rPr>
                <w:lang w:val="en-US"/>
              </w:rPr>
              <w:t>) requerida (dB)</w:t>
            </w:r>
          </w:p>
        </w:tc>
        <w:tc>
          <w:tcPr>
            <w:tcW w:w="1418" w:type="dxa"/>
            <w:tcBorders>
              <w:top w:val="single" w:sz="6" w:space="0" w:color="auto"/>
              <w:left w:val="single" w:sz="6" w:space="0" w:color="auto"/>
              <w:bottom w:val="single" w:sz="6" w:space="0" w:color="auto"/>
              <w:right w:val="single" w:sz="6" w:space="0" w:color="auto"/>
            </w:tcBorders>
            <w:shd w:val="clear" w:color="FFFFFF" w:fill="auto"/>
          </w:tcPr>
          <w:p w:rsidR="005253F2" w:rsidRDefault="005253F2" w:rsidP="00001134">
            <w:pPr>
              <w:pStyle w:val="TableText"/>
              <w:jc w:val="center"/>
              <w:rPr>
                <w:lang w:val="en-US"/>
              </w:rPr>
            </w:pPr>
            <w:r>
              <w:rPr>
                <w:lang w:val="en-US"/>
              </w:rPr>
              <w:t> </w:t>
            </w:r>
            <w:r>
              <w:rPr>
                <w:lang w:val="en-US"/>
              </w:rPr>
              <w:t>20,3</w:t>
            </w:r>
          </w:p>
        </w:tc>
        <w:tc>
          <w:tcPr>
            <w:tcW w:w="1417" w:type="dxa"/>
            <w:tcBorders>
              <w:top w:val="single" w:sz="6" w:space="0" w:color="auto"/>
              <w:left w:val="single" w:sz="6" w:space="0" w:color="auto"/>
              <w:bottom w:val="single" w:sz="6" w:space="0" w:color="auto"/>
              <w:right w:val="single" w:sz="6" w:space="0" w:color="auto"/>
            </w:tcBorders>
            <w:shd w:val="clear" w:color="FFFFFF" w:fill="auto"/>
          </w:tcPr>
          <w:p w:rsidR="005253F2" w:rsidRDefault="005253F2" w:rsidP="00001134">
            <w:pPr>
              <w:pStyle w:val="TableText"/>
              <w:jc w:val="center"/>
              <w:rPr>
                <w:lang w:val="en-US"/>
              </w:rPr>
            </w:pPr>
            <w:r>
              <w:rPr>
                <w:lang w:val="en-US"/>
              </w:rPr>
              <w:t> </w:t>
            </w:r>
            <w:r>
              <w:rPr>
                <w:lang w:val="en-US"/>
              </w:rPr>
              <w:t>20,3</w:t>
            </w:r>
          </w:p>
        </w:tc>
        <w:tc>
          <w:tcPr>
            <w:tcW w:w="1383" w:type="dxa"/>
            <w:tcBorders>
              <w:top w:val="single" w:sz="6" w:space="0" w:color="auto"/>
              <w:left w:val="single" w:sz="6" w:space="0" w:color="auto"/>
              <w:bottom w:val="single" w:sz="6" w:space="0" w:color="auto"/>
              <w:right w:val="single" w:sz="6" w:space="0" w:color="auto"/>
            </w:tcBorders>
            <w:shd w:val="clear" w:color="FFFFFF" w:fill="auto"/>
          </w:tcPr>
          <w:p w:rsidR="005253F2" w:rsidRDefault="005253F2" w:rsidP="00001134">
            <w:pPr>
              <w:pStyle w:val="TableText"/>
              <w:jc w:val="center"/>
              <w:rPr>
                <w:lang w:val="en-US"/>
              </w:rPr>
            </w:pPr>
            <w:r>
              <w:rPr>
                <w:lang w:val="en-US"/>
              </w:rPr>
              <w:t> </w:t>
            </w:r>
            <w:r>
              <w:rPr>
                <w:lang w:val="en-US"/>
              </w:rPr>
              <w:t>20,3</w:t>
            </w:r>
          </w:p>
        </w:tc>
        <w:tc>
          <w:tcPr>
            <w:tcW w:w="1452" w:type="dxa"/>
            <w:tcBorders>
              <w:top w:val="single" w:sz="6" w:space="0" w:color="auto"/>
              <w:left w:val="single" w:sz="6" w:space="0" w:color="auto"/>
              <w:bottom w:val="single" w:sz="6" w:space="0" w:color="auto"/>
              <w:right w:val="single" w:sz="6" w:space="0" w:color="auto"/>
            </w:tcBorders>
            <w:shd w:val="clear" w:color="FFFFFF" w:fill="auto"/>
          </w:tcPr>
          <w:p w:rsidR="005253F2" w:rsidRDefault="005253F2" w:rsidP="00001134">
            <w:pPr>
              <w:pStyle w:val="TableText"/>
              <w:jc w:val="center"/>
              <w:rPr>
                <w:lang w:val="en-US"/>
              </w:rPr>
            </w:pPr>
            <w:r>
              <w:rPr>
                <w:lang w:val="en-US"/>
              </w:rPr>
              <w:t> </w:t>
            </w:r>
            <w:r>
              <w:rPr>
                <w:lang w:val="en-US"/>
              </w:rPr>
              <w:t>20,3</w:t>
            </w:r>
          </w:p>
        </w:tc>
      </w:tr>
      <w:tr w:rsidR="005253F2" w:rsidTr="00001134">
        <w:trPr>
          <w:cantSplit/>
          <w:trHeight w:val="250"/>
          <w:jc w:val="center"/>
        </w:trPr>
        <w:tc>
          <w:tcPr>
            <w:tcW w:w="382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left"/>
              <w:rPr>
                <w:lang w:val="en-US"/>
              </w:rPr>
            </w:pPr>
            <w:r>
              <w:rPr>
                <w:lang w:val="en-US"/>
              </w:rPr>
              <w:t>Margen (dB)</w:t>
            </w:r>
          </w:p>
        </w:tc>
        <w:tc>
          <w:tcPr>
            <w:tcW w:w="1418"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pPr>
            <w:r>
              <w:t> </w:t>
            </w:r>
            <w:r>
              <w:t> </w:t>
            </w:r>
            <w:r>
              <w:t>6,5</w:t>
            </w:r>
          </w:p>
        </w:tc>
        <w:tc>
          <w:tcPr>
            <w:tcW w:w="1417"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pPr>
            <w:r>
              <w:t> </w:t>
            </w:r>
            <w:r>
              <w:t> </w:t>
            </w:r>
            <w:r>
              <w:t>7,6</w:t>
            </w:r>
          </w:p>
        </w:tc>
        <w:tc>
          <w:tcPr>
            <w:tcW w:w="1383"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pPr>
            <w:r>
              <w:t> </w:t>
            </w:r>
            <w:r>
              <w:t> </w:t>
            </w:r>
            <w:r>
              <w:t>7,0</w:t>
            </w:r>
          </w:p>
        </w:tc>
        <w:tc>
          <w:tcPr>
            <w:tcW w:w="1452" w:type="dxa"/>
            <w:tcBorders>
              <w:top w:val="single" w:sz="6" w:space="0" w:color="auto"/>
              <w:left w:val="single" w:sz="6" w:space="0" w:color="auto"/>
              <w:bottom w:val="single" w:sz="6" w:space="0" w:color="auto"/>
              <w:right w:val="single" w:sz="6" w:space="0" w:color="auto"/>
            </w:tcBorders>
          </w:tcPr>
          <w:p w:rsidR="005253F2" w:rsidRDefault="005253F2" w:rsidP="00001134">
            <w:pPr>
              <w:pStyle w:val="TableText"/>
              <w:jc w:val="center"/>
            </w:pPr>
            <w:r>
              <w:t> </w:t>
            </w:r>
            <w:r>
              <w:t> </w:t>
            </w:r>
            <w:r>
              <w:t>9,8</w:t>
            </w:r>
          </w:p>
        </w:tc>
      </w:tr>
    </w:tbl>
    <w:p w:rsidR="005253F2" w:rsidRDefault="005253F2">
      <w:pPr>
        <w:pStyle w:val="Tablefin"/>
      </w:pPr>
    </w:p>
    <w:p w:rsidR="00624662" w:rsidRPr="00624662" w:rsidRDefault="00624662" w:rsidP="00624662"/>
    <w:p w:rsidR="005253F2" w:rsidRDefault="005253F2">
      <w:pPr>
        <w:pStyle w:val="Line"/>
      </w:pPr>
    </w:p>
    <w:p w:rsidR="005253F2" w:rsidRDefault="005253F2"/>
    <w:sectPr w:rsidR="005253F2" w:rsidSect="00001134">
      <w:headerReference w:type="even" r:id="rId24"/>
      <w:headerReference w:type="default" r:id="rId25"/>
      <w:footnotePr>
        <w:pos w:val="beneathText"/>
      </w:footnotePr>
      <w:pgSz w:w="11913" w:h="16834" w:code="9"/>
      <w:pgMar w:top="1089" w:right="1089" w:bottom="1089" w:left="1089" w:header="482"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5C4" w:rsidRDefault="005D45C4" w:rsidP="005253F2">
      <w:pPr>
        <w:spacing w:before="0"/>
      </w:pPr>
      <w:r>
        <w:separator/>
      </w:r>
    </w:p>
  </w:endnote>
  <w:endnote w:type="continuationSeparator" w:id="0">
    <w:p w:rsidR="005D45C4" w:rsidRDefault="005D45C4" w:rsidP="005253F2">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5C4" w:rsidRDefault="005D45C4">
      <w:r>
        <w:rPr>
          <w:b/>
        </w:rPr>
        <w:t>_______________</w:t>
      </w:r>
    </w:p>
  </w:footnote>
  <w:footnote w:type="continuationSeparator" w:id="0">
    <w:p w:rsidR="005D45C4" w:rsidRDefault="005D45C4" w:rsidP="005253F2">
      <w:pPr>
        <w:spacing w:before="0"/>
      </w:pPr>
      <w:r>
        <w:continuationSeparator/>
      </w:r>
    </w:p>
  </w:footnote>
  <w:footnote w:id="1">
    <w:p w:rsidR="005D45C4" w:rsidRPr="008C0664" w:rsidRDefault="005D45C4">
      <w:pPr>
        <w:pStyle w:val="FootnoteText"/>
        <w:ind w:left="313" w:hanging="313"/>
        <w:rPr>
          <w:lang w:val="es-ES_tradnl"/>
        </w:rPr>
      </w:pPr>
      <w:r w:rsidRPr="008C0664">
        <w:rPr>
          <w:rStyle w:val="FootnoteReference"/>
          <w:lang w:val="es-ES_tradnl"/>
        </w:rPr>
        <w:t>*</w:t>
      </w:r>
      <w:r w:rsidRPr="008C0664">
        <w:rPr>
          <w:lang w:val="es-ES_tradnl"/>
        </w:rPr>
        <w:tab/>
        <w:t>Esta Recomendación debe señalarse a la atención de las Comisiones de Estudio 1 (Grupo de Trabajo (GT) 1A), 3 (GT 3K y 3M), 4 (GT 4A), 6 (GT 6E y 6S), 7 (GT 7D), 8 (GT 8A, 8D y 8F) de Radiocomunicaciones así como a la Comisión de Estudio 2 del Sector de Desarrollo de las Telecomunicaciones.</w:t>
      </w:r>
    </w:p>
  </w:footnote>
  <w:footnote w:id="2">
    <w:p w:rsidR="005D45C4" w:rsidRPr="008C0664" w:rsidRDefault="005D45C4" w:rsidP="0042774D">
      <w:pPr>
        <w:pStyle w:val="FootnoteText"/>
        <w:ind w:left="313" w:hanging="313"/>
        <w:rPr>
          <w:lang w:val="es-ES_tradnl"/>
        </w:rPr>
      </w:pPr>
      <w:r w:rsidRPr="008C0664">
        <w:rPr>
          <w:rStyle w:val="FootnoteReference"/>
          <w:lang w:val="es-ES_tradnl"/>
        </w:rPr>
        <w:t>**</w:t>
      </w:r>
      <w:r w:rsidRPr="008C0664">
        <w:rPr>
          <w:lang w:val="es-ES_tradnl"/>
        </w:rPr>
        <w:tab/>
        <w:t>La Comisión de Estudio introdujo modificaciones redaccionales en esta Recomendación (7-8 de diciembre de 2009) de conformidad con la Resolución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5C4" w:rsidRDefault="005D45C4">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5C4" w:rsidRDefault="005D45C4" w:rsidP="005253F2">
    <w:pPr>
      <w:pStyle w:val="Header"/>
      <w:ind w:right="360" w:firstLine="360"/>
    </w:pPr>
    <w:r>
      <w:rPr>
        <w:b w:val="0"/>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5C4" w:rsidRDefault="00F9182E" w:rsidP="00BE64D9">
    <w:pPr>
      <w:pStyle w:val="Header"/>
      <w:jc w:val="left"/>
    </w:pPr>
    <w:r w:rsidRPr="00BE64D9">
      <w:rPr>
        <w:rStyle w:val="PageNumber"/>
      </w:rPr>
      <w:fldChar w:fldCharType="begin"/>
    </w:r>
    <w:r w:rsidR="005D45C4" w:rsidRPr="00BE64D9">
      <w:rPr>
        <w:rStyle w:val="PageNumber"/>
      </w:rPr>
      <w:instrText xml:space="preserve"> PAGE </w:instrText>
    </w:r>
    <w:r w:rsidRPr="00BE64D9">
      <w:rPr>
        <w:rStyle w:val="PageNumber"/>
      </w:rPr>
      <w:fldChar w:fldCharType="separate"/>
    </w:r>
    <w:r w:rsidR="00C71B8B">
      <w:rPr>
        <w:rStyle w:val="PageNumber"/>
        <w:noProof/>
      </w:rPr>
      <w:t>ii</w:t>
    </w:r>
    <w:r w:rsidRPr="00BE64D9">
      <w:rPr>
        <w:rStyle w:val="PageNumber"/>
      </w:rPr>
      <w:fldChar w:fldCharType="end"/>
    </w:r>
    <w:r w:rsidR="005D45C4">
      <w:tab/>
    </w:r>
    <w:fldSimple w:instr="styleref head_foot">
      <w:r w:rsidR="00C71B8B">
        <w:rPr>
          <w:noProof/>
        </w:rPr>
        <w:t>Rec. UIT-R F.1500</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5C4" w:rsidRDefault="005D45C4">
    <w:pPr>
      <w:pStyle w:val="Header"/>
    </w:pPr>
    <w:r>
      <w:tab/>
    </w:r>
    <w:r w:rsidR="00F9182E">
      <w:fldChar w:fldCharType="begin"/>
    </w:r>
    <w:r>
      <w:instrText xml:space="preserve"> DOCPROPERTY "Header" \* MERGEFORMAT </w:instrText>
    </w:r>
    <w:r w:rsidR="00F9182E">
      <w:fldChar w:fldCharType="separate"/>
    </w:r>
    <w:r w:rsidR="006201E6">
      <w:rPr>
        <w:b w:val="0"/>
        <w:bCs/>
        <w:lang w:val="en-US"/>
      </w:rPr>
      <w:t>Error! Unknown document property name.</w:t>
    </w:r>
    <w:r w:rsidR="00F9182E">
      <w:fldChar w:fldCharType="end"/>
    </w:r>
    <w:r>
      <w:rPr>
        <w:b w:val="0"/>
        <w:bCs/>
      </w:rPr>
      <w:t xml:space="preserve">  </w:t>
    </w:r>
    <w:r w:rsidR="00F9182E">
      <w:rPr>
        <w:b w:val="0"/>
        <w:bCs/>
      </w:rPr>
      <w:fldChar w:fldCharType="begin"/>
    </w:r>
    <w:r>
      <w:rPr>
        <w:b w:val="0"/>
        <w:bCs/>
      </w:rPr>
      <w:instrText>styleref href</w:instrText>
    </w:r>
    <w:r w:rsidR="00F9182E">
      <w:rPr>
        <w:b w:val="0"/>
        <w:bCs/>
      </w:rPr>
      <w:fldChar w:fldCharType="separate"/>
    </w:r>
    <w:r w:rsidR="006201E6">
      <w:rPr>
        <w:noProof/>
        <w:lang w:val="en-US"/>
      </w:rPr>
      <w:t>Error! Use the Home tab to apply href to the text that you want to appear here.</w:t>
    </w:r>
    <w:r w:rsidR="00F9182E">
      <w:rPr>
        <w:b w:val="0"/>
        <w:bCs/>
      </w:rPr>
      <w:fldChar w:fldCharType="end"/>
    </w:r>
    <w:r>
      <w:tab/>
    </w:r>
    <w:r w:rsidR="00F9182E">
      <w:rPr>
        <w:rStyle w:val="PageNumber"/>
        <w:b w:val="0"/>
        <w:bCs/>
      </w:rPr>
      <w:fldChar w:fldCharType="begin"/>
    </w:r>
    <w:r>
      <w:rPr>
        <w:rStyle w:val="PageNumber"/>
        <w:b w:val="0"/>
        <w:bCs/>
      </w:rPr>
      <w:instrText xml:space="preserve"> PAGE </w:instrText>
    </w:r>
    <w:r w:rsidR="00F9182E">
      <w:rPr>
        <w:rStyle w:val="PageNumber"/>
        <w:b w:val="0"/>
        <w:bCs/>
      </w:rPr>
      <w:fldChar w:fldCharType="separate"/>
    </w:r>
    <w:r>
      <w:rPr>
        <w:rStyle w:val="PageNumber"/>
        <w:b w:val="0"/>
        <w:bCs/>
        <w:noProof/>
      </w:rPr>
      <w:t>iii</w:t>
    </w:r>
    <w:r w:rsidR="00F9182E">
      <w:rPr>
        <w:rStyle w:val="PageNumber"/>
        <w:b w:val="0"/>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5C4" w:rsidRDefault="00F9182E">
    <w:pPr>
      <w:pStyle w:val="Header"/>
    </w:pPr>
    <w:fldSimple w:instr="PAGE">
      <w:r w:rsidR="00C71B8B">
        <w:rPr>
          <w:noProof/>
        </w:rPr>
        <w:t>12</w:t>
      </w:r>
    </w:fldSimple>
    <w:r w:rsidR="005D45C4">
      <w:tab/>
    </w:r>
    <w:fldSimple w:instr="styleref head_foot">
      <w:r w:rsidR="00C71B8B">
        <w:rPr>
          <w:noProof/>
        </w:rPr>
        <w:t>Rec. UIT-R F.1500</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5C4" w:rsidRDefault="005D45C4">
    <w:pPr>
      <w:pStyle w:val="Header"/>
    </w:pPr>
    <w:r>
      <w:tab/>
    </w:r>
    <w:fldSimple w:instr="styleref head_foot">
      <w:r w:rsidR="00C71B8B">
        <w:rPr>
          <w:noProof/>
        </w:rPr>
        <w:t>Rec. UIT-R F.1500</w:t>
      </w:r>
    </w:fldSimple>
    <w:r>
      <w:tab/>
    </w:r>
    <w:fldSimple w:instr="PAGE">
      <w:r w:rsidR="00C71B8B">
        <w:rPr>
          <w:noProof/>
        </w:rPr>
        <w:t>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23372F15"/>
    <w:multiLevelType w:val="hybridMultilevel"/>
    <w:tmpl w:val="D2CEBF00"/>
    <w:lvl w:ilvl="0" w:tplc="E4D414CA">
      <w:numFmt w:val="bullet"/>
      <w:lvlText w:val=""/>
      <w:lvlJc w:val="left"/>
      <w:pPr>
        <w:tabs>
          <w:tab w:val="num" w:pos="720"/>
        </w:tabs>
        <w:ind w:left="720" w:hanging="360"/>
      </w:pPr>
      <w:rPr>
        <w:rFonts w:ascii="Symbol" w:eastAsia="Times New Roman" w:hAnsi="Symbol" w:cs="Times New Roman"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printFractionalCharacterWidth/>
  <w:attachedTemplate r:id="rId1"/>
  <w:defaultTabStop w:val="720"/>
  <w:hyphenationZone w:val="357"/>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1265"/>
  </w:hdrShapeDefaults>
  <w:footnotePr>
    <w:footnote w:id="-1"/>
    <w:footnote w:id="0"/>
  </w:footnotePr>
  <w:endnotePr>
    <w:endnote w:id="-1"/>
    <w:endnote w:id="0"/>
  </w:endnotePr>
  <w:compat/>
  <w:rsids>
    <w:rsidRoot w:val="0042774D"/>
    <w:rsid w:val="00001134"/>
    <w:rsid w:val="00001707"/>
    <w:rsid w:val="000A47AC"/>
    <w:rsid w:val="002152A6"/>
    <w:rsid w:val="002F26D4"/>
    <w:rsid w:val="0042774D"/>
    <w:rsid w:val="005253F2"/>
    <w:rsid w:val="00526B23"/>
    <w:rsid w:val="005D131C"/>
    <w:rsid w:val="005D45C4"/>
    <w:rsid w:val="006201E6"/>
    <w:rsid w:val="00624662"/>
    <w:rsid w:val="0073481C"/>
    <w:rsid w:val="007D3535"/>
    <w:rsid w:val="00810C6C"/>
    <w:rsid w:val="00822A39"/>
    <w:rsid w:val="008C0664"/>
    <w:rsid w:val="009B4B43"/>
    <w:rsid w:val="00B97199"/>
    <w:rsid w:val="00BE64D9"/>
    <w:rsid w:val="00C108FA"/>
    <w:rsid w:val="00C71B8B"/>
    <w:rsid w:val="00F9182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39"/>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eastAsia="en-US"/>
    </w:rPr>
  </w:style>
  <w:style w:type="paragraph" w:styleId="Heading1">
    <w:name w:val="heading 1"/>
    <w:basedOn w:val="Normal"/>
    <w:next w:val="Normal"/>
    <w:qFormat/>
    <w:rsid w:val="00822A39"/>
    <w:pPr>
      <w:keepNext/>
      <w:keepLines/>
      <w:tabs>
        <w:tab w:val="clear" w:pos="1191"/>
        <w:tab w:val="clear" w:pos="1588"/>
        <w:tab w:val="clear" w:pos="1985"/>
      </w:tabs>
      <w:spacing w:before="480"/>
      <w:ind w:left="794" w:hanging="794"/>
      <w:outlineLvl w:val="0"/>
    </w:pPr>
    <w:rPr>
      <w:b/>
      <w:sz w:val="24"/>
    </w:rPr>
  </w:style>
  <w:style w:type="paragraph" w:styleId="Heading2">
    <w:name w:val="heading 2"/>
    <w:basedOn w:val="Normal"/>
    <w:next w:val="Normal"/>
    <w:qFormat/>
    <w:rsid w:val="00822A39"/>
    <w:pPr>
      <w:keepNext/>
      <w:keepLines/>
      <w:tabs>
        <w:tab w:val="clear" w:pos="1191"/>
        <w:tab w:val="clear" w:pos="1588"/>
        <w:tab w:val="clear" w:pos="1985"/>
      </w:tabs>
      <w:spacing w:before="313"/>
      <w:ind w:left="794" w:hanging="794"/>
      <w:outlineLvl w:val="1"/>
    </w:pPr>
    <w:rPr>
      <w:b/>
      <w:sz w:val="22"/>
    </w:rPr>
  </w:style>
  <w:style w:type="paragraph" w:styleId="Heading3">
    <w:name w:val="heading 3"/>
    <w:basedOn w:val="Normal"/>
    <w:next w:val="Normal"/>
    <w:qFormat/>
    <w:rsid w:val="00822A39"/>
    <w:pPr>
      <w:keepNext/>
      <w:keepLines/>
      <w:tabs>
        <w:tab w:val="clear" w:pos="1191"/>
        <w:tab w:val="clear" w:pos="1588"/>
        <w:tab w:val="clear" w:pos="1985"/>
      </w:tabs>
      <w:spacing w:before="181"/>
      <w:ind w:left="794" w:hanging="794"/>
      <w:outlineLvl w:val="2"/>
    </w:pPr>
    <w:rPr>
      <w:b/>
    </w:rPr>
  </w:style>
  <w:style w:type="paragraph" w:styleId="Heading4">
    <w:name w:val="heading 4"/>
    <w:basedOn w:val="Heading3"/>
    <w:next w:val="Normal"/>
    <w:qFormat/>
    <w:rsid w:val="00822A39"/>
    <w:pPr>
      <w:tabs>
        <w:tab w:val="clear" w:pos="794"/>
        <w:tab w:val="left" w:pos="851"/>
      </w:tabs>
      <w:ind w:left="851" w:hanging="851"/>
      <w:outlineLvl w:val="3"/>
    </w:pPr>
  </w:style>
  <w:style w:type="paragraph" w:styleId="Heading5">
    <w:name w:val="heading 5"/>
    <w:basedOn w:val="Heading3"/>
    <w:next w:val="Normal"/>
    <w:qFormat/>
    <w:rsid w:val="00822A39"/>
    <w:pPr>
      <w:tabs>
        <w:tab w:val="clear" w:pos="794"/>
        <w:tab w:val="left" w:pos="1021"/>
      </w:tabs>
      <w:ind w:left="1021" w:hanging="1021"/>
      <w:outlineLvl w:val="4"/>
    </w:pPr>
  </w:style>
  <w:style w:type="paragraph" w:styleId="Heading6">
    <w:name w:val="heading 6"/>
    <w:basedOn w:val="Heading3"/>
    <w:next w:val="Normal"/>
    <w:qFormat/>
    <w:rsid w:val="00822A39"/>
    <w:pPr>
      <w:tabs>
        <w:tab w:val="clear" w:pos="794"/>
        <w:tab w:val="left" w:pos="1191"/>
      </w:tabs>
      <w:ind w:left="1191" w:hanging="1191"/>
      <w:outlineLvl w:val="5"/>
    </w:pPr>
  </w:style>
  <w:style w:type="paragraph" w:styleId="Heading7">
    <w:name w:val="heading 7"/>
    <w:basedOn w:val="Heading3"/>
    <w:next w:val="Normal"/>
    <w:qFormat/>
    <w:rsid w:val="00822A39"/>
    <w:pPr>
      <w:tabs>
        <w:tab w:val="clear" w:pos="794"/>
        <w:tab w:val="left" w:pos="1361"/>
      </w:tabs>
      <w:spacing w:before="200"/>
      <w:ind w:left="0" w:firstLine="0"/>
      <w:outlineLvl w:val="6"/>
    </w:pPr>
  </w:style>
  <w:style w:type="paragraph" w:styleId="Heading8">
    <w:name w:val="heading 8"/>
    <w:basedOn w:val="Heading3"/>
    <w:next w:val="Normal"/>
    <w:qFormat/>
    <w:rsid w:val="00822A39"/>
    <w:pPr>
      <w:tabs>
        <w:tab w:val="clear" w:pos="794"/>
        <w:tab w:val="left" w:pos="1418"/>
      </w:tabs>
      <w:ind w:left="1418" w:hanging="1418"/>
      <w:outlineLvl w:val="7"/>
    </w:pPr>
  </w:style>
  <w:style w:type="paragraph" w:styleId="Heading9">
    <w:name w:val="heading 9"/>
    <w:basedOn w:val="Heading3"/>
    <w:next w:val="Normal"/>
    <w:qFormat/>
    <w:rsid w:val="00822A39"/>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rsid w:val="00822A39"/>
    <w:pPr>
      <w:tabs>
        <w:tab w:val="left" w:pos="7711"/>
        <w:tab w:val="right" w:leader="dot" w:pos="9725"/>
      </w:tabs>
      <w:ind w:left="6350"/>
    </w:pPr>
  </w:style>
  <w:style w:type="paragraph" w:styleId="TOC7">
    <w:name w:val="toc 7"/>
    <w:basedOn w:val="TOC2"/>
    <w:next w:val="Normal"/>
    <w:semiHidden/>
    <w:rsid w:val="00822A39"/>
    <w:pPr>
      <w:spacing w:before="20"/>
      <w:ind w:right="652"/>
    </w:pPr>
  </w:style>
  <w:style w:type="paragraph" w:styleId="TOC2">
    <w:name w:val="toc 2"/>
    <w:basedOn w:val="TOC1"/>
    <w:next w:val="TOC3"/>
    <w:semiHidden/>
    <w:rsid w:val="00822A39"/>
    <w:pPr>
      <w:tabs>
        <w:tab w:val="clear" w:pos="567"/>
        <w:tab w:val="left" w:pos="1247"/>
      </w:tabs>
      <w:spacing w:before="40"/>
      <w:ind w:left="1247" w:hanging="680"/>
    </w:pPr>
  </w:style>
  <w:style w:type="paragraph" w:styleId="TOC1">
    <w:name w:val="toc 1"/>
    <w:basedOn w:val="Normal"/>
    <w:next w:val="TOC2"/>
    <w:semiHidden/>
    <w:rsid w:val="00822A39"/>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semiHidden/>
    <w:rsid w:val="00822A39"/>
    <w:pPr>
      <w:tabs>
        <w:tab w:val="clear" w:pos="1247"/>
        <w:tab w:val="left" w:pos="2041"/>
      </w:tabs>
      <w:spacing w:before="20"/>
      <w:ind w:left="2041" w:hanging="794"/>
    </w:pPr>
  </w:style>
  <w:style w:type="paragraph" w:styleId="TOC4">
    <w:name w:val="toc 4"/>
    <w:basedOn w:val="TOC3"/>
    <w:next w:val="TOC5"/>
    <w:semiHidden/>
    <w:rsid w:val="00822A39"/>
    <w:pPr>
      <w:tabs>
        <w:tab w:val="left" w:pos="2948"/>
      </w:tabs>
      <w:ind w:left="2948" w:hanging="907"/>
    </w:pPr>
  </w:style>
  <w:style w:type="paragraph" w:styleId="TOC5">
    <w:name w:val="toc 5"/>
    <w:basedOn w:val="Normal"/>
    <w:next w:val="Normal"/>
    <w:semiHidden/>
    <w:rsid w:val="00822A39"/>
    <w:pPr>
      <w:tabs>
        <w:tab w:val="left" w:pos="3969"/>
        <w:tab w:val="right" w:leader="dot" w:pos="9725"/>
      </w:tabs>
      <w:ind w:left="2948"/>
    </w:pPr>
  </w:style>
  <w:style w:type="paragraph" w:styleId="TOC6">
    <w:name w:val="toc 6"/>
    <w:basedOn w:val="Normal"/>
    <w:next w:val="Normal"/>
    <w:semiHidden/>
    <w:rsid w:val="00822A39"/>
    <w:pPr>
      <w:tabs>
        <w:tab w:val="left" w:pos="5104"/>
        <w:tab w:val="right" w:leader="dot" w:pos="9725"/>
      </w:tabs>
      <w:ind w:left="3969"/>
    </w:pPr>
  </w:style>
  <w:style w:type="paragraph" w:styleId="Index7">
    <w:name w:val="index 7"/>
    <w:basedOn w:val="Normal"/>
    <w:next w:val="Normal"/>
    <w:semiHidden/>
    <w:rsid w:val="00822A39"/>
    <w:pPr>
      <w:ind w:left="1698"/>
    </w:pPr>
  </w:style>
  <w:style w:type="paragraph" w:styleId="Index6">
    <w:name w:val="index 6"/>
    <w:basedOn w:val="Normal"/>
    <w:next w:val="Normal"/>
    <w:semiHidden/>
    <w:rsid w:val="00822A39"/>
    <w:pPr>
      <w:ind w:left="1415"/>
    </w:pPr>
  </w:style>
  <w:style w:type="paragraph" w:styleId="Index5">
    <w:name w:val="index 5"/>
    <w:basedOn w:val="Normal"/>
    <w:next w:val="Normal"/>
    <w:semiHidden/>
    <w:rsid w:val="00822A39"/>
    <w:pPr>
      <w:ind w:left="1132"/>
    </w:pPr>
  </w:style>
  <w:style w:type="paragraph" w:styleId="Index4">
    <w:name w:val="index 4"/>
    <w:basedOn w:val="Normal"/>
    <w:next w:val="Normal"/>
    <w:semiHidden/>
    <w:rsid w:val="00822A39"/>
    <w:pPr>
      <w:ind w:left="849"/>
    </w:pPr>
  </w:style>
  <w:style w:type="paragraph" w:styleId="Index3">
    <w:name w:val="index 3"/>
    <w:basedOn w:val="Normal"/>
    <w:next w:val="Normal"/>
    <w:semiHidden/>
    <w:rsid w:val="00822A39"/>
    <w:pPr>
      <w:ind w:left="566"/>
    </w:pPr>
  </w:style>
  <w:style w:type="paragraph" w:styleId="Index2">
    <w:name w:val="index 2"/>
    <w:basedOn w:val="Normal"/>
    <w:next w:val="Normal"/>
    <w:semiHidden/>
    <w:rsid w:val="00822A39"/>
    <w:pPr>
      <w:ind w:left="283"/>
    </w:pPr>
  </w:style>
  <w:style w:type="paragraph" w:styleId="Index1">
    <w:name w:val="index 1"/>
    <w:basedOn w:val="Normal"/>
    <w:next w:val="Normal"/>
    <w:semiHidden/>
    <w:rsid w:val="00822A39"/>
  </w:style>
  <w:style w:type="character" w:styleId="LineNumber">
    <w:name w:val="line number"/>
    <w:basedOn w:val="DefaultParagraphFont"/>
    <w:semiHidden/>
    <w:rsid w:val="00822A39"/>
  </w:style>
  <w:style w:type="paragraph" w:styleId="IndexHeading">
    <w:name w:val="index heading"/>
    <w:basedOn w:val="Normal"/>
    <w:next w:val="Index1"/>
    <w:semiHidden/>
    <w:rsid w:val="00822A39"/>
  </w:style>
  <w:style w:type="paragraph" w:styleId="Footer">
    <w:name w:val="footer"/>
    <w:basedOn w:val="Normal"/>
    <w:semiHidden/>
    <w:rsid w:val="00822A39"/>
    <w:pPr>
      <w:tabs>
        <w:tab w:val="clear" w:pos="794"/>
        <w:tab w:val="clear" w:pos="1191"/>
        <w:tab w:val="clear" w:pos="1588"/>
        <w:tab w:val="clear" w:pos="1985"/>
        <w:tab w:val="center" w:pos="4849"/>
        <w:tab w:val="right" w:pos="9696"/>
      </w:tabs>
      <w:jc w:val="left"/>
    </w:pPr>
    <w:rPr>
      <w:b/>
    </w:rPr>
  </w:style>
  <w:style w:type="paragraph" w:styleId="Header">
    <w:name w:val="header"/>
    <w:basedOn w:val="Normal"/>
    <w:rsid w:val="00822A39"/>
    <w:pPr>
      <w:tabs>
        <w:tab w:val="clear" w:pos="794"/>
        <w:tab w:val="clear" w:pos="1191"/>
        <w:tab w:val="clear" w:pos="1588"/>
        <w:tab w:val="clear" w:pos="1985"/>
        <w:tab w:val="center" w:pos="4849"/>
        <w:tab w:val="right" w:pos="9696"/>
      </w:tabs>
    </w:pPr>
    <w:rPr>
      <w:b/>
    </w:rPr>
  </w:style>
  <w:style w:type="character" w:styleId="FootnoteReference">
    <w:name w:val="footnote reference"/>
    <w:basedOn w:val="DefaultParagraphFont"/>
    <w:semiHidden/>
    <w:rsid w:val="00822A39"/>
    <w:rPr>
      <w:position w:val="4"/>
      <w:sz w:val="16"/>
    </w:rPr>
  </w:style>
  <w:style w:type="paragraph" w:styleId="FootnoteText">
    <w:name w:val="footnote text"/>
    <w:basedOn w:val="Normal"/>
    <w:semiHidden/>
    <w:rsid w:val="00822A39"/>
    <w:pPr>
      <w:tabs>
        <w:tab w:val="clear" w:pos="794"/>
        <w:tab w:val="clear" w:pos="1191"/>
        <w:tab w:val="clear" w:pos="1588"/>
        <w:tab w:val="clear" w:pos="1985"/>
        <w:tab w:val="left" w:pos="313"/>
      </w:tabs>
    </w:pPr>
    <w:rPr>
      <w:sz w:val="18"/>
    </w:rPr>
  </w:style>
  <w:style w:type="paragraph" w:styleId="NormalIndent">
    <w:name w:val="Normal Indent"/>
    <w:basedOn w:val="Normal"/>
    <w:semiHidden/>
    <w:rsid w:val="00822A39"/>
    <w:pPr>
      <w:ind w:left="600"/>
    </w:pPr>
  </w:style>
  <w:style w:type="paragraph" w:customStyle="1" w:styleId="TableLegend">
    <w:name w:val="Table_Legend"/>
    <w:basedOn w:val="Normal"/>
    <w:next w:val="Normal"/>
    <w:rsid w:val="00822A39"/>
    <w:pPr>
      <w:keepNext/>
      <w:spacing w:before="86" w:line="199" w:lineRule="exact"/>
      <w:ind w:left="-85" w:right="-85"/>
    </w:pPr>
    <w:rPr>
      <w:sz w:val="18"/>
    </w:rPr>
  </w:style>
  <w:style w:type="paragraph" w:customStyle="1" w:styleId="TableTitle">
    <w:name w:val="Table_Title"/>
    <w:basedOn w:val="Table"/>
    <w:next w:val="Blanc"/>
    <w:rsid w:val="00822A39"/>
    <w:pPr>
      <w:spacing w:before="0"/>
    </w:pPr>
    <w:rPr>
      <w:b/>
    </w:rPr>
  </w:style>
  <w:style w:type="paragraph" w:customStyle="1" w:styleId="Table">
    <w:name w:val="Table_#"/>
    <w:basedOn w:val="Normal"/>
    <w:next w:val="TableTitle"/>
    <w:rsid w:val="00822A39"/>
    <w:pPr>
      <w:keepNext/>
      <w:tabs>
        <w:tab w:val="clear" w:pos="794"/>
        <w:tab w:val="clear" w:pos="1191"/>
        <w:tab w:val="clear" w:pos="1588"/>
        <w:tab w:val="clear" w:pos="1985"/>
      </w:tabs>
      <w:spacing w:before="567" w:after="113"/>
      <w:jc w:val="center"/>
    </w:pPr>
    <w:rPr>
      <w:sz w:val="18"/>
    </w:rPr>
  </w:style>
  <w:style w:type="paragraph" w:customStyle="1" w:styleId="Blanc">
    <w:name w:val="Blanc"/>
    <w:basedOn w:val="Normal"/>
    <w:next w:val="TableText"/>
    <w:rsid w:val="00822A39"/>
    <w:pPr>
      <w:keepNext/>
      <w:keepLines/>
      <w:tabs>
        <w:tab w:val="clear" w:pos="794"/>
        <w:tab w:val="clear" w:pos="1191"/>
        <w:tab w:val="clear" w:pos="1588"/>
        <w:tab w:val="clear" w:pos="1985"/>
      </w:tabs>
      <w:spacing w:before="0"/>
    </w:pPr>
    <w:rPr>
      <w:sz w:val="16"/>
    </w:rPr>
  </w:style>
  <w:style w:type="paragraph" w:customStyle="1" w:styleId="TableText">
    <w:name w:val="Table_Text"/>
    <w:basedOn w:val="TableLegend"/>
    <w:rsid w:val="00822A39"/>
    <w:pPr>
      <w:spacing w:before="100" w:after="100" w:line="190" w:lineRule="exact"/>
      <w:ind w:left="0" w:right="0"/>
    </w:pPr>
  </w:style>
  <w:style w:type="paragraph" w:customStyle="1" w:styleId="enumlev1">
    <w:name w:val="enumlev1"/>
    <w:basedOn w:val="Normal"/>
    <w:next w:val="Normal"/>
    <w:rsid w:val="00822A39"/>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rsid w:val="00822A39"/>
    <w:pPr>
      <w:tabs>
        <w:tab w:val="clear" w:pos="397"/>
        <w:tab w:val="left" w:pos="794"/>
      </w:tabs>
      <w:ind w:left="794"/>
    </w:pPr>
  </w:style>
  <w:style w:type="paragraph" w:customStyle="1" w:styleId="enumlev3">
    <w:name w:val="enumlev3"/>
    <w:basedOn w:val="enumlev2"/>
    <w:rsid w:val="00822A39"/>
    <w:pPr>
      <w:tabs>
        <w:tab w:val="clear" w:pos="794"/>
        <w:tab w:val="left" w:pos="1191"/>
      </w:tabs>
      <w:ind w:left="1191"/>
    </w:pPr>
  </w:style>
  <w:style w:type="paragraph" w:customStyle="1" w:styleId="Figure">
    <w:name w:val="Figure"/>
    <w:basedOn w:val="Normal"/>
    <w:next w:val="Normal"/>
    <w:rsid w:val="00822A39"/>
    <w:pPr>
      <w:keepNext/>
      <w:keepLines/>
      <w:spacing w:before="240"/>
      <w:jc w:val="center"/>
    </w:pPr>
  </w:style>
  <w:style w:type="paragraph" w:customStyle="1" w:styleId="FigureLegend">
    <w:name w:val="Figure_Legend"/>
    <w:basedOn w:val="TableLegend"/>
    <w:next w:val="FigureRemark"/>
    <w:rsid w:val="00822A39"/>
    <w:pPr>
      <w:jc w:val="left"/>
    </w:pPr>
  </w:style>
  <w:style w:type="paragraph" w:customStyle="1" w:styleId="FigureRemark">
    <w:name w:val="Figure_Remark"/>
    <w:basedOn w:val="TableLegend"/>
    <w:rsid w:val="00822A39"/>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rsid w:val="00822A39"/>
  </w:style>
  <w:style w:type="paragraph" w:customStyle="1" w:styleId="FigureTitle">
    <w:name w:val="Figure_Title"/>
    <w:basedOn w:val="TableTitle"/>
    <w:next w:val="FigureLegend"/>
    <w:rsid w:val="00822A39"/>
    <w:pPr>
      <w:spacing w:after="240"/>
    </w:pPr>
  </w:style>
  <w:style w:type="paragraph" w:customStyle="1" w:styleId="Annex">
    <w:name w:val="Annex_#"/>
    <w:basedOn w:val="Normal"/>
    <w:next w:val="AnnexRef"/>
    <w:rsid w:val="00822A39"/>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rsid w:val="00822A39"/>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rsid w:val="00822A39"/>
    <w:pPr>
      <w:tabs>
        <w:tab w:val="clear" w:pos="794"/>
        <w:tab w:val="clear" w:pos="1191"/>
        <w:tab w:val="clear" w:pos="1588"/>
        <w:tab w:val="clear" w:pos="1985"/>
        <w:tab w:val="left" w:pos="4849"/>
        <w:tab w:val="right" w:pos="9696"/>
      </w:tabs>
      <w:spacing w:after="200"/>
      <w:jc w:val="center"/>
    </w:pPr>
    <w:rPr>
      <w:b/>
      <w:sz w:val="24"/>
    </w:rPr>
  </w:style>
  <w:style w:type="paragraph" w:customStyle="1" w:styleId="Normalaftertitle">
    <w:name w:val="Normal after title"/>
    <w:basedOn w:val="Normal"/>
    <w:next w:val="Normal"/>
    <w:rsid w:val="00822A39"/>
    <w:pPr>
      <w:spacing w:before="480"/>
    </w:pPr>
  </w:style>
  <w:style w:type="paragraph" w:customStyle="1" w:styleId="Appendix">
    <w:name w:val="Appendix_#"/>
    <w:basedOn w:val="Annex"/>
    <w:next w:val="AppendixRef"/>
    <w:rsid w:val="00822A39"/>
  </w:style>
  <w:style w:type="paragraph" w:customStyle="1" w:styleId="AppendixRef">
    <w:name w:val="Appendix_Ref"/>
    <w:basedOn w:val="AnnexRef"/>
    <w:next w:val="AppendixTitle"/>
    <w:rsid w:val="00822A39"/>
  </w:style>
  <w:style w:type="paragraph" w:customStyle="1" w:styleId="AppendixTitle">
    <w:name w:val="Appendix_Title"/>
    <w:basedOn w:val="AnnexTitle"/>
    <w:next w:val="Normal"/>
    <w:rsid w:val="00822A39"/>
  </w:style>
  <w:style w:type="paragraph" w:customStyle="1" w:styleId="RefTitle">
    <w:name w:val="Ref_Title"/>
    <w:basedOn w:val="Normal"/>
    <w:next w:val="RefText"/>
    <w:rsid w:val="00822A39"/>
    <w:pPr>
      <w:keepNext/>
      <w:keepLines/>
      <w:tabs>
        <w:tab w:val="clear" w:pos="794"/>
        <w:tab w:val="clear" w:pos="1191"/>
        <w:tab w:val="clear" w:pos="1588"/>
        <w:tab w:val="clear" w:pos="1985"/>
      </w:tabs>
      <w:spacing w:before="600"/>
      <w:jc w:val="center"/>
    </w:pPr>
    <w:rPr>
      <w:sz w:val="18"/>
    </w:rPr>
  </w:style>
  <w:style w:type="paragraph" w:customStyle="1" w:styleId="RefText">
    <w:name w:val="Ref_Text"/>
    <w:basedOn w:val="Normal"/>
    <w:rsid w:val="00822A39"/>
    <w:pPr>
      <w:ind w:left="567" w:hanging="567"/>
    </w:pPr>
    <w:rPr>
      <w:sz w:val="18"/>
    </w:rPr>
  </w:style>
  <w:style w:type="paragraph" w:customStyle="1" w:styleId="listitem">
    <w:name w:val="listitem"/>
    <w:basedOn w:val="Normal"/>
    <w:rsid w:val="00822A39"/>
    <w:pPr>
      <w:keepLines/>
      <w:spacing w:before="0"/>
      <w:jc w:val="left"/>
    </w:pPr>
  </w:style>
  <w:style w:type="paragraph" w:customStyle="1" w:styleId="Rec">
    <w:name w:val="Rec_#"/>
    <w:basedOn w:val="Normal"/>
    <w:next w:val="RecTitle"/>
    <w:rsid w:val="00822A39"/>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rsid w:val="00822A39"/>
    <w:pPr>
      <w:spacing w:before="180"/>
    </w:pPr>
    <w:rPr>
      <w:b/>
    </w:rPr>
  </w:style>
  <w:style w:type="paragraph" w:customStyle="1" w:styleId="RecTitleRef">
    <w:name w:val="Rec_Title/Ref"/>
    <w:basedOn w:val="RecTitle"/>
    <w:next w:val="RecTitleDate"/>
    <w:rsid w:val="00822A39"/>
    <w:pPr>
      <w:spacing w:before="136"/>
    </w:pPr>
    <w:rPr>
      <w:b w:val="0"/>
    </w:rPr>
  </w:style>
  <w:style w:type="paragraph" w:customStyle="1" w:styleId="RecTitleDate">
    <w:name w:val="Rec_Title/Date"/>
    <w:basedOn w:val="RecTitleRef"/>
    <w:next w:val="headfoot"/>
    <w:rsid w:val="00822A39"/>
    <w:pPr>
      <w:tabs>
        <w:tab w:val="clear" w:pos="4849"/>
      </w:tabs>
      <w:jc w:val="right"/>
    </w:pPr>
  </w:style>
  <w:style w:type="paragraph" w:customStyle="1" w:styleId="headfoot">
    <w:name w:val="head_foot"/>
    <w:basedOn w:val="Normal"/>
    <w:next w:val="Normalaftertitle"/>
    <w:rsid w:val="00822A39"/>
    <w:pPr>
      <w:tabs>
        <w:tab w:val="clear" w:pos="794"/>
        <w:tab w:val="clear" w:pos="1191"/>
        <w:tab w:val="clear" w:pos="1588"/>
        <w:tab w:val="clear" w:pos="1985"/>
      </w:tabs>
      <w:spacing w:before="0"/>
    </w:pPr>
    <w:rPr>
      <w:b/>
      <w:color w:val="FFFFFF"/>
      <w:sz w:val="8"/>
    </w:rPr>
  </w:style>
  <w:style w:type="paragraph" w:customStyle="1" w:styleId="call">
    <w:name w:val="call"/>
    <w:basedOn w:val="Normal"/>
    <w:next w:val="Normal"/>
    <w:rsid w:val="00822A39"/>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rsid w:val="00822A39"/>
    <w:pPr>
      <w:outlineLvl w:val="9"/>
    </w:pPr>
  </w:style>
  <w:style w:type="paragraph" w:customStyle="1" w:styleId="deftexte">
    <w:name w:val="def texte"/>
    <w:basedOn w:val="Normal"/>
    <w:rsid w:val="00822A39"/>
  </w:style>
  <w:style w:type="paragraph" w:customStyle="1" w:styleId="Equation">
    <w:name w:val="Equation"/>
    <w:basedOn w:val="Normal"/>
    <w:rsid w:val="00822A39"/>
    <w:pPr>
      <w:tabs>
        <w:tab w:val="clear" w:pos="1191"/>
        <w:tab w:val="clear" w:pos="1588"/>
        <w:tab w:val="clear" w:pos="1985"/>
        <w:tab w:val="center" w:pos="4849"/>
        <w:tab w:val="right" w:pos="9696"/>
      </w:tabs>
      <w:spacing w:before="140" w:after="40"/>
      <w:jc w:val="left"/>
    </w:pPr>
    <w:rPr>
      <w:sz w:val="22"/>
    </w:rPr>
  </w:style>
  <w:style w:type="paragraph" w:customStyle="1" w:styleId="Section">
    <w:name w:val="Section #"/>
    <w:basedOn w:val="Normal"/>
    <w:next w:val="Sectiontitle"/>
    <w:rsid w:val="00822A39"/>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rsid w:val="00822A39"/>
    <w:pPr>
      <w:pageBreakBefore w:val="0"/>
      <w:spacing w:before="240"/>
    </w:pPr>
    <w:rPr>
      <w:i/>
    </w:rPr>
  </w:style>
  <w:style w:type="paragraph" w:customStyle="1" w:styleId="heading">
    <w:name w:val="heading"/>
    <w:basedOn w:val="Heading2"/>
    <w:rsid w:val="00822A39"/>
    <w:pPr>
      <w:tabs>
        <w:tab w:val="left" w:pos="1191"/>
        <w:tab w:val="left" w:pos="1588"/>
      </w:tabs>
      <w:outlineLvl w:val="9"/>
    </w:pPr>
  </w:style>
  <w:style w:type="paragraph" w:customStyle="1" w:styleId="Line1">
    <w:name w:val="Line_1"/>
    <w:basedOn w:val="Normal"/>
    <w:next w:val="Normal"/>
    <w:rsid w:val="00822A39"/>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
    <w:rsid w:val="00822A39"/>
  </w:style>
  <w:style w:type="paragraph" w:customStyle="1" w:styleId="PartRef">
    <w:name w:val="Part_Ref"/>
    <w:basedOn w:val="AnnexRef"/>
    <w:rsid w:val="00822A39"/>
  </w:style>
  <w:style w:type="paragraph" w:customStyle="1" w:styleId="PartTitle">
    <w:name w:val="Part_Title"/>
    <w:basedOn w:val="AnnexTitle"/>
    <w:next w:val="Normalaftertitle"/>
    <w:rsid w:val="00822A39"/>
  </w:style>
  <w:style w:type="paragraph" w:customStyle="1" w:styleId="Rep">
    <w:name w:val="Rep_#"/>
    <w:basedOn w:val="Rec"/>
    <w:next w:val="RepTitle"/>
    <w:rsid w:val="00822A39"/>
  </w:style>
  <w:style w:type="paragraph" w:customStyle="1" w:styleId="RepTitle">
    <w:name w:val="Rep_Title"/>
    <w:basedOn w:val="RecTitle"/>
    <w:next w:val="RepTitleRef"/>
    <w:rsid w:val="00822A39"/>
  </w:style>
  <w:style w:type="paragraph" w:customStyle="1" w:styleId="RepTitleRef">
    <w:name w:val="Rep_Title/Ref"/>
    <w:basedOn w:val="RecTitleRef"/>
    <w:next w:val="RepTitleDate"/>
    <w:rsid w:val="00822A39"/>
  </w:style>
  <w:style w:type="paragraph" w:customStyle="1" w:styleId="RepTitleDate">
    <w:name w:val="Rep_Title/Date"/>
    <w:basedOn w:val="RecTitleDate"/>
    <w:next w:val="headfoot"/>
    <w:rsid w:val="00822A39"/>
  </w:style>
  <w:style w:type="paragraph" w:customStyle="1" w:styleId="RefDoc">
    <w:name w:val="Ref_Doc"/>
    <w:basedOn w:val="RefText"/>
    <w:next w:val="RefText"/>
    <w:rsid w:val="00822A39"/>
    <w:pPr>
      <w:spacing w:before="227"/>
    </w:pPr>
    <w:rPr>
      <w:i/>
    </w:rPr>
  </w:style>
  <w:style w:type="paragraph" w:customStyle="1" w:styleId="Question">
    <w:name w:val="Question_#"/>
    <w:basedOn w:val="Rec"/>
    <w:next w:val="QuestionTitle"/>
    <w:rsid w:val="00822A39"/>
    <w:pPr>
      <w:spacing w:before="0"/>
    </w:pPr>
  </w:style>
  <w:style w:type="paragraph" w:customStyle="1" w:styleId="QuestionTitle">
    <w:name w:val="Question_Title"/>
    <w:basedOn w:val="RecTitle"/>
    <w:next w:val="QuestionTitleRef"/>
    <w:rsid w:val="00822A39"/>
  </w:style>
  <w:style w:type="paragraph" w:customStyle="1" w:styleId="QuestionTitleRef">
    <w:name w:val="Question_Title/Ref"/>
    <w:basedOn w:val="RecTitleRef"/>
    <w:next w:val="QuestionTitleDate"/>
    <w:rsid w:val="00822A39"/>
  </w:style>
  <w:style w:type="paragraph" w:customStyle="1" w:styleId="QuestionTitleDate">
    <w:name w:val="Question_Title/Date"/>
    <w:basedOn w:val="RecTitleDate"/>
    <w:next w:val="headfoot"/>
    <w:rsid w:val="00822A39"/>
  </w:style>
  <w:style w:type="paragraph" w:customStyle="1" w:styleId="Res">
    <w:name w:val="Res_#"/>
    <w:basedOn w:val="Rec"/>
    <w:next w:val="ResTitle"/>
    <w:rsid w:val="00822A39"/>
  </w:style>
  <w:style w:type="paragraph" w:customStyle="1" w:styleId="ResTitle">
    <w:name w:val="Res_Title"/>
    <w:basedOn w:val="RecTitle"/>
    <w:next w:val="ResTitleRef"/>
    <w:rsid w:val="00822A39"/>
  </w:style>
  <w:style w:type="paragraph" w:customStyle="1" w:styleId="ResTitleRef">
    <w:name w:val="Res_Title/Ref"/>
    <w:basedOn w:val="RecTitleRef"/>
    <w:next w:val="ResTitleDate"/>
    <w:rsid w:val="00822A39"/>
  </w:style>
  <w:style w:type="paragraph" w:customStyle="1" w:styleId="ResTitleDate">
    <w:name w:val="Res_Title/Date"/>
    <w:basedOn w:val="RecTitleDate"/>
    <w:next w:val="headfoot"/>
    <w:rsid w:val="00822A39"/>
  </w:style>
  <w:style w:type="paragraph" w:customStyle="1" w:styleId="Tablefin">
    <w:name w:val="Table_fin"/>
    <w:basedOn w:val="Normal"/>
    <w:next w:val="Normal"/>
    <w:rsid w:val="00822A39"/>
    <w:pPr>
      <w:spacing w:before="284"/>
    </w:pPr>
  </w:style>
  <w:style w:type="paragraph" w:customStyle="1" w:styleId="Note">
    <w:name w:val="Note"/>
    <w:basedOn w:val="Normal"/>
    <w:next w:val="Normal"/>
    <w:rsid w:val="00822A39"/>
    <w:pPr>
      <w:tabs>
        <w:tab w:val="clear" w:pos="794"/>
        <w:tab w:val="clear" w:pos="1191"/>
        <w:tab w:val="clear" w:pos="1588"/>
        <w:tab w:val="clear" w:pos="1985"/>
      </w:tabs>
      <w:spacing w:before="80"/>
    </w:pPr>
  </w:style>
  <w:style w:type="paragraph" w:customStyle="1" w:styleId="Style">
    <w:name w:val="Style"/>
    <w:basedOn w:val="Normal"/>
    <w:rsid w:val="00822A39"/>
    <w:pPr>
      <w:tabs>
        <w:tab w:val="center" w:pos="4196"/>
        <w:tab w:val="left" w:pos="9242"/>
        <w:tab w:val="center" w:pos="12587"/>
      </w:tabs>
      <w:spacing w:before="340" w:line="318" w:lineRule="atLeast"/>
      <w:ind w:right="618"/>
    </w:pPr>
    <w:rPr>
      <w:i/>
      <w:sz w:val="28"/>
    </w:rPr>
  </w:style>
  <w:style w:type="paragraph" w:customStyle="1" w:styleId="Sectionsous">
    <w:name w:val="Section_sous"/>
    <w:basedOn w:val="Section"/>
    <w:next w:val="Rec"/>
    <w:rsid w:val="00822A39"/>
    <w:pPr>
      <w:pageBreakBefore w:val="0"/>
      <w:spacing w:before="240"/>
    </w:pPr>
  </w:style>
  <w:style w:type="paragraph" w:customStyle="1" w:styleId="CCI">
    <w:name w:val="CCI"/>
    <w:basedOn w:val="Normal"/>
    <w:next w:val="call"/>
    <w:rsid w:val="00822A39"/>
    <w:pPr>
      <w:keepNext/>
      <w:keepLines/>
      <w:tabs>
        <w:tab w:val="clear" w:pos="794"/>
        <w:tab w:val="clear" w:pos="1191"/>
        <w:tab w:val="clear" w:pos="1588"/>
        <w:tab w:val="clear" w:pos="1985"/>
      </w:tabs>
      <w:spacing w:before="199"/>
    </w:pPr>
  </w:style>
  <w:style w:type="paragraph" w:customStyle="1" w:styleId="Fig">
    <w:name w:val="Fig"/>
    <w:basedOn w:val="Figure"/>
    <w:next w:val="Fig0"/>
    <w:rsid w:val="00822A39"/>
    <w:pPr>
      <w:keepNext w:val="0"/>
      <w:keepLines w:val="0"/>
      <w:spacing w:before="136"/>
    </w:pPr>
    <w:rPr>
      <w:lang w:val="en-US"/>
    </w:rPr>
  </w:style>
  <w:style w:type="paragraph" w:customStyle="1" w:styleId="Fig0">
    <w:name w:val="Fig_#"/>
    <w:basedOn w:val="Fig"/>
    <w:next w:val="Normal"/>
    <w:rsid w:val="00822A39"/>
    <w:pPr>
      <w:jc w:val="left"/>
    </w:pPr>
    <w:rPr>
      <w:color w:val="FFFFFF"/>
    </w:rPr>
  </w:style>
  <w:style w:type="paragraph" w:customStyle="1" w:styleId="ASN1">
    <w:name w:val="ASN.1"/>
    <w:basedOn w:val="Normal"/>
    <w:rsid w:val="00822A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Line">
    <w:name w:val="Line"/>
    <w:basedOn w:val="Normal"/>
    <w:next w:val="Normal"/>
    <w:rsid w:val="00822A39"/>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rsid w:val="00822A39"/>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rsid w:val="00822A39"/>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rsid w:val="00822A39"/>
    <w:pPr>
      <w:tabs>
        <w:tab w:val="clear" w:pos="794"/>
        <w:tab w:val="left" w:pos="1077"/>
        <w:tab w:val="right" w:pos="9696"/>
      </w:tabs>
      <w:spacing w:before="240"/>
      <w:ind w:left="1077" w:hanging="1077"/>
      <w:outlineLvl w:val="9"/>
    </w:pPr>
    <w:rPr>
      <w:b w:val="0"/>
      <w:i/>
    </w:rPr>
  </w:style>
  <w:style w:type="paragraph" w:customStyle="1" w:styleId="RecNo">
    <w:name w:val="Rec_No"/>
    <w:basedOn w:val="ResNo"/>
    <w:next w:val="Rectitle0"/>
    <w:rsid w:val="00822A39"/>
  </w:style>
  <w:style w:type="paragraph" w:customStyle="1" w:styleId="ResNo">
    <w:name w:val="Res_No"/>
    <w:basedOn w:val="ArtNo"/>
    <w:next w:val="Restitle0"/>
    <w:rsid w:val="00822A39"/>
  </w:style>
  <w:style w:type="paragraph" w:customStyle="1" w:styleId="ArtNo">
    <w:name w:val="Art_No"/>
    <w:basedOn w:val="Normal"/>
    <w:next w:val="Arttitle"/>
    <w:rsid w:val="00822A39"/>
    <w:pPr>
      <w:keepNext/>
      <w:keepLines/>
      <w:tabs>
        <w:tab w:val="clear" w:pos="794"/>
        <w:tab w:val="clear" w:pos="1191"/>
        <w:tab w:val="clear" w:pos="1588"/>
        <w:tab w:val="clear" w:pos="1985"/>
        <w:tab w:val="left" w:pos="1134"/>
        <w:tab w:val="left" w:pos="1871"/>
        <w:tab w:val="left" w:pos="2268"/>
      </w:tabs>
      <w:spacing w:before="720"/>
      <w:jc w:val="center"/>
    </w:pPr>
    <w:rPr>
      <w:caps/>
      <w:sz w:val="28"/>
      <w:lang w:val="es-ES"/>
    </w:rPr>
  </w:style>
  <w:style w:type="paragraph" w:customStyle="1" w:styleId="Arttitle">
    <w:name w:val="Art_title"/>
    <w:basedOn w:val="Normal"/>
    <w:next w:val="Normalaftertitle"/>
    <w:rsid w:val="00822A39"/>
    <w:pPr>
      <w:keepNext/>
      <w:keepLines/>
      <w:tabs>
        <w:tab w:val="clear" w:pos="794"/>
        <w:tab w:val="clear" w:pos="1191"/>
        <w:tab w:val="clear" w:pos="1588"/>
        <w:tab w:val="clear" w:pos="1985"/>
        <w:tab w:val="left" w:pos="1134"/>
        <w:tab w:val="left" w:pos="1871"/>
        <w:tab w:val="left" w:pos="2268"/>
      </w:tabs>
      <w:spacing w:before="160" w:after="80"/>
      <w:jc w:val="center"/>
    </w:pPr>
    <w:rPr>
      <w:b/>
      <w:sz w:val="28"/>
      <w:lang w:val="es-ES"/>
    </w:rPr>
  </w:style>
  <w:style w:type="paragraph" w:customStyle="1" w:styleId="Restitle0">
    <w:name w:val="Res_title"/>
    <w:basedOn w:val="Arttitle"/>
    <w:next w:val="headfoot"/>
    <w:rsid w:val="00822A39"/>
    <w:pPr>
      <w:spacing w:after="120"/>
    </w:pPr>
  </w:style>
  <w:style w:type="paragraph" w:customStyle="1" w:styleId="Rectitle0">
    <w:name w:val="Rec_title"/>
    <w:basedOn w:val="Restitle0"/>
    <w:next w:val="headfoot"/>
    <w:autoRedefine/>
    <w:rsid w:val="00822A39"/>
  </w:style>
  <w:style w:type="paragraph" w:customStyle="1" w:styleId="Headingb">
    <w:name w:val="Heading_b"/>
    <w:basedOn w:val="Heading3"/>
    <w:next w:val="Normal"/>
    <w:rsid w:val="00822A39"/>
    <w:pPr>
      <w:tabs>
        <w:tab w:val="clear" w:pos="794"/>
        <w:tab w:val="left" w:pos="1871"/>
      </w:tabs>
      <w:spacing w:before="160"/>
      <w:ind w:left="0" w:firstLine="0"/>
      <w:jc w:val="left"/>
      <w:outlineLvl w:val="9"/>
    </w:pPr>
    <w:rPr>
      <w:sz w:val="24"/>
      <w:lang w:val="es-ES"/>
    </w:rPr>
  </w:style>
  <w:style w:type="paragraph" w:customStyle="1" w:styleId="AnnexNo">
    <w:name w:val="Annex_No"/>
    <w:basedOn w:val="ArtNo"/>
    <w:next w:val="Annexref0"/>
    <w:rsid w:val="00822A39"/>
  </w:style>
  <w:style w:type="paragraph" w:customStyle="1" w:styleId="Annexref0">
    <w:name w:val="Annex_ref"/>
    <w:basedOn w:val="Normal"/>
    <w:rsid w:val="00822A39"/>
    <w:pPr>
      <w:tabs>
        <w:tab w:val="clear" w:pos="794"/>
        <w:tab w:val="clear" w:pos="1191"/>
        <w:tab w:val="clear" w:pos="1588"/>
        <w:tab w:val="clear" w:pos="1985"/>
        <w:tab w:val="left" w:pos="1134"/>
        <w:tab w:val="left" w:pos="1871"/>
        <w:tab w:val="left" w:pos="2268"/>
      </w:tabs>
      <w:spacing w:before="120"/>
      <w:jc w:val="center"/>
    </w:pPr>
    <w:rPr>
      <w:sz w:val="24"/>
      <w:lang w:val="es-ES"/>
    </w:rPr>
  </w:style>
  <w:style w:type="paragraph" w:customStyle="1" w:styleId="Annextitle0">
    <w:name w:val="Annex_title"/>
    <w:basedOn w:val="Arttitle"/>
    <w:next w:val="Normal"/>
    <w:rsid w:val="00822A39"/>
    <w:pPr>
      <w:spacing w:after="0"/>
    </w:pPr>
  </w:style>
  <w:style w:type="paragraph" w:customStyle="1" w:styleId="TableHead">
    <w:name w:val="Table_Head"/>
    <w:basedOn w:val="TableText"/>
    <w:rsid w:val="00822A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b/>
      <w:sz w:val="22"/>
      <w:lang w:val="es-ES"/>
    </w:rPr>
  </w:style>
  <w:style w:type="paragraph" w:styleId="List">
    <w:name w:val="List"/>
    <w:basedOn w:val="Normal"/>
    <w:semiHidden/>
    <w:rsid w:val="00822A39"/>
    <w:pPr>
      <w:tabs>
        <w:tab w:val="clear" w:pos="794"/>
        <w:tab w:val="clear" w:pos="1191"/>
        <w:tab w:val="clear" w:pos="1588"/>
        <w:tab w:val="clear" w:pos="1985"/>
        <w:tab w:val="left" w:pos="1701"/>
        <w:tab w:val="left" w:pos="2127"/>
      </w:tabs>
      <w:overflowPunct/>
      <w:autoSpaceDE/>
      <w:autoSpaceDN/>
      <w:adjustRightInd/>
      <w:spacing w:before="120"/>
      <w:ind w:left="2127" w:hanging="2127"/>
      <w:jc w:val="left"/>
      <w:textAlignment w:val="auto"/>
    </w:pPr>
    <w:rPr>
      <w:sz w:val="24"/>
      <w:lang w:val="es-ES"/>
    </w:rPr>
  </w:style>
  <w:style w:type="paragraph" w:customStyle="1" w:styleId="head">
    <w:name w:val="head"/>
    <w:basedOn w:val="Normal"/>
    <w:rsid w:val="00822A39"/>
    <w:rPr>
      <w:b/>
      <w:color w:val="FFFFFF"/>
      <w:sz w:val="8"/>
      <w:lang w:val="fr-FR"/>
    </w:rPr>
  </w:style>
  <w:style w:type="paragraph" w:customStyle="1" w:styleId="foot">
    <w:name w:val="foot"/>
    <w:basedOn w:val="Normal"/>
    <w:rsid w:val="00822A39"/>
    <w:rPr>
      <w:b/>
      <w:color w:val="FFFFFF"/>
      <w:sz w:val="8"/>
      <w:lang w:val="fr-FR"/>
    </w:rPr>
  </w:style>
  <w:style w:type="character" w:styleId="PageNumber">
    <w:name w:val="page number"/>
    <w:basedOn w:val="DefaultParagraphFont"/>
    <w:rsid w:val="00BE64D9"/>
  </w:style>
  <w:style w:type="paragraph" w:customStyle="1" w:styleId="Tablehead0">
    <w:name w:val="Table_head"/>
    <w:basedOn w:val="Normal"/>
    <w:next w:val="Normal"/>
    <w:rsid w:val="00BE64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Tabletext0">
    <w:name w:val="Table_text"/>
    <w:basedOn w:val="Normal"/>
    <w:rsid w:val="00BE64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Chaptitle">
    <w:name w:val="Chap_title"/>
    <w:basedOn w:val="Arttitle"/>
    <w:next w:val="Normal"/>
    <w:rsid w:val="00BE64D9"/>
    <w:pPr>
      <w:tabs>
        <w:tab w:val="clear" w:pos="1134"/>
        <w:tab w:val="clear" w:pos="1871"/>
        <w:tab w:val="clear" w:pos="2268"/>
        <w:tab w:val="left" w:pos="794"/>
        <w:tab w:val="left" w:pos="1191"/>
        <w:tab w:val="left" w:pos="1588"/>
        <w:tab w:val="left" w:pos="1985"/>
      </w:tabs>
      <w:spacing w:before="240" w:after="0"/>
    </w:pPr>
    <w:rPr>
      <w:lang w:val="fr-FR"/>
    </w:rPr>
  </w:style>
  <w:style w:type="character" w:styleId="Hyperlink">
    <w:name w:val="Hyperlink"/>
    <w:basedOn w:val="DefaultParagraphFont"/>
    <w:rsid w:val="00BE64D9"/>
    <w:rPr>
      <w:color w:val="0000FF"/>
      <w:u w:val="single"/>
    </w:rPr>
  </w:style>
  <w:style w:type="table" w:styleId="TableGrid">
    <w:name w:val="Table Grid"/>
    <w:basedOn w:val="TableNormal"/>
    <w:rsid w:val="00BE64D9"/>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4.bin"/><Relationship Id="rId10" Type="http://schemas.openxmlformats.org/officeDocument/2006/relationships/hyperlink" Target="http://www.itu.int/publ/R-REC/es" TargetMode="External"/><Relationship Id="rId19"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3.wmf"/><Relationship Id="rId22" Type="http://schemas.openxmlformats.org/officeDocument/2006/relationships/image" Target="media/image8.w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BR_REC.DOT</Template>
  <TotalTime>46</TotalTime>
  <Pages>14</Pages>
  <Words>5848</Words>
  <Characters>33337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F.1500 - Características preferidas de los sistemas del servicio fijo que utilizan plataformas de gran altitud en las bandas 47,2-47,5 GHz y 47,9-48,2 GHz</vt:lpstr>
    </vt:vector>
  </TitlesOfParts>
  <Manager>CP 1781</Manager>
  <Company>ITU</Company>
  <LinksUpToDate>false</LinksUpToDate>
  <CharactersWithSpaces>39107</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F.1500 - Características preferidas de los sistemas del servicio fijo que utilizan plataformas de gran altitud en las bandas 47,2-47,5 GHz y 47,9-48,2 GHz</dc:title>
  <dc:subject>Serie F = Servicio fijo</dc:subject>
  <dc:creator>Oficina de Radiocomunicaciones del UIT (BR)</dc:creator>
  <cp:keywords>F, 1500</cp:keywords>
  <dc:description>Saisie + récup: 08.09.00/LS_x000d_
M.E.P.:    11.09.00/LS_x000d_
Corrections: 15.09.00/PF et 18.09.00/JC_x000d_
ULT:   20.09.2000/DD</dc:description>
  <cp:lastModifiedBy>martiner</cp:lastModifiedBy>
  <cp:revision>14</cp:revision>
  <cp:lastPrinted>2000-09-20T07:45:00Z</cp:lastPrinted>
  <dcterms:created xsi:type="dcterms:W3CDTF">2010-11-29T13:24:00Z</dcterms:created>
  <dcterms:modified xsi:type="dcterms:W3CDTF">2010-12-03T14:39:00Z</dcterms:modified>
  <cp:category>WW9//Folios: 1-12</cp:category>
</cp:coreProperties>
</file>