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tbl>
      <w:tblPr>
        <w:tblW w:w="10089" w:type="dxa"/>
        <w:tblLook w:val="01E0" w:firstRow="1" w:lastRow="1" w:firstColumn="1" w:lastColumn="1" w:noHBand="0" w:noVBand="0"/>
      </w:tblPr>
      <w:tblGrid>
        <w:gridCol w:w="10089"/>
      </w:tblGrid>
      <w:tr w:rsidR="00BC52F7" w:rsidRPr="008C3FA7">
        <w:tc>
          <w:tcPr>
            <w:tcW w:w="10089" w:type="dxa"/>
          </w:tcPr>
          <w:p w:rsidR="00BC52F7" w:rsidRPr="008C3FA7" w:rsidRDefault="00BC52F7" w:rsidP="00724C72">
            <w:pPr>
              <w:spacing w:before="380" w:line="280" w:lineRule="exact"/>
              <w:jc w:val="right"/>
              <w:rPr>
                <w:rFonts w:ascii="Tahoma" w:hAnsi="Tahoma" w:cs="Tahoma"/>
                <w:b/>
                <w:bCs/>
                <w:iCs/>
                <w:color w:val="243285"/>
                <w:sz w:val="32"/>
                <w:szCs w:val="32"/>
                <w:lang w:val="en-GB"/>
              </w:rPr>
            </w:pPr>
          </w:p>
          <w:p w:rsidR="00BC52F7" w:rsidRPr="008C3FA7" w:rsidRDefault="00BC52F7" w:rsidP="00BC52F7">
            <w:pPr>
              <w:spacing w:before="380" w:line="280" w:lineRule="exact"/>
              <w:jc w:val="right"/>
              <w:rPr>
                <w:rFonts w:ascii="Tahoma" w:hAnsi="Tahoma" w:cs="Tahoma"/>
                <w:b/>
                <w:bCs/>
                <w:iCs/>
                <w:color w:val="243285"/>
                <w:sz w:val="36"/>
                <w:szCs w:val="36"/>
                <w:lang w:val="en-GB"/>
              </w:rPr>
            </w:pPr>
            <w:r w:rsidRPr="008C3FA7">
              <w:rPr>
                <w:rFonts w:ascii="Tahoma" w:hAnsi="Tahoma" w:cs="Tahoma"/>
                <w:b/>
                <w:bCs/>
                <w:iCs/>
                <w:color w:val="243285"/>
                <w:sz w:val="36"/>
                <w:szCs w:val="36"/>
                <w:lang w:val="en-GB"/>
              </w:rPr>
              <w:t>Recommendation  ITU-R  F.1247-3</w:t>
            </w:r>
          </w:p>
          <w:p w:rsidR="00BC52F7" w:rsidRPr="008C3FA7" w:rsidRDefault="00BC52F7" w:rsidP="005E40AE">
            <w:pPr>
              <w:spacing w:before="80" w:line="280" w:lineRule="exact"/>
              <w:jc w:val="right"/>
              <w:rPr>
                <w:rFonts w:ascii="Tahoma" w:hAnsi="Tahoma" w:cs="Tahoma"/>
                <w:b/>
                <w:bCs/>
                <w:iCs/>
                <w:color w:val="243285"/>
                <w:szCs w:val="24"/>
                <w:lang w:val="en-GB"/>
              </w:rPr>
            </w:pPr>
            <w:r w:rsidRPr="008C3FA7">
              <w:rPr>
                <w:rFonts w:ascii="Tahoma" w:hAnsi="Tahoma" w:cs="Tahoma"/>
                <w:b/>
                <w:bCs/>
                <w:iCs/>
                <w:color w:val="243285"/>
                <w:szCs w:val="24"/>
                <w:lang w:val="en-GB"/>
              </w:rPr>
              <w:t>(</w:t>
            </w:r>
            <w:r w:rsidR="005E40AE">
              <w:rPr>
                <w:rFonts w:ascii="Tahoma" w:hAnsi="Tahoma" w:cs="Tahoma"/>
                <w:b/>
                <w:bCs/>
                <w:iCs/>
                <w:color w:val="243285"/>
                <w:szCs w:val="24"/>
                <w:lang w:val="en-GB"/>
              </w:rPr>
              <w:t>02</w:t>
            </w:r>
            <w:r w:rsidRPr="008C3FA7">
              <w:rPr>
                <w:rFonts w:ascii="Tahoma" w:hAnsi="Tahoma" w:cs="Tahoma"/>
                <w:b/>
                <w:bCs/>
                <w:iCs/>
                <w:color w:val="243285"/>
                <w:szCs w:val="24"/>
                <w:lang w:val="en-GB"/>
              </w:rPr>
              <w:t>/201</w:t>
            </w:r>
            <w:r w:rsidR="005E40AE">
              <w:rPr>
                <w:rFonts w:ascii="Tahoma" w:hAnsi="Tahoma" w:cs="Tahoma"/>
                <w:b/>
                <w:bCs/>
                <w:iCs/>
                <w:color w:val="243285"/>
                <w:szCs w:val="24"/>
                <w:lang w:val="en-GB"/>
              </w:rPr>
              <w:t>3</w:t>
            </w:r>
            <w:r w:rsidRPr="008C3FA7">
              <w:rPr>
                <w:rFonts w:ascii="Tahoma" w:hAnsi="Tahoma" w:cs="Tahoma"/>
                <w:b/>
                <w:bCs/>
                <w:iCs/>
                <w:color w:val="243285"/>
                <w:szCs w:val="24"/>
                <w:lang w:val="en-GB"/>
              </w:rPr>
              <w:t>)</w:t>
            </w:r>
          </w:p>
        </w:tc>
      </w:tr>
      <w:tr w:rsidR="00BC52F7" w:rsidRPr="002178C4">
        <w:tc>
          <w:tcPr>
            <w:tcW w:w="10089" w:type="dxa"/>
          </w:tcPr>
          <w:p w:rsidR="00BC52F7" w:rsidRPr="008C3FA7" w:rsidRDefault="00BC52F7" w:rsidP="00724C72">
            <w:pPr>
              <w:spacing w:before="80" w:line="500" w:lineRule="exact"/>
              <w:jc w:val="right"/>
              <w:rPr>
                <w:rFonts w:ascii="Tahoma" w:hAnsi="Tahoma" w:cs="Tahoma"/>
                <w:b/>
                <w:bCs/>
                <w:iCs/>
                <w:color w:val="243285"/>
                <w:sz w:val="44"/>
                <w:szCs w:val="44"/>
                <w:lang w:val="en-GB"/>
              </w:rPr>
            </w:pPr>
          </w:p>
          <w:p w:rsidR="00BC52F7" w:rsidRPr="008C3FA7" w:rsidRDefault="00BC52F7" w:rsidP="00BC52F7">
            <w:pPr>
              <w:spacing w:before="80" w:line="500" w:lineRule="exact"/>
              <w:jc w:val="right"/>
              <w:rPr>
                <w:rFonts w:ascii="Tahoma" w:hAnsi="Tahoma" w:cs="Tahoma"/>
                <w:b/>
                <w:bCs/>
                <w:iCs/>
                <w:color w:val="243285"/>
                <w:sz w:val="40"/>
                <w:szCs w:val="40"/>
                <w:lang w:val="en-GB"/>
              </w:rPr>
            </w:pPr>
            <w:r w:rsidRPr="008C3FA7">
              <w:rPr>
                <w:rFonts w:ascii="Tahoma" w:hAnsi="Tahoma" w:cs="Tahoma"/>
                <w:b/>
                <w:bCs/>
                <w:color w:val="243285"/>
                <w:sz w:val="44"/>
                <w:szCs w:val="44"/>
                <w:lang w:val="en-GB"/>
              </w:rPr>
              <w:t>Technical and operational characteristics of systems in the fixed service to facilitate sharing with the space research, space operation and Earth exploration-satellite services operating in the bands 2 025</w:t>
            </w:r>
            <w:r w:rsidRPr="008C3FA7">
              <w:rPr>
                <w:rFonts w:ascii="Tahoma" w:hAnsi="Tahoma" w:cs="Tahoma"/>
                <w:b/>
                <w:bCs/>
                <w:color w:val="243285"/>
                <w:sz w:val="44"/>
                <w:szCs w:val="44"/>
                <w:lang w:val="en-GB"/>
              </w:rPr>
              <w:noBreakHyphen/>
              <w:t>2 110 MHz and 2 200-2 290 MHz</w:t>
            </w:r>
          </w:p>
        </w:tc>
      </w:tr>
      <w:tr w:rsidR="00BC52F7" w:rsidRPr="008C3FA7">
        <w:tc>
          <w:tcPr>
            <w:tcW w:w="10089" w:type="dxa"/>
          </w:tcPr>
          <w:p w:rsidR="00BC52F7" w:rsidRPr="008C3FA7" w:rsidRDefault="00BC52F7" w:rsidP="00724C72">
            <w:pPr>
              <w:spacing w:before="80" w:line="280" w:lineRule="exact"/>
              <w:ind w:right="640"/>
              <w:rPr>
                <w:rFonts w:ascii="Tahoma" w:hAnsi="Tahoma" w:cs="Tahoma"/>
                <w:b/>
                <w:bCs/>
                <w:iCs/>
                <w:color w:val="243285"/>
                <w:sz w:val="32"/>
                <w:szCs w:val="32"/>
                <w:lang w:val="en-GB"/>
              </w:rPr>
            </w:pPr>
          </w:p>
          <w:p w:rsidR="00BC52F7" w:rsidRPr="008C3FA7" w:rsidRDefault="00BC52F7" w:rsidP="00724C72">
            <w:pPr>
              <w:spacing w:before="80" w:line="280" w:lineRule="exact"/>
              <w:ind w:right="640"/>
              <w:rPr>
                <w:rFonts w:ascii="Tahoma" w:hAnsi="Tahoma" w:cs="Tahoma"/>
                <w:b/>
                <w:bCs/>
                <w:iCs/>
                <w:color w:val="243285"/>
                <w:sz w:val="32"/>
                <w:szCs w:val="32"/>
                <w:lang w:val="en-GB"/>
              </w:rPr>
            </w:pPr>
          </w:p>
          <w:p w:rsidR="00BC52F7" w:rsidRPr="008C3FA7" w:rsidRDefault="00BC52F7" w:rsidP="00724C72">
            <w:pPr>
              <w:spacing w:before="80" w:after="180" w:line="360" w:lineRule="exact"/>
              <w:ind w:right="720"/>
              <w:rPr>
                <w:rFonts w:ascii="Tahoma" w:hAnsi="Tahoma" w:cs="Tahoma"/>
                <w:b/>
                <w:bCs/>
                <w:iCs/>
                <w:color w:val="243285"/>
                <w:sz w:val="36"/>
                <w:szCs w:val="36"/>
                <w:lang w:val="en-GB"/>
              </w:rPr>
            </w:pPr>
          </w:p>
          <w:p w:rsidR="00BC52F7" w:rsidRPr="008C3FA7" w:rsidRDefault="00BC52F7" w:rsidP="00724C72">
            <w:pPr>
              <w:spacing w:before="80" w:after="180" w:line="360" w:lineRule="exact"/>
              <w:jc w:val="right"/>
              <w:rPr>
                <w:rFonts w:ascii="Tahoma" w:hAnsi="Tahoma" w:cs="Tahoma"/>
                <w:b/>
                <w:bCs/>
                <w:iCs/>
                <w:color w:val="243285"/>
                <w:sz w:val="36"/>
                <w:szCs w:val="36"/>
                <w:lang w:val="en-GB"/>
              </w:rPr>
            </w:pPr>
            <w:r w:rsidRPr="008C3FA7">
              <w:rPr>
                <w:rFonts w:ascii="Tahoma" w:hAnsi="Tahoma" w:cs="Tahoma"/>
                <w:b/>
                <w:bCs/>
                <w:iCs/>
                <w:color w:val="243285"/>
                <w:sz w:val="36"/>
                <w:szCs w:val="36"/>
                <w:lang w:val="en-GB"/>
              </w:rPr>
              <w:t>F Series</w:t>
            </w:r>
          </w:p>
          <w:p w:rsidR="00BC52F7" w:rsidRPr="008C3FA7" w:rsidRDefault="00BC52F7" w:rsidP="00724C72">
            <w:pPr>
              <w:spacing w:before="80" w:line="360" w:lineRule="exact"/>
              <w:jc w:val="right"/>
              <w:rPr>
                <w:rFonts w:ascii="Tahoma" w:hAnsi="Tahoma" w:cs="Tahoma"/>
                <w:b/>
                <w:bCs/>
                <w:iCs/>
                <w:color w:val="243285"/>
                <w:sz w:val="36"/>
                <w:szCs w:val="36"/>
                <w:lang w:val="en-GB"/>
              </w:rPr>
            </w:pPr>
            <w:r w:rsidRPr="008C3FA7">
              <w:rPr>
                <w:rFonts w:ascii="Tahoma" w:hAnsi="Tahoma" w:cs="Tahoma"/>
                <w:b/>
                <w:bCs/>
                <w:color w:val="243285"/>
                <w:sz w:val="36"/>
                <w:szCs w:val="36"/>
                <w:lang w:val="en-GB"/>
              </w:rPr>
              <w:t>Fixed service</w:t>
            </w:r>
          </w:p>
        </w:tc>
      </w:tr>
    </w:tbl>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pStyle w:val="Equation"/>
        <w:tabs>
          <w:tab w:val="clear" w:pos="4820"/>
          <w:tab w:val="clear" w:pos="9639"/>
          <w:tab w:val="left" w:pos="1191"/>
          <w:tab w:val="left" w:pos="1588"/>
          <w:tab w:val="left" w:pos="1985"/>
        </w:tabs>
        <w:rPr>
          <w:rFonts w:ascii="Palatino Linotype" w:hAnsi="Palatino Linotype"/>
          <w:lang w:val="en-GB"/>
        </w:rPr>
        <w:sectPr w:rsidR="00BC52F7" w:rsidRPr="008C3FA7" w:rsidSect="00724C72">
          <w:headerReference w:type="even" r:id="rId7"/>
          <w:headerReference w:type="default" r:id="rId8"/>
          <w:pgSz w:w="11907" w:h="16834" w:code="9"/>
          <w:pgMar w:top="1418" w:right="1134" w:bottom="1134" w:left="1134" w:header="720" w:footer="482" w:gutter="0"/>
          <w:paperSrc w:first="15" w:other="15"/>
          <w:cols w:space="720"/>
        </w:sectPr>
      </w:pPr>
    </w:p>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8C3FA7">
        <w:rPr>
          <w:bCs/>
          <w:sz w:val="24"/>
          <w:szCs w:val="24"/>
          <w:lang w:val="en-GB"/>
        </w:rPr>
        <w:lastRenderedPageBreak/>
        <w:t>Foreword</w:t>
      </w:r>
    </w:p>
    <w:p w:rsidR="00BC52F7" w:rsidRPr="008C3FA7" w:rsidRDefault="00BC52F7" w:rsidP="00724C72">
      <w:pPr>
        <w:spacing w:before="240"/>
        <w:rPr>
          <w:sz w:val="20"/>
          <w:lang w:val="en-GB"/>
        </w:rPr>
      </w:pPr>
      <w:r w:rsidRPr="008C3FA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52F7" w:rsidRPr="008C3FA7" w:rsidRDefault="00BC52F7" w:rsidP="00724C72">
      <w:pPr>
        <w:rPr>
          <w:sz w:val="20"/>
          <w:lang w:val="en-GB"/>
        </w:rPr>
      </w:pPr>
      <w:r w:rsidRPr="008C3FA7">
        <w:rPr>
          <w:sz w:val="20"/>
          <w:lang w:val="en-GB"/>
        </w:rPr>
        <w:t>The regulatory and policy functions of the Radiocommunication Sector are performed by World and Regional Radiocommunication Conferences and Radiocommunication Assemblies supported by Study Groups.</w:t>
      </w:r>
    </w:p>
    <w:p w:rsidR="00BC52F7" w:rsidRPr="008C3FA7" w:rsidRDefault="00BC52F7" w:rsidP="00724C72">
      <w:pPr>
        <w:pStyle w:val="Heading1"/>
        <w:spacing w:before="680"/>
        <w:jc w:val="center"/>
        <w:rPr>
          <w:szCs w:val="24"/>
          <w:lang w:val="en-GB"/>
        </w:rPr>
      </w:pPr>
      <w:r w:rsidRPr="008C3FA7">
        <w:rPr>
          <w:szCs w:val="24"/>
          <w:lang w:val="en-GB"/>
        </w:rPr>
        <w:t>Policy on Intellectual Property Right (IPR)</w:t>
      </w:r>
    </w:p>
    <w:p w:rsidR="00BC52F7" w:rsidRPr="008C3FA7" w:rsidRDefault="00BC52F7" w:rsidP="00724C72">
      <w:pPr>
        <w:tabs>
          <w:tab w:val="clear" w:pos="794"/>
          <w:tab w:val="clear" w:pos="1191"/>
          <w:tab w:val="clear" w:pos="1588"/>
          <w:tab w:val="clear" w:pos="1985"/>
        </w:tabs>
        <w:spacing w:before="240"/>
        <w:rPr>
          <w:sz w:val="20"/>
          <w:lang w:val="en-GB"/>
        </w:rPr>
      </w:pPr>
      <w:r w:rsidRPr="008C3FA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8C3FA7">
          <w:rPr>
            <w:rStyle w:val="Hyperlink"/>
            <w:sz w:val="20"/>
            <w:lang w:val="en-GB"/>
          </w:rPr>
          <w:t>http://www.itu.int/ITU-R/go/patents/en</w:t>
        </w:r>
      </w:hyperlink>
      <w:r w:rsidRPr="008C3FA7">
        <w:rPr>
          <w:sz w:val="20"/>
          <w:lang w:val="en-GB"/>
        </w:rPr>
        <w:t xml:space="preserve"> where the Guidelines for Implementation of the Common Patent Policy for ITU</w:t>
      </w:r>
      <w:r w:rsidRPr="008C3FA7">
        <w:rPr>
          <w:sz w:val="20"/>
          <w:lang w:val="en-GB"/>
        </w:rPr>
        <w:noBreakHyphen/>
        <w:t>T/ITU</w:t>
      </w:r>
      <w:r w:rsidRPr="008C3FA7">
        <w:rPr>
          <w:sz w:val="20"/>
          <w:lang w:val="en-GB"/>
        </w:rPr>
        <w:noBreakHyphen/>
        <w:t xml:space="preserve">R/ISO/IEC and the ITU-R patent information database can also be found. </w:t>
      </w:r>
    </w:p>
    <w:p w:rsidR="00BC52F7" w:rsidRPr="008C3FA7" w:rsidRDefault="00BC52F7" w:rsidP="00724C72">
      <w:pPr>
        <w:jc w:val="center"/>
        <w:rPr>
          <w:sz w:val="22"/>
          <w:lang w:val="en-GB"/>
        </w:rPr>
      </w:pPr>
    </w:p>
    <w:p w:rsidR="00BC52F7" w:rsidRPr="008C3FA7" w:rsidRDefault="00BC52F7" w:rsidP="00724C7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52F7" w:rsidRPr="002178C4">
        <w:tc>
          <w:tcPr>
            <w:tcW w:w="9360" w:type="dxa"/>
            <w:gridSpan w:val="2"/>
          </w:tcPr>
          <w:p w:rsidR="00BC52F7" w:rsidRPr="008C3FA7" w:rsidRDefault="00BC52F7" w:rsidP="00724C72">
            <w:pPr>
              <w:pStyle w:val="Chaptitle"/>
              <w:keepLines w:val="0"/>
              <w:tabs>
                <w:tab w:val="clear" w:pos="794"/>
                <w:tab w:val="clear" w:pos="1191"/>
                <w:tab w:val="clear" w:pos="1588"/>
                <w:tab w:val="clear" w:pos="1985"/>
              </w:tabs>
              <w:overflowPunct/>
              <w:spacing w:before="180"/>
              <w:textAlignment w:val="auto"/>
              <w:rPr>
                <w:sz w:val="22"/>
                <w:szCs w:val="22"/>
                <w:lang w:val="en-GB"/>
              </w:rPr>
            </w:pPr>
            <w:r w:rsidRPr="008C3FA7">
              <w:rPr>
                <w:sz w:val="22"/>
                <w:szCs w:val="22"/>
                <w:lang w:val="en-GB"/>
              </w:rPr>
              <w:t xml:space="preserve">Series of ITU-R Recommendations </w:t>
            </w:r>
          </w:p>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C3FA7">
              <w:rPr>
                <w:b w:val="0"/>
                <w:sz w:val="18"/>
                <w:szCs w:val="18"/>
                <w:lang w:val="en-GB"/>
              </w:rPr>
              <w:t xml:space="preserve">(Also available online at </w:t>
            </w:r>
            <w:hyperlink r:id="rId10" w:history="1">
              <w:r w:rsidRPr="008C3FA7">
                <w:rPr>
                  <w:rStyle w:val="Hyperlink"/>
                  <w:b w:val="0"/>
                  <w:sz w:val="18"/>
                  <w:szCs w:val="18"/>
                  <w:lang w:val="en-GB"/>
                </w:rPr>
                <w:t>http://www.itu.int/publ/R-REC/en</w:t>
              </w:r>
            </w:hyperlink>
            <w:r w:rsidRPr="008C3FA7">
              <w:rPr>
                <w:b w:val="0"/>
                <w:sz w:val="18"/>
                <w:szCs w:val="18"/>
                <w:lang w:val="en-GB"/>
              </w:rPr>
              <w:t>)</w:t>
            </w:r>
          </w:p>
        </w:tc>
      </w:tr>
      <w:tr w:rsidR="00BC52F7" w:rsidRPr="008C3FA7">
        <w:tc>
          <w:tcPr>
            <w:tcW w:w="1140" w:type="dxa"/>
          </w:tcPr>
          <w:p w:rsidR="00BC52F7" w:rsidRPr="008C3FA7" w:rsidRDefault="00BC52F7" w:rsidP="00724C72">
            <w:pPr>
              <w:spacing w:before="200" w:after="100"/>
              <w:ind w:left="57"/>
              <w:rPr>
                <w:b/>
                <w:bCs/>
                <w:sz w:val="20"/>
                <w:lang w:val="en-GB"/>
              </w:rPr>
            </w:pPr>
            <w:r w:rsidRPr="008C3FA7">
              <w:rPr>
                <w:b/>
                <w:bCs/>
                <w:sz w:val="20"/>
                <w:lang w:val="en-GB"/>
              </w:rPr>
              <w:t>Series</w:t>
            </w:r>
          </w:p>
        </w:tc>
        <w:tc>
          <w:tcPr>
            <w:tcW w:w="8220" w:type="dxa"/>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C3FA7">
              <w:rPr>
                <w:bCs/>
                <w:sz w:val="20"/>
                <w:lang w:val="en-GB"/>
              </w:rPr>
              <w:t>Title</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BO</w:t>
            </w:r>
          </w:p>
        </w:tc>
        <w:tc>
          <w:tcPr>
            <w:tcW w:w="8220" w:type="dxa"/>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C3FA7">
              <w:rPr>
                <w:b w:val="0"/>
                <w:bCs/>
                <w:sz w:val="20"/>
                <w:lang w:val="en-GB"/>
              </w:rPr>
              <w:t>Satellite delivery</w:t>
            </w:r>
          </w:p>
        </w:tc>
      </w:tr>
      <w:tr w:rsidR="00BC52F7" w:rsidRPr="002178C4" w:rsidTr="00724C72">
        <w:tc>
          <w:tcPr>
            <w:tcW w:w="1140" w:type="dxa"/>
            <w:tcBorders>
              <w:bottom w:val="nil"/>
            </w:tcBorders>
          </w:tcPr>
          <w:p w:rsidR="00BC52F7" w:rsidRPr="008C3FA7" w:rsidRDefault="00BC52F7" w:rsidP="00724C72">
            <w:pPr>
              <w:spacing w:before="30" w:after="30"/>
              <w:ind w:left="57"/>
              <w:jc w:val="left"/>
              <w:rPr>
                <w:b/>
                <w:bCs/>
                <w:sz w:val="20"/>
                <w:lang w:val="en-GB"/>
              </w:rPr>
            </w:pPr>
            <w:r w:rsidRPr="008C3FA7">
              <w:rPr>
                <w:b/>
                <w:bCs/>
                <w:sz w:val="20"/>
                <w:lang w:val="en-GB"/>
              </w:rPr>
              <w:t>BR</w:t>
            </w:r>
          </w:p>
        </w:tc>
        <w:tc>
          <w:tcPr>
            <w:tcW w:w="8220" w:type="dxa"/>
            <w:tcBorders>
              <w:bottom w:val="nil"/>
            </w:tcBorders>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Recording for production, archival and play-out; film for television</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rFonts w:hAnsi="Times New Roman Bold"/>
                <w:b/>
                <w:bCs/>
                <w:sz w:val="20"/>
                <w:lang w:val="en-GB"/>
              </w:rPr>
            </w:pPr>
            <w:r w:rsidRPr="008C3FA7">
              <w:rPr>
                <w:rFonts w:hAnsi="Times New Roman Bold"/>
                <w:b/>
                <w:bCs/>
                <w:sz w:val="20"/>
                <w:lang w:val="en-GB"/>
              </w:rPr>
              <w:t>BS</w:t>
            </w:r>
          </w:p>
        </w:tc>
        <w:tc>
          <w:tcPr>
            <w:tcW w:w="8220" w:type="dxa"/>
            <w:tcBorders>
              <w:top w:val="nil"/>
              <w:bottom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C3FA7">
              <w:rPr>
                <w:rFonts w:hAnsi="Times New Roman Bold"/>
                <w:b w:val="0"/>
                <w:sz w:val="20"/>
                <w:lang w:val="en-GB"/>
              </w:rPr>
              <w:t>Broadcasting service (sound)</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BT</w:t>
            </w:r>
          </w:p>
        </w:tc>
        <w:tc>
          <w:tcPr>
            <w:tcW w:w="8220" w:type="dxa"/>
            <w:tcBorders>
              <w:top w:val="nil"/>
              <w:bottom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Broadcasting service (television)</w:t>
            </w:r>
          </w:p>
        </w:tc>
      </w:tr>
      <w:tr w:rsidR="00BC52F7" w:rsidRPr="008C3FA7" w:rsidTr="00724C72">
        <w:tc>
          <w:tcPr>
            <w:tcW w:w="1140" w:type="dxa"/>
            <w:tcBorders>
              <w:top w:val="nil"/>
              <w:bottom w:val="nil"/>
            </w:tcBorders>
            <w:shd w:val="clear" w:color="auto" w:fill="F3F3F3"/>
          </w:tcPr>
          <w:p w:rsidR="00BC52F7" w:rsidRPr="008C3FA7" w:rsidRDefault="00BC52F7" w:rsidP="00724C72">
            <w:pPr>
              <w:spacing w:before="30" w:after="30"/>
              <w:ind w:left="57"/>
              <w:jc w:val="left"/>
              <w:rPr>
                <w:rFonts w:ascii="Times New Roman Bold" w:hAnsi="Times New Roman Bold" w:cs="Times New Roman Bold"/>
                <w:color w:val="000080"/>
                <w:sz w:val="20"/>
                <w:lang w:val="en-GB"/>
              </w:rPr>
            </w:pPr>
            <w:r w:rsidRPr="008C3FA7">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8C3FA7">
              <w:rPr>
                <w:rFonts w:ascii="Times New Roman Bold" w:hAnsi="Times New Roman Bold" w:cs="Times New Roman Bold"/>
                <w:color w:val="000080"/>
                <w:sz w:val="20"/>
                <w:lang w:val="en-GB"/>
              </w:rPr>
              <w:t>Fixed service</w:t>
            </w:r>
          </w:p>
        </w:tc>
      </w:tr>
      <w:tr w:rsidR="00BC52F7" w:rsidRPr="008C3FA7" w:rsidTr="00724C72">
        <w:tc>
          <w:tcPr>
            <w:tcW w:w="1140" w:type="dxa"/>
            <w:tcBorders>
              <w:top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M</w:t>
            </w:r>
          </w:p>
        </w:tc>
        <w:tc>
          <w:tcPr>
            <w:tcW w:w="8220" w:type="dxa"/>
            <w:tcBorders>
              <w:top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Mobile, radiodetermination, amateur and related satellite services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P</w:t>
            </w:r>
          </w:p>
        </w:tc>
        <w:tc>
          <w:tcPr>
            <w:tcW w:w="8220" w:type="dxa"/>
          </w:tcPr>
          <w:p w:rsidR="00BC52F7" w:rsidRPr="008C3FA7" w:rsidRDefault="00BC52F7" w:rsidP="00724C72">
            <w:pPr>
              <w:spacing w:before="30" w:after="30"/>
              <w:jc w:val="left"/>
              <w:rPr>
                <w:sz w:val="20"/>
                <w:lang w:val="en-GB"/>
              </w:rPr>
            </w:pPr>
            <w:r w:rsidRPr="008C3FA7">
              <w:rPr>
                <w:sz w:val="20"/>
                <w:lang w:val="en-GB"/>
              </w:rPr>
              <w:t>Radiowave propagation</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RA</w:t>
            </w:r>
          </w:p>
        </w:tc>
        <w:tc>
          <w:tcPr>
            <w:tcW w:w="8220" w:type="dxa"/>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C3FA7">
              <w:rPr>
                <w:sz w:val="20"/>
                <w:lang w:val="en-GB"/>
              </w:rPr>
              <w:t>Radio astronomy</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RS</w:t>
            </w:r>
          </w:p>
        </w:tc>
        <w:tc>
          <w:tcPr>
            <w:tcW w:w="8220" w:type="dxa"/>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C3FA7">
              <w:rPr>
                <w:sz w:val="20"/>
                <w:lang w:val="en-GB"/>
              </w:rPr>
              <w:t>Remote sensing systems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S</w:t>
            </w:r>
          </w:p>
        </w:tc>
        <w:tc>
          <w:tcPr>
            <w:tcW w:w="8220" w:type="dxa"/>
          </w:tcPr>
          <w:p w:rsidR="00BC52F7" w:rsidRPr="008C3FA7" w:rsidRDefault="00BC52F7" w:rsidP="00724C72">
            <w:pPr>
              <w:spacing w:before="30" w:after="30"/>
              <w:jc w:val="left"/>
              <w:rPr>
                <w:sz w:val="20"/>
                <w:lang w:val="en-GB"/>
              </w:rPr>
            </w:pPr>
            <w:r w:rsidRPr="008C3FA7">
              <w:rPr>
                <w:sz w:val="20"/>
                <w:lang w:val="en-GB"/>
              </w:rPr>
              <w:t>Fixed-satellite service</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SA</w:t>
            </w:r>
          </w:p>
        </w:tc>
        <w:tc>
          <w:tcPr>
            <w:tcW w:w="8220" w:type="dxa"/>
          </w:tcPr>
          <w:p w:rsidR="00BC52F7" w:rsidRPr="008C3FA7" w:rsidRDefault="00BC52F7" w:rsidP="00724C72">
            <w:pPr>
              <w:spacing w:before="30" w:after="30"/>
              <w:jc w:val="left"/>
              <w:rPr>
                <w:sz w:val="20"/>
                <w:lang w:val="en-GB"/>
              </w:rPr>
            </w:pPr>
            <w:r w:rsidRPr="008C3FA7">
              <w:rPr>
                <w:sz w:val="20"/>
                <w:lang w:val="en-GB"/>
              </w:rPr>
              <w:t>Space applications and meteorology</w:t>
            </w:r>
          </w:p>
        </w:tc>
      </w:tr>
      <w:tr w:rsidR="00BC52F7" w:rsidRPr="002178C4" w:rsidTr="00724C72">
        <w:tc>
          <w:tcPr>
            <w:tcW w:w="1140" w:type="dxa"/>
            <w:tcBorders>
              <w:bottom w:val="nil"/>
            </w:tcBorders>
          </w:tcPr>
          <w:p w:rsidR="00BC52F7" w:rsidRPr="008C3FA7" w:rsidRDefault="00BC52F7" w:rsidP="00724C72">
            <w:pPr>
              <w:spacing w:before="30" w:after="30"/>
              <w:ind w:left="57"/>
              <w:jc w:val="left"/>
              <w:rPr>
                <w:b/>
                <w:bCs/>
                <w:sz w:val="20"/>
                <w:lang w:val="en-GB"/>
              </w:rPr>
            </w:pPr>
            <w:r w:rsidRPr="008C3FA7">
              <w:rPr>
                <w:b/>
                <w:bCs/>
                <w:sz w:val="20"/>
                <w:lang w:val="en-GB"/>
              </w:rPr>
              <w:t>SF</w:t>
            </w:r>
          </w:p>
        </w:tc>
        <w:tc>
          <w:tcPr>
            <w:tcW w:w="8220" w:type="dxa"/>
            <w:tcBorders>
              <w:bottom w:val="nil"/>
            </w:tcBorders>
          </w:tcPr>
          <w:p w:rsidR="00BC52F7" w:rsidRPr="008C3FA7" w:rsidRDefault="00BC52F7" w:rsidP="00724C72">
            <w:pPr>
              <w:spacing w:before="30" w:after="30"/>
              <w:jc w:val="left"/>
              <w:rPr>
                <w:sz w:val="20"/>
                <w:lang w:val="en-GB"/>
              </w:rPr>
            </w:pPr>
            <w:r w:rsidRPr="008C3FA7">
              <w:rPr>
                <w:sz w:val="20"/>
                <w:lang w:val="en-GB"/>
              </w:rPr>
              <w:t>Frequency sharing and coordination between fixed-satellite and fixed service systems</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SM</w:t>
            </w:r>
          </w:p>
        </w:tc>
        <w:tc>
          <w:tcPr>
            <w:tcW w:w="8220" w:type="dxa"/>
            <w:tcBorders>
              <w:top w:val="nil"/>
              <w:bottom w:val="nil"/>
            </w:tcBorders>
            <w:shd w:val="clear" w:color="auto" w:fill="auto"/>
          </w:tcPr>
          <w:p w:rsidR="00BC52F7" w:rsidRPr="008C3FA7" w:rsidRDefault="00BC52F7" w:rsidP="00724C72">
            <w:pPr>
              <w:spacing w:before="30" w:after="30"/>
              <w:jc w:val="left"/>
              <w:rPr>
                <w:sz w:val="20"/>
                <w:lang w:val="en-GB"/>
              </w:rPr>
            </w:pPr>
            <w:r w:rsidRPr="008C3FA7">
              <w:rPr>
                <w:sz w:val="20"/>
                <w:lang w:val="en-GB"/>
              </w:rPr>
              <w:t>Spectrum management</w:t>
            </w:r>
          </w:p>
        </w:tc>
      </w:tr>
      <w:tr w:rsidR="00BC52F7" w:rsidRPr="008C3FA7" w:rsidTr="00724C72">
        <w:tc>
          <w:tcPr>
            <w:tcW w:w="1140" w:type="dxa"/>
            <w:tcBorders>
              <w:top w:val="nil"/>
            </w:tcBorders>
          </w:tcPr>
          <w:p w:rsidR="00BC52F7" w:rsidRPr="008C3FA7" w:rsidRDefault="00BC52F7" w:rsidP="00724C72">
            <w:pPr>
              <w:spacing w:before="30" w:after="30"/>
              <w:ind w:left="57"/>
              <w:jc w:val="left"/>
              <w:rPr>
                <w:b/>
                <w:bCs/>
                <w:sz w:val="20"/>
                <w:lang w:val="en-GB"/>
              </w:rPr>
            </w:pPr>
            <w:r w:rsidRPr="008C3FA7">
              <w:rPr>
                <w:b/>
                <w:bCs/>
                <w:sz w:val="20"/>
                <w:lang w:val="en-GB"/>
              </w:rPr>
              <w:t>SNG</w:t>
            </w:r>
          </w:p>
        </w:tc>
        <w:tc>
          <w:tcPr>
            <w:tcW w:w="8220" w:type="dxa"/>
            <w:tcBorders>
              <w:top w:val="nil"/>
            </w:tcBorders>
          </w:tcPr>
          <w:p w:rsidR="00BC52F7" w:rsidRPr="008C3FA7" w:rsidRDefault="00BC52F7" w:rsidP="00724C72">
            <w:pPr>
              <w:spacing w:before="30" w:after="30"/>
              <w:jc w:val="left"/>
              <w:rPr>
                <w:sz w:val="20"/>
                <w:lang w:val="en-GB"/>
              </w:rPr>
            </w:pPr>
            <w:r w:rsidRPr="008C3FA7">
              <w:rPr>
                <w:sz w:val="20"/>
                <w:lang w:val="en-GB"/>
              </w:rPr>
              <w:t>Satellite news gathering</w:t>
            </w:r>
          </w:p>
        </w:tc>
      </w:tr>
      <w:tr w:rsidR="00BC52F7" w:rsidRPr="002178C4">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TF</w:t>
            </w:r>
          </w:p>
        </w:tc>
        <w:tc>
          <w:tcPr>
            <w:tcW w:w="8220" w:type="dxa"/>
          </w:tcPr>
          <w:p w:rsidR="00BC52F7" w:rsidRPr="008C3FA7" w:rsidRDefault="00BC52F7" w:rsidP="00724C72">
            <w:pPr>
              <w:spacing w:before="30" w:after="30"/>
              <w:jc w:val="left"/>
              <w:rPr>
                <w:sz w:val="20"/>
                <w:lang w:val="en-GB"/>
              </w:rPr>
            </w:pPr>
            <w:r w:rsidRPr="008C3FA7">
              <w:rPr>
                <w:sz w:val="20"/>
                <w:lang w:val="en-GB"/>
              </w:rPr>
              <w:t>Time signals and frequency standards emissions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V</w:t>
            </w:r>
          </w:p>
        </w:tc>
        <w:tc>
          <w:tcPr>
            <w:tcW w:w="8220" w:type="dxa"/>
          </w:tcPr>
          <w:p w:rsidR="00BC52F7" w:rsidRPr="008C3FA7" w:rsidRDefault="00BC52F7" w:rsidP="00724C72">
            <w:pPr>
              <w:spacing w:before="30" w:after="180"/>
              <w:jc w:val="left"/>
              <w:rPr>
                <w:sz w:val="20"/>
                <w:lang w:val="en-GB"/>
              </w:rPr>
            </w:pPr>
            <w:r w:rsidRPr="008C3FA7">
              <w:rPr>
                <w:sz w:val="20"/>
                <w:lang w:val="en-GB"/>
              </w:rPr>
              <w:t>Vocabulary and related subjects</w:t>
            </w:r>
          </w:p>
        </w:tc>
      </w:tr>
    </w:tbl>
    <w:p w:rsidR="00BC52F7" w:rsidRPr="008C3FA7" w:rsidRDefault="00BC52F7" w:rsidP="00724C7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C52F7" w:rsidRPr="008C3FA7">
        <w:tc>
          <w:tcPr>
            <w:tcW w:w="720" w:type="dxa"/>
          </w:tcPr>
          <w:p w:rsidR="00BC52F7" w:rsidRPr="008C3FA7" w:rsidRDefault="00BC52F7" w:rsidP="00724C72">
            <w:pPr>
              <w:jc w:val="center"/>
              <w:rPr>
                <w:sz w:val="22"/>
                <w:lang w:val="en-GB"/>
              </w:rPr>
            </w:pPr>
          </w:p>
        </w:tc>
      </w:tr>
    </w:tbl>
    <w:p w:rsidR="00BC52F7" w:rsidRPr="008C3FA7" w:rsidRDefault="00BC52F7" w:rsidP="00724C7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52F7" w:rsidRPr="002178C4">
        <w:tc>
          <w:tcPr>
            <w:tcW w:w="9360" w:type="dxa"/>
          </w:tcPr>
          <w:p w:rsidR="00BC52F7" w:rsidRPr="008C3FA7" w:rsidRDefault="00BC52F7" w:rsidP="00724C72">
            <w:pPr>
              <w:spacing w:after="120"/>
              <w:jc w:val="center"/>
              <w:rPr>
                <w:sz w:val="20"/>
                <w:lang w:val="en-GB"/>
              </w:rPr>
            </w:pPr>
            <w:r w:rsidRPr="008C3FA7">
              <w:rPr>
                <w:b/>
                <w:bCs/>
                <w:i/>
                <w:iCs/>
                <w:sz w:val="20"/>
                <w:lang w:val="en-GB"/>
              </w:rPr>
              <w:t>Note</w:t>
            </w:r>
            <w:r w:rsidRPr="008C3FA7">
              <w:rPr>
                <w:sz w:val="20"/>
                <w:lang w:val="en-GB"/>
              </w:rPr>
              <w:t xml:space="preserve">: </w:t>
            </w:r>
            <w:r w:rsidRPr="008C3FA7">
              <w:rPr>
                <w:i/>
                <w:iCs/>
                <w:sz w:val="20"/>
                <w:lang w:val="en-GB"/>
              </w:rPr>
              <w:t>This ITU-R Recommendation was approved in English under the procedure detailed in Resolution ITU-R 1.</w:t>
            </w:r>
          </w:p>
        </w:tc>
      </w:tr>
    </w:tbl>
    <w:p w:rsidR="00BC52F7" w:rsidRPr="008C3FA7" w:rsidRDefault="00BC52F7" w:rsidP="00724C72">
      <w:pPr>
        <w:spacing w:before="0"/>
        <w:jc w:val="center"/>
        <w:rPr>
          <w:sz w:val="22"/>
          <w:lang w:val="en-GB"/>
        </w:rPr>
      </w:pPr>
    </w:p>
    <w:p w:rsidR="00BC52F7" w:rsidRPr="008C3FA7" w:rsidRDefault="00BC52F7" w:rsidP="00724C72">
      <w:pPr>
        <w:spacing w:before="0"/>
        <w:jc w:val="center"/>
        <w:rPr>
          <w:sz w:val="22"/>
          <w:lang w:val="en-GB"/>
        </w:rPr>
      </w:pPr>
    </w:p>
    <w:p w:rsidR="00BC52F7" w:rsidRPr="008C3FA7" w:rsidRDefault="00BC52F7" w:rsidP="00724C72">
      <w:pPr>
        <w:spacing w:before="0"/>
        <w:jc w:val="right"/>
        <w:rPr>
          <w:i/>
          <w:iCs/>
          <w:sz w:val="20"/>
          <w:lang w:val="en-GB"/>
        </w:rPr>
      </w:pPr>
      <w:r w:rsidRPr="008C3FA7">
        <w:rPr>
          <w:i/>
          <w:iCs/>
          <w:sz w:val="20"/>
          <w:lang w:val="en-GB"/>
        </w:rPr>
        <w:t>Electronic Publication</w:t>
      </w:r>
    </w:p>
    <w:p w:rsidR="00BC52F7" w:rsidRPr="008C3FA7" w:rsidRDefault="00BC52F7" w:rsidP="00724C72">
      <w:pPr>
        <w:spacing w:before="0"/>
        <w:jc w:val="right"/>
        <w:rPr>
          <w:sz w:val="20"/>
          <w:lang w:val="en-GB"/>
        </w:rPr>
      </w:pPr>
      <w:r w:rsidRPr="008C3FA7">
        <w:rPr>
          <w:sz w:val="20"/>
          <w:lang w:val="en-GB"/>
        </w:rPr>
        <w:t>Geneva, 2013</w:t>
      </w:r>
    </w:p>
    <w:p w:rsidR="00BC52F7" w:rsidRPr="008C3FA7" w:rsidRDefault="00BC52F7" w:rsidP="00724C72">
      <w:pPr>
        <w:jc w:val="center"/>
        <w:rPr>
          <w:sz w:val="22"/>
          <w:lang w:val="en-GB"/>
        </w:rPr>
      </w:pPr>
    </w:p>
    <w:p w:rsidR="00BC52F7" w:rsidRPr="008C3FA7" w:rsidRDefault="00BC52F7" w:rsidP="00724C72">
      <w:pPr>
        <w:jc w:val="center"/>
        <w:rPr>
          <w:sz w:val="20"/>
          <w:lang w:val="en-GB"/>
        </w:rPr>
      </w:pPr>
      <w:r w:rsidRPr="008C3FA7">
        <w:rPr>
          <w:sz w:val="20"/>
          <w:lang w:val="en-GB"/>
        </w:rPr>
        <w:sym w:font="Symbol" w:char="F0E3"/>
      </w:r>
      <w:r w:rsidRPr="008C3FA7">
        <w:rPr>
          <w:sz w:val="20"/>
          <w:lang w:val="en-GB"/>
        </w:rPr>
        <w:t xml:space="preserve"> ITU </w:t>
      </w:r>
      <w:bookmarkStart w:id="1" w:name="iiannee"/>
      <w:bookmarkEnd w:id="1"/>
      <w:r w:rsidRPr="008C3FA7">
        <w:rPr>
          <w:sz w:val="20"/>
          <w:lang w:val="en-GB"/>
        </w:rPr>
        <w:t>2013</w:t>
      </w:r>
    </w:p>
    <w:p w:rsidR="00BC52F7" w:rsidRPr="008C3FA7" w:rsidRDefault="00BC52F7" w:rsidP="00724C72">
      <w:pPr>
        <w:rPr>
          <w:sz w:val="18"/>
          <w:szCs w:val="18"/>
          <w:lang w:val="en-GB"/>
        </w:rPr>
      </w:pPr>
      <w:r w:rsidRPr="008C3FA7">
        <w:rPr>
          <w:sz w:val="18"/>
          <w:szCs w:val="18"/>
          <w:lang w:val="en-GB"/>
        </w:rPr>
        <w:t>All rights reserved. No part of this publication may be reproduced, by any means whatsoever, without written permission of ITU.</w:t>
      </w:r>
    </w:p>
    <w:p w:rsidR="00BC52F7" w:rsidRPr="008C3FA7" w:rsidRDefault="00BC52F7" w:rsidP="00724C72">
      <w:pPr>
        <w:spacing w:before="160"/>
        <w:rPr>
          <w:i/>
          <w:sz w:val="20"/>
          <w:lang w:val="en-GB"/>
        </w:rPr>
        <w:sectPr w:rsidR="00BC52F7" w:rsidRPr="008C3FA7" w:rsidSect="00724C7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C52F7" w:rsidRPr="008C3FA7" w:rsidRDefault="00BC52F7" w:rsidP="00BC52F7">
      <w:pPr>
        <w:pStyle w:val="RecNo"/>
        <w:spacing w:before="0"/>
        <w:rPr>
          <w:lang w:val="en-GB"/>
        </w:rPr>
      </w:pPr>
      <w:bookmarkStart w:id="2" w:name="irecnoe"/>
      <w:bookmarkEnd w:id="2"/>
      <w:r w:rsidRPr="008C3FA7">
        <w:rPr>
          <w:lang w:val="en-GB"/>
        </w:rPr>
        <w:lastRenderedPageBreak/>
        <w:t xml:space="preserve">RECOMMENDATION  </w:t>
      </w:r>
      <w:r w:rsidRPr="008C3FA7">
        <w:rPr>
          <w:rStyle w:val="href"/>
          <w:lang w:val="en-GB"/>
        </w:rPr>
        <w:t>ITU-R  F.1247-3</w:t>
      </w:r>
      <w:r w:rsidR="00921CF8" w:rsidRPr="00921CF8">
        <w:rPr>
          <w:rStyle w:val="FootnoteReference"/>
          <w:lang w:val="en-US"/>
        </w:rPr>
        <w:footnoteReference w:customMarkFollows="1" w:id="1"/>
        <w:t>*</w:t>
      </w:r>
    </w:p>
    <w:p w:rsidR="00BC52F7" w:rsidRPr="008C3FA7" w:rsidRDefault="00BC52F7" w:rsidP="00BC52F7">
      <w:pPr>
        <w:pStyle w:val="Rectitle"/>
        <w:rPr>
          <w:lang w:val="en-GB" w:eastAsia="zh-CN"/>
        </w:rPr>
      </w:pPr>
      <w:r w:rsidRPr="008C3FA7">
        <w:rPr>
          <w:lang w:val="en-GB"/>
        </w:rPr>
        <w:t>Technical and operational characteristics of systems in the fixed service</w:t>
      </w:r>
      <w:r w:rsidRPr="008C3FA7">
        <w:rPr>
          <w:lang w:val="en-GB"/>
        </w:rPr>
        <w:br/>
        <w:t>to facilitate sharing with the space research, space operation</w:t>
      </w:r>
      <w:r w:rsidRPr="008C3FA7">
        <w:rPr>
          <w:lang w:val="en-GB"/>
        </w:rPr>
        <w:br/>
        <w:t>and Earth exploration-satellite services operating in the</w:t>
      </w:r>
      <w:r w:rsidRPr="008C3FA7">
        <w:rPr>
          <w:lang w:val="en-GB"/>
        </w:rPr>
        <w:br/>
        <w:t>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Pr="008C3FA7" w:rsidRDefault="00BC52F7" w:rsidP="00BC52F7">
      <w:pPr>
        <w:pStyle w:val="Recref"/>
        <w:rPr>
          <w:lang w:val="en-GB"/>
        </w:rPr>
      </w:pPr>
      <w:r w:rsidRPr="008C3FA7">
        <w:rPr>
          <w:lang w:val="en-GB"/>
        </w:rPr>
        <w:t xml:space="preserve">(Questions ITU-R 118/7 and ITU-R </w:t>
      </w:r>
      <w:r w:rsidRPr="008C3FA7">
        <w:rPr>
          <w:lang w:val="en-GB" w:eastAsia="ja-JP"/>
        </w:rPr>
        <w:t>252</w:t>
      </w:r>
      <w:r w:rsidRPr="008C3FA7">
        <w:rPr>
          <w:lang w:val="en-GB"/>
        </w:rPr>
        <w:t>/5)</w:t>
      </w:r>
    </w:p>
    <w:p w:rsidR="00BC52F7" w:rsidRPr="008C3FA7" w:rsidRDefault="00BC52F7" w:rsidP="005E40AE">
      <w:pPr>
        <w:pStyle w:val="Recdate"/>
        <w:rPr>
          <w:lang w:val="en-GB"/>
        </w:rPr>
      </w:pPr>
      <w:r w:rsidRPr="008C3FA7">
        <w:rPr>
          <w:lang w:val="en-GB"/>
        </w:rPr>
        <w:t>(1997-2000-2009-201</w:t>
      </w:r>
      <w:r w:rsidR="005E40AE">
        <w:rPr>
          <w:lang w:val="en-GB"/>
        </w:rPr>
        <w:t>3</w:t>
      </w:r>
      <w:r w:rsidRPr="008C3FA7">
        <w:rPr>
          <w:lang w:val="en-GB"/>
        </w:rPr>
        <w:t>)</w:t>
      </w:r>
    </w:p>
    <w:p w:rsidR="00BC52F7" w:rsidRPr="008C3FA7" w:rsidRDefault="00BC52F7" w:rsidP="00BC52F7">
      <w:pPr>
        <w:pStyle w:val="HeadingSum"/>
        <w:rPr>
          <w:lang w:val="en-GB"/>
        </w:rPr>
      </w:pPr>
      <w:r w:rsidRPr="008C3FA7">
        <w:rPr>
          <w:lang w:val="en-GB"/>
        </w:rPr>
        <w:t>Scope</w:t>
      </w:r>
    </w:p>
    <w:p w:rsidR="00BC52F7" w:rsidRPr="008C3FA7" w:rsidRDefault="00BC52F7" w:rsidP="00BC52F7">
      <w:pPr>
        <w:pStyle w:val="Summary"/>
        <w:rPr>
          <w:lang w:val="en-GB"/>
        </w:rPr>
      </w:pPr>
      <w:r w:rsidRPr="008C3FA7">
        <w:rPr>
          <w:lang w:val="en-GB"/>
        </w:rPr>
        <w:t>This Recommendation provides operational characteristics of fixed service systems to facilitate sharing with systems in the space science services that operate in the bands 2 025</w:t>
      </w:r>
      <w:r w:rsidRPr="008C3FA7">
        <w:rPr>
          <w:lang w:val="en-GB" w:eastAsia="ja-JP"/>
        </w:rPr>
        <w:t>-</w:t>
      </w:r>
      <w:r w:rsidRPr="008C3FA7">
        <w:rPr>
          <w:lang w:val="en-GB"/>
        </w:rPr>
        <w:t>2 110 MHz and 2 200</w:t>
      </w:r>
      <w:r w:rsidRPr="008C3FA7">
        <w:rPr>
          <w:lang w:val="en-GB"/>
        </w:rPr>
        <w:noBreakHyphen/>
        <w:t xml:space="preserve">2 290 MHz. It provides, </w:t>
      </w:r>
      <w:r w:rsidRPr="008C3FA7">
        <w:rPr>
          <w:i/>
          <w:iCs/>
          <w:lang w:val="en-GB"/>
        </w:rPr>
        <w:t>inter alia</w:t>
      </w:r>
      <w:r w:rsidRPr="008C3FA7">
        <w:rPr>
          <w:lang w:val="en-GB"/>
        </w:rPr>
        <w:t>, the orbital locations of the GSO satellites toward which emissions should be limited.</w:t>
      </w:r>
    </w:p>
    <w:p w:rsidR="00BC52F7" w:rsidRPr="008C3FA7" w:rsidRDefault="00BC52F7" w:rsidP="00BC52F7">
      <w:pPr>
        <w:pStyle w:val="Normalaftertitle"/>
        <w:rPr>
          <w:lang w:val="en-GB"/>
        </w:rPr>
      </w:pPr>
      <w:r w:rsidRPr="008C3FA7">
        <w:rPr>
          <w:lang w:val="en-GB"/>
        </w:rPr>
        <w:t>The ITU Radiocommunication Assembly,</w:t>
      </w:r>
    </w:p>
    <w:p w:rsidR="00BC52F7" w:rsidRPr="008C3FA7" w:rsidRDefault="00BC52F7" w:rsidP="00BC52F7">
      <w:pPr>
        <w:pStyle w:val="Call"/>
        <w:rPr>
          <w:lang w:val="en-GB"/>
        </w:rPr>
      </w:pPr>
      <w:r w:rsidRPr="008C3FA7">
        <w:rPr>
          <w:lang w:val="en-GB"/>
        </w:rPr>
        <w:t>considering</w:t>
      </w:r>
    </w:p>
    <w:p w:rsidR="00BC52F7" w:rsidRPr="008C3FA7" w:rsidRDefault="00BC52F7" w:rsidP="00BC52F7">
      <w:pPr>
        <w:rPr>
          <w:lang w:val="en-GB"/>
        </w:rPr>
      </w:pPr>
      <w:r w:rsidRPr="008C3FA7">
        <w:rPr>
          <w:lang w:val="en-GB"/>
        </w:rPr>
        <w:t>a)</w:t>
      </w:r>
      <w:r w:rsidRPr="008C3FA7">
        <w:rPr>
          <w:lang w:val="en-GB"/>
        </w:rPr>
        <w:tab/>
        <w:t>that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are allocated in the Radio Regulations (RR) to the fixed, mobile, space research (SR), space operation (SO) and Earth exploration-satellite (EES) services on a primary basis;</w:t>
      </w:r>
    </w:p>
    <w:p w:rsidR="00BC52F7" w:rsidRPr="008C3FA7" w:rsidRDefault="00BC52F7" w:rsidP="00BC52F7">
      <w:pPr>
        <w:rPr>
          <w:lang w:val="en-GB"/>
        </w:rPr>
      </w:pPr>
      <w:r w:rsidRPr="008C3FA7">
        <w:rPr>
          <w:lang w:val="en-GB"/>
        </w:rPr>
        <w:t>b)</w:t>
      </w:r>
      <w:r w:rsidRPr="008C3FA7">
        <w:rPr>
          <w:lang w:val="en-GB"/>
        </w:rPr>
        <w:tab/>
        <w:t>that a variety of point-to-point and point-to-multipoint fixed service (FS) systems operate in the 1-3 GHz range and are described in Recommendations ITU</w:t>
      </w:r>
      <w:r w:rsidRPr="008C3FA7">
        <w:rPr>
          <w:lang w:val="en-GB"/>
        </w:rPr>
        <w:noBreakHyphen/>
        <w:t>R F.758 and ITU</w:t>
      </w:r>
      <w:r w:rsidRPr="008C3FA7">
        <w:rPr>
          <w:lang w:val="en-GB"/>
        </w:rPr>
        <w:noBreakHyphen/>
        <w:t>R M.1143;</w:t>
      </w:r>
    </w:p>
    <w:p w:rsidR="00BC52F7" w:rsidRPr="008C3FA7" w:rsidRDefault="00BC52F7" w:rsidP="00BC52F7">
      <w:pPr>
        <w:rPr>
          <w:lang w:val="en-GB"/>
        </w:rPr>
      </w:pPr>
      <w:r w:rsidRPr="008C3FA7">
        <w:rPr>
          <w:lang w:val="en-GB"/>
        </w:rPr>
        <w:t>c)</w:t>
      </w:r>
      <w:r w:rsidRPr="008C3FA7">
        <w:rPr>
          <w:lang w:val="en-GB"/>
        </w:rPr>
        <w:tab/>
        <w:t xml:space="preserve">that, as a result of the World Administrative Radio Conference for Dealing with Frequency </w:t>
      </w:r>
      <w:r w:rsidRPr="008C3FA7">
        <w:rPr>
          <w:i/>
          <w:iCs/>
          <w:lang w:val="en-GB"/>
        </w:rPr>
        <w:t>Allocations</w:t>
      </w:r>
      <w:r w:rsidRPr="008C3FA7">
        <w:rPr>
          <w:lang w:val="en-GB"/>
        </w:rPr>
        <w:t xml:space="preserve"> in Certain Parts of the Spectrum (Malaga-Torremolinos, 1992) (WARC-92), other services were allocated in the 1</w:t>
      </w:r>
      <w:r w:rsidRPr="008C3FA7">
        <w:rPr>
          <w:lang w:val="en-GB"/>
        </w:rPr>
        <w:noBreakHyphen/>
        <w:t>3 GHz range which has created incompatible sharing conditions with the fixed service;</w:t>
      </w:r>
    </w:p>
    <w:p w:rsidR="00BC52F7" w:rsidRPr="008C3FA7" w:rsidRDefault="00BC52F7" w:rsidP="00BC52F7">
      <w:pPr>
        <w:rPr>
          <w:lang w:val="en-GB"/>
        </w:rPr>
      </w:pPr>
      <w:r w:rsidRPr="008C3FA7">
        <w:rPr>
          <w:lang w:val="en-GB"/>
        </w:rPr>
        <w:t>d)</w:t>
      </w:r>
      <w:r w:rsidRPr="008C3FA7">
        <w:rPr>
          <w:lang w:val="en-GB"/>
        </w:rPr>
        <w:tab/>
        <w:t>that the SR, SO and EES services have operated satisfactorily for many years with the fixed service in the bands 2</w:t>
      </w:r>
      <w:r w:rsidRPr="008C3FA7">
        <w:rPr>
          <w:rFonts w:ascii="Tms Rmn" w:hAnsi="Tms Rmn"/>
          <w:sz w:val="12"/>
          <w:lang w:val="en-GB"/>
        </w:rPr>
        <w:t> </w:t>
      </w:r>
      <w:r w:rsidRPr="008C3FA7">
        <w:rPr>
          <w:lang w:val="en-GB"/>
        </w:rPr>
        <w:t>025</w:t>
      </w:r>
      <w:r w:rsidRPr="008C3FA7">
        <w:rPr>
          <w:lang w:val="en-GB"/>
        </w:rPr>
        <w:noBreakHyphen/>
        <w:t>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but, should large numbers of fixed service systems be introduced, it will be important to identify preferred fixed service technical and operational characteristics to ensure long-term compatibility;</w:t>
      </w:r>
    </w:p>
    <w:p w:rsidR="00BC52F7" w:rsidRPr="008C3FA7" w:rsidRDefault="00BC52F7" w:rsidP="00BC52F7">
      <w:pPr>
        <w:rPr>
          <w:lang w:val="en-GB"/>
        </w:rPr>
      </w:pPr>
      <w:r w:rsidRPr="008C3FA7">
        <w:rPr>
          <w:lang w:val="en-GB"/>
        </w:rPr>
        <w:t>e)</w:t>
      </w:r>
      <w:r w:rsidRPr="008C3FA7">
        <w:rPr>
          <w:lang w:val="en-GB"/>
        </w:rPr>
        <w:tab/>
        <w:t>that the SR, SO and EES services operate space-to-space radiocommunication links in the bands 2</w:t>
      </w:r>
      <w:r w:rsidRPr="008C3FA7">
        <w:rPr>
          <w:rFonts w:ascii="Tms Rmn" w:hAnsi="Tms Rmn"/>
          <w:sz w:val="12"/>
          <w:lang w:val="en-GB"/>
        </w:rPr>
        <w:t> </w:t>
      </w:r>
      <w:r w:rsidRPr="008C3FA7">
        <w:rPr>
          <w:lang w:val="en-GB"/>
        </w:rPr>
        <w:t>025</w:t>
      </w:r>
      <w:r w:rsidRPr="008C3FA7">
        <w:rPr>
          <w:lang w:val="en-GB"/>
        </w:rPr>
        <w:noBreakHyphen/>
        <w:t>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in addition to Earth-to-space and space-to-Earth links, respectively;</w:t>
      </w:r>
    </w:p>
    <w:p w:rsidR="00BC52F7" w:rsidRPr="008C3FA7" w:rsidRDefault="00BC52F7" w:rsidP="00BC52F7">
      <w:pPr>
        <w:rPr>
          <w:lang w:val="en-GB"/>
        </w:rPr>
      </w:pPr>
      <w:r w:rsidRPr="008C3FA7">
        <w:rPr>
          <w:lang w:val="en-GB"/>
        </w:rPr>
        <w:t>f)</w:t>
      </w:r>
      <w:r w:rsidRPr="008C3FA7">
        <w:rPr>
          <w:lang w:val="en-GB"/>
        </w:rPr>
        <w:tab/>
        <w:t>that these links, particularly the space-to-space links of a data relay satellite (DRS) network, are designed to operate with margins on the order of 2 dB to 4 dB;</w:t>
      </w:r>
    </w:p>
    <w:p w:rsidR="00BC52F7" w:rsidRPr="008C3FA7" w:rsidRDefault="00BC52F7" w:rsidP="00BC52F7">
      <w:pPr>
        <w:rPr>
          <w:lang w:val="en-GB"/>
        </w:rPr>
      </w:pPr>
      <w:r w:rsidRPr="008C3FA7">
        <w:rPr>
          <w:lang w:val="en-GB"/>
        </w:rPr>
        <w:t>g)</w:t>
      </w:r>
      <w:r w:rsidRPr="008C3FA7">
        <w:rPr>
          <w:lang w:val="en-GB"/>
        </w:rPr>
        <w:tab/>
        <w:t>that the protection criteria for Earth-to-space and space-to-Earth links may be found in Recommendations ITU</w:t>
      </w:r>
      <w:r w:rsidRPr="008C3FA7">
        <w:rPr>
          <w:lang w:val="en-GB"/>
        </w:rPr>
        <w:noBreakHyphen/>
        <w:t>R SA.363 and ITU-R SA.609, and the protection criteria for DRS links may be found in Recommendations ITU-R SA.1155</w:t>
      </w:r>
      <w:r w:rsidRPr="008C3FA7">
        <w:rPr>
          <w:lang w:val="en-GB" w:eastAsia="ja-JP"/>
        </w:rPr>
        <w:t xml:space="preserve"> and ITU-R SA.1274</w:t>
      </w:r>
      <w:r w:rsidRPr="008C3FA7">
        <w:rPr>
          <w:lang w:val="en-GB"/>
        </w:rPr>
        <w:t>;</w:t>
      </w:r>
    </w:p>
    <w:p w:rsidR="00BC52F7" w:rsidRPr="008C3FA7" w:rsidRDefault="00BC52F7" w:rsidP="00BC52F7">
      <w:pPr>
        <w:rPr>
          <w:lang w:val="en-GB"/>
        </w:rPr>
      </w:pPr>
      <w:r w:rsidRPr="008C3FA7">
        <w:rPr>
          <w:lang w:val="en-GB"/>
        </w:rPr>
        <w:t>h)</w:t>
      </w:r>
      <w:r w:rsidRPr="008C3FA7">
        <w:rPr>
          <w:lang w:val="en-GB"/>
        </w:rPr>
        <w:tab/>
        <w:t>that the number of fixed service systems in these bands may increase to an extent that practical sharing criteria that are less stringent than Recommendation ITU-R SA.1155 may need to be used as given in Recommendation ITU</w:t>
      </w:r>
      <w:r w:rsidRPr="008C3FA7">
        <w:rPr>
          <w:lang w:val="en-GB"/>
        </w:rPr>
        <w:noBreakHyphen/>
        <w:t>R SA.1274;</w:t>
      </w:r>
    </w:p>
    <w:p w:rsidR="00BC52F7" w:rsidRPr="008C3FA7" w:rsidRDefault="00BC52F7" w:rsidP="00BC52F7">
      <w:pPr>
        <w:rPr>
          <w:lang w:val="en-GB"/>
        </w:rPr>
      </w:pPr>
      <w:r w:rsidRPr="008C3FA7">
        <w:rPr>
          <w:lang w:val="en-GB"/>
        </w:rPr>
        <w:lastRenderedPageBreak/>
        <w:t>j)</w:t>
      </w:r>
      <w:r w:rsidRPr="008C3FA7">
        <w:rPr>
          <w:lang w:val="en-GB"/>
        </w:rPr>
        <w:tab/>
        <w:t>that satellite links are susceptible to interference from the emissions of fixed service systems within a field</w:t>
      </w:r>
      <w:r w:rsidRPr="008C3FA7">
        <w:rPr>
          <w:lang w:val="en-GB"/>
        </w:rPr>
        <w:noBreakHyphen/>
        <w:t>of</w:t>
      </w:r>
      <w:r w:rsidRPr="008C3FA7">
        <w:rPr>
          <w:lang w:val="en-GB"/>
        </w:rPr>
        <w:noBreakHyphen/>
        <w:t>view that is of large geographical extent;</w:t>
      </w:r>
    </w:p>
    <w:p w:rsidR="00BC52F7" w:rsidRPr="008C3FA7" w:rsidRDefault="00BC52F7" w:rsidP="00BC52F7">
      <w:pPr>
        <w:rPr>
          <w:lang w:val="en-GB"/>
        </w:rPr>
      </w:pPr>
      <w:r w:rsidRPr="008C3FA7">
        <w:rPr>
          <w:lang w:val="en-GB"/>
        </w:rPr>
        <w:t>k)</w:t>
      </w:r>
      <w:r w:rsidRPr="008C3FA7">
        <w:rPr>
          <w:lang w:val="en-GB"/>
        </w:rPr>
        <w:tab/>
        <w:t>that a limited number of DRS networks, as described in Recommendation ITU</w:t>
      </w:r>
      <w:r w:rsidRPr="008C3FA7">
        <w:rPr>
          <w:lang w:val="en-GB"/>
        </w:rPr>
        <w:noBreakHyphen/>
        <w:t>R SA.1018, are either operating or planned for deployment in the geostationary orbit, as listed in Recommendation ITU</w:t>
      </w:r>
      <w:r w:rsidRPr="008C3FA7">
        <w:rPr>
          <w:lang w:val="en-GB"/>
        </w:rPr>
        <w:noBreakHyphen/>
        <w:t>R SA.1275;</w:t>
      </w:r>
    </w:p>
    <w:p w:rsidR="00BC52F7" w:rsidRPr="008C3FA7" w:rsidRDefault="00BC52F7" w:rsidP="00BC52F7">
      <w:pPr>
        <w:rPr>
          <w:lang w:val="en-GB"/>
        </w:rPr>
      </w:pPr>
      <w:r w:rsidRPr="008C3FA7">
        <w:rPr>
          <w:lang w:val="en-GB"/>
        </w:rPr>
        <w:t>l)</w:t>
      </w:r>
      <w:r w:rsidRPr="008C3FA7">
        <w:rPr>
          <w:lang w:val="en-GB"/>
        </w:rPr>
        <w:tab/>
        <w:t>that specifying particular orbit locations to be protected rather than the orbital arc will impose less burden on the fixed service for band sharing, particularly for those stations located at high latitudes;</w:t>
      </w:r>
    </w:p>
    <w:p w:rsidR="00BC52F7" w:rsidRPr="008C3FA7" w:rsidRDefault="00BC52F7" w:rsidP="00BC52F7">
      <w:pPr>
        <w:rPr>
          <w:lang w:val="en-GB"/>
        </w:rPr>
      </w:pPr>
      <w:r w:rsidRPr="008C3FA7">
        <w:rPr>
          <w:lang w:val="en-GB"/>
        </w:rPr>
        <w:t>m)</w:t>
      </w:r>
      <w:r w:rsidRPr="008C3FA7">
        <w:rPr>
          <w:lang w:val="en-GB"/>
        </w:rPr>
        <w:tab/>
        <w:t>that studies summarized in Annex 1 have shown that technical means may be utilized by the fixed service to reduce the potential for unacceptable interference to the space research, space operation and EES services,</w:t>
      </w:r>
    </w:p>
    <w:p w:rsidR="00BC52F7" w:rsidRPr="008C3FA7" w:rsidRDefault="00BC52F7" w:rsidP="00BC52F7">
      <w:pPr>
        <w:pStyle w:val="Call"/>
        <w:rPr>
          <w:lang w:val="en-GB"/>
        </w:rPr>
      </w:pPr>
      <w:r w:rsidRPr="008C3FA7">
        <w:rPr>
          <w:lang w:val="en-GB"/>
        </w:rPr>
        <w:t>recommends</w:t>
      </w:r>
    </w:p>
    <w:p w:rsidR="00BC52F7" w:rsidRPr="008C3FA7" w:rsidRDefault="00BC52F7" w:rsidP="00BC52F7">
      <w:pPr>
        <w:rPr>
          <w:lang w:val="en-GB"/>
        </w:rPr>
      </w:pPr>
      <w:r w:rsidRPr="008C3FA7">
        <w:rPr>
          <w:b/>
          <w:lang w:val="en-GB"/>
        </w:rPr>
        <w:t>1</w:t>
      </w:r>
      <w:r w:rsidRPr="008C3FA7">
        <w:rPr>
          <w:lang w:val="en-GB"/>
        </w:rPr>
        <w:tab/>
        <w:t>that fixed service stations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where practicable use:</w:t>
      </w:r>
    </w:p>
    <w:p w:rsidR="00BC52F7" w:rsidRPr="008C3FA7" w:rsidRDefault="00BC52F7" w:rsidP="00BC52F7">
      <w:pPr>
        <w:rPr>
          <w:lang w:val="en-GB"/>
        </w:rPr>
      </w:pPr>
      <w:r w:rsidRPr="008C3FA7">
        <w:rPr>
          <w:b/>
          <w:lang w:val="en-GB"/>
        </w:rPr>
        <w:t>1.1</w:t>
      </w:r>
      <w:r w:rsidRPr="008C3FA7">
        <w:rPr>
          <w:lang w:val="en-GB"/>
        </w:rPr>
        <w:tab/>
        <w:t>automatic transmit-power control (ATPC) such that the mean power is a minimum 10 dB below the maximum transmitter power;</w:t>
      </w:r>
    </w:p>
    <w:p w:rsidR="00BC52F7" w:rsidRPr="008C3FA7" w:rsidRDefault="00BC52F7" w:rsidP="00BC52F7">
      <w:pPr>
        <w:rPr>
          <w:lang w:val="en-GB"/>
        </w:rPr>
      </w:pPr>
      <w:r w:rsidRPr="008C3FA7">
        <w:rPr>
          <w:b/>
          <w:lang w:val="en-GB"/>
        </w:rPr>
        <w:t>1.2</w:t>
      </w:r>
      <w:r w:rsidRPr="008C3FA7">
        <w:rPr>
          <w:lang w:val="en-GB"/>
        </w:rPr>
        <w:tab/>
        <w:t>the lowest practical transmitter power spectral density;</w:t>
      </w:r>
    </w:p>
    <w:p w:rsidR="00BC52F7" w:rsidRPr="008C3FA7" w:rsidRDefault="00BC52F7" w:rsidP="00BC52F7">
      <w:pPr>
        <w:rPr>
          <w:lang w:val="en-GB"/>
        </w:rPr>
      </w:pPr>
      <w:r w:rsidRPr="008C3FA7">
        <w:rPr>
          <w:b/>
          <w:lang w:val="en-GB"/>
        </w:rPr>
        <w:t>1.3</w:t>
      </w:r>
      <w:r w:rsidRPr="008C3FA7">
        <w:rPr>
          <w:lang w:val="en-GB"/>
        </w:rPr>
        <w:tab/>
        <w:t>transmitting antennas with good radiation patterns taking into account Recommendation ITU</w:t>
      </w:r>
      <w:r w:rsidRPr="008C3FA7">
        <w:rPr>
          <w:lang w:val="en-GB"/>
        </w:rPr>
        <w:noBreakHyphen/>
        <w:t>R F.699;</w:t>
      </w:r>
    </w:p>
    <w:p w:rsidR="00BC52F7" w:rsidRPr="008C3FA7" w:rsidRDefault="00BC52F7" w:rsidP="00724C72">
      <w:pPr>
        <w:rPr>
          <w:lang w:val="en-GB"/>
        </w:rPr>
      </w:pPr>
      <w:r w:rsidRPr="008C3FA7">
        <w:rPr>
          <w:b/>
          <w:lang w:val="en-GB"/>
        </w:rPr>
        <w:t>2</w:t>
      </w:r>
      <w:r w:rsidRPr="008C3FA7">
        <w:rPr>
          <w:lang w:val="en-GB"/>
        </w:rPr>
        <w:tab/>
        <w:t>that, as far as practicable, point-to-point fixed service stations operating in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290 MHz avoid radiating at an e.i.r.p. spectral density greater than </w:t>
      </w:r>
      <w:r w:rsidR="00724C72" w:rsidRPr="008C3FA7">
        <w:rPr>
          <w:lang w:val="en-GB"/>
        </w:rPr>
        <w:t>+</w:t>
      </w:r>
      <w:r w:rsidRPr="008C3FA7">
        <w:rPr>
          <w:lang w:val="en-GB"/>
        </w:rPr>
        <w:t>8 dB(W/MHz) towards geostationary DRS locations specified in Recommendation ITU</w:t>
      </w:r>
      <w:r w:rsidRPr="008C3FA7">
        <w:rPr>
          <w:lang w:val="en-GB"/>
        </w:rPr>
        <w:noBreakHyphen/>
        <w:t>R SA.1275</w:t>
      </w:r>
      <w:r w:rsidRPr="008C3FA7">
        <w:rPr>
          <w:lang w:val="en-GB" w:eastAsia="ja-JP"/>
        </w:rPr>
        <w:t xml:space="preserve"> (see Notes 2 and 6)</w:t>
      </w:r>
      <w:r w:rsidRPr="008C3FA7">
        <w:rPr>
          <w:lang w:val="en-GB"/>
        </w:rPr>
        <w:t>;</w:t>
      </w:r>
    </w:p>
    <w:p w:rsidR="00BC52F7" w:rsidRPr="008C3FA7" w:rsidRDefault="00BC52F7" w:rsidP="00724C72">
      <w:pPr>
        <w:rPr>
          <w:lang w:val="en-GB"/>
        </w:rPr>
      </w:pPr>
      <w:r w:rsidRPr="008C3FA7">
        <w:rPr>
          <w:b/>
          <w:lang w:val="en-GB"/>
        </w:rPr>
        <w:t>2.1</w:t>
      </w:r>
      <w:r w:rsidRPr="008C3FA7">
        <w:rPr>
          <w:lang w:val="en-GB"/>
        </w:rPr>
        <w:tab/>
        <w:t xml:space="preserve">that, as an exception to </w:t>
      </w:r>
      <w:r w:rsidRPr="008C3FA7">
        <w:rPr>
          <w:i/>
          <w:lang w:val="en-GB"/>
        </w:rPr>
        <w:t>recommends</w:t>
      </w:r>
      <w:r w:rsidRPr="008C3FA7">
        <w:rPr>
          <w:lang w:val="en-GB"/>
        </w:rPr>
        <w:t xml:space="preserve"> 2, the e.i.r.p. spectral density of fixed service stations which employ ATPC may be increased above </w:t>
      </w:r>
      <w:r w:rsidR="00724C72" w:rsidRPr="008C3FA7">
        <w:rPr>
          <w:lang w:val="en-GB"/>
        </w:rPr>
        <w:t>+</w:t>
      </w:r>
      <w:r w:rsidRPr="008C3FA7">
        <w:rPr>
          <w:lang w:val="en-GB"/>
        </w:rPr>
        <w:t>8 dB(W/MHz) in the direction of the specified geostationary DRS location for less than 0.1% of the month (see Notes 7 and 8);</w:t>
      </w:r>
    </w:p>
    <w:p w:rsidR="00BC52F7" w:rsidRPr="008C3FA7" w:rsidRDefault="00BC52F7" w:rsidP="00BC52F7">
      <w:pPr>
        <w:rPr>
          <w:lang w:val="en-GB"/>
        </w:rPr>
      </w:pPr>
      <w:r w:rsidRPr="008C3FA7">
        <w:rPr>
          <w:b/>
          <w:lang w:val="en-GB"/>
        </w:rPr>
        <w:t>2.2</w:t>
      </w:r>
      <w:r w:rsidRPr="008C3FA7">
        <w:rPr>
          <w:lang w:val="en-GB"/>
        </w:rPr>
        <w:tab/>
        <w:t xml:space="preserve">that fixed service stations which are unable to comply with </w:t>
      </w:r>
      <w:r w:rsidRPr="008C3FA7">
        <w:rPr>
          <w:i/>
          <w:lang w:val="en-GB"/>
        </w:rPr>
        <w:t>recommends</w:t>
      </w:r>
      <w:r w:rsidRPr="008C3FA7">
        <w:rPr>
          <w:lang w:val="en-GB"/>
        </w:rPr>
        <w:t xml:space="preserve"> 2 should operate towards the lower part of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r w:rsidRPr="008C3FA7">
        <w:rPr>
          <w:lang w:val="en-GB" w:eastAsia="ja-JP"/>
        </w:rPr>
        <w:t xml:space="preserve"> (see Note 8)</w:t>
      </w:r>
      <w:r w:rsidRPr="008C3FA7">
        <w:rPr>
          <w:lang w:val="en-GB"/>
        </w:rPr>
        <w:t>;</w:t>
      </w:r>
    </w:p>
    <w:p w:rsidR="00BC52F7" w:rsidRPr="008C3FA7" w:rsidRDefault="00BC52F7" w:rsidP="00BC52F7">
      <w:pPr>
        <w:rPr>
          <w:lang w:val="en-GB"/>
        </w:rPr>
      </w:pPr>
      <w:r w:rsidRPr="008C3FA7">
        <w:rPr>
          <w:b/>
          <w:lang w:val="en-GB"/>
        </w:rPr>
        <w:t>3</w:t>
      </w:r>
      <w:r w:rsidRPr="008C3FA7">
        <w:rPr>
          <w:lang w:val="en-GB"/>
        </w:rPr>
        <w:tab/>
        <w:t>that point-to-multipoint fixed service stations in the bands 2</w:t>
      </w:r>
      <w:r w:rsidRPr="008C3FA7">
        <w:rPr>
          <w:sz w:val="12"/>
          <w:lang w:val="en-GB"/>
        </w:rPr>
        <w:t> </w:t>
      </w:r>
      <w:r w:rsidRPr="008C3FA7">
        <w:rPr>
          <w:lang w:val="en-GB"/>
        </w:rPr>
        <w:t>025-2</w:t>
      </w:r>
      <w:r w:rsidRPr="008C3FA7">
        <w:rPr>
          <w:sz w:val="12"/>
          <w:lang w:val="en-GB"/>
        </w:rPr>
        <w:t> </w:t>
      </w:r>
      <w:r w:rsidRPr="008C3FA7">
        <w:rPr>
          <w:lang w:val="en-GB"/>
        </w:rPr>
        <w:t>110 MHz 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 where practicable:</w:t>
      </w:r>
    </w:p>
    <w:p w:rsidR="00BC52F7" w:rsidRPr="008C3FA7" w:rsidRDefault="00BC52F7" w:rsidP="00BC52F7">
      <w:pPr>
        <w:rPr>
          <w:lang w:val="en-GB"/>
        </w:rPr>
      </w:pPr>
      <w:r w:rsidRPr="008C3FA7">
        <w:rPr>
          <w:b/>
          <w:lang w:val="en-GB"/>
        </w:rPr>
        <w:t>3.1</w:t>
      </w:r>
      <w:r w:rsidRPr="008C3FA7">
        <w:rPr>
          <w:lang w:val="en-GB"/>
        </w:rPr>
        <w:tab/>
        <w:t>avoid radiating an e.i.r.p. density per link exceeding 5 dB(W/MHz) for both central and out-stations of high power/low density systems for more than 0.1% of the month taking into account ATPC (see Note</w:t>
      </w:r>
      <w:r w:rsidRPr="008C3FA7">
        <w:rPr>
          <w:lang w:val="en-GB" w:eastAsia="ja-JP"/>
        </w:rPr>
        <w:t>s 1, 2, 3, 4, 5 and</w:t>
      </w:r>
      <w:r w:rsidRPr="008C3FA7">
        <w:rPr>
          <w:lang w:val="en-GB"/>
        </w:rPr>
        <w:t> 7);</w:t>
      </w:r>
    </w:p>
    <w:p w:rsidR="00BC52F7" w:rsidRPr="008C3FA7" w:rsidRDefault="00BC52F7" w:rsidP="00BC52F7">
      <w:pPr>
        <w:rPr>
          <w:lang w:val="en-GB"/>
        </w:rPr>
      </w:pPr>
      <w:r w:rsidRPr="008C3FA7">
        <w:rPr>
          <w:b/>
          <w:lang w:val="en-GB"/>
        </w:rPr>
        <w:t>3.2</w:t>
      </w:r>
      <w:r w:rsidRPr="008C3FA7">
        <w:rPr>
          <w:lang w:val="en-GB"/>
        </w:rPr>
        <w:tab/>
        <w:t>use at the central station omnidirectional transmitting antennas with minimal gain above the horizontal plane.</w:t>
      </w:r>
    </w:p>
    <w:p w:rsidR="00BC52F7" w:rsidRPr="008C3FA7" w:rsidRDefault="00BC52F7" w:rsidP="00BC52F7">
      <w:pPr>
        <w:rPr>
          <w:lang w:val="en-GB"/>
        </w:rPr>
      </w:pPr>
      <w:r w:rsidRPr="008C3FA7">
        <w:rPr>
          <w:lang w:val="en-GB"/>
        </w:rPr>
        <w:t>NOTE 1 – </w:t>
      </w:r>
      <w:r w:rsidRPr="008C3FA7">
        <w:rPr>
          <w:i/>
          <w:lang w:val="en-GB"/>
        </w:rPr>
        <w:t>Recommends</w:t>
      </w:r>
      <w:r w:rsidRPr="008C3FA7">
        <w:rPr>
          <w:lang w:val="en-GB"/>
        </w:rPr>
        <w:t xml:space="preserve"> 2 applies also to point-to-point links between or within point-to-multipoint systems.</w:t>
      </w:r>
    </w:p>
    <w:p w:rsidR="00BC52F7" w:rsidRPr="008C3FA7" w:rsidRDefault="00BC52F7" w:rsidP="00BC52F7">
      <w:pPr>
        <w:rPr>
          <w:lang w:val="en-GB"/>
        </w:rPr>
      </w:pPr>
      <w:r w:rsidRPr="008C3FA7">
        <w:rPr>
          <w:lang w:val="en-GB"/>
        </w:rPr>
        <w:t>NOTE 2 – The e.i.r.p. spectral density radiated towards a geostationary DRS should be calculated as the product of the transmitted power spectral density and the gain of the antenna in the direction of the DRS. In the absence of a radiation pattern for the fixed service antenna, the reference radiation pattern of Recommendation ITU-R F.699 should be used. The calculation should take into account the effects of atmospheric refraction and the local horizon. A method for calculating separation angles is given in Annex 2 of Recommendation ITU-R F.1249.</w:t>
      </w:r>
    </w:p>
    <w:p w:rsidR="00BC52F7" w:rsidRPr="008C3FA7" w:rsidRDefault="00BC52F7" w:rsidP="00BC52F7">
      <w:pPr>
        <w:rPr>
          <w:lang w:val="en-GB"/>
        </w:rPr>
      </w:pPr>
      <w:r w:rsidRPr="008C3FA7">
        <w:rPr>
          <w:lang w:val="en-GB"/>
        </w:rPr>
        <w:t>NOTE 3 – </w:t>
      </w:r>
      <w:r w:rsidRPr="008C3FA7">
        <w:rPr>
          <w:i/>
          <w:lang w:val="en-GB"/>
        </w:rPr>
        <w:t>Recommends</w:t>
      </w:r>
      <w:r w:rsidRPr="008C3FA7">
        <w:rPr>
          <w:lang w:val="en-GB"/>
        </w:rPr>
        <w:t xml:space="preserve"> 2 also applies to out-stations of point-to-multipoint (P-MP) systems employing directional antennas with a maximum gain in excess of 14 dBi.</w:t>
      </w:r>
    </w:p>
    <w:p w:rsidR="00BC52F7" w:rsidRPr="008C3FA7" w:rsidRDefault="00BC52F7" w:rsidP="00BC52F7">
      <w:pPr>
        <w:keepNext/>
        <w:keepLines/>
        <w:rPr>
          <w:lang w:val="en-GB"/>
        </w:rPr>
      </w:pPr>
      <w:r w:rsidRPr="008C3FA7">
        <w:rPr>
          <w:lang w:val="en-GB"/>
        </w:rPr>
        <w:lastRenderedPageBreak/>
        <w:t>NOTE 4 – In a high power/low density P-MP system operating in intermittent transmission modes such as TDMA, the out-stations may increase their e.i.r.p. density levels by a factor corresponding to the number of subscribers connected to the out-stations belonging to a central station up to a maximum of 9 dB(W/MHz) (see § 3.7 of Annex 1).</w:t>
      </w:r>
    </w:p>
    <w:p w:rsidR="00BC52F7" w:rsidRPr="008C3FA7" w:rsidRDefault="00BC52F7" w:rsidP="005E40AE">
      <w:pPr>
        <w:rPr>
          <w:lang w:val="en-GB"/>
        </w:rPr>
      </w:pPr>
      <w:r w:rsidRPr="008C3FA7">
        <w:rPr>
          <w:lang w:val="en-GB"/>
        </w:rPr>
        <w:t>NOTE 5 – </w:t>
      </w:r>
      <w:r w:rsidRPr="008C3FA7">
        <w:rPr>
          <w:i/>
          <w:lang w:val="en-GB"/>
        </w:rPr>
        <w:t xml:space="preserve">Recommends </w:t>
      </w:r>
      <w:r w:rsidRPr="008C3FA7">
        <w:rPr>
          <w:lang w:val="en-GB"/>
        </w:rPr>
        <w:t>3.1 applies primarily to lower density systems. For higher density systems, the appropriate power levels are lower. For example, parameters for a low power system used by at least one administration operates at typical non-faded e.i.r.p. densities per link in the order of</w:t>
      </w:r>
      <w:r w:rsidR="00921CF8">
        <w:rPr>
          <w:lang w:val="en-GB"/>
        </w:rPr>
        <w:t xml:space="preserve"> </w:t>
      </w:r>
      <w:r w:rsidR="005E40AE">
        <w:rPr>
          <w:lang w:val="en-GB"/>
        </w:rPr>
        <w:br/>
        <w:t>–</w:t>
      </w:r>
      <w:r w:rsidRPr="008C3FA7">
        <w:rPr>
          <w:lang w:val="en-GB"/>
        </w:rPr>
        <w:t>5</w:t>
      </w:r>
      <w:r w:rsidR="00921CF8">
        <w:rPr>
          <w:lang w:val="en-GB"/>
        </w:rPr>
        <w:t> </w:t>
      </w:r>
      <w:r w:rsidRPr="008C3FA7">
        <w:rPr>
          <w:lang w:val="en-GB"/>
        </w:rPr>
        <w:t>dB(W/MHz) for central stations and –14 dB(W/MHz) for out-stations, taking into account ATPC, where practicable.</w:t>
      </w:r>
    </w:p>
    <w:p w:rsidR="00BC52F7" w:rsidRPr="008C3FA7" w:rsidRDefault="00BC52F7" w:rsidP="00BC52F7">
      <w:pPr>
        <w:rPr>
          <w:lang w:val="en-GB"/>
        </w:rPr>
      </w:pPr>
      <w:r w:rsidRPr="008C3FA7">
        <w:rPr>
          <w:lang w:val="en-GB"/>
        </w:rPr>
        <w:t>NOTE 6 – In accordance with Recommendation ITU-R SA.1275-3, the current orbital locations that require protection are:</w:t>
      </w:r>
    </w:p>
    <w:p w:rsidR="00BC52F7" w:rsidRPr="00921CF8" w:rsidRDefault="00BC52F7" w:rsidP="00921CF8">
      <w:pPr>
        <w:pStyle w:val="enumlev1"/>
        <w:rPr>
          <w:lang w:val="es-ES_tradnl" w:eastAsia="ja-JP"/>
        </w:rPr>
      </w:pPr>
      <w:r w:rsidRPr="008C3FA7">
        <w:rPr>
          <w:lang w:val="en-GB"/>
        </w:rPr>
        <w:tab/>
      </w:r>
      <w:r w:rsidRPr="00921CF8">
        <w:rPr>
          <w:lang w:val="es-ES_tradnl"/>
        </w:rPr>
        <w:t>10.6</w:t>
      </w:r>
      <w:r w:rsidR="00724C72" w:rsidRPr="00921CF8">
        <w:rPr>
          <w:lang w:val="es-ES_tradnl"/>
        </w:rPr>
        <w:t xml:space="preserve">° E, </w:t>
      </w:r>
      <w:r w:rsidRPr="00921CF8">
        <w:rPr>
          <w:lang w:val="es-ES_tradnl"/>
        </w:rPr>
        <w:t>16.4</w:t>
      </w:r>
      <w:r w:rsidR="00724C72" w:rsidRPr="00921CF8">
        <w:rPr>
          <w:lang w:val="es-ES_tradnl"/>
        </w:rPr>
        <w:t>°</w:t>
      </w:r>
      <w:r w:rsidRPr="00921CF8">
        <w:rPr>
          <w:lang w:val="es-ES_tradnl"/>
        </w:rPr>
        <w:t xml:space="preserve"> E, 16.8</w:t>
      </w:r>
      <w:r w:rsidR="00724C72" w:rsidRPr="00921CF8">
        <w:rPr>
          <w:lang w:val="es-ES_tradnl"/>
        </w:rPr>
        <w:t xml:space="preserve">° E, </w:t>
      </w:r>
      <w:r w:rsidRPr="00921CF8">
        <w:rPr>
          <w:lang w:val="es-ES_tradnl"/>
        </w:rPr>
        <w:t>21.5</w:t>
      </w:r>
      <w:r w:rsidR="00724C72" w:rsidRPr="00921CF8">
        <w:rPr>
          <w:lang w:val="es-ES_tradnl"/>
        </w:rPr>
        <w:t>°</w:t>
      </w:r>
      <w:r w:rsidRPr="00921CF8">
        <w:rPr>
          <w:lang w:val="es-ES_tradnl"/>
        </w:rPr>
        <w:t xml:space="preserve"> E, 47</w:t>
      </w:r>
      <w:r w:rsidR="00724C72" w:rsidRPr="00921CF8">
        <w:rPr>
          <w:lang w:val="es-ES_tradnl"/>
        </w:rPr>
        <w:t>°</w:t>
      </w:r>
      <w:r w:rsidRPr="00921CF8">
        <w:rPr>
          <w:lang w:val="es-ES_tradnl"/>
        </w:rPr>
        <w:t xml:space="preserve"> E, 59</w:t>
      </w:r>
      <w:r w:rsidR="00724C72" w:rsidRPr="00921CF8">
        <w:rPr>
          <w:lang w:val="es-ES_tradnl"/>
        </w:rPr>
        <w:t>°</w:t>
      </w:r>
      <w:r w:rsidRPr="00921CF8">
        <w:rPr>
          <w:lang w:val="es-ES_tradnl"/>
        </w:rPr>
        <w:t xml:space="preserve"> E, 77</w:t>
      </w:r>
      <w:r w:rsidR="00724C72" w:rsidRPr="00921CF8">
        <w:rPr>
          <w:lang w:val="es-ES_tradnl"/>
        </w:rPr>
        <w:t>°</w:t>
      </w:r>
      <w:r w:rsidR="00921CF8">
        <w:rPr>
          <w:lang w:val="es-ES_tradnl"/>
        </w:rPr>
        <w:t> </w:t>
      </w:r>
      <w:r w:rsidR="00724C72" w:rsidRPr="00921CF8">
        <w:rPr>
          <w:lang w:val="es-ES_tradnl"/>
        </w:rPr>
        <w:t xml:space="preserve">E, 80° E, </w:t>
      </w:r>
      <w:r w:rsidRPr="00921CF8">
        <w:rPr>
          <w:lang w:val="es-ES_tradnl"/>
        </w:rPr>
        <w:t>85</w:t>
      </w:r>
      <w:r w:rsidR="00724C72" w:rsidRPr="00921CF8">
        <w:rPr>
          <w:lang w:val="es-ES_tradnl"/>
        </w:rPr>
        <w:t>°</w:t>
      </w:r>
      <w:r w:rsidRPr="00921CF8">
        <w:rPr>
          <w:lang w:val="es-ES_tradnl"/>
        </w:rPr>
        <w:t xml:space="preserve"> E, 89</w:t>
      </w:r>
      <w:r w:rsidR="00724C72" w:rsidRPr="00921CF8">
        <w:rPr>
          <w:lang w:val="es-ES_tradnl"/>
        </w:rPr>
        <w:t>°</w:t>
      </w:r>
      <w:r w:rsidRPr="00921CF8">
        <w:rPr>
          <w:lang w:val="es-ES_tradnl"/>
        </w:rPr>
        <w:t xml:space="preserve"> E, 90.75</w:t>
      </w:r>
      <w:r w:rsidR="00724C72" w:rsidRPr="00921CF8">
        <w:rPr>
          <w:lang w:val="es-ES_tradnl"/>
        </w:rPr>
        <w:t>°</w:t>
      </w:r>
      <w:r w:rsidRPr="00921CF8">
        <w:rPr>
          <w:lang w:val="es-ES_tradnl"/>
        </w:rPr>
        <w:t xml:space="preserve"> E, 95</w:t>
      </w:r>
      <w:r w:rsidR="00724C72" w:rsidRPr="00921CF8">
        <w:rPr>
          <w:lang w:val="es-ES_tradnl"/>
        </w:rPr>
        <w:t>° </w:t>
      </w:r>
      <w:r w:rsidRPr="00921CF8">
        <w:rPr>
          <w:lang w:val="es-ES_tradnl"/>
        </w:rPr>
        <w:t>E, 113</w:t>
      </w:r>
      <w:r w:rsidR="00724C72" w:rsidRPr="00921CF8">
        <w:rPr>
          <w:lang w:val="es-ES_tradnl"/>
        </w:rPr>
        <w:t>°</w:t>
      </w:r>
      <w:r w:rsidRPr="00921CF8">
        <w:rPr>
          <w:lang w:val="es-ES_tradnl"/>
        </w:rPr>
        <w:t xml:space="preserve"> E, 121</w:t>
      </w:r>
      <w:r w:rsidR="00724C72" w:rsidRPr="00921CF8">
        <w:rPr>
          <w:lang w:val="es-ES_tradnl"/>
        </w:rPr>
        <w:t>°</w:t>
      </w:r>
      <w:r w:rsidRPr="00921CF8">
        <w:rPr>
          <w:lang w:val="es-ES_tradnl"/>
        </w:rPr>
        <w:t xml:space="preserve"> E, 133</w:t>
      </w:r>
      <w:r w:rsidR="00724C72" w:rsidRPr="00921CF8">
        <w:rPr>
          <w:lang w:val="es-ES_tradnl"/>
        </w:rPr>
        <w:t>°</w:t>
      </w:r>
      <w:r w:rsidRPr="00921CF8">
        <w:rPr>
          <w:lang w:val="es-ES_tradnl"/>
        </w:rPr>
        <w:t xml:space="preserve"> E, 160</w:t>
      </w:r>
      <w:r w:rsidR="00724C72" w:rsidRPr="00921CF8">
        <w:rPr>
          <w:lang w:val="es-ES_tradnl"/>
        </w:rPr>
        <w:t>°</w:t>
      </w:r>
      <w:r w:rsidRPr="00921CF8">
        <w:rPr>
          <w:lang w:val="es-ES_tradnl"/>
        </w:rPr>
        <w:t> E, 171</w:t>
      </w:r>
      <w:r w:rsidR="00724C72" w:rsidRPr="00921CF8">
        <w:rPr>
          <w:lang w:val="es-ES_tradnl"/>
        </w:rPr>
        <w:t>°</w:t>
      </w:r>
      <w:r w:rsidR="00921CF8">
        <w:rPr>
          <w:lang w:val="es-ES_tradnl"/>
        </w:rPr>
        <w:t> </w:t>
      </w:r>
      <w:r w:rsidR="00724C72" w:rsidRPr="00921CF8">
        <w:rPr>
          <w:lang w:val="es-ES_tradnl"/>
        </w:rPr>
        <w:t>E, 176.8°</w:t>
      </w:r>
      <w:r w:rsidR="00921CF8">
        <w:rPr>
          <w:lang w:val="es-ES_tradnl"/>
        </w:rPr>
        <w:t> </w:t>
      </w:r>
      <w:r w:rsidR="00724C72" w:rsidRPr="00921CF8">
        <w:rPr>
          <w:lang w:val="es-ES_tradnl"/>
        </w:rPr>
        <w:t xml:space="preserve">E </w:t>
      </w:r>
      <w:r w:rsidRPr="00921CF8">
        <w:rPr>
          <w:lang w:val="es-ES_tradnl"/>
        </w:rPr>
        <w:t>and 177.5</w:t>
      </w:r>
      <w:r w:rsidR="00724C72" w:rsidRPr="00921CF8">
        <w:rPr>
          <w:lang w:val="es-ES_tradnl"/>
        </w:rPr>
        <w:t>°</w:t>
      </w:r>
      <w:r w:rsidRPr="00921CF8">
        <w:rPr>
          <w:lang w:val="es-ES_tradnl"/>
        </w:rPr>
        <w:t> E, 12</w:t>
      </w:r>
      <w:r w:rsidR="00724C72" w:rsidRPr="00921CF8">
        <w:rPr>
          <w:lang w:val="es-ES_tradnl"/>
        </w:rPr>
        <w:t>°</w:t>
      </w:r>
      <w:r w:rsidR="00921CF8">
        <w:rPr>
          <w:lang w:val="es-ES_tradnl"/>
        </w:rPr>
        <w:t> </w:t>
      </w:r>
      <w:r w:rsidRPr="00921CF8">
        <w:rPr>
          <w:lang w:val="es-ES_tradnl"/>
        </w:rPr>
        <w:t>W, 16</w:t>
      </w:r>
      <w:r w:rsidR="00724C72" w:rsidRPr="00921CF8">
        <w:rPr>
          <w:lang w:val="es-ES_tradnl"/>
        </w:rPr>
        <w:t>°</w:t>
      </w:r>
      <w:r w:rsidRPr="00921CF8">
        <w:rPr>
          <w:lang w:val="es-ES_tradnl"/>
        </w:rPr>
        <w:t xml:space="preserve"> W, 32</w:t>
      </w:r>
      <w:r w:rsidR="00724C72" w:rsidRPr="00921CF8">
        <w:rPr>
          <w:lang w:val="es-ES_tradnl"/>
        </w:rPr>
        <w:t>°</w:t>
      </w:r>
      <w:r w:rsidR="00921CF8">
        <w:rPr>
          <w:lang w:val="es-ES_tradnl"/>
        </w:rPr>
        <w:t> </w:t>
      </w:r>
      <w:r w:rsidRPr="00921CF8">
        <w:rPr>
          <w:lang w:val="es-ES_tradnl"/>
        </w:rPr>
        <w:t>W, 41</w:t>
      </w:r>
      <w:r w:rsidR="00724C72" w:rsidRPr="00921CF8">
        <w:rPr>
          <w:lang w:val="es-ES_tradnl"/>
        </w:rPr>
        <w:t>°</w:t>
      </w:r>
      <w:r w:rsidRPr="00921CF8">
        <w:rPr>
          <w:lang w:val="es-ES_tradnl"/>
        </w:rPr>
        <w:t xml:space="preserve"> W, 44</w:t>
      </w:r>
      <w:r w:rsidR="00724C72" w:rsidRPr="00921CF8">
        <w:rPr>
          <w:lang w:val="es-ES_tradnl"/>
        </w:rPr>
        <w:t>°</w:t>
      </w:r>
      <w:r w:rsidRPr="00921CF8">
        <w:rPr>
          <w:lang w:val="es-ES_tradnl"/>
        </w:rPr>
        <w:t> W, 46</w:t>
      </w:r>
      <w:r w:rsidR="00724C72" w:rsidRPr="00921CF8">
        <w:rPr>
          <w:lang w:val="es-ES_tradnl"/>
        </w:rPr>
        <w:t>°</w:t>
      </w:r>
      <w:r w:rsidRPr="00921CF8">
        <w:rPr>
          <w:lang w:val="es-ES_tradnl"/>
        </w:rPr>
        <w:t> W, 49</w:t>
      </w:r>
      <w:r w:rsidR="00724C72" w:rsidRPr="00921CF8">
        <w:rPr>
          <w:lang w:val="es-ES_tradnl"/>
        </w:rPr>
        <w:t>°</w:t>
      </w:r>
      <w:r w:rsidRPr="00921CF8">
        <w:rPr>
          <w:lang w:val="es-ES_tradnl"/>
        </w:rPr>
        <w:t xml:space="preserve"> W, 62</w:t>
      </w:r>
      <w:r w:rsidR="00724C72" w:rsidRPr="00921CF8">
        <w:rPr>
          <w:lang w:val="es-ES_tradnl"/>
        </w:rPr>
        <w:t>°</w:t>
      </w:r>
      <w:r w:rsidRPr="00921CF8">
        <w:rPr>
          <w:lang w:val="es-ES_tradnl"/>
        </w:rPr>
        <w:t xml:space="preserve"> W, 79</w:t>
      </w:r>
      <w:r w:rsidR="00724C72" w:rsidRPr="00921CF8">
        <w:rPr>
          <w:lang w:val="es-ES_tradnl"/>
        </w:rPr>
        <w:t>°</w:t>
      </w:r>
      <w:r w:rsidRPr="00921CF8">
        <w:rPr>
          <w:lang w:val="es-ES_tradnl"/>
        </w:rPr>
        <w:t xml:space="preserve"> W, 139</w:t>
      </w:r>
      <w:r w:rsidR="00724C72" w:rsidRPr="00921CF8">
        <w:rPr>
          <w:lang w:val="es-ES_tradnl"/>
        </w:rPr>
        <w:t>°</w:t>
      </w:r>
      <w:r w:rsidRPr="00921CF8">
        <w:rPr>
          <w:lang w:val="es-ES_tradnl"/>
        </w:rPr>
        <w:t xml:space="preserve"> W, 160</w:t>
      </w:r>
      <w:r w:rsidR="00724C72" w:rsidRPr="00921CF8">
        <w:rPr>
          <w:lang w:val="es-ES_tradnl"/>
        </w:rPr>
        <w:t>°</w:t>
      </w:r>
      <w:r w:rsidRPr="00921CF8">
        <w:rPr>
          <w:lang w:val="es-ES_tradnl"/>
        </w:rPr>
        <w:t xml:space="preserve"> W,</w:t>
      </w:r>
      <w:r w:rsidRPr="00921CF8">
        <w:rPr>
          <w:lang w:val="es-ES_tradnl" w:eastAsia="ja-JP"/>
        </w:rPr>
        <w:t xml:space="preserve"> </w:t>
      </w:r>
      <w:r w:rsidRPr="00921CF8">
        <w:rPr>
          <w:lang w:val="es-ES_tradnl"/>
        </w:rPr>
        <w:t>170</w:t>
      </w:r>
      <w:r w:rsidR="00724C72" w:rsidRPr="00921CF8">
        <w:rPr>
          <w:lang w:val="es-ES_tradnl"/>
        </w:rPr>
        <w:t>°</w:t>
      </w:r>
      <w:r w:rsidRPr="00921CF8">
        <w:rPr>
          <w:lang w:val="es-ES_tradnl"/>
        </w:rPr>
        <w:t xml:space="preserve"> W, 171</w:t>
      </w:r>
      <w:r w:rsidR="00724C72" w:rsidRPr="00921CF8">
        <w:rPr>
          <w:lang w:val="es-ES_tradnl"/>
        </w:rPr>
        <w:t>°</w:t>
      </w:r>
      <w:r w:rsidRPr="00921CF8">
        <w:rPr>
          <w:lang w:val="es-ES_tradnl"/>
        </w:rPr>
        <w:t xml:space="preserve"> W and 174</w:t>
      </w:r>
      <w:r w:rsidR="00724C72" w:rsidRPr="00921CF8">
        <w:rPr>
          <w:lang w:val="es-ES_tradnl"/>
        </w:rPr>
        <w:t>° </w:t>
      </w:r>
      <w:r w:rsidRPr="00921CF8">
        <w:rPr>
          <w:lang w:val="es-ES_tradnl"/>
        </w:rPr>
        <w:t>W.</w:t>
      </w:r>
    </w:p>
    <w:p w:rsidR="00BC52F7" w:rsidRPr="008C3FA7" w:rsidRDefault="00BC52F7" w:rsidP="00BC52F7">
      <w:pPr>
        <w:pStyle w:val="enumlev1"/>
        <w:tabs>
          <w:tab w:val="left" w:pos="0"/>
        </w:tabs>
        <w:ind w:left="0" w:firstLine="0"/>
        <w:rPr>
          <w:lang w:val="en-GB" w:eastAsia="ja-JP"/>
        </w:rPr>
      </w:pPr>
      <w:r w:rsidRPr="008C3FA7">
        <w:rPr>
          <w:lang w:val="en-GB" w:eastAsia="ja-JP"/>
        </w:rPr>
        <w:t>When Recommendation ITU-R SA.1275 is revised so that new DRS orbital locations are added, protection of new orbital slots in revision to this Recommendation applies only to FS stations installed after the enforcement date of the revised Recommendation ITU-R SA.1275.</w:t>
      </w:r>
    </w:p>
    <w:p w:rsidR="00BC52F7" w:rsidRPr="008C3FA7" w:rsidRDefault="00BC52F7" w:rsidP="00BC52F7">
      <w:pPr>
        <w:rPr>
          <w:lang w:val="en-GB"/>
        </w:rPr>
      </w:pPr>
      <w:r w:rsidRPr="008C3FA7">
        <w:rPr>
          <w:lang w:val="en-GB"/>
        </w:rPr>
        <w:t xml:space="preserve">NOTE 7 – It should be noted that the time percentages in </w:t>
      </w:r>
      <w:r w:rsidRPr="008C3FA7">
        <w:rPr>
          <w:i/>
          <w:lang w:val="en-GB"/>
        </w:rPr>
        <w:t>recommends</w:t>
      </w:r>
      <w:r w:rsidRPr="008C3FA7">
        <w:rPr>
          <w:lang w:val="en-GB"/>
        </w:rPr>
        <w:t xml:space="preserve"> 2.1 and 3.1 do not directly relate to the DRS time percentage sharing criteria as given in Recommendation ITU</w:t>
      </w:r>
      <w:r w:rsidRPr="008C3FA7">
        <w:rPr>
          <w:lang w:val="en-GB"/>
        </w:rPr>
        <w:noBreakHyphen/>
        <w:t>R SA.1274.</w:t>
      </w:r>
    </w:p>
    <w:p w:rsidR="00BC52F7" w:rsidRPr="008C3FA7" w:rsidRDefault="00BC52F7" w:rsidP="00724C72">
      <w:pPr>
        <w:rPr>
          <w:lang w:val="en-GB"/>
        </w:rPr>
      </w:pPr>
      <w:r w:rsidRPr="008C3FA7">
        <w:rPr>
          <w:lang w:val="en-GB"/>
        </w:rPr>
        <w:t xml:space="preserve">NOTE 8 – A fixed service station employing ATPC, which is unable to comply with the requirement in </w:t>
      </w:r>
      <w:r w:rsidRPr="008C3FA7">
        <w:rPr>
          <w:i/>
          <w:lang w:val="en-GB"/>
        </w:rPr>
        <w:t>recommends</w:t>
      </w:r>
      <w:r w:rsidRPr="008C3FA7">
        <w:rPr>
          <w:lang w:val="en-GB"/>
        </w:rPr>
        <w:t> 2.1, should, where practicable, operate towards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preferably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245 MHz and the e.i.r.p. spectral density (in the direction of the specified geostationary DRS location) of such station may be increased above </w:t>
      </w:r>
      <w:r w:rsidR="00724C72" w:rsidRPr="008C3FA7">
        <w:rPr>
          <w:lang w:val="en-GB"/>
        </w:rPr>
        <w:t>+</w:t>
      </w:r>
      <w:r w:rsidRPr="008C3FA7">
        <w:rPr>
          <w:lang w:val="en-GB"/>
        </w:rPr>
        <w:t xml:space="preserve">8 dB(W/MHz) for less than 5% of the month in order to restore performance during shallow fading events, but the time percentage exceeding </w:t>
      </w:r>
      <w:r w:rsidR="00724C72" w:rsidRPr="008C3FA7">
        <w:rPr>
          <w:lang w:val="en-GB"/>
        </w:rPr>
        <w:t>+</w:t>
      </w:r>
      <w:r w:rsidRPr="008C3FA7">
        <w:rPr>
          <w:lang w:val="en-GB"/>
        </w:rPr>
        <w:t>11 dB(W/MHz) should be less than 0.1%.</w:t>
      </w:r>
    </w:p>
    <w:p w:rsidR="00BC52F7" w:rsidRPr="008C3FA7" w:rsidRDefault="00BC52F7" w:rsidP="00BC52F7">
      <w:pPr>
        <w:rPr>
          <w:lang w:val="en-GB"/>
        </w:rPr>
      </w:pPr>
      <w:r w:rsidRPr="008C3FA7">
        <w:rPr>
          <w:lang w:val="en-GB"/>
        </w:rPr>
        <w:t>NOTE 9 – Annex 2 presents material to facilitate the application of this Recommendation to planning and design of new systems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Default="00BC52F7" w:rsidP="00BC52F7">
      <w:pPr>
        <w:rPr>
          <w:lang w:val="en-GB"/>
        </w:rPr>
      </w:pPr>
    </w:p>
    <w:p w:rsidR="005E40AE" w:rsidRPr="008C3FA7" w:rsidRDefault="005E40AE" w:rsidP="00BC52F7">
      <w:pPr>
        <w:rPr>
          <w:lang w:val="en-GB"/>
        </w:rPr>
      </w:pPr>
    </w:p>
    <w:p w:rsidR="00BC52F7" w:rsidRPr="008C3FA7" w:rsidRDefault="00BC52F7" w:rsidP="00BC52F7">
      <w:pPr>
        <w:pStyle w:val="AnnexNoTitle"/>
        <w:rPr>
          <w:lang w:val="en-GB"/>
        </w:rPr>
      </w:pPr>
      <w:r w:rsidRPr="008C3FA7">
        <w:rPr>
          <w:lang w:val="en-GB"/>
        </w:rPr>
        <w:t>Annex 1</w:t>
      </w:r>
      <w:r w:rsidRPr="008C3FA7">
        <w:rPr>
          <w:lang w:val="en-GB"/>
        </w:rPr>
        <w:br/>
      </w:r>
      <w:r w:rsidRPr="008C3FA7">
        <w:rPr>
          <w:lang w:val="en-GB"/>
        </w:rPr>
        <w:br/>
        <w:t>Technical characteristics of fixed service systems to facilitate sharing with</w:t>
      </w:r>
      <w:r w:rsidRPr="008C3FA7">
        <w:rPr>
          <w:lang w:val="en-GB"/>
        </w:rPr>
        <w:br/>
        <w:t>the space services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Pr="008C3FA7" w:rsidRDefault="00BC52F7" w:rsidP="00BC52F7">
      <w:pPr>
        <w:pStyle w:val="Normalaftertitle"/>
        <w:rPr>
          <w:lang w:val="en-GB"/>
        </w:rPr>
      </w:pPr>
      <w:r w:rsidRPr="008C3FA7">
        <w:rPr>
          <w:lang w:val="en-GB"/>
        </w:rPr>
        <w:t>Studies have shown that interference may be caused by the emissions of fixed service systems to space networks operating in the SR, SO and EES services (the space science services) in the bands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 and 2</w:t>
      </w:r>
      <w:r w:rsidRPr="008C3FA7">
        <w:rPr>
          <w:sz w:val="12"/>
          <w:lang w:val="en-GB"/>
        </w:rPr>
        <w:t> </w:t>
      </w:r>
      <w:r w:rsidRPr="008C3FA7">
        <w:rPr>
          <w:lang w:val="en-GB"/>
        </w:rPr>
        <w:t>200-2</w:t>
      </w:r>
      <w:r w:rsidRPr="008C3FA7">
        <w:rPr>
          <w:sz w:val="12"/>
          <w:lang w:val="en-GB"/>
        </w:rPr>
        <w:t> </w:t>
      </w:r>
      <w:r w:rsidRPr="008C3FA7">
        <w:rPr>
          <w:lang w:val="en-GB"/>
        </w:rPr>
        <w:t>290 MHz (the 2 GHz bands). The space network consists of space</w:t>
      </w:r>
      <w:r w:rsidRPr="008C3FA7">
        <w:rPr>
          <w:lang w:val="en-GB"/>
        </w:rPr>
        <w:noBreakHyphen/>
        <w:t>to</w:t>
      </w:r>
      <w:r w:rsidRPr="008C3FA7">
        <w:rPr>
          <w:lang w:val="en-GB"/>
        </w:rPr>
        <w:noBreakHyphen/>
        <w:t>space links between a DRS in geostationary-satellite orbit (GSO) and a low-orbiting satellite. The DRS transmits to a low-orbiting satellite in the band 2</w:t>
      </w:r>
      <w:r w:rsidRPr="008C3FA7">
        <w:rPr>
          <w:sz w:val="12"/>
          <w:lang w:val="en-GB"/>
        </w:rPr>
        <w:t> </w:t>
      </w:r>
      <w:r w:rsidRPr="008C3FA7">
        <w:rPr>
          <w:lang w:val="en-GB"/>
        </w:rPr>
        <w:t>025-2</w:t>
      </w:r>
      <w:r w:rsidRPr="008C3FA7">
        <w:rPr>
          <w:sz w:val="12"/>
          <w:lang w:val="en-GB"/>
        </w:rPr>
        <w:t> </w:t>
      </w:r>
      <w:r w:rsidRPr="008C3FA7">
        <w:rPr>
          <w:lang w:val="en-GB"/>
        </w:rPr>
        <w:t>110 MHz and receives transmissions from the low-orbiting satellite in the band 2</w:t>
      </w:r>
      <w:r w:rsidRPr="008C3FA7">
        <w:rPr>
          <w:sz w:val="12"/>
          <w:lang w:val="en-GB"/>
        </w:rPr>
        <w:t> </w:t>
      </w:r>
      <w:r w:rsidRPr="008C3FA7">
        <w:rPr>
          <w:lang w:val="en-GB"/>
        </w:rPr>
        <w:t>200-2</w:t>
      </w:r>
      <w:r w:rsidRPr="008C3FA7">
        <w:rPr>
          <w:sz w:val="12"/>
          <w:lang w:val="en-GB"/>
        </w:rPr>
        <w:t> </w:t>
      </w:r>
      <w:r w:rsidRPr="008C3FA7">
        <w:rPr>
          <w:lang w:val="en-GB"/>
        </w:rPr>
        <w:t>290 MHz. Thus, the low-orbiting satellite is susceptible to interference from emissions in the band 2</w:t>
      </w:r>
      <w:r w:rsidRPr="008C3FA7">
        <w:rPr>
          <w:sz w:val="12"/>
          <w:lang w:val="en-GB"/>
        </w:rPr>
        <w:t> </w:t>
      </w:r>
      <w:r w:rsidRPr="008C3FA7">
        <w:rPr>
          <w:lang w:val="en-GB"/>
        </w:rPr>
        <w:t>025-2</w:t>
      </w:r>
      <w:r w:rsidRPr="008C3FA7">
        <w:rPr>
          <w:sz w:val="12"/>
          <w:lang w:val="en-GB"/>
        </w:rPr>
        <w:t> </w:t>
      </w:r>
      <w:r w:rsidRPr="008C3FA7">
        <w:rPr>
          <w:lang w:val="en-GB"/>
        </w:rPr>
        <w:t>110 MHz and GSO DRSs are susceptible to interference from the emissions in the band 2</w:t>
      </w:r>
      <w:r w:rsidRPr="008C3FA7">
        <w:rPr>
          <w:sz w:val="12"/>
          <w:lang w:val="en-GB"/>
        </w:rPr>
        <w:t> </w:t>
      </w:r>
      <w:r w:rsidRPr="008C3FA7">
        <w:rPr>
          <w:lang w:val="en-GB"/>
        </w:rPr>
        <w:t>200-2</w:t>
      </w:r>
      <w:r w:rsidRPr="008C3FA7">
        <w:rPr>
          <w:sz w:val="12"/>
          <w:lang w:val="en-GB"/>
        </w:rPr>
        <w:t> </w:t>
      </w:r>
      <w:r w:rsidRPr="008C3FA7">
        <w:rPr>
          <w:lang w:val="en-GB"/>
        </w:rPr>
        <w:t>290 MHz. Low-orbiting satellites may also communicate with ground stations in the ground network using Earth-space links. These links, which use the band 2</w:t>
      </w:r>
      <w:r w:rsidRPr="008C3FA7">
        <w:rPr>
          <w:sz w:val="12"/>
          <w:lang w:val="en-GB"/>
        </w:rPr>
        <w:t> </w:t>
      </w:r>
      <w:r w:rsidRPr="008C3FA7">
        <w:rPr>
          <w:lang w:val="en-GB"/>
        </w:rPr>
        <w:t>025-2</w:t>
      </w:r>
      <w:r w:rsidRPr="008C3FA7">
        <w:rPr>
          <w:sz w:val="12"/>
          <w:lang w:val="en-GB"/>
        </w:rPr>
        <w:t> </w:t>
      </w:r>
      <w:r w:rsidRPr="008C3FA7">
        <w:rPr>
          <w:lang w:val="en-GB"/>
        </w:rPr>
        <w:t xml:space="preserve">110 MHz to transmit to a low-orbiting satellite and </w:t>
      </w:r>
      <w:r w:rsidRPr="008C3FA7">
        <w:rPr>
          <w:lang w:val="en-GB"/>
        </w:rPr>
        <w:lastRenderedPageBreak/>
        <w:t>the band 2</w:t>
      </w:r>
      <w:r w:rsidRPr="008C3FA7">
        <w:rPr>
          <w:sz w:val="12"/>
          <w:lang w:val="en-GB"/>
        </w:rPr>
        <w:t> </w:t>
      </w:r>
      <w:r w:rsidRPr="008C3FA7">
        <w:rPr>
          <w:lang w:val="en-GB"/>
        </w:rPr>
        <w:t>200-2</w:t>
      </w:r>
      <w:r w:rsidRPr="008C3FA7">
        <w:rPr>
          <w:sz w:val="12"/>
          <w:lang w:val="en-GB"/>
        </w:rPr>
        <w:t> </w:t>
      </w:r>
      <w:r w:rsidRPr="008C3FA7">
        <w:rPr>
          <w:lang w:val="en-GB"/>
        </w:rPr>
        <w:t>290 MHz to receive from a low-orbiting satellite, are not as susceptible to interference as the links for low-orbiting satellites operating in the space network.</w:t>
      </w:r>
    </w:p>
    <w:p w:rsidR="00BC52F7" w:rsidRPr="008C3FA7" w:rsidRDefault="00BC52F7" w:rsidP="00BC52F7">
      <w:pPr>
        <w:rPr>
          <w:lang w:val="en-GB"/>
        </w:rPr>
      </w:pPr>
      <w:r w:rsidRPr="008C3FA7">
        <w:rPr>
          <w:lang w:val="en-GB"/>
        </w:rPr>
        <w:t>Section 2 summarizes the interference environment as might be seen by low-orbiting satellites and GSO DRSs if there is intense use of the 2 GHz bands by the fixed service. Section 3 summarizes the interference mitigation techniques that could be employed by the fixed service to reduce levels of potential interference. Section 4 presents a summary of the effectiveness of the various mitigation techniques to reduce the level of potential interference to satellites operating in the space network.</w:t>
      </w:r>
    </w:p>
    <w:p w:rsidR="00BC52F7" w:rsidRPr="008C3FA7" w:rsidRDefault="00BC52F7" w:rsidP="00BC52F7">
      <w:pPr>
        <w:pStyle w:val="Heading1"/>
        <w:rPr>
          <w:lang w:val="en-GB"/>
        </w:rPr>
      </w:pPr>
      <w:r w:rsidRPr="008C3FA7">
        <w:rPr>
          <w:lang w:val="en-GB"/>
        </w:rPr>
        <w:t>2</w:t>
      </w:r>
      <w:r w:rsidRPr="008C3FA7">
        <w:rPr>
          <w:lang w:val="en-GB"/>
        </w:rPr>
        <w:tab/>
        <w:t>Potential interference to satellites operating in the space network</w:t>
      </w:r>
    </w:p>
    <w:p w:rsidR="00BC52F7" w:rsidRPr="008C3FA7" w:rsidRDefault="00BC52F7" w:rsidP="00BC52F7">
      <w:pPr>
        <w:rPr>
          <w:lang w:val="en-GB"/>
        </w:rPr>
      </w:pPr>
      <w:r w:rsidRPr="008C3FA7">
        <w:rPr>
          <w:lang w:val="en-GB"/>
        </w:rPr>
        <w:t>Monte Carlo simulations have been used to evaluate the interference to space science services systems from a potentially large number of fixed service systems. It was assumed that the fixed service systems were line-of-sight point-to-point systems consisting of 13 stations per section; that used digital modulation techniques and employed high-gain antennas.</w:t>
      </w:r>
    </w:p>
    <w:p w:rsidR="00BC52F7" w:rsidRPr="008C3FA7" w:rsidRDefault="00BC52F7" w:rsidP="00BC52F7">
      <w:pPr>
        <w:rPr>
          <w:lang w:val="en-GB"/>
        </w:rPr>
      </w:pPr>
      <w:r w:rsidRPr="008C3FA7">
        <w:rPr>
          <w:lang w:val="en-GB"/>
        </w:rPr>
        <w:t>The deployment of the fixed service systems was assumed to correspond to the locations of some 1</w:t>
      </w:r>
      <w:r w:rsidRPr="008C3FA7">
        <w:rPr>
          <w:rFonts w:ascii="Tms Rmn" w:hAnsi="Tms Rmn"/>
          <w:sz w:val="12"/>
          <w:lang w:val="en-GB"/>
        </w:rPr>
        <w:t> </w:t>
      </w:r>
      <w:r w:rsidRPr="008C3FA7">
        <w:rPr>
          <w:lang w:val="en-GB"/>
        </w:rPr>
        <w:t>245 major cities of the world. Excluded from the list were cities of the United States of America since the bands are extensively used for other applications. These assumptions result in more than 16</w:t>
      </w:r>
      <w:r w:rsidRPr="008C3FA7">
        <w:rPr>
          <w:rFonts w:ascii="Tms Rmn" w:hAnsi="Tms Rmn"/>
          <w:sz w:val="12"/>
          <w:lang w:val="en-GB"/>
        </w:rPr>
        <w:t> </w:t>
      </w:r>
      <w:r w:rsidRPr="008C3FA7">
        <w:rPr>
          <w:lang w:val="en-GB"/>
        </w:rPr>
        <w:t>000 point-to-point stations being deployed throughout the world.</w:t>
      </w:r>
    </w:p>
    <w:p w:rsidR="00BC52F7" w:rsidRPr="008C3FA7" w:rsidRDefault="00BC52F7" w:rsidP="00724C72">
      <w:pPr>
        <w:rPr>
          <w:lang w:val="en-GB"/>
        </w:rPr>
      </w:pPr>
      <w:r w:rsidRPr="008C3FA7">
        <w:rPr>
          <w:lang w:val="en-GB"/>
        </w:rPr>
        <w:t>There are 13 stations per route. The routes are assumed to be centred at each of the major cities. A trendline is established that is uniformly distributed between 0</w:t>
      </w:r>
      <w:r w:rsidR="00724C72" w:rsidRPr="008C3FA7">
        <w:rPr>
          <w:lang w:val="en-GB"/>
        </w:rPr>
        <w:t>°</w:t>
      </w:r>
      <w:r w:rsidRPr="008C3FA7">
        <w:rPr>
          <w:lang w:val="en-GB"/>
        </w:rPr>
        <w:t xml:space="preserve"> and 360</w:t>
      </w:r>
      <w:r w:rsidR="00724C72" w:rsidRPr="008C3FA7">
        <w:rPr>
          <w:lang w:val="en-GB"/>
        </w:rPr>
        <w:t>°</w:t>
      </w:r>
      <w:r w:rsidRPr="008C3FA7">
        <w:rPr>
          <w:lang w:val="en-GB"/>
        </w:rPr>
        <w:t xml:space="preserve">. From this point the geographic position vector and the antenna pointing vector at each station on the route is generated assuming the stations are separated by 50 km. The azimuth angle at each station is the sum of the trendline angle and a random angle uniformly distributed between </w:t>
      </w:r>
      <w:r w:rsidR="00724C72" w:rsidRPr="008C3FA7">
        <w:rPr>
          <w:lang w:val="en-GB"/>
        </w:rPr>
        <w:sym w:font="Symbol" w:char="F0B1"/>
      </w:r>
      <w:r w:rsidRPr="008C3FA7">
        <w:rPr>
          <w:lang w:val="en-GB"/>
        </w:rPr>
        <w:t>12.5</w:t>
      </w:r>
      <w:r w:rsidR="00724C72" w:rsidRPr="008C3FA7">
        <w:rPr>
          <w:lang w:val="en-GB"/>
        </w:rPr>
        <w:t>°</w:t>
      </w:r>
      <w:r w:rsidRPr="008C3FA7">
        <w:rPr>
          <w:lang w:val="en-GB"/>
        </w:rPr>
        <w:t>. At every other station that is not an end station, it is assumed that there are two co-channel transmitting antennas: one pointing at the preceding station along the route and the other pointing at the next station along the route. The antennas at the end stations point toward the adjacent station. Each antenna has an elevation angle of 0</w:t>
      </w:r>
      <w:r w:rsidR="00724C72" w:rsidRPr="008C3FA7">
        <w:rPr>
          <w:lang w:val="en-GB"/>
        </w:rPr>
        <w:t>°</w:t>
      </w:r>
      <w:r w:rsidRPr="008C3FA7">
        <w:rPr>
          <w:lang w:val="en-GB"/>
        </w:rPr>
        <w:t>, exhibits an on-axis gain of 33 dBi, and an off-axis radiation pattern that conforms to the improved pattern given in Recommendation ITU</w:t>
      </w:r>
      <w:r w:rsidRPr="008C3FA7">
        <w:rPr>
          <w:lang w:val="en-GB"/>
        </w:rPr>
        <w:noBreakHyphen/>
        <w:t>R F.699. The transmitter power spectral density at each transmitting station is assumed to be –35 dB(W/kHz) which is consistent with 64</w:t>
      </w:r>
      <w:r w:rsidRPr="008C3FA7">
        <w:rPr>
          <w:lang w:val="en-GB"/>
        </w:rPr>
        <w:noBreakHyphen/>
        <w:t>QAM digital systems.</w:t>
      </w:r>
    </w:p>
    <w:p w:rsidR="00BC52F7" w:rsidRPr="008C3FA7" w:rsidRDefault="00BC52F7" w:rsidP="00BC52F7">
      <w:pPr>
        <w:rPr>
          <w:lang w:val="en-GB"/>
        </w:rPr>
      </w:pPr>
      <w:r w:rsidRPr="008C3FA7">
        <w:rPr>
          <w:lang w:val="en-GB"/>
        </w:rPr>
        <w:t>The effect of the global deployment of these 13 station sections of radio-relay routes on low</w:t>
      </w:r>
      <w:r w:rsidRPr="008C3FA7">
        <w:rPr>
          <w:lang w:val="en-GB"/>
        </w:rPr>
        <w:noBreakHyphen/>
        <w:t>orbiting satellites operating in the band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is determined by calculating the aggregate interference power received by these satellites as a function of the latitude and longitude of the sub</w:t>
      </w:r>
      <w:r w:rsidRPr="008C3FA7">
        <w:rPr>
          <w:lang w:val="en-GB"/>
        </w:rPr>
        <w:noBreakHyphen/>
        <w:t>satellite point of the satellite position vector. It is assumed that the interference to the low</w:t>
      </w:r>
      <w:r w:rsidRPr="008C3FA7">
        <w:rPr>
          <w:lang w:val="en-GB"/>
        </w:rPr>
        <w:noBreakHyphen/>
        <w:t>orbiting satellite is coupled into the receiving system through antenna side lobes which exhibit 0 dBi gain.</w:t>
      </w:r>
    </w:p>
    <w:p w:rsidR="00BC52F7" w:rsidRPr="008C3FA7" w:rsidRDefault="00BC52F7" w:rsidP="00BC52F7">
      <w:pPr>
        <w:rPr>
          <w:lang w:val="en-GB"/>
        </w:rPr>
      </w:pPr>
      <w:r w:rsidRPr="008C3FA7">
        <w:rPr>
          <w:lang w:val="en-GB"/>
        </w:rPr>
        <w:t>A contour plot of the results of a Monte Carlo simulation for a satellite at an altitude of 300 km is shown in Fig. 1. The intensity of the received interference is shown as a function of the latitude and longitude of the satellite and reaches a peak value of –151.7 dB(W/kHz). From the contour plot, it is seen that interference is experienced over the land masses and that the interference is static, that is, for each subsatellite point there is associated an invariant level of interference.</w:t>
      </w:r>
    </w:p>
    <w:p w:rsidR="00BC52F7" w:rsidRPr="008C3FA7" w:rsidRDefault="00BC52F7" w:rsidP="00BC52F7">
      <w:pPr>
        <w:rPr>
          <w:lang w:val="en-GB"/>
        </w:rPr>
      </w:pPr>
      <w:r w:rsidRPr="008C3FA7">
        <w:rPr>
          <w:lang w:val="en-GB"/>
        </w:rPr>
        <w:t>A similar Monte Carlo simulation has been used to determine the interference to DRSs receiving in the band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 Identical assumptions were used regarding the characteristics and deployment of point-to-point (P</w:t>
      </w:r>
      <w:r w:rsidRPr="008C3FA7">
        <w:rPr>
          <w:lang w:val="en-GB"/>
        </w:rPr>
        <w:noBreakHyphen/>
        <w:t xml:space="preserve">P) radio-relay systems using high-gain antennas. The point of departure for the analysis is the use of the GSO by the DRS and the use of high-gain steerable receiving antennas on the DRS. For the analysis, the independent variables are the longitude of the sub-satellite point of the geostationary DRS (it is assumed that the orbital inclination is zero), and the roll and pitch angles of the steerable antennas. (The roll and pitch angles are defined in a </w:t>
      </w:r>
      <w:r w:rsidRPr="008C3FA7">
        <w:rPr>
          <w:lang w:val="en-GB"/>
        </w:rPr>
        <w:lastRenderedPageBreak/>
        <w:t>spherical coordinate system centred on the DRS. The x-axis is directed towards the centre of the Earth, the y-axis points in the direction of the satellite velocity vector, and the z-axis is parallel to the Earth</w:t>
      </w:r>
      <w:r w:rsidR="00724C72" w:rsidRPr="008C3FA7">
        <w:rPr>
          <w:lang w:val="en-GB"/>
        </w:rPr>
        <w:t>’</w:t>
      </w:r>
      <w:r w:rsidRPr="008C3FA7">
        <w:rPr>
          <w:lang w:val="en-GB"/>
        </w:rPr>
        <w:t>s axis of rotation. Defining the local coordinate system in this way, rotation about the x</w:t>
      </w:r>
      <w:r w:rsidRPr="008C3FA7">
        <w:rPr>
          <w:lang w:val="en-GB"/>
        </w:rPr>
        <w:noBreakHyphen/>
        <w:t>axis is called yaw, rotation about the y-axis is called roll, and rotation about the z-axis is called pitch.)</w:t>
      </w:r>
    </w:p>
    <w:p w:rsidR="00BC52F7" w:rsidRPr="008C3FA7" w:rsidRDefault="00BC52F7" w:rsidP="00724C72">
      <w:pPr>
        <w:rPr>
          <w:lang w:val="en-GB"/>
        </w:rPr>
      </w:pPr>
      <w:r w:rsidRPr="008C3FA7">
        <w:rPr>
          <w:lang w:val="en-GB"/>
        </w:rPr>
        <w:t>The DRS network operated by the United States of America consists of several operational and on</w:t>
      </w:r>
      <w:r w:rsidRPr="008C3FA7">
        <w:rPr>
          <w:lang w:val="en-GB"/>
        </w:rPr>
        <w:noBreakHyphen/>
        <w:t>orbit standby DRSs located at orbital locations that include 41</w:t>
      </w:r>
      <w:r w:rsidR="00724C72" w:rsidRPr="008C3FA7">
        <w:rPr>
          <w:lang w:val="en-GB"/>
        </w:rPr>
        <w:t>°</w:t>
      </w:r>
      <w:r w:rsidRPr="008C3FA7">
        <w:rPr>
          <w:lang w:val="en-GB"/>
        </w:rPr>
        <w:t>, 46</w:t>
      </w:r>
      <w:r w:rsidR="00724C72" w:rsidRPr="008C3FA7">
        <w:rPr>
          <w:lang w:val="en-GB"/>
        </w:rPr>
        <w:t>°</w:t>
      </w:r>
      <w:r w:rsidRPr="008C3FA7">
        <w:rPr>
          <w:lang w:val="en-GB"/>
        </w:rPr>
        <w:t>, 171</w:t>
      </w:r>
      <w:r w:rsidR="00724C72" w:rsidRPr="008C3FA7">
        <w:rPr>
          <w:lang w:val="en-GB"/>
        </w:rPr>
        <w:t>°</w:t>
      </w:r>
      <w:r w:rsidRPr="008C3FA7">
        <w:rPr>
          <w:lang w:val="en-GB"/>
        </w:rPr>
        <w:t xml:space="preserve"> and 174</w:t>
      </w:r>
      <w:r w:rsidR="00724C72" w:rsidRPr="008C3FA7">
        <w:rPr>
          <w:lang w:val="en-GB"/>
        </w:rPr>
        <w:t>°</w:t>
      </w:r>
      <w:r w:rsidRPr="008C3FA7">
        <w:rPr>
          <w:lang w:val="en-GB"/>
        </w:rPr>
        <w:t xml:space="preserve"> W longitude. These satellites use two types of high-gain tracking antennas: the S-band multiple access antenna (SMA) with an on-axis gain of 28.0 dBi; and the S-band single access antenna (SSA) with an on</w:t>
      </w:r>
      <w:r w:rsidRPr="008C3FA7">
        <w:rPr>
          <w:lang w:val="en-GB"/>
        </w:rPr>
        <w:noBreakHyphen/>
        <w:t>axis gain of 36.8 dBi.</w:t>
      </w:r>
    </w:p>
    <w:p w:rsidR="00BC52F7" w:rsidRPr="008C3FA7" w:rsidRDefault="00BC52F7" w:rsidP="00BC52F7">
      <w:pPr>
        <w:rPr>
          <w:lang w:val="en-GB"/>
        </w:rPr>
      </w:pPr>
      <w:r w:rsidRPr="008C3FA7">
        <w:rPr>
          <w:lang w:val="en-GB"/>
        </w:rPr>
        <w:t>The DRS antennas are assumed to have off-axis radiation patterns that conform to those given in Recommendation ITU</w:t>
      </w:r>
      <w:r w:rsidRPr="008C3FA7">
        <w:rPr>
          <w:lang w:val="en-GB"/>
        </w:rPr>
        <w:noBreakHyphen/>
        <w:t>R S.672 for satellite antennas with circular symmetry and first-side lobe levels down 20 dB from the peak on</w:t>
      </w:r>
      <w:r w:rsidRPr="008C3FA7">
        <w:rPr>
          <w:lang w:val="en-GB"/>
        </w:rPr>
        <w:noBreakHyphen/>
        <w:t>axis gain.</w:t>
      </w:r>
    </w:p>
    <w:p w:rsidR="00BC52F7" w:rsidRDefault="00BC52F7" w:rsidP="005E40AE">
      <w:pPr>
        <w:rPr>
          <w:lang w:val="en-GB"/>
        </w:rPr>
      </w:pPr>
      <w:r w:rsidRPr="008C3FA7">
        <w:rPr>
          <w:lang w:val="en-GB"/>
        </w:rPr>
        <w:t xml:space="preserve">The fixed service stations are deployed in the same manner as described previously. The interference to the SMA and SSA antennas of a DRS located at a specified orbital location is determined for each antenna pointing angle within the range of </w:t>
      </w:r>
      <w:r w:rsidR="00724C72" w:rsidRPr="008C3FA7">
        <w:rPr>
          <w:lang w:val="en-GB"/>
        </w:rPr>
        <w:sym w:font="Symbol" w:char="F0B1"/>
      </w:r>
      <w:r w:rsidRPr="008C3FA7">
        <w:rPr>
          <w:lang w:val="en-GB"/>
        </w:rPr>
        <w:t>13</w:t>
      </w:r>
      <w:r w:rsidR="00724C72" w:rsidRPr="008C3FA7">
        <w:rPr>
          <w:lang w:val="en-GB"/>
        </w:rPr>
        <w:t>°</w:t>
      </w:r>
      <w:r w:rsidRPr="008C3FA7">
        <w:rPr>
          <w:lang w:val="en-GB"/>
        </w:rPr>
        <w:t xml:space="preserve"> in pitch and </w:t>
      </w:r>
      <w:r w:rsidR="00724C72" w:rsidRPr="008C3FA7">
        <w:rPr>
          <w:lang w:val="en-GB"/>
        </w:rPr>
        <w:sym w:font="Symbol" w:char="F0B1"/>
      </w:r>
      <w:r w:rsidRPr="008C3FA7">
        <w:rPr>
          <w:lang w:val="en-GB"/>
        </w:rPr>
        <w:t>11</w:t>
      </w:r>
      <w:r w:rsidR="00724C72" w:rsidRPr="008C3FA7">
        <w:rPr>
          <w:lang w:val="en-GB"/>
        </w:rPr>
        <w:t>°</w:t>
      </w:r>
      <w:r w:rsidRPr="008C3FA7">
        <w:rPr>
          <w:lang w:val="en-GB"/>
        </w:rPr>
        <w:t xml:space="preserve"> in roll in increments of 1</w:t>
      </w:r>
      <w:r w:rsidR="00724C72" w:rsidRPr="008C3FA7">
        <w:rPr>
          <w:lang w:val="en-GB"/>
        </w:rPr>
        <w:t>°</w:t>
      </w:r>
      <w:r w:rsidRPr="008C3FA7">
        <w:rPr>
          <w:lang w:val="en-GB"/>
        </w:rPr>
        <w:t>. The aggregate interference from the emissions of the visible radio-relay stations is calculated for each SMA or SSA beam position. An example of the results is shown in Fig. 2 for the SSA antenna on a DRS at an orbital location of 41</w:t>
      </w:r>
      <w:r w:rsidR="00724C72" w:rsidRPr="008C3FA7">
        <w:rPr>
          <w:lang w:val="en-GB"/>
        </w:rPr>
        <w:t>°</w:t>
      </w:r>
      <w:r w:rsidRPr="008C3FA7">
        <w:rPr>
          <w:lang w:val="en-GB"/>
        </w:rPr>
        <w:t xml:space="preserve"> W longitude. The Figure shows that a maximum interference level of </w:t>
      </w:r>
      <w:r w:rsidR="005E40AE">
        <w:rPr>
          <w:lang w:val="en-GB"/>
        </w:rPr>
        <w:t>–</w:t>
      </w:r>
      <w:r w:rsidRPr="008C3FA7">
        <w:rPr>
          <w:lang w:val="en-GB"/>
        </w:rPr>
        <w:t xml:space="preserve">150.7 dB(W/kHz) will be received and that the interference will be in excess of </w:t>
      </w:r>
      <w:r w:rsidR="005E40AE">
        <w:rPr>
          <w:lang w:val="en-GB"/>
        </w:rPr>
        <w:t xml:space="preserve">–170 dB(W/kHz) </w:t>
      </w:r>
      <w:r w:rsidRPr="008C3FA7">
        <w:rPr>
          <w:lang w:val="en-GB"/>
        </w:rPr>
        <w:t>over a relatively large portion of the scan angles. Again, it is noted that the temporal distribution of the interference is invariant. A particular level of interference is associated with each antenna pointing angle.</w:t>
      </w:r>
    </w:p>
    <w:p w:rsidR="002178C4" w:rsidRDefault="002178C4" w:rsidP="002178C4">
      <w:pPr>
        <w:pStyle w:val="FigureNo"/>
        <w:rPr>
          <w:lang w:val="en-GB"/>
        </w:rPr>
      </w:pPr>
      <w:r>
        <w:rPr>
          <w:lang w:val="en-GB"/>
        </w:rPr>
        <w:lastRenderedPageBreak/>
        <w:t>FIGURE 1</w:t>
      </w:r>
    </w:p>
    <w:p w:rsidR="002178C4" w:rsidRPr="002178C4" w:rsidRDefault="002178C4" w:rsidP="002178C4">
      <w:pPr>
        <w:pStyle w:val="Figuretitle"/>
        <w:rPr>
          <w:lang w:val="en-GB"/>
        </w:rPr>
      </w:pPr>
      <w:r>
        <w:rPr>
          <w:lang w:val="en-GB"/>
        </w:rPr>
        <w:t>Contour plot of the geographical distribution of interference</w:t>
      </w:r>
      <w:r>
        <w:rPr>
          <w:lang w:val="en-GB"/>
        </w:rPr>
        <w:br/>
        <w:t>to satellites at orbital altitudes of 300 km</w:t>
      </w:r>
    </w:p>
    <w:p w:rsidR="002178C4" w:rsidRPr="002178C4" w:rsidRDefault="002178C4" w:rsidP="002178C4">
      <w:pPr>
        <w:pStyle w:val="Figure"/>
        <w:rPr>
          <w:lang w:val="en-GB"/>
        </w:rPr>
      </w:pPr>
      <w:r>
        <w:object w:dxaOrig="11774" w:dyaOrig="1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494.6pt" o:ole="">
            <v:imagedata r:id="rId13" o:title=""/>
          </v:shape>
          <o:OLEObject Type="Embed" ProgID="CorelDRAW.Graphic.14" ShapeID="_x0000_i1025" DrawAspect="Content" ObjectID="_1423892196" r:id="rId14"/>
        </w:object>
      </w:r>
    </w:p>
    <w:p w:rsidR="00BC52F7" w:rsidRPr="008C3FA7" w:rsidRDefault="00BC52F7" w:rsidP="00BC52F7">
      <w:pPr>
        <w:pStyle w:val="Heading1"/>
        <w:rPr>
          <w:lang w:val="en-GB"/>
        </w:rPr>
      </w:pPr>
      <w:r w:rsidRPr="008C3FA7">
        <w:rPr>
          <w:lang w:val="en-GB"/>
        </w:rPr>
        <w:t>3</w:t>
      </w:r>
      <w:r w:rsidRPr="008C3FA7">
        <w:rPr>
          <w:lang w:val="en-GB"/>
        </w:rPr>
        <w:tab/>
        <w:t>Interference mitigation techniques</w:t>
      </w:r>
    </w:p>
    <w:p w:rsidR="00BC52F7" w:rsidRPr="008C3FA7" w:rsidRDefault="00BC52F7" w:rsidP="00BC52F7">
      <w:pPr>
        <w:rPr>
          <w:lang w:val="en-GB"/>
        </w:rPr>
      </w:pPr>
      <w:r w:rsidRPr="008C3FA7">
        <w:rPr>
          <w:lang w:val="en-GB"/>
        </w:rPr>
        <w:t>Several interference mitigation techniques that might be used by the fixed service have been evaluated. Techniques applicable to both the 2</w:t>
      </w:r>
      <w:r w:rsidRPr="008C3FA7">
        <w:rPr>
          <w:sz w:val="12"/>
          <w:lang w:val="en-GB"/>
        </w:rPr>
        <w:t> </w:t>
      </w:r>
      <w:r w:rsidRPr="008C3FA7">
        <w:rPr>
          <w:lang w:val="en-GB"/>
        </w:rPr>
        <w:t>025-2</w:t>
      </w:r>
      <w:r w:rsidRPr="008C3FA7">
        <w:rPr>
          <w:sz w:val="12"/>
          <w:lang w:val="en-GB"/>
        </w:rPr>
        <w:t> </w:t>
      </w:r>
      <w:r w:rsidRPr="008C3FA7">
        <w:rPr>
          <w:lang w:val="en-GB"/>
        </w:rPr>
        <w:t>110 MHz and 2</w:t>
      </w:r>
      <w:r w:rsidRPr="008C3FA7">
        <w:rPr>
          <w:sz w:val="12"/>
          <w:lang w:val="en-GB"/>
        </w:rPr>
        <w:t> </w:t>
      </w:r>
      <w:r w:rsidRPr="008C3FA7">
        <w:rPr>
          <w:lang w:val="en-GB"/>
        </w:rPr>
        <w:t>200-2</w:t>
      </w:r>
      <w:r w:rsidRPr="008C3FA7">
        <w:rPr>
          <w:sz w:val="12"/>
          <w:lang w:val="en-GB"/>
        </w:rPr>
        <w:t> </w:t>
      </w:r>
      <w:r w:rsidRPr="008C3FA7">
        <w:rPr>
          <w:lang w:val="en-GB"/>
        </w:rPr>
        <w:t>290 MHz bands are:</w:t>
      </w:r>
    </w:p>
    <w:p w:rsidR="00BC52F7" w:rsidRPr="008C3FA7" w:rsidRDefault="00BC52F7" w:rsidP="00BC52F7">
      <w:pPr>
        <w:pStyle w:val="enumlev1"/>
        <w:rPr>
          <w:lang w:val="en-GB"/>
        </w:rPr>
      </w:pPr>
      <w:r w:rsidRPr="008C3FA7">
        <w:rPr>
          <w:lang w:val="en-GB"/>
        </w:rPr>
        <w:t>–</w:t>
      </w:r>
      <w:r w:rsidRPr="008C3FA7">
        <w:rPr>
          <w:lang w:val="en-GB"/>
        </w:rPr>
        <w:tab/>
        <w:t>automatic transmit-power control (ATPC),</w:t>
      </w:r>
    </w:p>
    <w:p w:rsidR="00BC52F7" w:rsidRPr="008C3FA7" w:rsidRDefault="00BC52F7" w:rsidP="00BC52F7">
      <w:pPr>
        <w:pStyle w:val="enumlev1"/>
        <w:rPr>
          <w:lang w:val="en-GB"/>
        </w:rPr>
      </w:pPr>
      <w:r w:rsidRPr="008C3FA7">
        <w:rPr>
          <w:lang w:val="en-GB"/>
        </w:rPr>
        <w:t>–</w:t>
      </w:r>
      <w:r w:rsidRPr="008C3FA7">
        <w:rPr>
          <w:lang w:val="en-GB"/>
        </w:rPr>
        <w:tab/>
        <w:t>lowest practical transmitted power spectral density,</w:t>
      </w:r>
    </w:p>
    <w:p w:rsidR="00BC52F7" w:rsidRPr="008C3FA7" w:rsidRDefault="00BC52F7" w:rsidP="00BC52F7">
      <w:pPr>
        <w:pStyle w:val="enumlev1"/>
        <w:rPr>
          <w:lang w:val="en-GB"/>
        </w:rPr>
      </w:pPr>
      <w:r w:rsidRPr="008C3FA7">
        <w:rPr>
          <w:lang w:val="en-GB"/>
        </w:rPr>
        <w:t>–</w:t>
      </w:r>
      <w:r w:rsidRPr="008C3FA7">
        <w:rPr>
          <w:lang w:val="en-GB"/>
        </w:rPr>
        <w:tab/>
        <w:t>transmitting antenna mounting location,</w:t>
      </w:r>
    </w:p>
    <w:p w:rsidR="00BC52F7" w:rsidRPr="008C3FA7" w:rsidRDefault="00BC52F7" w:rsidP="00BC52F7">
      <w:pPr>
        <w:pStyle w:val="enumlev1"/>
        <w:rPr>
          <w:lang w:val="en-GB"/>
        </w:rPr>
      </w:pPr>
      <w:r w:rsidRPr="008C3FA7">
        <w:rPr>
          <w:lang w:val="en-GB"/>
        </w:rPr>
        <w:t>–</w:t>
      </w:r>
      <w:r w:rsidRPr="008C3FA7">
        <w:rPr>
          <w:lang w:val="en-GB"/>
        </w:rPr>
        <w:tab/>
        <w:t>transmitting antennas with good radiation patterns.</w:t>
      </w:r>
    </w:p>
    <w:p w:rsidR="00BC52F7" w:rsidRPr="008C3FA7" w:rsidRDefault="00BC52F7" w:rsidP="002178C4">
      <w:pPr>
        <w:keepNext/>
        <w:keepLines/>
        <w:rPr>
          <w:lang w:val="en-GB"/>
        </w:rPr>
      </w:pPr>
      <w:r w:rsidRPr="008C3FA7">
        <w:rPr>
          <w:lang w:val="en-GB"/>
        </w:rPr>
        <w:lastRenderedPageBreak/>
        <w:t>Techniques applicable to the upper band (i.e. 2</w:t>
      </w:r>
      <w:r w:rsidRPr="008C3FA7">
        <w:rPr>
          <w:sz w:val="12"/>
          <w:lang w:val="en-GB"/>
        </w:rPr>
        <w:t> </w:t>
      </w:r>
      <w:r w:rsidRPr="008C3FA7">
        <w:rPr>
          <w:lang w:val="en-GB"/>
        </w:rPr>
        <w:t>200-2</w:t>
      </w:r>
      <w:r w:rsidRPr="008C3FA7">
        <w:rPr>
          <w:sz w:val="12"/>
          <w:lang w:val="en-GB"/>
        </w:rPr>
        <w:t> </w:t>
      </w:r>
      <w:r w:rsidRPr="008C3FA7">
        <w:rPr>
          <w:lang w:val="en-GB"/>
        </w:rPr>
        <w:t>290 MHz) are:</w:t>
      </w:r>
    </w:p>
    <w:p w:rsidR="00BC52F7" w:rsidRPr="008C3FA7" w:rsidRDefault="00BC52F7" w:rsidP="00BC52F7">
      <w:pPr>
        <w:pStyle w:val="enumlev1"/>
        <w:rPr>
          <w:lang w:val="en-GB"/>
        </w:rPr>
      </w:pPr>
      <w:r w:rsidRPr="008C3FA7">
        <w:rPr>
          <w:lang w:val="en-GB"/>
        </w:rPr>
        <w:t>–</w:t>
      </w:r>
      <w:r w:rsidRPr="008C3FA7">
        <w:rPr>
          <w:lang w:val="en-GB"/>
        </w:rPr>
        <w:tab/>
        <w:t>limit the e.i.r.p. spectral density radiated towards the orbital locations of DRS satellites,</w:t>
      </w:r>
    </w:p>
    <w:p w:rsidR="00BC52F7" w:rsidRPr="008C3FA7" w:rsidRDefault="00BC52F7" w:rsidP="00BC52F7">
      <w:pPr>
        <w:pStyle w:val="enumlev1"/>
        <w:rPr>
          <w:lang w:val="en-GB"/>
        </w:rPr>
      </w:pPr>
      <w:r w:rsidRPr="008C3FA7">
        <w:rPr>
          <w:lang w:val="en-GB"/>
        </w:rPr>
        <w:t>–</w:t>
      </w:r>
      <w:r w:rsidRPr="008C3FA7">
        <w:rPr>
          <w:lang w:val="en-GB"/>
        </w:rPr>
        <w:tab/>
        <w:t>assign high power fixed service stations channels towards the lower part of the band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w:t>
      </w:r>
    </w:p>
    <w:p w:rsidR="00BC52F7" w:rsidRPr="008C3FA7" w:rsidRDefault="00BC52F7" w:rsidP="00BC52F7">
      <w:pPr>
        <w:rPr>
          <w:lang w:val="en-GB"/>
        </w:rPr>
      </w:pPr>
      <w:r w:rsidRPr="008C3FA7">
        <w:rPr>
          <w:lang w:val="en-GB"/>
        </w:rPr>
        <w:t>Suitable interference mitigation techniques for DRS satellites are currently under study.</w:t>
      </w:r>
    </w:p>
    <w:p w:rsidR="00BC52F7" w:rsidRPr="008C3FA7" w:rsidRDefault="00BC52F7" w:rsidP="00BC52F7">
      <w:pPr>
        <w:pStyle w:val="Heading2"/>
        <w:rPr>
          <w:lang w:val="en-GB"/>
        </w:rPr>
      </w:pPr>
      <w:r w:rsidRPr="008C3FA7">
        <w:rPr>
          <w:lang w:val="en-GB"/>
        </w:rPr>
        <w:t>3.1</w:t>
      </w:r>
      <w:r w:rsidRPr="008C3FA7">
        <w:rPr>
          <w:lang w:val="en-GB"/>
        </w:rPr>
        <w:tab/>
        <w:t>Automatic transmit-power control</w:t>
      </w:r>
    </w:p>
    <w:p w:rsidR="00BC52F7" w:rsidRPr="008C3FA7" w:rsidRDefault="00BC52F7" w:rsidP="00BC52F7">
      <w:pPr>
        <w:rPr>
          <w:b/>
          <w:lang w:val="en-GB"/>
        </w:rPr>
      </w:pPr>
      <w:r w:rsidRPr="008C3FA7">
        <w:rPr>
          <w:lang w:val="en-GB"/>
        </w:rPr>
        <w:t>ATPC is one of the most effective means to reduce the interference environment experienced by satellites operating in a DRS network. Each dB reduction in the nominal transmitter power delivered to the antenna results in a dB reduction in interference. The use of up to 20 dB of ATPC by all types of fixed service stations has been shown to yield a substantial and needed reduction in the interference environment.</w:t>
      </w:r>
    </w:p>
    <w:p w:rsidR="00BC52F7" w:rsidRPr="008C3FA7" w:rsidRDefault="00BC52F7" w:rsidP="00BC52F7">
      <w:pPr>
        <w:pStyle w:val="Heading2"/>
        <w:rPr>
          <w:lang w:val="en-GB"/>
        </w:rPr>
      </w:pPr>
      <w:r w:rsidRPr="008C3FA7">
        <w:rPr>
          <w:lang w:val="en-GB"/>
        </w:rPr>
        <w:t>3.2</w:t>
      </w:r>
      <w:r w:rsidRPr="008C3FA7">
        <w:rPr>
          <w:lang w:val="en-GB"/>
        </w:rPr>
        <w:tab/>
        <w:t>Transmitted power spectral density</w:t>
      </w:r>
    </w:p>
    <w:p w:rsidR="00BC52F7" w:rsidRPr="008C3FA7" w:rsidRDefault="00BC52F7" w:rsidP="00BC52F7">
      <w:pPr>
        <w:rPr>
          <w:lang w:val="en-GB"/>
        </w:rPr>
      </w:pPr>
      <w:r w:rsidRPr="008C3FA7">
        <w:rPr>
          <w:lang w:val="en-GB"/>
        </w:rPr>
        <w:t>Receiving systems in DRS networks are particularly sensitive to interference because of small link margins (e.g. 2 dB to 4 dB) used on space-to-space links. Low transmitter power spectral density is an effective means to reduce the degree of interference.</w:t>
      </w:r>
    </w:p>
    <w:p w:rsidR="00BC52F7" w:rsidRPr="008C3FA7" w:rsidRDefault="00BC52F7" w:rsidP="00BC52F7">
      <w:pPr>
        <w:pStyle w:val="Heading2"/>
        <w:rPr>
          <w:lang w:val="en-GB"/>
        </w:rPr>
      </w:pPr>
      <w:r w:rsidRPr="008C3FA7">
        <w:rPr>
          <w:lang w:val="en-GB"/>
        </w:rPr>
        <w:t>3.3</w:t>
      </w:r>
      <w:r w:rsidRPr="008C3FA7">
        <w:rPr>
          <w:lang w:val="en-GB"/>
        </w:rPr>
        <w:tab/>
        <w:t>Transmitting antenna mounting location</w:t>
      </w:r>
    </w:p>
    <w:p w:rsidR="00BC52F7" w:rsidRPr="008C3FA7" w:rsidRDefault="00BC52F7" w:rsidP="00724C72">
      <w:pPr>
        <w:rPr>
          <w:lang w:val="en-GB"/>
        </w:rPr>
      </w:pPr>
      <w:r w:rsidRPr="008C3FA7">
        <w:rPr>
          <w:lang w:val="en-GB"/>
        </w:rPr>
        <w:t>In a number of cases, particularly in point-to-multipoint systems, fixed service stations will be located in areas that are low-lying, cluttered by adjacent buildings or surrounded by foliage. These factors tend to introduce an excess loss to the propagation path at low elevation angles. One study has considered that there is an additional 20 dB attenuation at 0</w:t>
      </w:r>
      <w:r w:rsidR="00724C72" w:rsidRPr="008C3FA7">
        <w:rPr>
          <w:lang w:val="en-GB"/>
        </w:rPr>
        <w:t>°</w:t>
      </w:r>
      <w:r w:rsidRPr="008C3FA7">
        <w:rPr>
          <w:lang w:val="en-GB"/>
        </w:rPr>
        <w:t> elevation, decreasing linearly to 0 dB at 10</w:t>
      </w:r>
      <w:r w:rsidR="00724C72" w:rsidRPr="008C3FA7">
        <w:rPr>
          <w:lang w:val="en-GB"/>
        </w:rPr>
        <w:t>°</w:t>
      </w:r>
      <w:r w:rsidRPr="008C3FA7">
        <w:rPr>
          <w:lang w:val="en-GB"/>
        </w:rPr>
        <w:t>. It is assumed that this mechanism applies only to multipoint outstations, with all other links being located in elevated or uncluttered environments.</w:t>
      </w:r>
    </w:p>
    <w:p w:rsidR="00BC52F7" w:rsidRPr="008C3FA7" w:rsidRDefault="00BC52F7" w:rsidP="00724C72">
      <w:pPr>
        <w:rPr>
          <w:lang w:val="en-GB"/>
        </w:rPr>
      </w:pPr>
      <w:r w:rsidRPr="008C3FA7">
        <w:rPr>
          <w:lang w:val="en-GB"/>
        </w:rPr>
        <w:t>Low-gain antennas, such as flat-plate antennas, used in low-power multipoint systems will typically be installed on the wall of a building. It was therefore assumed in one study that the additional loss due to building blockage would apply to interferers located behind the plane of the antenna. This has been modelled as an additional loss of 20 dB for arrival angles greater than 90</w:t>
      </w:r>
      <w:r w:rsidR="00724C72" w:rsidRPr="008C3FA7">
        <w:rPr>
          <w:lang w:val="en-GB"/>
        </w:rPr>
        <w:t>°</w:t>
      </w:r>
      <w:r w:rsidRPr="008C3FA7">
        <w:rPr>
          <w:lang w:val="en-GB"/>
        </w:rPr>
        <w:t xml:space="preserve"> from boresight.</w:t>
      </w:r>
    </w:p>
    <w:p w:rsidR="00BC52F7" w:rsidRPr="008C3FA7" w:rsidRDefault="00BC52F7" w:rsidP="00BC52F7">
      <w:pPr>
        <w:rPr>
          <w:lang w:val="en-GB"/>
        </w:rPr>
      </w:pPr>
      <w:r w:rsidRPr="008C3FA7">
        <w:rPr>
          <w:lang w:val="en-GB"/>
        </w:rPr>
        <w:t>Where building blockage and foliage loss occur simultaneously, the additional isolation will be limited by scattering and diffraction effects. For this case, it was assumed that the total loss due to both mechanisms is limited to 30 dB.</w:t>
      </w:r>
    </w:p>
    <w:p w:rsidR="00BC52F7" w:rsidRPr="008C3FA7" w:rsidRDefault="00BC52F7" w:rsidP="00BC52F7">
      <w:pPr>
        <w:pStyle w:val="Heading2"/>
        <w:rPr>
          <w:lang w:val="en-GB"/>
        </w:rPr>
      </w:pPr>
      <w:r w:rsidRPr="008C3FA7">
        <w:rPr>
          <w:lang w:val="en-GB"/>
        </w:rPr>
        <w:t>3.4</w:t>
      </w:r>
      <w:r w:rsidRPr="008C3FA7">
        <w:rPr>
          <w:lang w:val="en-GB"/>
        </w:rPr>
        <w:tab/>
        <w:t>Transmitting antenna radiation patterns</w:t>
      </w:r>
    </w:p>
    <w:p w:rsidR="00BC52F7" w:rsidRDefault="00BC52F7" w:rsidP="00BC52F7">
      <w:pPr>
        <w:rPr>
          <w:lang w:val="en-GB"/>
        </w:rPr>
      </w:pPr>
      <w:r w:rsidRPr="008C3FA7">
        <w:rPr>
          <w:lang w:val="en-GB"/>
        </w:rPr>
        <w:t>Transmitting antenna radiation patterns of fixed service stations affect the magnitude of the interference environment. The use of antennas that conform to or exceed the performance of Recommendation ITU-R F.699 will reduce the interference environment.</w:t>
      </w:r>
    </w:p>
    <w:p w:rsidR="002178C4" w:rsidRDefault="002178C4" w:rsidP="002178C4">
      <w:pPr>
        <w:pStyle w:val="FigureNo"/>
        <w:rPr>
          <w:lang w:val="en-GB"/>
        </w:rPr>
      </w:pPr>
      <w:r>
        <w:rPr>
          <w:lang w:val="en-GB"/>
        </w:rPr>
        <w:lastRenderedPageBreak/>
        <w:t>Figure 2</w:t>
      </w:r>
    </w:p>
    <w:p w:rsidR="002178C4" w:rsidRPr="002178C4" w:rsidRDefault="002178C4" w:rsidP="002178C4">
      <w:pPr>
        <w:pStyle w:val="Figuretitle"/>
        <w:rPr>
          <w:lang w:val="en-GB"/>
        </w:rPr>
      </w:pPr>
      <w:r>
        <w:rPr>
          <w:lang w:val="en-GB"/>
        </w:rPr>
        <w:t>Contour plot of the interference to DRS satellite antenna as a function</w:t>
      </w:r>
      <w:r>
        <w:rPr>
          <w:lang w:val="en-GB"/>
        </w:rPr>
        <w:br/>
        <w:t>of the roll and pitch angle: DRS at 41° W longitude;</w:t>
      </w:r>
      <w:r>
        <w:rPr>
          <w:lang w:val="en-GB"/>
        </w:rPr>
        <w:br/>
        <w:t>and the SSA antenna</w:t>
      </w:r>
    </w:p>
    <w:p w:rsidR="00BC52F7" w:rsidRPr="004C3AFB" w:rsidRDefault="002178C4" w:rsidP="004C3AFB">
      <w:pPr>
        <w:pStyle w:val="Figure"/>
      </w:pPr>
      <w:r>
        <w:object w:dxaOrig="8824" w:dyaOrig="13724">
          <v:shape id="_x0000_i1026" type="#_x0000_t75" style="width:331.2pt;height:515.25pt" o:ole="">
            <v:imagedata r:id="rId15" o:title=""/>
          </v:shape>
          <o:OLEObject Type="Embed" ProgID="CorelDRAW.Graphic.14" ShapeID="_x0000_i1026" DrawAspect="Content" ObjectID="_1423892197" r:id="rId16"/>
        </w:object>
      </w:r>
    </w:p>
    <w:p w:rsidR="00BC52F7" w:rsidRPr="008C3FA7" w:rsidRDefault="00BC52F7" w:rsidP="00BC52F7">
      <w:pPr>
        <w:pStyle w:val="Heading2"/>
        <w:rPr>
          <w:lang w:val="en-GB"/>
        </w:rPr>
      </w:pPr>
      <w:r w:rsidRPr="008C3FA7">
        <w:rPr>
          <w:lang w:val="en-GB"/>
        </w:rPr>
        <w:t>3.5</w:t>
      </w:r>
      <w:r w:rsidRPr="008C3FA7">
        <w:rPr>
          <w:lang w:val="en-GB"/>
        </w:rPr>
        <w:tab/>
        <w:t>E.i.r.p. spectral density radiated towards the orbital locations of DRS satellites</w:t>
      </w:r>
    </w:p>
    <w:p w:rsidR="00BC52F7" w:rsidRPr="008C3FA7" w:rsidRDefault="00BC52F7" w:rsidP="00724C72">
      <w:pPr>
        <w:rPr>
          <w:lang w:val="en-GB"/>
        </w:rPr>
      </w:pPr>
      <w:r w:rsidRPr="008C3FA7">
        <w:rPr>
          <w:lang w:val="en-GB"/>
        </w:rPr>
        <w:t>The e.i.r.p. spectral density of a fixed service transmitting station radiated towards a geostationary DRS receiving antenna operating in the 2</w:t>
      </w:r>
      <w:r w:rsidRPr="008C3FA7">
        <w:rPr>
          <w:sz w:val="12"/>
          <w:lang w:val="en-GB"/>
        </w:rPr>
        <w:t> </w:t>
      </w:r>
      <w:r w:rsidRPr="008C3FA7">
        <w:rPr>
          <w:lang w:val="en-GB"/>
        </w:rPr>
        <w:t>200-2</w:t>
      </w:r>
      <w:r w:rsidRPr="008C3FA7">
        <w:rPr>
          <w:sz w:val="12"/>
          <w:lang w:val="en-GB"/>
        </w:rPr>
        <w:t> </w:t>
      </w:r>
      <w:r w:rsidRPr="008C3FA7">
        <w:rPr>
          <w:lang w:val="en-GB"/>
        </w:rPr>
        <w:t xml:space="preserve">290 MHz band needs to be specified to ensure that the interference is not in excess of the sharing criteria in Recommendation ITU-R SA.1274 </w:t>
      </w:r>
      <w:r w:rsidR="005E40AE">
        <w:rPr>
          <w:lang w:val="en-GB"/>
        </w:rPr>
        <w:br/>
      </w:r>
      <w:r w:rsidRPr="008C3FA7">
        <w:rPr>
          <w:lang w:val="en-GB"/>
        </w:rPr>
        <w:t>(i.e. </w:t>
      </w:r>
      <w:r w:rsidR="005E40AE">
        <w:rPr>
          <w:lang w:val="en-GB"/>
        </w:rPr>
        <w:t>–</w:t>
      </w:r>
      <w:r w:rsidRPr="008C3FA7">
        <w:rPr>
          <w:lang w:val="en-GB"/>
        </w:rPr>
        <w:t>147 dB(W/MHz) for no more than 0.1% of the time). The appropriate value of e.i.r.p. spectral density may be determined in the following way. Assume that the service area of a DRS antenna beam is limited to a rectangle of 20</w:t>
      </w:r>
      <w:r w:rsidR="00724C72" w:rsidRPr="008C3FA7">
        <w:rPr>
          <w:lang w:val="en-GB"/>
        </w:rPr>
        <w:t>°</w:t>
      </w:r>
      <w:r w:rsidRPr="008C3FA7">
        <w:rPr>
          <w:lang w:val="en-GB"/>
        </w:rPr>
        <w:t xml:space="preserve"> in the East-West direction and 12</w:t>
      </w:r>
      <w:r w:rsidR="00724C72" w:rsidRPr="008C3FA7">
        <w:rPr>
          <w:lang w:val="en-GB"/>
        </w:rPr>
        <w:t>°</w:t>
      </w:r>
      <w:r w:rsidRPr="008C3FA7">
        <w:rPr>
          <w:lang w:val="en-GB"/>
        </w:rPr>
        <w:t xml:space="preserve"> in the North-South direction as shown in Fig. 3. Assuming that the probability is uniform of the user satellite occupying any position within the service area, then the percentage of the time that a DRS antenna will point </w:t>
      </w:r>
      <w:r w:rsidRPr="008C3FA7">
        <w:rPr>
          <w:lang w:val="en-GB"/>
        </w:rPr>
        <w:lastRenderedPageBreak/>
        <w:t>towards a specific fixed service station is the ratio of the spot area of the DRS antenna beam to the area of DRS service area. An interference probability of 0.1% implies a DRS antenna bandwidth of 0.3</w:t>
      </w:r>
      <w:r w:rsidR="00724C72" w:rsidRPr="008C3FA7">
        <w:rPr>
          <w:lang w:val="en-GB"/>
        </w:rPr>
        <w:t>°</w:t>
      </w:r>
      <w:r w:rsidRPr="008C3FA7">
        <w:rPr>
          <w:lang w:val="en-GB"/>
        </w:rPr>
        <w:t>. For a DRS antenna with a gain of 36 dBi, the gain at 0.3</w:t>
      </w:r>
      <w:r w:rsidR="00724C72" w:rsidRPr="008C3FA7">
        <w:rPr>
          <w:lang w:val="en-GB"/>
        </w:rPr>
        <w:t>°</w:t>
      </w:r>
      <w:r w:rsidRPr="008C3FA7">
        <w:rPr>
          <w:lang w:val="en-GB"/>
        </w:rPr>
        <w:t xml:space="preserve"> off-boresight will be about the same as the boresight gain. Using these assumptions, the e.i.r.p. spectral density radiated towards a geostationary DRS by a single fixed service station should not exceed:</w:t>
      </w:r>
    </w:p>
    <w:p w:rsidR="00BC52F7" w:rsidRPr="008C3FA7" w:rsidRDefault="00724C72" w:rsidP="00724C72">
      <w:pPr>
        <w:pStyle w:val="Equation"/>
        <w:rPr>
          <w:lang w:val="en-GB"/>
        </w:rPr>
      </w:pPr>
      <w:r w:rsidRPr="008C3FA7">
        <w:rPr>
          <w:lang w:val="en-GB"/>
        </w:rPr>
        <w:tab/>
      </w:r>
      <w:r w:rsidRPr="008C3FA7">
        <w:rPr>
          <w:lang w:val="en-GB"/>
        </w:rPr>
        <w:tab/>
      </w:r>
      <w:r w:rsidR="00BC52F7" w:rsidRPr="008C3FA7">
        <w:rPr>
          <w:lang w:val="en-GB"/>
        </w:rPr>
        <w:t xml:space="preserve">e.i.r.p.  </w:t>
      </w:r>
      <w:r w:rsidRPr="008C3FA7">
        <w:rPr>
          <w:lang w:val="en-GB"/>
        </w:rPr>
        <w:sym w:font="Symbol" w:char="F0A3"/>
      </w:r>
      <w:r w:rsidR="00BC52F7" w:rsidRPr="008C3FA7">
        <w:rPr>
          <w:lang w:val="en-GB"/>
        </w:rPr>
        <w:t xml:space="preserve">  –147  </w:t>
      </w:r>
      <w:r w:rsidRPr="008C3FA7">
        <w:rPr>
          <w:lang w:val="en-GB"/>
        </w:rPr>
        <w:t>+</w:t>
      </w:r>
      <w:r w:rsidR="00BC52F7" w:rsidRPr="008C3FA7">
        <w:rPr>
          <w:lang w:val="en-GB"/>
        </w:rPr>
        <w:t xml:space="preserve">  191  –  36  </w:t>
      </w:r>
      <w:r w:rsidRPr="008C3FA7">
        <w:rPr>
          <w:lang w:val="en-GB"/>
        </w:rPr>
        <w:t>+</w:t>
      </w:r>
      <w:r w:rsidR="00BC52F7" w:rsidRPr="008C3FA7">
        <w:rPr>
          <w:lang w:val="en-GB"/>
        </w:rPr>
        <w:t xml:space="preserve">  3  –  3  </w:t>
      </w:r>
      <w:r w:rsidRPr="008C3FA7">
        <w:rPr>
          <w:lang w:val="en-GB"/>
        </w:rPr>
        <w:t>=</w:t>
      </w:r>
      <w:r w:rsidR="00BC52F7" w:rsidRPr="008C3FA7">
        <w:rPr>
          <w:lang w:val="en-GB"/>
        </w:rPr>
        <w:t xml:space="preserve">  </w:t>
      </w:r>
      <w:r w:rsidRPr="008C3FA7">
        <w:rPr>
          <w:lang w:val="en-GB"/>
        </w:rPr>
        <w:t>+</w:t>
      </w:r>
      <w:r w:rsidR="00BC52F7" w:rsidRPr="008C3FA7">
        <w:rPr>
          <w:lang w:val="en-GB"/>
        </w:rPr>
        <w:t>8 dB(W/MHz)</w:t>
      </w:r>
    </w:p>
    <w:p w:rsidR="00BC52F7" w:rsidRDefault="00BC52F7" w:rsidP="00BC52F7">
      <w:pPr>
        <w:rPr>
          <w:lang w:val="en-GB"/>
        </w:rPr>
      </w:pPr>
      <w:r w:rsidRPr="008C3FA7">
        <w:rPr>
          <w:lang w:val="en-GB"/>
        </w:rPr>
        <w:t>where –147 dB(W/MHz) is the sharing criteria, 191 dB is the free space loss, 36 dBi is the DRS antenna boresight gain and 3 dB is an allowance for polarization discrimination between the DRS and fixed service antennas. The background interference from fixed and mobile service systems has been assumed as equal to the worst-case single interference entry and a factor of 3 dB has been included.</w:t>
      </w:r>
    </w:p>
    <w:p w:rsidR="002178C4" w:rsidRDefault="002178C4" w:rsidP="004C3AFB">
      <w:pPr>
        <w:pStyle w:val="FigureNo"/>
        <w:rPr>
          <w:lang w:val="en-GB"/>
        </w:rPr>
      </w:pPr>
      <w:r>
        <w:rPr>
          <w:lang w:val="en-GB"/>
        </w:rPr>
        <w:t>Figure 3</w:t>
      </w:r>
    </w:p>
    <w:p w:rsidR="002178C4" w:rsidRDefault="002178C4" w:rsidP="002178C4">
      <w:pPr>
        <w:pStyle w:val="Figuretitle"/>
        <w:rPr>
          <w:lang w:val="en-GB"/>
        </w:rPr>
      </w:pPr>
      <w:r>
        <w:rPr>
          <w:lang w:val="en-GB"/>
        </w:rPr>
        <w:t>DRS service area for a user satellite in a 30° inclined orbit</w:t>
      </w:r>
    </w:p>
    <w:p w:rsidR="002178C4" w:rsidRPr="002178C4" w:rsidRDefault="002178C4" w:rsidP="002178C4">
      <w:pPr>
        <w:pStyle w:val="Figure"/>
        <w:rPr>
          <w:lang w:val="en-GB"/>
        </w:rPr>
      </w:pPr>
      <w:r>
        <w:object w:dxaOrig="7908" w:dyaOrig="6990">
          <v:shape id="_x0000_i1027" type="#_x0000_t75" style="width:296.75pt;height:262.35pt" o:ole="">
            <v:imagedata r:id="rId17" o:title=""/>
          </v:shape>
          <o:OLEObject Type="Embed" ProgID="CorelDRAW.Graphic.14" ShapeID="_x0000_i1027" DrawAspect="Content" ObjectID="_1423892198" r:id="rId18"/>
        </w:object>
      </w:r>
    </w:p>
    <w:p w:rsidR="00BC52F7" w:rsidRPr="008C3FA7" w:rsidRDefault="00BC52F7" w:rsidP="00724C72">
      <w:pPr>
        <w:pStyle w:val="Heading2"/>
        <w:rPr>
          <w:lang w:val="en-GB"/>
        </w:rPr>
      </w:pPr>
      <w:r w:rsidRPr="008C3FA7">
        <w:rPr>
          <w:lang w:val="en-GB"/>
        </w:rPr>
        <w:t>3.6</w:t>
      </w:r>
      <w:r w:rsidRPr="008C3FA7">
        <w:rPr>
          <w:lang w:val="en-GB"/>
        </w:rPr>
        <w:tab/>
        <w:t>Fixed service stations channel assignments in the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band</w:t>
      </w:r>
    </w:p>
    <w:p w:rsidR="00BC52F7" w:rsidRPr="008C3FA7" w:rsidRDefault="00BC52F7" w:rsidP="00BC52F7">
      <w:pPr>
        <w:rPr>
          <w:lang w:val="en-GB"/>
        </w:rPr>
      </w:pPr>
      <w:r w:rsidRPr="008C3FA7">
        <w:rPr>
          <w:lang w:val="en-GB"/>
        </w:rPr>
        <w:t>The DRS systems are designed to support the full bandwidth between 2</w:t>
      </w:r>
      <w:r w:rsidRPr="008C3FA7">
        <w:rPr>
          <w:sz w:val="12"/>
          <w:lang w:val="en-GB"/>
        </w:rPr>
        <w:t> </w:t>
      </w:r>
      <w:r w:rsidRPr="008C3FA7">
        <w:rPr>
          <w:lang w:val="en-GB"/>
        </w:rPr>
        <w:t>200-2</w:t>
      </w:r>
      <w:r w:rsidRPr="008C3FA7">
        <w:rPr>
          <w:sz w:val="12"/>
          <w:lang w:val="en-GB"/>
        </w:rPr>
        <w:t> </w:t>
      </w:r>
      <w:r w:rsidRPr="008C3FA7">
        <w:rPr>
          <w:lang w:val="en-GB"/>
        </w:rPr>
        <w:t>290 MHz. Most DRS user spacecraft operate currently in the upper part of the band, a few in the middle and at least one in the lower part. Within the next decade most users, which do not require a multiple access link, are expected to be assigned frequencies in the middle part of the band. (The distribution of frequency assignments to satellites operating in the ground network is quite different.)</w:t>
      </w:r>
    </w:p>
    <w:p w:rsidR="00BC52F7" w:rsidRPr="008C3FA7" w:rsidRDefault="00BC52F7" w:rsidP="00724C72">
      <w:pPr>
        <w:rPr>
          <w:lang w:val="en-GB"/>
        </w:rPr>
      </w:pPr>
      <w:r w:rsidRPr="008C3FA7">
        <w:rPr>
          <w:lang w:val="en-GB"/>
        </w:rPr>
        <w:t>It is expected that only a few DRS users will occupy the lower part of the band. This might offer some flexibility in assigning high power fixed service transmissions which are otherwise incompatible with DRS sharing criteria to the lower part of the</w:t>
      </w:r>
      <w:r w:rsidR="00724C72" w:rsidRPr="008C3FA7">
        <w:rPr>
          <w:lang w:val="en-GB"/>
        </w:rPr>
        <w:t xml:space="preserve"> </w:t>
      </w:r>
      <w:r w:rsidRPr="008C3FA7">
        <w:rPr>
          <w:lang w:val="en-GB"/>
        </w:rPr>
        <w:t>band.</w:t>
      </w:r>
    </w:p>
    <w:p w:rsidR="00BC52F7" w:rsidRPr="008C3FA7" w:rsidRDefault="00BC52F7" w:rsidP="009624C0">
      <w:pPr>
        <w:pStyle w:val="Heading2"/>
        <w:rPr>
          <w:lang w:val="en-GB"/>
        </w:rPr>
      </w:pPr>
      <w:bookmarkStart w:id="3" w:name="_GoBack"/>
      <w:r w:rsidRPr="008C3FA7">
        <w:rPr>
          <w:lang w:val="en-GB"/>
        </w:rPr>
        <w:lastRenderedPageBreak/>
        <w:t>3.7</w:t>
      </w:r>
      <w:r w:rsidRPr="008C3FA7">
        <w:rPr>
          <w:lang w:val="en-GB"/>
        </w:rPr>
        <w:tab/>
        <w:t>E.i.r.p. spectral density considerations for point-to-multipoint systems</w:t>
      </w:r>
    </w:p>
    <w:p w:rsidR="00BC52F7" w:rsidRPr="008C3FA7" w:rsidRDefault="00BC52F7" w:rsidP="009624C0">
      <w:pPr>
        <w:keepNext/>
        <w:keepLines/>
        <w:rPr>
          <w:lang w:val="en-GB"/>
        </w:rPr>
      </w:pPr>
      <w:r w:rsidRPr="008C3FA7">
        <w:rPr>
          <w:lang w:val="en-GB"/>
        </w:rPr>
        <w:t>A number of contributions have been received regarding transmission characteristics of P</w:t>
      </w:r>
      <w:r w:rsidRPr="008C3FA7">
        <w:rPr>
          <w:lang w:val="en-GB"/>
        </w:rPr>
        <w:noBreakHyphen/>
        <w:t xml:space="preserve">MP systems. In one country at least 400 systems comprising a total of around 10 000 stations have been manufactured </w:t>
      </w:r>
      <w:bookmarkEnd w:id="3"/>
      <w:r w:rsidRPr="008C3FA7">
        <w:rPr>
          <w:lang w:val="en-GB"/>
        </w:rPr>
        <w:t>which operate at e.i.r.p. spectral densities between 4 and 7 dB(W/MHz) for the central stations and 11 and 19 dB(W/MHz) for the out-stations. These systems operate in the frequency bands 1</w:t>
      </w:r>
      <w:r w:rsidRPr="008C3FA7">
        <w:rPr>
          <w:sz w:val="12"/>
          <w:lang w:val="en-GB"/>
        </w:rPr>
        <w:t> </w:t>
      </w:r>
      <w:r w:rsidRPr="008C3FA7">
        <w:rPr>
          <w:lang w:val="en-GB"/>
        </w:rPr>
        <w:t>427-1</w:t>
      </w:r>
      <w:r w:rsidRPr="008C3FA7">
        <w:rPr>
          <w:sz w:val="12"/>
          <w:lang w:val="en-GB"/>
        </w:rPr>
        <w:t> </w:t>
      </w:r>
      <w:r w:rsidRPr="008C3FA7">
        <w:rPr>
          <w:lang w:val="en-GB"/>
        </w:rPr>
        <w:t>530 MHz (25%), 2</w:t>
      </w:r>
      <w:r w:rsidRPr="008C3FA7">
        <w:rPr>
          <w:sz w:val="12"/>
          <w:lang w:val="en-GB"/>
        </w:rPr>
        <w:t> </w:t>
      </w:r>
      <w:r w:rsidRPr="008C3FA7">
        <w:rPr>
          <w:lang w:val="en-GB"/>
        </w:rPr>
        <w:t>025-2</w:t>
      </w:r>
      <w:r w:rsidRPr="008C3FA7">
        <w:rPr>
          <w:sz w:val="12"/>
          <w:lang w:val="en-GB"/>
        </w:rPr>
        <w:t> </w:t>
      </w:r>
      <w:r w:rsidRPr="008C3FA7">
        <w:rPr>
          <w:lang w:val="en-GB"/>
        </w:rPr>
        <w:t>300 MHz (5%) and 2</w:t>
      </w:r>
      <w:r w:rsidRPr="008C3FA7">
        <w:rPr>
          <w:sz w:val="12"/>
          <w:lang w:val="en-GB"/>
        </w:rPr>
        <w:t> </w:t>
      </w:r>
      <w:r w:rsidRPr="008C3FA7">
        <w:rPr>
          <w:lang w:val="en-GB"/>
        </w:rPr>
        <w:t>300-2</w:t>
      </w:r>
      <w:r w:rsidRPr="008C3FA7">
        <w:rPr>
          <w:sz w:val="12"/>
          <w:lang w:val="en-GB"/>
        </w:rPr>
        <w:t> </w:t>
      </w:r>
      <w:r w:rsidRPr="008C3FA7">
        <w:rPr>
          <w:lang w:val="en-GB"/>
        </w:rPr>
        <w:t>655 MHz (70%) and it is expected that the characteristics for new 2 GHz systems will be similar. Other contributions on P-MP characteristics specify values between –10 and 12 dB(W/MHz) for central stations and between 8 and 12 dB(W/MHz) for out-stations. Without ATPC, the e.i.r.p. density range for central stations is thus between –10 and 12 dB(W/MHz) and for out-stations between 8 and 19 dB (W/MHz). With a minimum of 10 dB ATPC, e.i.r.p. density values of around 5 dB(W/MHz) would certainly satisfy transmit power requirements for central stations and to a large extent also for out</w:t>
      </w:r>
      <w:r w:rsidR="005E40AE">
        <w:rPr>
          <w:lang w:val="en-GB"/>
        </w:rPr>
        <w:noBreakHyphen/>
      </w:r>
      <w:r w:rsidRPr="008C3FA7">
        <w:rPr>
          <w:lang w:val="en-GB"/>
        </w:rPr>
        <w:t>stations.</w:t>
      </w:r>
    </w:p>
    <w:p w:rsidR="00BC52F7" w:rsidRPr="008C3FA7" w:rsidRDefault="00BC52F7" w:rsidP="00BC52F7">
      <w:pPr>
        <w:rPr>
          <w:lang w:val="en-GB"/>
        </w:rPr>
      </w:pPr>
      <w:r w:rsidRPr="008C3FA7">
        <w:rPr>
          <w:lang w:val="en-GB"/>
        </w:rPr>
        <w:t>For high power/low density TDMA systems, the average loading at the out-stations is expected to be on the order of 40% of capacity which would permit the maximum e.i.r.p. density at an out</w:t>
      </w:r>
      <w:r w:rsidRPr="008C3FA7">
        <w:rPr>
          <w:lang w:val="en-GB"/>
        </w:rPr>
        <w:noBreakHyphen/>
        <w:t>station to be increased by about 4 to 9 dB(W/MHz). For an average loading in excess of 4% the acceptable increase can be based on the ratio between the actual number of subscribers per central station and the maximum number of subscribers.</w:t>
      </w:r>
    </w:p>
    <w:p w:rsidR="00BC52F7" w:rsidRPr="008C3FA7" w:rsidRDefault="00BC52F7" w:rsidP="00BC52F7">
      <w:pPr>
        <w:pStyle w:val="Heading1"/>
        <w:rPr>
          <w:lang w:val="en-GB"/>
        </w:rPr>
      </w:pPr>
      <w:r w:rsidRPr="008C3FA7">
        <w:rPr>
          <w:lang w:val="en-GB"/>
        </w:rPr>
        <w:t>4</w:t>
      </w:r>
      <w:r w:rsidRPr="008C3FA7">
        <w:rPr>
          <w:lang w:val="en-GB"/>
        </w:rPr>
        <w:tab/>
        <w:t>Summary</w:t>
      </w:r>
    </w:p>
    <w:p w:rsidR="00BC52F7" w:rsidRPr="008C3FA7" w:rsidRDefault="00BC52F7" w:rsidP="00BC52F7">
      <w:pPr>
        <w:rPr>
          <w:lang w:val="en-GB"/>
        </w:rPr>
      </w:pPr>
      <w:r w:rsidRPr="008C3FA7">
        <w:rPr>
          <w:lang w:val="en-GB"/>
        </w:rPr>
        <w:t>Of key interest is the cumulative interference environment seen by spacecraft taking into account the identified mitigation techniques. Table 1 gives an overview of the sharing situation in the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 band for a 300 km orbiter and the effect of various interference mitigation techniques. The P-P radio-relay systems have similar power levels compared to the high power P</w:t>
      </w:r>
      <w:r w:rsidRPr="008C3FA7">
        <w:rPr>
          <w:lang w:val="en-GB"/>
        </w:rPr>
        <w:noBreakHyphen/>
        <w:t>MP systems and the results, assuming about the same number of stations, will be approximately the same. The interference situation becomes less critical with increasing orbit heights.</w:t>
      </w:r>
    </w:p>
    <w:p w:rsidR="00BC52F7" w:rsidRPr="008C3FA7" w:rsidRDefault="00BC52F7" w:rsidP="00724C72">
      <w:pPr>
        <w:pStyle w:val="TableNo"/>
        <w:rPr>
          <w:lang w:val="en-GB"/>
        </w:rPr>
      </w:pPr>
      <w:r w:rsidRPr="008C3FA7">
        <w:rPr>
          <w:lang w:val="en-GB"/>
        </w:rPr>
        <w:t>TABLE 1</w:t>
      </w:r>
    </w:p>
    <w:p w:rsidR="00BC52F7" w:rsidRPr="008C3FA7" w:rsidRDefault="00BC52F7" w:rsidP="00BC52F7">
      <w:pPr>
        <w:pStyle w:val="Tabletitle"/>
        <w:rPr>
          <w:lang w:val="en-GB"/>
        </w:rPr>
      </w:pPr>
      <w:r w:rsidRPr="008C3FA7">
        <w:rPr>
          <w:lang w:val="en-GB"/>
        </w:rPr>
        <w:t xml:space="preserve">Summary of the effectiveness of interference mitigation techniques applicable to low-orbiting satellites operating in the space network, 300 km orbital altitude, </w:t>
      </w:r>
      <w:r w:rsidRPr="008C3FA7">
        <w:rPr>
          <w:lang w:val="en-GB"/>
        </w:rPr>
        <w:br/>
        <w:t>and receiving in the band 2 025-2 110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6"/>
        <w:gridCol w:w="1861"/>
        <w:gridCol w:w="1861"/>
        <w:gridCol w:w="1861"/>
      </w:tblGrid>
      <w:tr w:rsidR="00BC52F7" w:rsidRPr="002178C4" w:rsidTr="00724C72">
        <w:trPr>
          <w:jc w:val="center"/>
        </w:trPr>
        <w:tc>
          <w:tcPr>
            <w:tcW w:w="4056" w:type="dxa"/>
          </w:tcPr>
          <w:p w:rsidR="00BC52F7" w:rsidRPr="008C3FA7" w:rsidRDefault="00BC52F7" w:rsidP="00724C72">
            <w:pPr>
              <w:pStyle w:val="Tablehead"/>
              <w:rPr>
                <w:lang w:val="en-GB"/>
              </w:rPr>
            </w:pPr>
          </w:p>
        </w:tc>
        <w:tc>
          <w:tcPr>
            <w:tcW w:w="1861" w:type="dxa"/>
          </w:tcPr>
          <w:p w:rsidR="00BC52F7" w:rsidRPr="008C3FA7" w:rsidRDefault="00BC52F7" w:rsidP="00724C72">
            <w:pPr>
              <w:pStyle w:val="Tablehead"/>
              <w:rPr>
                <w:lang w:val="en-GB"/>
              </w:rPr>
            </w:pPr>
            <w:r w:rsidRPr="008C3FA7">
              <w:rPr>
                <w:lang w:val="en-GB"/>
              </w:rPr>
              <w:t>P-P radio-relay</w:t>
            </w:r>
            <w:r w:rsidRPr="008C3FA7">
              <w:rPr>
                <w:lang w:val="en-GB"/>
              </w:rPr>
              <w:br/>
              <w:t>systems</w:t>
            </w:r>
          </w:p>
        </w:tc>
        <w:tc>
          <w:tcPr>
            <w:tcW w:w="1861" w:type="dxa"/>
          </w:tcPr>
          <w:p w:rsidR="00BC52F7" w:rsidRPr="008C3FA7" w:rsidRDefault="00BC52F7"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61" w:type="dxa"/>
          </w:tcPr>
          <w:p w:rsidR="00BC52F7" w:rsidRPr="008C3FA7" w:rsidRDefault="00BC52F7"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number of installations within the next decade per MHz (worldwide)</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500</w:t>
            </w:r>
            <w:r w:rsidR="00BC52F7" w:rsidRPr="008C3FA7">
              <w:rPr>
                <w:rFonts w:ascii="Tms Rmn" w:hAnsi="Tms Rmn"/>
                <w:sz w:val="12"/>
                <w:lang w:val="en-GB"/>
              </w:rPr>
              <w:t> </w:t>
            </w:r>
            <w:r w:rsidR="00BC52F7" w:rsidRPr="008C3FA7">
              <w:rPr>
                <w:lang w:val="en-GB"/>
              </w:rPr>
              <w:t>000</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Cumulative mean interference level (dB(W/MHz))</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–139</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–39</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–132</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Excess with respect to the sharing criteria</w:t>
            </w:r>
            <w:r w:rsidRPr="008C3FA7">
              <w:rPr>
                <w:lang w:val="en-GB"/>
              </w:rPr>
              <w:br/>
              <w:t>(–147 dB(W/MHz))</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15</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effect of mean power reduction due to ATPC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Effect of increasing the DRS PFD towards the low</w:t>
            </w:r>
            <w:r w:rsidRPr="008C3FA7">
              <w:rPr>
                <w:lang w:val="en-GB"/>
              </w:rPr>
              <w:noBreakHyphen/>
              <w:t>orbiting satellite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r>
    </w:tbl>
    <w:p w:rsidR="00724C72" w:rsidRPr="008C3FA7" w:rsidRDefault="00724C72">
      <w:pPr>
        <w:rPr>
          <w:lang w:val="en-GB"/>
        </w:rPr>
      </w:pPr>
    </w:p>
    <w:p w:rsidR="00724C72" w:rsidRPr="008C3FA7" w:rsidRDefault="00724C72" w:rsidP="00724C72">
      <w:pPr>
        <w:pStyle w:val="TableNo"/>
        <w:rPr>
          <w:lang w:val="en-GB"/>
        </w:rPr>
      </w:pPr>
      <w:r w:rsidRPr="008C3FA7">
        <w:rPr>
          <w:lang w:val="en-GB"/>
        </w:rPr>
        <w:lastRenderedPageBreak/>
        <w:t>TABLE 1 (</w:t>
      </w:r>
      <w:r w:rsidRPr="008C3FA7">
        <w:rPr>
          <w:i/>
          <w:iCs/>
          <w:lang w:val="en-GB"/>
        </w:rPr>
        <w:t>end</w:t>
      </w:r>
      <w:r w:rsidRPr="008C3FA7">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6"/>
        <w:gridCol w:w="1861"/>
        <w:gridCol w:w="1861"/>
        <w:gridCol w:w="1861"/>
      </w:tblGrid>
      <w:tr w:rsidR="00724C72" w:rsidRPr="002178C4" w:rsidTr="00724C72">
        <w:trPr>
          <w:jc w:val="center"/>
        </w:trPr>
        <w:tc>
          <w:tcPr>
            <w:tcW w:w="4056" w:type="dxa"/>
          </w:tcPr>
          <w:p w:rsidR="00724C72" w:rsidRPr="008C3FA7" w:rsidRDefault="00724C72" w:rsidP="00724C72">
            <w:pPr>
              <w:pStyle w:val="Tablehead"/>
              <w:rPr>
                <w:lang w:val="en-GB"/>
              </w:rPr>
            </w:pPr>
          </w:p>
        </w:tc>
        <w:tc>
          <w:tcPr>
            <w:tcW w:w="1861" w:type="dxa"/>
          </w:tcPr>
          <w:p w:rsidR="00724C72" w:rsidRPr="008C3FA7" w:rsidRDefault="00724C72" w:rsidP="00724C72">
            <w:pPr>
              <w:pStyle w:val="Tablehead"/>
              <w:rPr>
                <w:lang w:val="en-GB"/>
              </w:rPr>
            </w:pPr>
            <w:r w:rsidRPr="008C3FA7">
              <w:rPr>
                <w:lang w:val="en-GB"/>
              </w:rPr>
              <w:t>P-P radio-relay</w:t>
            </w:r>
            <w:r w:rsidRPr="008C3FA7">
              <w:rPr>
                <w:lang w:val="en-GB"/>
              </w:rPr>
              <w:br/>
              <w:t>systems</w:t>
            </w:r>
          </w:p>
        </w:tc>
        <w:tc>
          <w:tcPr>
            <w:tcW w:w="1861" w:type="dxa"/>
          </w:tcPr>
          <w:p w:rsidR="00724C72" w:rsidRPr="008C3FA7" w:rsidRDefault="00724C72"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61" w:type="dxa"/>
          </w:tcPr>
          <w:p w:rsidR="00724C72" w:rsidRPr="008C3FA7" w:rsidRDefault="00724C72"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sharing level excess using the above measures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w:t>
            </w:r>
          </w:p>
        </w:tc>
      </w:tr>
      <w:tr w:rsidR="00BC52F7" w:rsidRPr="008C3FA7" w:rsidTr="00724C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BC52F7" w:rsidRPr="008C3FA7" w:rsidRDefault="00BC52F7" w:rsidP="00BC52F7">
            <w:pPr>
              <w:pStyle w:val="Tablelegend"/>
              <w:rPr>
                <w:lang w:val="en-GB"/>
              </w:rPr>
            </w:pPr>
            <w:r w:rsidRPr="008C3FA7">
              <w:rPr>
                <w:vertAlign w:val="superscript"/>
                <w:lang w:val="en-GB"/>
              </w:rPr>
              <w:t>(1)</w:t>
            </w:r>
            <w:r w:rsidRPr="008C3FA7">
              <w:rPr>
                <w:lang w:val="en-GB"/>
              </w:rPr>
              <w:tab/>
              <w:t>Low density.</w:t>
            </w:r>
          </w:p>
          <w:p w:rsidR="00BC52F7" w:rsidRPr="008C3FA7" w:rsidRDefault="00BC52F7" w:rsidP="00BC52F7">
            <w:pPr>
              <w:pStyle w:val="Tablelegend"/>
              <w:rPr>
                <w:lang w:val="en-GB"/>
              </w:rPr>
            </w:pPr>
            <w:r w:rsidRPr="008C3FA7">
              <w:rPr>
                <w:vertAlign w:val="superscript"/>
                <w:lang w:val="en-GB"/>
              </w:rPr>
              <w:t>(2)</w:t>
            </w:r>
            <w:r w:rsidRPr="008C3FA7">
              <w:rPr>
                <w:lang w:val="en-GB"/>
              </w:rPr>
              <w:tab/>
              <w:t>High density.</w:t>
            </w:r>
          </w:p>
        </w:tc>
      </w:tr>
    </w:tbl>
    <w:p w:rsidR="00BC52F7" w:rsidRPr="008C3FA7" w:rsidRDefault="00BC52F7" w:rsidP="00BC52F7">
      <w:pPr>
        <w:pStyle w:val="Tablefin"/>
      </w:pPr>
    </w:p>
    <w:p w:rsidR="00BC52F7" w:rsidRPr="008C3FA7" w:rsidRDefault="00BC52F7" w:rsidP="00BC52F7">
      <w:pPr>
        <w:rPr>
          <w:lang w:val="en-GB"/>
        </w:rPr>
      </w:pPr>
      <w:r w:rsidRPr="008C3FA7">
        <w:rPr>
          <w:lang w:val="en-GB"/>
        </w:rPr>
        <w:t>Automatic power control of fixed service stations has a significant positive impact on the cumulative interference levels into satellites. The reduction of interference is practically proportional to the average level by which the power on all links is reduced. It is consequently highly recommended that automatic power control be used wherever possible. Power levels should in general be as low as technically practicable as there is a direct impact on the interference levels.</w:t>
      </w:r>
    </w:p>
    <w:p w:rsidR="00BC52F7" w:rsidRPr="008C3FA7" w:rsidRDefault="00BC52F7" w:rsidP="00BC52F7">
      <w:pPr>
        <w:rPr>
          <w:lang w:val="en-GB"/>
        </w:rPr>
      </w:pPr>
      <w:r w:rsidRPr="008C3FA7">
        <w:rPr>
          <w:lang w:val="en-GB"/>
        </w:rPr>
        <w:t>The relaxation of the DRS protection requirements by 4 dB has obviously the same effect for all types of fixed service systems and contributes significantly to a reasonable sharing environment.</w:t>
      </w:r>
    </w:p>
    <w:p w:rsidR="00BC52F7" w:rsidRPr="008C3FA7" w:rsidRDefault="00BC52F7" w:rsidP="00724C72">
      <w:pPr>
        <w:rPr>
          <w:lang w:val="en-GB"/>
        </w:rPr>
      </w:pPr>
      <w:r w:rsidRPr="008C3FA7">
        <w:rPr>
          <w:lang w:val="en-GB"/>
        </w:rPr>
        <w:t>Table 2 gives an overview of the sharing situation for the geostationary DRS and the expected effect of various interference mitigation techniques. The P-P radio-relay systems have similar power levels compared to the high power P</w:t>
      </w:r>
      <w:r w:rsidRPr="008C3FA7">
        <w:rPr>
          <w:lang w:val="en-GB"/>
        </w:rPr>
        <w:noBreakHyphen/>
        <w:t>MP systems but their number is significantly higher.</w:t>
      </w:r>
    </w:p>
    <w:p w:rsidR="00BC52F7" w:rsidRPr="008C3FA7" w:rsidRDefault="00BC52F7" w:rsidP="00BC52F7">
      <w:pPr>
        <w:rPr>
          <w:lang w:val="en-GB"/>
        </w:rPr>
      </w:pPr>
      <w:r w:rsidRPr="008C3FA7">
        <w:rPr>
          <w:lang w:val="en-GB"/>
        </w:rPr>
        <w:t>Automatic power control of fixed service stations again significantly reduces cumulative interference levels into satellites and should be implemented wherever possible. Power levels should in general be as low as technically practicable as there is a direct impact on the interference levels. The power spectral density should be as low as possible. High data rate transmissions are preferred from an interference point of view.</w:t>
      </w:r>
    </w:p>
    <w:p w:rsidR="00BC52F7" w:rsidRPr="008C3FA7" w:rsidRDefault="00BC52F7" w:rsidP="00724C72">
      <w:pPr>
        <w:rPr>
          <w:lang w:val="en-GB"/>
        </w:rPr>
      </w:pPr>
      <w:r w:rsidRPr="008C3FA7">
        <w:rPr>
          <w:lang w:val="en-GB"/>
        </w:rPr>
        <w:t>The relaxation of the DRS protection requirements by 4 dB contributes again to an increased sharing potential.</w:t>
      </w:r>
    </w:p>
    <w:p w:rsidR="00BC52F7" w:rsidRPr="008C3FA7" w:rsidRDefault="00BC52F7" w:rsidP="00724C72">
      <w:pPr>
        <w:pStyle w:val="TableNo"/>
        <w:rPr>
          <w:lang w:val="en-GB"/>
        </w:rPr>
      </w:pPr>
      <w:r w:rsidRPr="008C3FA7">
        <w:rPr>
          <w:lang w:val="en-GB"/>
        </w:rPr>
        <w:t>TABLE 2</w:t>
      </w:r>
    </w:p>
    <w:p w:rsidR="00BC52F7" w:rsidRPr="008C3FA7" w:rsidRDefault="00BC52F7" w:rsidP="00BC52F7">
      <w:pPr>
        <w:pStyle w:val="Tabletitle"/>
        <w:rPr>
          <w:lang w:val="en-GB"/>
        </w:rPr>
      </w:pPr>
      <w:r w:rsidRPr="008C3FA7">
        <w:rPr>
          <w:lang w:val="en-GB"/>
        </w:rPr>
        <w:t>Summary of the effectiveness of interference mitigation techniques applicable to geostationary DRS satellites and receiving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8"/>
        <w:gridCol w:w="1860"/>
        <w:gridCol w:w="1860"/>
        <w:gridCol w:w="1861"/>
      </w:tblGrid>
      <w:tr w:rsidR="00BC52F7" w:rsidRPr="002178C4" w:rsidTr="00724C72">
        <w:trPr>
          <w:jc w:val="center"/>
        </w:trPr>
        <w:tc>
          <w:tcPr>
            <w:tcW w:w="4082" w:type="dxa"/>
          </w:tcPr>
          <w:p w:rsidR="00BC52F7" w:rsidRPr="008C3FA7" w:rsidRDefault="00BC52F7" w:rsidP="00724C72">
            <w:pPr>
              <w:pStyle w:val="Tablehead"/>
              <w:rPr>
                <w:lang w:val="en-GB"/>
              </w:rPr>
            </w:pPr>
          </w:p>
        </w:tc>
        <w:tc>
          <w:tcPr>
            <w:tcW w:w="1871" w:type="dxa"/>
          </w:tcPr>
          <w:p w:rsidR="00BC52F7" w:rsidRPr="008C3FA7" w:rsidRDefault="00BC52F7" w:rsidP="00724C72">
            <w:pPr>
              <w:pStyle w:val="Tablehead"/>
              <w:rPr>
                <w:lang w:val="en-GB"/>
              </w:rPr>
            </w:pPr>
            <w:r w:rsidRPr="008C3FA7">
              <w:rPr>
                <w:lang w:val="en-GB"/>
              </w:rPr>
              <w:t>P-P radio-relay</w:t>
            </w:r>
            <w:r w:rsidRPr="008C3FA7">
              <w:rPr>
                <w:lang w:val="en-GB"/>
              </w:rPr>
              <w:br/>
              <w:t>systems</w:t>
            </w:r>
          </w:p>
        </w:tc>
        <w:tc>
          <w:tcPr>
            <w:tcW w:w="1871" w:type="dxa"/>
          </w:tcPr>
          <w:p w:rsidR="00BC52F7" w:rsidRPr="008C3FA7" w:rsidRDefault="00BC52F7"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72" w:type="dxa"/>
          </w:tcPr>
          <w:p w:rsidR="00BC52F7" w:rsidRPr="008C3FA7" w:rsidRDefault="00BC52F7"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Expected number of installations within the next decade per MHz (worldwide)</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12</w:t>
            </w:r>
            <w:r w:rsidR="00BC52F7" w:rsidRPr="008C3FA7">
              <w:rPr>
                <w:rFonts w:ascii="Tms Rmn" w:hAnsi="Tms Rmn"/>
                <w:sz w:val="12"/>
                <w:lang w:val="en-GB"/>
              </w:rPr>
              <w:t> </w:t>
            </w:r>
            <w:r w:rsidR="00BC52F7" w:rsidRPr="008C3FA7">
              <w:rPr>
                <w:lang w:val="en-GB"/>
              </w:rPr>
              <w:t>000</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500</w:t>
            </w:r>
            <w:r w:rsidR="00BC52F7" w:rsidRPr="008C3FA7">
              <w:rPr>
                <w:rFonts w:ascii="Tms Rmn" w:hAnsi="Tms Rmn"/>
                <w:sz w:val="12"/>
                <w:lang w:val="en-GB"/>
              </w:rPr>
              <w:t> </w:t>
            </w:r>
            <w:r w:rsidR="00BC52F7" w:rsidRPr="008C3FA7">
              <w:rPr>
                <w:lang w:val="en-GB"/>
              </w:rPr>
              <w:t>000</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Cumulative mean interference level (dB(W/MHz))</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–132</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–136</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–129</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Excess with respect to the sharing criteria</w:t>
            </w:r>
            <w:r w:rsidRPr="008C3FA7">
              <w:rPr>
                <w:lang w:val="en-GB"/>
              </w:rPr>
              <w:br/>
              <w:t>(–147 dB(W/MHz))</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15</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11</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18</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Expected effect of mean power reduction due to ATPC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Effect of increasing the LEO PFD towards the data relay satellite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Effect of antenna off-pointing from the geostationary orbit</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2</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w:t>
            </w:r>
          </w:p>
        </w:tc>
      </w:tr>
    </w:tbl>
    <w:p w:rsidR="00724C72" w:rsidRPr="008C3FA7" w:rsidRDefault="00724C72">
      <w:pPr>
        <w:rPr>
          <w:lang w:val="en-GB"/>
        </w:rPr>
      </w:pPr>
    </w:p>
    <w:p w:rsidR="00724C72" w:rsidRPr="008C3FA7" w:rsidRDefault="00724C72" w:rsidP="00724C72">
      <w:pPr>
        <w:pStyle w:val="TableNo"/>
        <w:rPr>
          <w:lang w:val="en-GB"/>
        </w:rPr>
      </w:pPr>
      <w:r w:rsidRPr="008C3FA7">
        <w:rPr>
          <w:lang w:val="en-GB"/>
        </w:rPr>
        <w:lastRenderedPageBreak/>
        <w:t>TABLE 2 (</w:t>
      </w:r>
      <w:r w:rsidRPr="008C3FA7">
        <w:rPr>
          <w:i/>
          <w:iCs/>
          <w:lang w:val="en-GB"/>
        </w:rPr>
        <w:t>end</w:t>
      </w:r>
      <w:r w:rsidRPr="008C3FA7">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8"/>
        <w:gridCol w:w="1860"/>
        <w:gridCol w:w="1860"/>
        <w:gridCol w:w="1861"/>
      </w:tblGrid>
      <w:tr w:rsidR="00724C72" w:rsidRPr="002178C4" w:rsidTr="008C3FA7">
        <w:trPr>
          <w:jc w:val="center"/>
        </w:trPr>
        <w:tc>
          <w:tcPr>
            <w:tcW w:w="4082" w:type="dxa"/>
          </w:tcPr>
          <w:p w:rsidR="00724C72" w:rsidRPr="008C3FA7" w:rsidRDefault="00724C72" w:rsidP="00724C72">
            <w:pPr>
              <w:pStyle w:val="Tablehead"/>
              <w:rPr>
                <w:lang w:val="en-GB"/>
              </w:rPr>
            </w:pPr>
          </w:p>
        </w:tc>
        <w:tc>
          <w:tcPr>
            <w:tcW w:w="1871" w:type="dxa"/>
          </w:tcPr>
          <w:p w:rsidR="00724C72" w:rsidRPr="008C3FA7" w:rsidRDefault="00724C72" w:rsidP="00724C72">
            <w:pPr>
              <w:pStyle w:val="Tablehead"/>
              <w:rPr>
                <w:lang w:val="en-GB"/>
              </w:rPr>
            </w:pPr>
            <w:r w:rsidRPr="008C3FA7">
              <w:rPr>
                <w:lang w:val="en-GB"/>
              </w:rPr>
              <w:t>P-P radio-relay</w:t>
            </w:r>
            <w:r w:rsidRPr="008C3FA7">
              <w:rPr>
                <w:lang w:val="en-GB"/>
              </w:rPr>
              <w:br/>
              <w:t>systems</w:t>
            </w:r>
          </w:p>
        </w:tc>
        <w:tc>
          <w:tcPr>
            <w:tcW w:w="1871" w:type="dxa"/>
          </w:tcPr>
          <w:p w:rsidR="00724C72" w:rsidRPr="008C3FA7" w:rsidRDefault="00724C72"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72" w:type="dxa"/>
          </w:tcPr>
          <w:p w:rsidR="00724C72" w:rsidRPr="008C3FA7" w:rsidRDefault="00724C72"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8C3FA7">
        <w:trPr>
          <w:jc w:val="center"/>
        </w:trPr>
        <w:tc>
          <w:tcPr>
            <w:tcW w:w="4082" w:type="dxa"/>
          </w:tcPr>
          <w:p w:rsidR="00BC52F7" w:rsidRPr="008C3FA7" w:rsidRDefault="00BC52F7" w:rsidP="00724C72">
            <w:pPr>
              <w:pStyle w:val="Tabletext"/>
              <w:jc w:val="left"/>
              <w:rPr>
                <w:lang w:val="en-GB"/>
              </w:rPr>
            </w:pPr>
            <w:r w:rsidRPr="008C3FA7">
              <w:rPr>
                <w:lang w:val="en-GB"/>
              </w:rPr>
              <w:t>Expected sharing level excess using the above measures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–4</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4</w:t>
            </w:r>
          </w:p>
        </w:tc>
      </w:tr>
      <w:tr w:rsidR="00BC52F7" w:rsidRPr="008C3FA7" w:rsidTr="008C3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BC52F7" w:rsidRPr="008C3FA7" w:rsidRDefault="00BC52F7" w:rsidP="00BC52F7">
            <w:pPr>
              <w:pStyle w:val="Tablelegend"/>
              <w:rPr>
                <w:lang w:val="en-GB"/>
              </w:rPr>
            </w:pPr>
            <w:r w:rsidRPr="008C3FA7">
              <w:rPr>
                <w:position w:val="6"/>
                <w:sz w:val="14"/>
                <w:lang w:val="en-GB"/>
              </w:rPr>
              <w:t>(1)</w:t>
            </w:r>
            <w:r w:rsidRPr="008C3FA7">
              <w:rPr>
                <w:lang w:val="en-GB"/>
              </w:rPr>
              <w:tab/>
              <w:t>Low density.</w:t>
            </w:r>
          </w:p>
          <w:p w:rsidR="00BC52F7" w:rsidRPr="008C3FA7" w:rsidRDefault="00BC52F7" w:rsidP="00BC52F7">
            <w:pPr>
              <w:pStyle w:val="Tablelegend"/>
              <w:rPr>
                <w:lang w:val="en-GB"/>
              </w:rPr>
            </w:pPr>
            <w:r w:rsidRPr="008C3FA7">
              <w:rPr>
                <w:position w:val="6"/>
                <w:sz w:val="14"/>
                <w:lang w:val="en-GB"/>
              </w:rPr>
              <w:t>(2)</w:t>
            </w:r>
            <w:r w:rsidRPr="008C3FA7">
              <w:rPr>
                <w:lang w:val="en-GB"/>
              </w:rPr>
              <w:tab/>
              <w:t>High density.</w:t>
            </w:r>
          </w:p>
        </w:tc>
      </w:tr>
    </w:tbl>
    <w:p w:rsidR="00BC52F7" w:rsidRPr="008C3FA7" w:rsidRDefault="00BC52F7" w:rsidP="00BC52F7">
      <w:pPr>
        <w:pStyle w:val="Tablefin"/>
      </w:pPr>
    </w:p>
    <w:p w:rsidR="00BC52F7" w:rsidRPr="008C3FA7" w:rsidRDefault="00BC52F7" w:rsidP="00724C72">
      <w:pPr>
        <w:rPr>
          <w:lang w:val="en-GB"/>
        </w:rPr>
      </w:pPr>
      <w:r w:rsidRPr="008C3FA7">
        <w:rPr>
          <w:lang w:val="en-GB"/>
        </w:rPr>
        <w:t>Antenna off-pointing can reduce the interference level by up to 35 dB for the 2.4 m antenna. An off</w:t>
      </w:r>
      <w:r w:rsidRPr="008C3FA7">
        <w:rPr>
          <w:lang w:val="en-GB"/>
        </w:rPr>
        <w:noBreakHyphen/>
        <w:t>pointing angle of 4</w:t>
      </w:r>
      <w:r w:rsidR="00724C72" w:rsidRPr="008C3FA7">
        <w:rPr>
          <w:lang w:val="en-GB"/>
        </w:rPr>
        <w:t>°</w:t>
      </w:r>
      <w:r w:rsidRPr="008C3FA7">
        <w:rPr>
          <w:lang w:val="en-GB"/>
        </w:rPr>
        <w:t xml:space="preserve"> should be considered as a minimum resulting in 12 dB interference attenuation with respect to the maximum level. Main beam interference is thus avoided for a typical 2.4 m fixed service P-P station. Further off-pointing is, of course, also desirable but the additional attenuation as a function of the off-pointing angle is significantly reduced. It is realized, though, that off</w:t>
      </w:r>
      <w:r w:rsidRPr="008C3FA7">
        <w:rPr>
          <w:lang w:val="en-GB"/>
        </w:rPr>
        <w:noBreakHyphen/>
        <w:t>pointing has only a limited effect as it will in many cases not be feasible for implementation with point</w:t>
      </w:r>
      <w:r w:rsidRPr="008C3FA7">
        <w:rPr>
          <w:lang w:val="en-GB"/>
        </w:rPr>
        <w:noBreakHyphen/>
        <w:t>to</w:t>
      </w:r>
      <w:r w:rsidRPr="008C3FA7">
        <w:rPr>
          <w:lang w:val="en-GB"/>
        </w:rPr>
        <w:noBreakHyphen/>
        <w:t>multipoint systems. Central stations often have an omnidirectional antenna pattern and out</w:t>
      </w:r>
      <w:r w:rsidRPr="008C3FA7">
        <w:rPr>
          <w:lang w:val="en-GB"/>
        </w:rPr>
        <w:noBreakHyphen/>
        <w:t>stations have no choice but to point towards the central station, irrespective of the resulting constellation.</w:t>
      </w:r>
    </w:p>
    <w:p w:rsidR="00BC52F7" w:rsidRPr="008C3FA7" w:rsidRDefault="00BC52F7" w:rsidP="00724C72">
      <w:pPr>
        <w:rPr>
          <w:lang w:val="en-GB"/>
        </w:rPr>
      </w:pPr>
      <w:r w:rsidRPr="008C3FA7">
        <w:rPr>
          <w:lang w:val="en-GB"/>
        </w:rPr>
        <w:t>The most critical case appears to be the low power high density P-MP system. It should be noted that the effect of attenuation along the path and the mounting location of P-MP stations (see § 3.3) will in practice further reduce the interference potential of these systems. It can be seen that the band 2</w:t>
      </w:r>
      <w:r w:rsidRPr="008C3FA7">
        <w:rPr>
          <w:sz w:val="12"/>
          <w:lang w:val="en-GB"/>
        </w:rPr>
        <w:t> </w:t>
      </w:r>
      <w:r w:rsidRPr="008C3FA7">
        <w:rPr>
          <w:lang w:val="en-GB"/>
        </w:rPr>
        <w:t>200-2</w:t>
      </w:r>
      <w:r w:rsidRPr="008C3FA7">
        <w:rPr>
          <w:sz w:val="12"/>
          <w:lang w:val="en-GB"/>
        </w:rPr>
        <w:t> </w:t>
      </w:r>
      <w:r w:rsidRPr="008C3FA7">
        <w:rPr>
          <w:lang w:val="en-GB"/>
        </w:rPr>
        <w:t>290 MHz is more vulnerable than the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w:t>
      </w:r>
    </w:p>
    <w:p w:rsidR="00BC52F7" w:rsidRPr="008C3FA7" w:rsidRDefault="00BC52F7" w:rsidP="00724C72">
      <w:pPr>
        <w:rPr>
          <w:lang w:val="en-GB"/>
        </w:rPr>
      </w:pPr>
      <w:r w:rsidRPr="008C3FA7">
        <w:rPr>
          <w:lang w:val="en-GB"/>
        </w:rPr>
        <w:t>It should also be noted that the above fixed service systems have been assessed on an exclusive basis. The cumulative effect has to be taken into account when calculating the overall interference level.</w:t>
      </w:r>
    </w:p>
    <w:p w:rsidR="00BC52F7" w:rsidRPr="008C3FA7" w:rsidRDefault="00BC52F7" w:rsidP="00BC52F7">
      <w:pPr>
        <w:rPr>
          <w:lang w:val="en-GB" w:eastAsia="ja-JP"/>
        </w:rPr>
      </w:pPr>
    </w:p>
    <w:p w:rsidR="00724C72" w:rsidRPr="008C3FA7" w:rsidRDefault="00724C72" w:rsidP="00BC52F7">
      <w:pPr>
        <w:rPr>
          <w:lang w:val="en-GB" w:eastAsia="ja-JP"/>
        </w:rPr>
      </w:pPr>
    </w:p>
    <w:p w:rsidR="00BC52F7" w:rsidRPr="008C3FA7" w:rsidRDefault="00BC52F7" w:rsidP="00BC52F7">
      <w:pPr>
        <w:pStyle w:val="AnnexNoTitle"/>
        <w:rPr>
          <w:lang w:val="en-GB"/>
        </w:rPr>
      </w:pPr>
      <w:r w:rsidRPr="008C3FA7">
        <w:rPr>
          <w:lang w:val="en-GB"/>
        </w:rPr>
        <w:t>Annex 2</w:t>
      </w:r>
      <w:r w:rsidRPr="008C3FA7">
        <w:rPr>
          <w:lang w:val="en-GB"/>
        </w:rPr>
        <w:br/>
      </w:r>
      <w:r w:rsidRPr="008C3FA7">
        <w:rPr>
          <w:lang w:val="en-GB"/>
        </w:rPr>
        <w:br/>
        <w:t>Application of the Recommendation in planning and design of new systems</w:t>
      </w:r>
      <w:r w:rsidRPr="008C3FA7">
        <w:rPr>
          <w:lang w:val="en-GB"/>
        </w:rPr>
        <w:br/>
        <w:t>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Pr="008C3FA7" w:rsidRDefault="00BC52F7" w:rsidP="00BC52F7">
      <w:pPr>
        <w:pStyle w:val="Heading1"/>
        <w:rPr>
          <w:lang w:val="en-GB"/>
        </w:rPr>
      </w:pPr>
      <w:r w:rsidRPr="008C3FA7">
        <w:rPr>
          <w:lang w:val="en-GB"/>
        </w:rPr>
        <w:t>1</w:t>
      </w:r>
      <w:r w:rsidRPr="008C3FA7">
        <w:rPr>
          <w:lang w:val="en-GB"/>
        </w:rPr>
        <w:tab/>
        <w:t>Introduction</w:t>
      </w:r>
    </w:p>
    <w:p w:rsidR="00BC52F7" w:rsidRPr="008C3FA7" w:rsidRDefault="00BC52F7" w:rsidP="005E40AE">
      <w:pPr>
        <w:rPr>
          <w:lang w:val="en-GB"/>
        </w:rPr>
      </w:pPr>
      <w:r w:rsidRPr="008C3FA7">
        <w:rPr>
          <w:lang w:val="en-GB"/>
        </w:rPr>
        <w:t>The purpose of this Annex is to present material to facilitate the application of this Recommendation to planning and design of new systems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005E40AE">
        <w:rPr>
          <w:rFonts w:ascii="Tms Rmn" w:hAnsi="Tms Rmn"/>
          <w:sz w:val="12"/>
          <w:lang w:val="en-GB"/>
        </w:rPr>
        <w:t> </w:t>
      </w:r>
      <w:r w:rsidRPr="008C3FA7">
        <w:rPr>
          <w:lang w:val="en-GB"/>
        </w:rPr>
        <w:t>200</w:t>
      </w:r>
      <w:r w:rsidR="005E40AE">
        <w:rPr>
          <w:lang w:val="en-GB"/>
        </w:rPr>
        <w:noBreakHyphen/>
      </w:r>
      <w:r w:rsidRPr="008C3FA7">
        <w:rPr>
          <w:lang w:val="en-GB"/>
        </w:rPr>
        <w:t>2</w:t>
      </w:r>
      <w:r w:rsidRPr="008C3FA7">
        <w:rPr>
          <w:rFonts w:ascii="Tms Rmn" w:hAnsi="Tms Rmn"/>
          <w:sz w:val="12"/>
          <w:lang w:val="en-GB"/>
        </w:rPr>
        <w:t> </w:t>
      </w:r>
      <w:r w:rsidRPr="008C3FA7">
        <w:rPr>
          <w:lang w:val="en-GB"/>
        </w:rPr>
        <w:t>290 MHz, shared with the SR, SO and EES services (space science services).</w:t>
      </w:r>
    </w:p>
    <w:p w:rsidR="00BC52F7" w:rsidRPr="008C3FA7" w:rsidRDefault="00BC52F7" w:rsidP="00BC52F7">
      <w:pPr>
        <w:pStyle w:val="Heading1"/>
        <w:rPr>
          <w:lang w:val="en-GB"/>
        </w:rPr>
      </w:pPr>
      <w:r w:rsidRPr="008C3FA7">
        <w:rPr>
          <w:lang w:val="en-GB"/>
        </w:rPr>
        <w:t>2</w:t>
      </w:r>
      <w:r w:rsidRPr="008C3FA7">
        <w:rPr>
          <w:lang w:val="en-GB"/>
        </w:rPr>
        <w:tab/>
        <w:t>General requirements</w:t>
      </w:r>
    </w:p>
    <w:p w:rsidR="00BC52F7" w:rsidRPr="008C3FA7" w:rsidRDefault="00BC52F7" w:rsidP="00BC52F7">
      <w:pPr>
        <w:rPr>
          <w:lang w:val="en-GB"/>
        </w:rPr>
      </w:pPr>
      <w:r w:rsidRPr="008C3FA7">
        <w:rPr>
          <w:i/>
          <w:lang w:val="en-GB"/>
        </w:rPr>
        <w:t>Recommends </w:t>
      </w:r>
      <w:r w:rsidRPr="008C3FA7">
        <w:rPr>
          <w:lang w:val="en-GB"/>
        </w:rPr>
        <w:t>1 of this Recommendation specifies general requirements for the fixed service concerning ATPC, transmitter power spectral density and transmitting antenna radiation patterns. These requirements reflect the difficult sharing situation between the fixed service and the space science services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w:t>
      </w:r>
    </w:p>
    <w:p w:rsidR="00BC52F7" w:rsidRPr="008C3FA7" w:rsidRDefault="00BC52F7" w:rsidP="00BC52F7">
      <w:pPr>
        <w:pStyle w:val="Heading2"/>
        <w:rPr>
          <w:lang w:val="en-GB"/>
        </w:rPr>
      </w:pPr>
      <w:r w:rsidRPr="008C3FA7">
        <w:rPr>
          <w:lang w:val="en-GB"/>
        </w:rPr>
        <w:lastRenderedPageBreak/>
        <w:t>2.1</w:t>
      </w:r>
      <w:r w:rsidRPr="008C3FA7">
        <w:rPr>
          <w:lang w:val="en-GB"/>
        </w:rPr>
        <w:tab/>
        <w:t>ATPC</w:t>
      </w:r>
    </w:p>
    <w:p w:rsidR="00BC52F7" w:rsidRPr="008C3FA7" w:rsidRDefault="00BC52F7" w:rsidP="00BC52F7">
      <w:pPr>
        <w:rPr>
          <w:lang w:val="en-GB"/>
        </w:rPr>
      </w:pPr>
      <w:r w:rsidRPr="008C3FA7">
        <w:rPr>
          <w:lang w:val="en-GB"/>
        </w:rPr>
        <w:t>Where practicable, a fixed service system transmitter should use ATPC such that the mean power is a minimum 10 dB below the maximum transmitter power.</w:t>
      </w:r>
    </w:p>
    <w:p w:rsidR="00BC52F7" w:rsidRPr="008C3FA7" w:rsidRDefault="00BC52F7" w:rsidP="00BC52F7">
      <w:pPr>
        <w:rPr>
          <w:lang w:val="en-GB"/>
        </w:rPr>
      </w:pPr>
      <w:r w:rsidRPr="008C3FA7">
        <w:rPr>
          <w:lang w:val="en-GB"/>
        </w:rPr>
        <w:t xml:space="preserve">It should be noted that </w:t>
      </w:r>
      <w:r w:rsidRPr="008C3FA7">
        <w:rPr>
          <w:i/>
          <w:lang w:val="en-GB"/>
        </w:rPr>
        <w:t xml:space="preserve">recommends </w:t>
      </w:r>
      <w:r w:rsidRPr="008C3FA7">
        <w:rPr>
          <w:lang w:val="en-GB"/>
        </w:rPr>
        <w:t xml:space="preserve">2.1 is applicable to transmitters employing ATPC, as an exception to </w:t>
      </w:r>
      <w:r w:rsidRPr="008C3FA7">
        <w:rPr>
          <w:i/>
          <w:lang w:val="en-GB"/>
        </w:rPr>
        <w:t>recommends</w:t>
      </w:r>
      <w:r w:rsidRPr="008C3FA7">
        <w:rPr>
          <w:lang w:val="en-GB"/>
        </w:rPr>
        <w:t> 2.</w:t>
      </w:r>
    </w:p>
    <w:p w:rsidR="00BC52F7" w:rsidRPr="008C3FA7" w:rsidRDefault="00BC52F7" w:rsidP="00BC52F7">
      <w:pPr>
        <w:pStyle w:val="Heading2"/>
        <w:rPr>
          <w:lang w:val="en-GB"/>
        </w:rPr>
      </w:pPr>
      <w:r w:rsidRPr="008C3FA7">
        <w:rPr>
          <w:lang w:val="en-GB"/>
        </w:rPr>
        <w:t>2.2</w:t>
      </w:r>
      <w:r w:rsidRPr="008C3FA7">
        <w:rPr>
          <w:lang w:val="en-GB"/>
        </w:rPr>
        <w:tab/>
        <w:t>Transmitter power spectral density</w:t>
      </w:r>
    </w:p>
    <w:p w:rsidR="00BC52F7" w:rsidRPr="008C3FA7" w:rsidRDefault="00BC52F7" w:rsidP="00BC52F7">
      <w:pPr>
        <w:rPr>
          <w:lang w:val="en-GB"/>
        </w:rPr>
      </w:pPr>
      <w:r w:rsidRPr="008C3FA7">
        <w:rPr>
          <w:lang w:val="en-GB"/>
        </w:rPr>
        <w:t>A fixed service system transmitter should use the lowest practical transmitter power spectral density. This requirement may apply to any fixed service transmitters but is particularly important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w:t>
      </w:r>
    </w:p>
    <w:p w:rsidR="00BC52F7" w:rsidRPr="008C3FA7" w:rsidRDefault="00BC52F7" w:rsidP="00BC52F7">
      <w:pPr>
        <w:pStyle w:val="Heading2"/>
        <w:rPr>
          <w:lang w:val="en-GB"/>
        </w:rPr>
      </w:pPr>
      <w:r w:rsidRPr="008C3FA7">
        <w:rPr>
          <w:lang w:val="en-GB"/>
        </w:rPr>
        <w:t>2.3</w:t>
      </w:r>
      <w:r w:rsidRPr="008C3FA7">
        <w:rPr>
          <w:lang w:val="en-GB"/>
        </w:rPr>
        <w:tab/>
        <w:t>Antenna radiation patterns</w:t>
      </w:r>
    </w:p>
    <w:p w:rsidR="00BC52F7" w:rsidRPr="008C3FA7" w:rsidRDefault="00BC52F7" w:rsidP="00BC52F7">
      <w:pPr>
        <w:rPr>
          <w:lang w:val="en-GB"/>
        </w:rPr>
      </w:pPr>
      <w:r w:rsidRPr="008C3FA7">
        <w:rPr>
          <w:lang w:val="en-GB"/>
        </w:rPr>
        <w:t>Where practicable, the fixed service system should use transmitting antennas with good radiation patterns taking into account Recommendation ITU</w:t>
      </w:r>
      <w:r w:rsidRPr="008C3FA7">
        <w:rPr>
          <w:lang w:val="en-GB"/>
        </w:rPr>
        <w:noBreakHyphen/>
        <w:t>R F.699.</w:t>
      </w:r>
    </w:p>
    <w:p w:rsidR="00BC52F7" w:rsidRPr="008C3FA7" w:rsidRDefault="00BC52F7" w:rsidP="00BC52F7">
      <w:pPr>
        <w:rPr>
          <w:lang w:val="en-GB"/>
        </w:rPr>
      </w:pPr>
      <w:r w:rsidRPr="008C3FA7">
        <w:rPr>
          <w:i/>
          <w:lang w:val="en-GB"/>
        </w:rPr>
        <w:t>Recommends </w:t>
      </w:r>
      <w:r w:rsidRPr="008C3FA7">
        <w:rPr>
          <w:lang w:val="en-GB"/>
        </w:rPr>
        <w:t>2.1 gives the maximum e.i.r.p. spectral density of P-P fixed service system stations towards certain geostationary DRS locations. Antenna radiation patterns are a key element in determining such e.i.r.p. spectral density.</w:t>
      </w:r>
    </w:p>
    <w:p w:rsidR="00BC52F7" w:rsidRPr="008C3FA7" w:rsidRDefault="00BC52F7" w:rsidP="00BC52F7">
      <w:pPr>
        <w:pStyle w:val="Heading1"/>
        <w:rPr>
          <w:lang w:val="en-GB"/>
        </w:rPr>
      </w:pPr>
      <w:r w:rsidRPr="008C3FA7">
        <w:rPr>
          <w:lang w:val="en-GB"/>
        </w:rPr>
        <w:t>3</w:t>
      </w:r>
      <w:r w:rsidRPr="008C3FA7">
        <w:rPr>
          <w:lang w:val="en-GB"/>
        </w:rPr>
        <w:tab/>
        <w:t>Point-to-point fixed service system stations</w:t>
      </w:r>
    </w:p>
    <w:p w:rsidR="00BC52F7" w:rsidRPr="008C3FA7" w:rsidRDefault="00BC52F7" w:rsidP="008C3FA7">
      <w:pPr>
        <w:rPr>
          <w:lang w:val="en-GB"/>
        </w:rPr>
      </w:pPr>
      <w:r w:rsidRPr="008C3FA7">
        <w:rPr>
          <w:i/>
          <w:lang w:val="en-GB"/>
        </w:rPr>
        <w:t>Recommends </w:t>
      </w:r>
      <w:r w:rsidRPr="008C3FA7">
        <w:rPr>
          <w:lang w:val="en-GB"/>
        </w:rPr>
        <w:t>2 gives the limits of P-P fixed service system stations operating in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in order to protect geostationary DRS locations which are specified as locations for existing or planned DRS in Recommendation ITU</w:t>
      </w:r>
      <w:r w:rsidRPr="008C3FA7">
        <w:rPr>
          <w:lang w:val="en-GB"/>
        </w:rPr>
        <w:noBreakHyphen/>
        <w:t>R SA.1275.</w:t>
      </w:r>
    </w:p>
    <w:p w:rsidR="00BC52F7" w:rsidRPr="008C3FA7" w:rsidRDefault="00BC52F7" w:rsidP="00BC52F7">
      <w:pPr>
        <w:rPr>
          <w:lang w:val="en-GB"/>
        </w:rPr>
      </w:pPr>
      <w:r w:rsidRPr="008C3FA7">
        <w:rPr>
          <w:lang w:val="en-GB"/>
        </w:rPr>
        <w:t>This requirement applies also to P-P links between or within P-MP systems and to out-stations of P</w:t>
      </w:r>
      <w:r w:rsidRPr="008C3FA7">
        <w:rPr>
          <w:lang w:val="en-GB"/>
        </w:rPr>
        <w:noBreakHyphen/>
        <w:t>MP systems employing directional antennas with a maximum gain in excess of 14 dBi (see Notes 1 and 3 of the main text).</w:t>
      </w:r>
    </w:p>
    <w:p w:rsidR="00BC52F7" w:rsidRPr="008C3FA7" w:rsidRDefault="00BC52F7" w:rsidP="008C3FA7">
      <w:pPr>
        <w:rPr>
          <w:lang w:val="en-GB"/>
        </w:rPr>
      </w:pPr>
      <w:r w:rsidRPr="008C3FA7">
        <w:rPr>
          <w:lang w:val="en-GB"/>
        </w:rPr>
        <w:t xml:space="preserve">It should be noted that </w:t>
      </w:r>
      <w:r w:rsidRPr="008C3FA7">
        <w:rPr>
          <w:i/>
          <w:lang w:val="en-GB"/>
        </w:rPr>
        <w:t>recommends</w:t>
      </w:r>
      <w:r w:rsidRPr="008C3FA7">
        <w:rPr>
          <w:lang w:val="en-GB"/>
        </w:rPr>
        <w:t xml:space="preserve"> 2 does not apply to the fixed service system operating in the band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because mainly the use of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is envisaged for the reception by DRS (see Recommendation ITU</w:t>
      </w:r>
      <w:r w:rsidRPr="008C3FA7">
        <w:rPr>
          <w:lang w:val="en-GB"/>
        </w:rPr>
        <w:noBreakHyphen/>
        <w:t>R SA.1155).</w:t>
      </w:r>
    </w:p>
    <w:p w:rsidR="00BC52F7" w:rsidRPr="008C3FA7" w:rsidRDefault="00BC52F7" w:rsidP="00BC52F7">
      <w:pPr>
        <w:pStyle w:val="Heading2"/>
        <w:rPr>
          <w:lang w:val="en-GB"/>
        </w:rPr>
      </w:pPr>
      <w:r w:rsidRPr="008C3FA7">
        <w:rPr>
          <w:lang w:val="en-GB"/>
        </w:rPr>
        <w:t>3.1</w:t>
      </w:r>
      <w:r w:rsidRPr="008C3FA7">
        <w:rPr>
          <w:lang w:val="en-GB"/>
        </w:rPr>
        <w:tab/>
        <w:t>The e.i.r.p. spectral density towards a geostationary DRS location</w:t>
      </w:r>
    </w:p>
    <w:p w:rsidR="00BC52F7" w:rsidRPr="008C3FA7" w:rsidRDefault="00BC52F7" w:rsidP="00724C72">
      <w:pPr>
        <w:rPr>
          <w:lang w:val="en-GB"/>
        </w:rPr>
      </w:pPr>
      <w:r w:rsidRPr="008C3FA7">
        <w:rPr>
          <w:lang w:val="en-GB"/>
        </w:rPr>
        <w:t>As far as practicable, P-P fixed service system stations operating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should avoid radiating at an e.i.r.p. spectral density greater than </w:t>
      </w:r>
      <w:r w:rsidR="00724C72" w:rsidRPr="008C3FA7">
        <w:rPr>
          <w:lang w:val="en-GB"/>
        </w:rPr>
        <w:t>+</w:t>
      </w:r>
      <w:r w:rsidRPr="008C3FA7">
        <w:rPr>
          <w:lang w:val="en-GB"/>
        </w:rPr>
        <w:t xml:space="preserve">8 dB(W/MHz) towards the specified geostationary DRS locations (see </w:t>
      </w:r>
      <w:r w:rsidRPr="008C3FA7">
        <w:rPr>
          <w:i/>
          <w:lang w:val="en-GB"/>
        </w:rPr>
        <w:t>recommends </w:t>
      </w:r>
      <w:r w:rsidRPr="008C3FA7">
        <w:rPr>
          <w:lang w:val="en-GB"/>
        </w:rPr>
        <w:t>2).</w:t>
      </w:r>
    </w:p>
    <w:p w:rsidR="00BC52F7" w:rsidRPr="008C3FA7" w:rsidRDefault="00BC52F7" w:rsidP="00BC52F7">
      <w:pPr>
        <w:rPr>
          <w:lang w:val="en-GB"/>
        </w:rPr>
      </w:pPr>
      <w:r w:rsidRPr="008C3FA7">
        <w:rPr>
          <w:lang w:val="en-GB"/>
        </w:rPr>
        <w:t>The e.i.r.p. spectral density radiated towards a geostationary DRS location should be calculated as the product of the transmitter power spectral density (at the antenna input) and the gain of the antenna in the direction of the DRS location.</w:t>
      </w:r>
    </w:p>
    <w:p w:rsidR="00BC52F7" w:rsidRPr="008C3FA7" w:rsidRDefault="00BC52F7" w:rsidP="00BC52F7">
      <w:pPr>
        <w:rPr>
          <w:lang w:val="en-GB"/>
        </w:rPr>
      </w:pPr>
      <w:r w:rsidRPr="008C3FA7">
        <w:rPr>
          <w:lang w:val="en-GB"/>
        </w:rPr>
        <w:t>In order to estimate such antenna gain, it is necessary to calculate the separation angles between the fixed service transmitting antenna beams and geostationary DRS locations and to assume certain antenna radiation patterns.</w:t>
      </w:r>
    </w:p>
    <w:p w:rsidR="00BC52F7" w:rsidRPr="008C3FA7" w:rsidRDefault="00BC52F7" w:rsidP="00BC52F7">
      <w:pPr>
        <w:rPr>
          <w:lang w:val="en-GB"/>
        </w:rPr>
      </w:pPr>
      <w:r w:rsidRPr="008C3FA7">
        <w:rPr>
          <w:lang w:val="en-GB"/>
        </w:rPr>
        <w:t>The method of calculating separation angles is given in Annex 2 to Recommendation ITU</w:t>
      </w:r>
      <w:r w:rsidRPr="008C3FA7">
        <w:rPr>
          <w:lang w:val="en-GB"/>
        </w:rPr>
        <w:noBreakHyphen/>
        <w:t>R F.1249. It takes into account the effects of atmospheric refraction and the local horizon.</w:t>
      </w:r>
    </w:p>
    <w:p w:rsidR="00BC52F7" w:rsidRPr="008C3FA7" w:rsidRDefault="00BC52F7" w:rsidP="00BC52F7">
      <w:pPr>
        <w:rPr>
          <w:lang w:val="en-GB"/>
        </w:rPr>
      </w:pPr>
      <w:r w:rsidRPr="008C3FA7">
        <w:rPr>
          <w:lang w:val="en-GB"/>
        </w:rPr>
        <w:t>If available, the actual antenna radiation pattern (representing the peak envelope of side lobes) should be used for determination of the relevant antenna gain. In the absence of such data, the reference radiation pattern of Recommen</w:t>
      </w:r>
      <w:r w:rsidRPr="008C3FA7">
        <w:rPr>
          <w:lang w:val="en-GB"/>
        </w:rPr>
        <w:softHyphen/>
        <w:t>dation ITU</w:t>
      </w:r>
      <w:r w:rsidRPr="008C3FA7">
        <w:rPr>
          <w:lang w:val="en-GB"/>
        </w:rPr>
        <w:noBreakHyphen/>
        <w:t>R F.699 should be used.</w:t>
      </w:r>
    </w:p>
    <w:p w:rsidR="00BC52F7" w:rsidRPr="008C3FA7" w:rsidRDefault="00BC52F7" w:rsidP="00BC52F7">
      <w:pPr>
        <w:pStyle w:val="Heading2"/>
        <w:rPr>
          <w:lang w:val="en-GB"/>
        </w:rPr>
      </w:pPr>
      <w:r w:rsidRPr="008C3FA7">
        <w:rPr>
          <w:lang w:val="en-GB"/>
        </w:rPr>
        <w:lastRenderedPageBreak/>
        <w:t>3.2</w:t>
      </w:r>
      <w:r w:rsidRPr="008C3FA7">
        <w:rPr>
          <w:lang w:val="en-GB"/>
        </w:rPr>
        <w:tab/>
        <w:t>Transmitters employing ATPC</w:t>
      </w:r>
    </w:p>
    <w:p w:rsidR="00BC52F7" w:rsidRPr="008C3FA7" w:rsidRDefault="00BC52F7" w:rsidP="005E40AE">
      <w:pPr>
        <w:rPr>
          <w:lang w:val="en-GB"/>
        </w:rPr>
      </w:pPr>
      <w:r w:rsidRPr="008C3FA7">
        <w:rPr>
          <w:lang w:val="en-GB"/>
        </w:rPr>
        <w:t>The e.i.r.p. spectral density of fixed service system stations operating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which employ ATPC may be increased above </w:t>
      </w:r>
      <w:r w:rsidR="00724C72" w:rsidRPr="008C3FA7">
        <w:rPr>
          <w:lang w:val="en-GB"/>
        </w:rPr>
        <w:t>+</w:t>
      </w:r>
      <w:r w:rsidRPr="008C3FA7">
        <w:rPr>
          <w:lang w:val="en-GB"/>
        </w:rPr>
        <w:t xml:space="preserve">8 dB(W/MHz) in the direction of the specified geostationary DRS location for less than 0.1% of the month (see </w:t>
      </w:r>
      <w:r w:rsidRPr="008C3FA7">
        <w:rPr>
          <w:i/>
          <w:lang w:val="en-GB"/>
        </w:rPr>
        <w:t>recommends </w:t>
      </w:r>
      <w:r w:rsidRPr="008C3FA7">
        <w:rPr>
          <w:lang w:val="en-GB"/>
        </w:rPr>
        <w:t>2.1).</w:t>
      </w:r>
    </w:p>
    <w:p w:rsidR="00BC52F7" w:rsidRPr="008C3FA7" w:rsidRDefault="00BC52F7" w:rsidP="00724C72">
      <w:pPr>
        <w:rPr>
          <w:lang w:val="en-GB"/>
        </w:rPr>
      </w:pPr>
      <w:r w:rsidRPr="008C3FA7">
        <w:rPr>
          <w:lang w:val="en-GB"/>
        </w:rPr>
        <w:t>However, Note 8 of the main text recognizes that certain systems employing ATPC activation by deep fading conditions may have difficulties complying with performance objectives during shallow fading conditions, because restoring performance during these shallow fading events may require ATPC activation for percentages of time greater than 0.1% of the month. Therefore, Note 8 gives a relaxed requirement that the e.i.r.p. spectral density (in the direction of the specified geostationary DRS location) of fixed service system stations in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preferably in the range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245 MHz employing ATPC may be increased above </w:t>
      </w:r>
      <w:r w:rsidR="00724C72" w:rsidRPr="008C3FA7">
        <w:rPr>
          <w:lang w:val="en-GB"/>
        </w:rPr>
        <w:t>+</w:t>
      </w:r>
      <w:r w:rsidRPr="008C3FA7">
        <w:rPr>
          <w:lang w:val="en-GB"/>
        </w:rPr>
        <w:t xml:space="preserve">8 dB(W/MHz) for less than 5% of the month in order to restore performance during shallow fading events, but the time percentage exceeding </w:t>
      </w:r>
      <w:r w:rsidR="00724C72" w:rsidRPr="008C3FA7">
        <w:rPr>
          <w:lang w:val="en-GB"/>
        </w:rPr>
        <w:t>+</w:t>
      </w:r>
      <w:r w:rsidRPr="008C3FA7">
        <w:rPr>
          <w:lang w:val="en-GB"/>
        </w:rPr>
        <w:t>11 dB(W/MHz) should be less than 0.1%.</w:t>
      </w:r>
    </w:p>
    <w:p w:rsidR="00BC52F7" w:rsidRPr="008C3FA7" w:rsidRDefault="00BC52F7" w:rsidP="00BC52F7">
      <w:pPr>
        <w:pStyle w:val="Heading2"/>
        <w:rPr>
          <w:lang w:val="en-GB"/>
        </w:rPr>
      </w:pPr>
      <w:r w:rsidRPr="008C3FA7">
        <w:rPr>
          <w:lang w:val="en-GB"/>
        </w:rPr>
        <w:t>3.3</w:t>
      </w:r>
      <w:r w:rsidRPr="008C3FA7">
        <w:rPr>
          <w:lang w:val="en-GB"/>
        </w:rPr>
        <w:tab/>
        <w:t>Exceptional cases</w:t>
      </w:r>
    </w:p>
    <w:p w:rsidR="00BC52F7" w:rsidRPr="008C3FA7" w:rsidRDefault="00BC52F7" w:rsidP="00BC52F7">
      <w:pPr>
        <w:rPr>
          <w:lang w:val="en-GB"/>
        </w:rPr>
      </w:pPr>
      <w:r w:rsidRPr="008C3FA7">
        <w:rPr>
          <w:lang w:val="en-GB"/>
        </w:rPr>
        <w:t xml:space="preserve">Fixed service system stations which are unable to comply with </w:t>
      </w:r>
      <w:r w:rsidRPr="008C3FA7">
        <w:rPr>
          <w:i/>
          <w:lang w:val="en-GB"/>
        </w:rPr>
        <w:t xml:space="preserve">recommends </w:t>
      </w:r>
      <w:r w:rsidRPr="008C3FA7">
        <w:rPr>
          <w:lang w:val="en-GB"/>
        </w:rPr>
        <w:t>2 should operate towards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290 MHz (see </w:t>
      </w:r>
      <w:r w:rsidRPr="008C3FA7">
        <w:rPr>
          <w:i/>
          <w:lang w:val="en-GB"/>
        </w:rPr>
        <w:t>recommends </w:t>
      </w:r>
      <w:r w:rsidRPr="008C3FA7">
        <w:rPr>
          <w:lang w:val="en-GB"/>
        </w:rPr>
        <w:t>2.2).</w:t>
      </w:r>
    </w:p>
    <w:p w:rsidR="00BC52F7" w:rsidRPr="008C3FA7" w:rsidRDefault="00BC52F7" w:rsidP="00BC52F7">
      <w:pPr>
        <w:rPr>
          <w:lang w:val="en-GB"/>
        </w:rPr>
      </w:pPr>
      <w:r w:rsidRPr="008C3FA7">
        <w:rPr>
          <w:lang w:val="en-GB"/>
        </w:rPr>
        <w:t>This is because mainly the use of the upper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is envisaged for the reception by DRS.</w:t>
      </w:r>
    </w:p>
    <w:p w:rsidR="00BC52F7" w:rsidRPr="008C3FA7" w:rsidRDefault="00BC52F7" w:rsidP="00BC52F7">
      <w:pPr>
        <w:pStyle w:val="Heading1"/>
        <w:rPr>
          <w:lang w:val="en-GB"/>
        </w:rPr>
      </w:pPr>
      <w:r w:rsidRPr="008C3FA7">
        <w:rPr>
          <w:lang w:val="en-GB"/>
        </w:rPr>
        <w:t>4</w:t>
      </w:r>
      <w:r w:rsidRPr="008C3FA7">
        <w:rPr>
          <w:lang w:val="en-GB"/>
        </w:rPr>
        <w:tab/>
        <w:t>P-MP fixed service system stations</w:t>
      </w:r>
    </w:p>
    <w:p w:rsidR="00BC52F7" w:rsidRPr="008C3FA7" w:rsidRDefault="00BC52F7" w:rsidP="00BC52F7">
      <w:pPr>
        <w:pStyle w:val="Heading2"/>
        <w:rPr>
          <w:lang w:val="en-GB"/>
        </w:rPr>
      </w:pPr>
      <w:r w:rsidRPr="008C3FA7">
        <w:rPr>
          <w:lang w:val="en-GB"/>
        </w:rPr>
        <w:t>4.1</w:t>
      </w:r>
      <w:r w:rsidRPr="008C3FA7">
        <w:rPr>
          <w:lang w:val="en-GB"/>
        </w:rPr>
        <w:tab/>
        <w:t>e.i.r.p. density</w:t>
      </w:r>
    </w:p>
    <w:p w:rsidR="00BC52F7" w:rsidRPr="008C3FA7" w:rsidRDefault="00BC52F7" w:rsidP="00BC52F7">
      <w:pPr>
        <w:rPr>
          <w:lang w:val="en-GB"/>
        </w:rPr>
      </w:pPr>
      <w:r w:rsidRPr="008C3FA7">
        <w:rPr>
          <w:lang w:val="en-GB"/>
        </w:rPr>
        <w:t>P-MP fixed service system stations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where practicable, should avoid radiating an e.i.r.p. density per link exceeding 5 dB(W/MHz) for both central and out-stations of high power/low density systems for more than 0.1% of the month taking into account ATPC (see </w:t>
      </w:r>
      <w:r w:rsidRPr="008C3FA7">
        <w:rPr>
          <w:i/>
          <w:lang w:val="en-GB"/>
        </w:rPr>
        <w:t>recommends </w:t>
      </w:r>
      <w:r w:rsidRPr="008C3FA7">
        <w:rPr>
          <w:lang w:val="en-GB"/>
        </w:rPr>
        <w:t>3.1).</w:t>
      </w:r>
    </w:p>
    <w:p w:rsidR="00BC52F7" w:rsidRPr="008C3FA7" w:rsidRDefault="00BC52F7" w:rsidP="00BC52F7">
      <w:pPr>
        <w:rPr>
          <w:lang w:val="en-GB"/>
        </w:rPr>
      </w:pPr>
      <w:r w:rsidRPr="008C3FA7">
        <w:rPr>
          <w:lang w:val="en-GB"/>
        </w:rPr>
        <w:t xml:space="preserve">It should be noted that </w:t>
      </w:r>
      <w:r w:rsidRPr="008C3FA7">
        <w:rPr>
          <w:i/>
          <w:lang w:val="en-GB"/>
        </w:rPr>
        <w:t xml:space="preserve">recommends </w:t>
      </w:r>
      <w:r w:rsidRPr="008C3FA7">
        <w:rPr>
          <w:lang w:val="en-GB"/>
        </w:rPr>
        <w:t>2 applies to P-P links between or within P-MP systems and to out-stations of P</w:t>
      </w:r>
      <w:r w:rsidRPr="008C3FA7">
        <w:rPr>
          <w:lang w:val="en-GB"/>
        </w:rPr>
        <w:noBreakHyphen/>
        <w:t>MP systems employing directional antennas with a maximum gain in excess of 14 dBi (see Notes 1 and 3 of the main text).</w:t>
      </w:r>
    </w:p>
    <w:p w:rsidR="00BC52F7" w:rsidRPr="008C3FA7" w:rsidRDefault="00BC52F7" w:rsidP="005E40AE">
      <w:pPr>
        <w:rPr>
          <w:lang w:val="en-GB"/>
        </w:rPr>
      </w:pPr>
      <w:r w:rsidRPr="008C3FA7">
        <w:rPr>
          <w:lang w:val="en-GB"/>
        </w:rPr>
        <w:t>Note 4 of the main text states that in a high power/low density P-MP system operating in intermittent transmission modes such as TDMA, the out-stations may increase their e.i.r.p. density levels by a factor corresponding to the number of subscribers connected to the out-stations belonging to a central station up to a maximum of 9 dB(W/MHz) (see § 3.7 of Annex 1).</w:t>
      </w:r>
    </w:p>
    <w:p w:rsidR="00BC52F7" w:rsidRPr="008C3FA7" w:rsidRDefault="00BC52F7" w:rsidP="00BC52F7">
      <w:pPr>
        <w:rPr>
          <w:lang w:val="en-GB"/>
        </w:rPr>
      </w:pPr>
      <w:r w:rsidRPr="008C3FA7">
        <w:rPr>
          <w:lang w:val="en-GB"/>
        </w:rPr>
        <w:t>Note 5 of the main text makes reference to low power/high density systems</w:t>
      </w:r>
    </w:p>
    <w:p w:rsidR="00BC52F7" w:rsidRPr="008C3FA7" w:rsidRDefault="00BC52F7" w:rsidP="00BC52F7">
      <w:pPr>
        <w:pStyle w:val="Heading2"/>
        <w:rPr>
          <w:lang w:val="en-GB"/>
        </w:rPr>
      </w:pPr>
      <w:r w:rsidRPr="008C3FA7">
        <w:rPr>
          <w:lang w:val="en-GB"/>
        </w:rPr>
        <w:t>4.2</w:t>
      </w:r>
      <w:r w:rsidRPr="008C3FA7">
        <w:rPr>
          <w:lang w:val="en-GB"/>
        </w:rPr>
        <w:tab/>
        <w:t>Central station transmitting omnidirectional antennas</w:t>
      </w:r>
    </w:p>
    <w:p w:rsidR="00BC52F7" w:rsidRPr="008C3FA7" w:rsidRDefault="00BC52F7" w:rsidP="00BC52F7">
      <w:pPr>
        <w:rPr>
          <w:lang w:val="en-GB"/>
        </w:rPr>
      </w:pPr>
      <w:r w:rsidRPr="008C3FA7">
        <w:rPr>
          <w:lang w:val="en-GB"/>
        </w:rPr>
        <w:t xml:space="preserve">P-MP systems should use at the central station omnidirectional transmitting antennas with minimal gain above the horizontal plane (see </w:t>
      </w:r>
      <w:r w:rsidRPr="008C3FA7">
        <w:rPr>
          <w:i/>
          <w:lang w:val="en-GB"/>
        </w:rPr>
        <w:t>recommends </w:t>
      </w:r>
      <w:r w:rsidRPr="008C3FA7">
        <w:rPr>
          <w:lang w:val="en-GB"/>
        </w:rPr>
        <w:t>3.2).</w:t>
      </w:r>
    </w:p>
    <w:p w:rsidR="00BC52F7" w:rsidRPr="008C3FA7" w:rsidRDefault="00BC52F7" w:rsidP="00BC52F7">
      <w:pPr>
        <w:rPr>
          <w:lang w:val="en-GB" w:eastAsia="zh-CN"/>
        </w:rPr>
      </w:pPr>
    </w:p>
    <w:p w:rsidR="00BC52F7" w:rsidRPr="008C3FA7" w:rsidRDefault="00BC52F7" w:rsidP="00BC52F7">
      <w:pPr>
        <w:pStyle w:val="Line"/>
      </w:pPr>
    </w:p>
    <w:p w:rsidR="00BC52F7" w:rsidRPr="008C3FA7" w:rsidRDefault="00BC52F7" w:rsidP="00BC52F7">
      <w:pPr>
        <w:rPr>
          <w:lang w:val="en-GB"/>
        </w:rPr>
      </w:pPr>
    </w:p>
    <w:sectPr w:rsidR="00BC52F7" w:rsidRPr="008C3FA7" w:rsidSect="00BC52F7">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C72" w:rsidRDefault="00724C72">
      <w:r>
        <w:separator/>
      </w:r>
    </w:p>
  </w:endnote>
  <w:endnote w:type="continuationSeparator" w:id="0">
    <w:p w:rsidR="00724C72" w:rsidRDefault="0072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C72" w:rsidRDefault="00724C72">
      <w:r>
        <w:separator/>
      </w:r>
    </w:p>
  </w:footnote>
  <w:footnote w:type="continuationSeparator" w:id="0">
    <w:p w:rsidR="00724C72" w:rsidRDefault="00724C72">
      <w:r>
        <w:continuationSeparator/>
      </w:r>
    </w:p>
  </w:footnote>
  <w:footnote w:id="1">
    <w:p w:rsidR="00921CF8" w:rsidRPr="00132CA3" w:rsidRDefault="00921CF8" w:rsidP="00921CF8">
      <w:pPr>
        <w:pStyle w:val="FootnoteText"/>
        <w:rPr>
          <w:lang w:val="en-US"/>
        </w:rPr>
      </w:pPr>
      <w:r w:rsidRPr="00132CA3">
        <w:rPr>
          <w:rStyle w:val="FootnoteReference"/>
          <w:lang w:val="en-US"/>
        </w:rPr>
        <w:t>*</w:t>
      </w:r>
      <w:r w:rsidRPr="00132CA3">
        <w:rPr>
          <w:lang w:val="en-US"/>
        </w:rPr>
        <w:t xml:space="preserve"> </w:t>
      </w:r>
      <w:r w:rsidRPr="00132CA3">
        <w:rPr>
          <w:lang w:val="en-US"/>
        </w:rPr>
        <w:tab/>
        <w:t>This Recommendation was jointly developed by Radiocommunication Study Groups 7 and 5, and future revision should be undertaken jointly.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Default="00724C7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Default="00724C72" w:rsidP="00724C72">
    <w:pPr>
      <w:pStyle w:val="Header"/>
      <w:ind w:right="360" w:firstLine="360"/>
    </w:pPr>
    <w:r>
      <w:rPr>
        <w:noProof/>
        <w:lang w:val="en-US" w:eastAsia="zh-CN"/>
      </w:rPr>
      <w:drawing>
        <wp:anchor distT="0" distB="0" distL="114300" distR="114300" simplePos="0" relativeHeight="251659264" behindDoc="1" locked="0" layoutInCell="1" allowOverlap="1" wp14:anchorId="1E38CA9A" wp14:editId="03C1362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Pr="00FC42AF" w:rsidRDefault="00724C7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624C0">
      <w:rPr>
        <w:rStyle w:val="PageNumber"/>
        <w:b/>
        <w:bCs/>
        <w:noProof/>
      </w:rPr>
      <w:t>ii</w:t>
    </w:r>
    <w:r>
      <w:rPr>
        <w:rStyle w:val="PageNumber"/>
        <w:b/>
        <w:bCs/>
      </w:rPr>
      <w:fldChar w:fldCharType="end"/>
    </w:r>
    <w:r w:rsidRPr="00FC42AF">
      <w:tab/>
    </w:r>
    <w:r w:rsidR="009624C0">
      <w:fldChar w:fldCharType="begin"/>
    </w:r>
    <w:r w:rsidR="009624C0">
      <w:instrText xml:space="preserve"> DOCPROPERTY "Header" \* MERGEFORMAT </w:instrText>
    </w:r>
    <w:r w:rsidR="009624C0">
      <w:fldChar w:fldCharType="separate"/>
    </w:r>
    <w:r w:rsidR="008C3FA7" w:rsidRPr="008C3FA7">
      <w:rPr>
        <w:b/>
        <w:bCs/>
      </w:rPr>
      <w:t xml:space="preserve">Rec. </w:t>
    </w:r>
    <w:r w:rsidR="009624C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624C0">
      <w:rPr>
        <w:b/>
        <w:bCs/>
        <w:noProof/>
      </w:rPr>
      <w:t>ITU-R  F.1247-3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Default="00724C72">
    <w:pPr>
      <w:pStyle w:val="Header"/>
    </w:pPr>
    <w:r>
      <w:tab/>
    </w:r>
    <w:r w:rsidR="009624C0">
      <w:fldChar w:fldCharType="begin"/>
    </w:r>
    <w:r w:rsidR="009624C0">
      <w:instrText xml:space="preserve"> DOCPROPERTY "Header" \* MERGEFORMAT </w:instrText>
    </w:r>
    <w:r w:rsidR="009624C0">
      <w:fldChar w:fldCharType="separate"/>
    </w:r>
    <w:r w:rsidR="008C3FA7" w:rsidRPr="008C3FA7">
      <w:rPr>
        <w:b/>
        <w:bCs/>
      </w:rPr>
      <w:t xml:space="preserve">Rec. </w:t>
    </w:r>
    <w:r w:rsidR="009624C0">
      <w:rPr>
        <w:b/>
        <w:bCs/>
      </w:rPr>
      <w:fldChar w:fldCharType="end"/>
    </w:r>
    <w:r>
      <w:rPr>
        <w:b/>
        <w:bCs/>
      </w:rPr>
      <w:t xml:space="preserve"> </w:t>
    </w:r>
    <w:r>
      <w:rPr>
        <w:b/>
        <w:bCs/>
      </w:rPr>
      <w:fldChar w:fldCharType="begin"/>
    </w:r>
    <w:r>
      <w:rPr>
        <w:b/>
        <w:bCs/>
      </w:rPr>
      <w:instrText>styleref href</w:instrText>
    </w:r>
    <w:r>
      <w:rPr>
        <w:b/>
        <w:bCs/>
      </w:rPr>
      <w:fldChar w:fldCharType="separate"/>
    </w:r>
    <w:r w:rsidR="008C3FA7">
      <w:rPr>
        <w:b/>
        <w:bCs/>
        <w:noProof/>
      </w:rPr>
      <w:t>ITU-R  F.1247-3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Default="00724C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24C0">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C3FA7" w:rsidRPr="008C3FA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624C0">
      <w:rPr>
        <w:b/>
        <w:bCs/>
        <w:noProof/>
      </w:rPr>
      <w:t>ITU-R  F.1247-3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72" w:rsidRDefault="00724C72">
    <w:pPr>
      <w:pStyle w:val="Header"/>
    </w:pPr>
    <w:r>
      <w:tab/>
    </w:r>
    <w:r w:rsidR="009624C0">
      <w:fldChar w:fldCharType="begin"/>
    </w:r>
    <w:r w:rsidR="009624C0">
      <w:instrText xml:space="preserve"> DOCPROPERTY "Header" \* MERGEFORMAT </w:instrText>
    </w:r>
    <w:r w:rsidR="009624C0">
      <w:fldChar w:fldCharType="separate"/>
    </w:r>
    <w:r w:rsidR="008C3FA7" w:rsidRPr="008C3FA7">
      <w:rPr>
        <w:b/>
        <w:bCs/>
      </w:rPr>
      <w:t xml:space="preserve">Rec. </w:t>
    </w:r>
    <w:r w:rsidR="009624C0">
      <w:rPr>
        <w:b/>
        <w:bCs/>
      </w:rPr>
      <w:fldChar w:fldCharType="end"/>
    </w:r>
    <w:r>
      <w:rPr>
        <w:b/>
        <w:bCs/>
      </w:rPr>
      <w:t xml:space="preserve"> </w:t>
    </w:r>
    <w:r>
      <w:rPr>
        <w:b/>
        <w:bCs/>
      </w:rPr>
      <w:fldChar w:fldCharType="begin"/>
    </w:r>
    <w:r>
      <w:rPr>
        <w:b/>
        <w:bCs/>
      </w:rPr>
      <w:instrText>styleref href</w:instrText>
    </w:r>
    <w:r>
      <w:rPr>
        <w:b/>
        <w:bCs/>
      </w:rPr>
      <w:fldChar w:fldCharType="separate"/>
    </w:r>
    <w:r w:rsidR="009624C0">
      <w:rPr>
        <w:b/>
        <w:bCs/>
        <w:noProof/>
      </w:rPr>
      <w:t>ITU-R  F.1247-3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24C0">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F7"/>
    <w:rsid w:val="002178C4"/>
    <w:rsid w:val="00217EBF"/>
    <w:rsid w:val="00242AEE"/>
    <w:rsid w:val="002D76C4"/>
    <w:rsid w:val="004C3AFB"/>
    <w:rsid w:val="0052529D"/>
    <w:rsid w:val="005E40AE"/>
    <w:rsid w:val="00607D68"/>
    <w:rsid w:val="00724C72"/>
    <w:rsid w:val="007468DA"/>
    <w:rsid w:val="008C3FA7"/>
    <w:rsid w:val="00921CF8"/>
    <w:rsid w:val="009624C0"/>
    <w:rsid w:val="009E00A8"/>
    <w:rsid w:val="00A6617B"/>
    <w:rsid w:val="00AB0DC8"/>
    <w:rsid w:val="00B44E24"/>
    <w:rsid w:val="00BC52F7"/>
    <w:rsid w:val="00DF4176"/>
    <w:rsid w:val="00F364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52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C52F7"/>
    <w:pPr>
      <w:keepNext/>
      <w:keepLines/>
      <w:spacing w:before="480"/>
      <w:ind w:left="794" w:hanging="794"/>
      <w:outlineLvl w:val="0"/>
    </w:pPr>
    <w:rPr>
      <w:b/>
    </w:rPr>
  </w:style>
  <w:style w:type="paragraph" w:styleId="Heading2">
    <w:name w:val="heading 2"/>
    <w:basedOn w:val="Heading1"/>
    <w:next w:val="Normal"/>
    <w:qFormat/>
    <w:rsid w:val="00BC52F7"/>
    <w:pPr>
      <w:spacing w:before="320"/>
      <w:outlineLvl w:val="1"/>
    </w:pPr>
  </w:style>
  <w:style w:type="paragraph" w:styleId="Heading3">
    <w:name w:val="heading 3"/>
    <w:basedOn w:val="Heading1"/>
    <w:next w:val="Normal"/>
    <w:qFormat/>
    <w:rsid w:val="00BC52F7"/>
    <w:pPr>
      <w:spacing w:before="200"/>
      <w:outlineLvl w:val="2"/>
    </w:pPr>
  </w:style>
  <w:style w:type="paragraph" w:styleId="Heading4">
    <w:name w:val="heading 4"/>
    <w:basedOn w:val="Heading3"/>
    <w:next w:val="Normal"/>
    <w:qFormat/>
    <w:rsid w:val="00BC52F7"/>
    <w:pPr>
      <w:tabs>
        <w:tab w:val="clear" w:pos="794"/>
        <w:tab w:val="left" w:pos="992"/>
      </w:tabs>
      <w:ind w:left="992" w:hanging="992"/>
      <w:outlineLvl w:val="3"/>
    </w:pPr>
  </w:style>
  <w:style w:type="paragraph" w:styleId="Heading5">
    <w:name w:val="heading 5"/>
    <w:basedOn w:val="Heading4"/>
    <w:next w:val="Normal"/>
    <w:qFormat/>
    <w:rsid w:val="00BC52F7"/>
    <w:pPr>
      <w:outlineLvl w:val="4"/>
    </w:pPr>
  </w:style>
  <w:style w:type="paragraph" w:styleId="Heading6">
    <w:name w:val="heading 6"/>
    <w:basedOn w:val="Heading4"/>
    <w:next w:val="Normal"/>
    <w:qFormat/>
    <w:rsid w:val="00BC52F7"/>
    <w:pPr>
      <w:tabs>
        <w:tab w:val="clear" w:pos="992"/>
        <w:tab w:val="clear" w:pos="1191"/>
      </w:tabs>
      <w:ind w:left="1588" w:hanging="1588"/>
      <w:outlineLvl w:val="5"/>
    </w:pPr>
  </w:style>
  <w:style w:type="paragraph" w:styleId="Heading7">
    <w:name w:val="heading 7"/>
    <w:basedOn w:val="Heading6"/>
    <w:next w:val="Normal"/>
    <w:qFormat/>
    <w:rsid w:val="00BC52F7"/>
    <w:pPr>
      <w:outlineLvl w:val="6"/>
    </w:pPr>
  </w:style>
  <w:style w:type="paragraph" w:styleId="Heading8">
    <w:name w:val="heading 8"/>
    <w:basedOn w:val="Heading6"/>
    <w:next w:val="Normal"/>
    <w:qFormat/>
    <w:rsid w:val="00BC52F7"/>
    <w:pPr>
      <w:outlineLvl w:val="7"/>
    </w:pPr>
  </w:style>
  <w:style w:type="paragraph" w:styleId="Heading9">
    <w:name w:val="heading 9"/>
    <w:basedOn w:val="Heading6"/>
    <w:next w:val="Normal"/>
    <w:qFormat/>
    <w:rsid w:val="00BC52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52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C52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52F7"/>
  </w:style>
  <w:style w:type="paragraph" w:customStyle="1" w:styleId="Headingb">
    <w:name w:val="Heading_b"/>
    <w:basedOn w:val="Heading3"/>
    <w:next w:val="Normal"/>
    <w:rsid w:val="00BC52F7"/>
    <w:pPr>
      <w:spacing w:before="160"/>
      <w:ind w:left="0" w:firstLine="0"/>
      <w:outlineLvl w:val="9"/>
    </w:pPr>
  </w:style>
  <w:style w:type="paragraph" w:customStyle="1" w:styleId="Headingi">
    <w:name w:val="Heading_i"/>
    <w:basedOn w:val="Heading3"/>
    <w:next w:val="Normal"/>
    <w:rsid w:val="00BC52F7"/>
    <w:pPr>
      <w:spacing w:before="160"/>
      <w:ind w:left="0" w:firstLine="0"/>
    </w:pPr>
    <w:rPr>
      <w:b w:val="0"/>
      <w:i/>
    </w:rPr>
  </w:style>
  <w:style w:type="character" w:customStyle="1" w:styleId="href">
    <w:name w:val="href"/>
    <w:basedOn w:val="DefaultParagraphFont"/>
    <w:rsid w:val="00BC52F7"/>
  </w:style>
  <w:style w:type="paragraph" w:customStyle="1" w:styleId="enumlev1">
    <w:name w:val="enumlev1"/>
    <w:basedOn w:val="Normal"/>
    <w:link w:val="enumlev1Char"/>
    <w:rsid w:val="00BC52F7"/>
    <w:pPr>
      <w:spacing w:before="80"/>
      <w:ind w:left="794" w:hanging="794"/>
    </w:pPr>
  </w:style>
  <w:style w:type="paragraph" w:customStyle="1" w:styleId="enumlev2">
    <w:name w:val="enumlev2"/>
    <w:basedOn w:val="enumlev1"/>
    <w:rsid w:val="00BC52F7"/>
    <w:pPr>
      <w:ind w:left="1191" w:hanging="397"/>
    </w:pPr>
  </w:style>
  <w:style w:type="paragraph" w:customStyle="1" w:styleId="enumlev3">
    <w:name w:val="enumlev3"/>
    <w:basedOn w:val="enumlev2"/>
    <w:rsid w:val="00BC52F7"/>
    <w:pPr>
      <w:ind w:left="1588"/>
    </w:pPr>
  </w:style>
  <w:style w:type="paragraph" w:customStyle="1" w:styleId="Normalaftertitle">
    <w:name w:val="Normal_after_title"/>
    <w:basedOn w:val="Normal"/>
    <w:next w:val="Normal"/>
    <w:link w:val="NormalaftertitleChar"/>
    <w:rsid w:val="00BC52F7"/>
    <w:pPr>
      <w:spacing w:before="320"/>
    </w:pPr>
  </w:style>
  <w:style w:type="paragraph" w:customStyle="1" w:styleId="Note">
    <w:name w:val="Note"/>
    <w:basedOn w:val="Normal"/>
    <w:rsid w:val="00BC52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52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52F7"/>
    <w:pPr>
      <w:spacing w:before="240"/>
    </w:pPr>
    <w:rPr>
      <w:sz w:val="22"/>
      <w:lang w:val="es-ES_tradnl"/>
    </w:rPr>
  </w:style>
  <w:style w:type="paragraph" w:customStyle="1" w:styleId="Recref">
    <w:name w:val="Rec_ref"/>
    <w:basedOn w:val="Normal"/>
    <w:next w:val="Recdate"/>
    <w:rsid w:val="00BC52F7"/>
    <w:pPr>
      <w:jc w:val="center"/>
    </w:pPr>
  </w:style>
  <w:style w:type="paragraph" w:customStyle="1" w:styleId="Recdate">
    <w:name w:val="Rec_date"/>
    <w:basedOn w:val="Recref"/>
    <w:next w:val="Normalaftertitle"/>
    <w:rsid w:val="00BC52F7"/>
    <w:pPr>
      <w:jc w:val="right"/>
    </w:pPr>
  </w:style>
  <w:style w:type="paragraph" w:customStyle="1" w:styleId="AnnexNoTitle">
    <w:name w:val="Annex_NoTitle"/>
    <w:basedOn w:val="Normal"/>
    <w:next w:val="Normalaftertitle"/>
    <w:link w:val="AnnexNoTitleChar"/>
    <w:rsid w:val="00BC52F7"/>
    <w:pPr>
      <w:keepNext/>
      <w:keepLines/>
      <w:spacing w:before="480" w:after="80"/>
      <w:jc w:val="center"/>
    </w:pPr>
    <w:rPr>
      <w:b/>
      <w:sz w:val="28"/>
    </w:rPr>
  </w:style>
  <w:style w:type="paragraph" w:customStyle="1" w:styleId="AppendixNoTitle">
    <w:name w:val="Appendix_NoTitle"/>
    <w:basedOn w:val="AnnexNoTitle"/>
    <w:next w:val="Normal"/>
    <w:rsid w:val="00BC52F7"/>
  </w:style>
  <w:style w:type="paragraph" w:customStyle="1" w:styleId="Tablefin">
    <w:name w:val="Table_fin"/>
    <w:basedOn w:val="Normal"/>
    <w:next w:val="Normal"/>
    <w:rsid w:val="00BC52F7"/>
    <w:pPr>
      <w:spacing w:before="0"/>
    </w:pPr>
    <w:rPr>
      <w:sz w:val="20"/>
      <w:lang w:val="en-GB"/>
    </w:rPr>
  </w:style>
  <w:style w:type="paragraph" w:customStyle="1" w:styleId="Tablehead">
    <w:name w:val="Table_head"/>
    <w:basedOn w:val="Normal"/>
    <w:next w:val="Normal"/>
    <w:rsid w:val="00BC52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C52F7"/>
    <w:pPr>
      <w:keepNext/>
      <w:spacing w:before="360" w:after="120"/>
      <w:jc w:val="center"/>
    </w:pPr>
  </w:style>
  <w:style w:type="paragraph" w:customStyle="1" w:styleId="Tabletext">
    <w:name w:val="Table_text"/>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52F7"/>
    <w:pPr>
      <w:tabs>
        <w:tab w:val="clear" w:pos="1191"/>
        <w:tab w:val="clear" w:pos="1588"/>
        <w:tab w:val="clear" w:pos="1985"/>
        <w:tab w:val="center" w:pos="4820"/>
        <w:tab w:val="right" w:pos="9639"/>
      </w:tabs>
    </w:pPr>
  </w:style>
  <w:style w:type="paragraph" w:customStyle="1" w:styleId="Equationlegend">
    <w:name w:val="Equation_legend"/>
    <w:basedOn w:val="NormalIndent"/>
    <w:rsid w:val="00BC52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52F7"/>
    <w:pPr>
      <w:ind w:left="794"/>
    </w:pPr>
  </w:style>
  <w:style w:type="paragraph" w:customStyle="1" w:styleId="Figurelegend">
    <w:name w:val="Figure_legend"/>
    <w:basedOn w:val="Normal"/>
    <w:rsid w:val="00BC52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52F7"/>
    <w:pPr>
      <w:keepNext/>
      <w:keepLines/>
      <w:spacing w:before="480" w:after="80"/>
      <w:jc w:val="center"/>
    </w:pPr>
    <w:rPr>
      <w:caps/>
      <w:sz w:val="18"/>
    </w:rPr>
  </w:style>
  <w:style w:type="paragraph" w:customStyle="1" w:styleId="tocpart">
    <w:name w:val="tocpart"/>
    <w:basedOn w:val="Normal"/>
    <w:rsid w:val="00BC52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52F7"/>
    <w:pPr>
      <w:keepNext/>
      <w:keepLines/>
      <w:spacing w:before="480"/>
      <w:jc w:val="center"/>
    </w:pPr>
    <w:rPr>
      <w:sz w:val="28"/>
    </w:rPr>
  </w:style>
  <w:style w:type="paragraph" w:customStyle="1" w:styleId="Arttitle">
    <w:name w:val="Art_title"/>
    <w:basedOn w:val="Normal"/>
    <w:next w:val="Normalaftertitle"/>
    <w:rsid w:val="00BC52F7"/>
    <w:pPr>
      <w:keepNext/>
      <w:keepLines/>
      <w:spacing w:before="240"/>
      <w:jc w:val="center"/>
    </w:pPr>
    <w:rPr>
      <w:b/>
      <w:sz w:val="28"/>
    </w:rPr>
  </w:style>
  <w:style w:type="paragraph" w:customStyle="1" w:styleId="Blanc">
    <w:name w:val="Blanc"/>
    <w:basedOn w:val="Normal"/>
    <w:next w:val="Tabletext"/>
    <w:rsid w:val="00BC52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52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52F7"/>
    <w:pPr>
      <w:keepNext/>
      <w:keepLines/>
      <w:spacing w:before="160"/>
      <w:ind w:left="794"/>
    </w:pPr>
    <w:rPr>
      <w:i/>
    </w:rPr>
  </w:style>
  <w:style w:type="paragraph" w:customStyle="1" w:styleId="ChapNo">
    <w:name w:val="Chap_No"/>
    <w:basedOn w:val="ArtNo"/>
    <w:next w:val="Chaptitle"/>
    <w:rsid w:val="00BC52F7"/>
    <w:rPr>
      <w:b/>
    </w:rPr>
  </w:style>
  <w:style w:type="paragraph" w:customStyle="1" w:styleId="Chaptitle">
    <w:name w:val="Chap_title"/>
    <w:basedOn w:val="Arttitle"/>
    <w:next w:val="Normalaftertitle"/>
    <w:rsid w:val="00BC52F7"/>
  </w:style>
  <w:style w:type="character" w:styleId="FootnoteReference">
    <w:name w:val="footnote reference"/>
    <w:aliases w:val="Footnote Reference/,Appel note de bas de p,Style 12,(NECG) Footnote Reference,Style 124"/>
    <w:basedOn w:val="DefaultParagraphFont"/>
    <w:rsid w:val="00BC52F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BC52F7"/>
    <w:pPr>
      <w:keepLines/>
      <w:tabs>
        <w:tab w:val="left" w:pos="255"/>
      </w:tabs>
      <w:ind w:left="255" w:hanging="255"/>
    </w:pPr>
    <w:rPr>
      <w:sz w:val="22"/>
    </w:rPr>
  </w:style>
  <w:style w:type="paragraph" w:styleId="Index1">
    <w:name w:val="index 1"/>
    <w:basedOn w:val="Normal"/>
    <w:next w:val="Normal"/>
    <w:semiHidden/>
    <w:rsid w:val="00BC52F7"/>
  </w:style>
  <w:style w:type="paragraph" w:styleId="Index2">
    <w:name w:val="index 2"/>
    <w:basedOn w:val="Normal"/>
    <w:next w:val="Normal"/>
    <w:semiHidden/>
    <w:rsid w:val="00BC52F7"/>
    <w:pPr>
      <w:ind w:left="283"/>
    </w:pPr>
  </w:style>
  <w:style w:type="paragraph" w:styleId="Index3">
    <w:name w:val="index 3"/>
    <w:basedOn w:val="Normal"/>
    <w:next w:val="Normal"/>
    <w:semiHidden/>
    <w:rsid w:val="00BC52F7"/>
    <w:pPr>
      <w:ind w:left="566"/>
    </w:pPr>
  </w:style>
  <w:style w:type="paragraph" w:styleId="IndexHeading">
    <w:name w:val="index heading"/>
    <w:basedOn w:val="Normal"/>
    <w:next w:val="Index1"/>
    <w:semiHidden/>
    <w:rsid w:val="00BC52F7"/>
  </w:style>
  <w:style w:type="paragraph" w:customStyle="1" w:styleId="Line">
    <w:name w:val="Line"/>
    <w:basedOn w:val="Normal"/>
    <w:next w:val="Normal"/>
    <w:rsid w:val="00BC52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52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52F7"/>
  </w:style>
  <w:style w:type="paragraph" w:customStyle="1" w:styleId="Partref">
    <w:name w:val="Part_ref"/>
    <w:basedOn w:val="Normal"/>
    <w:next w:val="Normal"/>
    <w:rsid w:val="00BC52F7"/>
    <w:pPr>
      <w:keepNext/>
      <w:keepLines/>
      <w:spacing w:after="280"/>
      <w:jc w:val="center"/>
    </w:pPr>
  </w:style>
  <w:style w:type="paragraph" w:customStyle="1" w:styleId="Parttitle">
    <w:name w:val="Part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52F7"/>
  </w:style>
  <w:style w:type="paragraph" w:customStyle="1" w:styleId="QuestionNo">
    <w:name w:val="Question_No"/>
    <w:basedOn w:val="RecNo"/>
    <w:next w:val="Normal"/>
    <w:rsid w:val="00BC52F7"/>
  </w:style>
  <w:style w:type="paragraph" w:customStyle="1" w:styleId="Questionref">
    <w:name w:val="Question_ref"/>
    <w:basedOn w:val="Recref"/>
    <w:next w:val="Questiondate"/>
    <w:rsid w:val="00BC52F7"/>
  </w:style>
  <w:style w:type="paragraph" w:customStyle="1" w:styleId="Questiontitle">
    <w:name w:val="Question_title"/>
    <w:basedOn w:val="Normal"/>
    <w:next w:val="Questionref"/>
    <w:rsid w:val="00BC52F7"/>
  </w:style>
  <w:style w:type="paragraph" w:customStyle="1" w:styleId="Reftext">
    <w:name w:val="Ref_text"/>
    <w:basedOn w:val="Normal"/>
    <w:rsid w:val="00BC52F7"/>
    <w:pPr>
      <w:ind w:left="794" w:hanging="794"/>
    </w:pPr>
    <w:rPr>
      <w:sz w:val="22"/>
    </w:rPr>
  </w:style>
  <w:style w:type="paragraph" w:customStyle="1" w:styleId="Reftitle">
    <w:name w:val="Ref_title"/>
    <w:basedOn w:val="Normal"/>
    <w:next w:val="Reftext"/>
    <w:rsid w:val="00BC52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52F7"/>
  </w:style>
  <w:style w:type="paragraph" w:customStyle="1" w:styleId="RepNo">
    <w:name w:val="Rep_No"/>
    <w:basedOn w:val="RecNo"/>
    <w:next w:val="Reptitle"/>
    <w:rsid w:val="00BC52F7"/>
  </w:style>
  <w:style w:type="paragraph" w:customStyle="1" w:styleId="Repref">
    <w:name w:val="Rep_ref"/>
    <w:basedOn w:val="Recref"/>
    <w:next w:val="Repdate"/>
    <w:rsid w:val="00BC52F7"/>
  </w:style>
  <w:style w:type="paragraph" w:customStyle="1" w:styleId="Reptitle">
    <w:name w:val="Rep_title"/>
    <w:basedOn w:val="Rectitle"/>
    <w:next w:val="Repref"/>
    <w:rsid w:val="00BC52F7"/>
  </w:style>
  <w:style w:type="paragraph" w:customStyle="1" w:styleId="Resdate">
    <w:name w:val="Res_date"/>
    <w:basedOn w:val="Recdate"/>
    <w:next w:val="Normalaftertitle"/>
    <w:rsid w:val="00BC52F7"/>
  </w:style>
  <w:style w:type="paragraph" w:customStyle="1" w:styleId="ResNo">
    <w:name w:val="Res_No"/>
    <w:basedOn w:val="RecNo"/>
    <w:next w:val="Restitle"/>
    <w:rsid w:val="00BC52F7"/>
  </w:style>
  <w:style w:type="paragraph" w:customStyle="1" w:styleId="Resref">
    <w:name w:val="Res_ref"/>
    <w:basedOn w:val="Recref"/>
    <w:next w:val="Resdate"/>
    <w:rsid w:val="00BC52F7"/>
  </w:style>
  <w:style w:type="paragraph" w:customStyle="1" w:styleId="Restitle">
    <w:name w:val="Res_title"/>
    <w:basedOn w:val="Normal"/>
    <w:next w:val="Resref"/>
    <w:rsid w:val="00BC52F7"/>
    <w:pPr>
      <w:spacing w:before="240"/>
      <w:jc w:val="center"/>
    </w:pPr>
    <w:rPr>
      <w:b/>
      <w:sz w:val="28"/>
    </w:rPr>
  </w:style>
  <w:style w:type="paragraph" w:customStyle="1" w:styleId="SectionNo">
    <w:name w:val="Section_No"/>
    <w:basedOn w:val="Normal"/>
    <w:next w:val="Normal"/>
    <w:rsid w:val="00BC52F7"/>
  </w:style>
  <w:style w:type="paragraph" w:customStyle="1" w:styleId="Sectiontitle">
    <w:name w:val="Section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52F7"/>
    <w:pPr>
      <w:tabs>
        <w:tab w:val="clear" w:pos="794"/>
        <w:tab w:val="clear" w:pos="1191"/>
        <w:tab w:val="clear" w:pos="1588"/>
        <w:tab w:val="clear" w:pos="1985"/>
        <w:tab w:val="right" w:pos="9611"/>
      </w:tabs>
    </w:pPr>
    <w:rPr>
      <w:i/>
    </w:rPr>
  </w:style>
  <w:style w:type="paragraph" w:styleId="TOC1">
    <w:name w:val="toc 1"/>
    <w:basedOn w:val="Normal"/>
    <w:semiHidden/>
    <w:rsid w:val="00BC52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C52F7"/>
    <w:pPr>
      <w:tabs>
        <w:tab w:val="clear" w:pos="567"/>
        <w:tab w:val="left" w:pos="1276"/>
      </w:tabs>
      <w:spacing w:before="160"/>
      <w:ind w:left="1276" w:hanging="709"/>
    </w:pPr>
  </w:style>
  <w:style w:type="paragraph" w:styleId="TOC3">
    <w:name w:val="toc 3"/>
    <w:basedOn w:val="TOC2"/>
    <w:semiHidden/>
    <w:rsid w:val="00BC52F7"/>
    <w:pPr>
      <w:tabs>
        <w:tab w:val="clear" w:pos="1276"/>
        <w:tab w:val="left" w:pos="2155"/>
      </w:tabs>
      <w:ind w:left="2155" w:hanging="879"/>
    </w:pPr>
  </w:style>
  <w:style w:type="paragraph" w:styleId="TOC4">
    <w:name w:val="toc 4"/>
    <w:basedOn w:val="TOC3"/>
    <w:semiHidden/>
    <w:rsid w:val="00BC52F7"/>
    <w:pPr>
      <w:tabs>
        <w:tab w:val="left" w:pos="3261"/>
      </w:tabs>
      <w:spacing w:before="80"/>
      <w:ind w:left="3261" w:hanging="993"/>
    </w:pPr>
  </w:style>
  <w:style w:type="paragraph" w:styleId="TOC5">
    <w:name w:val="toc 5"/>
    <w:basedOn w:val="TOC4"/>
    <w:semiHidden/>
    <w:rsid w:val="00BC52F7"/>
  </w:style>
  <w:style w:type="paragraph" w:styleId="TOC6">
    <w:name w:val="toc 6"/>
    <w:basedOn w:val="TOC4"/>
    <w:semiHidden/>
    <w:rsid w:val="00BC52F7"/>
  </w:style>
  <w:style w:type="paragraph" w:styleId="TOC7">
    <w:name w:val="toc 7"/>
    <w:basedOn w:val="TOC4"/>
    <w:semiHidden/>
    <w:rsid w:val="00BC52F7"/>
  </w:style>
  <w:style w:type="paragraph" w:styleId="TOC8">
    <w:name w:val="toc 8"/>
    <w:basedOn w:val="TOC4"/>
    <w:semiHidden/>
    <w:rsid w:val="00BC52F7"/>
  </w:style>
  <w:style w:type="paragraph" w:customStyle="1" w:styleId="Rectitle">
    <w:name w:val="Rec_title"/>
    <w:basedOn w:val="Normal"/>
    <w:next w:val="Recref"/>
    <w:link w:val="Rectitle0"/>
    <w:rsid w:val="00BC52F7"/>
    <w:pPr>
      <w:keepNext/>
      <w:keepLines/>
      <w:spacing w:before="240"/>
      <w:jc w:val="center"/>
    </w:pPr>
    <w:rPr>
      <w:b/>
      <w:sz w:val="28"/>
    </w:rPr>
  </w:style>
  <w:style w:type="paragraph" w:customStyle="1" w:styleId="Annexref">
    <w:name w:val="Annex_ref"/>
    <w:basedOn w:val="Normal"/>
    <w:next w:val="Normalaftertitle"/>
    <w:rsid w:val="00BC52F7"/>
    <w:pPr>
      <w:keepNext/>
      <w:keepLines/>
      <w:spacing w:after="280"/>
      <w:jc w:val="center"/>
    </w:pPr>
  </w:style>
  <w:style w:type="paragraph" w:customStyle="1" w:styleId="Appendixref">
    <w:name w:val="Appendix_ref"/>
    <w:basedOn w:val="Annexref"/>
    <w:next w:val="Normalaftertitle"/>
    <w:rsid w:val="00BC52F7"/>
  </w:style>
  <w:style w:type="paragraph" w:customStyle="1" w:styleId="Figuretitle">
    <w:name w:val="Figure_title"/>
    <w:basedOn w:val="Normal"/>
    <w:next w:val="Figure"/>
    <w:rsid w:val="00BC52F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C52F7"/>
    <w:pPr>
      <w:keepNext/>
      <w:spacing w:before="0" w:after="120"/>
      <w:jc w:val="center"/>
    </w:pPr>
    <w:rPr>
      <w:b/>
    </w:rPr>
  </w:style>
  <w:style w:type="paragraph" w:customStyle="1" w:styleId="Summary">
    <w:name w:val="Summary"/>
    <w:basedOn w:val="Normal"/>
    <w:next w:val="Normalaftertitle"/>
    <w:autoRedefine/>
    <w:rsid w:val="00BC52F7"/>
    <w:pPr>
      <w:spacing w:after="480"/>
    </w:pPr>
    <w:rPr>
      <w:sz w:val="22"/>
      <w:lang w:val="es-ES_tradnl"/>
    </w:rPr>
  </w:style>
  <w:style w:type="paragraph" w:customStyle="1" w:styleId="TableLegendNote">
    <w:name w:val="Table_Legend_Note"/>
    <w:basedOn w:val="Tablelegend"/>
    <w:next w:val="Tablelegend"/>
    <w:rsid w:val="00BC52F7"/>
    <w:pPr>
      <w:ind w:left="-85" w:firstLine="0"/>
    </w:pPr>
    <w:rPr>
      <w:lang w:val="en-US"/>
    </w:rPr>
  </w:style>
  <w:style w:type="paragraph" w:customStyle="1" w:styleId="Figure">
    <w:name w:val="Figure"/>
    <w:basedOn w:val="FigureNo"/>
    <w:next w:val="Normal"/>
    <w:rsid w:val="00BC52F7"/>
    <w:pPr>
      <w:keepNext w:val="0"/>
      <w:spacing w:before="0" w:after="240"/>
    </w:pPr>
  </w:style>
  <w:style w:type="character" w:styleId="Hyperlink">
    <w:name w:val="Hyperlink"/>
    <w:basedOn w:val="DefaultParagraphFont"/>
    <w:rsid w:val="00BC52F7"/>
    <w:rPr>
      <w:color w:val="0000FF"/>
      <w:u w:val="single"/>
    </w:rPr>
  </w:style>
  <w:style w:type="character" w:customStyle="1" w:styleId="Rectitle0">
    <w:name w:val="Rec_title Знак"/>
    <w:link w:val="Rectitle"/>
    <w:locked/>
    <w:rsid w:val="00BC52F7"/>
    <w:rPr>
      <w:b/>
      <w:sz w:val="28"/>
      <w:lang w:val="fr-FR" w:eastAsia="en-US"/>
    </w:rPr>
  </w:style>
  <w:style w:type="character" w:customStyle="1" w:styleId="enumlev1Char">
    <w:name w:val="enumlev1 Char"/>
    <w:link w:val="enumlev1"/>
    <w:rsid w:val="00BC52F7"/>
    <w:rPr>
      <w:sz w:val="24"/>
      <w:lang w:val="fr-FR" w:eastAsia="en-US"/>
    </w:rPr>
  </w:style>
  <w:style w:type="character" w:customStyle="1" w:styleId="NormalaftertitleChar">
    <w:name w:val="Normal_after_title Char"/>
    <w:link w:val="Normalaftertitle"/>
    <w:locked/>
    <w:rsid w:val="00BC52F7"/>
    <w:rPr>
      <w:sz w:val="24"/>
      <w:lang w:val="fr-FR" w:eastAsia="en-US"/>
    </w:rPr>
  </w:style>
  <w:style w:type="character" w:customStyle="1" w:styleId="AnnexNoTitleChar">
    <w:name w:val="Annex_NoTitle Char"/>
    <w:link w:val="AnnexNoTitle"/>
    <w:rsid w:val="00BC52F7"/>
    <w:rPr>
      <w:b/>
      <w:sz w:val="28"/>
      <w:lang w:val="fr-FR" w:eastAsia="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921CF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52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C52F7"/>
    <w:pPr>
      <w:keepNext/>
      <w:keepLines/>
      <w:spacing w:before="480"/>
      <w:ind w:left="794" w:hanging="794"/>
      <w:outlineLvl w:val="0"/>
    </w:pPr>
    <w:rPr>
      <w:b/>
    </w:rPr>
  </w:style>
  <w:style w:type="paragraph" w:styleId="Heading2">
    <w:name w:val="heading 2"/>
    <w:basedOn w:val="Heading1"/>
    <w:next w:val="Normal"/>
    <w:qFormat/>
    <w:rsid w:val="00BC52F7"/>
    <w:pPr>
      <w:spacing w:before="320"/>
      <w:outlineLvl w:val="1"/>
    </w:pPr>
  </w:style>
  <w:style w:type="paragraph" w:styleId="Heading3">
    <w:name w:val="heading 3"/>
    <w:basedOn w:val="Heading1"/>
    <w:next w:val="Normal"/>
    <w:qFormat/>
    <w:rsid w:val="00BC52F7"/>
    <w:pPr>
      <w:spacing w:before="200"/>
      <w:outlineLvl w:val="2"/>
    </w:pPr>
  </w:style>
  <w:style w:type="paragraph" w:styleId="Heading4">
    <w:name w:val="heading 4"/>
    <w:basedOn w:val="Heading3"/>
    <w:next w:val="Normal"/>
    <w:qFormat/>
    <w:rsid w:val="00BC52F7"/>
    <w:pPr>
      <w:tabs>
        <w:tab w:val="clear" w:pos="794"/>
        <w:tab w:val="left" w:pos="992"/>
      </w:tabs>
      <w:ind w:left="992" w:hanging="992"/>
      <w:outlineLvl w:val="3"/>
    </w:pPr>
  </w:style>
  <w:style w:type="paragraph" w:styleId="Heading5">
    <w:name w:val="heading 5"/>
    <w:basedOn w:val="Heading4"/>
    <w:next w:val="Normal"/>
    <w:qFormat/>
    <w:rsid w:val="00BC52F7"/>
    <w:pPr>
      <w:outlineLvl w:val="4"/>
    </w:pPr>
  </w:style>
  <w:style w:type="paragraph" w:styleId="Heading6">
    <w:name w:val="heading 6"/>
    <w:basedOn w:val="Heading4"/>
    <w:next w:val="Normal"/>
    <w:qFormat/>
    <w:rsid w:val="00BC52F7"/>
    <w:pPr>
      <w:tabs>
        <w:tab w:val="clear" w:pos="992"/>
        <w:tab w:val="clear" w:pos="1191"/>
      </w:tabs>
      <w:ind w:left="1588" w:hanging="1588"/>
      <w:outlineLvl w:val="5"/>
    </w:pPr>
  </w:style>
  <w:style w:type="paragraph" w:styleId="Heading7">
    <w:name w:val="heading 7"/>
    <w:basedOn w:val="Heading6"/>
    <w:next w:val="Normal"/>
    <w:qFormat/>
    <w:rsid w:val="00BC52F7"/>
    <w:pPr>
      <w:outlineLvl w:val="6"/>
    </w:pPr>
  </w:style>
  <w:style w:type="paragraph" w:styleId="Heading8">
    <w:name w:val="heading 8"/>
    <w:basedOn w:val="Heading6"/>
    <w:next w:val="Normal"/>
    <w:qFormat/>
    <w:rsid w:val="00BC52F7"/>
    <w:pPr>
      <w:outlineLvl w:val="7"/>
    </w:pPr>
  </w:style>
  <w:style w:type="paragraph" w:styleId="Heading9">
    <w:name w:val="heading 9"/>
    <w:basedOn w:val="Heading6"/>
    <w:next w:val="Normal"/>
    <w:qFormat/>
    <w:rsid w:val="00BC52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52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C52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52F7"/>
  </w:style>
  <w:style w:type="paragraph" w:customStyle="1" w:styleId="Headingb">
    <w:name w:val="Heading_b"/>
    <w:basedOn w:val="Heading3"/>
    <w:next w:val="Normal"/>
    <w:rsid w:val="00BC52F7"/>
    <w:pPr>
      <w:spacing w:before="160"/>
      <w:ind w:left="0" w:firstLine="0"/>
      <w:outlineLvl w:val="9"/>
    </w:pPr>
  </w:style>
  <w:style w:type="paragraph" w:customStyle="1" w:styleId="Headingi">
    <w:name w:val="Heading_i"/>
    <w:basedOn w:val="Heading3"/>
    <w:next w:val="Normal"/>
    <w:rsid w:val="00BC52F7"/>
    <w:pPr>
      <w:spacing w:before="160"/>
      <w:ind w:left="0" w:firstLine="0"/>
    </w:pPr>
    <w:rPr>
      <w:b w:val="0"/>
      <w:i/>
    </w:rPr>
  </w:style>
  <w:style w:type="character" w:customStyle="1" w:styleId="href">
    <w:name w:val="href"/>
    <w:basedOn w:val="DefaultParagraphFont"/>
    <w:rsid w:val="00BC52F7"/>
  </w:style>
  <w:style w:type="paragraph" w:customStyle="1" w:styleId="enumlev1">
    <w:name w:val="enumlev1"/>
    <w:basedOn w:val="Normal"/>
    <w:link w:val="enumlev1Char"/>
    <w:rsid w:val="00BC52F7"/>
    <w:pPr>
      <w:spacing w:before="80"/>
      <w:ind w:left="794" w:hanging="794"/>
    </w:pPr>
  </w:style>
  <w:style w:type="paragraph" w:customStyle="1" w:styleId="enumlev2">
    <w:name w:val="enumlev2"/>
    <w:basedOn w:val="enumlev1"/>
    <w:rsid w:val="00BC52F7"/>
    <w:pPr>
      <w:ind w:left="1191" w:hanging="397"/>
    </w:pPr>
  </w:style>
  <w:style w:type="paragraph" w:customStyle="1" w:styleId="enumlev3">
    <w:name w:val="enumlev3"/>
    <w:basedOn w:val="enumlev2"/>
    <w:rsid w:val="00BC52F7"/>
    <w:pPr>
      <w:ind w:left="1588"/>
    </w:pPr>
  </w:style>
  <w:style w:type="paragraph" w:customStyle="1" w:styleId="Normalaftertitle">
    <w:name w:val="Normal_after_title"/>
    <w:basedOn w:val="Normal"/>
    <w:next w:val="Normal"/>
    <w:link w:val="NormalaftertitleChar"/>
    <w:rsid w:val="00BC52F7"/>
    <w:pPr>
      <w:spacing w:before="320"/>
    </w:pPr>
  </w:style>
  <w:style w:type="paragraph" w:customStyle="1" w:styleId="Note">
    <w:name w:val="Note"/>
    <w:basedOn w:val="Normal"/>
    <w:rsid w:val="00BC52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52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52F7"/>
    <w:pPr>
      <w:spacing w:before="240"/>
    </w:pPr>
    <w:rPr>
      <w:sz w:val="22"/>
      <w:lang w:val="es-ES_tradnl"/>
    </w:rPr>
  </w:style>
  <w:style w:type="paragraph" w:customStyle="1" w:styleId="Recref">
    <w:name w:val="Rec_ref"/>
    <w:basedOn w:val="Normal"/>
    <w:next w:val="Recdate"/>
    <w:rsid w:val="00BC52F7"/>
    <w:pPr>
      <w:jc w:val="center"/>
    </w:pPr>
  </w:style>
  <w:style w:type="paragraph" w:customStyle="1" w:styleId="Recdate">
    <w:name w:val="Rec_date"/>
    <w:basedOn w:val="Recref"/>
    <w:next w:val="Normalaftertitle"/>
    <w:rsid w:val="00BC52F7"/>
    <w:pPr>
      <w:jc w:val="right"/>
    </w:pPr>
  </w:style>
  <w:style w:type="paragraph" w:customStyle="1" w:styleId="AnnexNoTitle">
    <w:name w:val="Annex_NoTitle"/>
    <w:basedOn w:val="Normal"/>
    <w:next w:val="Normalaftertitle"/>
    <w:link w:val="AnnexNoTitleChar"/>
    <w:rsid w:val="00BC52F7"/>
    <w:pPr>
      <w:keepNext/>
      <w:keepLines/>
      <w:spacing w:before="480" w:after="80"/>
      <w:jc w:val="center"/>
    </w:pPr>
    <w:rPr>
      <w:b/>
      <w:sz w:val="28"/>
    </w:rPr>
  </w:style>
  <w:style w:type="paragraph" w:customStyle="1" w:styleId="AppendixNoTitle">
    <w:name w:val="Appendix_NoTitle"/>
    <w:basedOn w:val="AnnexNoTitle"/>
    <w:next w:val="Normal"/>
    <w:rsid w:val="00BC52F7"/>
  </w:style>
  <w:style w:type="paragraph" w:customStyle="1" w:styleId="Tablefin">
    <w:name w:val="Table_fin"/>
    <w:basedOn w:val="Normal"/>
    <w:next w:val="Normal"/>
    <w:rsid w:val="00BC52F7"/>
    <w:pPr>
      <w:spacing w:before="0"/>
    </w:pPr>
    <w:rPr>
      <w:sz w:val="20"/>
      <w:lang w:val="en-GB"/>
    </w:rPr>
  </w:style>
  <w:style w:type="paragraph" w:customStyle="1" w:styleId="Tablehead">
    <w:name w:val="Table_head"/>
    <w:basedOn w:val="Normal"/>
    <w:next w:val="Normal"/>
    <w:rsid w:val="00BC52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C52F7"/>
    <w:pPr>
      <w:keepNext/>
      <w:spacing w:before="360" w:after="120"/>
      <w:jc w:val="center"/>
    </w:pPr>
  </w:style>
  <w:style w:type="paragraph" w:customStyle="1" w:styleId="Tabletext">
    <w:name w:val="Table_text"/>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52F7"/>
    <w:pPr>
      <w:tabs>
        <w:tab w:val="clear" w:pos="1191"/>
        <w:tab w:val="clear" w:pos="1588"/>
        <w:tab w:val="clear" w:pos="1985"/>
        <w:tab w:val="center" w:pos="4820"/>
        <w:tab w:val="right" w:pos="9639"/>
      </w:tabs>
    </w:pPr>
  </w:style>
  <w:style w:type="paragraph" w:customStyle="1" w:styleId="Equationlegend">
    <w:name w:val="Equation_legend"/>
    <w:basedOn w:val="NormalIndent"/>
    <w:rsid w:val="00BC52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52F7"/>
    <w:pPr>
      <w:ind w:left="794"/>
    </w:pPr>
  </w:style>
  <w:style w:type="paragraph" w:customStyle="1" w:styleId="Figurelegend">
    <w:name w:val="Figure_legend"/>
    <w:basedOn w:val="Normal"/>
    <w:rsid w:val="00BC52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52F7"/>
    <w:pPr>
      <w:keepNext/>
      <w:keepLines/>
      <w:spacing w:before="480" w:after="80"/>
      <w:jc w:val="center"/>
    </w:pPr>
    <w:rPr>
      <w:caps/>
      <w:sz w:val="18"/>
    </w:rPr>
  </w:style>
  <w:style w:type="paragraph" w:customStyle="1" w:styleId="tocpart">
    <w:name w:val="tocpart"/>
    <w:basedOn w:val="Normal"/>
    <w:rsid w:val="00BC52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52F7"/>
    <w:pPr>
      <w:keepNext/>
      <w:keepLines/>
      <w:spacing w:before="480"/>
      <w:jc w:val="center"/>
    </w:pPr>
    <w:rPr>
      <w:sz w:val="28"/>
    </w:rPr>
  </w:style>
  <w:style w:type="paragraph" w:customStyle="1" w:styleId="Arttitle">
    <w:name w:val="Art_title"/>
    <w:basedOn w:val="Normal"/>
    <w:next w:val="Normalaftertitle"/>
    <w:rsid w:val="00BC52F7"/>
    <w:pPr>
      <w:keepNext/>
      <w:keepLines/>
      <w:spacing w:before="240"/>
      <w:jc w:val="center"/>
    </w:pPr>
    <w:rPr>
      <w:b/>
      <w:sz w:val="28"/>
    </w:rPr>
  </w:style>
  <w:style w:type="paragraph" w:customStyle="1" w:styleId="Blanc">
    <w:name w:val="Blanc"/>
    <w:basedOn w:val="Normal"/>
    <w:next w:val="Tabletext"/>
    <w:rsid w:val="00BC52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52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52F7"/>
    <w:pPr>
      <w:keepNext/>
      <w:keepLines/>
      <w:spacing w:before="160"/>
      <w:ind w:left="794"/>
    </w:pPr>
    <w:rPr>
      <w:i/>
    </w:rPr>
  </w:style>
  <w:style w:type="paragraph" w:customStyle="1" w:styleId="ChapNo">
    <w:name w:val="Chap_No"/>
    <w:basedOn w:val="ArtNo"/>
    <w:next w:val="Chaptitle"/>
    <w:rsid w:val="00BC52F7"/>
    <w:rPr>
      <w:b/>
    </w:rPr>
  </w:style>
  <w:style w:type="paragraph" w:customStyle="1" w:styleId="Chaptitle">
    <w:name w:val="Chap_title"/>
    <w:basedOn w:val="Arttitle"/>
    <w:next w:val="Normalaftertitle"/>
    <w:rsid w:val="00BC52F7"/>
  </w:style>
  <w:style w:type="character" w:styleId="FootnoteReference">
    <w:name w:val="footnote reference"/>
    <w:aliases w:val="Footnote Reference/,Appel note de bas de p,Style 12,(NECG) Footnote Reference,Style 124"/>
    <w:basedOn w:val="DefaultParagraphFont"/>
    <w:rsid w:val="00BC52F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BC52F7"/>
    <w:pPr>
      <w:keepLines/>
      <w:tabs>
        <w:tab w:val="left" w:pos="255"/>
      </w:tabs>
      <w:ind w:left="255" w:hanging="255"/>
    </w:pPr>
    <w:rPr>
      <w:sz w:val="22"/>
    </w:rPr>
  </w:style>
  <w:style w:type="paragraph" w:styleId="Index1">
    <w:name w:val="index 1"/>
    <w:basedOn w:val="Normal"/>
    <w:next w:val="Normal"/>
    <w:semiHidden/>
    <w:rsid w:val="00BC52F7"/>
  </w:style>
  <w:style w:type="paragraph" w:styleId="Index2">
    <w:name w:val="index 2"/>
    <w:basedOn w:val="Normal"/>
    <w:next w:val="Normal"/>
    <w:semiHidden/>
    <w:rsid w:val="00BC52F7"/>
    <w:pPr>
      <w:ind w:left="283"/>
    </w:pPr>
  </w:style>
  <w:style w:type="paragraph" w:styleId="Index3">
    <w:name w:val="index 3"/>
    <w:basedOn w:val="Normal"/>
    <w:next w:val="Normal"/>
    <w:semiHidden/>
    <w:rsid w:val="00BC52F7"/>
    <w:pPr>
      <w:ind w:left="566"/>
    </w:pPr>
  </w:style>
  <w:style w:type="paragraph" w:styleId="IndexHeading">
    <w:name w:val="index heading"/>
    <w:basedOn w:val="Normal"/>
    <w:next w:val="Index1"/>
    <w:semiHidden/>
    <w:rsid w:val="00BC52F7"/>
  </w:style>
  <w:style w:type="paragraph" w:customStyle="1" w:styleId="Line">
    <w:name w:val="Line"/>
    <w:basedOn w:val="Normal"/>
    <w:next w:val="Normal"/>
    <w:rsid w:val="00BC52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52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52F7"/>
  </w:style>
  <w:style w:type="paragraph" w:customStyle="1" w:styleId="Partref">
    <w:name w:val="Part_ref"/>
    <w:basedOn w:val="Normal"/>
    <w:next w:val="Normal"/>
    <w:rsid w:val="00BC52F7"/>
    <w:pPr>
      <w:keepNext/>
      <w:keepLines/>
      <w:spacing w:after="280"/>
      <w:jc w:val="center"/>
    </w:pPr>
  </w:style>
  <w:style w:type="paragraph" w:customStyle="1" w:styleId="Parttitle">
    <w:name w:val="Part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52F7"/>
  </w:style>
  <w:style w:type="paragraph" w:customStyle="1" w:styleId="QuestionNo">
    <w:name w:val="Question_No"/>
    <w:basedOn w:val="RecNo"/>
    <w:next w:val="Normal"/>
    <w:rsid w:val="00BC52F7"/>
  </w:style>
  <w:style w:type="paragraph" w:customStyle="1" w:styleId="Questionref">
    <w:name w:val="Question_ref"/>
    <w:basedOn w:val="Recref"/>
    <w:next w:val="Questiondate"/>
    <w:rsid w:val="00BC52F7"/>
  </w:style>
  <w:style w:type="paragraph" w:customStyle="1" w:styleId="Questiontitle">
    <w:name w:val="Question_title"/>
    <w:basedOn w:val="Normal"/>
    <w:next w:val="Questionref"/>
    <w:rsid w:val="00BC52F7"/>
  </w:style>
  <w:style w:type="paragraph" w:customStyle="1" w:styleId="Reftext">
    <w:name w:val="Ref_text"/>
    <w:basedOn w:val="Normal"/>
    <w:rsid w:val="00BC52F7"/>
    <w:pPr>
      <w:ind w:left="794" w:hanging="794"/>
    </w:pPr>
    <w:rPr>
      <w:sz w:val="22"/>
    </w:rPr>
  </w:style>
  <w:style w:type="paragraph" w:customStyle="1" w:styleId="Reftitle">
    <w:name w:val="Ref_title"/>
    <w:basedOn w:val="Normal"/>
    <w:next w:val="Reftext"/>
    <w:rsid w:val="00BC52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52F7"/>
  </w:style>
  <w:style w:type="paragraph" w:customStyle="1" w:styleId="RepNo">
    <w:name w:val="Rep_No"/>
    <w:basedOn w:val="RecNo"/>
    <w:next w:val="Reptitle"/>
    <w:rsid w:val="00BC52F7"/>
  </w:style>
  <w:style w:type="paragraph" w:customStyle="1" w:styleId="Repref">
    <w:name w:val="Rep_ref"/>
    <w:basedOn w:val="Recref"/>
    <w:next w:val="Repdate"/>
    <w:rsid w:val="00BC52F7"/>
  </w:style>
  <w:style w:type="paragraph" w:customStyle="1" w:styleId="Reptitle">
    <w:name w:val="Rep_title"/>
    <w:basedOn w:val="Rectitle"/>
    <w:next w:val="Repref"/>
    <w:rsid w:val="00BC52F7"/>
  </w:style>
  <w:style w:type="paragraph" w:customStyle="1" w:styleId="Resdate">
    <w:name w:val="Res_date"/>
    <w:basedOn w:val="Recdate"/>
    <w:next w:val="Normalaftertitle"/>
    <w:rsid w:val="00BC52F7"/>
  </w:style>
  <w:style w:type="paragraph" w:customStyle="1" w:styleId="ResNo">
    <w:name w:val="Res_No"/>
    <w:basedOn w:val="RecNo"/>
    <w:next w:val="Restitle"/>
    <w:rsid w:val="00BC52F7"/>
  </w:style>
  <w:style w:type="paragraph" w:customStyle="1" w:styleId="Resref">
    <w:name w:val="Res_ref"/>
    <w:basedOn w:val="Recref"/>
    <w:next w:val="Resdate"/>
    <w:rsid w:val="00BC52F7"/>
  </w:style>
  <w:style w:type="paragraph" w:customStyle="1" w:styleId="Restitle">
    <w:name w:val="Res_title"/>
    <w:basedOn w:val="Normal"/>
    <w:next w:val="Resref"/>
    <w:rsid w:val="00BC52F7"/>
    <w:pPr>
      <w:spacing w:before="240"/>
      <w:jc w:val="center"/>
    </w:pPr>
    <w:rPr>
      <w:b/>
      <w:sz w:val="28"/>
    </w:rPr>
  </w:style>
  <w:style w:type="paragraph" w:customStyle="1" w:styleId="SectionNo">
    <w:name w:val="Section_No"/>
    <w:basedOn w:val="Normal"/>
    <w:next w:val="Normal"/>
    <w:rsid w:val="00BC52F7"/>
  </w:style>
  <w:style w:type="paragraph" w:customStyle="1" w:styleId="Sectiontitle">
    <w:name w:val="Section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52F7"/>
    <w:pPr>
      <w:tabs>
        <w:tab w:val="clear" w:pos="794"/>
        <w:tab w:val="clear" w:pos="1191"/>
        <w:tab w:val="clear" w:pos="1588"/>
        <w:tab w:val="clear" w:pos="1985"/>
        <w:tab w:val="right" w:pos="9611"/>
      </w:tabs>
    </w:pPr>
    <w:rPr>
      <w:i/>
    </w:rPr>
  </w:style>
  <w:style w:type="paragraph" w:styleId="TOC1">
    <w:name w:val="toc 1"/>
    <w:basedOn w:val="Normal"/>
    <w:semiHidden/>
    <w:rsid w:val="00BC52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C52F7"/>
    <w:pPr>
      <w:tabs>
        <w:tab w:val="clear" w:pos="567"/>
        <w:tab w:val="left" w:pos="1276"/>
      </w:tabs>
      <w:spacing w:before="160"/>
      <w:ind w:left="1276" w:hanging="709"/>
    </w:pPr>
  </w:style>
  <w:style w:type="paragraph" w:styleId="TOC3">
    <w:name w:val="toc 3"/>
    <w:basedOn w:val="TOC2"/>
    <w:semiHidden/>
    <w:rsid w:val="00BC52F7"/>
    <w:pPr>
      <w:tabs>
        <w:tab w:val="clear" w:pos="1276"/>
        <w:tab w:val="left" w:pos="2155"/>
      </w:tabs>
      <w:ind w:left="2155" w:hanging="879"/>
    </w:pPr>
  </w:style>
  <w:style w:type="paragraph" w:styleId="TOC4">
    <w:name w:val="toc 4"/>
    <w:basedOn w:val="TOC3"/>
    <w:semiHidden/>
    <w:rsid w:val="00BC52F7"/>
    <w:pPr>
      <w:tabs>
        <w:tab w:val="left" w:pos="3261"/>
      </w:tabs>
      <w:spacing w:before="80"/>
      <w:ind w:left="3261" w:hanging="993"/>
    </w:pPr>
  </w:style>
  <w:style w:type="paragraph" w:styleId="TOC5">
    <w:name w:val="toc 5"/>
    <w:basedOn w:val="TOC4"/>
    <w:semiHidden/>
    <w:rsid w:val="00BC52F7"/>
  </w:style>
  <w:style w:type="paragraph" w:styleId="TOC6">
    <w:name w:val="toc 6"/>
    <w:basedOn w:val="TOC4"/>
    <w:semiHidden/>
    <w:rsid w:val="00BC52F7"/>
  </w:style>
  <w:style w:type="paragraph" w:styleId="TOC7">
    <w:name w:val="toc 7"/>
    <w:basedOn w:val="TOC4"/>
    <w:semiHidden/>
    <w:rsid w:val="00BC52F7"/>
  </w:style>
  <w:style w:type="paragraph" w:styleId="TOC8">
    <w:name w:val="toc 8"/>
    <w:basedOn w:val="TOC4"/>
    <w:semiHidden/>
    <w:rsid w:val="00BC52F7"/>
  </w:style>
  <w:style w:type="paragraph" w:customStyle="1" w:styleId="Rectitle">
    <w:name w:val="Rec_title"/>
    <w:basedOn w:val="Normal"/>
    <w:next w:val="Recref"/>
    <w:link w:val="Rectitle0"/>
    <w:rsid w:val="00BC52F7"/>
    <w:pPr>
      <w:keepNext/>
      <w:keepLines/>
      <w:spacing w:before="240"/>
      <w:jc w:val="center"/>
    </w:pPr>
    <w:rPr>
      <w:b/>
      <w:sz w:val="28"/>
    </w:rPr>
  </w:style>
  <w:style w:type="paragraph" w:customStyle="1" w:styleId="Annexref">
    <w:name w:val="Annex_ref"/>
    <w:basedOn w:val="Normal"/>
    <w:next w:val="Normalaftertitle"/>
    <w:rsid w:val="00BC52F7"/>
    <w:pPr>
      <w:keepNext/>
      <w:keepLines/>
      <w:spacing w:after="280"/>
      <w:jc w:val="center"/>
    </w:pPr>
  </w:style>
  <w:style w:type="paragraph" w:customStyle="1" w:styleId="Appendixref">
    <w:name w:val="Appendix_ref"/>
    <w:basedOn w:val="Annexref"/>
    <w:next w:val="Normalaftertitle"/>
    <w:rsid w:val="00BC52F7"/>
  </w:style>
  <w:style w:type="paragraph" w:customStyle="1" w:styleId="Figuretitle">
    <w:name w:val="Figure_title"/>
    <w:basedOn w:val="Normal"/>
    <w:next w:val="Figure"/>
    <w:rsid w:val="00BC52F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C52F7"/>
    <w:pPr>
      <w:keepNext/>
      <w:spacing w:before="0" w:after="120"/>
      <w:jc w:val="center"/>
    </w:pPr>
    <w:rPr>
      <w:b/>
    </w:rPr>
  </w:style>
  <w:style w:type="paragraph" w:customStyle="1" w:styleId="Summary">
    <w:name w:val="Summary"/>
    <w:basedOn w:val="Normal"/>
    <w:next w:val="Normalaftertitle"/>
    <w:autoRedefine/>
    <w:rsid w:val="00BC52F7"/>
    <w:pPr>
      <w:spacing w:after="480"/>
    </w:pPr>
    <w:rPr>
      <w:sz w:val="22"/>
      <w:lang w:val="es-ES_tradnl"/>
    </w:rPr>
  </w:style>
  <w:style w:type="paragraph" w:customStyle="1" w:styleId="TableLegendNote">
    <w:name w:val="Table_Legend_Note"/>
    <w:basedOn w:val="Tablelegend"/>
    <w:next w:val="Tablelegend"/>
    <w:rsid w:val="00BC52F7"/>
    <w:pPr>
      <w:ind w:left="-85" w:firstLine="0"/>
    </w:pPr>
    <w:rPr>
      <w:lang w:val="en-US"/>
    </w:rPr>
  </w:style>
  <w:style w:type="paragraph" w:customStyle="1" w:styleId="Figure">
    <w:name w:val="Figure"/>
    <w:basedOn w:val="FigureNo"/>
    <w:next w:val="Normal"/>
    <w:rsid w:val="00BC52F7"/>
    <w:pPr>
      <w:keepNext w:val="0"/>
      <w:spacing w:before="0" w:after="240"/>
    </w:pPr>
  </w:style>
  <w:style w:type="character" w:styleId="Hyperlink">
    <w:name w:val="Hyperlink"/>
    <w:basedOn w:val="DefaultParagraphFont"/>
    <w:rsid w:val="00BC52F7"/>
    <w:rPr>
      <w:color w:val="0000FF"/>
      <w:u w:val="single"/>
    </w:rPr>
  </w:style>
  <w:style w:type="character" w:customStyle="1" w:styleId="Rectitle0">
    <w:name w:val="Rec_title Знак"/>
    <w:link w:val="Rectitle"/>
    <w:locked/>
    <w:rsid w:val="00BC52F7"/>
    <w:rPr>
      <w:b/>
      <w:sz w:val="28"/>
      <w:lang w:val="fr-FR" w:eastAsia="en-US"/>
    </w:rPr>
  </w:style>
  <w:style w:type="character" w:customStyle="1" w:styleId="enumlev1Char">
    <w:name w:val="enumlev1 Char"/>
    <w:link w:val="enumlev1"/>
    <w:rsid w:val="00BC52F7"/>
    <w:rPr>
      <w:sz w:val="24"/>
      <w:lang w:val="fr-FR" w:eastAsia="en-US"/>
    </w:rPr>
  </w:style>
  <w:style w:type="character" w:customStyle="1" w:styleId="NormalaftertitleChar">
    <w:name w:val="Normal_after_title Char"/>
    <w:link w:val="Normalaftertitle"/>
    <w:locked/>
    <w:rsid w:val="00BC52F7"/>
    <w:rPr>
      <w:sz w:val="24"/>
      <w:lang w:val="fr-FR" w:eastAsia="en-US"/>
    </w:rPr>
  </w:style>
  <w:style w:type="character" w:customStyle="1" w:styleId="AnnexNoTitleChar">
    <w:name w:val="Annex_NoTitle Char"/>
    <w:link w:val="AnnexNoTitle"/>
    <w:rsid w:val="00BC52F7"/>
    <w:rPr>
      <w:b/>
      <w:sz w:val="28"/>
      <w:lang w:val="fr-FR" w:eastAsia="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921CF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16</Pages>
  <Words>5914</Words>
  <Characters>31367</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Soby, Michele</cp:lastModifiedBy>
  <cp:revision>7</cp:revision>
  <cp:lastPrinted>2005-02-10T15:54:00Z</cp:lastPrinted>
  <dcterms:created xsi:type="dcterms:W3CDTF">2013-01-16T14:46:00Z</dcterms:created>
  <dcterms:modified xsi:type="dcterms:W3CDTF">2013-03-04T07:49:00Z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