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C1D" w:rsidRPr="00575CB8" w:rsidRDefault="00192C1D" w:rsidP="00192C1D">
      <w:pPr>
        <w:rPr>
          <w:lang w:val="en-US"/>
        </w:rPr>
      </w:pPr>
      <w:bookmarkStart w:id="0" w:name="dbreak"/>
      <w:bookmarkEnd w:id="0"/>
    </w:p>
    <w:p w:rsidR="00192C1D" w:rsidRDefault="00192C1D" w:rsidP="00192C1D"/>
    <w:p w:rsidR="00192C1D" w:rsidRDefault="00192C1D" w:rsidP="00192C1D"/>
    <w:p w:rsidR="00192C1D" w:rsidRDefault="00192C1D" w:rsidP="00192C1D"/>
    <w:p w:rsidR="00192C1D" w:rsidRDefault="00192C1D" w:rsidP="00192C1D"/>
    <w:p w:rsidR="00192C1D" w:rsidRDefault="00192C1D" w:rsidP="00192C1D"/>
    <w:p w:rsidR="00192C1D" w:rsidRDefault="00192C1D" w:rsidP="00192C1D"/>
    <w:p w:rsidR="00192C1D" w:rsidRDefault="00192C1D" w:rsidP="00192C1D"/>
    <w:p w:rsidR="00192C1D" w:rsidRDefault="00192C1D" w:rsidP="00192C1D"/>
    <w:p w:rsidR="00192C1D" w:rsidRDefault="00192C1D" w:rsidP="00192C1D"/>
    <w:p w:rsidR="00192C1D" w:rsidRDefault="00192C1D" w:rsidP="00192C1D"/>
    <w:p w:rsidR="00192C1D" w:rsidRDefault="00192C1D" w:rsidP="00192C1D"/>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192C1D" w:rsidRPr="008B305E" w:rsidTr="00A97719">
        <w:tc>
          <w:tcPr>
            <w:tcW w:w="10089" w:type="dxa"/>
          </w:tcPr>
          <w:p w:rsidR="00192C1D" w:rsidRPr="0010336F" w:rsidRDefault="00192C1D" w:rsidP="00A97719">
            <w:pPr>
              <w:spacing w:before="380" w:line="280" w:lineRule="exact"/>
              <w:jc w:val="right"/>
              <w:rPr>
                <w:rFonts w:ascii="Tahoma" w:hAnsi="Tahoma" w:cs="Tahoma"/>
                <w:b/>
                <w:bCs/>
                <w:iCs/>
                <w:color w:val="243285"/>
                <w:sz w:val="32"/>
                <w:szCs w:val="32"/>
                <w:lang w:val="en-US"/>
              </w:rPr>
            </w:pPr>
          </w:p>
          <w:p w:rsidR="00192C1D" w:rsidRPr="0010336F" w:rsidRDefault="00192C1D" w:rsidP="00A97719">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1110-3</w:t>
            </w:r>
          </w:p>
          <w:p w:rsidR="00192C1D" w:rsidRPr="0010336F" w:rsidRDefault="00192C1D" w:rsidP="00A9771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2003</w:t>
            </w:r>
            <w:r w:rsidRPr="0010336F">
              <w:rPr>
                <w:rFonts w:ascii="Tahoma" w:hAnsi="Tahoma" w:cs="Tahoma"/>
                <w:b/>
                <w:bCs/>
                <w:iCs/>
                <w:color w:val="243285"/>
                <w:szCs w:val="24"/>
                <w:lang w:val="es-ES_tradnl"/>
              </w:rPr>
              <w:t>)</w:t>
            </w:r>
          </w:p>
        </w:tc>
      </w:tr>
      <w:tr w:rsidR="00192C1D" w:rsidRPr="00C91FB0" w:rsidTr="00A97719">
        <w:tc>
          <w:tcPr>
            <w:tcW w:w="10089" w:type="dxa"/>
          </w:tcPr>
          <w:p w:rsidR="00192C1D" w:rsidRPr="0010336F" w:rsidRDefault="00192C1D" w:rsidP="00A97719">
            <w:pPr>
              <w:spacing w:before="80" w:line="500" w:lineRule="exact"/>
              <w:jc w:val="right"/>
              <w:rPr>
                <w:rFonts w:ascii="Tahoma" w:hAnsi="Tahoma" w:cs="Tahoma"/>
                <w:b/>
                <w:bCs/>
                <w:iCs/>
                <w:color w:val="243285"/>
                <w:sz w:val="44"/>
                <w:szCs w:val="44"/>
                <w:lang w:val="es-ES_tradnl"/>
              </w:rPr>
            </w:pPr>
          </w:p>
          <w:p w:rsidR="00192C1D" w:rsidRDefault="00192C1D" w:rsidP="00C91FB0">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Sistemas radioeléctricos adaptables</w:t>
            </w:r>
            <w:r w:rsidR="00C91FB0">
              <w:rPr>
                <w:rFonts w:ascii="Tahoma" w:hAnsi="Tahoma" w:cs="Tahoma"/>
                <w:b/>
                <w:bCs/>
                <w:color w:val="243285"/>
                <w:sz w:val="44"/>
                <w:szCs w:val="44"/>
                <w:lang w:val="es-ES_tradnl"/>
              </w:rPr>
              <w:br/>
            </w:r>
            <w:r>
              <w:rPr>
                <w:rFonts w:ascii="Tahoma" w:hAnsi="Tahoma" w:cs="Tahoma"/>
                <w:b/>
                <w:bCs/>
                <w:color w:val="243285"/>
                <w:sz w:val="44"/>
                <w:szCs w:val="44"/>
                <w:lang w:val="es-ES_tradnl"/>
              </w:rPr>
              <w:t>para frecuencias inferiores</w:t>
            </w:r>
            <w:r w:rsidR="00C91FB0">
              <w:rPr>
                <w:rFonts w:ascii="Tahoma" w:hAnsi="Tahoma" w:cs="Tahoma"/>
                <w:b/>
                <w:bCs/>
                <w:color w:val="243285"/>
                <w:sz w:val="44"/>
                <w:szCs w:val="44"/>
                <w:lang w:val="es-ES_tradnl"/>
              </w:rPr>
              <w:br/>
            </w:r>
            <w:r>
              <w:rPr>
                <w:rFonts w:ascii="Tahoma" w:hAnsi="Tahoma" w:cs="Tahoma"/>
                <w:b/>
                <w:bCs/>
                <w:color w:val="243285"/>
                <w:sz w:val="44"/>
                <w:szCs w:val="44"/>
                <w:lang w:val="es-ES_tradnl"/>
              </w:rPr>
              <w:t>a unos 30 MHz</w:t>
            </w:r>
          </w:p>
          <w:p w:rsidR="00192C1D" w:rsidRPr="0010336F" w:rsidRDefault="00192C1D" w:rsidP="00A97719">
            <w:pPr>
              <w:spacing w:before="80" w:line="500" w:lineRule="exact"/>
              <w:jc w:val="right"/>
              <w:rPr>
                <w:rFonts w:ascii="Tahoma" w:hAnsi="Tahoma" w:cs="Tahoma"/>
                <w:b/>
                <w:bCs/>
                <w:iCs/>
                <w:color w:val="243285"/>
                <w:sz w:val="44"/>
                <w:szCs w:val="44"/>
                <w:lang w:val="es-ES_tradnl"/>
              </w:rPr>
            </w:pPr>
          </w:p>
        </w:tc>
      </w:tr>
      <w:tr w:rsidR="00192C1D" w:rsidRPr="0026666F" w:rsidTr="00A97719">
        <w:tc>
          <w:tcPr>
            <w:tcW w:w="10089" w:type="dxa"/>
          </w:tcPr>
          <w:p w:rsidR="00192C1D" w:rsidRPr="0010336F" w:rsidRDefault="00192C1D" w:rsidP="00A97719">
            <w:pPr>
              <w:spacing w:before="80" w:line="280" w:lineRule="exact"/>
              <w:ind w:right="640"/>
              <w:rPr>
                <w:rFonts w:ascii="Tahoma" w:hAnsi="Tahoma" w:cs="Tahoma"/>
                <w:b/>
                <w:bCs/>
                <w:iCs/>
                <w:color w:val="243285"/>
                <w:sz w:val="32"/>
                <w:szCs w:val="32"/>
                <w:lang w:val="es-ES_tradnl"/>
              </w:rPr>
            </w:pPr>
          </w:p>
          <w:p w:rsidR="00192C1D" w:rsidRPr="0010336F" w:rsidRDefault="00192C1D" w:rsidP="00A97719">
            <w:pPr>
              <w:spacing w:before="80" w:line="280" w:lineRule="exact"/>
              <w:ind w:right="640"/>
              <w:rPr>
                <w:rFonts w:ascii="Tahoma" w:hAnsi="Tahoma" w:cs="Tahoma"/>
                <w:b/>
                <w:bCs/>
                <w:iCs/>
                <w:color w:val="243285"/>
                <w:sz w:val="32"/>
                <w:szCs w:val="32"/>
                <w:lang w:val="es-ES_tradnl"/>
              </w:rPr>
            </w:pPr>
          </w:p>
          <w:p w:rsidR="00192C1D" w:rsidRPr="0010336F" w:rsidRDefault="00192C1D" w:rsidP="00A97719">
            <w:pPr>
              <w:spacing w:before="80" w:after="180" w:line="360" w:lineRule="exact"/>
              <w:ind w:right="720"/>
              <w:rPr>
                <w:rFonts w:ascii="Tahoma" w:hAnsi="Tahoma" w:cs="Tahoma"/>
                <w:b/>
                <w:bCs/>
                <w:iCs/>
                <w:color w:val="243285"/>
                <w:sz w:val="36"/>
                <w:szCs w:val="36"/>
                <w:lang w:val="es-ES_tradnl"/>
              </w:rPr>
            </w:pPr>
          </w:p>
          <w:p w:rsidR="00192C1D" w:rsidRPr="0010336F" w:rsidRDefault="00192C1D" w:rsidP="00A97719">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192C1D" w:rsidRPr="0010336F" w:rsidRDefault="00192C1D" w:rsidP="00A9771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192C1D" w:rsidRPr="0026666F" w:rsidRDefault="00192C1D" w:rsidP="00192C1D">
      <w:pPr>
        <w:spacing w:before="80"/>
        <w:rPr>
          <w:i/>
          <w:sz w:val="22"/>
          <w:lang w:val="es-ES_tradnl"/>
        </w:rPr>
      </w:pPr>
    </w:p>
    <w:p w:rsidR="00192C1D" w:rsidRPr="0026666F" w:rsidRDefault="00192C1D" w:rsidP="00192C1D">
      <w:pPr>
        <w:spacing w:before="80"/>
        <w:rPr>
          <w:i/>
          <w:sz w:val="22"/>
          <w:lang w:val="es-ES_tradnl"/>
        </w:rPr>
      </w:pPr>
    </w:p>
    <w:p w:rsidR="00192C1D" w:rsidRPr="0026666F" w:rsidRDefault="00192C1D" w:rsidP="00192C1D">
      <w:pPr>
        <w:spacing w:before="80"/>
        <w:rPr>
          <w:i/>
          <w:sz w:val="22"/>
          <w:lang w:val="es-ES_tradnl"/>
        </w:rPr>
      </w:pPr>
    </w:p>
    <w:p w:rsidR="00192C1D" w:rsidRPr="0026666F" w:rsidRDefault="00192C1D" w:rsidP="00192C1D">
      <w:pPr>
        <w:spacing w:before="80"/>
        <w:rPr>
          <w:i/>
          <w:sz w:val="22"/>
          <w:lang w:val="es-ES_tradnl"/>
        </w:rPr>
      </w:pPr>
    </w:p>
    <w:p w:rsidR="00192C1D" w:rsidRPr="0026666F" w:rsidRDefault="00192C1D" w:rsidP="00192C1D">
      <w:pPr>
        <w:spacing w:before="80"/>
        <w:rPr>
          <w:i/>
          <w:sz w:val="22"/>
          <w:lang w:val="es-ES_tradnl"/>
        </w:rPr>
      </w:pPr>
    </w:p>
    <w:p w:rsidR="00192C1D" w:rsidRPr="0026666F" w:rsidRDefault="00192C1D" w:rsidP="00192C1D">
      <w:pPr>
        <w:spacing w:before="80"/>
        <w:rPr>
          <w:i/>
          <w:sz w:val="22"/>
          <w:lang w:val="es-ES_tradnl"/>
        </w:rPr>
      </w:pPr>
    </w:p>
    <w:p w:rsidR="00192C1D" w:rsidRPr="0026666F" w:rsidRDefault="00192C1D" w:rsidP="00192C1D">
      <w:pPr>
        <w:pStyle w:val="Equation"/>
        <w:tabs>
          <w:tab w:val="clear" w:pos="4820"/>
          <w:tab w:val="clear" w:pos="9639"/>
          <w:tab w:val="left" w:pos="1191"/>
          <w:tab w:val="left" w:pos="1588"/>
          <w:tab w:val="left" w:pos="1985"/>
        </w:tabs>
        <w:rPr>
          <w:rFonts w:ascii="Palatino Linotype" w:hAnsi="Palatino Linotype"/>
          <w:lang w:val="es-ES_tradnl"/>
        </w:rPr>
        <w:sectPr w:rsidR="00192C1D" w:rsidRPr="0026666F">
          <w:headerReference w:type="even" r:id="rId7"/>
          <w:headerReference w:type="default" r:id="rId8"/>
          <w:pgSz w:w="11907" w:h="16840" w:code="9"/>
          <w:pgMar w:top="1089" w:right="1089" w:bottom="284" w:left="1089" w:header="567" w:footer="284" w:gutter="0"/>
          <w:pgNumType w:start="1"/>
          <w:cols w:space="720"/>
        </w:sectPr>
      </w:pPr>
    </w:p>
    <w:p w:rsidR="00192C1D" w:rsidRPr="006C718C" w:rsidRDefault="00192C1D" w:rsidP="00192C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192C1D" w:rsidRPr="006C718C" w:rsidRDefault="00192C1D" w:rsidP="00192C1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192C1D" w:rsidRPr="006C718C" w:rsidRDefault="00192C1D" w:rsidP="00192C1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192C1D" w:rsidRPr="00021E8A" w:rsidRDefault="00192C1D" w:rsidP="00192C1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192C1D" w:rsidRPr="00021E8A" w:rsidRDefault="00192C1D" w:rsidP="00192C1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192C1D" w:rsidRPr="007C36CA" w:rsidRDefault="00192C1D" w:rsidP="00192C1D">
      <w:pPr>
        <w:spacing w:before="0"/>
        <w:jc w:val="center"/>
        <w:rPr>
          <w:sz w:val="22"/>
          <w:lang w:val="es-ES_tradnl"/>
        </w:rPr>
      </w:pPr>
    </w:p>
    <w:p w:rsidR="00192C1D" w:rsidRPr="007C36CA" w:rsidRDefault="00192C1D" w:rsidP="00192C1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192C1D" w:rsidRPr="00C91FB0" w:rsidTr="00A97719">
        <w:tc>
          <w:tcPr>
            <w:tcW w:w="9360" w:type="dxa"/>
            <w:gridSpan w:val="2"/>
          </w:tcPr>
          <w:p w:rsidR="00192C1D" w:rsidRPr="00021E8A" w:rsidRDefault="00192C1D" w:rsidP="00A9771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192C1D" w:rsidRPr="00763D08" w:rsidRDefault="00192C1D" w:rsidP="00A977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192C1D" w:rsidRPr="00036EE3" w:rsidTr="00A97719">
        <w:tc>
          <w:tcPr>
            <w:tcW w:w="1140" w:type="dxa"/>
            <w:tcBorders>
              <w:bottom w:val="nil"/>
            </w:tcBorders>
          </w:tcPr>
          <w:p w:rsidR="00192C1D" w:rsidRPr="00036EE3" w:rsidRDefault="00192C1D" w:rsidP="00A97719">
            <w:pPr>
              <w:spacing w:before="180" w:after="100"/>
              <w:ind w:left="57"/>
              <w:rPr>
                <w:b/>
                <w:bCs/>
                <w:sz w:val="20"/>
                <w:lang w:val="en-US"/>
              </w:rPr>
            </w:pPr>
            <w:r w:rsidRPr="00036EE3">
              <w:rPr>
                <w:b/>
                <w:bCs/>
                <w:sz w:val="20"/>
                <w:lang w:val="en-US"/>
              </w:rPr>
              <w:t>Series</w:t>
            </w:r>
          </w:p>
        </w:tc>
        <w:tc>
          <w:tcPr>
            <w:tcW w:w="8220" w:type="dxa"/>
            <w:tcBorders>
              <w:bottom w:val="nil"/>
            </w:tcBorders>
          </w:tcPr>
          <w:p w:rsidR="00192C1D" w:rsidRPr="00036EE3" w:rsidRDefault="00192C1D" w:rsidP="00A977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192C1D" w:rsidRPr="004532F7" w:rsidTr="00A97719">
        <w:tc>
          <w:tcPr>
            <w:tcW w:w="1140" w:type="dxa"/>
            <w:tcBorders>
              <w:top w:val="nil"/>
              <w:bottom w:val="nil"/>
            </w:tcBorders>
            <w:shd w:val="clear" w:color="auto" w:fill="auto"/>
          </w:tcPr>
          <w:p w:rsidR="00192C1D" w:rsidRPr="004532F7" w:rsidRDefault="00192C1D" w:rsidP="00A9771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192C1D" w:rsidRPr="004532F7" w:rsidRDefault="00192C1D" w:rsidP="00A977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192C1D" w:rsidRPr="00C91FB0" w:rsidTr="00A97719">
        <w:tc>
          <w:tcPr>
            <w:tcW w:w="1140" w:type="dxa"/>
            <w:tcBorders>
              <w:top w:val="nil"/>
              <w:bottom w:val="nil"/>
            </w:tcBorders>
            <w:shd w:val="clear" w:color="auto" w:fill="auto"/>
          </w:tcPr>
          <w:p w:rsidR="00192C1D" w:rsidRPr="006B22C3" w:rsidRDefault="00192C1D" w:rsidP="00A9771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192C1D" w:rsidRPr="006B22C3" w:rsidRDefault="00192C1D" w:rsidP="00A977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192C1D" w:rsidRPr="00847DD5" w:rsidTr="00A97719">
        <w:tc>
          <w:tcPr>
            <w:tcW w:w="1140" w:type="dxa"/>
            <w:tcBorders>
              <w:top w:val="nil"/>
              <w:bottom w:val="nil"/>
            </w:tcBorders>
            <w:shd w:val="clear" w:color="auto" w:fill="auto"/>
          </w:tcPr>
          <w:p w:rsidR="00192C1D" w:rsidRPr="00847DD5" w:rsidRDefault="00192C1D" w:rsidP="00A9771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192C1D" w:rsidRPr="00847DD5" w:rsidRDefault="00192C1D" w:rsidP="00A977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192C1D" w:rsidRPr="00ED2695" w:rsidTr="00A97719">
        <w:tc>
          <w:tcPr>
            <w:tcW w:w="1140" w:type="dxa"/>
            <w:tcBorders>
              <w:top w:val="nil"/>
              <w:bottom w:val="nil"/>
            </w:tcBorders>
            <w:shd w:val="clear" w:color="auto" w:fill="auto"/>
          </w:tcPr>
          <w:p w:rsidR="00192C1D" w:rsidRPr="00ED2695" w:rsidRDefault="00192C1D" w:rsidP="00A9771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192C1D" w:rsidRPr="00021E8A" w:rsidRDefault="00192C1D" w:rsidP="00A977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192C1D" w:rsidRPr="00847DD5" w:rsidTr="00A97719">
        <w:tc>
          <w:tcPr>
            <w:tcW w:w="1140" w:type="dxa"/>
            <w:tcBorders>
              <w:top w:val="nil"/>
              <w:bottom w:val="nil"/>
            </w:tcBorders>
            <w:shd w:val="clear" w:color="auto" w:fill="F3F3F3"/>
          </w:tcPr>
          <w:p w:rsidR="00192C1D" w:rsidRPr="00847DD5" w:rsidRDefault="00192C1D" w:rsidP="00A97719">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192C1D" w:rsidRPr="00847DD5" w:rsidRDefault="00192C1D" w:rsidP="00A977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192C1D" w:rsidRPr="00C91FB0" w:rsidTr="00A97719">
        <w:tc>
          <w:tcPr>
            <w:tcW w:w="1140" w:type="dxa"/>
            <w:tcBorders>
              <w:top w:val="nil"/>
              <w:bottom w:val="nil"/>
            </w:tcBorders>
            <w:shd w:val="clear" w:color="auto" w:fill="auto"/>
          </w:tcPr>
          <w:p w:rsidR="00192C1D" w:rsidRPr="0010336F" w:rsidRDefault="00192C1D" w:rsidP="00A9771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192C1D" w:rsidRPr="0010336F" w:rsidRDefault="00192C1D" w:rsidP="00A977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192C1D" w:rsidRPr="00C91FB0" w:rsidTr="00A97719">
        <w:tc>
          <w:tcPr>
            <w:tcW w:w="1140" w:type="dxa"/>
            <w:tcBorders>
              <w:top w:val="nil"/>
            </w:tcBorders>
          </w:tcPr>
          <w:p w:rsidR="00192C1D" w:rsidRPr="00036EE3" w:rsidRDefault="00192C1D" w:rsidP="00A97719">
            <w:pPr>
              <w:spacing w:before="30" w:after="30"/>
              <w:ind w:left="57"/>
              <w:jc w:val="left"/>
              <w:rPr>
                <w:b/>
                <w:bCs/>
                <w:sz w:val="20"/>
                <w:lang w:val="fr-CH"/>
              </w:rPr>
            </w:pPr>
            <w:r w:rsidRPr="00036EE3">
              <w:rPr>
                <w:b/>
                <w:bCs/>
                <w:sz w:val="20"/>
                <w:lang w:val="fr-CH"/>
              </w:rPr>
              <w:t>P</w:t>
            </w:r>
          </w:p>
        </w:tc>
        <w:tc>
          <w:tcPr>
            <w:tcW w:w="8220" w:type="dxa"/>
            <w:tcBorders>
              <w:top w:val="nil"/>
            </w:tcBorders>
          </w:tcPr>
          <w:p w:rsidR="00192C1D" w:rsidRPr="00021E8A" w:rsidRDefault="00192C1D" w:rsidP="00A97719">
            <w:pPr>
              <w:spacing w:before="30" w:after="30"/>
              <w:jc w:val="left"/>
              <w:rPr>
                <w:bCs/>
                <w:sz w:val="20"/>
                <w:lang w:val="es-ES_tradnl"/>
              </w:rPr>
            </w:pPr>
            <w:r w:rsidRPr="00021E8A">
              <w:rPr>
                <w:bCs/>
                <w:sz w:val="20"/>
                <w:lang w:val="es-ES_tradnl"/>
              </w:rPr>
              <w:t>Propagación de las ondas radioeléctricas</w:t>
            </w:r>
          </w:p>
        </w:tc>
      </w:tr>
      <w:tr w:rsidR="00192C1D" w:rsidRPr="00036EE3" w:rsidTr="00A97719">
        <w:tc>
          <w:tcPr>
            <w:tcW w:w="1140" w:type="dxa"/>
          </w:tcPr>
          <w:p w:rsidR="00192C1D" w:rsidRPr="00036EE3" w:rsidRDefault="00192C1D" w:rsidP="00A97719">
            <w:pPr>
              <w:spacing w:before="30" w:after="30"/>
              <w:ind w:left="57"/>
              <w:jc w:val="left"/>
              <w:rPr>
                <w:b/>
                <w:bCs/>
                <w:sz w:val="20"/>
                <w:lang w:val="en-US"/>
              </w:rPr>
            </w:pPr>
            <w:r w:rsidRPr="00036EE3">
              <w:rPr>
                <w:b/>
                <w:bCs/>
                <w:sz w:val="20"/>
                <w:lang w:val="en-US"/>
              </w:rPr>
              <w:t>RA</w:t>
            </w:r>
          </w:p>
        </w:tc>
        <w:tc>
          <w:tcPr>
            <w:tcW w:w="8220" w:type="dxa"/>
          </w:tcPr>
          <w:p w:rsidR="00192C1D" w:rsidRPr="00021E8A" w:rsidRDefault="00192C1D" w:rsidP="00A977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192C1D" w:rsidRPr="00C91FB0" w:rsidTr="00A97719">
        <w:tc>
          <w:tcPr>
            <w:tcW w:w="1140" w:type="dxa"/>
          </w:tcPr>
          <w:p w:rsidR="00192C1D" w:rsidRPr="00036EE3" w:rsidRDefault="00192C1D" w:rsidP="00A97719">
            <w:pPr>
              <w:spacing w:before="30" w:after="30"/>
              <w:ind w:left="57"/>
              <w:jc w:val="left"/>
              <w:rPr>
                <w:b/>
                <w:bCs/>
                <w:sz w:val="20"/>
                <w:lang w:val="en-US"/>
              </w:rPr>
            </w:pPr>
            <w:r w:rsidRPr="00036EE3">
              <w:rPr>
                <w:b/>
                <w:bCs/>
                <w:sz w:val="20"/>
                <w:lang w:val="en-US"/>
              </w:rPr>
              <w:t>RS</w:t>
            </w:r>
          </w:p>
        </w:tc>
        <w:tc>
          <w:tcPr>
            <w:tcW w:w="8220" w:type="dxa"/>
          </w:tcPr>
          <w:p w:rsidR="00192C1D" w:rsidRPr="00021E8A" w:rsidRDefault="00192C1D" w:rsidP="00A977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192C1D" w:rsidRPr="00036EE3" w:rsidTr="00A97719">
        <w:tc>
          <w:tcPr>
            <w:tcW w:w="1140" w:type="dxa"/>
          </w:tcPr>
          <w:p w:rsidR="00192C1D" w:rsidRPr="00036EE3" w:rsidRDefault="00192C1D" w:rsidP="00A97719">
            <w:pPr>
              <w:spacing w:before="30" w:after="30"/>
              <w:ind w:left="57"/>
              <w:jc w:val="left"/>
              <w:rPr>
                <w:b/>
                <w:bCs/>
                <w:sz w:val="20"/>
                <w:lang w:val="en-US"/>
              </w:rPr>
            </w:pPr>
            <w:r w:rsidRPr="00036EE3">
              <w:rPr>
                <w:b/>
                <w:bCs/>
                <w:sz w:val="20"/>
                <w:lang w:val="en-US"/>
              </w:rPr>
              <w:t>S</w:t>
            </w:r>
          </w:p>
        </w:tc>
        <w:tc>
          <w:tcPr>
            <w:tcW w:w="8220" w:type="dxa"/>
          </w:tcPr>
          <w:p w:rsidR="00192C1D" w:rsidRPr="00021E8A" w:rsidRDefault="00192C1D" w:rsidP="00A97719">
            <w:pPr>
              <w:spacing w:before="30" w:after="30"/>
              <w:jc w:val="left"/>
              <w:rPr>
                <w:bCs/>
                <w:sz w:val="20"/>
                <w:lang w:val="en-US"/>
              </w:rPr>
            </w:pPr>
            <w:r w:rsidRPr="00021E8A">
              <w:rPr>
                <w:bCs/>
                <w:sz w:val="20"/>
              </w:rPr>
              <w:t>Servicio fijo por satélite</w:t>
            </w:r>
          </w:p>
        </w:tc>
      </w:tr>
      <w:tr w:rsidR="00192C1D" w:rsidRPr="00036EE3" w:rsidTr="00A97719">
        <w:tc>
          <w:tcPr>
            <w:tcW w:w="1140" w:type="dxa"/>
          </w:tcPr>
          <w:p w:rsidR="00192C1D" w:rsidRPr="00036EE3" w:rsidRDefault="00192C1D" w:rsidP="00A97719">
            <w:pPr>
              <w:spacing w:before="30" w:after="30"/>
              <w:ind w:left="57"/>
              <w:jc w:val="left"/>
              <w:rPr>
                <w:b/>
                <w:bCs/>
                <w:sz w:val="20"/>
                <w:lang w:val="en-US"/>
              </w:rPr>
            </w:pPr>
            <w:r w:rsidRPr="00036EE3">
              <w:rPr>
                <w:b/>
                <w:bCs/>
                <w:sz w:val="20"/>
                <w:lang w:val="en-US"/>
              </w:rPr>
              <w:t>SA</w:t>
            </w:r>
          </w:p>
        </w:tc>
        <w:tc>
          <w:tcPr>
            <w:tcW w:w="8220" w:type="dxa"/>
          </w:tcPr>
          <w:p w:rsidR="00192C1D" w:rsidRPr="00021E8A" w:rsidRDefault="00192C1D" w:rsidP="00A97719">
            <w:pPr>
              <w:spacing w:before="30" w:after="30"/>
              <w:jc w:val="left"/>
              <w:rPr>
                <w:bCs/>
                <w:sz w:val="20"/>
                <w:lang w:val="en-US"/>
              </w:rPr>
            </w:pPr>
            <w:r w:rsidRPr="00021E8A">
              <w:rPr>
                <w:bCs/>
                <w:sz w:val="20"/>
              </w:rPr>
              <w:t>Aplicaciones espaciales y meteorología</w:t>
            </w:r>
          </w:p>
        </w:tc>
      </w:tr>
      <w:tr w:rsidR="00192C1D" w:rsidRPr="00C91FB0" w:rsidTr="00A97719">
        <w:tc>
          <w:tcPr>
            <w:tcW w:w="1140" w:type="dxa"/>
          </w:tcPr>
          <w:p w:rsidR="00192C1D" w:rsidRPr="00036EE3" w:rsidRDefault="00192C1D" w:rsidP="00A97719">
            <w:pPr>
              <w:spacing w:before="30" w:after="30"/>
              <w:ind w:left="57"/>
              <w:jc w:val="left"/>
              <w:rPr>
                <w:b/>
                <w:bCs/>
                <w:sz w:val="20"/>
                <w:lang w:val="en-US"/>
              </w:rPr>
            </w:pPr>
            <w:r w:rsidRPr="00036EE3">
              <w:rPr>
                <w:b/>
                <w:bCs/>
                <w:sz w:val="20"/>
                <w:lang w:val="en-US"/>
              </w:rPr>
              <w:t>SF</w:t>
            </w:r>
          </w:p>
        </w:tc>
        <w:tc>
          <w:tcPr>
            <w:tcW w:w="8220" w:type="dxa"/>
          </w:tcPr>
          <w:p w:rsidR="00192C1D" w:rsidRPr="00021E8A" w:rsidRDefault="00192C1D" w:rsidP="00A9771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192C1D" w:rsidRPr="00036EE3" w:rsidTr="00A97719">
        <w:tc>
          <w:tcPr>
            <w:tcW w:w="1140" w:type="dxa"/>
            <w:shd w:val="clear" w:color="auto" w:fill="auto"/>
          </w:tcPr>
          <w:p w:rsidR="00192C1D" w:rsidRPr="001240BC" w:rsidRDefault="00192C1D" w:rsidP="00A97719">
            <w:pPr>
              <w:spacing w:before="30" w:after="30"/>
              <w:ind w:left="57"/>
              <w:jc w:val="left"/>
              <w:rPr>
                <w:b/>
                <w:bCs/>
                <w:sz w:val="20"/>
                <w:lang w:val="en-US"/>
              </w:rPr>
            </w:pPr>
            <w:r w:rsidRPr="001240BC">
              <w:rPr>
                <w:b/>
                <w:bCs/>
                <w:sz w:val="20"/>
                <w:lang w:val="en-US"/>
              </w:rPr>
              <w:t>SM</w:t>
            </w:r>
          </w:p>
        </w:tc>
        <w:tc>
          <w:tcPr>
            <w:tcW w:w="8220" w:type="dxa"/>
            <w:shd w:val="clear" w:color="auto" w:fill="auto"/>
          </w:tcPr>
          <w:p w:rsidR="00192C1D" w:rsidRPr="001240BC" w:rsidRDefault="00192C1D" w:rsidP="00A97719">
            <w:pPr>
              <w:spacing w:before="30" w:after="30"/>
              <w:jc w:val="left"/>
              <w:rPr>
                <w:sz w:val="20"/>
                <w:lang w:val="en-US"/>
              </w:rPr>
            </w:pPr>
            <w:r w:rsidRPr="001240BC">
              <w:rPr>
                <w:sz w:val="20"/>
              </w:rPr>
              <w:t>Gestión del espectro</w:t>
            </w:r>
          </w:p>
        </w:tc>
      </w:tr>
      <w:tr w:rsidR="00192C1D" w:rsidRPr="00036EE3" w:rsidTr="00A97719">
        <w:tc>
          <w:tcPr>
            <w:tcW w:w="1140" w:type="dxa"/>
          </w:tcPr>
          <w:p w:rsidR="00192C1D" w:rsidRPr="00036EE3" w:rsidRDefault="00192C1D" w:rsidP="00A97719">
            <w:pPr>
              <w:spacing w:before="30" w:after="30"/>
              <w:ind w:left="57"/>
              <w:jc w:val="left"/>
              <w:rPr>
                <w:b/>
                <w:bCs/>
                <w:sz w:val="20"/>
                <w:lang w:val="en-US"/>
              </w:rPr>
            </w:pPr>
            <w:r w:rsidRPr="00036EE3">
              <w:rPr>
                <w:b/>
                <w:bCs/>
                <w:sz w:val="20"/>
                <w:lang w:val="en-US"/>
              </w:rPr>
              <w:t>SNG</w:t>
            </w:r>
          </w:p>
        </w:tc>
        <w:tc>
          <w:tcPr>
            <w:tcW w:w="8220" w:type="dxa"/>
          </w:tcPr>
          <w:p w:rsidR="00192C1D" w:rsidRPr="00021E8A" w:rsidRDefault="00192C1D" w:rsidP="00A97719">
            <w:pPr>
              <w:spacing w:before="30" w:after="30"/>
              <w:jc w:val="left"/>
              <w:rPr>
                <w:bCs/>
                <w:sz w:val="20"/>
                <w:lang w:val="en-US"/>
              </w:rPr>
            </w:pPr>
            <w:r w:rsidRPr="00021E8A">
              <w:rPr>
                <w:bCs/>
                <w:sz w:val="20"/>
              </w:rPr>
              <w:t>Periodismo electrónico por satélite</w:t>
            </w:r>
          </w:p>
        </w:tc>
      </w:tr>
      <w:tr w:rsidR="00192C1D" w:rsidRPr="00C91FB0" w:rsidTr="00A97719">
        <w:tc>
          <w:tcPr>
            <w:tcW w:w="1140" w:type="dxa"/>
          </w:tcPr>
          <w:p w:rsidR="00192C1D" w:rsidRPr="00036EE3" w:rsidRDefault="00192C1D" w:rsidP="00A97719">
            <w:pPr>
              <w:spacing w:before="30" w:after="30"/>
              <w:ind w:left="57"/>
              <w:jc w:val="left"/>
              <w:rPr>
                <w:b/>
                <w:bCs/>
                <w:sz w:val="20"/>
                <w:lang w:val="en-US"/>
              </w:rPr>
            </w:pPr>
            <w:r w:rsidRPr="00036EE3">
              <w:rPr>
                <w:b/>
                <w:bCs/>
                <w:sz w:val="20"/>
                <w:lang w:val="en-US"/>
              </w:rPr>
              <w:t>TF</w:t>
            </w:r>
          </w:p>
        </w:tc>
        <w:tc>
          <w:tcPr>
            <w:tcW w:w="8220" w:type="dxa"/>
          </w:tcPr>
          <w:p w:rsidR="00192C1D" w:rsidRPr="00021E8A" w:rsidRDefault="00192C1D" w:rsidP="00A97719">
            <w:pPr>
              <w:spacing w:before="30" w:after="30"/>
              <w:jc w:val="left"/>
              <w:rPr>
                <w:bCs/>
                <w:sz w:val="20"/>
                <w:lang w:val="es-ES_tradnl"/>
              </w:rPr>
            </w:pPr>
            <w:r w:rsidRPr="00021E8A">
              <w:rPr>
                <w:bCs/>
                <w:sz w:val="20"/>
                <w:lang w:val="es-ES_tradnl"/>
              </w:rPr>
              <w:t>Emisiones de frecuencias patrón y señales horarias</w:t>
            </w:r>
          </w:p>
        </w:tc>
      </w:tr>
      <w:tr w:rsidR="00192C1D" w:rsidRPr="00036EE3" w:rsidTr="00A97719">
        <w:tc>
          <w:tcPr>
            <w:tcW w:w="1140" w:type="dxa"/>
          </w:tcPr>
          <w:p w:rsidR="00192C1D" w:rsidRPr="00036EE3" w:rsidRDefault="00192C1D" w:rsidP="00A97719">
            <w:pPr>
              <w:spacing w:before="30" w:after="30"/>
              <w:ind w:left="57"/>
              <w:jc w:val="left"/>
              <w:rPr>
                <w:b/>
                <w:bCs/>
                <w:sz w:val="20"/>
                <w:lang w:val="en-US"/>
              </w:rPr>
            </w:pPr>
            <w:r w:rsidRPr="00036EE3">
              <w:rPr>
                <w:b/>
                <w:bCs/>
                <w:sz w:val="20"/>
                <w:lang w:val="en-US"/>
              </w:rPr>
              <w:t>V</w:t>
            </w:r>
          </w:p>
        </w:tc>
        <w:tc>
          <w:tcPr>
            <w:tcW w:w="8220" w:type="dxa"/>
          </w:tcPr>
          <w:p w:rsidR="00192C1D" w:rsidRPr="00021E8A" w:rsidRDefault="00192C1D" w:rsidP="00A97719">
            <w:pPr>
              <w:spacing w:before="30" w:after="140"/>
              <w:jc w:val="left"/>
              <w:rPr>
                <w:bCs/>
                <w:sz w:val="20"/>
                <w:lang w:val="en-US"/>
              </w:rPr>
            </w:pPr>
            <w:r w:rsidRPr="00021E8A">
              <w:rPr>
                <w:bCs/>
                <w:sz w:val="20"/>
              </w:rPr>
              <w:t>Vocabulario y cuestiones afines</w:t>
            </w:r>
          </w:p>
        </w:tc>
      </w:tr>
    </w:tbl>
    <w:p w:rsidR="00192C1D" w:rsidRPr="00036EE3" w:rsidRDefault="00192C1D" w:rsidP="00192C1D">
      <w:pPr>
        <w:spacing w:before="0" w:after="140"/>
        <w:jc w:val="center"/>
        <w:rPr>
          <w:sz w:val="20"/>
          <w:lang w:val="en-US"/>
        </w:rPr>
      </w:pPr>
    </w:p>
    <w:tbl>
      <w:tblPr>
        <w:tblpPr w:leftFromText="180" w:rightFromText="180" w:vertAnchor="text" w:tblpX="-5771" w:tblpY="-4031"/>
        <w:tblW w:w="0" w:type="auto"/>
        <w:tblLook w:val="0000"/>
      </w:tblPr>
      <w:tblGrid>
        <w:gridCol w:w="720"/>
      </w:tblGrid>
      <w:tr w:rsidR="00192C1D" w:rsidTr="00A97719">
        <w:tc>
          <w:tcPr>
            <w:tcW w:w="720" w:type="dxa"/>
          </w:tcPr>
          <w:p w:rsidR="00192C1D" w:rsidRDefault="00192C1D" w:rsidP="00A97719">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192C1D" w:rsidRPr="00C91FB0" w:rsidTr="00A97719">
        <w:tc>
          <w:tcPr>
            <w:tcW w:w="9360" w:type="dxa"/>
          </w:tcPr>
          <w:p w:rsidR="00192C1D" w:rsidRPr="00763D08" w:rsidRDefault="00192C1D" w:rsidP="00A97719">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192C1D" w:rsidRPr="00763D08" w:rsidRDefault="00192C1D" w:rsidP="00192C1D">
      <w:pPr>
        <w:spacing w:before="0"/>
        <w:jc w:val="center"/>
        <w:rPr>
          <w:sz w:val="22"/>
          <w:lang w:val="es-ES_tradnl"/>
        </w:rPr>
      </w:pPr>
    </w:p>
    <w:p w:rsidR="00192C1D" w:rsidRPr="00763D08" w:rsidRDefault="00192C1D" w:rsidP="00192C1D">
      <w:pPr>
        <w:spacing w:before="60"/>
        <w:jc w:val="right"/>
        <w:rPr>
          <w:i/>
          <w:iCs/>
          <w:sz w:val="20"/>
          <w:lang w:val="es-ES_tradnl"/>
        </w:rPr>
      </w:pPr>
      <w:r w:rsidRPr="00763D08">
        <w:rPr>
          <w:i/>
          <w:iCs/>
          <w:sz w:val="20"/>
          <w:lang w:val="es-ES_tradnl"/>
        </w:rPr>
        <w:t>Publicación electrónica</w:t>
      </w:r>
    </w:p>
    <w:p w:rsidR="00192C1D" w:rsidRPr="00763D08" w:rsidRDefault="00192C1D" w:rsidP="00192C1D">
      <w:pPr>
        <w:spacing w:before="0" w:after="40"/>
        <w:jc w:val="right"/>
        <w:rPr>
          <w:sz w:val="20"/>
          <w:lang w:val="es-ES_tradnl"/>
        </w:rPr>
      </w:pPr>
      <w:r w:rsidRPr="00763D08">
        <w:rPr>
          <w:sz w:val="20"/>
          <w:lang w:val="es-ES_tradnl"/>
        </w:rPr>
        <w:t>Ginebra, 20</w:t>
      </w:r>
      <w:r>
        <w:rPr>
          <w:sz w:val="20"/>
          <w:lang w:val="es-ES_tradnl"/>
        </w:rPr>
        <w:t>10</w:t>
      </w:r>
    </w:p>
    <w:p w:rsidR="00192C1D" w:rsidRPr="00763D08" w:rsidRDefault="00192C1D" w:rsidP="00192C1D">
      <w:pPr>
        <w:spacing w:before="0"/>
        <w:jc w:val="center"/>
        <w:rPr>
          <w:sz w:val="22"/>
          <w:lang w:val="es-ES_tradnl"/>
        </w:rPr>
      </w:pPr>
    </w:p>
    <w:p w:rsidR="00192C1D" w:rsidRPr="00763D08" w:rsidRDefault="00192C1D" w:rsidP="00192C1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10</w:t>
      </w:r>
    </w:p>
    <w:p w:rsidR="00192C1D" w:rsidRPr="006C718C" w:rsidRDefault="00192C1D" w:rsidP="00192C1D">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192C1D" w:rsidRPr="006C718C" w:rsidRDefault="00192C1D" w:rsidP="00192C1D">
      <w:pPr>
        <w:spacing w:before="160"/>
        <w:rPr>
          <w:i/>
          <w:sz w:val="20"/>
          <w:highlight w:val="yellow"/>
          <w:lang w:val="es-ES_tradnl"/>
        </w:rPr>
        <w:sectPr w:rsidR="00192C1D"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751224" w:rsidRPr="005B471B" w:rsidRDefault="00751224" w:rsidP="00751224">
      <w:pPr>
        <w:pStyle w:val="RecNo"/>
        <w:spacing w:before="0"/>
        <w:rPr>
          <w:lang w:val="es-ES_tradnl"/>
        </w:rPr>
      </w:pPr>
      <w:r>
        <w:rPr>
          <w:lang w:val="es-ES_tradnl"/>
        </w:rPr>
        <w:lastRenderedPageBreak/>
        <w:t xml:space="preserve">RECOMENDACIÓN  </w:t>
      </w:r>
      <w:r>
        <w:rPr>
          <w:rStyle w:val="href"/>
          <w:lang w:val="es-ES_tradnl"/>
        </w:rPr>
        <w:t>UIT-R  F.1110-3</w:t>
      </w:r>
      <w:r>
        <w:rPr>
          <w:rStyle w:val="FootnoteReference"/>
          <w:lang w:val="es-ES_tradnl"/>
        </w:rPr>
        <w:footnoteReference w:customMarkFollows="1" w:id="1"/>
        <w:t>*</w:t>
      </w:r>
    </w:p>
    <w:p w:rsidR="00751224" w:rsidRDefault="00751224" w:rsidP="007F73D8">
      <w:pPr>
        <w:pStyle w:val="Rectitle"/>
        <w:rPr>
          <w:lang w:val="es-ES_tradnl"/>
        </w:rPr>
      </w:pPr>
      <w:r>
        <w:rPr>
          <w:lang w:val="es-ES_tradnl"/>
        </w:rPr>
        <w:t>Sistemas radioeléctricos adaptables para frecuencias</w:t>
      </w:r>
      <w:r w:rsidR="007F73D8">
        <w:rPr>
          <w:lang w:val="es-ES_tradnl"/>
        </w:rPr>
        <w:t xml:space="preserve"> </w:t>
      </w:r>
      <w:r>
        <w:rPr>
          <w:lang w:val="es-ES_tradnl"/>
        </w:rPr>
        <w:t>inferiores a unos 30 MHz</w:t>
      </w:r>
    </w:p>
    <w:p w:rsidR="00751224" w:rsidRDefault="00751224" w:rsidP="00655ADE">
      <w:pPr>
        <w:pStyle w:val="Repdate"/>
        <w:rPr>
          <w:lang w:val="es-ES_tradnl"/>
        </w:rPr>
      </w:pPr>
      <w:r>
        <w:rPr>
          <w:lang w:val="es-ES_tradnl"/>
        </w:rPr>
        <w:t>(1994-1995-1997-2003)</w:t>
      </w:r>
    </w:p>
    <w:p w:rsidR="00751224" w:rsidRDefault="00751224" w:rsidP="00751224">
      <w:pPr>
        <w:pStyle w:val="HeadingSum"/>
      </w:pPr>
      <w:r>
        <w:t>Cometido</w:t>
      </w:r>
    </w:p>
    <w:p w:rsidR="00751224" w:rsidRPr="009F534B" w:rsidRDefault="00751224" w:rsidP="00655ADE">
      <w:pPr>
        <w:pStyle w:val="Summary"/>
      </w:pPr>
      <w:r>
        <w:t>En la presente Recomendación se describen las funciones generales de sistemas adaptables de ondas decamétricas.</w:t>
      </w:r>
    </w:p>
    <w:p w:rsidR="00751224" w:rsidRDefault="00751224" w:rsidP="00751224">
      <w:pPr>
        <w:pStyle w:val="Normalaftertitle"/>
        <w:rPr>
          <w:lang w:val="es-ES_tradnl"/>
        </w:rPr>
      </w:pPr>
      <w:r>
        <w:rPr>
          <w:lang w:val="es-ES_tradnl"/>
        </w:rPr>
        <w:t>La Asamblea de Radiocomunicaciones de la UIT,</w:t>
      </w:r>
    </w:p>
    <w:p w:rsidR="00751224" w:rsidRDefault="00751224" w:rsidP="00751224">
      <w:pPr>
        <w:pStyle w:val="Call"/>
        <w:rPr>
          <w:lang w:val="es-ES_tradnl"/>
        </w:rPr>
      </w:pPr>
      <w:r>
        <w:rPr>
          <w:lang w:val="es-ES_tradnl"/>
        </w:rPr>
        <w:t>considerando</w:t>
      </w:r>
    </w:p>
    <w:p w:rsidR="00751224" w:rsidRDefault="00751224" w:rsidP="00655ADE">
      <w:pPr>
        <w:rPr>
          <w:lang w:val="es-ES_tradnl"/>
        </w:rPr>
      </w:pPr>
      <w:r>
        <w:rPr>
          <w:lang w:val="es-ES_tradnl"/>
        </w:rPr>
        <w:t>a)</w:t>
      </w:r>
      <w:r>
        <w:rPr>
          <w:lang w:val="es-ES_tradnl"/>
        </w:rPr>
        <w:tab/>
        <w:t>que los enlaces en ondas decamétricas por propagación ionosférica permiten comunicaciones a larga distancia;</w:t>
      </w:r>
    </w:p>
    <w:p w:rsidR="00751224" w:rsidRDefault="00751224" w:rsidP="00751224">
      <w:pPr>
        <w:rPr>
          <w:lang w:val="es-ES_tradnl"/>
        </w:rPr>
      </w:pPr>
      <w:r>
        <w:rPr>
          <w:lang w:val="es-ES_tradnl"/>
        </w:rPr>
        <w:t>b)</w:t>
      </w:r>
      <w:r>
        <w:rPr>
          <w:lang w:val="es-ES_tradnl"/>
        </w:rPr>
        <w:tab/>
        <w:t>que las variaciones naturales de la ionosfera y las interferencias provocadas por la saturación del espectro y las anomalías de propagación hacían hasta ahora difícil la explotación de los enlaces en ondas decamétricas y exigían la presencia de personal técnico altamente cualificado;</w:t>
      </w:r>
    </w:p>
    <w:p w:rsidR="00751224" w:rsidRDefault="00751224" w:rsidP="00751224">
      <w:pPr>
        <w:rPr>
          <w:lang w:val="es-ES_tradnl"/>
        </w:rPr>
      </w:pPr>
      <w:r>
        <w:rPr>
          <w:lang w:val="es-ES_tradnl"/>
        </w:rPr>
        <w:t>c)</w:t>
      </w:r>
      <w:r>
        <w:rPr>
          <w:lang w:val="es-ES_tradnl"/>
        </w:rPr>
        <w:tab/>
        <w:t>que los progresos tecnológicos realizados estos últimos años han dado como fruto el desarrollo de procedimientos de adaptación que permiten automatizar los enlaces en ondas decamétricas y mejorar su calidad;</w:t>
      </w:r>
    </w:p>
    <w:p w:rsidR="00751224" w:rsidRDefault="00751224" w:rsidP="00751224">
      <w:pPr>
        <w:rPr>
          <w:lang w:val="es-ES_tradnl"/>
        </w:rPr>
      </w:pPr>
      <w:r>
        <w:rPr>
          <w:lang w:val="es-ES_tradnl"/>
        </w:rPr>
        <w:t>d)</w:t>
      </w:r>
      <w:r>
        <w:rPr>
          <w:lang w:val="es-ES_tradnl"/>
        </w:rPr>
        <w:tab/>
        <w:t>que los denominados sistemas adaptables permiten:</w:t>
      </w:r>
    </w:p>
    <w:p w:rsidR="00751224" w:rsidRDefault="00751224" w:rsidP="00751224">
      <w:pPr>
        <w:pStyle w:val="enumlev1"/>
        <w:rPr>
          <w:lang w:val="es-ES_tradnl"/>
        </w:rPr>
      </w:pPr>
      <w:r>
        <w:rPr>
          <w:lang w:val="es-ES_tradnl"/>
        </w:rPr>
        <w:t>–</w:t>
      </w:r>
      <w:r>
        <w:rPr>
          <w:lang w:val="es-ES_tradnl"/>
        </w:rPr>
        <w:tab/>
        <w:t>ofrecer una calidad de servicio mejor, gracias a la capacidad de los equipos radioeléctricos para explotar las tecnologías modernas y al empleo de soportes lógicos perfeccionados de control en tiempo real; de esta manera se obtiene un sistema fiable, robusto, económico y de fácil utilización;</w:t>
      </w:r>
    </w:p>
    <w:p w:rsidR="00751224" w:rsidRDefault="00751224" w:rsidP="00751224">
      <w:pPr>
        <w:pStyle w:val="enumlev1"/>
        <w:rPr>
          <w:lang w:val="es-ES_tradnl"/>
        </w:rPr>
      </w:pPr>
      <w:r>
        <w:rPr>
          <w:lang w:val="es-ES_tradnl"/>
        </w:rPr>
        <w:t>–</w:t>
      </w:r>
      <w:r>
        <w:rPr>
          <w:lang w:val="es-ES_tradnl"/>
        </w:rPr>
        <w:tab/>
        <w:t>construir amplias redes en ondas decamétricas con una arquitectura flexible y menos jerarquizada;</w:t>
      </w:r>
    </w:p>
    <w:p w:rsidR="00751224" w:rsidRDefault="00751224" w:rsidP="00751224">
      <w:pPr>
        <w:pStyle w:val="enumlev1"/>
        <w:rPr>
          <w:lang w:val="es-ES_tradnl"/>
        </w:rPr>
      </w:pPr>
      <w:r>
        <w:rPr>
          <w:lang w:val="es-ES_tradnl"/>
        </w:rPr>
        <w:t>–</w:t>
      </w:r>
      <w:r>
        <w:rPr>
          <w:lang w:val="es-ES_tradnl"/>
        </w:rPr>
        <w:tab/>
        <w:t>reducir los tiempos de transmisión, lo que se traduce en:</w:t>
      </w:r>
    </w:p>
    <w:p w:rsidR="00751224" w:rsidRDefault="00751224" w:rsidP="00751224">
      <w:pPr>
        <w:pStyle w:val="enumlev2"/>
        <w:rPr>
          <w:lang w:val="es-ES_tradnl"/>
        </w:rPr>
      </w:pPr>
      <w:r>
        <w:rPr>
          <w:lang w:val="es-ES_tradnl"/>
        </w:rPr>
        <w:t>–</w:t>
      </w:r>
      <w:r>
        <w:rPr>
          <w:lang w:val="es-ES_tradnl"/>
        </w:rPr>
        <w:tab/>
        <w:t>una utilización más eficaz del espectro,</w:t>
      </w:r>
    </w:p>
    <w:p w:rsidR="00751224" w:rsidRDefault="00751224" w:rsidP="00751224">
      <w:pPr>
        <w:pStyle w:val="enumlev2"/>
        <w:rPr>
          <w:lang w:val="es-ES_tradnl"/>
        </w:rPr>
      </w:pPr>
      <w:r>
        <w:rPr>
          <w:lang w:val="es-ES_tradnl"/>
        </w:rPr>
        <w:t>–</w:t>
      </w:r>
      <w:r>
        <w:rPr>
          <w:lang w:val="es-ES_tradnl"/>
        </w:rPr>
        <w:tab/>
        <w:t>una disminución de las interferencias entre distintos usuarios,</w:t>
      </w:r>
    </w:p>
    <w:p w:rsidR="00751224" w:rsidRDefault="00751224" w:rsidP="00751224">
      <w:pPr>
        <w:pStyle w:val="enumlev2"/>
        <w:numPr>
          <w:ilvl w:val="0"/>
          <w:numId w:val="1"/>
        </w:numPr>
        <w:rPr>
          <w:lang w:val="es-ES_tradnl"/>
        </w:rPr>
      </w:pPr>
      <w:r>
        <w:rPr>
          <w:lang w:val="es-ES_tradnl"/>
        </w:rPr>
        <w:t>la posibilidad de aumentar la densidad del tráfico;</w:t>
      </w:r>
    </w:p>
    <w:p w:rsidR="00751224" w:rsidRDefault="00751224" w:rsidP="00751224">
      <w:pPr>
        <w:pStyle w:val="enumlev1"/>
        <w:rPr>
          <w:lang w:val="es-ES_tradnl"/>
        </w:rPr>
      </w:pPr>
      <w:r>
        <w:rPr>
          <w:lang w:val="es-ES_tradnl"/>
        </w:rPr>
        <w:t>–</w:t>
      </w:r>
      <w:r>
        <w:rPr>
          <w:lang w:val="es-ES_tradnl"/>
        </w:rPr>
        <w:tab/>
        <w:t>reducir la dependencia de operadores especializados;</w:t>
      </w:r>
    </w:p>
    <w:p w:rsidR="00751224" w:rsidRDefault="00751224" w:rsidP="00751224">
      <w:pPr>
        <w:numPr>
          <w:ilvl w:val="0"/>
          <w:numId w:val="2"/>
        </w:numPr>
        <w:ind w:left="0" w:firstLine="0"/>
        <w:rPr>
          <w:lang w:val="es-ES_tradnl"/>
        </w:rPr>
      </w:pPr>
      <w:r>
        <w:rPr>
          <w:lang w:val="es-ES_tradnl"/>
        </w:rPr>
        <w:t>que actualmente existen en funcionamiento sistemas adaptables de establecimiento automático de enlaces;</w:t>
      </w:r>
    </w:p>
    <w:p w:rsidR="00751224" w:rsidRDefault="00751224" w:rsidP="00751224">
      <w:pPr>
        <w:numPr>
          <w:ilvl w:val="0"/>
          <w:numId w:val="2"/>
        </w:numPr>
        <w:ind w:left="0" w:firstLine="0"/>
        <w:rPr>
          <w:lang w:val="es-ES_tradnl"/>
        </w:rPr>
      </w:pPr>
      <w:r>
        <w:rPr>
          <w:lang w:val="es-ES_tradnl"/>
        </w:rPr>
        <w:t>que en el Manual del UIT-R sobre Sistemas y redes de comunicación adaptativos en frecuencia en las bandas de ondas hectométricas y decamétricas, puede encontrarse información adicional sobre sistemas y redes de frecuencias adaptables en ondas decamétricas,</w:t>
      </w:r>
    </w:p>
    <w:p w:rsidR="00751224" w:rsidRDefault="00751224" w:rsidP="00751224">
      <w:pPr>
        <w:pStyle w:val="Call"/>
        <w:rPr>
          <w:lang w:val="es-ES"/>
        </w:rPr>
      </w:pPr>
      <w:r>
        <w:rPr>
          <w:lang w:val="es-ES"/>
        </w:rPr>
        <w:t>recomienda</w:t>
      </w:r>
    </w:p>
    <w:p w:rsidR="00751224" w:rsidRDefault="00751224" w:rsidP="00751224">
      <w:pPr>
        <w:rPr>
          <w:lang w:val="es-ES"/>
        </w:rPr>
      </w:pPr>
      <w:r>
        <w:rPr>
          <w:b/>
          <w:lang w:val="es-ES"/>
        </w:rPr>
        <w:t>1</w:t>
      </w:r>
      <w:r>
        <w:rPr>
          <w:lang w:val="es-ES"/>
        </w:rPr>
        <w:tab/>
        <w:t>que todo sistema adaptable en ondas decamétricas debería tener las funciones generales señaladas en el Anexo 1.</w:t>
      </w:r>
    </w:p>
    <w:p w:rsidR="00751224" w:rsidRDefault="00751224" w:rsidP="007F73D8">
      <w:pPr>
        <w:pStyle w:val="AnnexNoTitle"/>
        <w:rPr>
          <w:lang w:val="es-ES"/>
        </w:rPr>
      </w:pPr>
      <w:r>
        <w:rPr>
          <w:lang w:val="es-ES"/>
        </w:rPr>
        <w:lastRenderedPageBreak/>
        <w:t>Anexo 1</w:t>
      </w:r>
      <w:r>
        <w:rPr>
          <w:lang w:val="es-ES"/>
        </w:rPr>
        <w:br/>
      </w:r>
      <w:r>
        <w:rPr>
          <w:lang w:val="es-ES"/>
        </w:rPr>
        <w:br/>
        <w:t>Funciones generales de los sistemas adaptables</w:t>
      </w:r>
      <w:r w:rsidR="007F73D8">
        <w:rPr>
          <w:lang w:val="es-ES"/>
        </w:rPr>
        <w:br/>
      </w:r>
      <w:r>
        <w:rPr>
          <w:lang w:val="es-ES"/>
        </w:rPr>
        <w:t>en ondas decamétricas</w:t>
      </w:r>
    </w:p>
    <w:p w:rsidR="00751224" w:rsidRDefault="00751224" w:rsidP="00751224">
      <w:pPr>
        <w:pStyle w:val="Heading1"/>
        <w:rPr>
          <w:lang w:val="es-ES"/>
        </w:rPr>
      </w:pPr>
      <w:r>
        <w:rPr>
          <w:lang w:val="es-ES"/>
        </w:rPr>
        <w:t>1</w:t>
      </w:r>
      <w:r>
        <w:rPr>
          <w:lang w:val="es-ES"/>
        </w:rPr>
        <w:tab/>
        <w:t>Introducción</w:t>
      </w:r>
    </w:p>
    <w:p w:rsidR="00751224" w:rsidRDefault="00751224" w:rsidP="00751224">
      <w:pPr>
        <w:rPr>
          <w:lang w:val="es-ES"/>
        </w:rPr>
      </w:pPr>
      <w:r>
        <w:rPr>
          <w:lang w:val="es-ES"/>
        </w:rPr>
        <w:t>Los sistemas adaptables en ondas decamétricas con agilidad de frecuencia pueden utilizarse para cualquier tipo de servicio fijo o móvil, pero su aplicabilidad es superior cuando se utilizan tecnologías digitales en las que se requiere una elevada calidad de servicio.</w:t>
      </w:r>
    </w:p>
    <w:p w:rsidR="00751224" w:rsidRDefault="00751224" w:rsidP="00751224">
      <w:pPr>
        <w:rPr>
          <w:lang w:val="es-ES"/>
        </w:rPr>
      </w:pPr>
      <w:r>
        <w:rPr>
          <w:lang w:val="es-ES"/>
        </w:rPr>
        <w:t>Los sistemas adaptables automatizan los procesos involucrados en el establecimiento, mantenimiento y liberación de enlaces o redes en ondas decamétricas, lo cual hace que la explotación no requiera la presencia de operadores especializados, y mejora la calidad de servicio y el rendimiento del enlace.</w:t>
      </w:r>
    </w:p>
    <w:p w:rsidR="00751224" w:rsidRDefault="00751224" w:rsidP="00751224">
      <w:pPr>
        <w:rPr>
          <w:lang w:val="es-ES"/>
        </w:rPr>
      </w:pPr>
      <w:r>
        <w:rPr>
          <w:lang w:val="es-ES"/>
        </w:rPr>
        <w:t>Los sistemas adaptables garantizan esencialmente una función triple:</w:t>
      </w:r>
    </w:p>
    <w:p w:rsidR="00751224" w:rsidRDefault="00751224" w:rsidP="00751224">
      <w:pPr>
        <w:pStyle w:val="enumlev1"/>
        <w:rPr>
          <w:lang w:val="es-ES"/>
        </w:rPr>
      </w:pPr>
      <w:r>
        <w:rPr>
          <w:lang w:val="es-ES"/>
        </w:rPr>
        <w:t>–</w:t>
      </w:r>
      <w:r>
        <w:rPr>
          <w:lang w:val="es-ES"/>
        </w:rPr>
        <w:tab/>
        <w:t>automatismo de selección de la frecuencia y de otros parámetros del sistema que deben utilizarse;</w:t>
      </w:r>
    </w:p>
    <w:p w:rsidR="00751224" w:rsidRDefault="00751224" w:rsidP="00751224">
      <w:pPr>
        <w:pStyle w:val="enumlev1"/>
        <w:rPr>
          <w:lang w:val="es-ES"/>
        </w:rPr>
      </w:pPr>
      <w:r>
        <w:rPr>
          <w:lang w:val="es-ES"/>
        </w:rPr>
        <w:t>–</w:t>
      </w:r>
      <w:r>
        <w:rPr>
          <w:lang w:val="es-ES"/>
        </w:rPr>
        <w:tab/>
        <w:t>el automatismo de las operaciones de llamada, establecimiento del enlace (con posible conmutación en el periférico, correspondiente al tipo de servicio que debe prestarse) y terminación del enlace;</w:t>
      </w:r>
    </w:p>
    <w:p w:rsidR="00751224" w:rsidRDefault="00751224" w:rsidP="00751224">
      <w:pPr>
        <w:pStyle w:val="enumlev1"/>
        <w:rPr>
          <w:lang w:val="es-ES"/>
        </w:rPr>
      </w:pPr>
      <w:r>
        <w:rPr>
          <w:lang w:val="es-ES"/>
        </w:rPr>
        <w:t>–</w:t>
      </w:r>
      <w:r>
        <w:rPr>
          <w:lang w:val="es-ES"/>
        </w:rPr>
        <w:tab/>
        <w:t>la adaptabilidad durante el enlace con objeto de optimizar permanentemente la calidad del servicio de acuerdo con las condiciones ionosféricas y la congestión del espectro.</w:t>
      </w:r>
    </w:p>
    <w:p w:rsidR="00751224" w:rsidRDefault="00751224" w:rsidP="00751224">
      <w:pPr>
        <w:pStyle w:val="Heading1"/>
        <w:rPr>
          <w:lang w:val="es-ES"/>
        </w:rPr>
      </w:pPr>
      <w:r>
        <w:rPr>
          <w:lang w:val="es-ES"/>
        </w:rPr>
        <w:t>2</w:t>
      </w:r>
      <w:r>
        <w:rPr>
          <w:lang w:val="es-ES"/>
        </w:rPr>
        <w:tab/>
        <w:t>Automatismo de la selección de la frecuencia que debe utilizarse</w:t>
      </w:r>
    </w:p>
    <w:p w:rsidR="00751224" w:rsidRDefault="00751224" w:rsidP="00751224">
      <w:pPr>
        <w:rPr>
          <w:lang w:val="es-ES"/>
        </w:rPr>
      </w:pPr>
      <w:r>
        <w:rPr>
          <w:lang w:val="es-ES"/>
        </w:rPr>
        <w:t>Esta selección se efectúa mediante un dispositivo de elección de frecuencias, que podría disponer de las siguientes informaciones:</w:t>
      </w:r>
    </w:p>
    <w:p w:rsidR="00751224" w:rsidRDefault="00751224" w:rsidP="00751224">
      <w:pPr>
        <w:pStyle w:val="enumlev1"/>
        <w:rPr>
          <w:lang w:val="es-ES"/>
        </w:rPr>
      </w:pPr>
      <w:r>
        <w:rPr>
          <w:lang w:val="es-ES"/>
        </w:rPr>
        <w:t>–</w:t>
      </w:r>
      <w:r>
        <w:rPr>
          <w:lang w:val="es-ES"/>
        </w:rPr>
        <w:tab/>
        <w:t>la lista de frecuencias asignadas;</w:t>
      </w:r>
    </w:p>
    <w:p w:rsidR="00751224" w:rsidRDefault="00751224" w:rsidP="00751224">
      <w:pPr>
        <w:pStyle w:val="enumlev1"/>
        <w:rPr>
          <w:lang w:val="es-ES"/>
        </w:rPr>
      </w:pPr>
      <w:r>
        <w:rPr>
          <w:lang w:val="es-ES"/>
        </w:rPr>
        <w:t>–</w:t>
      </w:r>
      <w:r>
        <w:rPr>
          <w:lang w:val="es-ES"/>
        </w:rPr>
        <w:tab/>
        <w:t>el programa memorizado de previsiones ionosféricas, que ofrece previsiones sobre la calidad de los enlaces en diferentes frecuencias, particularmente en función de la hora, la estación y el año;</w:t>
      </w:r>
    </w:p>
    <w:p w:rsidR="00751224" w:rsidRDefault="00751224" w:rsidP="00751224">
      <w:pPr>
        <w:pStyle w:val="enumlev1"/>
        <w:rPr>
          <w:lang w:val="es-ES"/>
        </w:rPr>
      </w:pPr>
      <w:r>
        <w:rPr>
          <w:lang w:val="es-ES"/>
        </w:rPr>
        <w:t>–</w:t>
      </w:r>
      <w:r>
        <w:rPr>
          <w:lang w:val="es-ES"/>
        </w:rPr>
        <w:tab/>
        <w:t>las indicaciones de calidad obtenidas de los enlaces precedentes, que permiten reducir el tiempo del establecimiento automático de enlaces si el canal ionosférico es suficientemente estacionario (corto plazo) o suficientemente reproducible durante el mismo intervalo horario en días sucesivos;</w:t>
      </w:r>
    </w:p>
    <w:p w:rsidR="00751224" w:rsidRDefault="00751224" w:rsidP="00751224">
      <w:pPr>
        <w:pStyle w:val="enumlev1"/>
        <w:rPr>
          <w:lang w:val="es-ES"/>
        </w:rPr>
      </w:pPr>
      <w:r>
        <w:rPr>
          <w:lang w:val="es-ES"/>
        </w:rPr>
        <w:t>–</w:t>
      </w:r>
      <w:r>
        <w:rPr>
          <w:lang w:val="es-ES"/>
        </w:rPr>
        <w:tab/>
        <w:t>el análisis pasivo de los canales en tiempo real, que permite separar los canales libres de los canales interferidos (reduciendo la congestión espectral);</w:t>
      </w:r>
    </w:p>
    <w:p w:rsidR="00751224" w:rsidRDefault="00751224" w:rsidP="00751224">
      <w:pPr>
        <w:pStyle w:val="enumlev1"/>
        <w:rPr>
          <w:lang w:val="es-ES"/>
        </w:rPr>
      </w:pPr>
      <w:r>
        <w:rPr>
          <w:lang w:val="es-ES"/>
        </w:rPr>
        <w:t>–</w:t>
      </w:r>
      <w:r>
        <w:rPr>
          <w:lang w:val="es-ES"/>
        </w:rPr>
        <w:tab/>
        <w:t>en algunos casos, las informaciones facilitadas, por otros elementos (por ejemplo, sistemas de sondeo ionosférico).</w:t>
      </w:r>
    </w:p>
    <w:p w:rsidR="00751224" w:rsidRDefault="00751224" w:rsidP="00751224">
      <w:pPr>
        <w:rPr>
          <w:lang w:val="es-ES"/>
        </w:rPr>
      </w:pPr>
      <w:r>
        <w:rPr>
          <w:lang w:val="es-ES"/>
        </w:rPr>
        <w:t>Basándose en esas informaciones, podrá confeccionarse en un momento dado una clasificación preferente de las frecuencias que han de utilizarse para un determinado enlace.</w:t>
      </w:r>
    </w:p>
    <w:p w:rsidR="00751224" w:rsidRDefault="00751224" w:rsidP="007F73D8">
      <w:pPr>
        <w:pStyle w:val="Heading1"/>
        <w:rPr>
          <w:lang w:val="es-ES"/>
        </w:rPr>
      </w:pPr>
      <w:r>
        <w:rPr>
          <w:lang w:val="es-ES"/>
        </w:rPr>
        <w:lastRenderedPageBreak/>
        <w:t>3</w:t>
      </w:r>
      <w:r>
        <w:rPr>
          <w:lang w:val="es-ES"/>
        </w:rPr>
        <w:tab/>
      </w:r>
      <w:r w:rsidRPr="00751224">
        <w:rPr>
          <w:lang w:val="es-ES_tradnl"/>
        </w:rPr>
        <w:t>Automatismo</w:t>
      </w:r>
      <w:r>
        <w:rPr>
          <w:lang w:val="es-ES"/>
        </w:rPr>
        <w:t xml:space="preserve"> de la llamada, del establecimiento del enlace y de la terminación del mismo</w:t>
      </w:r>
    </w:p>
    <w:p w:rsidR="00751224" w:rsidRDefault="00751224" w:rsidP="00751224">
      <w:pPr>
        <w:pStyle w:val="Heading2"/>
        <w:rPr>
          <w:lang w:val="es-ES"/>
        </w:rPr>
      </w:pPr>
      <w:r>
        <w:rPr>
          <w:lang w:val="es-ES"/>
        </w:rPr>
        <w:t>3.1</w:t>
      </w:r>
      <w:r>
        <w:rPr>
          <w:lang w:val="es-ES"/>
        </w:rPr>
        <w:tab/>
        <w:t>Canales comunes de llamada y tráfico</w:t>
      </w:r>
    </w:p>
    <w:p w:rsidR="00751224" w:rsidRDefault="00751224" w:rsidP="007F73D8">
      <w:pPr>
        <w:rPr>
          <w:lang w:val="es-ES"/>
        </w:rPr>
      </w:pPr>
      <w:r>
        <w:rPr>
          <w:lang w:val="es-ES"/>
        </w:rPr>
        <w:t>Es necesario que la secuencia de llamada contenga las siguientes indicaciones proporcionadas por el usuario:</w:t>
      </w:r>
    </w:p>
    <w:p w:rsidR="00751224" w:rsidRDefault="00751224" w:rsidP="00751224">
      <w:pPr>
        <w:pStyle w:val="enumlev1"/>
        <w:rPr>
          <w:lang w:val="es-ES"/>
        </w:rPr>
      </w:pPr>
      <w:r>
        <w:rPr>
          <w:lang w:val="es-ES"/>
        </w:rPr>
        <w:t>–</w:t>
      </w:r>
      <w:r>
        <w:rPr>
          <w:lang w:val="es-ES"/>
        </w:rPr>
        <w:tab/>
        <w:t>identificación de la estación llamante;</w:t>
      </w:r>
    </w:p>
    <w:p w:rsidR="00751224" w:rsidRDefault="00751224" w:rsidP="00751224">
      <w:pPr>
        <w:pStyle w:val="enumlev1"/>
        <w:rPr>
          <w:lang w:val="es-ES"/>
        </w:rPr>
      </w:pPr>
      <w:r>
        <w:rPr>
          <w:lang w:val="es-ES"/>
        </w:rPr>
        <w:t>–</w:t>
      </w:r>
      <w:r>
        <w:rPr>
          <w:lang w:val="es-ES"/>
        </w:rPr>
        <w:tab/>
        <w:t>identificación de la estación llamada;</w:t>
      </w:r>
    </w:p>
    <w:p w:rsidR="00751224" w:rsidRDefault="00751224" w:rsidP="00751224">
      <w:pPr>
        <w:pStyle w:val="enumlev1"/>
        <w:rPr>
          <w:lang w:val="es-ES"/>
        </w:rPr>
      </w:pPr>
      <w:r>
        <w:rPr>
          <w:lang w:val="es-ES"/>
        </w:rPr>
        <w:t>–</w:t>
      </w:r>
      <w:r>
        <w:rPr>
          <w:lang w:val="es-ES"/>
        </w:rPr>
        <w:tab/>
        <w:t>tipo de servicio;</w:t>
      </w:r>
    </w:p>
    <w:p w:rsidR="00751224" w:rsidRDefault="00751224" w:rsidP="00751224">
      <w:pPr>
        <w:pStyle w:val="enumlev1"/>
        <w:rPr>
          <w:lang w:val="es-ES"/>
        </w:rPr>
      </w:pPr>
      <w:r>
        <w:rPr>
          <w:lang w:val="es-ES"/>
        </w:rPr>
        <w:t>–</w:t>
      </w:r>
      <w:r>
        <w:rPr>
          <w:lang w:val="es-ES"/>
        </w:rPr>
        <w:tab/>
        <w:t>eventualmente, modo de explotación en el caso en que no haya sido impuesto por el enlace o no exista correspondencia biunívoca entre el modo de explotación y el tipo de servicio.</w:t>
      </w:r>
    </w:p>
    <w:p w:rsidR="00751224" w:rsidRDefault="00751224" w:rsidP="00751224">
      <w:pPr>
        <w:rPr>
          <w:lang w:val="es-ES"/>
        </w:rPr>
      </w:pPr>
      <w:r>
        <w:rPr>
          <w:lang w:val="es-ES"/>
        </w:rPr>
        <w:t>La función o unidad de selección de frecuencia enumera las frecuencias en orden de calidad de servicio esperado.</w:t>
      </w:r>
    </w:p>
    <w:p w:rsidR="00751224" w:rsidRDefault="00751224" w:rsidP="007F73D8">
      <w:pPr>
        <w:rPr>
          <w:lang w:val="es-ES"/>
        </w:rPr>
      </w:pPr>
      <w:r>
        <w:rPr>
          <w:lang w:val="es-ES"/>
        </w:rPr>
        <w:t>La secuencia de llamada se efectúa en la frecuencia clasificada con el N.</w:t>
      </w:r>
      <w:r w:rsidR="007F73D8">
        <w:rPr>
          <w:lang w:val="es-ES"/>
        </w:rPr>
        <w:t>°</w:t>
      </w:r>
      <w:r>
        <w:rPr>
          <w:lang w:val="es-ES"/>
        </w:rPr>
        <w:t> 1 por el dispositivo de selección de las frecuencias.</w:t>
      </w:r>
    </w:p>
    <w:p w:rsidR="00751224" w:rsidRDefault="00751224" w:rsidP="00751224">
      <w:pPr>
        <w:rPr>
          <w:lang w:val="es-ES"/>
        </w:rPr>
      </w:pPr>
      <w:r>
        <w:rPr>
          <w:lang w:val="es-ES"/>
        </w:rPr>
        <w:t>Dicha frecuencia se conservará para el enlace, si:</w:t>
      </w:r>
    </w:p>
    <w:p w:rsidR="00751224" w:rsidRDefault="00751224" w:rsidP="00751224">
      <w:pPr>
        <w:pStyle w:val="enumlev1"/>
        <w:rPr>
          <w:lang w:val="es-ES"/>
        </w:rPr>
      </w:pPr>
      <w:r>
        <w:rPr>
          <w:lang w:val="es-ES"/>
        </w:rPr>
        <w:t>–</w:t>
      </w:r>
      <w:r>
        <w:rPr>
          <w:lang w:val="es-ES"/>
        </w:rPr>
        <w:tab/>
        <w:t>se recibe una respuesta de la estación llamada;</w:t>
      </w:r>
    </w:p>
    <w:p w:rsidR="00751224" w:rsidRDefault="00751224" w:rsidP="00751224">
      <w:pPr>
        <w:pStyle w:val="enumlev1"/>
        <w:rPr>
          <w:lang w:val="es-ES"/>
        </w:rPr>
      </w:pPr>
      <w:r>
        <w:rPr>
          <w:lang w:val="es-ES"/>
        </w:rPr>
        <w:t>–</w:t>
      </w:r>
      <w:r>
        <w:rPr>
          <w:lang w:val="es-ES"/>
        </w:rPr>
        <w:tab/>
        <w:t>esta respuesta indica que la calidad medida del enlace en el sentido que llama-llamado resulta suficiente para garantizar el servicio requerido (en efecto, la calidad podría bastar para garantizar el establecimiento del enlace, que se efectúa siempre a una velocidad binaria reducida, pero ser insuficiente para garantizar un servicio que precise una calidad superior, por ejemplo la telefonía analógica o la transmisión digital a alta velocidad);</w:t>
      </w:r>
    </w:p>
    <w:p w:rsidR="00751224" w:rsidRDefault="00751224" w:rsidP="00751224">
      <w:pPr>
        <w:pStyle w:val="enumlev1"/>
        <w:rPr>
          <w:lang w:val="es-ES"/>
        </w:rPr>
      </w:pPr>
      <w:r>
        <w:rPr>
          <w:lang w:val="es-ES"/>
        </w:rPr>
        <w:t>–</w:t>
      </w:r>
      <w:r>
        <w:rPr>
          <w:lang w:val="es-ES"/>
        </w:rPr>
        <w:tab/>
        <w:t>la calidad medida del enlace en el sentido llamado-que llama resulta suficiente para garantizar el servicio requerido.</w:t>
      </w:r>
    </w:p>
    <w:p w:rsidR="00751224" w:rsidRDefault="00751224" w:rsidP="007F73D8">
      <w:pPr>
        <w:rPr>
          <w:lang w:val="es-ES"/>
        </w:rPr>
      </w:pPr>
      <w:r>
        <w:rPr>
          <w:lang w:val="es-ES"/>
        </w:rPr>
        <w:t>En el caso de que uno de los tres requisitos antes enumerados no se satisfaga, se reiniciarán las llamadas en la frecuencia clasificada N.</w:t>
      </w:r>
      <w:r w:rsidR="007F73D8">
        <w:rPr>
          <w:lang w:val="es-ES"/>
        </w:rPr>
        <w:t>°</w:t>
      </w:r>
      <w:r>
        <w:rPr>
          <w:lang w:val="es-ES"/>
        </w:rPr>
        <w:t> 2, etc.</w:t>
      </w:r>
    </w:p>
    <w:p w:rsidR="00751224" w:rsidRDefault="00751224" w:rsidP="00751224">
      <w:pPr>
        <w:rPr>
          <w:lang w:val="es-ES"/>
        </w:rPr>
      </w:pPr>
      <w:r>
        <w:rPr>
          <w:lang w:val="es-ES"/>
        </w:rPr>
        <w:t>A partir del momento en que se haya encontrado una frecuencia adecuada, se produce una conmutación automática en el periférico correspondiente al tipo de servicio que debe prestarse.</w:t>
      </w:r>
    </w:p>
    <w:p w:rsidR="00751224" w:rsidRDefault="00751224" w:rsidP="00751224">
      <w:pPr>
        <w:rPr>
          <w:lang w:val="es-ES"/>
        </w:rPr>
      </w:pPr>
      <w:r>
        <w:rPr>
          <w:lang w:val="es-ES"/>
        </w:rPr>
        <w:t>Al término de la conexión las estaciones retornan a una configuración de escucha.</w:t>
      </w:r>
    </w:p>
    <w:p w:rsidR="00751224" w:rsidRDefault="00751224" w:rsidP="007F73D8">
      <w:pPr>
        <w:pStyle w:val="Note"/>
        <w:rPr>
          <w:lang w:val="es-ES"/>
        </w:rPr>
      </w:pPr>
      <w:r>
        <w:rPr>
          <w:lang w:val="es-ES"/>
        </w:rPr>
        <w:t xml:space="preserve">NOTA 1 </w:t>
      </w:r>
      <w:r>
        <w:sym w:font="Symbol" w:char="F02D"/>
      </w:r>
      <w:r>
        <w:rPr>
          <w:lang w:val="es-ES"/>
        </w:rPr>
        <w:t xml:space="preserve"> Frecuencia clasificada N.</w:t>
      </w:r>
      <w:r w:rsidR="007F73D8">
        <w:rPr>
          <w:lang w:val="es-ES"/>
        </w:rPr>
        <w:t>°</w:t>
      </w:r>
      <w:r>
        <w:rPr>
          <w:lang w:val="es-ES"/>
        </w:rPr>
        <w:t xml:space="preserve"> 1, 2, </w:t>
      </w:r>
      <w:r w:rsidR="00E9212F" w:rsidRPr="00C91FB0">
        <w:rPr>
          <w:lang w:val="es-ES_tradnl"/>
        </w:rPr>
        <w:t>...</w:t>
      </w:r>
      <w:r w:rsidRPr="00E9212F">
        <w:rPr>
          <w:lang w:val="es-ES"/>
        </w:rPr>
        <w:t xml:space="preserve"> </w:t>
      </w:r>
      <w:r>
        <w:rPr>
          <w:lang w:val="es-ES"/>
        </w:rPr>
        <w:t>quiere decir:</w:t>
      </w:r>
    </w:p>
    <w:p w:rsidR="00751224" w:rsidRDefault="00751224" w:rsidP="00751224">
      <w:pPr>
        <w:pStyle w:val="Note"/>
        <w:rPr>
          <w:lang w:val="es-ES"/>
        </w:rPr>
      </w:pPr>
      <w:r>
        <w:rPr>
          <w:lang w:val="es-ES"/>
        </w:rPr>
        <w:t>–</w:t>
      </w:r>
      <w:r>
        <w:rPr>
          <w:lang w:val="es-ES"/>
        </w:rPr>
        <w:tab/>
        <w:t>una sola frecuencia en el caso de operación símplex;</w:t>
      </w:r>
    </w:p>
    <w:p w:rsidR="00751224" w:rsidRDefault="00751224" w:rsidP="00751224">
      <w:pPr>
        <w:pStyle w:val="Note"/>
        <w:rPr>
          <w:lang w:val="es-ES"/>
        </w:rPr>
      </w:pPr>
      <w:r>
        <w:rPr>
          <w:lang w:val="es-ES"/>
        </w:rPr>
        <w:t>–</w:t>
      </w:r>
      <w:r>
        <w:rPr>
          <w:lang w:val="es-ES"/>
        </w:rPr>
        <w:tab/>
        <w:t>un par de frecuencias en el caso semidúplex y en el caso dúplex.</w:t>
      </w:r>
    </w:p>
    <w:p w:rsidR="00751224" w:rsidRDefault="00751224" w:rsidP="00751224">
      <w:pPr>
        <w:rPr>
          <w:lang w:val="es-ES"/>
        </w:rPr>
      </w:pPr>
      <w:r>
        <w:rPr>
          <w:lang w:val="es-ES"/>
        </w:rPr>
        <w:t>Conviene utilizar procedimientos que permitan la selección independiente de las frecuencias para cada sentido del enlace en los casos siguientes:</w:t>
      </w:r>
    </w:p>
    <w:p w:rsidR="00751224" w:rsidRDefault="00751224" w:rsidP="00751224">
      <w:pPr>
        <w:pStyle w:val="enumlev1"/>
        <w:rPr>
          <w:lang w:val="es-ES"/>
        </w:rPr>
      </w:pPr>
      <w:r>
        <w:rPr>
          <w:lang w:val="es-ES"/>
        </w:rPr>
        <w:t>–</w:t>
      </w:r>
      <w:r>
        <w:rPr>
          <w:lang w:val="es-ES"/>
        </w:rPr>
        <w:tab/>
        <w:t>presencia de interferencias locales;</w:t>
      </w:r>
    </w:p>
    <w:p w:rsidR="00751224" w:rsidRDefault="00751224" w:rsidP="00751224">
      <w:pPr>
        <w:pStyle w:val="enumlev1"/>
        <w:rPr>
          <w:lang w:val="es-ES"/>
        </w:rPr>
      </w:pPr>
      <w:r>
        <w:rPr>
          <w:lang w:val="es-ES"/>
        </w:rPr>
        <w:t>–</w:t>
      </w:r>
      <w:r>
        <w:rPr>
          <w:lang w:val="es-ES"/>
        </w:rPr>
        <w:tab/>
        <w:t>no disponibilidad de las mismas frecuencias en ambos extremos del enlace.</w:t>
      </w:r>
    </w:p>
    <w:p w:rsidR="00751224" w:rsidRDefault="00751224" w:rsidP="00751224">
      <w:pPr>
        <w:pStyle w:val="Heading2"/>
        <w:rPr>
          <w:lang w:val="es-ES"/>
        </w:rPr>
      </w:pPr>
      <w:r>
        <w:rPr>
          <w:lang w:val="es-ES"/>
        </w:rPr>
        <w:t>3.2</w:t>
      </w:r>
      <w:r>
        <w:rPr>
          <w:lang w:val="es-ES"/>
        </w:rPr>
        <w:tab/>
        <w:t>Canales separados de llamada y de tráfico</w:t>
      </w:r>
    </w:p>
    <w:p w:rsidR="00751224" w:rsidRDefault="00751224" w:rsidP="00751224">
      <w:pPr>
        <w:rPr>
          <w:lang w:val="es-ES"/>
        </w:rPr>
      </w:pPr>
      <w:r>
        <w:rPr>
          <w:lang w:val="es-ES"/>
        </w:rPr>
        <w:t>En redes o sistemas donde la densidad de tráfico o el número de estaciones es elevado, puede ser conveniente la utilización de canales separados de llamada y de tráfico. En esos casos, el establecimiento de la llamada seguirá normalmente el modelo indicado en el § 3.1 salvo si el contacto inicial se realiza en uno de los canales llamantes, que son verificados por todas las estaciones cuando realizan la escucha. Después se combina la evaluación de canal pasivo y el sondeo de canal activo para determinar la frecuencia de tráfico más adecuada.</w:t>
      </w:r>
    </w:p>
    <w:p w:rsidR="00751224" w:rsidRDefault="00751224" w:rsidP="00751224">
      <w:pPr>
        <w:pStyle w:val="Heading1"/>
        <w:rPr>
          <w:lang w:val="es-ES"/>
        </w:rPr>
      </w:pPr>
      <w:r>
        <w:rPr>
          <w:lang w:val="es-ES"/>
        </w:rPr>
        <w:lastRenderedPageBreak/>
        <w:t>4</w:t>
      </w:r>
      <w:r>
        <w:rPr>
          <w:lang w:val="es-ES"/>
        </w:rPr>
        <w:tab/>
        <w:t>Adaptabilidad durante una comunicación</w:t>
      </w:r>
    </w:p>
    <w:p w:rsidR="00751224" w:rsidRDefault="00751224" w:rsidP="00751224">
      <w:pPr>
        <w:rPr>
          <w:lang w:val="es-ES"/>
        </w:rPr>
      </w:pPr>
      <w:r>
        <w:rPr>
          <w:lang w:val="es-ES"/>
        </w:rPr>
        <w:t>Gracias a su adaptabilidad, el sistema mantiene automáticamente la calidad de una transmisión en ondas decamétricas durante una comunicación haciendo variar los principales parámetros de la transmisión de acuerdo con la evolución del estado del canal.</w:t>
      </w:r>
    </w:p>
    <w:p w:rsidR="00751224" w:rsidRDefault="00751224" w:rsidP="00751224">
      <w:pPr>
        <w:rPr>
          <w:lang w:val="es-ES"/>
        </w:rPr>
      </w:pPr>
      <w:r>
        <w:rPr>
          <w:lang w:val="es-ES"/>
        </w:rPr>
        <w:t>Entre estos parámetros cabe citar:</w:t>
      </w:r>
    </w:p>
    <w:p w:rsidR="00751224" w:rsidRDefault="00751224" w:rsidP="00751224">
      <w:pPr>
        <w:pStyle w:val="enumlev1"/>
        <w:rPr>
          <w:lang w:val="es-ES"/>
        </w:rPr>
      </w:pPr>
      <w:r>
        <w:rPr>
          <w:lang w:val="es-ES"/>
        </w:rPr>
        <w:t>–</w:t>
      </w:r>
      <w:r>
        <w:rPr>
          <w:lang w:val="es-ES"/>
        </w:rPr>
        <w:tab/>
        <w:t>en los equipos radioeléctricos:</w:t>
      </w:r>
    </w:p>
    <w:p w:rsidR="00751224" w:rsidRDefault="00751224" w:rsidP="00751224">
      <w:pPr>
        <w:pStyle w:val="enumlev2"/>
        <w:numPr>
          <w:ilvl w:val="0"/>
          <w:numId w:val="1"/>
        </w:numPr>
        <w:rPr>
          <w:lang w:val="es-ES"/>
        </w:rPr>
      </w:pPr>
      <w:r>
        <w:rPr>
          <w:lang w:val="es-ES"/>
        </w:rPr>
        <w:t>la frecuencia;</w:t>
      </w:r>
    </w:p>
    <w:p w:rsidR="00751224" w:rsidRDefault="00751224" w:rsidP="00751224">
      <w:pPr>
        <w:pStyle w:val="enumlev2"/>
        <w:numPr>
          <w:ilvl w:val="0"/>
          <w:numId w:val="1"/>
        </w:numPr>
        <w:rPr>
          <w:lang w:val="es-ES"/>
        </w:rPr>
      </w:pPr>
      <w:r>
        <w:rPr>
          <w:lang w:val="es-ES"/>
        </w:rPr>
        <w:t>la potencia del transmisor;</w:t>
      </w:r>
    </w:p>
    <w:p w:rsidR="00751224" w:rsidRDefault="00751224" w:rsidP="00751224">
      <w:pPr>
        <w:pStyle w:val="enumlev2"/>
        <w:numPr>
          <w:ilvl w:val="0"/>
          <w:numId w:val="1"/>
        </w:numPr>
        <w:rPr>
          <w:lang w:val="es-ES"/>
        </w:rPr>
      </w:pPr>
      <w:r>
        <w:rPr>
          <w:lang w:val="es-ES"/>
        </w:rPr>
        <w:t>la modulación elegida;</w:t>
      </w:r>
    </w:p>
    <w:p w:rsidR="00751224" w:rsidRDefault="00751224" w:rsidP="00751224">
      <w:pPr>
        <w:pStyle w:val="enumlev1"/>
        <w:rPr>
          <w:lang w:val="es-ES"/>
        </w:rPr>
      </w:pPr>
      <w:r>
        <w:rPr>
          <w:lang w:val="es-ES"/>
        </w:rPr>
        <w:t>–</w:t>
      </w:r>
      <w:r>
        <w:rPr>
          <w:lang w:val="es-ES"/>
        </w:rPr>
        <w:tab/>
        <w:t>en el terminal de datos o en el periférico telegráfico y su módem asociado:</w:t>
      </w:r>
    </w:p>
    <w:p w:rsidR="00751224" w:rsidRDefault="00751224" w:rsidP="00751224">
      <w:pPr>
        <w:pStyle w:val="enumlev2"/>
        <w:rPr>
          <w:lang w:val="es-ES"/>
        </w:rPr>
      </w:pPr>
      <w:r>
        <w:rPr>
          <w:lang w:val="es-ES"/>
        </w:rPr>
        <w:t>–</w:t>
      </w:r>
      <w:r>
        <w:rPr>
          <w:lang w:val="es-ES"/>
        </w:rPr>
        <w:tab/>
        <w:t>la velocidad binaria;</w:t>
      </w:r>
    </w:p>
    <w:p w:rsidR="00751224" w:rsidRDefault="00751224" w:rsidP="00751224">
      <w:pPr>
        <w:pStyle w:val="enumlev2"/>
        <w:rPr>
          <w:lang w:val="es-ES"/>
        </w:rPr>
      </w:pPr>
      <w:r>
        <w:rPr>
          <w:lang w:val="es-ES"/>
        </w:rPr>
        <w:t>–</w:t>
      </w:r>
      <w:r>
        <w:rPr>
          <w:lang w:val="es-ES"/>
        </w:rPr>
        <w:tab/>
        <w:t>el tipo de codificación;</w:t>
      </w:r>
    </w:p>
    <w:p w:rsidR="00751224" w:rsidRDefault="00751224" w:rsidP="00751224">
      <w:pPr>
        <w:pStyle w:val="enumlev2"/>
        <w:rPr>
          <w:lang w:val="es-ES"/>
        </w:rPr>
      </w:pPr>
      <w:r>
        <w:rPr>
          <w:lang w:val="es-ES"/>
        </w:rPr>
        <w:t>–</w:t>
      </w:r>
      <w:r>
        <w:rPr>
          <w:lang w:val="es-ES"/>
        </w:rPr>
        <w:tab/>
        <w:t>la amplitud del desplazamiento;</w:t>
      </w:r>
    </w:p>
    <w:p w:rsidR="00751224" w:rsidRDefault="00751224" w:rsidP="00751224">
      <w:pPr>
        <w:pStyle w:val="enumlev2"/>
        <w:rPr>
          <w:lang w:val="es-ES"/>
        </w:rPr>
      </w:pPr>
      <w:r>
        <w:rPr>
          <w:lang w:val="es-ES"/>
        </w:rPr>
        <w:t>–</w:t>
      </w:r>
      <w:r>
        <w:rPr>
          <w:lang w:val="es-ES"/>
        </w:rPr>
        <w:tab/>
        <w:t>la frecuencia subportadora.</w:t>
      </w:r>
    </w:p>
    <w:p w:rsidR="00751224" w:rsidRDefault="00751224" w:rsidP="00751224">
      <w:pPr>
        <w:rPr>
          <w:lang w:val="es-ES"/>
        </w:rPr>
      </w:pPr>
      <w:r>
        <w:rPr>
          <w:lang w:val="es-ES"/>
        </w:rPr>
        <w:t>Para aplicar un proceso adaptable es preciso adoptar las siguientes medidas:</w:t>
      </w:r>
    </w:p>
    <w:p w:rsidR="00751224" w:rsidRDefault="00751224" w:rsidP="00751224">
      <w:pPr>
        <w:pStyle w:val="enumlev1"/>
        <w:rPr>
          <w:lang w:val="es-ES"/>
        </w:rPr>
      </w:pPr>
      <w:r>
        <w:rPr>
          <w:lang w:val="es-ES"/>
        </w:rPr>
        <w:t>–</w:t>
      </w:r>
      <w:r>
        <w:rPr>
          <w:lang w:val="es-ES"/>
        </w:rPr>
        <w:tab/>
        <w:t xml:space="preserve">determinar un criterio cuantificable para representar la calidad del enlace en un tipo de servicio determinado (por ejemplo, número de repeticiones para un enlace telegráfico con corrección de errores con canal de retorno (ARQ) – proporción de errores para una transmisión digital y medición de la relación </w:t>
      </w:r>
      <w:r>
        <w:rPr>
          <w:i/>
          <w:lang w:val="es-ES"/>
        </w:rPr>
        <w:t>S</w:t>
      </w:r>
      <w:r>
        <w:rPr>
          <w:lang w:val="es-ES"/>
        </w:rPr>
        <w:t>/</w:t>
      </w:r>
      <w:r>
        <w:rPr>
          <w:i/>
          <w:lang w:val="es-ES"/>
        </w:rPr>
        <w:t>N</w:t>
      </w:r>
      <w:r>
        <w:rPr>
          <w:lang w:val="es-ES"/>
        </w:rPr>
        <w:t> – fluctuación de fase);</w:t>
      </w:r>
    </w:p>
    <w:p w:rsidR="00751224" w:rsidRDefault="00751224" w:rsidP="00751224">
      <w:pPr>
        <w:pStyle w:val="enumlev1"/>
        <w:rPr>
          <w:lang w:val="es-ES"/>
        </w:rPr>
      </w:pPr>
      <w:r>
        <w:rPr>
          <w:lang w:val="es-ES"/>
        </w:rPr>
        <w:t>–</w:t>
      </w:r>
      <w:r>
        <w:rPr>
          <w:lang w:val="es-ES"/>
        </w:rPr>
        <w:tab/>
        <w:t>fijar el valor de este criterio por debajo del cual se estima que la calidad resulta insuficiente (umbral);</w:t>
      </w:r>
    </w:p>
    <w:p w:rsidR="00751224" w:rsidRDefault="00751224" w:rsidP="00751224">
      <w:pPr>
        <w:pStyle w:val="enumlev1"/>
        <w:rPr>
          <w:lang w:val="es-ES"/>
        </w:rPr>
      </w:pPr>
      <w:r>
        <w:rPr>
          <w:lang w:val="es-ES"/>
        </w:rPr>
        <w:t>–</w:t>
      </w:r>
      <w:r>
        <w:rPr>
          <w:lang w:val="es-ES"/>
        </w:rPr>
        <w:tab/>
        <w:t>medir de forma regular y repetitiva el valor de dicho criterio durante el proceso de comunicación;</w:t>
      </w:r>
    </w:p>
    <w:p w:rsidR="00751224" w:rsidRDefault="00751224" w:rsidP="00751224">
      <w:pPr>
        <w:pStyle w:val="enumlev1"/>
        <w:rPr>
          <w:lang w:val="es-ES"/>
        </w:rPr>
      </w:pPr>
      <w:r>
        <w:rPr>
          <w:lang w:val="es-ES"/>
        </w:rPr>
        <w:t>–</w:t>
      </w:r>
      <w:r>
        <w:rPr>
          <w:lang w:val="es-ES"/>
        </w:rPr>
        <w:tab/>
        <w:t>si durante un periodo determinado ese valor cae por debajo del umbral fijado, hacer variar uno o varios parámetros del enlace, con objeto de obtener nuevamente la calidad requerida;</w:t>
      </w:r>
    </w:p>
    <w:p w:rsidR="00751224" w:rsidRDefault="00751224" w:rsidP="00751224">
      <w:pPr>
        <w:pStyle w:val="enumlev1"/>
        <w:rPr>
          <w:lang w:val="es-ES"/>
        </w:rPr>
      </w:pPr>
      <w:r>
        <w:rPr>
          <w:lang w:val="es-ES"/>
        </w:rPr>
        <w:t>–</w:t>
      </w:r>
      <w:r>
        <w:rPr>
          <w:lang w:val="es-ES"/>
        </w:rPr>
        <w:tab/>
        <w:t>supervisar regularmente en los canales seleccionados la ocupación desde los dos extremos de cada enlace para evitar que se produzcan interferencias.</w:t>
      </w:r>
    </w:p>
    <w:p w:rsidR="00751224" w:rsidRDefault="00751224" w:rsidP="00751224">
      <w:pPr>
        <w:rPr>
          <w:lang w:val="es-ES"/>
        </w:rPr>
      </w:pPr>
      <w:r>
        <w:rPr>
          <w:lang w:val="es-ES"/>
        </w:rPr>
        <w:t>Ello implica, evidentemente que tales parámetros sean programables y que los diferentes valores discretos seleccionados puedan modificarse por telemando.</w:t>
      </w:r>
    </w:p>
    <w:p w:rsidR="00751224" w:rsidRDefault="00751224" w:rsidP="00751224">
      <w:pPr>
        <w:rPr>
          <w:lang w:val="es-ES"/>
        </w:rPr>
      </w:pPr>
      <w:r>
        <w:rPr>
          <w:lang w:val="es-ES"/>
        </w:rPr>
        <w:t>Cuando se modifican los parámetros debe aplicarse una señal especial para indicar a los dos terminales interesados que se está realizando un proceso adaptable.</w:t>
      </w:r>
    </w:p>
    <w:p w:rsidR="00751224" w:rsidRDefault="00751224" w:rsidP="00751224">
      <w:pPr>
        <w:pStyle w:val="Note"/>
        <w:rPr>
          <w:lang w:val="es-ES"/>
        </w:rPr>
      </w:pPr>
      <w:r>
        <w:rPr>
          <w:lang w:val="es-ES"/>
        </w:rPr>
        <w:t xml:space="preserve">NOTA 1 </w:t>
      </w:r>
      <w:r>
        <w:sym w:font="Symbol" w:char="F02D"/>
      </w:r>
      <w:r>
        <w:rPr>
          <w:lang w:val="es-ES"/>
        </w:rPr>
        <w:t xml:space="preserve"> En telefonía analógica, el criterio representativo de la calidad del enlace sólo puede ser subjetivo, razón por la cual hay que dar al usuario la posibilidad de iniciar mediante una acción voluntaria el cambio de los parámetros: por ejemplo, con una instrucción de «reactivación» accionada por el usuario que recibe mal, para indicar al sistema que éste debe dar inicio al proceso de adaptabilidad.</w:t>
      </w:r>
    </w:p>
    <w:p w:rsidR="00751224" w:rsidRDefault="00751224" w:rsidP="00751224">
      <w:pPr>
        <w:rPr>
          <w:lang w:val="es-ES"/>
        </w:rPr>
      </w:pPr>
    </w:p>
    <w:p w:rsidR="00A6617B" w:rsidRDefault="00A6617B" w:rsidP="00A6617B">
      <w:pPr>
        <w:rPr>
          <w:lang w:val="es-ES"/>
        </w:rPr>
      </w:pPr>
    </w:p>
    <w:p w:rsidR="00655ADE" w:rsidRPr="00C91FB0" w:rsidRDefault="00655ADE" w:rsidP="00655ADE">
      <w:pPr>
        <w:pStyle w:val="Line"/>
        <w:rPr>
          <w:lang w:val="es-ES_tradnl"/>
        </w:rPr>
      </w:pPr>
    </w:p>
    <w:sectPr w:rsidR="00655ADE" w:rsidRPr="00C91FB0" w:rsidSect="00192C1D">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224" w:rsidRDefault="00751224">
      <w:r>
        <w:separator/>
      </w:r>
    </w:p>
  </w:endnote>
  <w:endnote w:type="continuationSeparator" w:id="0">
    <w:p w:rsidR="00751224" w:rsidRDefault="007512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224" w:rsidRDefault="00751224">
      <w:r>
        <w:separator/>
      </w:r>
    </w:p>
  </w:footnote>
  <w:footnote w:type="continuationSeparator" w:id="0">
    <w:p w:rsidR="00751224" w:rsidRDefault="00751224">
      <w:r>
        <w:continuationSeparator/>
      </w:r>
    </w:p>
  </w:footnote>
  <w:footnote w:id="1">
    <w:p w:rsidR="00751224" w:rsidRPr="007F2982" w:rsidRDefault="00751224" w:rsidP="00751224">
      <w:pPr>
        <w:pStyle w:val="FootnoteText"/>
        <w:ind w:left="313" w:hanging="313"/>
        <w:rPr>
          <w:lang w:val="es-ES_tradnl"/>
        </w:rPr>
      </w:pPr>
      <w:r w:rsidRPr="007F2982">
        <w:rPr>
          <w:rStyle w:val="FootnoteReference"/>
          <w:lang w:val="es-ES_tradnl"/>
        </w:rPr>
        <w:t>*</w:t>
      </w:r>
      <w:r w:rsidRPr="007F2982">
        <w:rPr>
          <w:lang w:val="es-ES_tradnl"/>
        </w:rPr>
        <w:tab/>
      </w:r>
      <w:r>
        <w:rPr>
          <w:lang w:val="es-ES_tradnl"/>
        </w:rPr>
        <w:tab/>
        <w:t>La Comisión de Estudio 5 de Radiocomunicaciones introdujo cambios de edición en la presente Recomendación en diciembre de 2009, con arreglo a lo dispuesto en la Resolución UIT-R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C1D" w:rsidRDefault="00192C1D">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C1D" w:rsidRDefault="00192C1D" w:rsidP="00D62884">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C1D" w:rsidRDefault="000858C8" w:rsidP="00B1717A">
    <w:pPr>
      <w:pStyle w:val="Header"/>
      <w:jc w:val="left"/>
    </w:pPr>
    <w:r>
      <w:rPr>
        <w:rStyle w:val="PageNumber"/>
        <w:b/>
        <w:bCs/>
      </w:rPr>
      <w:fldChar w:fldCharType="begin"/>
    </w:r>
    <w:r w:rsidR="00192C1D">
      <w:rPr>
        <w:rStyle w:val="PageNumber"/>
        <w:b/>
        <w:bCs/>
      </w:rPr>
      <w:instrText xml:space="preserve"> PAGE </w:instrText>
    </w:r>
    <w:r>
      <w:rPr>
        <w:rStyle w:val="PageNumber"/>
        <w:b/>
        <w:bCs/>
      </w:rPr>
      <w:fldChar w:fldCharType="separate"/>
    </w:r>
    <w:r w:rsidR="007F73D8">
      <w:rPr>
        <w:rStyle w:val="PageNumber"/>
        <w:b/>
        <w:bCs/>
        <w:noProof/>
      </w:rPr>
      <w:t>ii</w:t>
    </w:r>
    <w:r>
      <w:rPr>
        <w:rStyle w:val="PageNumber"/>
        <w:b/>
        <w:bCs/>
      </w:rPr>
      <w:fldChar w:fldCharType="end"/>
    </w:r>
    <w:r w:rsidR="00192C1D">
      <w:tab/>
    </w:r>
    <w:fldSimple w:instr=" DOCPROPERTY &quot;Header&quot; \* MERGEFORMAT ">
      <w:r w:rsidR="007F73D8" w:rsidRPr="007F73D8">
        <w:rPr>
          <w:b/>
          <w:bCs/>
          <w:lang w:val="en-US"/>
        </w:rPr>
        <w:t xml:space="preserve">Rec. </w:t>
      </w:r>
    </w:fldSimple>
    <w:r w:rsidR="00192C1D">
      <w:rPr>
        <w:b/>
        <w:bCs/>
      </w:rPr>
      <w:t xml:space="preserve"> </w:t>
    </w:r>
    <w:r>
      <w:rPr>
        <w:b/>
        <w:bCs/>
      </w:rPr>
      <w:fldChar w:fldCharType="begin"/>
    </w:r>
    <w:r w:rsidR="00192C1D">
      <w:rPr>
        <w:b/>
        <w:bCs/>
      </w:rPr>
      <w:instrText>styleref href</w:instrText>
    </w:r>
    <w:r>
      <w:rPr>
        <w:b/>
        <w:bCs/>
      </w:rPr>
      <w:fldChar w:fldCharType="separate"/>
    </w:r>
    <w:r w:rsidR="007F73D8">
      <w:rPr>
        <w:b/>
        <w:bCs/>
        <w:noProof/>
      </w:rPr>
      <w:t>UIT-R  F.1110-3</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C1D" w:rsidRDefault="00192C1D">
    <w:pPr>
      <w:pStyle w:val="Header"/>
    </w:pPr>
    <w:r>
      <w:tab/>
    </w:r>
    <w:fldSimple w:instr=" DOCPROPERTY &quot;Header&quot; \* MERGEFORMAT ">
      <w:r w:rsidR="007F73D8" w:rsidRPr="007F73D8">
        <w:rPr>
          <w:lang w:val="en-US"/>
        </w:rPr>
        <w:t xml:space="preserve">Rec. </w:t>
      </w:r>
    </w:fldSimple>
    <w:r>
      <w:rPr>
        <w:b/>
        <w:bCs/>
      </w:rPr>
      <w:t xml:space="preserve">  </w:t>
    </w:r>
    <w:r w:rsidR="000858C8">
      <w:rPr>
        <w:b/>
        <w:bCs/>
      </w:rPr>
      <w:fldChar w:fldCharType="begin"/>
    </w:r>
    <w:r>
      <w:rPr>
        <w:b/>
        <w:bCs/>
      </w:rPr>
      <w:instrText>styleref href</w:instrText>
    </w:r>
    <w:r w:rsidR="000858C8">
      <w:rPr>
        <w:b/>
        <w:bCs/>
      </w:rPr>
      <w:fldChar w:fldCharType="separate"/>
    </w:r>
    <w:r w:rsidR="007F73D8">
      <w:rPr>
        <w:b/>
        <w:bCs/>
        <w:noProof/>
      </w:rPr>
      <w:t>UIT-R  F.1110-3</w:t>
    </w:r>
    <w:r w:rsidR="000858C8">
      <w:rPr>
        <w:b/>
        <w:bCs/>
      </w:rPr>
      <w:fldChar w:fldCharType="end"/>
    </w:r>
    <w:r>
      <w:tab/>
    </w:r>
    <w:r w:rsidR="000858C8">
      <w:rPr>
        <w:rStyle w:val="PageNumber"/>
        <w:b/>
        <w:bCs/>
      </w:rPr>
      <w:fldChar w:fldCharType="begin"/>
    </w:r>
    <w:r>
      <w:rPr>
        <w:rStyle w:val="PageNumber"/>
        <w:b/>
        <w:bCs/>
      </w:rPr>
      <w:instrText xml:space="preserve"> PAGE </w:instrText>
    </w:r>
    <w:r w:rsidR="000858C8">
      <w:rPr>
        <w:rStyle w:val="PageNumber"/>
        <w:b/>
        <w:bCs/>
      </w:rPr>
      <w:fldChar w:fldCharType="separate"/>
    </w:r>
    <w:r>
      <w:rPr>
        <w:rStyle w:val="PageNumber"/>
        <w:b/>
        <w:bCs/>
        <w:noProof/>
      </w:rPr>
      <w:t>1</w:t>
    </w:r>
    <w:r w:rsidR="000858C8">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0858C8">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7F73D8">
      <w:rPr>
        <w:rStyle w:val="PageNumber"/>
        <w:b/>
        <w:bCs/>
        <w:noProof/>
        <w:lang w:val="en-US"/>
      </w:rPr>
      <w:t>2</w:t>
    </w:r>
    <w:r>
      <w:rPr>
        <w:rStyle w:val="PageNumber"/>
        <w:b/>
        <w:bCs/>
      </w:rPr>
      <w:fldChar w:fldCharType="end"/>
    </w:r>
    <w:r w:rsidR="00607D68">
      <w:rPr>
        <w:lang w:val="en-US"/>
      </w:rPr>
      <w:tab/>
    </w:r>
    <w:fldSimple w:instr=" DOCPROPERTY &quot;Header&quot; \* MERGEFORMAT ">
      <w:r w:rsidR="007F73D8" w:rsidRPr="007F73D8">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7F73D8">
      <w:rPr>
        <w:b/>
        <w:bCs/>
        <w:noProof/>
      </w:rPr>
      <w:t>UIT-R  F.1110-3</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07D68">
    <w:pPr>
      <w:pStyle w:val="Header"/>
    </w:pPr>
    <w:r>
      <w:tab/>
    </w:r>
    <w:fldSimple w:instr=" DOCPROPERTY &quot;Header&quot; \* MERGEFORMAT ">
      <w:r w:rsidR="007F73D8" w:rsidRPr="007F73D8">
        <w:rPr>
          <w:b/>
          <w:bCs/>
        </w:rPr>
        <w:t xml:space="preserve">Rec. </w:t>
      </w:r>
    </w:fldSimple>
    <w:r>
      <w:rPr>
        <w:b/>
        <w:bCs/>
      </w:rPr>
      <w:t xml:space="preserve"> </w:t>
    </w:r>
    <w:r w:rsidR="000858C8">
      <w:rPr>
        <w:b/>
        <w:bCs/>
      </w:rPr>
      <w:fldChar w:fldCharType="begin"/>
    </w:r>
    <w:r>
      <w:rPr>
        <w:b/>
        <w:bCs/>
      </w:rPr>
      <w:instrText>styleref href</w:instrText>
    </w:r>
    <w:r w:rsidR="000858C8">
      <w:rPr>
        <w:b/>
        <w:bCs/>
      </w:rPr>
      <w:fldChar w:fldCharType="separate"/>
    </w:r>
    <w:r w:rsidR="007F73D8">
      <w:rPr>
        <w:b/>
        <w:bCs/>
        <w:noProof/>
      </w:rPr>
      <w:t>UIT-R  F.1110-3</w:t>
    </w:r>
    <w:r w:rsidR="000858C8">
      <w:rPr>
        <w:b/>
        <w:bCs/>
      </w:rPr>
      <w:fldChar w:fldCharType="end"/>
    </w:r>
    <w:r>
      <w:tab/>
    </w:r>
    <w:r w:rsidR="000858C8">
      <w:rPr>
        <w:rStyle w:val="PageNumber"/>
        <w:b/>
        <w:bCs/>
      </w:rPr>
      <w:fldChar w:fldCharType="begin"/>
    </w:r>
    <w:r>
      <w:rPr>
        <w:rStyle w:val="PageNumber"/>
        <w:b/>
        <w:bCs/>
      </w:rPr>
      <w:instrText xml:space="preserve"> PAGE </w:instrText>
    </w:r>
    <w:r w:rsidR="000858C8">
      <w:rPr>
        <w:rStyle w:val="PageNumber"/>
        <w:b/>
        <w:bCs/>
      </w:rPr>
      <w:fldChar w:fldCharType="separate"/>
    </w:r>
    <w:r w:rsidR="007F73D8">
      <w:rPr>
        <w:rStyle w:val="PageNumber"/>
        <w:b/>
        <w:bCs/>
        <w:noProof/>
      </w:rPr>
      <w:t>3</w:t>
    </w:r>
    <w:r w:rsidR="000858C8">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1656F"/>
    <w:multiLevelType w:val="hybridMultilevel"/>
    <w:tmpl w:val="E4008F90"/>
    <w:lvl w:ilvl="0" w:tplc="4F2469F8">
      <w:start w:val="1994"/>
      <w:numFmt w:val="bullet"/>
      <w:lvlText w:val="–"/>
      <w:lvlJc w:val="left"/>
      <w:pPr>
        <w:tabs>
          <w:tab w:val="num" w:pos="1184"/>
        </w:tabs>
        <w:ind w:left="1184" w:hanging="390"/>
      </w:pPr>
      <w:rPr>
        <w:rFonts w:ascii="Times New Roman" w:eastAsia="Times New Roman" w:hAnsi="Times New Roman" w:cs="Times New Roman" w:hint="default"/>
      </w:rPr>
    </w:lvl>
    <w:lvl w:ilvl="1" w:tplc="0C0A0003" w:tentative="1">
      <w:start w:val="1"/>
      <w:numFmt w:val="bullet"/>
      <w:lvlText w:val="o"/>
      <w:lvlJc w:val="left"/>
      <w:pPr>
        <w:tabs>
          <w:tab w:val="num" w:pos="1874"/>
        </w:tabs>
        <w:ind w:left="1874" w:hanging="360"/>
      </w:pPr>
      <w:rPr>
        <w:rFonts w:ascii="Courier New" w:hAnsi="Courier New" w:hint="default"/>
      </w:rPr>
    </w:lvl>
    <w:lvl w:ilvl="2" w:tplc="0C0A0005" w:tentative="1">
      <w:start w:val="1"/>
      <w:numFmt w:val="bullet"/>
      <w:lvlText w:val=""/>
      <w:lvlJc w:val="left"/>
      <w:pPr>
        <w:tabs>
          <w:tab w:val="num" w:pos="2594"/>
        </w:tabs>
        <w:ind w:left="2594" w:hanging="360"/>
      </w:pPr>
      <w:rPr>
        <w:rFonts w:ascii="Wingdings" w:hAnsi="Wingdings" w:hint="default"/>
      </w:rPr>
    </w:lvl>
    <w:lvl w:ilvl="3" w:tplc="0C0A0001" w:tentative="1">
      <w:start w:val="1"/>
      <w:numFmt w:val="bullet"/>
      <w:lvlText w:val=""/>
      <w:lvlJc w:val="left"/>
      <w:pPr>
        <w:tabs>
          <w:tab w:val="num" w:pos="3314"/>
        </w:tabs>
        <w:ind w:left="3314" w:hanging="360"/>
      </w:pPr>
      <w:rPr>
        <w:rFonts w:ascii="Symbol" w:hAnsi="Symbol" w:hint="default"/>
      </w:rPr>
    </w:lvl>
    <w:lvl w:ilvl="4" w:tplc="0C0A0003" w:tentative="1">
      <w:start w:val="1"/>
      <w:numFmt w:val="bullet"/>
      <w:lvlText w:val="o"/>
      <w:lvlJc w:val="left"/>
      <w:pPr>
        <w:tabs>
          <w:tab w:val="num" w:pos="4034"/>
        </w:tabs>
        <w:ind w:left="4034" w:hanging="360"/>
      </w:pPr>
      <w:rPr>
        <w:rFonts w:ascii="Courier New" w:hAnsi="Courier New" w:hint="default"/>
      </w:rPr>
    </w:lvl>
    <w:lvl w:ilvl="5" w:tplc="0C0A0005" w:tentative="1">
      <w:start w:val="1"/>
      <w:numFmt w:val="bullet"/>
      <w:lvlText w:val=""/>
      <w:lvlJc w:val="left"/>
      <w:pPr>
        <w:tabs>
          <w:tab w:val="num" w:pos="4754"/>
        </w:tabs>
        <w:ind w:left="4754" w:hanging="360"/>
      </w:pPr>
      <w:rPr>
        <w:rFonts w:ascii="Wingdings" w:hAnsi="Wingdings" w:hint="default"/>
      </w:rPr>
    </w:lvl>
    <w:lvl w:ilvl="6" w:tplc="0C0A0001" w:tentative="1">
      <w:start w:val="1"/>
      <w:numFmt w:val="bullet"/>
      <w:lvlText w:val=""/>
      <w:lvlJc w:val="left"/>
      <w:pPr>
        <w:tabs>
          <w:tab w:val="num" w:pos="5474"/>
        </w:tabs>
        <w:ind w:left="5474" w:hanging="360"/>
      </w:pPr>
      <w:rPr>
        <w:rFonts w:ascii="Symbol" w:hAnsi="Symbol" w:hint="default"/>
      </w:rPr>
    </w:lvl>
    <w:lvl w:ilvl="7" w:tplc="0C0A0003" w:tentative="1">
      <w:start w:val="1"/>
      <w:numFmt w:val="bullet"/>
      <w:lvlText w:val="o"/>
      <w:lvlJc w:val="left"/>
      <w:pPr>
        <w:tabs>
          <w:tab w:val="num" w:pos="6194"/>
        </w:tabs>
        <w:ind w:left="6194" w:hanging="360"/>
      </w:pPr>
      <w:rPr>
        <w:rFonts w:ascii="Courier New" w:hAnsi="Courier New" w:hint="default"/>
      </w:rPr>
    </w:lvl>
    <w:lvl w:ilvl="8" w:tplc="0C0A0005" w:tentative="1">
      <w:start w:val="1"/>
      <w:numFmt w:val="bullet"/>
      <w:lvlText w:val=""/>
      <w:lvlJc w:val="left"/>
      <w:pPr>
        <w:tabs>
          <w:tab w:val="num" w:pos="6914"/>
        </w:tabs>
        <w:ind w:left="6914" w:hanging="360"/>
      </w:pPr>
      <w:rPr>
        <w:rFonts w:ascii="Wingdings" w:hAnsi="Wingdings" w:hint="default"/>
      </w:rPr>
    </w:lvl>
  </w:abstractNum>
  <w:abstractNum w:abstractNumId="1">
    <w:nsid w:val="14B173F7"/>
    <w:multiLevelType w:val="hybridMultilevel"/>
    <w:tmpl w:val="9F10A690"/>
    <w:lvl w:ilvl="0" w:tplc="494AEBEE">
      <w:start w:val="5"/>
      <w:numFmt w:val="lowerLetter"/>
      <w:lvlText w:val="%1)"/>
      <w:lvlJc w:val="left"/>
      <w:pPr>
        <w:tabs>
          <w:tab w:val="num" w:pos="795"/>
        </w:tabs>
        <w:ind w:left="795" w:hanging="795"/>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655ADE"/>
    <w:rsid w:val="000858C8"/>
    <w:rsid w:val="00192C1D"/>
    <w:rsid w:val="00217EBF"/>
    <w:rsid w:val="002D76C4"/>
    <w:rsid w:val="005E453B"/>
    <w:rsid w:val="00607D68"/>
    <w:rsid w:val="00655ADE"/>
    <w:rsid w:val="007468DA"/>
    <w:rsid w:val="00751224"/>
    <w:rsid w:val="007F73D8"/>
    <w:rsid w:val="009F4B4E"/>
    <w:rsid w:val="00A6617B"/>
    <w:rsid w:val="00AB0DC8"/>
    <w:rsid w:val="00B44E24"/>
    <w:rsid w:val="00C91FB0"/>
    <w:rsid w:val="00DF4176"/>
    <w:rsid w:val="00E9212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122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E453B"/>
    <w:pPr>
      <w:keepNext/>
      <w:keepLines/>
      <w:spacing w:before="480"/>
      <w:ind w:left="794" w:hanging="794"/>
      <w:outlineLvl w:val="0"/>
    </w:pPr>
    <w:rPr>
      <w:b/>
    </w:rPr>
  </w:style>
  <w:style w:type="paragraph" w:styleId="Heading2">
    <w:name w:val="heading 2"/>
    <w:basedOn w:val="Heading1"/>
    <w:next w:val="Normal"/>
    <w:link w:val="Heading2Char"/>
    <w:qFormat/>
    <w:rsid w:val="005E453B"/>
    <w:pPr>
      <w:spacing w:before="320"/>
      <w:outlineLvl w:val="1"/>
    </w:pPr>
  </w:style>
  <w:style w:type="paragraph" w:styleId="Heading3">
    <w:name w:val="heading 3"/>
    <w:basedOn w:val="Heading1"/>
    <w:next w:val="Normal"/>
    <w:qFormat/>
    <w:rsid w:val="005E453B"/>
    <w:pPr>
      <w:spacing w:before="200"/>
      <w:outlineLvl w:val="2"/>
    </w:pPr>
  </w:style>
  <w:style w:type="paragraph" w:styleId="Heading4">
    <w:name w:val="heading 4"/>
    <w:basedOn w:val="Heading3"/>
    <w:next w:val="Normal"/>
    <w:qFormat/>
    <w:rsid w:val="005E453B"/>
    <w:pPr>
      <w:tabs>
        <w:tab w:val="clear" w:pos="794"/>
        <w:tab w:val="left" w:pos="992"/>
      </w:tabs>
      <w:ind w:left="992" w:hanging="992"/>
      <w:outlineLvl w:val="3"/>
    </w:pPr>
  </w:style>
  <w:style w:type="paragraph" w:styleId="Heading5">
    <w:name w:val="heading 5"/>
    <w:basedOn w:val="Heading4"/>
    <w:next w:val="Normal"/>
    <w:qFormat/>
    <w:rsid w:val="005E453B"/>
    <w:pPr>
      <w:outlineLvl w:val="4"/>
    </w:pPr>
  </w:style>
  <w:style w:type="paragraph" w:styleId="Heading6">
    <w:name w:val="heading 6"/>
    <w:basedOn w:val="Heading4"/>
    <w:next w:val="Normal"/>
    <w:qFormat/>
    <w:rsid w:val="005E453B"/>
    <w:pPr>
      <w:tabs>
        <w:tab w:val="clear" w:pos="992"/>
        <w:tab w:val="clear" w:pos="1191"/>
      </w:tabs>
      <w:ind w:left="1588" w:hanging="1588"/>
      <w:outlineLvl w:val="5"/>
    </w:pPr>
  </w:style>
  <w:style w:type="paragraph" w:styleId="Heading7">
    <w:name w:val="heading 7"/>
    <w:basedOn w:val="Heading6"/>
    <w:next w:val="Normal"/>
    <w:qFormat/>
    <w:rsid w:val="005E453B"/>
    <w:pPr>
      <w:outlineLvl w:val="6"/>
    </w:pPr>
  </w:style>
  <w:style w:type="paragraph" w:styleId="Heading8">
    <w:name w:val="heading 8"/>
    <w:basedOn w:val="Heading6"/>
    <w:next w:val="Normal"/>
    <w:qFormat/>
    <w:rsid w:val="005E453B"/>
    <w:pPr>
      <w:outlineLvl w:val="7"/>
    </w:pPr>
  </w:style>
  <w:style w:type="paragraph" w:styleId="Heading9">
    <w:name w:val="heading 9"/>
    <w:basedOn w:val="Heading6"/>
    <w:next w:val="Normal"/>
    <w:qFormat/>
    <w:rsid w:val="005E453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E453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E453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E453B"/>
  </w:style>
  <w:style w:type="paragraph" w:customStyle="1" w:styleId="Headingb">
    <w:name w:val="Heading_b"/>
    <w:basedOn w:val="Heading3"/>
    <w:next w:val="Normal"/>
    <w:rsid w:val="005E453B"/>
    <w:pPr>
      <w:spacing w:before="160"/>
      <w:ind w:left="0" w:firstLine="0"/>
      <w:outlineLvl w:val="9"/>
    </w:pPr>
  </w:style>
  <w:style w:type="paragraph" w:customStyle="1" w:styleId="Headingi">
    <w:name w:val="Heading_i"/>
    <w:basedOn w:val="Heading3"/>
    <w:next w:val="Normal"/>
    <w:rsid w:val="005E453B"/>
    <w:pPr>
      <w:spacing w:before="160"/>
      <w:ind w:left="0" w:firstLine="0"/>
    </w:pPr>
    <w:rPr>
      <w:b w:val="0"/>
      <w:i/>
    </w:rPr>
  </w:style>
  <w:style w:type="character" w:customStyle="1" w:styleId="href">
    <w:name w:val="href"/>
    <w:basedOn w:val="DefaultParagraphFont"/>
    <w:rsid w:val="005E453B"/>
  </w:style>
  <w:style w:type="paragraph" w:customStyle="1" w:styleId="enumlev1">
    <w:name w:val="enumlev1"/>
    <w:basedOn w:val="Normal"/>
    <w:rsid w:val="005E453B"/>
    <w:pPr>
      <w:spacing w:before="80"/>
      <w:ind w:left="794" w:hanging="794"/>
    </w:pPr>
  </w:style>
  <w:style w:type="paragraph" w:customStyle="1" w:styleId="enumlev2">
    <w:name w:val="enumlev2"/>
    <w:basedOn w:val="enumlev1"/>
    <w:rsid w:val="005E453B"/>
    <w:pPr>
      <w:ind w:left="1191" w:hanging="397"/>
    </w:pPr>
  </w:style>
  <w:style w:type="paragraph" w:customStyle="1" w:styleId="enumlev3">
    <w:name w:val="enumlev3"/>
    <w:basedOn w:val="enumlev2"/>
    <w:rsid w:val="005E453B"/>
    <w:pPr>
      <w:ind w:left="1588"/>
    </w:pPr>
  </w:style>
  <w:style w:type="paragraph" w:customStyle="1" w:styleId="Normalaftertitle">
    <w:name w:val="Normal_after_title"/>
    <w:basedOn w:val="Normal"/>
    <w:next w:val="Normal"/>
    <w:rsid w:val="005E453B"/>
    <w:pPr>
      <w:spacing w:before="320"/>
    </w:pPr>
  </w:style>
  <w:style w:type="paragraph" w:customStyle="1" w:styleId="Note">
    <w:name w:val="Note"/>
    <w:basedOn w:val="Normal"/>
    <w:rsid w:val="005E453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E453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5E453B"/>
    <w:pPr>
      <w:spacing w:before="240"/>
    </w:pPr>
    <w:rPr>
      <w:sz w:val="22"/>
      <w:lang w:val="es-ES_tradnl"/>
    </w:rPr>
  </w:style>
  <w:style w:type="paragraph" w:customStyle="1" w:styleId="Recref">
    <w:name w:val="Rec_ref"/>
    <w:basedOn w:val="Normal"/>
    <w:next w:val="Recdate"/>
    <w:rsid w:val="005E453B"/>
    <w:pPr>
      <w:jc w:val="center"/>
    </w:pPr>
  </w:style>
  <w:style w:type="paragraph" w:customStyle="1" w:styleId="Recdate">
    <w:name w:val="Rec_date"/>
    <w:basedOn w:val="Recref"/>
    <w:next w:val="Normalaftertitle"/>
    <w:rsid w:val="005E453B"/>
    <w:pPr>
      <w:jc w:val="right"/>
    </w:pPr>
  </w:style>
  <w:style w:type="paragraph" w:customStyle="1" w:styleId="AnnexNoTitle">
    <w:name w:val="Annex_NoTitle"/>
    <w:basedOn w:val="Normal"/>
    <w:next w:val="Normalaftertitle"/>
    <w:rsid w:val="005E453B"/>
    <w:pPr>
      <w:keepNext/>
      <w:keepLines/>
      <w:spacing w:before="480" w:after="80"/>
      <w:jc w:val="center"/>
    </w:pPr>
    <w:rPr>
      <w:b/>
      <w:sz w:val="28"/>
    </w:rPr>
  </w:style>
  <w:style w:type="paragraph" w:customStyle="1" w:styleId="AppendixNoTitle">
    <w:name w:val="Appendix_NoTitle"/>
    <w:basedOn w:val="AnnexNoTitle"/>
    <w:next w:val="Normal"/>
    <w:rsid w:val="005E453B"/>
  </w:style>
  <w:style w:type="paragraph" w:customStyle="1" w:styleId="Tablefin">
    <w:name w:val="Table_fin"/>
    <w:basedOn w:val="Normal"/>
    <w:next w:val="Normal"/>
    <w:rsid w:val="005E453B"/>
    <w:pPr>
      <w:spacing w:before="0"/>
    </w:pPr>
    <w:rPr>
      <w:sz w:val="20"/>
      <w:lang w:val="en-GB"/>
    </w:rPr>
  </w:style>
  <w:style w:type="paragraph" w:customStyle="1" w:styleId="Tablehead">
    <w:name w:val="Table_head"/>
    <w:basedOn w:val="Normal"/>
    <w:next w:val="Normal"/>
    <w:rsid w:val="005E453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E45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E453B"/>
    <w:pPr>
      <w:keepNext/>
      <w:spacing w:before="360" w:after="120"/>
      <w:jc w:val="center"/>
    </w:pPr>
  </w:style>
  <w:style w:type="paragraph" w:customStyle="1" w:styleId="Tabletext">
    <w:name w:val="Table_text"/>
    <w:basedOn w:val="Normal"/>
    <w:rsid w:val="005E45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E453B"/>
    <w:pPr>
      <w:tabs>
        <w:tab w:val="clear" w:pos="1191"/>
        <w:tab w:val="clear" w:pos="1588"/>
        <w:tab w:val="clear" w:pos="1985"/>
        <w:tab w:val="center" w:pos="4820"/>
        <w:tab w:val="right" w:pos="9639"/>
      </w:tabs>
    </w:pPr>
  </w:style>
  <w:style w:type="paragraph" w:customStyle="1" w:styleId="Equationlegend">
    <w:name w:val="Equation_legend"/>
    <w:basedOn w:val="NormalIndent"/>
    <w:rsid w:val="005E453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E453B"/>
    <w:pPr>
      <w:ind w:left="794"/>
    </w:pPr>
  </w:style>
  <w:style w:type="paragraph" w:customStyle="1" w:styleId="Figurelegend">
    <w:name w:val="Figure_legend"/>
    <w:basedOn w:val="Normal"/>
    <w:rsid w:val="005E453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5E453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E453B"/>
    <w:pPr>
      <w:keepNext/>
      <w:keepLines/>
      <w:spacing w:before="480"/>
      <w:jc w:val="center"/>
    </w:pPr>
    <w:rPr>
      <w:sz w:val="28"/>
    </w:rPr>
  </w:style>
  <w:style w:type="paragraph" w:customStyle="1" w:styleId="Arttitle">
    <w:name w:val="Art_title"/>
    <w:basedOn w:val="Normal"/>
    <w:next w:val="Normalaftertitle"/>
    <w:rsid w:val="005E453B"/>
    <w:pPr>
      <w:keepNext/>
      <w:keepLines/>
      <w:spacing w:before="240"/>
      <w:jc w:val="center"/>
    </w:pPr>
    <w:rPr>
      <w:b/>
      <w:sz w:val="28"/>
    </w:rPr>
  </w:style>
  <w:style w:type="paragraph" w:customStyle="1" w:styleId="Blanc">
    <w:name w:val="Blanc"/>
    <w:basedOn w:val="Normal"/>
    <w:next w:val="Tabletext"/>
    <w:rsid w:val="005E453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E453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E453B"/>
    <w:pPr>
      <w:keepNext/>
      <w:keepLines/>
      <w:spacing w:before="160"/>
      <w:ind w:left="794"/>
    </w:pPr>
    <w:rPr>
      <w:i/>
    </w:rPr>
  </w:style>
  <w:style w:type="paragraph" w:customStyle="1" w:styleId="ChapNo">
    <w:name w:val="Chap_No"/>
    <w:basedOn w:val="ArtNo"/>
    <w:next w:val="Chaptitle"/>
    <w:rsid w:val="005E453B"/>
    <w:rPr>
      <w:b/>
    </w:rPr>
  </w:style>
  <w:style w:type="paragraph" w:customStyle="1" w:styleId="Chaptitle">
    <w:name w:val="Chap_title"/>
    <w:basedOn w:val="Arttitle"/>
    <w:next w:val="Normalaftertitle"/>
    <w:rsid w:val="005E453B"/>
  </w:style>
  <w:style w:type="character" w:styleId="FootnoteReference">
    <w:name w:val="footnote reference"/>
    <w:basedOn w:val="DefaultParagraphFont"/>
    <w:semiHidden/>
    <w:rsid w:val="005E453B"/>
    <w:rPr>
      <w:position w:val="6"/>
      <w:sz w:val="18"/>
    </w:rPr>
  </w:style>
  <w:style w:type="paragraph" w:styleId="FootnoteText">
    <w:name w:val="footnote text"/>
    <w:basedOn w:val="Normal"/>
    <w:link w:val="FootnoteTextChar"/>
    <w:semiHidden/>
    <w:rsid w:val="005E453B"/>
    <w:pPr>
      <w:keepLines/>
      <w:tabs>
        <w:tab w:val="left" w:pos="255"/>
      </w:tabs>
      <w:ind w:left="255" w:hanging="255"/>
    </w:pPr>
    <w:rPr>
      <w:sz w:val="22"/>
    </w:rPr>
  </w:style>
  <w:style w:type="paragraph" w:styleId="Index1">
    <w:name w:val="index 1"/>
    <w:basedOn w:val="Normal"/>
    <w:next w:val="Normal"/>
    <w:semiHidden/>
    <w:rsid w:val="005E453B"/>
  </w:style>
  <w:style w:type="paragraph" w:styleId="Index2">
    <w:name w:val="index 2"/>
    <w:basedOn w:val="Normal"/>
    <w:next w:val="Normal"/>
    <w:semiHidden/>
    <w:rsid w:val="005E453B"/>
    <w:pPr>
      <w:ind w:left="283"/>
    </w:pPr>
  </w:style>
  <w:style w:type="paragraph" w:styleId="Index3">
    <w:name w:val="index 3"/>
    <w:basedOn w:val="Normal"/>
    <w:next w:val="Normal"/>
    <w:semiHidden/>
    <w:rsid w:val="005E453B"/>
    <w:pPr>
      <w:ind w:left="566"/>
    </w:pPr>
  </w:style>
  <w:style w:type="paragraph" w:styleId="IndexHeading">
    <w:name w:val="index heading"/>
    <w:basedOn w:val="Normal"/>
    <w:next w:val="Index1"/>
    <w:semiHidden/>
    <w:rsid w:val="005E453B"/>
  </w:style>
  <w:style w:type="paragraph" w:customStyle="1" w:styleId="Line">
    <w:name w:val="Line"/>
    <w:basedOn w:val="Normal"/>
    <w:next w:val="Normal"/>
    <w:rsid w:val="005E453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E453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E453B"/>
  </w:style>
  <w:style w:type="paragraph" w:customStyle="1" w:styleId="Partref">
    <w:name w:val="Part_ref"/>
    <w:basedOn w:val="Normal"/>
    <w:next w:val="Normal"/>
    <w:rsid w:val="005E453B"/>
    <w:pPr>
      <w:keepNext/>
      <w:keepLines/>
      <w:spacing w:after="280"/>
      <w:jc w:val="center"/>
    </w:pPr>
  </w:style>
  <w:style w:type="paragraph" w:customStyle="1" w:styleId="Parttitle">
    <w:name w:val="Part_title"/>
    <w:basedOn w:val="Normal"/>
    <w:next w:val="Normalaftertitle"/>
    <w:rsid w:val="005E453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E453B"/>
  </w:style>
  <w:style w:type="paragraph" w:customStyle="1" w:styleId="QuestionNo">
    <w:name w:val="Question_No"/>
    <w:basedOn w:val="RecNo"/>
    <w:next w:val="Normal"/>
    <w:rsid w:val="005E453B"/>
  </w:style>
  <w:style w:type="paragraph" w:customStyle="1" w:styleId="Questionref">
    <w:name w:val="Question_ref"/>
    <w:basedOn w:val="Recref"/>
    <w:next w:val="Questiondate"/>
    <w:rsid w:val="005E453B"/>
  </w:style>
  <w:style w:type="paragraph" w:customStyle="1" w:styleId="Questiontitle">
    <w:name w:val="Question_title"/>
    <w:basedOn w:val="Normal"/>
    <w:next w:val="Questionref"/>
    <w:rsid w:val="005E453B"/>
  </w:style>
  <w:style w:type="paragraph" w:customStyle="1" w:styleId="Reftext">
    <w:name w:val="Ref_text"/>
    <w:basedOn w:val="Normal"/>
    <w:rsid w:val="005E453B"/>
    <w:pPr>
      <w:ind w:left="794" w:hanging="794"/>
    </w:pPr>
    <w:rPr>
      <w:sz w:val="22"/>
    </w:rPr>
  </w:style>
  <w:style w:type="paragraph" w:customStyle="1" w:styleId="Reftitle">
    <w:name w:val="Ref_title"/>
    <w:basedOn w:val="Normal"/>
    <w:next w:val="Reftext"/>
    <w:rsid w:val="005E453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E453B"/>
  </w:style>
  <w:style w:type="paragraph" w:customStyle="1" w:styleId="RepNo">
    <w:name w:val="Rep_No"/>
    <w:basedOn w:val="RecNo"/>
    <w:next w:val="Reptitle"/>
    <w:rsid w:val="005E453B"/>
  </w:style>
  <w:style w:type="paragraph" w:customStyle="1" w:styleId="Repref">
    <w:name w:val="Rep_ref"/>
    <w:basedOn w:val="Recref"/>
    <w:next w:val="Repdate"/>
    <w:rsid w:val="005E453B"/>
  </w:style>
  <w:style w:type="paragraph" w:customStyle="1" w:styleId="Reptitle">
    <w:name w:val="Rep_title"/>
    <w:basedOn w:val="Rectitle"/>
    <w:next w:val="Repref"/>
    <w:rsid w:val="005E453B"/>
  </w:style>
  <w:style w:type="paragraph" w:customStyle="1" w:styleId="Resdate">
    <w:name w:val="Res_date"/>
    <w:basedOn w:val="Recdate"/>
    <w:next w:val="Normalaftertitle"/>
    <w:rsid w:val="005E453B"/>
  </w:style>
  <w:style w:type="paragraph" w:customStyle="1" w:styleId="ResNo">
    <w:name w:val="Res_No"/>
    <w:basedOn w:val="RecNo"/>
    <w:next w:val="Restitle"/>
    <w:rsid w:val="005E453B"/>
  </w:style>
  <w:style w:type="paragraph" w:customStyle="1" w:styleId="Resref">
    <w:name w:val="Res_ref"/>
    <w:basedOn w:val="Recref"/>
    <w:next w:val="Resdate"/>
    <w:rsid w:val="005E453B"/>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5E453B"/>
  </w:style>
  <w:style w:type="paragraph" w:customStyle="1" w:styleId="Sectiontitle">
    <w:name w:val="Section_title"/>
    <w:basedOn w:val="Normal"/>
    <w:next w:val="Normalaftertitle"/>
    <w:rsid w:val="005E453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E453B"/>
    <w:pPr>
      <w:tabs>
        <w:tab w:val="clear" w:pos="794"/>
        <w:tab w:val="clear" w:pos="1191"/>
        <w:tab w:val="clear" w:pos="1588"/>
        <w:tab w:val="clear" w:pos="1985"/>
        <w:tab w:val="right" w:pos="9611"/>
      </w:tabs>
    </w:pPr>
    <w:rPr>
      <w:i/>
    </w:rPr>
  </w:style>
  <w:style w:type="paragraph" w:styleId="TOC1">
    <w:name w:val="toc 1"/>
    <w:basedOn w:val="Normal"/>
    <w:semiHidden/>
    <w:rsid w:val="005E453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E453B"/>
    <w:pPr>
      <w:tabs>
        <w:tab w:val="clear" w:pos="567"/>
        <w:tab w:val="left" w:pos="1276"/>
      </w:tabs>
      <w:spacing w:before="160"/>
      <w:ind w:left="1276" w:hanging="709"/>
    </w:pPr>
  </w:style>
  <w:style w:type="paragraph" w:styleId="TOC3">
    <w:name w:val="toc 3"/>
    <w:basedOn w:val="TOC2"/>
    <w:semiHidden/>
    <w:rsid w:val="005E453B"/>
    <w:pPr>
      <w:tabs>
        <w:tab w:val="clear" w:pos="1276"/>
        <w:tab w:val="left" w:pos="2155"/>
      </w:tabs>
      <w:ind w:left="2155" w:hanging="879"/>
    </w:pPr>
  </w:style>
  <w:style w:type="paragraph" w:styleId="TOC4">
    <w:name w:val="toc 4"/>
    <w:basedOn w:val="TOC3"/>
    <w:semiHidden/>
    <w:rsid w:val="005E453B"/>
    <w:pPr>
      <w:tabs>
        <w:tab w:val="left" w:pos="3261"/>
      </w:tabs>
      <w:spacing w:before="80"/>
      <w:ind w:left="3261" w:hanging="993"/>
    </w:pPr>
  </w:style>
  <w:style w:type="paragraph" w:styleId="TOC5">
    <w:name w:val="toc 5"/>
    <w:basedOn w:val="TOC4"/>
    <w:semiHidden/>
    <w:rsid w:val="005E453B"/>
  </w:style>
  <w:style w:type="paragraph" w:styleId="TOC6">
    <w:name w:val="toc 6"/>
    <w:basedOn w:val="TOC4"/>
    <w:semiHidden/>
    <w:rsid w:val="005E453B"/>
  </w:style>
  <w:style w:type="paragraph" w:styleId="TOC7">
    <w:name w:val="toc 7"/>
    <w:basedOn w:val="TOC4"/>
    <w:semiHidden/>
    <w:rsid w:val="005E453B"/>
  </w:style>
  <w:style w:type="paragraph" w:styleId="TOC8">
    <w:name w:val="toc 8"/>
    <w:basedOn w:val="TOC4"/>
    <w:semiHidden/>
    <w:rsid w:val="005E453B"/>
  </w:style>
  <w:style w:type="paragraph" w:customStyle="1" w:styleId="Rectitle">
    <w:name w:val="Rec_title"/>
    <w:basedOn w:val="Normal"/>
    <w:next w:val="Recref"/>
    <w:rsid w:val="005E453B"/>
    <w:pPr>
      <w:keepNext/>
      <w:keepLines/>
      <w:spacing w:before="240"/>
      <w:jc w:val="center"/>
    </w:pPr>
    <w:rPr>
      <w:b/>
      <w:sz w:val="28"/>
    </w:rPr>
  </w:style>
  <w:style w:type="paragraph" w:customStyle="1" w:styleId="Annexref">
    <w:name w:val="Annex_ref"/>
    <w:basedOn w:val="Normal"/>
    <w:next w:val="Normalaftertitle"/>
    <w:rsid w:val="005E453B"/>
    <w:pPr>
      <w:keepNext/>
      <w:keepLines/>
      <w:spacing w:after="280"/>
      <w:jc w:val="center"/>
    </w:pPr>
  </w:style>
  <w:style w:type="paragraph" w:customStyle="1" w:styleId="Appendixref">
    <w:name w:val="Appendix_ref"/>
    <w:basedOn w:val="Annexref"/>
    <w:next w:val="Normalaftertitle"/>
    <w:rsid w:val="005E453B"/>
  </w:style>
  <w:style w:type="paragraph" w:customStyle="1" w:styleId="Figuretitle">
    <w:name w:val="Figure_title"/>
    <w:basedOn w:val="Normal"/>
    <w:next w:val="Figure"/>
    <w:rsid w:val="005E453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E453B"/>
    <w:pPr>
      <w:keepNext/>
      <w:spacing w:before="0" w:after="120"/>
      <w:jc w:val="center"/>
    </w:pPr>
    <w:rPr>
      <w:b/>
    </w:rPr>
  </w:style>
  <w:style w:type="paragraph" w:customStyle="1" w:styleId="Summary">
    <w:name w:val="Summary"/>
    <w:basedOn w:val="Normal"/>
    <w:next w:val="Normalaftertitle"/>
    <w:rsid w:val="005E453B"/>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751224"/>
    <w:rPr>
      <w:b/>
      <w:sz w:val="24"/>
      <w:lang w:val="fr-FR" w:eastAsia="en-US"/>
    </w:rPr>
  </w:style>
  <w:style w:type="character" w:customStyle="1" w:styleId="Heading2Char">
    <w:name w:val="Heading 2 Char"/>
    <w:basedOn w:val="DefaultParagraphFont"/>
    <w:link w:val="Heading2"/>
    <w:rsid w:val="00751224"/>
    <w:rPr>
      <w:b/>
      <w:sz w:val="24"/>
      <w:lang w:val="fr-FR" w:eastAsia="en-US"/>
    </w:rPr>
  </w:style>
  <w:style w:type="character" w:customStyle="1" w:styleId="FootnoteTextChar">
    <w:name w:val="Footnote Text Char"/>
    <w:basedOn w:val="DefaultParagraphFont"/>
    <w:link w:val="FootnoteText"/>
    <w:semiHidden/>
    <w:rsid w:val="00751224"/>
    <w:rPr>
      <w:sz w:val="22"/>
      <w:lang w:val="fr-FR" w:eastAsia="en-US"/>
    </w:rPr>
  </w:style>
  <w:style w:type="character" w:customStyle="1" w:styleId="HeaderChar">
    <w:name w:val="Header Char"/>
    <w:basedOn w:val="DefaultParagraphFont"/>
    <w:link w:val="Header"/>
    <w:rsid w:val="00192C1D"/>
    <w:rPr>
      <w:sz w:val="24"/>
      <w:lang w:val="fr-FR" w:eastAsia="en-US"/>
    </w:rPr>
  </w:style>
  <w:style w:type="character" w:styleId="Hyperlink">
    <w:name w:val="Hyperlink"/>
    <w:basedOn w:val="DefaultParagraphFont"/>
    <w:rsid w:val="00192C1D"/>
    <w:rPr>
      <w:color w:val="0000FF"/>
      <w:u w:val="single"/>
    </w:rPr>
  </w:style>
  <w:style w:type="table" w:styleId="TableGrid">
    <w:name w:val="Table Grid"/>
    <w:basedOn w:val="TableNormal"/>
    <w:rsid w:val="00192C1D"/>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TotalTime>
  <Pages>6</Pages>
  <Words>1794</Words>
  <Characters>10669</Characters>
  <Application>Microsoft Office Word</Application>
  <DocSecurity>0</DocSecurity>
  <Lines>280</Lines>
  <Paragraphs>30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dc:creator>
  <cp:keywords/>
  <dc:description/>
  <cp:lastModifiedBy>martiner</cp:lastModifiedBy>
  <cp:revision>7</cp:revision>
  <cp:lastPrinted>2005-02-10T15:54:00Z</cp:lastPrinted>
  <dcterms:created xsi:type="dcterms:W3CDTF">2010-12-09T10:14:00Z</dcterms:created>
  <dcterms:modified xsi:type="dcterms:W3CDTF">2011-01-11T09:06:00Z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