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p w:rsidR="008E4727" w:rsidRPr="00F84F10" w:rsidRDefault="008E4727">
      <w:pPr>
        <w:rPr>
          <w:lang w:val="fr-CH"/>
        </w:rPr>
      </w:pPr>
    </w:p>
    <w:tbl>
      <w:tblPr>
        <w:tblW w:w="10089" w:type="dxa"/>
        <w:tblLook w:val="01E0"/>
      </w:tblPr>
      <w:tblGrid>
        <w:gridCol w:w="10089"/>
      </w:tblGrid>
      <w:tr w:rsidR="008E4727" w:rsidRPr="00F84F10">
        <w:tc>
          <w:tcPr>
            <w:tcW w:w="10089" w:type="dxa"/>
          </w:tcPr>
          <w:p w:rsidR="008E4727" w:rsidRPr="00F84F10" w:rsidRDefault="008E4727" w:rsidP="00013002">
            <w:pPr>
              <w:spacing w:before="380" w:line="280" w:lineRule="exact"/>
              <w:jc w:val="right"/>
              <w:rPr>
                <w:rFonts w:ascii="Tahoma" w:hAnsi="Tahoma" w:cs="Tahoma"/>
                <w:b/>
                <w:bCs/>
                <w:iCs/>
                <w:color w:val="243285"/>
                <w:sz w:val="32"/>
                <w:szCs w:val="32"/>
                <w:lang w:val="fr-CH"/>
              </w:rPr>
            </w:pPr>
          </w:p>
          <w:p w:rsidR="008E4727" w:rsidRPr="00F84F10" w:rsidRDefault="008E4727" w:rsidP="003C374B">
            <w:pPr>
              <w:spacing w:before="380" w:line="280" w:lineRule="exact"/>
              <w:jc w:val="right"/>
              <w:rPr>
                <w:rFonts w:ascii="Tahoma" w:hAnsi="Tahoma" w:cs="Tahoma"/>
                <w:b/>
                <w:bCs/>
                <w:iCs/>
                <w:color w:val="243285"/>
                <w:sz w:val="36"/>
                <w:szCs w:val="36"/>
                <w:lang w:val="fr-CH"/>
              </w:rPr>
            </w:pPr>
            <w:r w:rsidRPr="00F84F10">
              <w:rPr>
                <w:rFonts w:ascii="Tahoma" w:hAnsi="Tahoma" w:cs="Tahoma"/>
                <w:b/>
                <w:bCs/>
                <w:iCs/>
                <w:color w:val="243285"/>
                <w:sz w:val="36"/>
                <w:szCs w:val="36"/>
                <w:lang w:val="fr-CH"/>
              </w:rPr>
              <w:t>Recommandation  UIT-R  F.</w:t>
            </w:r>
            <w:r w:rsidR="003C374B" w:rsidRPr="00F84F10">
              <w:rPr>
                <w:rFonts w:ascii="Tahoma" w:hAnsi="Tahoma" w:cs="Tahoma"/>
                <w:b/>
                <w:bCs/>
                <w:iCs/>
                <w:color w:val="243285"/>
                <w:sz w:val="36"/>
                <w:szCs w:val="36"/>
                <w:lang w:val="fr-CH"/>
              </w:rPr>
              <w:t>1110-3</w:t>
            </w:r>
          </w:p>
          <w:p w:rsidR="008E4727" w:rsidRPr="00F84F10" w:rsidRDefault="008E4727" w:rsidP="003C374B">
            <w:pPr>
              <w:spacing w:before="80" w:line="280" w:lineRule="exact"/>
              <w:jc w:val="right"/>
              <w:rPr>
                <w:rFonts w:ascii="Tahoma" w:hAnsi="Tahoma" w:cs="Tahoma"/>
                <w:b/>
                <w:bCs/>
                <w:iCs/>
                <w:color w:val="243285"/>
                <w:szCs w:val="24"/>
                <w:lang w:val="fr-CH"/>
              </w:rPr>
            </w:pPr>
            <w:r w:rsidRPr="00F84F10">
              <w:rPr>
                <w:rFonts w:ascii="Tahoma" w:hAnsi="Tahoma" w:cs="Tahoma"/>
                <w:b/>
                <w:bCs/>
                <w:iCs/>
                <w:color w:val="243285"/>
                <w:szCs w:val="24"/>
                <w:lang w:val="fr-CH"/>
              </w:rPr>
              <w:t>(</w:t>
            </w:r>
            <w:r w:rsidR="003C374B" w:rsidRPr="00F84F10">
              <w:rPr>
                <w:rFonts w:ascii="Tahoma" w:hAnsi="Tahoma" w:cs="Tahoma"/>
                <w:b/>
                <w:bCs/>
                <w:iCs/>
                <w:color w:val="243285"/>
                <w:szCs w:val="24"/>
                <w:lang w:val="fr-CH"/>
              </w:rPr>
              <w:t>02</w:t>
            </w:r>
            <w:r w:rsidRPr="00F84F10">
              <w:rPr>
                <w:rFonts w:ascii="Tahoma" w:hAnsi="Tahoma" w:cs="Tahoma"/>
                <w:b/>
                <w:bCs/>
                <w:iCs/>
                <w:color w:val="243285"/>
                <w:szCs w:val="24"/>
                <w:lang w:val="fr-CH"/>
              </w:rPr>
              <w:t>/</w:t>
            </w:r>
            <w:r w:rsidR="003C374B" w:rsidRPr="00F84F10">
              <w:rPr>
                <w:rFonts w:ascii="Tahoma" w:hAnsi="Tahoma" w:cs="Tahoma"/>
                <w:b/>
                <w:bCs/>
                <w:iCs/>
                <w:color w:val="243285"/>
                <w:szCs w:val="24"/>
                <w:lang w:val="fr-CH"/>
              </w:rPr>
              <w:t>2003</w:t>
            </w:r>
            <w:r w:rsidRPr="00F84F10">
              <w:rPr>
                <w:rFonts w:ascii="Tahoma" w:hAnsi="Tahoma" w:cs="Tahoma"/>
                <w:b/>
                <w:bCs/>
                <w:iCs/>
                <w:color w:val="243285"/>
                <w:szCs w:val="24"/>
                <w:lang w:val="fr-CH"/>
              </w:rPr>
              <w:t>)</w:t>
            </w:r>
          </w:p>
        </w:tc>
      </w:tr>
      <w:tr w:rsidR="008E4727" w:rsidRPr="00F84F10">
        <w:tc>
          <w:tcPr>
            <w:tcW w:w="10089" w:type="dxa"/>
          </w:tcPr>
          <w:p w:rsidR="008E4727" w:rsidRPr="00F84F10" w:rsidRDefault="008E4727" w:rsidP="00123FD5">
            <w:pPr>
              <w:spacing w:before="80" w:line="500" w:lineRule="exact"/>
              <w:jc w:val="right"/>
              <w:rPr>
                <w:rFonts w:ascii="Tahoma" w:hAnsi="Tahoma" w:cs="Tahoma"/>
                <w:b/>
                <w:bCs/>
                <w:iCs/>
                <w:color w:val="243285"/>
                <w:sz w:val="44"/>
                <w:szCs w:val="44"/>
                <w:lang w:val="fr-CH"/>
              </w:rPr>
            </w:pPr>
          </w:p>
          <w:p w:rsidR="008E4727" w:rsidRPr="00F84F10" w:rsidRDefault="003C374B" w:rsidP="003C374B">
            <w:pPr>
              <w:spacing w:before="80" w:line="500" w:lineRule="exact"/>
              <w:jc w:val="right"/>
              <w:rPr>
                <w:rFonts w:ascii="Tahoma" w:hAnsi="Tahoma" w:cs="Tahoma"/>
                <w:b/>
                <w:bCs/>
                <w:iCs/>
                <w:color w:val="243285"/>
                <w:sz w:val="44"/>
                <w:szCs w:val="44"/>
                <w:lang w:val="fr-CH"/>
              </w:rPr>
            </w:pPr>
            <w:r w:rsidRPr="00F84F10">
              <w:rPr>
                <w:rFonts w:ascii="Tahoma" w:hAnsi="Tahoma" w:cs="Tahoma"/>
                <w:b/>
                <w:bCs/>
                <w:iCs/>
                <w:color w:val="243285"/>
                <w:sz w:val="44"/>
                <w:szCs w:val="44"/>
                <w:lang w:val="fr-CH"/>
              </w:rPr>
              <w:t>Systèmes radioélectriques adaptatifs pour des fréquences inférieures à 30 MHz environ</w:t>
            </w:r>
          </w:p>
          <w:p w:rsidR="008E4727" w:rsidRPr="00F84F10" w:rsidRDefault="008E4727" w:rsidP="00FE79FE">
            <w:pPr>
              <w:spacing w:before="80" w:line="500" w:lineRule="exact"/>
              <w:jc w:val="right"/>
              <w:rPr>
                <w:rFonts w:ascii="Tahoma" w:hAnsi="Tahoma" w:cs="Tahoma"/>
                <w:b/>
                <w:bCs/>
                <w:iCs/>
                <w:color w:val="243285"/>
                <w:sz w:val="44"/>
                <w:szCs w:val="44"/>
                <w:lang w:val="fr-CH"/>
              </w:rPr>
            </w:pPr>
          </w:p>
        </w:tc>
      </w:tr>
      <w:tr w:rsidR="008E4727" w:rsidRPr="00F84F10">
        <w:tc>
          <w:tcPr>
            <w:tcW w:w="10089" w:type="dxa"/>
          </w:tcPr>
          <w:p w:rsidR="008E4727" w:rsidRPr="00F84F10" w:rsidRDefault="008E4727" w:rsidP="00AD267B">
            <w:pPr>
              <w:spacing w:before="80" w:line="280" w:lineRule="exact"/>
              <w:ind w:right="640"/>
              <w:rPr>
                <w:rFonts w:ascii="Tahoma" w:hAnsi="Tahoma" w:cs="Tahoma"/>
                <w:b/>
                <w:bCs/>
                <w:iCs/>
                <w:color w:val="243285"/>
                <w:sz w:val="32"/>
                <w:szCs w:val="32"/>
                <w:lang w:val="fr-CH"/>
              </w:rPr>
            </w:pPr>
          </w:p>
          <w:p w:rsidR="008E4727" w:rsidRPr="00F84F10" w:rsidRDefault="008E4727" w:rsidP="00AD267B">
            <w:pPr>
              <w:spacing w:before="80" w:line="280" w:lineRule="exact"/>
              <w:ind w:right="640"/>
              <w:rPr>
                <w:rFonts w:ascii="Tahoma" w:hAnsi="Tahoma" w:cs="Tahoma"/>
                <w:b/>
                <w:bCs/>
                <w:iCs/>
                <w:color w:val="243285"/>
                <w:sz w:val="32"/>
                <w:szCs w:val="32"/>
                <w:lang w:val="fr-CH"/>
              </w:rPr>
            </w:pPr>
          </w:p>
          <w:p w:rsidR="008E4727" w:rsidRPr="00F84F10" w:rsidRDefault="008E4727" w:rsidP="004A4D65">
            <w:pPr>
              <w:spacing w:before="80" w:after="180" w:line="360" w:lineRule="exact"/>
              <w:ind w:right="720"/>
              <w:rPr>
                <w:rFonts w:ascii="Tahoma" w:hAnsi="Tahoma" w:cs="Tahoma"/>
                <w:b/>
                <w:bCs/>
                <w:iCs/>
                <w:color w:val="243285"/>
                <w:sz w:val="36"/>
                <w:szCs w:val="36"/>
                <w:lang w:val="fr-CH"/>
              </w:rPr>
            </w:pPr>
          </w:p>
          <w:p w:rsidR="008E4727" w:rsidRPr="00F84F10" w:rsidRDefault="008E4727" w:rsidP="00E80F1D">
            <w:pPr>
              <w:spacing w:before="80" w:after="180" w:line="360" w:lineRule="exact"/>
              <w:jc w:val="right"/>
              <w:rPr>
                <w:rFonts w:ascii="Tahoma" w:hAnsi="Tahoma" w:cs="Tahoma"/>
                <w:b/>
                <w:bCs/>
                <w:iCs/>
                <w:color w:val="243285"/>
                <w:sz w:val="36"/>
                <w:szCs w:val="36"/>
                <w:lang w:val="fr-CH"/>
              </w:rPr>
            </w:pPr>
            <w:r w:rsidRPr="00F84F10">
              <w:rPr>
                <w:rFonts w:ascii="Tahoma" w:hAnsi="Tahoma" w:cs="Tahoma"/>
                <w:b/>
                <w:bCs/>
                <w:iCs/>
                <w:color w:val="243285"/>
                <w:sz w:val="36"/>
                <w:szCs w:val="36"/>
                <w:lang w:val="fr-CH"/>
              </w:rPr>
              <w:t>Série F</w:t>
            </w:r>
          </w:p>
          <w:p w:rsidR="008E4727" w:rsidRPr="00F84F10" w:rsidRDefault="008E4727" w:rsidP="00AD267B">
            <w:pPr>
              <w:spacing w:before="80" w:line="420" w:lineRule="exact"/>
              <w:jc w:val="right"/>
              <w:rPr>
                <w:rFonts w:ascii="Tahoma" w:hAnsi="Tahoma" w:cs="Tahoma"/>
                <w:b/>
                <w:bCs/>
                <w:iCs/>
                <w:color w:val="243285"/>
                <w:sz w:val="36"/>
                <w:szCs w:val="36"/>
                <w:lang w:val="fr-CH"/>
              </w:rPr>
            </w:pPr>
            <w:r w:rsidRPr="00F84F10">
              <w:rPr>
                <w:rFonts w:ascii="Tahoma" w:hAnsi="Tahoma" w:cs="Tahoma"/>
                <w:b/>
                <w:bCs/>
                <w:iCs/>
                <w:color w:val="243285"/>
                <w:sz w:val="36"/>
                <w:szCs w:val="36"/>
                <w:lang w:val="fr-CH"/>
              </w:rPr>
              <w:t>Service fixe</w:t>
            </w:r>
          </w:p>
        </w:tc>
      </w:tr>
    </w:tbl>
    <w:p w:rsidR="008E4727" w:rsidRPr="00F84F10" w:rsidRDefault="008E4727" w:rsidP="00CD659B">
      <w:pPr>
        <w:spacing w:before="80"/>
        <w:rPr>
          <w:i/>
          <w:sz w:val="22"/>
          <w:lang w:val="fr-CH"/>
        </w:rPr>
      </w:pPr>
    </w:p>
    <w:p w:rsidR="008E4727" w:rsidRPr="00F84F10" w:rsidRDefault="008E4727" w:rsidP="00CD659B">
      <w:pPr>
        <w:spacing w:before="80"/>
        <w:rPr>
          <w:i/>
          <w:sz w:val="22"/>
          <w:lang w:val="fr-CH"/>
        </w:rPr>
      </w:pPr>
    </w:p>
    <w:p w:rsidR="008E4727" w:rsidRPr="00F84F10" w:rsidRDefault="008E4727" w:rsidP="00CD659B">
      <w:pPr>
        <w:spacing w:before="80"/>
        <w:rPr>
          <w:i/>
          <w:sz w:val="22"/>
          <w:lang w:val="fr-CH"/>
        </w:rPr>
      </w:pPr>
    </w:p>
    <w:p w:rsidR="008E4727" w:rsidRPr="00F84F10" w:rsidRDefault="008E4727" w:rsidP="00CD659B">
      <w:pPr>
        <w:spacing w:before="80"/>
        <w:rPr>
          <w:i/>
          <w:sz w:val="22"/>
          <w:lang w:val="fr-CH"/>
        </w:rPr>
      </w:pPr>
    </w:p>
    <w:p w:rsidR="008E4727" w:rsidRPr="00F84F10" w:rsidRDefault="008E4727" w:rsidP="00CD659B">
      <w:pPr>
        <w:spacing w:before="80"/>
        <w:rPr>
          <w:i/>
          <w:sz w:val="22"/>
          <w:lang w:val="fr-CH"/>
        </w:rPr>
      </w:pPr>
    </w:p>
    <w:p w:rsidR="008E4727" w:rsidRPr="00F84F10" w:rsidRDefault="008E4727" w:rsidP="00CD659B">
      <w:pPr>
        <w:spacing w:before="80"/>
        <w:rPr>
          <w:i/>
          <w:sz w:val="22"/>
          <w:lang w:val="fr-CH"/>
        </w:rPr>
      </w:pPr>
    </w:p>
    <w:p w:rsidR="008E4727" w:rsidRPr="00F84F10" w:rsidRDefault="008E4727" w:rsidP="00CD659B">
      <w:pPr>
        <w:pStyle w:val="Equation"/>
        <w:tabs>
          <w:tab w:val="clear" w:pos="4820"/>
          <w:tab w:val="clear" w:pos="9639"/>
          <w:tab w:val="left" w:pos="1191"/>
          <w:tab w:val="left" w:pos="1588"/>
          <w:tab w:val="left" w:pos="1985"/>
        </w:tabs>
        <w:rPr>
          <w:rFonts w:ascii="Palatino Linotype" w:hAnsi="Palatino Linotype"/>
          <w:lang w:val="fr-CH"/>
        </w:rPr>
        <w:sectPr w:rsidR="008E4727" w:rsidRPr="00F84F10" w:rsidSect="00E05A82">
          <w:headerReference w:type="even" r:id="rId7"/>
          <w:headerReference w:type="default" r:id="rId8"/>
          <w:pgSz w:w="11907" w:h="16834" w:code="9"/>
          <w:pgMar w:top="1418" w:right="1134" w:bottom="1134" w:left="1134" w:header="720" w:footer="482" w:gutter="0"/>
          <w:paperSrc w:first="15" w:other="15"/>
          <w:cols w:space="720"/>
        </w:sectPr>
      </w:pPr>
    </w:p>
    <w:p w:rsidR="008E4727" w:rsidRPr="00F84F10" w:rsidRDefault="008E4727"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84F10">
        <w:rPr>
          <w:bCs/>
          <w:sz w:val="24"/>
          <w:szCs w:val="24"/>
          <w:lang w:val="fr-CH"/>
        </w:rPr>
        <w:lastRenderedPageBreak/>
        <w:t>Avant-propos</w:t>
      </w:r>
    </w:p>
    <w:p w:rsidR="008E4727" w:rsidRPr="00F84F10" w:rsidRDefault="008E4727" w:rsidP="00F54FBD">
      <w:pPr>
        <w:spacing w:before="240"/>
        <w:rPr>
          <w:sz w:val="20"/>
          <w:lang w:val="fr-CH"/>
        </w:rPr>
      </w:pPr>
      <w:r w:rsidRPr="00F84F1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E4727" w:rsidRPr="00F84F10" w:rsidRDefault="008E4727" w:rsidP="00F54FBD">
      <w:pPr>
        <w:rPr>
          <w:sz w:val="20"/>
          <w:lang w:val="fr-CH"/>
        </w:rPr>
      </w:pPr>
      <w:r w:rsidRPr="00F84F1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8E4727" w:rsidRPr="00F84F10" w:rsidRDefault="008E4727" w:rsidP="00614CC6">
      <w:pPr>
        <w:pStyle w:val="Heading1"/>
        <w:spacing w:before="360"/>
        <w:jc w:val="center"/>
        <w:rPr>
          <w:szCs w:val="24"/>
          <w:lang w:val="fr-CH"/>
        </w:rPr>
      </w:pPr>
      <w:r w:rsidRPr="00F84F10">
        <w:rPr>
          <w:szCs w:val="24"/>
          <w:lang w:val="fr-CH"/>
        </w:rPr>
        <w:t>Politique en matière de droits de propriété intellectuelle (IPR)</w:t>
      </w:r>
    </w:p>
    <w:p w:rsidR="008E4727" w:rsidRPr="00F84F10" w:rsidRDefault="008E4727" w:rsidP="00E44CBB">
      <w:pPr>
        <w:spacing w:before="240"/>
        <w:rPr>
          <w:sz w:val="20"/>
          <w:lang w:val="fr-CH"/>
        </w:rPr>
      </w:pPr>
      <w:r w:rsidRPr="00F84F10">
        <w:rPr>
          <w:sz w:val="20"/>
          <w:lang w:val="fr-CH"/>
        </w:rPr>
        <w:t>La politique de l'UIT</w:t>
      </w:r>
      <w:r w:rsidRPr="00F84F10">
        <w:rPr>
          <w:sz w:val="20"/>
          <w:lang w:val="fr-CH"/>
        </w:rPr>
        <w:noBreakHyphen/>
        <w:t>R en matière de droits de propriété intellectuelle est décrite dans la «Politique commune de l'UIT</w:t>
      </w:r>
      <w:r w:rsidRPr="00F84F10">
        <w:rPr>
          <w:sz w:val="20"/>
          <w:lang w:val="fr-CH"/>
        </w:rPr>
        <w:noBreakHyphen/>
        <w:t>T, l'UIT</w:t>
      </w:r>
      <w:r w:rsidRPr="00F84F1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F84F10">
          <w:rPr>
            <w:rStyle w:val="Hyperlink"/>
            <w:sz w:val="20"/>
            <w:lang w:val="fr-CH"/>
          </w:rPr>
          <w:t>http://www.itu.int/ITU-R/go/patents/fr</w:t>
        </w:r>
      </w:hyperlink>
      <w:r w:rsidRPr="00F84F10">
        <w:rPr>
          <w:sz w:val="20"/>
          <w:lang w:val="fr-CH"/>
        </w:rPr>
        <w:t>, où l'on trouvera également les Lignes directrices pour la mise en oeuvre de la politique commune en matière de brevets de l'UIT</w:t>
      </w:r>
      <w:r w:rsidRPr="00F84F10">
        <w:rPr>
          <w:sz w:val="20"/>
          <w:lang w:val="fr-CH"/>
        </w:rPr>
        <w:noBreakHyphen/>
        <w:t>T, l'UIT</w:t>
      </w:r>
      <w:r w:rsidRPr="00F84F10">
        <w:rPr>
          <w:sz w:val="20"/>
          <w:lang w:val="fr-CH"/>
        </w:rPr>
        <w:noBreakHyphen/>
        <w:t>R, l'ISO et la CEI</w:t>
      </w:r>
      <w:r w:rsidRPr="00F84F10" w:rsidDel="0061025C">
        <w:rPr>
          <w:sz w:val="20"/>
          <w:lang w:val="fr-CH"/>
        </w:rPr>
        <w:t xml:space="preserve"> </w:t>
      </w:r>
      <w:r w:rsidRPr="00F84F10">
        <w:rPr>
          <w:sz w:val="20"/>
          <w:lang w:val="fr-CH"/>
        </w:rPr>
        <w:t>et la base de données en matière de brevets de l'UIT-R.</w:t>
      </w:r>
    </w:p>
    <w:p w:rsidR="008E4727" w:rsidRPr="00F84F10" w:rsidRDefault="008E4727"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8E4727" w:rsidRPr="00F84F10">
        <w:tc>
          <w:tcPr>
            <w:tcW w:w="9360" w:type="dxa"/>
            <w:gridSpan w:val="2"/>
          </w:tcPr>
          <w:p w:rsidR="008E4727" w:rsidRPr="00F84F10" w:rsidRDefault="008E4727"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F84F10">
              <w:rPr>
                <w:sz w:val="22"/>
                <w:szCs w:val="22"/>
                <w:lang w:val="fr-CH"/>
              </w:rPr>
              <w:t xml:space="preserve">Séries des Recommandations UIT-R </w:t>
            </w:r>
          </w:p>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84F10">
              <w:rPr>
                <w:b w:val="0"/>
                <w:sz w:val="18"/>
                <w:szCs w:val="18"/>
                <w:lang w:val="fr-CH"/>
              </w:rPr>
              <w:t xml:space="preserve">(Egalement disponible en ligne: </w:t>
            </w:r>
            <w:hyperlink r:id="rId10" w:history="1">
              <w:r w:rsidRPr="00F84F10">
                <w:rPr>
                  <w:rStyle w:val="Hyperlink"/>
                  <w:b w:val="0"/>
                  <w:bCs/>
                  <w:sz w:val="18"/>
                  <w:szCs w:val="18"/>
                  <w:lang w:val="fr-CH"/>
                </w:rPr>
                <w:t>http://www.itu.int/publ/R-REC/fr</w:t>
              </w:r>
            </w:hyperlink>
            <w:r w:rsidRPr="00F84F10">
              <w:rPr>
                <w:b w:val="0"/>
                <w:bCs/>
                <w:sz w:val="18"/>
                <w:szCs w:val="18"/>
                <w:lang w:val="fr-CH"/>
              </w:rPr>
              <w:t>)</w:t>
            </w:r>
          </w:p>
        </w:tc>
      </w:tr>
      <w:tr w:rsidR="008E4727" w:rsidRPr="00F84F10" w:rsidTr="005E427C">
        <w:tc>
          <w:tcPr>
            <w:tcW w:w="1140" w:type="dxa"/>
            <w:tcBorders>
              <w:bottom w:val="nil"/>
            </w:tcBorders>
          </w:tcPr>
          <w:p w:rsidR="008E4727" w:rsidRPr="00F84F10" w:rsidRDefault="008E4727" w:rsidP="00614CC6">
            <w:pPr>
              <w:spacing w:before="90" w:after="100"/>
              <w:ind w:left="57"/>
              <w:rPr>
                <w:b/>
                <w:bCs/>
                <w:sz w:val="20"/>
                <w:lang w:val="fr-CH"/>
              </w:rPr>
            </w:pPr>
            <w:r w:rsidRPr="00F84F10">
              <w:rPr>
                <w:b/>
                <w:bCs/>
                <w:sz w:val="20"/>
                <w:lang w:val="fr-CH"/>
              </w:rPr>
              <w:t>Séries</w:t>
            </w:r>
          </w:p>
        </w:tc>
        <w:tc>
          <w:tcPr>
            <w:tcW w:w="8220" w:type="dxa"/>
            <w:tcBorders>
              <w:bottom w:val="nil"/>
            </w:tcBorders>
          </w:tcPr>
          <w:p w:rsidR="008E4727" w:rsidRPr="00F84F10" w:rsidRDefault="008E4727"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84F10">
              <w:rPr>
                <w:bCs/>
                <w:sz w:val="20"/>
                <w:lang w:val="fr-CH"/>
              </w:rPr>
              <w:t>Titre</w:t>
            </w:r>
          </w:p>
        </w:tc>
      </w:tr>
      <w:tr w:rsidR="008E4727" w:rsidRPr="00F84F10" w:rsidTr="005E427C">
        <w:tc>
          <w:tcPr>
            <w:tcW w:w="1140" w:type="dxa"/>
            <w:tcBorders>
              <w:top w:val="nil"/>
              <w:bottom w:val="nil"/>
            </w:tcBorders>
            <w:shd w:val="clear" w:color="auto" w:fill="auto"/>
          </w:tcPr>
          <w:p w:rsidR="008E4727" w:rsidRPr="00F84F10" w:rsidRDefault="008E4727" w:rsidP="00F336CC">
            <w:pPr>
              <w:spacing w:before="30" w:after="30"/>
              <w:ind w:left="57"/>
              <w:jc w:val="left"/>
              <w:rPr>
                <w:b/>
                <w:bCs/>
                <w:sz w:val="20"/>
                <w:lang w:val="fr-CH"/>
              </w:rPr>
            </w:pPr>
            <w:r w:rsidRPr="00F84F10">
              <w:rPr>
                <w:b/>
                <w:bCs/>
                <w:sz w:val="20"/>
                <w:lang w:val="fr-CH"/>
              </w:rPr>
              <w:t>BO</w:t>
            </w:r>
          </w:p>
        </w:tc>
        <w:tc>
          <w:tcPr>
            <w:tcW w:w="8220" w:type="dxa"/>
            <w:tcBorders>
              <w:top w:val="nil"/>
              <w:bottom w:val="nil"/>
            </w:tcBorders>
            <w:shd w:val="clear" w:color="auto" w:fill="auto"/>
          </w:tcPr>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84F10">
              <w:rPr>
                <w:b w:val="0"/>
                <w:sz w:val="20"/>
                <w:lang w:val="fr-CH"/>
              </w:rPr>
              <w:t>Diffusion par satellite</w:t>
            </w:r>
          </w:p>
        </w:tc>
      </w:tr>
      <w:tr w:rsidR="008E4727" w:rsidRPr="00F84F10" w:rsidTr="00E80F1D">
        <w:tc>
          <w:tcPr>
            <w:tcW w:w="1140" w:type="dxa"/>
            <w:tcBorders>
              <w:top w:val="nil"/>
              <w:bottom w:val="nil"/>
            </w:tcBorders>
          </w:tcPr>
          <w:p w:rsidR="008E4727" w:rsidRPr="00F84F10" w:rsidRDefault="008E4727" w:rsidP="00F336CC">
            <w:pPr>
              <w:spacing w:before="30" w:after="30"/>
              <w:ind w:left="57"/>
              <w:jc w:val="left"/>
              <w:rPr>
                <w:b/>
                <w:bCs/>
                <w:sz w:val="20"/>
                <w:lang w:val="fr-CH"/>
              </w:rPr>
            </w:pPr>
            <w:r w:rsidRPr="00F84F10">
              <w:rPr>
                <w:b/>
                <w:bCs/>
                <w:sz w:val="20"/>
                <w:lang w:val="fr-CH"/>
              </w:rPr>
              <w:t>BR</w:t>
            </w:r>
          </w:p>
        </w:tc>
        <w:tc>
          <w:tcPr>
            <w:tcW w:w="8220" w:type="dxa"/>
            <w:tcBorders>
              <w:top w:val="nil"/>
              <w:bottom w:val="nil"/>
            </w:tcBorders>
          </w:tcPr>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84F10">
              <w:rPr>
                <w:b w:val="0"/>
                <w:bCs/>
                <w:sz w:val="20"/>
                <w:lang w:val="fr-CH"/>
              </w:rPr>
              <w:t>Enregistrement pour la production, l'archivage et la diffusion; films pour la télévision</w:t>
            </w:r>
          </w:p>
        </w:tc>
      </w:tr>
      <w:tr w:rsidR="008E4727" w:rsidRPr="00F84F10" w:rsidTr="00E80F1D">
        <w:tc>
          <w:tcPr>
            <w:tcW w:w="1140" w:type="dxa"/>
            <w:tcBorders>
              <w:top w:val="nil"/>
              <w:bottom w:val="nil"/>
            </w:tcBorders>
            <w:shd w:val="clear" w:color="auto" w:fill="auto"/>
          </w:tcPr>
          <w:p w:rsidR="008E4727" w:rsidRPr="00F84F10" w:rsidRDefault="008E4727" w:rsidP="00F336CC">
            <w:pPr>
              <w:spacing w:before="30" w:after="30"/>
              <w:ind w:left="57"/>
              <w:jc w:val="left"/>
              <w:rPr>
                <w:b/>
                <w:bCs/>
                <w:sz w:val="20"/>
                <w:lang w:val="fr-CH"/>
              </w:rPr>
            </w:pPr>
            <w:r w:rsidRPr="00F84F10">
              <w:rPr>
                <w:b/>
                <w:bCs/>
                <w:sz w:val="20"/>
                <w:lang w:val="fr-CH"/>
              </w:rPr>
              <w:t>BS</w:t>
            </w:r>
          </w:p>
        </w:tc>
        <w:tc>
          <w:tcPr>
            <w:tcW w:w="8220" w:type="dxa"/>
            <w:tcBorders>
              <w:top w:val="nil"/>
              <w:bottom w:val="nil"/>
            </w:tcBorders>
            <w:shd w:val="clear" w:color="auto" w:fill="auto"/>
          </w:tcPr>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84F10">
              <w:rPr>
                <w:b w:val="0"/>
                <w:sz w:val="20"/>
                <w:lang w:val="fr-CH"/>
              </w:rPr>
              <w:t>Service de radiodiffusion sonore</w:t>
            </w:r>
          </w:p>
        </w:tc>
      </w:tr>
      <w:tr w:rsidR="008E4727" w:rsidRPr="00F84F10" w:rsidTr="00E80F1D">
        <w:tc>
          <w:tcPr>
            <w:tcW w:w="1140" w:type="dxa"/>
            <w:tcBorders>
              <w:top w:val="nil"/>
              <w:bottom w:val="nil"/>
            </w:tcBorders>
            <w:shd w:val="clear" w:color="auto" w:fill="auto"/>
          </w:tcPr>
          <w:p w:rsidR="008E4727" w:rsidRPr="00F84F10" w:rsidRDefault="008E4727" w:rsidP="00F336CC">
            <w:pPr>
              <w:spacing w:before="30" w:after="30"/>
              <w:ind w:left="57"/>
              <w:jc w:val="left"/>
              <w:rPr>
                <w:b/>
                <w:bCs/>
                <w:sz w:val="20"/>
                <w:lang w:val="fr-CH"/>
              </w:rPr>
            </w:pPr>
            <w:r w:rsidRPr="00F84F10">
              <w:rPr>
                <w:b/>
                <w:bCs/>
                <w:sz w:val="20"/>
                <w:lang w:val="fr-CH"/>
              </w:rPr>
              <w:t>BT</w:t>
            </w:r>
          </w:p>
        </w:tc>
        <w:tc>
          <w:tcPr>
            <w:tcW w:w="8220" w:type="dxa"/>
            <w:tcBorders>
              <w:top w:val="nil"/>
              <w:bottom w:val="nil"/>
            </w:tcBorders>
            <w:shd w:val="clear" w:color="auto" w:fill="auto"/>
          </w:tcPr>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84F10">
              <w:rPr>
                <w:b w:val="0"/>
                <w:bCs/>
                <w:sz w:val="20"/>
                <w:lang w:val="fr-CH"/>
              </w:rPr>
              <w:t>Service de radiodiffusion télévisuelle</w:t>
            </w:r>
          </w:p>
        </w:tc>
      </w:tr>
      <w:tr w:rsidR="008E4727" w:rsidRPr="00F84F10" w:rsidTr="00E80F1D">
        <w:tc>
          <w:tcPr>
            <w:tcW w:w="1140" w:type="dxa"/>
            <w:tcBorders>
              <w:top w:val="nil"/>
              <w:bottom w:val="nil"/>
            </w:tcBorders>
            <w:shd w:val="clear" w:color="auto" w:fill="F3F3F3"/>
          </w:tcPr>
          <w:p w:rsidR="008E4727" w:rsidRPr="00F84F10" w:rsidRDefault="008E4727" w:rsidP="00F336CC">
            <w:pPr>
              <w:spacing w:before="30" w:after="30"/>
              <w:ind w:left="57"/>
              <w:jc w:val="left"/>
              <w:rPr>
                <w:b/>
                <w:bCs/>
                <w:color w:val="000080"/>
                <w:sz w:val="20"/>
                <w:lang w:val="fr-CH"/>
              </w:rPr>
            </w:pPr>
            <w:r w:rsidRPr="00F84F10">
              <w:rPr>
                <w:b/>
                <w:bCs/>
                <w:color w:val="000080"/>
                <w:sz w:val="20"/>
                <w:lang w:val="fr-CH"/>
              </w:rPr>
              <w:t>F</w:t>
            </w:r>
          </w:p>
        </w:tc>
        <w:tc>
          <w:tcPr>
            <w:tcW w:w="8220" w:type="dxa"/>
            <w:tcBorders>
              <w:top w:val="nil"/>
              <w:bottom w:val="nil"/>
            </w:tcBorders>
            <w:shd w:val="clear" w:color="auto" w:fill="F3F3F3"/>
          </w:tcPr>
          <w:p w:rsidR="008E4727" w:rsidRPr="00F84F10" w:rsidRDefault="008E472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F84F10">
              <w:rPr>
                <w:b/>
                <w:bCs/>
                <w:color w:val="000080"/>
                <w:sz w:val="20"/>
                <w:lang w:val="fr-CH"/>
              </w:rPr>
              <w:t>Service fixe</w:t>
            </w:r>
          </w:p>
        </w:tc>
      </w:tr>
      <w:tr w:rsidR="008E4727" w:rsidRPr="00F84F10" w:rsidTr="00B21066">
        <w:tc>
          <w:tcPr>
            <w:tcW w:w="1140" w:type="dxa"/>
            <w:tcBorders>
              <w:top w:val="nil"/>
              <w:bottom w:val="nil"/>
            </w:tcBorders>
            <w:shd w:val="clear" w:color="auto" w:fill="auto"/>
          </w:tcPr>
          <w:p w:rsidR="008E4727" w:rsidRPr="00F84F10" w:rsidRDefault="008E4727" w:rsidP="00F336CC">
            <w:pPr>
              <w:spacing w:before="30" w:after="30"/>
              <w:ind w:left="57"/>
              <w:jc w:val="left"/>
              <w:rPr>
                <w:b/>
                <w:bCs/>
                <w:sz w:val="20"/>
                <w:lang w:val="fr-CH"/>
              </w:rPr>
            </w:pPr>
            <w:r w:rsidRPr="00F84F10">
              <w:rPr>
                <w:b/>
                <w:bCs/>
                <w:sz w:val="20"/>
                <w:lang w:val="fr-CH"/>
              </w:rPr>
              <w:t>M</w:t>
            </w:r>
          </w:p>
        </w:tc>
        <w:tc>
          <w:tcPr>
            <w:tcW w:w="8220" w:type="dxa"/>
            <w:tcBorders>
              <w:top w:val="nil"/>
              <w:bottom w:val="nil"/>
            </w:tcBorders>
            <w:shd w:val="clear" w:color="auto" w:fill="auto"/>
          </w:tcPr>
          <w:p w:rsidR="008E4727" w:rsidRPr="00F84F10" w:rsidRDefault="008E4727"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84F10">
              <w:rPr>
                <w:b w:val="0"/>
                <w:sz w:val="20"/>
                <w:lang w:val="fr-CH"/>
              </w:rPr>
              <w:t>Services mobile, de radiorepérage et d'amateur y compris les services par satellite associés</w:t>
            </w:r>
          </w:p>
        </w:tc>
      </w:tr>
      <w:tr w:rsidR="008E4727" w:rsidRPr="00F84F10" w:rsidTr="00B21066">
        <w:tc>
          <w:tcPr>
            <w:tcW w:w="1140" w:type="dxa"/>
            <w:tcBorders>
              <w:top w:val="nil"/>
            </w:tcBorders>
          </w:tcPr>
          <w:p w:rsidR="008E4727" w:rsidRPr="00F84F10" w:rsidRDefault="008E4727" w:rsidP="00F336CC">
            <w:pPr>
              <w:spacing w:before="30" w:after="30"/>
              <w:ind w:left="57"/>
              <w:jc w:val="left"/>
              <w:rPr>
                <w:b/>
                <w:bCs/>
                <w:sz w:val="20"/>
                <w:lang w:val="fr-CH"/>
              </w:rPr>
            </w:pPr>
            <w:r w:rsidRPr="00F84F10">
              <w:rPr>
                <w:b/>
                <w:bCs/>
                <w:sz w:val="20"/>
                <w:lang w:val="fr-CH"/>
              </w:rPr>
              <w:t>P</w:t>
            </w:r>
          </w:p>
        </w:tc>
        <w:tc>
          <w:tcPr>
            <w:tcW w:w="8220" w:type="dxa"/>
            <w:tcBorders>
              <w:top w:val="nil"/>
            </w:tcBorders>
          </w:tcPr>
          <w:p w:rsidR="008E4727" w:rsidRPr="00F84F10" w:rsidRDefault="008E4727" w:rsidP="00F336CC">
            <w:pPr>
              <w:spacing w:before="30" w:after="30"/>
              <w:jc w:val="left"/>
              <w:rPr>
                <w:sz w:val="20"/>
                <w:lang w:val="fr-CH"/>
              </w:rPr>
            </w:pPr>
            <w:r w:rsidRPr="00F84F10">
              <w:rPr>
                <w:sz w:val="20"/>
                <w:lang w:val="fr-CH"/>
              </w:rPr>
              <w:t>Propagation des ondes radioélectriques</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RA</w:t>
            </w:r>
          </w:p>
        </w:tc>
        <w:tc>
          <w:tcPr>
            <w:tcW w:w="8220" w:type="dxa"/>
          </w:tcPr>
          <w:p w:rsidR="008E4727" w:rsidRPr="00F84F10" w:rsidRDefault="008E472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84F10">
              <w:rPr>
                <w:sz w:val="20"/>
                <w:lang w:val="fr-CH"/>
              </w:rPr>
              <w:t>Radio astronomie</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RS</w:t>
            </w:r>
          </w:p>
        </w:tc>
        <w:tc>
          <w:tcPr>
            <w:tcW w:w="8220" w:type="dxa"/>
          </w:tcPr>
          <w:p w:rsidR="008E4727" w:rsidRPr="00F84F10" w:rsidRDefault="008E4727"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84F10">
              <w:rPr>
                <w:sz w:val="20"/>
                <w:lang w:val="fr-CH"/>
              </w:rPr>
              <w:t>Systèmes de télédétection</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S</w:t>
            </w:r>
          </w:p>
        </w:tc>
        <w:tc>
          <w:tcPr>
            <w:tcW w:w="8220" w:type="dxa"/>
          </w:tcPr>
          <w:p w:rsidR="008E4727" w:rsidRPr="00F84F10" w:rsidRDefault="008E4727" w:rsidP="00F336CC">
            <w:pPr>
              <w:spacing w:before="30" w:after="30"/>
              <w:jc w:val="left"/>
              <w:rPr>
                <w:sz w:val="20"/>
                <w:lang w:val="fr-CH"/>
              </w:rPr>
            </w:pPr>
            <w:r w:rsidRPr="00F84F10">
              <w:rPr>
                <w:sz w:val="20"/>
                <w:lang w:val="fr-CH"/>
              </w:rPr>
              <w:t>Service fixe par satellite</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SA</w:t>
            </w:r>
          </w:p>
        </w:tc>
        <w:tc>
          <w:tcPr>
            <w:tcW w:w="8220" w:type="dxa"/>
          </w:tcPr>
          <w:p w:rsidR="008E4727" w:rsidRPr="00F84F10" w:rsidRDefault="008E4727" w:rsidP="00F336CC">
            <w:pPr>
              <w:spacing w:before="30" w:after="30"/>
              <w:jc w:val="left"/>
              <w:rPr>
                <w:sz w:val="20"/>
                <w:lang w:val="fr-CH"/>
              </w:rPr>
            </w:pPr>
            <w:r w:rsidRPr="00F84F10">
              <w:rPr>
                <w:sz w:val="20"/>
                <w:lang w:val="fr-CH"/>
              </w:rPr>
              <w:t>Applications spatiales et météorologie</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SF</w:t>
            </w:r>
          </w:p>
        </w:tc>
        <w:tc>
          <w:tcPr>
            <w:tcW w:w="8220" w:type="dxa"/>
          </w:tcPr>
          <w:p w:rsidR="008E4727" w:rsidRPr="00F84F10" w:rsidRDefault="008E4727" w:rsidP="00F336CC">
            <w:pPr>
              <w:spacing w:before="30" w:after="30"/>
              <w:jc w:val="left"/>
              <w:rPr>
                <w:sz w:val="20"/>
                <w:lang w:val="fr-CH"/>
              </w:rPr>
            </w:pPr>
            <w:r w:rsidRPr="00F84F10">
              <w:rPr>
                <w:sz w:val="20"/>
                <w:lang w:val="fr-CH"/>
              </w:rPr>
              <w:t>Partage des fréquences et coordination entre les systèmes du service fixe par satellite et du service fixe</w:t>
            </w:r>
          </w:p>
        </w:tc>
      </w:tr>
      <w:tr w:rsidR="008E4727" w:rsidRPr="00F84F10">
        <w:tc>
          <w:tcPr>
            <w:tcW w:w="1140" w:type="dxa"/>
            <w:shd w:val="clear" w:color="auto" w:fill="auto"/>
          </w:tcPr>
          <w:p w:rsidR="008E4727" w:rsidRPr="00F84F10" w:rsidRDefault="008E4727" w:rsidP="00F336CC">
            <w:pPr>
              <w:spacing w:before="30" w:after="30"/>
              <w:ind w:left="57"/>
              <w:jc w:val="left"/>
              <w:rPr>
                <w:b/>
                <w:bCs/>
                <w:sz w:val="20"/>
                <w:lang w:val="fr-CH"/>
              </w:rPr>
            </w:pPr>
            <w:r w:rsidRPr="00F84F10">
              <w:rPr>
                <w:b/>
                <w:bCs/>
                <w:sz w:val="20"/>
                <w:lang w:val="fr-CH"/>
              </w:rPr>
              <w:t>SM</w:t>
            </w:r>
          </w:p>
        </w:tc>
        <w:tc>
          <w:tcPr>
            <w:tcW w:w="8220" w:type="dxa"/>
            <w:shd w:val="clear" w:color="auto" w:fill="auto"/>
          </w:tcPr>
          <w:p w:rsidR="008E4727" w:rsidRPr="00F84F10" w:rsidRDefault="008E4727" w:rsidP="00F336CC">
            <w:pPr>
              <w:spacing w:before="30" w:after="30"/>
              <w:jc w:val="left"/>
              <w:rPr>
                <w:sz w:val="20"/>
                <w:lang w:val="fr-CH"/>
              </w:rPr>
            </w:pPr>
            <w:r w:rsidRPr="00F84F10">
              <w:rPr>
                <w:sz w:val="20"/>
                <w:lang w:val="fr-CH"/>
              </w:rPr>
              <w:t>Gestion du spectre</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SNG</w:t>
            </w:r>
          </w:p>
        </w:tc>
        <w:tc>
          <w:tcPr>
            <w:tcW w:w="8220" w:type="dxa"/>
          </w:tcPr>
          <w:p w:rsidR="008E4727" w:rsidRPr="00F84F10" w:rsidRDefault="008E4727" w:rsidP="00F336CC">
            <w:pPr>
              <w:spacing w:before="30" w:after="30"/>
              <w:jc w:val="left"/>
              <w:rPr>
                <w:sz w:val="20"/>
                <w:lang w:val="fr-CH"/>
              </w:rPr>
            </w:pPr>
            <w:r w:rsidRPr="00F84F10">
              <w:rPr>
                <w:sz w:val="20"/>
                <w:lang w:val="fr-CH"/>
              </w:rPr>
              <w:t>Reportage d'actualités par satellite</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TF</w:t>
            </w:r>
          </w:p>
        </w:tc>
        <w:tc>
          <w:tcPr>
            <w:tcW w:w="8220" w:type="dxa"/>
          </w:tcPr>
          <w:p w:rsidR="008E4727" w:rsidRPr="00F84F10" w:rsidRDefault="008E4727" w:rsidP="00F336CC">
            <w:pPr>
              <w:spacing w:before="30" w:after="30"/>
              <w:jc w:val="left"/>
              <w:rPr>
                <w:sz w:val="20"/>
                <w:lang w:val="fr-CH"/>
              </w:rPr>
            </w:pPr>
            <w:r w:rsidRPr="00F84F10">
              <w:rPr>
                <w:sz w:val="20"/>
                <w:lang w:val="fr-CH"/>
              </w:rPr>
              <w:t>Emissions de fréquences étalon et de signaux horaires</w:t>
            </w:r>
          </w:p>
        </w:tc>
      </w:tr>
      <w:tr w:rsidR="008E4727" w:rsidRPr="00F84F10">
        <w:tc>
          <w:tcPr>
            <w:tcW w:w="1140" w:type="dxa"/>
          </w:tcPr>
          <w:p w:rsidR="008E4727" w:rsidRPr="00F84F10" w:rsidRDefault="008E4727" w:rsidP="00F336CC">
            <w:pPr>
              <w:spacing w:before="30" w:after="30"/>
              <w:ind w:left="57"/>
              <w:jc w:val="left"/>
              <w:rPr>
                <w:b/>
                <w:bCs/>
                <w:sz w:val="20"/>
                <w:lang w:val="fr-CH"/>
              </w:rPr>
            </w:pPr>
            <w:r w:rsidRPr="00F84F10">
              <w:rPr>
                <w:b/>
                <w:bCs/>
                <w:sz w:val="20"/>
                <w:lang w:val="fr-CH"/>
              </w:rPr>
              <w:t>V</w:t>
            </w:r>
          </w:p>
        </w:tc>
        <w:tc>
          <w:tcPr>
            <w:tcW w:w="8220" w:type="dxa"/>
          </w:tcPr>
          <w:p w:rsidR="008E4727" w:rsidRPr="00F84F10" w:rsidRDefault="008E4727" w:rsidP="00614CC6">
            <w:pPr>
              <w:spacing w:before="30" w:after="140"/>
              <w:jc w:val="left"/>
              <w:rPr>
                <w:sz w:val="20"/>
                <w:lang w:val="fr-CH"/>
              </w:rPr>
            </w:pPr>
            <w:r w:rsidRPr="00F84F10">
              <w:rPr>
                <w:sz w:val="20"/>
                <w:lang w:val="fr-CH"/>
              </w:rPr>
              <w:t>Vocabulaire et sujets associés</w:t>
            </w:r>
          </w:p>
        </w:tc>
      </w:tr>
    </w:tbl>
    <w:p w:rsidR="008E4727" w:rsidRPr="00F84F10" w:rsidRDefault="008E4727" w:rsidP="00614CC6">
      <w:pPr>
        <w:spacing w:before="0"/>
        <w:jc w:val="center"/>
        <w:rPr>
          <w:sz w:val="20"/>
          <w:lang w:val="fr-CH"/>
        </w:rPr>
      </w:pPr>
    </w:p>
    <w:p w:rsidR="008E4727" w:rsidRPr="00F84F10" w:rsidRDefault="008E4727"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8E4727" w:rsidRPr="00F84F10">
        <w:tc>
          <w:tcPr>
            <w:tcW w:w="9360" w:type="dxa"/>
          </w:tcPr>
          <w:p w:rsidR="008E4727" w:rsidRPr="00F84F10" w:rsidRDefault="008E4727" w:rsidP="00756B4D">
            <w:pPr>
              <w:spacing w:before="80" w:after="80"/>
              <w:jc w:val="left"/>
              <w:rPr>
                <w:i/>
                <w:iCs/>
                <w:sz w:val="20"/>
                <w:lang w:val="fr-CH"/>
              </w:rPr>
            </w:pPr>
            <w:r w:rsidRPr="00F84F10">
              <w:rPr>
                <w:b/>
                <w:bCs/>
                <w:i/>
                <w:iCs/>
                <w:sz w:val="20"/>
                <w:lang w:val="fr-CH"/>
              </w:rPr>
              <w:t xml:space="preserve">    Note</w:t>
            </w:r>
            <w:r w:rsidRPr="00F84F10">
              <w:rPr>
                <w:i/>
                <w:iCs/>
                <w:sz w:val="20"/>
                <w:lang w:val="fr-CH"/>
              </w:rPr>
              <w:t>: Cette Recommandation UIT-R a été approuvée en anglais aux termes de la procédure détaillée dans la</w:t>
            </w:r>
            <w:r w:rsidRPr="00F84F10">
              <w:rPr>
                <w:i/>
                <w:iCs/>
                <w:sz w:val="20"/>
                <w:lang w:val="fr-CH"/>
              </w:rPr>
              <w:br/>
              <w:t xml:space="preserve">   Résolution UIT-R 1. </w:t>
            </w:r>
          </w:p>
        </w:tc>
      </w:tr>
    </w:tbl>
    <w:p w:rsidR="008E4727" w:rsidRPr="00F84F10" w:rsidRDefault="008E4727" w:rsidP="00F54FBD">
      <w:pPr>
        <w:spacing w:before="0"/>
        <w:jc w:val="center"/>
        <w:rPr>
          <w:sz w:val="22"/>
          <w:lang w:val="fr-CH"/>
        </w:rPr>
      </w:pPr>
    </w:p>
    <w:p w:rsidR="008E4727" w:rsidRPr="00F84F10" w:rsidRDefault="008E4727" w:rsidP="00756B4D">
      <w:pPr>
        <w:spacing w:before="100"/>
        <w:jc w:val="right"/>
        <w:rPr>
          <w:i/>
          <w:iCs/>
          <w:sz w:val="20"/>
          <w:lang w:val="fr-CH"/>
        </w:rPr>
      </w:pPr>
      <w:r w:rsidRPr="00F84F10">
        <w:rPr>
          <w:i/>
          <w:iCs/>
          <w:sz w:val="20"/>
          <w:lang w:val="fr-CH"/>
        </w:rPr>
        <w:t>Publication électronique</w:t>
      </w:r>
    </w:p>
    <w:p w:rsidR="008E4727" w:rsidRPr="00F84F10" w:rsidRDefault="008E4727" w:rsidP="00F50711">
      <w:pPr>
        <w:spacing w:before="0"/>
        <w:jc w:val="right"/>
        <w:rPr>
          <w:sz w:val="20"/>
          <w:lang w:val="fr-CH"/>
        </w:rPr>
      </w:pPr>
      <w:r w:rsidRPr="00F84F10">
        <w:rPr>
          <w:sz w:val="20"/>
          <w:lang w:val="fr-CH"/>
        </w:rPr>
        <w:t>Genève, 2010</w:t>
      </w:r>
    </w:p>
    <w:p w:rsidR="008E4727" w:rsidRPr="00F84F10" w:rsidRDefault="008E4727" w:rsidP="00F50711">
      <w:pPr>
        <w:spacing w:before="200"/>
        <w:jc w:val="center"/>
        <w:rPr>
          <w:sz w:val="20"/>
          <w:lang w:val="fr-CH"/>
        </w:rPr>
      </w:pPr>
      <w:r w:rsidRPr="00F84F10">
        <w:rPr>
          <w:sz w:val="20"/>
          <w:lang w:val="fr-CH"/>
        </w:rPr>
        <w:sym w:font="Symbol" w:char="F0E3"/>
      </w:r>
      <w:r w:rsidRPr="00F84F10">
        <w:rPr>
          <w:sz w:val="20"/>
          <w:lang w:val="fr-CH"/>
        </w:rPr>
        <w:t xml:space="preserve"> UIT </w:t>
      </w:r>
      <w:bookmarkStart w:id="1" w:name="iiannee"/>
      <w:bookmarkEnd w:id="1"/>
      <w:r w:rsidRPr="00F84F10">
        <w:rPr>
          <w:sz w:val="20"/>
          <w:lang w:val="fr-CH"/>
        </w:rPr>
        <w:t>2010</w:t>
      </w:r>
    </w:p>
    <w:p w:rsidR="008E4727" w:rsidRPr="00F84F10" w:rsidRDefault="008E4727" w:rsidP="00614CC6">
      <w:pPr>
        <w:rPr>
          <w:sz w:val="18"/>
          <w:szCs w:val="18"/>
          <w:lang w:val="fr-CH"/>
        </w:rPr>
      </w:pPr>
      <w:r w:rsidRPr="00F84F10">
        <w:rPr>
          <w:sz w:val="18"/>
          <w:szCs w:val="18"/>
          <w:lang w:val="fr-CH"/>
        </w:rPr>
        <w:t>Tous droits réservés. Aucune partie de cette publication ne peut être reproduite, par quelque procédé que ce soit, sans l’accord écrit préalable de l’UIT.</w:t>
      </w:r>
    </w:p>
    <w:p w:rsidR="008E4727" w:rsidRPr="00F84F10" w:rsidRDefault="008E4727" w:rsidP="00CD659B">
      <w:pPr>
        <w:spacing w:before="160"/>
        <w:rPr>
          <w:i/>
          <w:sz w:val="20"/>
          <w:highlight w:val="yellow"/>
          <w:lang w:val="fr-CH"/>
        </w:rPr>
        <w:sectPr w:rsidR="008E4727" w:rsidRPr="00F84F10"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8E4727" w:rsidRPr="00F84F10" w:rsidRDefault="008E4727" w:rsidP="00B3417A">
      <w:pPr>
        <w:pStyle w:val="RecNo"/>
        <w:spacing w:before="0"/>
        <w:rPr>
          <w:lang w:val="fr-CH"/>
        </w:rPr>
      </w:pPr>
      <w:bookmarkStart w:id="2" w:name="irecnoe"/>
      <w:bookmarkEnd w:id="2"/>
      <w:r w:rsidRPr="00F84F10">
        <w:rPr>
          <w:lang w:val="fr-CH"/>
        </w:rPr>
        <w:lastRenderedPageBreak/>
        <w:t xml:space="preserve">RECOMMANDATION  </w:t>
      </w:r>
      <w:r w:rsidRPr="00F84F10">
        <w:rPr>
          <w:rStyle w:val="href"/>
          <w:lang w:val="fr-CH"/>
        </w:rPr>
        <w:t>UIT-R  F.</w:t>
      </w:r>
      <w:r w:rsidR="00B3417A" w:rsidRPr="00F84F10">
        <w:rPr>
          <w:rStyle w:val="href"/>
          <w:lang w:val="fr-CH"/>
        </w:rPr>
        <w:t>1110-3</w:t>
      </w:r>
      <w:r w:rsidR="004331FD" w:rsidRPr="00F84F10">
        <w:rPr>
          <w:rStyle w:val="FootnoteReference"/>
          <w:lang w:val="fr-CH"/>
        </w:rPr>
        <w:footnoteReference w:customMarkFollows="1" w:id="1"/>
        <w:t>*</w:t>
      </w:r>
    </w:p>
    <w:p w:rsidR="00B3417A" w:rsidRPr="00F84F10" w:rsidRDefault="00B3417A" w:rsidP="00633038">
      <w:pPr>
        <w:pStyle w:val="Rectitle"/>
        <w:rPr>
          <w:lang w:val="fr-CH"/>
        </w:rPr>
      </w:pPr>
      <w:r w:rsidRPr="00F84F10">
        <w:rPr>
          <w:lang w:val="fr-CH"/>
        </w:rPr>
        <w:t>Systèmes radioélectriques adaptatifs pour des</w:t>
      </w:r>
      <w:r w:rsidRPr="00F84F10">
        <w:rPr>
          <w:lang w:val="fr-CH"/>
        </w:rPr>
        <w:br/>
        <w:t>fréquences inférieures à 30 MH</w:t>
      </w:r>
      <w:r w:rsidRPr="00F84F10">
        <w:rPr>
          <w:smallCaps/>
          <w:lang w:val="fr-CH"/>
        </w:rPr>
        <w:t>z</w:t>
      </w:r>
      <w:r w:rsidRPr="00F84F10">
        <w:rPr>
          <w:lang w:val="fr-CH"/>
        </w:rPr>
        <w:t xml:space="preserve"> environ</w:t>
      </w:r>
    </w:p>
    <w:p w:rsidR="00B3417A" w:rsidRPr="00F84F10" w:rsidRDefault="00B3417A" w:rsidP="00B3417A">
      <w:pPr>
        <w:pStyle w:val="Recdate"/>
        <w:rPr>
          <w:lang w:val="fr-CH"/>
        </w:rPr>
      </w:pPr>
      <w:r w:rsidRPr="00F84F10">
        <w:rPr>
          <w:lang w:val="fr-CH"/>
        </w:rPr>
        <w:t>(1994-1995-1997-2003)</w:t>
      </w:r>
    </w:p>
    <w:p w:rsidR="004331FD" w:rsidRPr="00F84F10" w:rsidRDefault="004331FD" w:rsidP="004331FD">
      <w:pPr>
        <w:pStyle w:val="HeadingSum"/>
        <w:rPr>
          <w:lang w:val="fr-CH"/>
        </w:rPr>
      </w:pPr>
      <w:r w:rsidRPr="00F84F10">
        <w:rPr>
          <w:lang w:val="fr-CH"/>
        </w:rPr>
        <w:t>Champ d'application</w:t>
      </w:r>
    </w:p>
    <w:p w:rsidR="004331FD" w:rsidRPr="00F84F10" w:rsidRDefault="004331FD" w:rsidP="004331FD">
      <w:pPr>
        <w:pStyle w:val="Summary"/>
        <w:rPr>
          <w:lang w:val="fr-CH"/>
        </w:rPr>
      </w:pPr>
      <w:r w:rsidRPr="00F84F10">
        <w:rPr>
          <w:lang w:val="fr-CH"/>
        </w:rPr>
        <w:t>La présente Recommandation indique les fonctions générales des systèmes adaptatifs en ondes décamétriques.</w:t>
      </w:r>
    </w:p>
    <w:p w:rsidR="00B3417A" w:rsidRPr="00F84F10" w:rsidRDefault="00B3417A" w:rsidP="00B3417A">
      <w:pPr>
        <w:pStyle w:val="Normalaftertitle"/>
        <w:rPr>
          <w:lang w:val="fr-CH"/>
        </w:rPr>
      </w:pPr>
      <w:r w:rsidRPr="00F84F10">
        <w:rPr>
          <w:lang w:val="fr-CH"/>
        </w:rPr>
        <w:t>L'Assemblée des radiocommunications de l'UIT,</w:t>
      </w:r>
    </w:p>
    <w:p w:rsidR="00B3417A" w:rsidRPr="00F84F10" w:rsidRDefault="00B3417A" w:rsidP="00B3417A">
      <w:pPr>
        <w:pStyle w:val="Call"/>
        <w:rPr>
          <w:lang w:val="fr-CH"/>
        </w:rPr>
      </w:pPr>
      <w:r w:rsidRPr="00F84F10">
        <w:rPr>
          <w:lang w:val="fr-CH"/>
        </w:rPr>
        <w:t>considérant</w:t>
      </w:r>
    </w:p>
    <w:p w:rsidR="00B3417A" w:rsidRPr="00F84F10" w:rsidRDefault="00B3417A" w:rsidP="00B3417A">
      <w:pPr>
        <w:rPr>
          <w:lang w:val="fr-CH"/>
        </w:rPr>
      </w:pPr>
      <w:r w:rsidRPr="00F84F10">
        <w:rPr>
          <w:lang w:val="fr-CH"/>
        </w:rPr>
        <w:t>a)</w:t>
      </w:r>
      <w:r w:rsidRPr="00F84F10">
        <w:rPr>
          <w:lang w:val="fr-CH"/>
        </w:rPr>
        <w:tab/>
        <w:t>que les liaisons en ondes décamétriques par propagation ionosphérique permettent de communiquer sur de grandes distances;</w:t>
      </w:r>
    </w:p>
    <w:p w:rsidR="00B3417A" w:rsidRPr="00F84F10" w:rsidRDefault="00B3417A" w:rsidP="00B3417A">
      <w:pPr>
        <w:rPr>
          <w:lang w:val="fr-CH"/>
        </w:rPr>
      </w:pPr>
      <w:r w:rsidRPr="00F84F10">
        <w:rPr>
          <w:lang w:val="fr-CH"/>
        </w:rPr>
        <w:t>b)</w:t>
      </w:r>
      <w:r w:rsidRPr="00F84F10">
        <w:rPr>
          <w:lang w:val="fr-CH"/>
        </w:rPr>
        <w:tab/>
        <w:t>que les variations naturelles de l'ionosphère et les brouillages résultant de l'encombrement du spectre et d'anomalies de propagation rendaient, jusqu'à présent, difficile l'exploitation des liaisons en ondes décamétriques et nécessitaient la présence d'opérateurs hautement qualifiés;</w:t>
      </w:r>
    </w:p>
    <w:p w:rsidR="00B3417A" w:rsidRPr="00F84F10" w:rsidRDefault="00B3417A" w:rsidP="00B3417A">
      <w:pPr>
        <w:rPr>
          <w:lang w:val="fr-CH"/>
        </w:rPr>
      </w:pPr>
      <w:r w:rsidRPr="00F84F10">
        <w:rPr>
          <w:lang w:val="fr-CH"/>
        </w:rPr>
        <w:t>c)</w:t>
      </w:r>
      <w:r w:rsidRPr="00F84F10">
        <w:rPr>
          <w:lang w:val="fr-CH"/>
        </w:rPr>
        <w:tab/>
        <w:t>que les progrès technologiques réalisés ces dernières années ont conduit à développer des procédés d'adaptativité permettant d'automatiser les liaisons en ondes décamétriques et d'améliorer leur qualité;</w:t>
      </w:r>
    </w:p>
    <w:p w:rsidR="00B3417A" w:rsidRPr="00F84F10" w:rsidRDefault="00B3417A" w:rsidP="00B3417A">
      <w:pPr>
        <w:rPr>
          <w:lang w:val="fr-CH"/>
        </w:rPr>
      </w:pPr>
      <w:r w:rsidRPr="00F84F10">
        <w:rPr>
          <w:lang w:val="fr-CH"/>
        </w:rPr>
        <w:t>d)</w:t>
      </w:r>
      <w:r w:rsidRPr="00F84F10">
        <w:rPr>
          <w:lang w:val="fr-CH"/>
        </w:rPr>
        <w:tab/>
        <w:t>que les systèmes adaptatifs permettent:</w:t>
      </w:r>
    </w:p>
    <w:p w:rsidR="00B3417A" w:rsidRPr="00F84F10" w:rsidRDefault="00B3417A" w:rsidP="00B3417A">
      <w:pPr>
        <w:pStyle w:val="enumlev1"/>
        <w:rPr>
          <w:lang w:val="fr-CH"/>
        </w:rPr>
      </w:pPr>
      <w:r w:rsidRPr="00F84F10">
        <w:rPr>
          <w:lang w:val="fr-CH"/>
        </w:rPr>
        <w:t>–</w:t>
      </w:r>
      <w:r w:rsidRPr="00F84F10">
        <w:rPr>
          <w:lang w:val="fr-CH"/>
        </w:rPr>
        <w:tab/>
        <w:t>d'atteindre une qualité de service plus élevée, en combinant la capacité d'exploiter la technologie moderne des équipements radioélectriques et un logiciel perfectionné de commande en temps réel. On obtient ainsi un système fiable, solide, économique et d'un usage facile;</w:t>
      </w:r>
    </w:p>
    <w:p w:rsidR="00B3417A" w:rsidRPr="00F84F10" w:rsidRDefault="00B3417A" w:rsidP="00B3417A">
      <w:pPr>
        <w:pStyle w:val="enumlev1"/>
        <w:rPr>
          <w:lang w:val="fr-CH"/>
        </w:rPr>
      </w:pPr>
      <w:r w:rsidRPr="00F84F10">
        <w:rPr>
          <w:lang w:val="fr-CH"/>
        </w:rPr>
        <w:t>–</w:t>
      </w:r>
      <w:r w:rsidRPr="00F84F10">
        <w:rPr>
          <w:lang w:val="fr-CH"/>
        </w:rPr>
        <w:tab/>
        <w:t>de constituer de vastes réseaux en ondes décamétriques avec une architecture souple, moins hiérarchisée;</w:t>
      </w:r>
    </w:p>
    <w:p w:rsidR="00B3417A" w:rsidRPr="00F84F10" w:rsidRDefault="00B3417A" w:rsidP="00B3417A">
      <w:pPr>
        <w:pStyle w:val="enumlev1"/>
        <w:rPr>
          <w:lang w:val="fr-CH"/>
        </w:rPr>
      </w:pPr>
      <w:r w:rsidRPr="00F84F10">
        <w:rPr>
          <w:lang w:val="fr-CH"/>
        </w:rPr>
        <w:t>–</w:t>
      </w:r>
      <w:r w:rsidRPr="00F84F10">
        <w:rPr>
          <w:lang w:val="fr-CH"/>
        </w:rPr>
        <w:tab/>
        <w:t>de réduire les temps de transmission d'où:</w:t>
      </w:r>
    </w:p>
    <w:p w:rsidR="00B3417A" w:rsidRPr="00F84F10" w:rsidRDefault="00B3417A" w:rsidP="00B3417A">
      <w:pPr>
        <w:pStyle w:val="enumlev2"/>
        <w:rPr>
          <w:lang w:val="fr-CH"/>
        </w:rPr>
      </w:pPr>
      <w:r w:rsidRPr="00F84F10">
        <w:rPr>
          <w:lang w:val="fr-CH"/>
        </w:rPr>
        <w:t>–</w:t>
      </w:r>
      <w:r w:rsidRPr="00F84F10">
        <w:rPr>
          <w:lang w:val="fr-CH"/>
        </w:rPr>
        <w:tab/>
        <w:t>utilisation plus efficace du spectre,</w:t>
      </w:r>
    </w:p>
    <w:p w:rsidR="00B3417A" w:rsidRPr="00F84F10" w:rsidRDefault="00B3417A" w:rsidP="00B3417A">
      <w:pPr>
        <w:pStyle w:val="enumlev2"/>
        <w:rPr>
          <w:lang w:val="fr-CH"/>
        </w:rPr>
      </w:pPr>
      <w:r w:rsidRPr="00F84F10">
        <w:rPr>
          <w:lang w:val="fr-CH"/>
        </w:rPr>
        <w:t>–</w:t>
      </w:r>
      <w:r w:rsidRPr="00F84F10">
        <w:rPr>
          <w:lang w:val="fr-CH"/>
        </w:rPr>
        <w:tab/>
        <w:t>diminution des brouillages entre les différents utilisateurs,</w:t>
      </w:r>
    </w:p>
    <w:p w:rsidR="00B3417A" w:rsidRPr="00F84F10" w:rsidRDefault="00B3417A" w:rsidP="00B3417A">
      <w:pPr>
        <w:pStyle w:val="enumlev2"/>
        <w:rPr>
          <w:lang w:val="fr-CH"/>
        </w:rPr>
      </w:pPr>
      <w:r w:rsidRPr="00F84F10">
        <w:rPr>
          <w:lang w:val="fr-CH"/>
        </w:rPr>
        <w:t>–</w:t>
      </w:r>
      <w:r w:rsidRPr="00F84F10">
        <w:rPr>
          <w:lang w:val="fr-CH"/>
        </w:rPr>
        <w:tab/>
        <w:t>possibilité d'augmenter la densité du trafic;</w:t>
      </w:r>
    </w:p>
    <w:p w:rsidR="00B3417A" w:rsidRPr="00F84F10" w:rsidRDefault="00B3417A" w:rsidP="00B3417A">
      <w:pPr>
        <w:pStyle w:val="enumlev1"/>
        <w:rPr>
          <w:lang w:val="fr-CH"/>
        </w:rPr>
      </w:pPr>
      <w:r w:rsidRPr="00F84F10">
        <w:rPr>
          <w:lang w:val="fr-CH"/>
        </w:rPr>
        <w:sym w:font="Symbol" w:char="F02D"/>
      </w:r>
      <w:r w:rsidRPr="00F84F10">
        <w:rPr>
          <w:lang w:val="fr-CH"/>
        </w:rPr>
        <w:tab/>
        <w:t>de réduire le recours à des opérateurs spécialisés;</w:t>
      </w:r>
    </w:p>
    <w:p w:rsidR="00B3417A" w:rsidRPr="00F84F10" w:rsidRDefault="00B3417A" w:rsidP="00B3417A">
      <w:pPr>
        <w:rPr>
          <w:lang w:val="fr-CH"/>
        </w:rPr>
      </w:pPr>
      <w:r w:rsidRPr="00F84F10">
        <w:rPr>
          <w:lang w:val="fr-CH"/>
        </w:rPr>
        <w:t>e)</w:t>
      </w:r>
      <w:r w:rsidRPr="00F84F10">
        <w:rPr>
          <w:lang w:val="fr-CH"/>
        </w:rPr>
        <w:tab/>
        <w:t>que des systèmes adaptatifs pour l'établissement automatique des liaisons sont maintenant en service;</w:t>
      </w:r>
    </w:p>
    <w:p w:rsidR="00B3417A" w:rsidRPr="00F84F10" w:rsidRDefault="00B3417A" w:rsidP="00B3417A">
      <w:pPr>
        <w:rPr>
          <w:lang w:val="fr-CH"/>
        </w:rPr>
      </w:pPr>
      <w:r w:rsidRPr="00F84F10">
        <w:rPr>
          <w:lang w:val="fr-CH"/>
        </w:rPr>
        <w:t>f)</w:t>
      </w:r>
      <w:r w:rsidRPr="00F84F10">
        <w:rPr>
          <w:lang w:val="fr-CH"/>
        </w:rPr>
        <w:tab/>
        <w:t>que des informations complémentaires sur les systèmes et réseaux adaptatifs en ondes décamétriques sont données dans le Manuel de l'UIT-R sur les «Systèmes et réseaux de communication adaptatifs en fréquence fonctionnant dans les bandes des ondes hectométriques et décamétriques»,</w:t>
      </w:r>
    </w:p>
    <w:p w:rsidR="00B3417A" w:rsidRPr="00F84F10" w:rsidRDefault="00B3417A" w:rsidP="00B3417A">
      <w:pPr>
        <w:pStyle w:val="Call"/>
        <w:rPr>
          <w:lang w:val="fr-CH"/>
        </w:rPr>
      </w:pPr>
      <w:r w:rsidRPr="00F84F10">
        <w:rPr>
          <w:lang w:val="fr-CH"/>
        </w:rPr>
        <w:lastRenderedPageBreak/>
        <w:t>recommande</w:t>
      </w:r>
    </w:p>
    <w:p w:rsidR="00B3417A" w:rsidRDefault="00B3417A" w:rsidP="00B3417A">
      <w:pPr>
        <w:rPr>
          <w:lang w:val="fr-CH"/>
        </w:rPr>
      </w:pPr>
      <w:r w:rsidRPr="00F84F10">
        <w:rPr>
          <w:b/>
          <w:lang w:val="fr-CH"/>
        </w:rPr>
        <w:t>1</w:t>
      </w:r>
      <w:r w:rsidRPr="00F84F10">
        <w:rPr>
          <w:lang w:val="fr-CH"/>
        </w:rPr>
        <w:tab/>
        <w:t>que tout système adaptatif en ondes décamétriques possède les fonctions générales indiquées dans l'Annexe 1.</w:t>
      </w:r>
    </w:p>
    <w:p w:rsidR="00B0187C" w:rsidRDefault="00B0187C" w:rsidP="00B3417A">
      <w:pPr>
        <w:rPr>
          <w:lang w:val="fr-CH"/>
        </w:rPr>
      </w:pPr>
    </w:p>
    <w:p w:rsidR="00B0187C" w:rsidRPr="00F84F10" w:rsidRDefault="00B0187C" w:rsidP="00B3417A">
      <w:pPr>
        <w:rPr>
          <w:lang w:val="fr-CH"/>
        </w:rPr>
      </w:pPr>
    </w:p>
    <w:p w:rsidR="00B3417A" w:rsidRPr="00F84F10" w:rsidRDefault="00B3417A" w:rsidP="00B0187C">
      <w:pPr>
        <w:pStyle w:val="AnnexNoTitle"/>
        <w:rPr>
          <w:lang w:val="fr-CH"/>
        </w:rPr>
      </w:pPr>
      <w:r w:rsidRPr="00F84F10">
        <w:rPr>
          <w:lang w:val="fr-CH"/>
        </w:rPr>
        <w:t>Annexe 1</w:t>
      </w:r>
      <w:r w:rsidRPr="00F84F10">
        <w:rPr>
          <w:lang w:val="fr-CH"/>
        </w:rPr>
        <w:br/>
      </w:r>
      <w:r w:rsidRPr="00F84F10">
        <w:rPr>
          <w:lang w:val="fr-CH"/>
        </w:rPr>
        <w:br/>
        <w:t xml:space="preserve">Fonctions générales des systèmes adaptatifs </w:t>
      </w:r>
      <w:r w:rsidRPr="00F84F10">
        <w:rPr>
          <w:lang w:val="fr-CH"/>
        </w:rPr>
        <w:br/>
        <w:t>en ondes décamétriques</w:t>
      </w:r>
    </w:p>
    <w:p w:rsidR="00B3417A" w:rsidRPr="00F84F10" w:rsidRDefault="00B3417A" w:rsidP="00B3417A">
      <w:pPr>
        <w:pStyle w:val="Heading1"/>
        <w:rPr>
          <w:lang w:val="fr-CH"/>
        </w:rPr>
      </w:pPr>
      <w:r w:rsidRPr="00F84F10">
        <w:rPr>
          <w:lang w:val="fr-CH"/>
        </w:rPr>
        <w:t>1</w:t>
      </w:r>
      <w:r w:rsidRPr="00F84F10">
        <w:rPr>
          <w:lang w:val="fr-CH"/>
        </w:rPr>
        <w:tab/>
        <w:t>Introduction</w:t>
      </w:r>
    </w:p>
    <w:p w:rsidR="00B3417A" w:rsidRPr="00F84F10" w:rsidRDefault="00B3417A" w:rsidP="00B3417A">
      <w:pPr>
        <w:rPr>
          <w:lang w:val="fr-CH"/>
        </w:rPr>
      </w:pPr>
      <w:r w:rsidRPr="00F84F10">
        <w:rPr>
          <w:lang w:val="fr-CH"/>
        </w:rPr>
        <w:t xml:space="preserve">S'ils peuvent être utilisés pour n'importe quel type de service fixe ou mobile, les systèmes adaptatifs en ondes décamétriques agiles en fréquence sont toutefois plus indiqués pour des applications mettant en </w:t>
      </w:r>
      <w:r w:rsidR="00F84F10" w:rsidRPr="00F84F10">
        <w:rPr>
          <w:lang w:val="fr-CH"/>
        </w:rPr>
        <w:t>œuvre</w:t>
      </w:r>
      <w:r w:rsidRPr="00F84F10">
        <w:rPr>
          <w:lang w:val="fr-CH"/>
        </w:rPr>
        <w:t xml:space="preserve"> des technologies numériques pour lesquelles une qualité de service élevée est nécessaire.</w:t>
      </w:r>
    </w:p>
    <w:p w:rsidR="00B3417A" w:rsidRPr="00F84F10" w:rsidRDefault="00B3417A" w:rsidP="00B3417A">
      <w:pPr>
        <w:rPr>
          <w:lang w:val="fr-CH"/>
        </w:rPr>
      </w:pPr>
      <w:r w:rsidRPr="00F84F10">
        <w:rPr>
          <w:lang w:val="fr-CH"/>
        </w:rPr>
        <w:t>Un système adaptatif automatise les processus intervenant dans l'établissement, le maintien et la coupure des liaisons ou des réseaux en ondes décamétriques, de façon à permettre une exploitation sans opérateurs spécialisés, ainsi qu'une amélioration de la qualité du service et du rendement de la liaison.</w:t>
      </w:r>
    </w:p>
    <w:p w:rsidR="00B3417A" w:rsidRPr="00F84F10" w:rsidRDefault="00B3417A" w:rsidP="00B3417A">
      <w:pPr>
        <w:rPr>
          <w:lang w:val="fr-CH"/>
        </w:rPr>
      </w:pPr>
      <w:r w:rsidRPr="00F84F10">
        <w:rPr>
          <w:lang w:val="fr-CH"/>
        </w:rPr>
        <w:t>Un système adaptatif a essentiellement une triple fonction:</w:t>
      </w:r>
    </w:p>
    <w:p w:rsidR="00B3417A" w:rsidRPr="00F84F10" w:rsidRDefault="00B3417A" w:rsidP="00B3417A">
      <w:pPr>
        <w:pStyle w:val="enumlev1"/>
        <w:spacing w:before="60"/>
        <w:rPr>
          <w:lang w:val="fr-CH"/>
        </w:rPr>
      </w:pPr>
      <w:r w:rsidRPr="00F84F10">
        <w:rPr>
          <w:lang w:val="fr-CH"/>
        </w:rPr>
        <w:t>–</w:t>
      </w:r>
      <w:r w:rsidRPr="00F84F10">
        <w:rPr>
          <w:lang w:val="fr-CH"/>
        </w:rPr>
        <w:tab/>
        <w:t>automaticité de la sélection de la fréquence et des autres paramètres du système à utiliser;</w:t>
      </w:r>
    </w:p>
    <w:p w:rsidR="00B3417A" w:rsidRPr="00F84F10" w:rsidRDefault="00B3417A" w:rsidP="00B3417A">
      <w:pPr>
        <w:pStyle w:val="enumlev1"/>
        <w:spacing w:before="60"/>
        <w:rPr>
          <w:lang w:val="fr-CH"/>
        </w:rPr>
      </w:pPr>
      <w:r w:rsidRPr="00F84F10">
        <w:rPr>
          <w:lang w:val="fr-CH"/>
        </w:rPr>
        <w:t>–</w:t>
      </w:r>
      <w:r w:rsidRPr="00F84F10">
        <w:rPr>
          <w:lang w:val="fr-CH"/>
        </w:rPr>
        <w:tab/>
        <w:t>automaticité de l'appel, de la prise de liaison (avec commutation éventuelle sur le périphérique correspondant au type de service à assurer) et de la fin de liaison;</w:t>
      </w:r>
    </w:p>
    <w:p w:rsidR="00B3417A" w:rsidRPr="00F84F10" w:rsidRDefault="00B3417A" w:rsidP="00B3417A">
      <w:pPr>
        <w:pStyle w:val="enumlev1"/>
        <w:spacing w:before="60"/>
        <w:rPr>
          <w:lang w:val="fr-CH"/>
        </w:rPr>
      </w:pPr>
      <w:r w:rsidRPr="00F84F10">
        <w:rPr>
          <w:lang w:val="fr-CH"/>
        </w:rPr>
        <w:t>–</w:t>
      </w:r>
      <w:r w:rsidRPr="00F84F10">
        <w:rPr>
          <w:lang w:val="fr-CH"/>
        </w:rPr>
        <w:tab/>
        <w:t>adaptativité en cours de liaison, afin d'optimiser en permanence la qualité de service, compte tenu des conditions ionosphériques et de l'encombrement du spectre.</w:t>
      </w:r>
    </w:p>
    <w:p w:rsidR="00B3417A" w:rsidRPr="00F84F10" w:rsidRDefault="00B3417A" w:rsidP="00B3417A">
      <w:pPr>
        <w:pStyle w:val="Heading1"/>
        <w:rPr>
          <w:lang w:val="fr-CH"/>
        </w:rPr>
      </w:pPr>
      <w:r w:rsidRPr="00F84F10">
        <w:rPr>
          <w:lang w:val="fr-CH"/>
        </w:rPr>
        <w:t>2</w:t>
      </w:r>
      <w:r w:rsidRPr="00F84F10">
        <w:rPr>
          <w:lang w:val="fr-CH"/>
        </w:rPr>
        <w:tab/>
        <w:t>Sélection automatique de la fréquence à utiliser</w:t>
      </w:r>
    </w:p>
    <w:p w:rsidR="00B3417A" w:rsidRPr="00F84F10" w:rsidRDefault="00B3417A" w:rsidP="00B3417A">
      <w:pPr>
        <w:rPr>
          <w:lang w:val="fr-CH"/>
        </w:rPr>
      </w:pPr>
      <w:r w:rsidRPr="00F84F10">
        <w:rPr>
          <w:lang w:val="fr-CH"/>
        </w:rPr>
        <w:t>Cette sélection utilisera tout ou partie des informations suivantes:</w:t>
      </w:r>
    </w:p>
    <w:p w:rsidR="00B3417A" w:rsidRPr="00F84F10" w:rsidRDefault="00B3417A" w:rsidP="00B3417A">
      <w:pPr>
        <w:pStyle w:val="enumlev1"/>
        <w:rPr>
          <w:lang w:val="fr-CH"/>
        </w:rPr>
      </w:pPr>
      <w:r w:rsidRPr="00F84F10">
        <w:rPr>
          <w:lang w:val="fr-CH"/>
        </w:rPr>
        <w:t>–</w:t>
      </w:r>
      <w:r w:rsidRPr="00F84F10">
        <w:rPr>
          <w:lang w:val="fr-CH"/>
        </w:rPr>
        <w:tab/>
        <w:t>liste des fréquences assignées;</w:t>
      </w:r>
    </w:p>
    <w:p w:rsidR="00B3417A" w:rsidRPr="00F84F10" w:rsidRDefault="00B3417A" w:rsidP="00B3417A">
      <w:pPr>
        <w:pStyle w:val="enumlev1"/>
        <w:rPr>
          <w:lang w:val="fr-CH"/>
        </w:rPr>
      </w:pPr>
      <w:r w:rsidRPr="00F84F10">
        <w:rPr>
          <w:lang w:val="fr-CH"/>
        </w:rPr>
        <w:t>–</w:t>
      </w:r>
      <w:r w:rsidRPr="00F84F10">
        <w:rPr>
          <w:lang w:val="fr-CH"/>
        </w:rPr>
        <w:tab/>
        <w:t>programme de prévisions ionosphériques mémorisé, donnant les prévisions de qualité des liaisons aux différentes fréquences, en fonction notamment de l'heure, de la saison et de l'année;</w:t>
      </w:r>
    </w:p>
    <w:p w:rsidR="00B3417A" w:rsidRPr="00F84F10" w:rsidRDefault="00B3417A" w:rsidP="00B3417A">
      <w:pPr>
        <w:pStyle w:val="enumlev1"/>
        <w:rPr>
          <w:lang w:val="fr-CH"/>
        </w:rPr>
      </w:pPr>
      <w:r w:rsidRPr="00F84F10">
        <w:rPr>
          <w:lang w:val="fr-CH"/>
        </w:rPr>
        <w:t>–</w:t>
      </w:r>
      <w:r w:rsidRPr="00F84F10">
        <w:rPr>
          <w:lang w:val="fr-CH"/>
        </w:rPr>
        <w:tab/>
        <w:t>indications de qualité fournies par les liaisons précédentes, permettant de raccourcir le temps d'établissement automatique des liaisons si le conduit ionosphérique est suffisamment stationnaire (court terme) ou suffisamment reproductible durant le même créneau horaire de jours successifs;</w:t>
      </w:r>
    </w:p>
    <w:p w:rsidR="00B3417A" w:rsidRPr="00F84F10" w:rsidRDefault="00B3417A" w:rsidP="00B3417A">
      <w:pPr>
        <w:pStyle w:val="enumlev1"/>
        <w:rPr>
          <w:lang w:val="fr-CH"/>
        </w:rPr>
      </w:pPr>
      <w:r w:rsidRPr="00F84F10">
        <w:rPr>
          <w:lang w:val="fr-CH"/>
        </w:rPr>
        <w:t>–</w:t>
      </w:r>
      <w:r w:rsidRPr="00F84F10">
        <w:rPr>
          <w:lang w:val="fr-CH"/>
        </w:rPr>
        <w:tab/>
        <w:t>analyse passive en temps réel des canaux, qui permet de trier les canaux libres des canaux brouillés (lutte contre l'encombrement du spectre);</w:t>
      </w:r>
    </w:p>
    <w:p w:rsidR="00B3417A" w:rsidRPr="00F84F10" w:rsidRDefault="00B3417A" w:rsidP="00B3417A">
      <w:pPr>
        <w:pStyle w:val="enumlev1"/>
        <w:rPr>
          <w:lang w:val="fr-CH"/>
        </w:rPr>
      </w:pPr>
      <w:r w:rsidRPr="00F84F10">
        <w:rPr>
          <w:lang w:val="fr-CH"/>
        </w:rPr>
        <w:t>–</w:t>
      </w:r>
      <w:r w:rsidRPr="00F84F10">
        <w:rPr>
          <w:lang w:val="fr-CH"/>
        </w:rPr>
        <w:tab/>
        <w:t>éventuellement, informations fournies par un autre organe (sondeur ionosphérique, etc.).</w:t>
      </w:r>
    </w:p>
    <w:p w:rsidR="00B3417A" w:rsidRPr="00F84F10" w:rsidRDefault="00B3417A" w:rsidP="00B3417A">
      <w:pPr>
        <w:rPr>
          <w:lang w:val="fr-CH"/>
        </w:rPr>
      </w:pPr>
      <w:r w:rsidRPr="00F84F10">
        <w:rPr>
          <w:lang w:val="fr-CH"/>
        </w:rPr>
        <w:t>L'utilisation de toutes ces informations permet d'établir à un moment donné un classement préférentiel des fréquences à utiliser pour une liaison donnée.</w:t>
      </w:r>
    </w:p>
    <w:p w:rsidR="00B3417A" w:rsidRPr="00F84F10" w:rsidRDefault="00B3417A" w:rsidP="004331FD">
      <w:pPr>
        <w:pStyle w:val="Heading1"/>
        <w:rPr>
          <w:lang w:val="fr-CH"/>
        </w:rPr>
      </w:pPr>
      <w:r w:rsidRPr="00F84F10">
        <w:rPr>
          <w:lang w:val="fr-CH"/>
        </w:rPr>
        <w:lastRenderedPageBreak/>
        <w:t>3</w:t>
      </w:r>
      <w:r w:rsidRPr="00F84F10">
        <w:rPr>
          <w:lang w:val="fr-CH"/>
        </w:rPr>
        <w:tab/>
        <w:t>Appel, prise de liaison et fin de liaison automatiques</w:t>
      </w:r>
    </w:p>
    <w:p w:rsidR="00B3417A" w:rsidRPr="00F84F10" w:rsidRDefault="00B3417A" w:rsidP="004331FD">
      <w:pPr>
        <w:pStyle w:val="Heading2"/>
        <w:rPr>
          <w:lang w:val="fr-CH"/>
        </w:rPr>
      </w:pPr>
      <w:r w:rsidRPr="00F84F10">
        <w:rPr>
          <w:lang w:val="fr-CH"/>
        </w:rPr>
        <w:t>3.1</w:t>
      </w:r>
      <w:r w:rsidRPr="00F84F10">
        <w:rPr>
          <w:lang w:val="fr-CH"/>
        </w:rPr>
        <w:tab/>
        <w:t>Voies communes d'appel et de trafic</w:t>
      </w:r>
    </w:p>
    <w:p w:rsidR="00B3417A" w:rsidRPr="00F84F10" w:rsidRDefault="00B3417A" w:rsidP="004331FD">
      <w:pPr>
        <w:keepNext/>
        <w:keepLines/>
        <w:rPr>
          <w:lang w:val="fr-CH"/>
        </w:rPr>
      </w:pPr>
      <w:r w:rsidRPr="00F84F10">
        <w:rPr>
          <w:lang w:val="fr-CH"/>
        </w:rPr>
        <w:t>La séquence d'appel doit contenir les indications suivantes, fournies par l'utilisateur:</w:t>
      </w:r>
    </w:p>
    <w:p w:rsidR="00B3417A" w:rsidRPr="00F84F10" w:rsidRDefault="00B3417A" w:rsidP="00B3417A">
      <w:pPr>
        <w:pStyle w:val="enumlev1"/>
        <w:rPr>
          <w:lang w:val="fr-CH"/>
        </w:rPr>
      </w:pPr>
      <w:r w:rsidRPr="00F84F10">
        <w:rPr>
          <w:lang w:val="fr-CH"/>
        </w:rPr>
        <w:t>–</w:t>
      </w:r>
      <w:r w:rsidRPr="00F84F10">
        <w:rPr>
          <w:lang w:val="fr-CH"/>
        </w:rPr>
        <w:tab/>
        <w:t>identification de la station appelante;</w:t>
      </w:r>
    </w:p>
    <w:p w:rsidR="00B3417A" w:rsidRPr="00F84F10" w:rsidRDefault="00B3417A" w:rsidP="00B3417A">
      <w:pPr>
        <w:pStyle w:val="enumlev1"/>
        <w:rPr>
          <w:lang w:val="fr-CH"/>
        </w:rPr>
      </w:pPr>
      <w:r w:rsidRPr="00F84F10">
        <w:rPr>
          <w:lang w:val="fr-CH"/>
        </w:rPr>
        <w:t>–</w:t>
      </w:r>
      <w:r w:rsidRPr="00F84F10">
        <w:rPr>
          <w:lang w:val="fr-CH"/>
        </w:rPr>
        <w:tab/>
        <w:t>identification de la station appelée;</w:t>
      </w:r>
    </w:p>
    <w:p w:rsidR="00B3417A" w:rsidRPr="00F84F10" w:rsidRDefault="00B3417A" w:rsidP="00B3417A">
      <w:pPr>
        <w:pStyle w:val="enumlev1"/>
        <w:rPr>
          <w:lang w:val="fr-CH"/>
        </w:rPr>
      </w:pPr>
      <w:r w:rsidRPr="00F84F10">
        <w:rPr>
          <w:lang w:val="fr-CH"/>
        </w:rPr>
        <w:t>–</w:t>
      </w:r>
      <w:r w:rsidRPr="00F84F10">
        <w:rPr>
          <w:lang w:val="fr-CH"/>
        </w:rPr>
        <w:tab/>
        <w:t>type de service;</w:t>
      </w:r>
    </w:p>
    <w:p w:rsidR="00B3417A" w:rsidRPr="00F84F10" w:rsidRDefault="00B3417A" w:rsidP="00B3417A">
      <w:pPr>
        <w:pStyle w:val="enumlev1"/>
        <w:rPr>
          <w:lang w:val="fr-CH"/>
        </w:rPr>
      </w:pPr>
      <w:r w:rsidRPr="00F84F10">
        <w:rPr>
          <w:lang w:val="fr-CH"/>
        </w:rPr>
        <w:t>–</w:t>
      </w:r>
      <w:r w:rsidRPr="00F84F10">
        <w:rPr>
          <w:lang w:val="fr-CH"/>
        </w:rPr>
        <w:tab/>
        <w:t>éventuellement, mode d'exploitation dans le cas où il n'est pas imposé à la liaison et où il n'y a pas correspondance biunivoque entre mode d'exploitation et type de service.</w:t>
      </w:r>
    </w:p>
    <w:p w:rsidR="00B3417A" w:rsidRPr="00F84F10" w:rsidRDefault="00B3417A" w:rsidP="00B3417A">
      <w:pPr>
        <w:rPr>
          <w:lang w:val="fr-CH"/>
        </w:rPr>
      </w:pPr>
      <w:r w:rsidRPr="00F84F10">
        <w:rPr>
          <w:lang w:val="fr-CH"/>
        </w:rPr>
        <w:t>L'unité ou la fonction de sélection de fréquences répertorie les fréquences en les classant en fonction de la qualité de service attendue.</w:t>
      </w:r>
    </w:p>
    <w:p w:rsidR="00B3417A" w:rsidRPr="00F84F10" w:rsidRDefault="00B3417A" w:rsidP="00B3417A">
      <w:pPr>
        <w:rPr>
          <w:lang w:val="fr-CH"/>
        </w:rPr>
      </w:pPr>
      <w:r w:rsidRPr="00F84F10">
        <w:rPr>
          <w:lang w:val="fr-CH"/>
        </w:rPr>
        <w:t>La séquence d'appel est effectuée sur la fréquence classée N° 1 par l'unité de sélection de fréquences.</w:t>
      </w:r>
    </w:p>
    <w:p w:rsidR="00B3417A" w:rsidRPr="00F84F10" w:rsidRDefault="00B3417A" w:rsidP="00B3417A">
      <w:pPr>
        <w:rPr>
          <w:lang w:val="fr-CH"/>
        </w:rPr>
      </w:pPr>
      <w:r w:rsidRPr="00F84F10">
        <w:rPr>
          <w:lang w:val="fr-CH"/>
        </w:rPr>
        <w:t>Cette fréquence est conservée pour la liaison si:</w:t>
      </w:r>
    </w:p>
    <w:p w:rsidR="00B3417A" w:rsidRPr="00F84F10" w:rsidRDefault="00B3417A" w:rsidP="00B3417A">
      <w:pPr>
        <w:pStyle w:val="enumlev1"/>
        <w:rPr>
          <w:lang w:val="fr-CH"/>
        </w:rPr>
      </w:pPr>
      <w:r w:rsidRPr="00F84F10">
        <w:rPr>
          <w:lang w:val="fr-CH"/>
        </w:rPr>
        <w:t>–</w:t>
      </w:r>
      <w:r w:rsidRPr="00F84F10">
        <w:rPr>
          <w:lang w:val="fr-CH"/>
        </w:rPr>
        <w:tab/>
        <w:t>on reçoit une réponse de la station appelée;</w:t>
      </w:r>
    </w:p>
    <w:p w:rsidR="00B3417A" w:rsidRPr="00F84F10" w:rsidRDefault="00B3417A" w:rsidP="00B3417A">
      <w:pPr>
        <w:pStyle w:val="enumlev1"/>
        <w:rPr>
          <w:lang w:val="fr-CH"/>
        </w:rPr>
      </w:pPr>
      <w:r w:rsidRPr="00F84F10">
        <w:rPr>
          <w:lang w:val="fr-CH"/>
        </w:rPr>
        <w:t>–</w:t>
      </w:r>
      <w:r w:rsidRPr="00F84F10">
        <w:rPr>
          <w:lang w:val="fr-CH"/>
        </w:rPr>
        <w:tab/>
        <w:t>cette réponse indique que la qualité mesurée de la liaison dans le sens appelant</w:t>
      </w:r>
      <w:r w:rsidRPr="00F84F10">
        <w:rPr>
          <w:lang w:val="fr-CH"/>
        </w:rPr>
        <w:noBreakHyphen/>
        <w:t>appelé est suffisante pour assurer le service requis (en effet, la qualité pourrait être suffisante pour assurer la prise de liaison, toujours effectuée en numérique basse vitesse, mais insuffisante pour assurer un service demandant une qualité supérieure, par exemple téléphonie analogique ou transmission numérique haute vitesse);</w:t>
      </w:r>
    </w:p>
    <w:p w:rsidR="00B3417A" w:rsidRPr="00F84F10" w:rsidRDefault="00B3417A" w:rsidP="00B3417A">
      <w:pPr>
        <w:pStyle w:val="enumlev1"/>
        <w:rPr>
          <w:lang w:val="fr-CH"/>
        </w:rPr>
      </w:pPr>
      <w:r w:rsidRPr="00F84F10">
        <w:rPr>
          <w:lang w:val="fr-CH"/>
        </w:rPr>
        <w:t>–</w:t>
      </w:r>
      <w:r w:rsidRPr="00F84F10">
        <w:rPr>
          <w:lang w:val="fr-CH"/>
        </w:rPr>
        <w:tab/>
        <w:t>la qualité mesurée de la liaison dans le sens appelé-appelant est suffisante pour assurer le service requis.</w:t>
      </w:r>
    </w:p>
    <w:p w:rsidR="00B3417A" w:rsidRPr="00F84F10" w:rsidRDefault="00B3417A" w:rsidP="00B3417A">
      <w:pPr>
        <w:rPr>
          <w:lang w:val="fr-CH"/>
        </w:rPr>
      </w:pPr>
      <w:r w:rsidRPr="00F84F10">
        <w:rPr>
          <w:lang w:val="fr-CH"/>
        </w:rPr>
        <w:t>On réinitialisera un appel sur la fréquence classée N° 2 si l'une des trois conditions énumérées ci</w:t>
      </w:r>
      <w:r w:rsidRPr="00F84F10">
        <w:rPr>
          <w:lang w:val="fr-CH"/>
        </w:rPr>
        <w:noBreakHyphen/>
        <w:t>dessus n'est pas remplie, etc.</w:t>
      </w:r>
    </w:p>
    <w:p w:rsidR="00B3417A" w:rsidRPr="00F84F10" w:rsidRDefault="00B3417A" w:rsidP="00B3417A">
      <w:pPr>
        <w:rPr>
          <w:lang w:val="fr-CH"/>
        </w:rPr>
      </w:pPr>
      <w:r w:rsidRPr="00F84F10">
        <w:rPr>
          <w:lang w:val="fr-CH"/>
        </w:rPr>
        <w:t>Dès qu'une fréquence adéquate est trouvée, il y a commutation automatique sur le périphérique correspondant au type de service à assurer.</w:t>
      </w:r>
    </w:p>
    <w:p w:rsidR="00B3417A" w:rsidRPr="00F84F10" w:rsidRDefault="00B3417A" w:rsidP="00B3417A">
      <w:pPr>
        <w:rPr>
          <w:lang w:val="fr-CH"/>
        </w:rPr>
      </w:pPr>
      <w:r w:rsidRPr="00F84F10">
        <w:rPr>
          <w:lang w:val="fr-CH"/>
        </w:rPr>
        <w:t>A la fin de la liaison, il y a retour des stations en configuration de veille.</w:t>
      </w:r>
    </w:p>
    <w:p w:rsidR="00B3417A" w:rsidRPr="00F84F10" w:rsidRDefault="00B3417A" w:rsidP="00633038">
      <w:pPr>
        <w:pStyle w:val="Note"/>
        <w:rPr>
          <w:lang w:val="fr-CH"/>
        </w:rPr>
      </w:pPr>
      <w:r w:rsidRPr="00F84F10">
        <w:rPr>
          <w:lang w:val="fr-CH"/>
        </w:rPr>
        <w:t xml:space="preserve">NOTE 1 – Par fréquence classée N° 1, N° 2, </w:t>
      </w:r>
      <w:r w:rsidR="00633038" w:rsidRPr="00F84F10">
        <w:rPr>
          <w:lang w:val="fr-CH"/>
        </w:rPr>
        <w:t>...</w:t>
      </w:r>
      <w:r w:rsidRPr="00F84F10">
        <w:rPr>
          <w:lang w:val="fr-CH"/>
        </w:rPr>
        <w:t>, il faut entendre:</w:t>
      </w:r>
    </w:p>
    <w:p w:rsidR="00B3417A" w:rsidRPr="00F84F10" w:rsidRDefault="00B3417A" w:rsidP="00B3417A">
      <w:pPr>
        <w:pStyle w:val="Note"/>
        <w:rPr>
          <w:lang w:val="fr-CH"/>
        </w:rPr>
      </w:pPr>
      <w:r w:rsidRPr="00F84F10">
        <w:rPr>
          <w:lang w:val="fr-CH"/>
        </w:rPr>
        <w:t>–</w:t>
      </w:r>
      <w:r w:rsidRPr="00F84F10">
        <w:rPr>
          <w:lang w:val="fr-CH"/>
        </w:rPr>
        <w:tab/>
        <w:t>une seule fréquence dans le cas de l'alternat simplex;</w:t>
      </w:r>
    </w:p>
    <w:p w:rsidR="00B3417A" w:rsidRPr="00F84F10" w:rsidRDefault="00B3417A" w:rsidP="00B3417A">
      <w:pPr>
        <w:pStyle w:val="Note"/>
        <w:rPr>
          <w:lang w:val="fr-CH"/>
        </w:rPr>
      </w:pPr>
      <w:r w:rsidRPr="00F84F10">
        <w:rPr>
          <w:lang w:val="fr-CH"/>
        </w:rPr>
        <w:t>–</w:t>
      </w:r>
      <w:r w:rsidRPr="00F84F10">
        <w:rPr>
          <w:lang w:val="fr-CH"/>
        </w:rPr>
        <w:tab/>
        <w:t>un couple de fréquences dans le cas de l'alternat semi-duplex et du duplex.</w:t>
      </w:r>
    </w:p>
    <w:p w:rsidR="00B3417A" w:rsidRPr="00F84F10" w:rsidRDefault="00B3417A" w:rsidP="00B3417A">
      <w:pPr>
        <w:rPr>
          <w:lang w:val="fr-CH"/>
        </w:rPr>
      </w:pPr>
      <w:r w:rsidRPr="00F84F10">
        <w:rPr>
          <w:lang w:val="fr-CH"/>
        </w:rPr>
        <w:t>On aura tout intérêt à utiliser des procédures permettant la sélection indépendante des fréquences pour chaque sens de la liaison dans les cas suivants:</w:t>
      </w:r>
    </w:p>
    <w:p w:rsidR="00B3417A" w:rsidRPr="00F84F10" w:rsidRDefault="00B3417A" w:rsidP="00B3417A">
      <w:pPr>
        <w:pStyle w:val="enumlev1"/>
        <w:rPr>
          <w:lang w:val="fr-CH"/>
        </w:rPr>
      </w:pPr>
      <w:r w:rsidRPr="00F84F10">
        <w:rPr>
          <w:lang w:val="fr-CH"/>
        </w:rPr>
        <w:t>–</w:t>
      </w:r>
      <w:r w:rsidRPr="00F84F10">
        <w:rPr>
          <w:lang w:val="fr-CH"/>
        </w:rPr>
        <w:tab/>
        <w:t>présence de brouilleurs locaux;</w:t>
      </w:r>
    </w:p>
    <w:p w:rsidR="00B3417A" w:rsidRPr="00F84F10" w:rsidRDefault="00B3417A" w:rsidP="00B3417A">
      <w:pPr>
        <w:pStyle w:val="enumlev1"/>
        <w:rPr>
          <w:lang w:val="fr-CH"/>
        </w:rPr>
      </w:pPr>
      <w:r w:rsidRPr="00F84F10">
        <w:rPr>
          <w:lang w:val="fr-CH"/>
        </w:rPr>
        <w:t>–</w:t>
      </w:r>
      <w:r w:rsidRPr="00F84F10">
        <w:rPr>
          <w:lang w:val="fr-CH"/>
        </w:rPr>
        <w:tab/>
        <w:t>non-disponibilité des mêmes fréquences aux deux extrémités de la liaison.</w:t>
      </w:r>
    </w:p>
    <w:p w:rsidR="00B3417A" w:rsidRPr="00F84F10" w:rsidRDefault="00B3417A" w:rsidP="00B3417A">
      <w:pPr>
        <w:pStyle w:val="Heading2"/>
        <w:rPr>
          <w:lang w:val="fr-CH"/>
        </w:rPr>
      </w:pPr>
      <w:r w:rsidRPr="00F84F10">
        <w:rPr>
          <w:lang w:val="fr-CH"/>
        </w:rPr>
        <w:t>3.2</w:t>
      </w:r>
      <w:r w:rsidRPr="00F84F10">
        <w:rPr>
          <w:lang w:val="fr-CH"/>
        </w:rPr>
        <w:tab/>
        <w:t>Voies distinctes d'appel et de trafic</w:t>
      </w:r>
    </w:p>
    <w:p w:rsidR="00B3417A" w:rsidRPr="00F84F10" w:rsidRDefault="00B3417A" w:rsidP="00B3417A">
      <w:pPr>
        <w:rPr>
          <w:lang w:val="fr-CH"/>
        </w:rPr>
      </w:pPr>
      <w:r w:rsidRPr="00F84F10">
        <w:rPr>
          <w:lang w:val="fr-CH"/>
        </w:rPr>
        <w:t>Pour les réseaux ou les systèmes à forte densité de trafic ou à nombre de stations élevé, on pourra préférer utiliser des voies distinctes pour l'appel et pour le trafic. Dans ce cas, l'établissement d'une communication suivra en général la procédure décrite au § 3.1, à la différence que le contact initial s'effectuera en utilisant une des voies d'appel, voies qui sont écoutées par toutes les stations en veille. Ensuite, une analyse de voie passive ou un sondage actif des voies permettra de déterminer la fréquence de trafic la mieux adaptée.</w:t>
      </w:r>
    </w:p>
    <w:p w:rsidR="00B3417A" w:rsidRPr="00F84F10" w:rsidRDefault="00B3417A" w:rsidP="00B3417A">
      <w:pPr>
        <w:pStyle w:val="Heading1"/>
        <w:rPr>
          <w:lang w:val="fr-CH"/>
        </w:rPr>
      </w:pPr>
      <w:r w:rsidRPr="00F84F10">
        <w:rPr>
          <w:lang w:val="fr-CH"/>
        </w:rPr>
        <w:lastRenderedPageBreak/>
        <w:t>4</w:t>
      </w:r>
      <w:r w:rsidRPr="00F84F10">
        <w:rPr>
          <w:lang w:val="fr-CH"/>
        </w:rPr>
        <w:tab/>
        <w:t>Adaptativité en cours de communication</w:t>
      </w:r>
    </w:p>
    <w:p w:rsidR="00B3417A" w:rsidRPr="00F84F10" w:rsidRDefault="00B3417A" w:rsidP="00B3417A">
      <w:pPr>
        <w:rPr>
          <w:lang w:val="fr-CH"/>
        </w:rPr>
      </w:pPr>
      <w:r w:rsidRPr="00F84F10">
        <w:rPr>
          <w:lang w:val="fr-CH"/>
        </w:rPr>
        <w:t>L'adaptativité a pour but de maintenir automatiquement en cours de liaison la qualité d'une transmission en ondes décamétriques en faisant varier, en fonction de l'évolution de l'état du canal, les principaux paramètres relatifs à la transmission.</w:t>
      </w:r>
    </w:p>
    <w:p w:rsidR="00B3417A" w:rsidRPr="00F84F10" w:rsidRDefault="00B3417A" w:rsidP="00B3417A">
      <w:pPr>
        <w:rPr>
          <w:lang w:val="fr-CH"/>
        </w:rPr>
      </w:pPr>
      <w:r w:rsidRPr="00F84F10">
        <w:rPr>
          <w:lang w:val="fr-CH"/>
        </w:rPr>
        <w:t>Ces paramètres sont, par exemple:</w:t>
      </w:r>
    </w:p>
    <w:p w:rsidR="00B3417A" w:rsidRPr="00F84F10" w:rsidRDefault="00B3417A" w:rsidP="00B3417A">
      <w:pPr>
        <w:pStyle w:val="enumlev1"/>
        <w:rPr>
          <w:lang w:val="fr-CH"/>
        </w:rPr>
      </w:pPr>
      <w:r w:rsidRPr="00F84F10">
        <w:rPr>
          <w:lang w:val="fr-CH"/>
        </w:rPr>
        <w:t>–</w:t>
      </w:r>
      <w:r w:rsidRPr="00F84F10">
        <w:rPr>
          <w:lang w:val="fr-CH"/>
        </w:rPr>
        <w:tab/>
        <w:t>sur les équipements radio:</w:t>
      </w:r>
    </w:p>
    <w:p w:rsidR="00B3417A" w:rsidRPr="00F84F10" w:rsidRDefault="00B3417A" w:rsidP="00B3417A">
      <w:pPr>
        <w:pStyle w:val="enumlev2"/>
        <w:rPr>
          <w:lang w:val="fr-CH"/>
        </w:rPr>
      </w:pPr>
      <w:r w:rsidRPr="00F84F10">
        <w:rPr>
          <w:lang w:val="fr-CH"/>
        </w:rPr>
        <w:t>–</w:t>
      </w:r>
      <w:r w:rsidRPr="00F84F10">
        <w:rPr>
          <w:lang w:val="fr-CH"/>
        </w:rPr>
        <w:tab/>
        <w:t>la fréquence;</w:t>
      </w:r>
    </w:p>
    <w:p w:rsidR="00B3417A" w:rsidRPr="00F84F10" w:rsidRDefault="00B3417A" w:rsidP="00B3417A">
      <w:pPr>
        <w:pStyle w:val="enumlev2"/>
        <w:rPr>
          <w:lang w:val="fr-CH"/>
        </w:rPr>
      </w:pPr>
      <w:r w:rsidRPr="00F84F10">
        <w:rPr>
          <w:lang w:val="fr-CH"/>
        </w:rPr>
        <w:sym w:font="Symbol" w:char="F02D"/>
      </w:r>
      <w:r w:rsidRPr="00F84F10">
        <w:rPr>
          <w:lang w:val="fr-CH"/>
        </w:rPr>
        <w:tab/>
        <w:t>la puissance d'émission;</w:t>
      </w:r>
    </w:p>
    <w:p w:rsidR="00B3417A" w:rsidRPr="00F84F10" w:rsidRDefault="00B3417A" w:rsidP="00B3417A">
      <w:pPr>
        <w:pStyle w:val="enumlev2"/>
        <w:rPr>
          <w:lang w:val="fr-CH"/>
        </w:rPr>
      </w:pPr>
      <w:r w:rsidRPr="00F84F10">
        <w:rPr>
          <w:lang w:val="fr-CH"/>
        </w:rPr>
        <w:sym w:font="Symbol" w:char="F02D"/>
      </w:r>
      <w:r w:rsidRPr="00F84F10">
        <w:rPr>
          <w:lang w:val="fr-CH"/>
        </w:rPr>
        <w:tab/>
        <w:t>le choix de la modulation;</w:t>
      </w:r>
    </w:p>
    <w:p w:rsidR="00B3417A" w:rsidRPr="00F84F10" w:rsidRDefault="00B3417A" w:rsidP="00B3417A">
      <w:pPr>
        <w:pStyle w:val="enumlev1"/>
        <w:rPr>
          <w:lang w:val="fr-CH"/>
        </w:rPr>
      </w:pPr>
      <w:r w:rsidRPr="00F84F10">
        <w:rPr>
          <w:lang w:val="fr-CH"/>
        </w:rPr>
        <w:t>–</w:t>
      </w:r>
      <w:r w:rsidRPr="00F84F10">
        <w:rPr>
          <w:lang w:val="fr-CH"/>
        </w:rPr>
        <w:tab/>
        <w:t>sur le terminal de données ou le périphérique télégraphique et leur modem associé:</w:t>
      </w:r>
    </w:p>
    <w:p w:rsidR="00B3417A" w:rsidRPr="00F84F10" w:rsidRDefault="00B3417A" w:rsidP="00B3417A">
      <w:pPr>
        <w:pStyle w:val="enumlev2"/>
        <w:rPr>
          <w:lang w:val="fr-CH"/>
        </w:rPr>
      </w:pPr>
      <w:r w:rsidRPr="00F84F10">
        <w:rPr>
          <w:lang w:val="fr-CH"/>
        </w:rPr>
        <w:t>–</w:t>
      </w:r>
      <w:r w:rsidRPr="00F84F10">
        <w:rPr>
          <w:lang w:val="fr-CH"/>
        </w:rPr>
        <w:tab/>
        <w:t>le débit;</w:t>
      </w:r>
    </w:p>
    <w:p w:rsidR="00B3417A" w:rsidRPr="00F84F10" w:rsidRDefault="00B3417A" w:rsidP="00B3417A">
      <w:pPr>
        <w:pStyle w:val="enumlev2"/>
        <w:rPr>
          <w:lang w:val="fr-CH"/>
        </w:rPr>
      </w:pPr>
      <w:r w:rsidRPr="00F84F10">
        <w:rPr>
          <w:lang w:val="fr-CH"/>
        </w:rPr>
        <w:sym w:font="Symbol" w:char="F02D"/>
      </w:r>
      <w:r w:rsidRPr="00F84F10">
        <w:rPr>
          <w:lang w:val="fr-CH"/>
        </w:rPr>
        <w:tab/>
        <w:t>le type de codage;</w:t>
      </w:r>
    </w:p>
    <w:p w:rsidR="00B3417A" w:rsidRPr="00F84F10" w:rsidRDefault="00B3417A" w:rsidP="00B3417A">
      <w:pPr>
        <w:pStyle w:val="enumlev2"/>
        <w:rPr>
          <w:lang w:val="fr-CH"/>
        </w:rPr>
      </w:pPr>
      <w:r w:rsidRPr="00F84F10">
        <w:rPr>
          <w:lang w:val="fr-CH"/>
        </w:rPr>
        <w:sym w:font="Symbol" w:char="F02D"/>
      </w:r>
      <w:r w:rsidRPr="00F84F10">
        <w:rPr>
          <w:lang w:val="fr-CH"/>
        </w:rPr>
        <w:tab/>
        <w:t>l'amplitude du déplacement;</w:t>
      </w:r>
    </w:p>
    <w:p w:rsidR="00B3417A" w:rsidRPr="00F84F10" w:rsidRDefault="00B3417A" w:rsidP="00B3417A">
      <w:pPr>
        <w:pStyle w:val="enumlev2"/>
        <w:rPr>
          <w:lang w:val="fr-CH"/>
        </w:rPr>
      </w:pPr>
      <w:r w:rsidRPr="00F84F10">
        <w:rPr>
          <w:lang w:val="fr-CH"/>
        </w:rPr>
        <w:sym w:font="Symbol" w:char="F02D"/>
      </w:r>
      <w:r w:rsidRPr="00F84F10">
        <w:rPr>
          <w:lang w:val="fr-CH"/>
        </w:rPr>
        <w:tab/>
        <w:t>la fréquence de la sous</w:t>
      </w:r>
      <w:r w:rsidRPr="00F84F10">
        <w:rPr>
          <w:lang w:val="fr-CH"/>
        </w:rPr>
        <w:noBreakHyphen/>
        <w:t>porteuse.</w:t>
      </w:r>
    </w:p>
    <w:p w:rsidR="00B3417A" w:rsidRPr="00F84F10" w:rsidRDefault="00B3417A" w:rsidP="00B3417A">
      <w:pPr>
        <w:rPr>
          <w:lang w:val="fr-CH"/>
        </w:rPr>
      </w:pPr>
      <w:r w:rsidRPr="00F84F10">
        <w:rPr>
          <w:lang w:val="fr-CH"/>
        </w:rPr>
        <w:t xml:space="preserve">Pour mettre en </w:t>
      </w:r>
      <w:r w:rsidR="00F84F10" w:rsidRPr="00F84F10">
        <w:rPr>
          <w:lang w:val="fr-CH"/>
        </w:rPr>
        <w:t>œuvre</w:t>
      </w:r>
      <w:r w:rsidRPr="00F84F10">
        <w:rPr>
          <w:lang w:val="fr-CH"/>
        </w:rPr>
        <w:t xml:space="preserve"> un processus adaptatif, il faut:</w:t>
      </w:r>
    </w:p>
    <w:p w:rsidR="00B3417A" w:rsidRPr="00F84F10" w:rsidRDefault="00B3417A" w:rsidP="00B3417A">
      <w:pPr>
        <w:pStyle w:val="enumlev1"/>
        <w:rPr>
          <w:lang w:val="fr-CH"/>
        </w:rPr>
      </w:pPr>
      <w:r w:rsidRPr="00F84F10">
        <w:rPr>
          <w:lang w:val="fr-CH"/>
        </w:rPr>
        <w:t>–</w:t>
      </w:r>
      <w:r w:rsidRPr="00F84F10">
        <w:rPr>
          <w:lang w:val="fr-CH"/>
        </w:rPr>
        <w:tab/>
        <w:t xml:space="preserve">déterminer un critère mesurable, représentatif de la qualité de la liaison pour un type de service donné (par exemple: nombre de répétitions pour une liaison télégraphique avec correction d'erreur par détection et demande automatique de répétition (ARQ) – Taux d'erreur pour une transmission numérique – Mesure de la gigue du rapport </w:t>
      </w:r>
      <w:r w:rsidRPr="00F84F10">
        <w:rPr>
          <w:i/>
          <w:lang w:val="fr-CH"/>
        </w:rPr>
        <w:t>S</w:t>
      </w:r>
      <w:r w:rsidRPr="00F84F10">
        <w:rPr>
          <w:lang w:val="fr-CH"/>
        </w:rPr>
        <w:t>/</w:t>
      </w:r>
      <w:r w:rsidRPr="00F84F10">
        <w:rPr>
          <w:i/>
          <w:lang w:val="fr-CH"/>
        </w:rPr>
        <w:t>N</w:t>
      </w:r>
      <w:r w:rsidRPr="00F84F10">
        <w:rPr>
          <w:lang w:val="fr-CH"/>
        </w:rPr>
        <w:t>);</w:t>
      </w:r>
    </w:p>
    <w:p w:rsidR="00B3417A" w:rsidRPr="00F84F10" w:rsidRDefault="00B3417A" w:rsidP="00B3417A">
      <w:pPr>
        <w:pStyle w:val="enumlev1"/>
        <w:rPr>
          <w:lang w:val="fr-CH"/>
        </w:rPr>
      </w:pPr>
      <w:r w:rsidRPr="00F84F10">
        <w:rPr>
          <w:lang w:val="fr-CH"/>
        </w:rPr>
        <w:t>–</w:t>
      </w:r>
      <w:r w:rsidRPr="00F84F10">
        <w:rPr>
          <w:lang w:val="fr-CH"/>
        </w:rPr>
        <w:tab/>
        <w:t>fixer la valeur de ce critère, en-dessous de laquelle on estime que la qualité devient insuffisante (seuil);</w:t>
      </w:r>
    </w:p>
    <w:p w:rsidR="00B3417A" w:rsidRPr="00F84F10" w:rsidRDefault="00B3417A" w:rsidP="00B3417A">
      <w:pPr>
        <w:pStyle w:val="enumlev1"/>
        <w:rPr>
          <w:lang w:val="fr-CH"/>
        </w:rPr>
      </w:pPr>
      <w:r w:rsidRPr="00F84F10">
        <w:rPr>
          <w:lang w:val="fr-CH"/>
        </w:rPr>
        <w:t>–</w:t>
      </w:r>
      <w:r w:rsidRPr="00F84F10">
        <w:rPr>
          <w:lang w:val="fr-CH"/>
        </w:rPr>
        <w:tab/>
        <w:t>mesurer à intervalles réguliers pendant le déroulement de la communication la valeur de ce critère;</w:t>
      </w:r>
    </w:p>
    <w:p w:rsidR="00B3417A" w:rsidRPr="00F84F10" w:rsidRDefault="00B3417A" w:rsidP="00633038">
      <w:pPr>
        <w:pStyle w:val="enumlev1"/>
        <w:rPr>
          <w:lang w:val="fr-CH"/>
        </w:rPr>
      </w:pPr>
      <w:r w:rsidRPr="00F84F10">
        <w:rPr>
          <w:lang w:val="fr-CH"/>
        </w:rPr>
        <w:t>–</w:t>
      </w:r>
      <w:r w:rsidRPr="00F84F10">
        <w:rPr>
          <w:lang w:val="fr-CH"/>
        </w:rPr>
        <w:tab/>
        <w:t>si cette valeur descend pendant un laps de temps donné au-dessous du seuil fixé, faire varier un (ou plusieurs) des paramètres de la liaison de façon à obtenir à nouveau la qualité</w:t>
      </w:r>
      <w:r w:rsidR="00633038" w:rsidRPr="00F84F10">
        <w:rPr>
          <w:lang w:val="fr-CH"/>
        </w:rPr>
        <w:t xml:space="preserve"> </w:t>
      </w:r>
      <w:r w:rsidRPr="00F84F10">
        <w:rPr>
          <w:lang w:val="fr-CH"/>
        </w:rPr>
        <w:t>requise;</w:t>
      </w:r>
    </w:p>
    <w:p w:rsidR="00B3417A" w:rsidRPr="00F84F10" w:rsidRDefault="00B3417A" w:rsidP="00B3417A">
      <w:pPr>
        <w:pStyle w:val="enumlev1"/>
        <w:rPr>
          <w:lang w:val="fr-CH"/>
        </w:rPr>
      </w:pPr>
      <w:r w:rsidRPr="00F84F10">
        <w:rPr>
          <w:lang w:val="fr-CH"/>
        </w:rPr>
        <w:sym w:font="Symbol" w:char="F02D"/>
      </w:r>
      <w:r w:rsidRPr="00F84F10">
        <w:rPr>
          <w:lang w:val="fr-CH"/>
        </w:rPr>
        <w:tab/>
        <w:t>surveiller régulièrement le degré d'occupation des voies depuis les deux extrémités de chaque liaison, afin d'éviter tout brouillage.</w:t>
      </w:r>
    </w:p>
    <w:p w:rsidR="00B3417A" w:rsidRPr="00F84F10" w:rsidRDefault="00B3417A" w:rsidP="00B3417A">
      <w:pPr>
        <w:rPr>
          <w:lang w:val="fr-CH"/>
        </w:rPr>
      </w:pPr>
      <w:r w:rsidRPr="00F84F10">
        <w:rPr>
          <w:lang w:val="fr-CH"/>
        </w:rPr>
        <w:t>Cela suppose évidemment que ces paramètres soient programmables et que les différentes valeurs discrètes retenues puissent être modifiées à distance.</w:t>
      </w:r>
    </w:p>
    <w:p w:rsidR="00B3417A" w:rsidRPr="00F84F10" w:rsidRDefault="00B3417A" w:rsidP="00B3417A">
      <w:pPr>
        <w:rPr>
          <w:lang w:val="fr-CH"/>
        </w:rPr>
      </w:pPr>
      <w:r w:rsidRPr="00F84F10">
        <w:rPr>
          <w:lang w:val="fr-CH"/>
        </w:rPr>
        <w:t xml:space="preserve">Pendant toute la durée de modification des paramètres, une signalisation particulière doit être mise en </w:t>
      </w:r>
      <w:r w:rsidR="00F84F10" w:rsidRPr="00F84F10">
        <w:rPr>
          <w:lang w:val="fr-CH"/>
        </w:rPr>
        <w:t>œuvre</w:t>
      </w:r>
      <w:r w:rsidRPr="00F84F10">
        <w:rPr>
          <w:lang w:val="fr-CH"/>
        </w:rPr>
        <w:t xml:space="preserve"> pour indiquer aux deux terminaux concernés qu'un processus adaptatif est en cours.</w:t>
      </w:r>
      <w:r w:rsidR="008E30A9">
        <w:rPr>
          <w:lang w:val="fr-CH"/>
        </w:rPr>
        <w:t xml:space="preserve"> </w:t>
      </w:r>
    </w:p>
    <w:p w:rsidR="00B3417A" w:rsidRPr="00F84F10" w:rsidRDefault="00B3417A" w:rsidP="00B3417A">
      <w:pPr>
        <w:pStyle w:val="Note"/>
        <w:rPr>
          <w:lang w:val="fr-CH"/>
        </w:rPr>
      </w:pPr>
      <w:r w:rsidRPr="00F84F10">
        <w:rPr>
          <w:lang w:val="fr-CH"/>
        </w:rPr>
        <w:t>NOTE 1 – En téléphonie analogique, le critère représentatif de la qualité de la liaison ne peut être que subjectif; il faut donc donner à l'utilisateur la possibilité de déclencher un changement de paramètre à partir d'une action volontaire: par exemple, une commande de «relance», actionnée par l'utilisateur qui reçoit mal, indiquant au système qu'il y a lieu de déclencher le processus d'adaptativité.</w:t>
      </w:r>
    </w:p>
    <w:p w:rsidR="00A6617B" w:rsidRPr="00F84F10" w:rsidRDefault="00A6617B" w:rsidP="00A6617B">
      <w:pPr>
        <w:rPr>
          <w:lang w:val="fr-CH"/>
        </w:rPr>
      </w:pPr>
    </w:p>
    <w:p w:rsidR="00B3417A" w:rsidRPr="00F84F10" w:rsidRDefault="00B3417A" w:rsidP="005C1948">
      <w:pPr>
        <w:pStyle w:val="Line"/>
        <w:rPr>
          <w:lang w:val="fr-CH"/>
        </w:rPr>
      </w:pPr>
    </w:p>
    <w:sectPr w:rsidR="00B3417A" w:rsidRPr="00F84F10" w:rsidSect="003C374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727" w:rsidRDefault="008E4727">
      <w:r>
        <w:separator/>
      </w:r>
    </w:p>
  </w:endnote>
  <w:endnote w:type="continuationSeparator" w:id="0">
    <w:p w:rsidR="008E4727" w:rsidRDefault="008E47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727" w:rsidRDefault="008E4727">
      <w:r>
        <w:separator/>
      </w:r>
    </w:p>
  </w:footnote>
  <w:footnote w:type="continuationSeparator" w:id="0">
    <w:p w:rsidR="008E4727" w:rsidRDefault="008E4727">
      <w:r>
        <w:continuationSeparator/>
      </w:r>
    </w:p>
  </w:footnote>
  <w:footnote w:id="1">
    <w:p w:rsidR="004331FD" w:rsidRPr="004331FD" w:rsidRDefault="004331FD" w:rsidP="004331FD">
      <w:pPr>
        <w:pStyle w:val="FootnoteText"/>
        <w:rPr>
          <w:lang w:val="fr-CH"/>
        </w:rPr>
      </w:pPr>
      <w:r>
        <w:rPr>
          <w:rStyle w:val="FootnoteReference"/>
        </w:rPr>
        <w:t>*</w:t>
      </w:r>
      <w:r>
        <w:rPr>
          <w:rStyle w:val="FootnoteReference"/>
        </w:rPr>
        <w:tab/>
      </w:r>
      <w:r w:rsidRPr="004331FD">
        <w:t>La Commission d'</w:t>
      </w:r>
      <w:r>
        <w:t>études 5 des radiocommunications a apporté des modifications rédactionnelles à cette Recommandation en décembre 2009, conformément aux dispositions de la Résolution UIT</w:t>
      </w:r>
      <w:r>
        <w:noBreakHyphen/>
        <w:t xml:space="preserve">R 1.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27" w:rsidRDefault="008E472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27" w:rsidRDefault="008E4727"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27" w:rsidRPr="00837CB5" w:rsidRDefault="00E05FFE">
    <w:pPr>
      <w:pStyle w:val="Header"/>
      <w:jc w:val="left"/>
    </w:pPr>
    <w:r>
      <w:rPr>
        <w:rStyle w:val="PageNumber"/>
        <w:b/>
        <w:bCs/>
      </w:rPr>
      <w:fldChar w:fldCharType="begin"/>
    </w:r>
    <w:r w:rsidR="008E4727" w:rsidRPr="00837CB5">
      <w:rPr>
        <w:rStyle w:val="PageNumber"/>
        <w:b/>
        <w:bCs/>
      </w:rPr>
      <w:instrText xml:space="preserve"> PAGE </w:instrText>
    </w:r>
    <w:r>
      <w:rPr>
        <w:rStyle w:val="PageNumber"/>
        <w:b/>
        <w:bCs/>
      </w:rPr>
      <w:fldChar w:fldCharType="separate"/>
    </w:r>
    <w:r w:rsidR="00B0187C">
      <w:rPr>
        <w:rStyle w:val="PageNumber"/>
        <w:b/>
        <w:bCs/>
        <w:noProof/>
      </w:rPr>
      <w:t>ii</w:t>
    </w:r>
    <w:r>
      <w:rPr>
        <w:rStyle w:val="PageNumber"/>
        <w:b/>
        <w:bCs/>
      </w:rPr>
      <w:fldChar w:fldCharType="end"/>
    </w:r>
    <w:r w:rsidR="008E4727" w:rsidRPr="00837CB5">
      <w:tab/>
    </w:r>
    <w:fldSimple w:instr=" DOCPROPERTY &quot;Header&quot; \* MERGEFORMAT ">
      <w:r w:rsidR="00B0187C" w:rsidRPr="00B0187C">
        <w:rPr>
          <w:b/>
          <w:bCs/>
        </w:rPr>
        <w:t xml:space="preserve">Rec. </w:t>
      </w:r>
    </w:fldSimple>
    <w:r w:rsidR="008E4727">
      <w:rPr>
        <w:b/>
        <w:bCs/>
      </w:rPr>
      <w:t xml:space="preserve"> </w:t>
    </w:r>
    <w:r>
      <w:rPr>
        <w:b/>
        <w:bCs/>
      </w:rPr>
      <w:fldChar w:fldCharType="begin"/>
    </w:r>
    <w:r w:rsidR="008E4727" w:rsidRPr="00837CB5">
      <w:rPr>
        <w:b/>
        <w:bCs/>
      </w:rPr>
      <w:instrText>styleref href</w:instrText>
    </w:r>
    <w:r>
      <w:rPr>
        <w:b/>
        <w:bCs/>
      </w:rPr>
      <w:fldChar w:fldCharType="separate"/>
    </w:r>
    <w:r w:rsidR="00B0187C">
      <w:rPr>
        <w:b/>
        <w:bCs/>
        <w:noProof/>
      </w:rPr>
      <w:t>UIT-R  F.1110-3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727" w:rsidRDefault="008E4727">
    <w:pPr>
      <w:pStyle w:val="Header"/>
    </w:pPr>
    <w:r>
      <w:tab/>
    </w:r>
    <w:fldSimple w:instr=" DOCPROPERTY &quot;Header&quot; \* MERGEFORMAT ">
      <w:r w:rsidR="00B0187C" w:rsidRPr="00B0187C">
        <w:rPr>
          <w:b/>
          <w:bCs/>
        </w:rPr>
        <w:t xml:space="preserve">Rec. </w:t>
      </w:r>
    </w:fldSimple>
    <w:r>
      <w:rPr>
        <w:b/>
        <w:bCs/>
      </w:rPr>
      <w:t xml:space="preserve"> </w:t>
    </w:r>
    <w:r w:rsidR="00E05FFE">
      <w:rPr>
        <w:b/>
        <w:bCs/>
      </w:rPr>
      <w:fldChar w:fldCharType="begin"/>
    </w:r>
    <w:r>
      <w:rPr>
        <w:b/>
        <w:bCs/>
      </w:rPr>
      <w:instrText>styleref href</w:instrText>
    </w:r>
    <w:r w:rsidR="00E05FFE">
      <w:rPr>
        <w:b/>
        <w:bCs/>
      </w:rPr>
      <w:fldChar w:fldCharType="separate"/>
    </w:r>
    <w:r w:rsidR="00B0187C">
      <w:rPr>
        <w:b/>
        <w:bCs/>
        <w:noProof/>
      </w:rPr>
      <w:t>UIT-R  F.1110-3</w:t>
    </w:r>
    <w:r w:rsidR="00E05FFE">
      <w:rPr>
        <w:b/>
        <w:bCs/>
      </w:rPr>
      <w:fldChar w:fldCharType="end"/>
    </w:r>
    <w:r>
      <w:tab/>
    </w:r>
    <w:r w:rsidR="00E05FFE">
      <w:rPr>
        <w:rStyle w:val="PageNumber"/>
        <w:b/>
        <w:bCs/>
      </w:rPr>
      <w:fldChar w:fldCharType="begin"/>
    </w:r>
    <w:r>
      <w:rPr>
        <w:rStyle w:val="PageNumber"/>
        <w:b/>
        <w:bCs/>
      </w:rPr>
      <w:instrText xml:space="preserve"> PAGE </w:instrText>
    </w:r>
    <w:r w:rsidR="00E05FFE">
      <w:rPr>
        <w:rStyle w:val="PageNumber"/>
        <w:b/>
        <w:bCs/>
      </w:rPr>
      <w:fldChar w:fldCharType="separate"/>
    </w:r>
    <w:r>
      <w:rPr>
        <w:rStyle w:val="PageNumber"/>
        <w:b/>
        <w:bCs/>
        <w:noProof/>
      </w:rPr>
      <w:t>1</w:t>
    </w:r>
    <w:r w:rsidR="00E05FF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E05FFE">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B0187C">
      <w:rPr>
        <w:rStyle w:val="PageNumber"/>
        <w:b/>
        <w:bCs/>
        <w:noProof/>
        <w:lang w:val="en-US"/>
      </w:rPr>
      <w:t>4</w:t>
    </w:r>
    <w:r>
      <w:rPr>
        <w:rStyle w:val="PageNumber"/>
        <w:b/>
        <w:bCs/>
      </w:rPr>
      <w:fldChar w:fldCharType="end"/>
    </w:r>
    <w:r w:rsidR="00607D68">
      <w:rPr>
        <w:lang w:val="en-US"/>
      </w:rPr>
      <w:tab/>
    </w:r>
    <w:fldSimple w:instr=" DOCPROPERTY &quot;Header&quot; \* MERGEFORMAT ">
      <w:r w:rsidR="00B0187C" w:rsidRPr="00B0187C">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B0187C">
      <w:rPr>
        <w:b/>
        <w:bCs/>
        <w:noProof/>
      </w:rPr>
      <w:t>UIT-R  F.1110-3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B0187C" w:rsidRPr="00B0187C">
        <w:rPr>
          <w:b/>
          <w:bCs/>
        </w:rPr>
        <w:t xml:space="preserve">Rec. </w:t>
      </w:r>
    </w:fldSimple>
    <w:r>
      <w:rPr>
        <w:b/>
        <w:bCs/>
      </w:rPr>
      <w:t xml:space="preserve"> </w:t>
    </w:r>
    <w:r w:rsidR="00E05FFE">
      <w:rPr>
        <w:b/>
        <w:bCs/>
      </w:rPr>
      <w:fldChar w:fldCharType="begin"/>
    </w:r>
    <w:r>
      <w:rPr>
        <w:b/>
        <w:bCs/>
      </w:rPr>
      <w:instrText>styleref href</w:instrText>
    </w:r>
    <w:r w:rsidR="00E05FFE">
      <w:rPr>
        <w:b/>
        <w:bCs/>
      </w:rPr>
      <w:fldChar w:fldCharType="separate"/>
    </w:r>
    <w:r w:rsidR="00B0187C">
      <w:rPr>
        <w:b/>
        <w:bCs/>
        <w:noProof/>
      </w:rPr>
      <w:t>UIT-R  F.1110-3</w:t>
    </w:r>
    <w:r w:rsidR="00E05FFE">
      <w:rPr>
        <w:b/>
        <w:bCs/>
      </w:rPr>
      <w:fldChar w:fldCharType="end"/>
    </w:r>
    <w:r>
      <w:tab/>
    </w:r>
    <w:r w:rsidR="00E05FFE">
      <w:rPr>
        <w:rStyle w:val="PageNumber"/>
        <w:b/>
        <w:bCs/>
      </w:rPr>
      <w:fldChar w:fldCharType="begin"/>
    </w:r>
    <w:r>
      <w:rPr>
        <w:rStyle w:val="PageNumber"/>
        <w:b/>
        <w:bCs/>
      </w:rPr>
      <w:instrText xml:space="preserve"> PAGE </w:instrText>
    </w:r>
    <w:r w:rsidR="00E05FFE">
      <w:rPr>
        <w:rStyle w:val="PageNumber"/>
        <w:b/>
        <w:bCs/>
      </w:rPr>
      <w:fldChar w:fldCharType="separate"/>
    </w:r>
    <w:r w:rsidR="00B0187C">
      <w:rPr>
        <w:rStyle w:val="PageNumber"/>
        <w:b/>
        <w:bCs/>
        <w:noProof/>
      </w:rPr>
      <w:t>3</w:t>
    </w:r>
    <w:r w:rsidR="00E05FF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B3417A"/>
    <w:rsid w:val="000802B9"/>
    <w:rsid w:val="000B7A36"/>
    <w:rsid w:val="00217EBF"/>
    <w:rsid w:val="002B4027"/>
    <w:rsid w:val="002D76C4"/>
    <w:rsid w:val="003C374B"/>
    <w:rsid w:val="004331FD"/>
    <w:rsid w:val="005C1948"/>
    <w:rsid w:val="00607D68"/>
    <w:rsid w:val="00633038"/>
    <w:rsid w:val="007468DA"/>
    <w:rsid w:val="008E30A9"/>
    <w:rsid w:val="008E4727"/>
    <w:rsid w:val="00A6617B"/>
    <w:rsid w:val="00AB0DC8"/>
    <w:rsid w:val="00B0187C"/>
    <w:rsid w:val="00B3417A"/>
    <w:rsid w:val="00B44E24"/>
    <w:rsid w:val="00C92834"/>
    <w:rsid w:val="00D037F0"/>
    <w:rsid w:val="00DF4176"/>
    <w:rsid w:val="00E05FFE"/>
    <w:rsid w:val="00F84F10"/>
    <w:rsid w:val="00FB372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7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B3723"/>
    <w:pPr>
      <w:keepNext/>
      <w:keepLines/>
      <w:spacing w:before="480"/>
      <w:ind w:left="794" w:hanging="794"/>
      <w:outlineLvl w:val="0"/>
    </w:pPr>
    <w:rPr>
      <w:b/>
    </w:rPr>
  </w:style>
  <w:style w:type="paragraph" w:styleId="Heading2">
    <w:name w:val="heading 2"/>
    <w:basedOn w:val="Heading1"/>
    <w:next w:val="Normal"/>
    <w:qFormat/>
    <w:rsid w:val="00FB3723"/>
    <w:pPr>
      <w:spacing w:before="320"/>
      <w:outlineLvl w:val="1"/>
    </w:pPr>
  </w:style>
  <w:style w:type="paragraph" w:styleId="Heading3">
    <w:name w:val="heading 3"/>
    <w:basedOn w:val="Heading1"/>
    <w:next w:val="Normal"/>
    <w:qFormat/>
    <w:rsid w:val="00FB3723"/>
    <w:pPr>
      <w:spacing w:before="200"/>
      <w:outlineLvl w:val="2"/>
    </w:pPr>
  </w:style>
  <w:style w:type="paragraph" w:styleId="Heading4">
    <w:name w:val="heading 4"/>
    <w:basedOn w:val="Heading3"/>
    <w:next w:val="Normal"/>
    <w:qFormat/>
    <w:rsid w:val="00FB3723"/>
    <w:pPr>
      <w:tabs>
        <w:tab w:val="clear" w:pos="794"/>
        <w:tab w:val="left" w:pos="992"/>
      </w:tabs>
      <w:ind w:left="992" w:hanging="992"/>
      <w:outlineLvl w:val="3"/>
    </w:pPr>
  </w:style>
  <w:style w:type="paragraph" w:styleId="Heading5">
    <w:name w:val="heading 5"/>
    <w:basedOn w:val="Heading4"/>
    <w:next w:val="Normal"/>
    <w:qFormat/>
    <w:rsid w:val="00FB3723"/>
    <w:pPr>
      <w:outlineLvl w:val="4"/>
    </w:pPr>
  </w:style>
  <w:style w:type="paragraph" w:styleId="Heading6">
    <w:name w:val="heading 6"/>
    <w:basedOn w:val="Heading4"/>
    <w:next w:val="Normal"/>
    <w:qFormat/>
    <w:rsid w:val="00FB3723"/>
    <w:pPr>
      <w:tabs>
        <w:tab w:val="clear" w:pos="992"/>
        <w:tab w:val="clear" w:pos="1191"/>
      </w:tabs>
      <w:ind w:left="1588" w:hanging="1588"/>
      <w:outlineLvl w:val="5"/>
    </w:pPr>
  </w:style>
  <w:style w:type="paragraph" w:styleId="Heading7">
    <w:name w:val="heading 7"/>
    <w:basedOn w:val="Heading6"/>
    <w:next w:val="Normal"/>
    <w:qFormat/>
    <w:rsid w:val="00FB3723"/>
    <w:pPr>
      <w:outlineLvl w:val="6"/>
    </w:pPr>
  </w:style>
  <w:style w:type="paragraph" w:styleId="Heading8">
    <w:name w:val="heading 8"/>
    <w:basedOn w:val="Heading6"/>
    <w:next w:val="Normal"/>
    <w:qFormat/>
    <w:rsid w:val="00FB3723"/>
    <w:pPr>
      <w:outlineLvl w:val="7"/>
    </w:pPr>
  </w:style>
  <w:style w:type="paragraph" w:styleId="Heading9">
    <w:name w:val="heading 9"/>
    <w:basedOn w:val="Heading6"/>
    <w:next w:val="Normal"/>
    <w:qFormat/>
    <w:rsid w:val="00FB37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37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37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3723"/>
  </w:style>
  <w:style w:type="paragraph" w:customStyle="1" w:styleId="Headingb">
    <w:name w:val="Heading_b"/>
    <w:basedOn w:val="Heading3"/>
    <w:next w:val="Normal"/>
    <w:rsid w:val="00FB3723"/>
    <w:pPr>
      <w:spacing w:before="160"/>
      <w:ind w:left="0" w:firstLine="0"/>
      <w:outlineLvl w:val="9"/>
    </w:pPr>
  </w:style>
  <w:style w:type="paragraph" w:customStyle="1" w:styleId="Headingi">
    <w:name w:val="Heading_i"/>
    <w:basedOn w:val="Heading3"/>
    <w:next w:val="Normal"/>
    <w:rsid w:val="00FB3723"/>
    <w:pPr>
      <w:spacing w:before="160"/>
      <w:ind w:left="0" w:firstLine="0"/>
    </w:pPr>
    <w:rPr>
      <w:b w:val="0"/>
      <w:i/>
    </w:rPr>
  </w:style>
  <w:style w:type="character" w:customStyle="1" w:styleId="href">
    <w:name w:val="href"/>
    <w:basedOn w:val="DefaultParagraphFont"/>
    <w:rsid w:val="00FB3723"/>
  </w:style>
  <w:style w:type="paragraph" w:customStyle="1" w:styleId="enumlev1">
    <w:name w:val="enumlev1"/>
    <w:basedOn w:val="Normal"/>
    <w:rsid w:val="00FB3723"/>
    <w:pPr>
      <w:spacing w:before="80"/>
      <w:ind w:left="794" w:hanging="794"/>
    </w:pPr>
  </w:style>
  <w:style w:type="paragraph" w:customStyle="1" w:styleId="enumlev2">
    <w:name w:val="enumlev2"/>
    <w:basedOn w:val="enumlev1"/>
    <w:rsid w:val="00FB3723"/>
    <w:pPr>
      <w:ind w:left="1191" w:hanging="397"/>
    </w:pPr>
  </w:style>
  <w:style w:type="paragraph" w:customStyle="1" w:styleId="enumlev3">
    <w:name w:val="enumlev3"/>
    <w:basedOn w:val="enumlev2"/>
    <w:rsid w:val="00FB3723"/>
    <w:pPr>
      <w:ind w:left="1588"/>
    </w:pPr>
  </w:style>
  <w:style w:type="paragraph" w:customStyle="1" w:styleId="Normalaftertitle">
    <w:name w:val="Normal_after_title"/>
    <w:basedOn w:val="Normal"/>
    <w:next w:val="Normal"/>
    <w:rsid w:val="00FB3723"/>
    <w:pPr>
      <w:spacing w:before="320"/>
    </w:pPr>
  </w:style>
  <w:style w:type="paragraph" w:customStyle="1" w:styleId="Note">
    <w:name w:val="Note"/>
    <w:basedOn w:val="Normal"/>
    <w:rsid w:val="00FB37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372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B3723"/>
    <w:pPr>
      <w:spacing w:before="240"/>
    </w:pPr>
    <w:rPr>
      <w:sz w:val="22"/>
      <w:lang w:val="es-ES_tradnl"/>
    </w:rPr>
  </w:style>
  <w:style w:type="paragraph" w:customStyle="1" w:styleId="Recref">
    <w:name w:val="Rec_ref"/>
    <w:basedOn w:val="Normal"/>
    <w:next w:val="Recdate"/>
    <w:rsid w:val="00FB3723"/>
    <w:pPr>
      <w:jc w:val="center"/>
    </w:pPr>
  </w:style>
  <w:style w:type="paragraph" w:customStyle="1" w:styleId="Recdate">
    <w:name w:val="Rec_date"/>
    <w:basedOn w:val="Recref"/>
    <w:next w:val="Normalaftertitle"/>
    <w:rsid w:val="00FB3723"/>
    <w:pPr>
      <w:jc w:val="right"/>
    </w:pPr>
  </w:style>
  <w:style w:type="paragraph" w:customStyle="1" w:styleId="AnnexNoTitle">
    <w:name w:val="Annex_NoTitle"/>
    <w:basedOn w:val="Normal"/>
    <w:next w:val="Normalaftertitle"/>
    <w:rsid w:val="00FB3723"/>
    <w:pPr>
      <w:keepNext/>
      <w:keepLines/>
      <w:spacing w:before="480" w:after="80"/>
      <w:jc w:val="center"/>
    </w:pPr>
    <w:rPr>
      <w:b/>
      <w:sz w:val="28"/>
    </w:rPr>
  </w:style>
  <w:style w:type="paragraph" w:customStyle="1" w:styleId="AppendixNoTitle">
    <w:name w:val="Appendix_NoTitle"/>
    <w:basedOn w:val="AnnexNoTitle"/>
    <w:next w:val="Normal"/>
    <w:rsid w:val="00FB3723"/>
  </w:style>
  <w:style w:type="paragraph" w:customStyle="1" w:styleId="Tablefin">
    <w:name w:val="Table_fin"/>
    <w:basedOn w:val="Normal"/>
    <w:next w:val="Normal"/>
    <w:rsid w:val="00FB3723"/>
    <w:pPr>
      <w:spacing w:before="0"/>
    </w:pPr>
    <w:rPr>
      <w:sz w:val="20"/>
      <w:lang w:val="en-GB"/>
    </w:rPr>
  </w:style>
  <w:style w:type="paragraph" w:customStyle="1" w:styleId="Tablehead">
    <w:name w:val="Table_head"/>
    <w:basedOn w:val="Normal"/>
    <w:next w:val="Normal"/>
    <w:rsid w:val="00FB37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37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3723"/>
    <w:pPr>
      <w:keepNext/>
      <w:spacing w:before="360" w:after="120"/>
      <w:jc w:val="center"/>
    </w:pPr>
  </w:style>
  <w:style w:type="paragraph" w:customStyle="1" w:styleId="Tabletext">
    <w:name w:val="Table_text"/>
    <w:basedOn w:val="Normal"/>
    <w:rsid w:val="00FB37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3723"/>
    <w:pPr>
      <w:tabs>
        <w:tab w:val="clear" w:pos="1191"/>
        <w:tab w:val="clear" w:pos="1588"/>
        <w:tab w:val="clear" w:pos="1985"/>
        <w:tab w:val="center" w:pos="4820"/>
        <w:tab w:val="right" w:pos="9639"/>
      </w:tabs>
    </w:pPr>
  </w:style>
  <w:style w:type="paragraph" w:customStyle="1" w:styleId="Equationlegend">
    <w:name w:val="Equation_legend"/>
    <w:basedOn w:val="NormalIndent"/>
    <w:rsid w:val="00FB37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3723"/>
    <w:pPr>
      <w:ind w:left="794"/>
    </w:pPr>
  </w:style>
  <w:style w:type="paragraph" w:customStyle="1" w:styleId="Figurelegend">
    <w:name w:val="Figure_legend"/>
    <w:basedOn w:val="Normal"/>
    <w:rsid w:val="00FB37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B37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3723"/>
    <w:pPr>
      <w:keepNext/>
      <w:keepLines/>
      <w:spacing w:before="480"/>
      <w:jc w:val="center"/>
    </w:pPr>
    <w:rPr>
      <w:sz w:val="28"/>
    </w:rPr>
  </w:style>
  <w:style w:type="paragraph" w:customStyle="1" w:styleId="Arttitle">
    <w:name w:val="Art_title"/>
    <w:basedOn w:val="Normal"/>
    <w:next w:val="Normalaftertitle"/>
    <w:rsid w:val="00FB3723"/>
    <w:pPr>
      <w:keepNext/>
      <w:keepLines/>
      <w:spacing w:before="240"/>
      <w:jc w:val="center"/>
    </w:pPr>
    <w:rPr>
      <w:b/>
      <w:sz w:val="28"/>
    </w:rPr>
  </w:style>
  <w:style w:type="paragraph" w:customStyle="1" w:styleId="Blanc">
    <w:name w:val="Blanc"/>
    <w:basedOn w:val="Normal"/>
    <w:next w:val="Tabletext"/>
    <w:rsid w:val="00FB37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37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3723"/>
    <w:pPr>
      <w:keepNext/>
      <w:keepLines/>
      <w:spacing w:before="160"/>
      <w:ind w:left="794"/>
    </w:pPr>
    <w:rPr>
      <w:i/>
    </w:rPr>
  </w:style>
  <w:style w:type="paragraph" w:customStyle="1" w:styleId="ChapNo">
    <w:name w:val="Chap_No"/>
    <w:basedOn w:val="ArtNo"/>
    <w:next w:val="Chaptitle"/>
    <w:rsid w:val="00FB3723"/>
    <w:rPr>
      <w:b/>
    </w:rPr>
  </w:style>
  <w:style w:type="paragraph" w:customStyle="1" w:styleId="Chaptitle">
    <w:name w:val="Chap_title"/>
    <w:basedOn w:val="Arttitle"/>
    <w:next w:val="Normalaftertitle"/>
    <w:rsid w:val="00FB3723"/>
  </w:style>
  <w:style w:type="character" w:styleId="FootnoteReference">
    <w:name w:val="footnote reference"/>
    <w:basedOn w:val="DefaultParagraphFont"/>
    <w:semiHidden/>
    <w:rsid w:val="00FB3723"/>
    <w:rPr>
      <w:position w:val="6"/>
      <w:sz w:val="18"/>
    </w:rPr>
  </w:style>
  <w:style w:type="paragraph" w:styleId="FootnoteText">
    <w:name w:val="footnote text"/>
    <w:basedOn w:val="Normal"/>
    <w:semiHidden/>
    <w:rsid w:val="00FB3723"/>
    <w:pPr>
      <w:keepLines/>
      <w:tabs>
        <w:tab w:val="left" w:pos="255"/>
      </w:tabs>
      <w:ind w:left="255" w:hanging="255"/>
    </w:pPr>
    <w:rPr>
      <w:sz w:val="22"/>
    </w:rPr>
  </w:style>
  <w:style w:type="paragraph" w:styleId="Index1">
    <w:name w:val="index 1"/>
    <w:basedOn w:val="Normal"/>
    <w:next w:val="Normal"/>
    <w:semiHidden/>
    <w:rsid w:val="00FB3723"/>
  </w:style>
  <w:style w:type="paragraph" w:styleId="Index2">
    <w:name w:val="index 2"/>
    <w:basedOn w:val="Normal"/>
    <w:next w:val="Normal"/>
    <w:semiHidden/>
    <w:rsid w:val="00FB3723"/>
    <w:pPr>
      <w:ind w:left="283"/>
    </w:pPr>
  </w:style>
  <w:style w:type="paragraph" w:styleId="Index3">
    <w:name w:val="index 3"/>
    <w:basedOn w:val="Normal"/>
    <w:next w:val="Normal"/>
    <w:semiHidden/>
    <w:rsid w:val="00FB3723"/>
    <w:pPr>
      <w:ind w:left="566"/>
    </w:pPr>
  </w:style>
  <w:style w:type="paragraph" w:styleId="IndexHeading">
    <w:name w:val="index heading"/>
    <w:basedOn w:val="Normal"/>
    <w:next w:val="Index1"/>
    <w:semiHidden/>
    <w:rsid w:val="00FB3723"/>
  </w:style>
  <w:style w:type="paragraph" w:customStyle="1" w:styleId="Line">
    <w:name w:val="Line"/>
    <w:basedOn w:val="Normal"/>
    <w:next w:val="Normal"/>
    <w:rsid w:val="00FB37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37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3723"/>
  </w:style>
  <w:style w:type="paragraph" w:customStyle="1" w:styleId="Partref">
    <w:name w:val="Part_ref"/>
    <w:basedOn w:val="Normal"/>
    <w:next w:val="Normal"/>
    <w:rsid w:val="00FB3723"/>
    <w:pPr>
      <w:keepNext/>
      <w:keepLines/>
      <w:spacing w:after="280"/>
      <w:jc w:val="center"/>
    </w:pPr>
  </w:style>
  <w:style w:type="paragraph" w:customStyle="1" w:styleId="Parttitle">
    <w:name w:val="Part_title"/>
    <w:basedOn w:val="Normal"/>
    <w:next w:val="Normalaftertitle"/>
    <w:rsid w:val="00FB37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3723"/>
  </w:style>
  <w:style w:type="paragraph" w:customStyle="1" w:styleId="QuestionNo">
    <w:name w:val="Question_No"/>
    <w:basedOn w:val="RecNo"/>
    <w:next w:val="Normal"/>
    <w:rsid w:val="00FB3723"/>
  </w:style>
  <w:style w:type="paragraph" w:customStyle="1" w:styleId="Questionref">
    <w:name w:val="Question_ref"/>
    <w:basedOn w:val="Recref"/>
    <w:next w:val="Questiondate"/>
    <w:rsid w:val="00FB3723"/>
  </w:style>
  <w:style w:type="paragraph" w:customStyle="1" w:styleId="Questiontitle">
    <w:name w:val="Question_title"/>
    <w:basedOn w:val="Normal"/>
    <w:next w:val="Questionref"/>
    <w:rsid w:val="00FB3723"/>
  </w:style>
  <w:style w:type="paragraph" w:customStyle="1" w:styleId="Reftext">
    <w:name w:val="Ref_text"/>
    <w:basedOn w:val="Normal"/>
    <w:rsid w:val="00FB3723"/>
    <w:pPr>
      <w:ind w:left="794" w:hanging="794"/>
    </w:pPr>
    <w:rPr>
      <w:sz w:val="22"/>
    </w:rPr>
  </w:style>
  <w:style w:type="paragraph" w:customStyle="1" w:styleId="Reftitle">
    <w:name w:val="Ref_title"/>
    <w:basedOn w:val="Normal"/>
    <w:next w:val="Reftext"/>
    <w:rsid w:val="00FB37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3723"/>
  </w:style>
  <w:style w:type="paragraph" w:customStyle="1" w:styleId="RepNo">
    <w:name w:val="Rep_No"/>
    <w:basedOn w:val="RecNo"/>
    <w:next w:val="Reptitle"/>
    <w:rsid w:val="00FB3723"/>
  </w:style>
  <w:style w:type="paragraph" w:customStyle="1" w:styleId="Repref">
    <w:name w:val="Rep_ref"/>
    <w:basedOn w:val="Recref"/>
    <w:next w:val="Repdate"/>
    <w:rsid w:val="00FB3723"/>
  </w:style>
  <w:style w:type="paragraph" w:customStyle="1" w:styleId="Reptitle">
    <w:name w:val="Rep_title"/>
    <w:basedOn w:val="Rectitle"/>
    <w:next w:val="Repref"/>
    <w:rsid w:val="00FB3723"/>
  </w:style>
  <w:style w:type="paragraph" w:customStyle="1" w:styleId="Resdate">
    <w:name w:val="Res_date"/>
    <w:basedOn w:val="Recdate"/>
    <w:next w:val="Normalaftertitle"/>
    <w:rsid w:val="00FB3723"/>
  </w:style>
  <w:style w:type="paragraph" w:customStyle="1" w:styleId="ResNo">
    <w:name w:val="Res_No"/>
    <w:basedOn w:val="RecNo"/>
    <w:next w:val="Restitle"/>
    <w:rsid w:val="00FB3723"/>
  </w:style>
  <w:style w:type="paragraph" w:customStyle="1" w:styleId="Resref">
    <w:name w:val="Res_ref"/>
    <w:basedOn w:val="Recref"/>
    <w:next w:val="Resdate"/>
    <w:rsid w:val="00FB372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B3723"/>
  </w:style>
  <w:style w:type="paragraph" w:customStyle="1" w:styleId="Sectiontitle">
    <w:name w:val="Section_title"/>
    <w:basedOn w:val="Normal"/>
    <w:next w:val="Normalaftertitle"/>
    <w:rsid w:val="00FB37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3723"/>
    <w:pPr>
      <w:tabs>
        <w:tab w:val="clear" w:pos="794"/>
        <w:tab w:val="clear" w:pos="1191"/>
        <w:tab w:val="clear" w:pos="1588"/>
        <w:tab w:val="clear" w:pos="1985"/>
        <w:tab w:val="right" w:pos="9611"/>
      </w:tabs>
    </w:pPr>
    <w:rPr>
      <w:i/>
    </w:rPr>
  </w:style>
  <w:style w:type="paragraph" w:styleId="TOC1">
    <w:name w:val="toc 1"/>
    <w:basedOn w:val="Normal"/>
    <w:semiHidden/>
    <w:rsid w:val="00FB37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3723"/>
    <w:pPr>
      <w:tabs>
        <w:tab w:val="clear" w:pos="567"/>
        <w:tab w:val="left" w:pos="1276"/>
      </w:tabs>
      <w:spacing w:before="160"/>
      <w:ind w:left="1276" w:hanging="709"/>
    </w:pPr>
  </w:style>
  <w:style w:type="paragraph" w:styleId="TOC3">
    <w:name w:val="toc 3"/>
    <w:basedOn w:val="TOC2"/>
    <w:semiHidden/>
    <w:rsid w:val="00FB3723"/>
    <w:pPr>
      <w:tabs>
        <w:tab w:val="clear" w:pos="1276"/>
        <w:tab w:val="left" w:pos="2155"/>
      </w:tabs>
      <w:ind w:left="2155" w:hanging="879"/>
    </w:pPr>
  </w:style>
  <w:style w:type="paragraph" w:styleId="TOC4">
    <w:name w:val="toc 4"/>
    <w:basedOn w:val="TOC3"/>
    <w:semiHidden/>
    <w:rsid w:val="00FB3723"/>
    <w:pPr>
      <w:tabs>
        <w:tab w:val="left" w:pos="3261"/>
      </w:tabs>
      <w:spacing w:before="80"/>
      <w:ind w:left="3261" w:hanging="993"/>
    </w:pPr>
  </w:style>
  <w:style w:type="paragraph" w:styleId="TOC5">
    <w:name w:val="toc 5"/>
    <w:basedOn w:val="TOC4"/>
    <w:semiHidden/>
    <w:rsid w:val="00FB3723"/>
  </w:style>
  <w:style w:type="paragraph" w:styleId="TOC6">
    <w:name w:val="toc 6"/>
    <w:basedOn w:val="TOC4"/>
    <w:semiHidden/>
    <w:rsid w:val="00FB3723"/>
  </w:style>
  <w:style w:type="paragraph" w:styleId="TOC7">
    <w:name w:val="toc 7"/>
    <w:basedOn w:val="TOC4"/>
    <w:semiHidden/>
    <w:rsid w:val="00FB3723"/>
  </w:style>
  <w:style w:type="paragraph" w:styleId="TOC8">
    <w:name w:val="toc 8"/>
    <w:basedOn w:val="TOC4"/>
    <w:semiHidden/>
    <w:rsid w:val="00FB3723"/>
  </w:style>
  <w:style w:type="paragraph" w:customStyle="1" w:styleId="Rectitle">
    <w:name w:val="Rec_title"/>
    <w:basedOn w:val="Normal"/>
    <w:next w:val="Recref"/>
    <w:rsid w:val="00FB3723"/>
    <w:pPr>
      <w:keepNext/>
      <w:keepLines/>
      <w:spacing w:before="240"/>
      <w:jc w:val="center"/>
    </w:pPr>
    <w:rPr>
      <w:b/>
      <w:sz w:val="28"/>
    </w:rPr>
  </w:style>
  <w:style w:type="paragraph" w:customStyle="1" w:styleId="Annexref">
    <w:name w:val="Annex_ref"/>
    <w:basedOn w:val="Normal"/>
    <w:next w:val="Normalaftertitle"/>
    <w:rsid w:val="00FB3723"/>
    <w:pPr>
      <w:keepNext/>
      <w:keepLines/>
      <w:spacing w:after="280"/>
      <w:jc w:val="center"/>
    </w:pPr>
  </w:style>
  <w:style w:type="paragraph" w:customStyle="1" w:styleId="Appendixref">
    <w:name w:val="Appendix_ref"/>
    <w:basedOn w:val="Annexref"/>
    <w:next w:val="Normalaftertitle"/>
    <w:rsid w:val="00FB3723"/>
  </w:style>
  <w:style w:type="paragraph" w:customStyle="1" w:styleId="Figuretitle">
    <w:name w:val="Figure_title"/>
    <w:basedOn w:val="Normal"/>
    <w:next w:val="Figure"/>
    <w:rsid w:val="00FB372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3723"/>
    <w:pPr>
      <w:keepNext/>
      <w:spacing w:before="0" w:after="120"/>
      <w:jc w:val="center"/>
    </w:pPr>
    <w:rPr>
      <w:b/>
    </w:rPr>
  </w:style>
  <w:style w:type="paragraph" w:customStyle="1" w:styleId="Summary">
    <w:name w:val="Summary"/>
    <w:basedOn w:val="Normal"/>
    <w:next w:val="Normalaftertitle"/>
    <w:rsid w:val="00FB37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E472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06523-4C26-42F3-B17B-659E0E793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6</Pages>
  <Words>1748</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2010-09-17T08:04:00Z</dcterms:created>
  <dcterms:modified xsi:type="dcterms:W3CDTF">2010-09-21T08:01:00Z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