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9EC" w:rsidRPr="00575CB8" w:rsidRDefault="005549EC" w:rsidP="005549EC">
      <w:pPr>
        <w:rPr>
          <w:lang w:val="en-US"/>
        </w:rPr>
      </w:pPr>
      <w:bookmarkStart w:id="0" w:name="dbreak"/>
      <w:bookmarkEnd w:id="0"/>
    </w:p>
    <w:p w:rsidR="005549EC" w:rsidRDefault="005549EC" w:rsidP="005549EC"/>
    <w:p w:rsidR="005549EC" w:rsidRDefault="005549EC" w:rsidP="005549EC"/>
    <w:p w:rsidR="005549EC" w:rsidRDefault="005549EC" w:rsidP="005549EC"/>
    <w:p w:rsidR="005549EC" w:rsidRDefault="005549EC" w:rsidP="005549EC"/>
    <w:p w:rsidR="005549EC" w:rsidRDefault="005549EC" w:rsidP="005549EC"/>
    <w:p w:rsidR="005549EC" w:rsidRDefault="005549EC" w:rsidP="005549EC"/>
    <w:p w:rsidR="005549EC" w:rsidRDefault="005549EC" w:rsidP="005549EC"/>
    <w:p w:rsidR="005549EC" w:rsidRDefault="005549EC" w:rsidP="005549EC"/>
    <w:p w:rsidR="005549EC" w:rsidRDefault="005549EC" w:rsidP="005549EC"/>
    <w:p w:rsidR="005549EC" w:rsidRDefault="005549EC" w:rsidP="005549EC"/>
    <w:p w:rsidR="005549EC" w:rsidRDefault="005549EC" w:rsidP="005549EC"/>
    <w:tbl>
      <w:tblPr>
        <w:tblW w:w="10089" w:type="dxa"/>
        <w:tblLook w:val="01E0" w:firstRow="1" w:lastRow="1" w:firstColumn="1" w:lastColumn="1" w:noHBand="0" w:noVBand="0"/>
      </w:tblPr>
      <w:tblGrid>
        <w:gridCol w:w="10089"/>
      </w:tblGrid>
      <w:tr w:rsidR="005549EC" w:rsidRPr="005549EC" w:rsidTr="00613BA1">
        <w:tc>
          <w:tcPr>
            <w:tcW w:w="10089" w:type="dxa"/>
          </w:tcPr>
          <w:p w:rsidR="005549EC" w:rsidRPr="0010336F" w:rsidRDefault="005549EC" w:rsidP="00613BA1">
            <w:pPr>
              <w:spacing w:before="380" w:line="280" w:lineRule="exact"/>
              <w:jc w:val="right"/>
              <w:rPr>
                <w:rFonts w:ascii="Tahoma" w:hAnsi="Tahoma" w:cs="Tahoma"/>
                <w:b/>
                <w:bCs/>
                <w:iCs/>
                <w:color w:val="243285"/>
                <w:sz w:val="32"/>
                <w:szCs w:val="32"/>
                <w:lang w:val="en-US"/>
              </w:rPr>
            </w:pPr>
          </w:p>
          <w:p w:rsidR="005549EC" w:rsidRPr="0010336F" w:rsidRDefault="005549EC" w:rsidP="005549E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1105-3</w:t>
            </w:r>
          </w:p>
          <w:p w:rsidR="005549EC" w:rsidRPr="0010336F" w:rsidRDefault="005549EC" w:rsidP="005549E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5549EC" w:rsidRPr="006E4796" w:rsidTr="00613BA1">
        <w:tc>
          <w:tcPr>
            <w:tcW w:w="10089" w:type="dxa"/>
          </w:tcPr>
          <w:p w:rsidR="005549EC" w:rsidRPr="0010336F" w:rsidRDefault="005549EC" w:rsidP="00613BA1">
            <w:pPr>
              <w:spacing w:before="80" w:line="500" w:lineRule="exact"/>
              <w:jc w:val="right"/>
              <w:rPr>
                <w:rFonts w:ascii="Tahoma" w:hAnsi="Tahoma" w:cs="Tahoma"/>
                <w:b/>
                <w:bCs/>
                <w:iCs/>
                <w:color w:val="243285"/>
                <w:sz w:val="44"/>
                <w:szCs w:val="44"/>
                <w:lang w:val="es-ES_tradnl"/>
              </w:rPr>
            </w:pPr>
          </w:p>
          <w:p w:rsidR="005549EC" w:rsidRPr="0010336F" w:rsidRDefault="005549EC" w:rsidP="005549EC">
            <w:pPr>
              <w:spacing w:before="80" w:line="500" w:lineRule="exact"/>
              <w:jc w:val="right"/>
              <w:rPr>
                <w:rFonts w:ascii="Tahoma" w:hAnsi="Tahoma" w:cs="Tahoma"/>
                <w:b/>
                <w:bCs/>
                <w:iCs/>
                <w:color w:val="243285"/>
                <w:sz w:val="44"/>
                <w:szCs w:val="44"/>
                <w:lang w:val="es-ES_tradnl"/>
              </w:rPr>
            </w:pPr>
            <w:r w:rsidRPr="00DA037C">
              <w:rPr>
                <w:rFonts w:ascii="Tahoma" w:hAnsi="Tahoma" w:cs="Tahoma"/>
                <w:b/>
                <w:bCs/>
                <w:color w:val="243285"/>
                <w:sz w:val="44"/>
                <w:szCs w:val="44"/>
                <w:lang w:val="es-ES_tradnl"/>
              </w:rPr>
              <w:t>Sistemas inalámbricos fijos para</w:t>
            </w:r>
            <w:r>
              <w:rPr>
                <w:rFonts w:ascii="Tahoma" w:hAnsi="Tahoma" w:cs="Tahoma"/>
                <w:b/>
                <w:bCs/>
                <w:color w:val="243285"/>
                <w:sz w:val="44"/>
                <w:szCs w:val="44"/>
                <w:lang w:val="es-ES_tradnl"/>
              </w:rPr>
              <w:br/>
            </w:r>
            <w:r w:rsidRPr="00DA037C">
              <w:rPr>
                <w:rFonts w:ascii="Tahoma" w:hAnsi="Tahoma" w:cs="Tahoma"/>
                <w:b/>
                <w:bCs/>
                <w:color w:val="243285"/>
                <w:sz w:val="44"/>
                <w:szCs w:val="44"/>
                <w:lang w:val="es-ES_tradnl"/>
              </w:rPr>
              <w:t>la mitigación de catástrofes y</w:t>
            </w:r>
            <w:r>
              <w:rPr>
                <w:rFonts w:ascii="Tahoma" w:hAnsi="Tahoma" w:cs="Tahoma"/>
                <w:b/>
                <w:bCs/>
                <w:color w:val="243285"/>
                <w:sz w:val="44"/>
                <w:szCs w:val="44"/>
                <w:lang w:val="es-ES_tradnl"/>
              </w:rPr>
              <w:br/>
            </w:r>
            <w:r w:rsidRPr="00DA037C">
              <w:rPr>
                <w:rFonts w:ascii="Tahoma" w:hAnsi="Tahoma" w:cs="Tahoma"/>
                <w:b/>
                <w:bCs/>
                <w:color w:val="243285"/>
                <w:sz w:val="44"/>
                <w:szCs w:val="44"/>
                <w:lang w:val="es-ES_tradnl"/>
              </w:rPr>
              <w:t>las operaciones de socorro</w:t>
            </w:r>
          </w:p>
        </w:tc>
      </w:tr>
      <w:tr w:rsidR="005549EC" w:rsidRPr="0026666F" w:rsidTr="00613BA1">
        <w:tc>
          <w:tcPr>
            <w:tcW w:w="10089" w:type="dxa"/>
          </w:tcPr>
          <w:p w:rsidR="005549EC" w:rsidRPr="0010336F" w:rsidRDefault="005549EC" w:rsidP="00613BA1">
            <w:pPr>
              <w:spacing w:before="80" w:line="280" w:lineRule="exact"/>
              <w:ind w:right="640"/>
              <w:rPr>
                <w:rFonts w:ascii="Tahoma" w:hAnsi="Tahoma" w:cs="Tahoma"/>
                <w:b/>
                <w:bCs/>
                <w:iCs/>
                <w:color w:val="243285"/>
                <w:sz w:val="32"/>
                <w:szCs w:val="32"/>
                <w:lang w:val="es-ES_tradnl"/>
              </w:rPr>
            </w:pPr>
            <w:bookmarkStart w:id="1" w:name="_GoBack"/>
            <w:bookmarkEnd w:id="1"/>
          </w:p>
          <w:p w:rsidR="005549EC" w:rsidRPr="0010336F" w:rsidRDefault="005549EC" w:rsidP="00613BA1">
            <w:pPr>
              <w:spacing w:before="80" w:line="280" w:lineRule="exact"/>
              <w:ind w:right="640"/>
              <w:rPr>
                <w:rFonts w:ascii="Tahoma" w:hAnsi="Tahoma" w:cs="Tahoma"/>
                <w:b/>
                <w:bCs/>
                <w:iCs/>
                <w:color w:val="243285"/>
                <w:sz w:val="32"/>
                <w:szCs w:val="32"/>
                <w:lang w:val="es-ES_tradnl"/>
              </w:rPr>
            </w:pPr>
          </w:p>
          <w:p w:rsidR="005549EC" w:rsidRPr="0010336F" w:rsidRDefault="005549EC" w:rsidP="00613BA1">
            <w:pPr>
              <w:spacing w:before="80" w:after="180" w:line="360" w:lineRule="exact"/>
              <w:ind w:right="720"/>
              <w:rPr>
                <w:rFonts w:ascii="Tahoma" w:hAnsi="Tahoma" w:cs="Tahoma"/>
                <w:b/>
                <w:bCs/>
                <w:iCs/>
                <w:color w:val="243285"/>
                <w:sz w:val="36"/>
                <w:szCs w:val="36"/>
                <w:lang w:val="es-ES_tradnl"/>
              </w:rPr>
            </w:pPr>
          </w:p>
          <w:p w:rsidR="005549EC" w:rsidRPr="0010336F" w:rsidRDefault="005549EC" w:rsidP="00613BA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5549EC" w:rsidRPr="0010336F" w:rsidRDefault="005549EC" w:rsidP="00613BA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5549EC" w:rsidRPr="0026666F" w:rsidRDefault="005549EC" w:rsidP="005549EC">
      <w:pPr>
        <w:spacing w:before="80"/>
        <w:rPr>
          <w:i/>
          <w:sz w:val="22"/>
          <w:lang w:val="es-ES_tradnl"/>
        </w:rPr>
      </w:pPr>
    </w:p>
    <w:p w:rsidR="005549EC" w:rsidRPr="0026666F" w:rsidRDefault="005549EC" w:rsidP="005549EC">
      <w:pPr>
        <w:spacing w:before="80"/>
        <w:rPr>
          <w:i/>
          <w:sz w:val="22"/>
          <w:lang w:val="es-ES_tradnl"/>
        </w:rPr>
      </w:pPr>
    </w:p>
    <w:p w:rsidR="005549EC" w:rsidRPr="0026666F" w:rsidRDefault="005549EC" w:rsidP="005549EC">
      <w:pPr>
        <w:spacing w:before="80"/>
        <w:rPr>
          <w:i/>
          <w:sz w:val="22"/>
          <w:lang w:val="es-ES_tradnl"/>
        </w:rPr>
      </w:pPr>
    </w:p>
    <w:p w:rsidR="005549EC" w:rsidRPr="0026666F" w:rsidRDefault="005549EC" w:rsidP="005549EC">
      <w:pPr>
        <w:spacing w:before="80"/>
        <w:rPr>
          <w:i/>
          <w:sz w:val="22"/>
          <w:lang w:val="es-ES_tradnl"/>
        </w:rPr>
      </w:pPr>
    </w:p>
    <w:p w:rsidR="005549EC" w:rsidRPr="0026666F" w:rsidRDefault="005549EC" w:rsidP="005549EC">
      <w:pPr>
        <w:spacing w:before="80"/>
        <w:rPr>
          <w:i/>
          <w:sz w:val="22"/>
          <w:lang w:val="es-ES_tradnl"/>
        </w:rPr>
      </w:pPr>
    </w:p>
    <w:p w:rsidR="005549EC" w:rsidRPr="0026666F" w:rsidRDefault="005549EC" w:rsidP="005549EC">
      <w:pPr>
        <w:spacing w:before="80"/>
        <w:rPr>
          <w:i/>
          <w:sz w:val="22"/>
          <w:lang w:val="es-ES_tradnl"/>
        </w:rPr>
      </w:pPr>
    </w:p>
    <w:p w:rsidR="005549EC" w:rsidRPr="0026666F" w:rsidRDefault="005549EC" w:rsidP="005549EC">
      <w:pPr>
        <w:pStyle w:val="Equation"/>
        <w:tabs>
          <w:tab w:val="clear" w:pos="4820"/>
          <w:tab w:val="clear" w:pos="9639"/>
          <w:tab w:val="left" w:pos="1191"/>
          <w:tab w:val="left" w:pos="1588"/>
          <w:tab w:val="left" w:pos="1985"/>
        </w:tabs>
        <w:rPr>
          <w:rFonts w:ascii="Palatino Linotype" w:hAnsi="Palatino Linotype"/>
          <w:lang w:val="es-ES_tradnl"/>
        </w:rPr>
        <w:sectPr w:rsidR="005549EC" w:rsidRPr="0026666F">
          <w:headerReference w:type="even" r:id="rId8"/>
          <w:headerReference w:type="default" r:id="rId9"/>
          <w:pgSz w:w="11907" w:h="16840" w:code="9"/>
          <w:pgMar w:top="1089" w:right="1089" w:bottom="284" w:left="1089" w:header="567" w:footer="284" w:gutter="0"/>
          <w:pgNumType w:start="1"/>
          <w:cols w:space="720"/>
        </w:sectPr>
      </w:pPr>
    </w:p>
    <w:p w:rsidR="005549EC" w:rsidRPr="006C718C" w:rsidRDefault="005549EC" w:rsidP="005549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5549EC" w:rsidRPr="006C718C" w:rsidRDefault="005549EC" w:rsidP="005549E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549EC" w:rsidRPr="006C718C" w:rsidRDefault="005549EC" w:rsidP="005549E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549EC" w:rsidRPr="00021E8A" w:rsidRDefault="005549EC" w:rsidP="005549E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549EC" w:rsidRPr="00021E8A" w:rsidRDefault="005549EC" w:rsidP="005549E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549EC" w:rsidRPr="007C36CA" w:rsidRDefault="005549EC" w:rsidP="005549EC">
      <w:pPr>
        <w:spacing w:before="0"/>
        <w:jc w:val="center"/>
        <w:rPr>
          <w:sz w:val="22"/>
          <w:lang w:val="es-ES_tradnl"/>
        </w:rPr>
      </w:pPr>
    </w:p>
    <w:p w:rsidR="005549EC" w:rsidRPr="007C36CA" w:rsidRDefault="005549EC" w:rsidP="005549E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549EC" w:rsidRPr="006E4796" w:rsidTr="00613BA1">
        <w:tc>
          <w:tcPr>
            <w:tcW w:w="9360" w:type="dxa"/>
            <w:gridSpan w:val="2"/>
          </w:tcPr>
          <w:p w:rsidR="005549EC" w:rsidRPr="00021E8A" w:rsidRDefault="005549EC" w:rsidP="00613BA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549EC" w:rsidRPr="00763D08" w:rsidRDefault="005549EC" w:rsidP="00613B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549EC" w:rsidRPr="00036EE3" w:rsidTr="00613BA1">
        <w:tc>
          <w:tcPr>
            <w:tcW w:w="1140" w:type="dxa"/>
            <w:tcBorders>
              <w:bottom w:val="nil"/>
            </w:tcBorders>
          </w:tcPr>
          <w:p w:rsidR="005549EC" w:rsidRPr="00036EE3" w:rsidRDefault="005549EC" w:rsidP="00613BA1">
            <w:pPr>
              <w:spacing w:before="180" w:after="100"/>
              <w:ind w:left="57"/>
              <w:rPr>
                <w:b/>
                <w:bCs/>
                <w:sz w:val="20"/>
                <w:lang w:val="en-US"/>
              </w:rPr>
            </w:pPr>
            <w:r w:rsidRPr="00036EE3">
              <w:rPr>
                <w:b/>
                <w:bCs/>
                <w:sz w:val="20"/>
                <w:lang w:val="en-US"/>
              </w:rPr>
              <w:t>Series</w:t>
            </w:r>
          </w:p>
        </w:tc>
        <w:tc>
          <w:tcPr>
            <w:tcW w:w="8220" w:type="dxa"/>
            <w:tcBorders>
              <w:bottom w:val="nil"/>
            </w:tcBorders>
          </w:tcPr>
          <w:p w:rsidR="005549EC" w:rsidRPr="00036EE3" w:rsidRDefault="005549EC" w:rsidP="00613B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5549EC" w:rsidRPr="004532F7" w:rsidTr="00613BA1">
        <w:tc>
          <w:tcPr>
            <w:tcW w:w="1140" w:type="dxa"/>
            <w:tcBorders>
              <w:top w:val="nil"/>
              <w:bottom w:val="nil"/>
            </w:tcBorders>
            <w:shd w:val="clear" w:color="auto" w:fill="auto"/>
          </w:tcPr>
          <w:p w:rsidR="005549EC" w:rsidRPr="004532F7" w:rsidRDefault="005549EC" w:rsidP="00613BA1">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549EC" w:rsidRPr="004532F7" w:rsidRDefault="005549EC" w:rsidP="00613B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5549EC" w:rsidRPr="006E4796" w:rsidTr="00613BA1">
        <w:tc>
          <w:tcPr>
            <w:tcW w:w="1140" w:type="dxa"/>
            <w:tcBorders>
              <w:top w:val="nil"/>
              <w:bottom w:val="nil"/>
            </w:tcBorders>
            <w:shd w:val="clear" w:color="auto" w:fill="auto"/>
          </w:tcPr>
          <w:p w:rsidR="005549EC" w:rsidRPr="006B22C3" w:rsidRDefault="005549EC" w:rsidP="00613BA1">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549EC" w:rsidRPr="006B22C3" w:rsidRDefault="005549EC" w:rsidP="00613B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549EC" w:rsidRPr="00847DD5" w:rsidTr="00613BA1">
        <w:tc>
          <w:tcPr>
            <w:tcW w:w="1140" w:type="dxa"/>
            <w:tcBorders>
              <w:top w:val="nil"/>
              <w:bottom w:val="nil"/>
            </w:tcBorders>
            <w:shd w:val="clear" w:color="auto" w:fill="auto"/>
          </w:tcPr>
          <w:p w:rsidR="005549EC" w:rsidRPr="00847DD5" w:rsidRDefault="005549EC" w:rsidP="00613BA1">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549EC" w:rsidRPr="00847DD5" w:rsidRDefault="005549EC" w:rsidP="00613B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5549EC" w:rsidRPr="00ED2695" w:rsidTr="00613BA1">
        <w:tc>
          <w:tcPr>
            <w:tcW w:w="1140" w:type="dxa"/>
            <w:tcBorders>
              <w:top w:val="nil"/>
              <w:bottom w:val="nil"/>
            </w:tcBorders>
            <w:shd w:val="clear" w:color="auto" w:fill="auto"/>
          </w:tcPr>
          <w:p w:rsidR="005549EC" w:rsidRPr="00ED2695" w:rsidRDefault="005549EC" w:rsidP="00613BA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549EC" w:rsidRPr="00021E8A" w:rsidRDefault="005549EC" w:rsidP="00613B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5549EC" w:rsidRPr="00847DD5" w:rsidTr="00613BA1">
        <w:tc>
          <w:tcPr>
            <w:tcW w:w="1140" w:type="dxa"/>
            <w:tcBorders>
              <w:top w:val="nil"/>
              <w:bottom w:val="nil"/>
            </w:tcBorders>
            <w:shd w:val="clear" w:color="auto" w:fill="F3F3F3"/>
          </w:tcPr>
          <w:p w:rsidR="005549EC" w:rsidRPr="00847DD5" w:rsidRDefault="005549EC" w:rsidP="00613BA1">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5549EC" w:rsidRPr="00847DD5" w:rsidRDefault="005549EC" w:rsidP="00613B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5549EC" w:rsidRPr="006E4796" w:rsidTr="00613BA1">
        <w:tc>
          <w:tcPr>
            <w:tcW w:w="1140" w:type="dxa"/>
            <w:tcBorders>
              <w:top w:val="nil"/>
              <w:bottom w:val="nil"/>
            </w:tcBorders>
            <w:shd w:val="clear" w:color="auto" w:fill="auto"/>
          </w:tcPr>
          <w:p w:rsidR="005549EC" w:rsidRPr="0010336F" w:rsidRDefault="005549EC" w:rsidP="00613BA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549EC" w:rsidRPr="0010336F" w:rsidRDefault="005549EC" w:rsidP="00613B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549EC" w:rsidRPr="006E4796" w:rsidTr="00613BA1">
        <w:tc>
          <w:tcPr>
            <w:tcW w:w="1140" w:type="dxa"/>
            <w:tcBorders>
              <w:top w:val="nil"/>
            </w:tcBorders>
          </w:tcPr>
          <w:p w:rsidR="005549EC" w:rsidRPr="00036EE3" w:rsidRDefault="005549EC" w:rsidP="00613BA1">
            <w:pPr>
              <w:spacing w:before="30" w:after="30"/>
              <w:ind w:left="57"/>
              <w:jc w:val="left"/>
              <w:rPr>
                <w:b/>
                <w:bCs/>
                <w:sz w:val="20"/>
                <w:lang w:val="fr-CH"/>
              </w:rPr>
            </w:pPr>
            <w:r w:rsidRPr="00036EE3">
              <w:rPr>
                <w:b/>
                <w:bCs/>
                <w:sz w:val="20"/>
                <w:lang w:val="fr-CH"/>
              </w:rPr>
              <w:t>P</w:t>
            </w:r>
          </w:p>
        </w:tc>
        <w:tc>
          <w:tcPr>
            <w:tcW w:w="8220" w:type="dxa"/>
            <w:tcBorders>
              <w:top w:val="nil"/>
            </w:tcBorders>
          </w:tcPr>
          <w:p w:rsidR="005549EC" w:rsidRPr="00021E8A" w:rsidRDefault="005549EC" w:rsidP="00613BA1">
            <w:pPr>
              <w:spacing w:before="30" w:after="30"/>
              <w:jc w:val="left"/>
              <w:rPr>
                <w:bCs/>
                <w:sz w:val="20"/>
                <w:lang w:val="es-ES_tradnl"/>
              </w:rPr>
            </w:pPr>
            <w:r w:rsidRPr="00021E8A">
              <w:rPr>
                <w:bCs/>
                <w:sz w:val="20"/>
                <w:lang w:val="es-ES_tradnl"/>
              </w:rPr>
              <w:t>Propagación de las ondas radioeléctricas</w:t>
            </w:r>
          </w:p>
        </w:tc>
      </w:tr>
      <w:tr w:rsidR="005549EC" w:rsidRPr="00036EE3" w:rsidTr="00613BA1">
        <w:tc>
          <w:tcPr>
            <w:tcW w:w="1140" w:type="dxa"/>
          </w:tcPr>
          <w:p w:rsidR="005549EC" w:rsidRPr="00036EE3" w:rsidRDefault="005549EC" w:rsidP="00613BA1">
            <w:pPr>
              <w:spacing w:before="30" w:after="30"/>
              <w:ind w:left="57"/>
              <w:jc w:val="left"/>
              <w:rPr>
                <w:b/>
                <w:bCs/>
                <w:sz w:val="20"/>
                <w:lang w:val="en-US"/>
              </w:rPr>
            </w:pPr>
            <w:r w:rsidRPr="00036EE3">
              <w:rPr>
                <w:b/>
                <w:bCs/>
                <w:sz w:val="20"/>
                <w:lang w:val="en-US"/>
              </w:rPr>
              <w:t>RA</w:t>
            </w:r>
          </w:p>
        </w:tc>
        <w:tc>
          <w:tcPr>
            <w:tcW w:w="8220" w:type="dxa"/>
          </w:tcPr>
          <w:p w:rsidR="005549EC" w:rsidRPr="00021E8A" w:rsidRDefault="005549EC" w:rsidP="00613B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5549EC" w:rsidRPr="006E4796" w:rsidTr="00613BA1">
        <w:tc>
          <w:tcPr>
            <w:tcW w:w="1140" w:type="dxa"/>
          </w:tcPr>
          <w:p w:rsidR="005549EC" w:rsidRPr="00036EE3" w:rsidRDefault="005549EC" w:rsidP="00613BA1">
            <w:pPr>
              <w:spacing w:before="30" w:after="30"/>
              <w:ind w:left="57"/>
              <w:jc w:val="left"/>
              <w:rPr>
                <w:b/>
                <w:bCs/>
                <w:sz w:val="20"/>
                <w:lang w:val="en-US"/>
              </w:rPr>
            </w:pPr>
            <w:r w:rsidRPr="00036EE3">
              <w:rPr>
                <w:b/>
                <w:bCs/>
                <w:sz w:val="20"/>
                <w:lang w:val="en-US"/>
              </w:rPr>
              <w:t>RS</w:t>
            </w:r>
          </w:p>
        </w:tc>
        <w:tc>
          <w:tcPr>
            <w:tcW w:w="8220" w:type="dxa"/>
          </w:tcPr>
          <w:p w:rsidR="005549EC" w:rsidRPr="00021E8A" w:rsidRDefault="005549EC" w:rsidP="00613B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549EC" w:rsidRPr="00036EE3" w:rsidTr="00613BA1">
        <w:tc>
          <w:tcPr>
            <w:tcW w:w="1140" w:type="dxa"/>
          </w:tcPr>
          <w:p w:rsidR="005549EC" w:rsidRPr="00036EE3" w:rsidRDefault="005549EC" w:rsidP="00613BA1">
            <w:pPr>
              <w:spacing w:before="30" w:after="30"/>
              <w:ind w:left="57"/>
              <w:jc w:val="left"/>
              <w:rPr>
                <w:b/>
                <w:bCs/>
                <w:sz w:val="20"/>
                <w:lang w:val="en-US"/>
              </w:rPr>
            </w:pPr>
            <w:r w:rsidRPr="00036EE3">
              <w:rPr>
                <w:b/>
                <w:bCs/>
                <w:sz w:val="20"/>
                <w:lang w:val="en-US"/>
              </w:rPr>
              <w:t>S</w:t>
            </w:r>
          </w:p>
        </w:tc>
        <w:tc>
          <w:tcPr>
            <w:tcW w:w="8220" w:type="dxa"/>
          </w:tcPr>
          <w:p w:rsidR="005549EC" w:rsidRPr="00021E8A" w:rsidRDefault="005549EC" w:rsidP="00613BA1">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5549EC" w:rsidRPr="00036EE3" w:rsidTr="00613BA1">
        <w:tc>
          <w:tcPr>
            <w:tcW w:w="1140" w:type="dxa"/>
          </w:tcPr>
          <w:p w:rsidR="005549EC" w:rsidRPr="00036EE3" w:rsidRDefault="005549EC" w:rsidP="00613BA1">
            <w:pPr>
              <w:spacing w:before="30" w:after="30"/>
              <w:ind w:left="57"/>
              <w:jc w:val="left"/>
              <w:rPr>
                <w:b/>
                <w:bCs/>
                <w:sz w:val="20"/>
                <w:lang w:val="en-US"/>
              </w:rPr>
            </w:pPr>
            <w:r w:rsidRPr="00036EE3">
              <w:rPr>
                <w:b/>
                <w:bCs/>
                <w:sz w:val="20"/>
                <w:lang w:val="en-US"/>
              </w:rPr>
              <w:t>SA</w:t>
            </w:r>
          </w:p>
        </w:tc>
        <w:tc>
          <w:tcPr>
            <w:tcW w:w="8220" w:type="dxa"/>
          </w:tcPr>
          <w:p w:rsidR="005549EC" w:rsidRPr="00021E8A" w:rsidRDefault="005549EC" w:rsidP="00613BA1">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5549EC" w:rsidRPr="006E4796" w:rsidTr="00613BA1">
        <w:tc>
          <w:tcPr>
            <w:tcW w:w="1140" w:type="dxa"/>
          </w:tcPr>
          <w:p w:rsidR="005549EC" w:rsidRPr="00036EE3" w:rsidRDefault="005549EC" w:rsidP="00613BA1">
            <w:pPr>
              <w:spacing w:before="30" w:after="30"/>
              <w:ind w:left="57"/>
              <w:jc w:val="left"/>
              <w:rPr>
                <w:b/>
                <w:bCs/>
                <w:sz w:val="20"/>
                <w:lang w:val="en-US"/>
              </w:rPr>
            </w:pPr>
            <w:r w:rsidRPr="00036EE3">
              <w:rPr>
                <w:b/>
                <w:bCs/>
                <w:sz w:val="20"/>
                <w:lang w:val="en-US"/>
              </w:rPr>
              <w:t>SF</w:t>
            </w:r>
          </w:p>
        </w:tc>
        <w:tc>
          <w:tcPr>
            <w:tcW w:w="8220" w:type="dxa"/>
          </w:tcPr>
          <w:p w:rsidR="005549EC" w:rsidRPr="00021E8A" w:rsidRDefault="005549EC" w:rsidP="00613BA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549EC" w:rsidRPr="00036EE3" w:rsidTr="00613BA1">
        <w:tc>
          <w:tcPr>
            <w:tcW w:w="1140" w:type="dxa"/>
            <w:shd w:val="clear" w:color="auto" w:fill="auto"/>
          </w:tcPr>
          <w:p w:rsidR="005549EC" w:rsidRPr="001240BC" w:rsidRDefault="005549EC" w:rsidP="00613BA1">
            <w:pPr>
              <w:spacing w:before="30" w:after="30"/>
              <w:ind w:left="57"/>
              <w:jc w:val="left"/>
              <w:rPr>
                <w:b/>
                <w:bCs/>
                <w:sz w:val="20"/>
                <w:lang w:val="en-US"/>
              </w:rPr>
            </w:pPr>
            <w:r w:rsidRPr="001240BC">
              <w:rPr>
                <w:b/>
                <w:bCs/>
                <w:sz w:val="20"/>
                <w:lang w:val="en-US"/>
              </w:rPr>
              <w:t>SM</w:t>
            </w:r>
          </w:p>
        </w:tc>
        <w:tc>
          <w:tcPr>
            <w:tcW w:w="8220" w:type="dxa"/>
            <w:shd w:val="clear" w:color="auto" w:fill="auto"/>
          </w:tcPr>
          <w:p w:rsidR="005549EC" w:rsidRPr="001240BC" w:rsidRDefault="005549EC" w:rsidP="00613BA1">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5549EC" w:rsidRPr="00036EE3" w:rsidTr="00613BA1">
        <w:tc>
          <w:tcPr>
            <w:tcW w:w="1140" w:type="dxa"/>
          </w:tcPr>
          <w:p w:rsidR="005549EC" w:rsidRPr="00036EE3" w:rsidRDefault="005549EC" w:rsidP="00613BA1">
            <w:pPr>
              <w:spacing w:before="30" w:after="30"/>
              <w:ind w:left="57"/>
              <w:jc w:val="left"/>
              <w:rPr>
                <w:b/>
                <w:bCs/>
                <w:sz w:val="20"/>
                <w:lang w:val="en-US"/>
              </w:rPr>
            </w:pPr>
            <w:r w:rsidRPr="00036EE3">
              <w:rPr>
                <w:b/>
                <w:bCs/>
                <w:sz w:val="20"/>
                <w:lang w:val="en-US"/>
              </w:rPr>
              <w:t>SNG</w:t>
            </w:r>
          </w:p>
        </w:tc>
        <w:tc>
          <w:tcPr>
            <w:tcW w:w="8220" w:type="dxa"/>
          </w:tcPr>
          <w:p w:rsidR="005549EC" w:rsidRPr="00021E8A" w:rsidRDefault="005549EC" w:rsidP="00613BA1">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5549EC" w:rsidRPr="006E4796" w:rsidTr="00613BA1">
        <w:tc>
          <w:tcPr>
            <w:tcW w:w="1140" w:type="dxa"/>
          </w:tcPr>
          <w:p w:rsidR="005549EC" w:rsidRPr="00036EE3" w:rsidRDefault="005549EC" w:rsidP="00613BA1">
            <w:pPr>
              <w:spacing w:before="30" w:after="30"/>
              <w:ind w:left="57"/>
              <w:jc w:val="left"/>
              <w:rPr>
                <w:b/>
                <w:bCs/>
                <w:sz w:val="20"/>
                <w:lang w:val="en-US"/>
              </w:rPr>
            </w:pPr>
            <w:r w:rsidRPr="00036EE3">
              <w:rPr>
                <w:b/>
                <w:bCs/>
                <w:sz w:val="20"/>
                <w:lang w:val="en-US"/>
              </w:rPr>
              <w:t>TF</w:t>
            </w:r>
          </w:p>
        </w:tc>
        <w:tc>
          <w:tcPr>
            <w:tcW w:w="8220" w:type="dxa"/>
          </w:tcPr>
          <w:p w:rsidR="005549EC" w:rsidRPr="00021E8A" w:rsidRDefault="005549EC" w:rsidP="00613BA1">
            <w:pPr>
              <w:spacing w:before="30" w:after="30"/>
              <w:jc w:val="left"/>
              <w:rPr>
                <w:bCs/>
                <w:sz w:val="20"/>
                <w:lang w:val="es-ES_tradnl"/>
              </w:rPr>
            </w:pPr>
            <w:r w:rsidRPr="00021E8A">
              <w:rPr>
                <w:bCs/>
                <w:sz w:val="20"/>
                <w:lang w:val="es-ES_tradnl"/>
              </w:rPr>
              <w:t>Emisiones de frecuencias patrón y señales horarias</w:t>
            </w:r>
          </w:p>
        </w:tc>
      </w:tr>
      <w:tr w:rsidR="005549EC" w:rsidRPr="00036EE3" w:rsidTr="00613BA1">
        <w:tc>
          <w:tcPr>
            <w:tcW w:w="1140" w:type="dxa"/>
          </w:tcPr>
          <w:p w:rsidR="005549EC" w:rsidRPr="00036EE3" w:rsidRDefault="005549EC" w:rsidP="00613BA1">
            <w:pPr>
              <w:spacing w:before="30" w:after="30"/>
              <w:ind w:left="57"/>
              <w:jc w:val="left"/>
              <w:rPr>
                <w:b/>
                <w:bCs/>
                <w:sz w:val="20"/>
                <w:lang w:val="en-US"/>
              </w:rPr>
            </w:pPr>
            <w:r w:rsidRPr="00036EE3">
              <w:rPr>
                <w:b/>
                <w:bCs/>
                <w:sz w:val="20"/>
                <w:lang w:val="en-US"/>
              </w:rPr>
              <w:t>V</w:t>
            </w:r>
          </w:p>
        </w:tc>
        <w:tc>
          <w:tcPr>
            <w:tcW w:w="8220" w:type="dxa"/>
          </w:tcPr>
          <w:p w:rsidR="005549EC" w:rsidRPr="00021E8A" w:rsidRDefault="005549EC" w:rsidP="00613BA1">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5549EC" w:rsidRPr="00036EE3" w:rsidRDefault="005549EC" w:rsidP="005549E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549EC" w:rsidTr="00613BA1">
        <w:tc>
          <w:tcPr>
            <w:tcW w:w="720" w:type="dxa"/>
          </w:tcPr>
          <w:p w:rsidR="005549EC" w:rsidRDefault="005549EC" w:rsidP="00613BA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549EC" w:rsidRPr="006E4796" w:rsidTr="00613BA1">
        <w:tc>
          <w:tcPr>
            <w:tcW w:w="9360" w:type="dxa"/>
          </w:tcPr>
          <w:p w:rsidR="005549EC" w:rsidRPr="00763D08" w:rsidRDefault="005549EC" w:rsidP="00613BA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549EC" w:rsidRPr="00763D08" w:rsidRDefault="005549EC" w:rsidP="005549EC">
      <w:pPr>
        <w:spacing w:before="0"/>
        <w:jc w:val="center"/>
        <w:rPr>
          <w:sz w:val="22"/>
          <w:lang w:val="es-ES_tradnl"/>
        </w:rPr>
      </w:pPr>
    </w:p>
    <w:p w:rsidR="005549EC" w:rsidRPr="00763D08" w:rsidRDefault="005549EC" w:rsidP="005549EC">
      <w:pPr>
        <w:spacing w:before="60"/>
        <w:jc w:val="right"/>
        <w:rPr>
          <w:i/>
          <w:iCs/>
          <w:sz w:val="20"/>
          <w:lang w:val="es-ES_tradnl"/>
        </w:rPr>
      </w:pPr>
      <w:r w:rsidRPr="00763D08">
        <w:rPr>
          <w:i/>
          <w:iCs/>
          <w:sz w:val="20"/>
          <w:lang w:val="es-ES_tradnl"/>
        </w:rPr>
        <w:t>Publicación electrónica</w:t>
      </w:r>
    </w:p>
    <w:p w:rsidR="005549EC" w:rsidRPr="00763D08" w:rsidRDefault="005549EC" w:rsidP="005549EC">
      <w:pPr>
        <w:spacing w:before="0" w:after="40"/>
        <w:jc w:val="right"/>
        <w:rPr>
          <w:sz w:val="20"/>
          <w:lang w:val="es-ES_tradnl"/>
        </w:rPr>
      </w:pPr>
      <w:r w:rsidRPr="00763D08">
        <w:rPr>
          <w:sz w:val="20"/>
          <w:lang w:val="es-ES_tradnl"/>
        </w:rPr>
        <w:t>Ginebra, 20</w:t>
      </w:r>
      <w:r>
        <w:rPr>
          <w:sz w:val="20"/>
          <w:lang w:val="es-ES_tradnl"/>
        </w:rPr>
        <w:t>15</w:t>
      </w:r>
    </w:p>
    <w:p w:rsidR="005549EC" w:rsidRPr="00763D08" w:rsidRDefault="005549EC" w:rsidP="005549EC">
      <w:pPr>
        <w:spacing w:before="0"/>
        <w:jc w:val="center"/>
        <w:rPr>
          <w:sz w:val="22"/>
          <w:lang w:val="es-ES_tradnl"/>
        </w:rPr>
      </w:pPr>
    </w:p>
    <w:p w:rsidR="005549EC" w:rsidRPr="00763D08" w:rsidRDefault="005549EC" w:rsidP="005549E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15</w:t>
      </w:r>
    </w:p>
    <w:p w:rsidR="005549EC" w:rsidRPr="006C718C" w:rsidRDefault="005549EC" w:rsidP="005549E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549EC" w:rsidRPr="006C718C" w:rsidRDefault="005549EC" w:rsidP="005549EC">
      <w:pPr>
        <w:spacing w:before="160"/>
        <w:rPr>
          <w:i/>
          <w:sz w:val="20"/>
          <w:highlight w:val="yellow"/>
          <w:lang w:val="es-ES_tradnl"/>
        </w:rPr>
        <w:sectPr w:rsidR="005549EC"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5549EC" w:rsidRPr="0010336F" w:rsidRDefault="005549EC" w:rsidP="005549EC">
      <w:pPr>
        <w:pStyle w:val="RecNo"/>
        <w:spacing w:before="0"/>
        <w:rPr>
          <w:lang w:val="es-ES_tradnl"/>
        </w:rPr>
      </w:pPr>
      <w:bookmarkStart w:id="4" w:name="irecnoe"/>
      <w:bookmarkEnd w:id="4"/>
      <w:r w:rsidRPr="00763D08">
        <w:rPr>
          <w:lang w:val="es-ES_tradnl"/>
        </w:rPr>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105-3</w:t>
      </w:r>
      <w:r w:rsidR="00AC3027" w:rsidRPr="00DA037C">
        <w:rPr>
          <w:rStyle w:val="FootnoteReference"/>
          <w:lang w:val="es-ES_tradnl"/>
        </w:rPr>
        <w:footnoteReference w:customMarkFollows="1" w:id="1"/>
        <w:t>*</w:t>
      </w:r>
    </w:p>
    <w:p w:rsidR="005549EC" w:rsidRPr="00DA037C" w:rsidRDefault="005549EC" w:rsidP="005549EC">
      <w:pPr>
        <w:pStyle w:val="Rectitle"/>
        <w:rPr>
          <w:lang w:val="es-ES_tradnl"/>
        </w:rPr>
      </w:pPr>
      <w:r w:rsidRPr="00DA037C">
        <w:rPr>
          <w:lang w:val="es-ES_tradnl"/>
        </w:rPr>
        <w:t>Equipo transportable de radiocomunicaciones fijas</w:t>
      </w:r>
      <w:r w:rsidRPr="00DA037C">
        <w:rPr>
          <w:lang w:val="es-ES_tradnl"/>
        </w:rPr>
        <w:br/>
        <w:t>para operaciones de socorro</w:t>
      </w:r>
    </w:p>
    <w:p w:rsidR="00F855C4" w:rsidRPr="00C42434" w:rsidRDefault="00F855C4" w:rsidP="00F855C4">
      <w:pPr>
        <w:pStyle w:val="Blanc"/>
        <w:rPr>
          <w:lang w:val="es-ES_tradnl"/>
        </w:rPr>
      </w:pPr>
      <w:bookmarkStart w:id="5" w:name="Related_Questions"/>
    </w:p>
    <w:p w:rsidR="005549EC" w:rsidRPr="00DA037C" w:rsidRDefault="005549EC" w:rsidP="00F855C4">
      <w:pPr>
        <w:pStyle w:val="Recref"/>
        <w:rPr>
          <w:lang w:val="es-ES_tradnl"/>
        </w:rPr>
      </w:pPr>
      <w:r w:rsidRPr="00DA037C">
        <w:rPr>
          <w:lang w:val="es-ES_tradnl"/>
        </w:rPr>
        <w:t xml:space="preserve">(Cuestión UIT-R </w:t>
      </w:r>
      <w:r w:rsidRPr="00DA037C">
        <w:rPr>
          <w:lang w:val="es-ES_tradnl" w:eastAsia="ja-JP"/>
        </w:rPr>
        <w:t>248</w:t>
      </w:r>
      <w:r w:rsidRPr="00DA037C">
        <w:rPr>
          <w:lang w:val="es-ES_tradnl"/>
        </w:rPr>
        <w:t>/</w:t>
      </w:r>
      <w:r w:rsidRPr="00DA037C">
        <w:rPr>
          <w:lang w:val="es-ES_tradnl" w:eastAsia="ja-JP"/>
        </w:rPr>
        <w:t>5</w:t>
      </w:r>
      <w:r w:rsidRPr="00DA037C">
        <w:rPr>
          <w:lang w:val="es-ES_tradnl"/>
        </w:rPr>
        <w:t>)</w:t>
      </w:r>
      <w:bookmarkEnd w:id="5"/>
    </w:p>
    <w:p w:rsidR="005549EC" w:rsidRPr="00C42434" w:rsidRDefault="005549EC" w:rsidP="00D6470F">
      <w:pPr>
        <w:pStyle w:val="Blanc"/>
        <w:rPr>
          <w:lang w:val="es-ES_tradnl"/>
        </w:rPr>
      </w:pPr>
      <w:bookmarkStart w:id="6" w:name="Revision_history"/>
    </w:p>
    <w:p w:rsidR="005549EC" w:rsidRPr="00DA037C" w:rsidRDefault="005549EC" w:rsidP="005549EC">
      <w:pPr>
        <w:pStyle w:val="Recdate"/>
        <w:rPr>
          <w:lang w:val="es-ES_tradnl"/>
        </w:rPr>
      </w:pPr>
      <w:r w:rsidRPr="00DA037C">
        <w:rPr>
          <w:lang w:val="es-ES_tradnl"/>
        </w:rPr>
        <w:t>(1994-2002-2006</w:t>
      </w:r>
      <w:r w:rsidRPr="00DA037C">
        <w:rPr>
          <w:sz w:val="22"/>
          <w:szCs w:val="22"/>
          <w:lang w:val="es-ES_tradnl"/>
        </w:rPr>
        <w:t>-2014</w:t>
      </w:r>
      <w:r w:rsidRPr="00DA037C">
        <w:rPr>
          <w:lang w:val="es-ES_tradnl"/>
        </w:rPr>
        <w:t>)</w:t>
      </w:r>
      <w:bookmarkEnd w:id="6"/>
    </w:p>
    <w:p w:rsidR="00F855C4" w:rsidRPr="00C42434" w:rsidRDefault="00F855C4" w:rsidP="00F855C4">
      <w:pPr>
        <w:pStyle w:val="Blanc"/>
        <w:rPr>
          <w:lang w:val="es-ES_tradnl"/>
        </w:rPr>
      </w:pPr>
    </w:p>
    <w:p w:rsidR="005549EC" w:rsidRPr="00DA037C" w:rsidRDefault="005549EC" w:rsidP="005549EC">
      <w:pPr>
        <w:pStyle w:val="HeadingSum"/>
        <w:rPr>
          <w:szCs w:val="22"/>
        </w:rPr>
      </w:pPr>
      <w:r w:rsidRPr="00DA037C">
        <w:rPr>
          <w:szCs w:val="22"/>
        </w:rPr>
        <w:t>Cometido</w:t>
      </w:r>
    </w:p>
    <w:p w:rsidR="005549EC" w:rsidRPr="00DA037C" w:rsidRDefault="005549EC" w:rsidP="00D6470F">
      <w:pPr>
        <w:pStyle w:val="Summary"/>
      </w:pPr>
      <w:r w:rsidRPr="00DA037C">
        <w:t>Esta Recomendación proporciona las características de los sistemas inalámbricos fijos (FWS) utilizados para disminuir los efectos de las catástrofes y las operaciones de socorro. Se especifican varios tipos de estos sistemas, incluidos los equipos transportables, según su capacidad de canal, bandas de frecuencias de funcionamiento, distancia de transmisión y condiciones del trayecto de propagación.</w:t>
      </w:r>
    </w:p>
    <w:p w:rsidR="005549EC" w:rsidRPr="00DA037C" w:rsidRDefault="005549EC" w:rsidP="00D6470F">
      <w:pPr>
        <w:pStyle w:val="Summary"/>
      </w:pPr>
      <w:r w:rsidRPr="00DA037C">
        <w:t>Las descripciones detalladas de estos sistemas también aparecen en el Anexo 1 como orientación.</w:t>
      </w:r>
    </w:p>
    <w:p w:rsidR="00F855C4" w:rsidRPr="00C42434" w:rsidRDefault="00F855C4" w:rsidP="00F855C4">
      <w:pPr>
        <w:pStyle w:val="Blanc"/>
        <w:rPr>
          <w:lang w:val="es-ES_tradnl"/>
        </w:rPr>
      </w:pPr>
    </w:p>
    <w:p w:rsidR="005549EC" w:rsidRPr="00DA037C" w:rsidRDefault="005549EC" w:rsidP="005549EC">
      <w:pPr>
        <w:pStyle w:val="Headingb"/>
        <w:rPr>
          <w:lang w:val="es-ES_tradnl" w:eastAsia="ja-JP"/>
        </w:rPr>
      </w:pPr>
      <w:r w:rsidRPr="00DA037C">
        <w:rPr>
          <w:lang w:val="es-ES_tradnl" w:eastAsia="ja-JP"/>
        </w:rPr>
        <w:t>Palabras clave</w:t>
      </w:r>
    </w:p>
    <w:p w:rsidR="005549EC" w:rsidRPr="00DA037C" w:rsidRDefault="005549EC" w:rsidP="00D6470F">
      <w:pPr>
        <w:spacing w:after="480"/>
        <w:rPr>
          <w:lang w:val="es-ES_tradnl"/>
        </w:rPr>
      </w:pPr>
      <w:r w:rsidRPr="00DA037C">
        <w:rPr>
          <w:lang w:val="es-ES_tradnl" w:eastAsia="ja-JP"/>
        </w:rPr>
        <w:t>Servicio fijo, servicio móvil terrestre, mitigación de catástrofes, operaciones de socorro, enlace de retroceso, sistema transportable.</w:t>
      </w:r>
    </w:p>
    <w:p w:rsidR="005549EC" w:rsidRPr="00DA037C" w:rsidRDefault="005549EC" w:rsidP="005549EC">
      <w:pPr>
        <w:pStyle w:val="Normalaftertitle"/>
        <w:rPr>
          <w:lang w:val="es-ES_tradnl"/>
        </w:rPr>
      </w:pPr>
      <w:r w:rsidRPr="00DA037C">
        <w:rPr>
          <w:lang w:val="es-ES_tradnl"/>
        </w:rPr>
        <w:t>La Asamblea de Radiocomunicaciones de la UIT,</w:t>
      </w:r>
    </w:p>
    <w:p w:rsidR="005549EC" w:rsidRPr="00DA037C" w:rsidRDefault="005549EC" w:rsidP="005549EC">
      <w:pPr>
        <w:pStyle w:val="Call"/>
        <w:rPr>
          <w:lang w:val="es-ES_tradnl"/>
        </w:rPr>
      </w:pPr>
      <w:r w:rsidRPr="00DA037C">
        <w:rPr>
          <w:lang w:val="es-ES_tradnl"/>
        </w:rPr>
        <w:t>considerando</w:t>
      </w:r>
    </w:p>
    <w:p w:rsidR="005549EC" w:rsidRPr="00DA037C" w:rsidRDefault="005549EC" w:rsidP="005549EC">
      <w:pPr>
        <w:rPr>
          <w:lang w:val="es-ES_tradnl"/>
        </w:rPr>
      </w:pPr>
      <w:r w:rsidRPr="00DA037C">
        <w:rPr>
          <w:i/>
          <w:iCs/>
          <w:lang w:val="es-ES_tradnl"/>
        </w:rPr>
        <w:t>a)</w:t>
      </w:r>
      <w:r w:rsidRPr="00DA037C">
        <w:rPr>
          <w:lang w:val="es-ES_tradnl"/>
        </w:rPr>
        <w:tab/>
        <w:t>que, para disminuir los efectos de las catástrofes y las operaciones de socorro en caso de desastres naturales, epidemias, penuria de alimentos y emergencias similares, es esencial disponer de sistemas de telecomunicaciones rápidamente desplegables;</w:t>
      </w:r>
    </w:p>
    <w:p w:rsidR="005549EC" w:rsidRPr="00DA037C" w:rsidRDefault="005549EC" w:rsidP="005549EC">
      <w:pPr>
        <w:rPr>
          <w:lang w:val="es-ES_tradnl"/>
        </w:rPr>
      </w:pPr>
      <w:r w:rsidRPr="00DA037C">
        <w:rPr>
          <w:i/>
          <w:iCs/>
          <w:lang w:val="es-ES_tradnl"/>
        </w:rPr>
        <w:t>b)</w:t>
      </w:r>
      <w:r w:rsidRPr="00DA037C">
        <w:rPr>
          <w:lang w:val="es-ES_tradnl"/>
        </w:rPr>
        <w:tab/>
        <w:t>que deben tomarse todas las medidas posibles para reducir los efectos de las catástrofes naturales;</w:t>
      </w:r>
    </w:p>
    <w:p w:rsidR="005549EC" w:rsidRPr="00DA037C" w:rsidRDefault="005549EC" w:rsidP="005549EC">
      <w:pPr>
        <w:rPr>
          <w:b/>
          <w:lang w:val="es-ES_tradnl"/>
        </w:rPr>
      </w:pPr>
      <w:r w:rsidRPr="00DA037C">
        <w:rPr>
          <w:i/>
          <w:iCs/>
          <w:lang w:val="es-ES_tradnl"/>
        </w:rPr>
        <w:t>c)</w:t>
      </w:r>
      <w:r w:rsidRPr="00DA037C">
        <w:rPr>
          <w:lang w:val="es-ES_tradnl"/>
        </w:rPr>
        <w:tab/>
        <w:t>que se dispone de sistemas de transmisión de datos a alta velocidad y de información de alta capacidad debido a la popularidad de los sistemas de fibra hasta el hogar (FTTH), línea de abonado digital (DSL), teléfonos móviles, etc., en forma de voz, datos de caracteres, imágenes o mediante una variedad de servicios basados en el protocolo Internet (IP);</w:t>
      </w:r>
    </w:p>
    <w:p w:rsidR="005549EC" w:rsidRPr="00DA037C" w:rsidRDefault="005549EC" w:rsidP="005549EC">
      <w:pPr>
        <w:rPr>
          <w:lang w:val="es-ES_tradnl"/>
        </w:rPr>
      </w:pPr>
      <w:r w:rsidRPr="00DA037C">
        <w:rPr>
          <w:i/>
          <w:iCs/>
          <w:lang w:val="es-ES_tradnl"/>
        </w:rPr>
        <w:t>d)</w:t>
      </w:r>
      <w:r w:rsidRPr="00DA037C">
        <w:rPr>
          <w:lang w:val="es-ES_tradnl"/>
        </w:rPr>
        <w:tab/>
        <w:t>que puede utilizarse equipo inalámbrico fijo transportable para operaciones de socorro mediante enlaces por cable o radioeléctricos, incluidas aplicaciones con varios tramos, utilizando equipo, tanto analógico como digital;</w:t>
      </w:r>
    </w:p>
    <w:p w:rsidR="005549EC" w:rsidRPr="00DA037C" w:rsidRDefault="005549EC" w:rsidP="005549EC">
      <w:pPr>
        <w:rPr>
          <w:lang w:val="es-ES_tradnl"/>
        </w:rPr>
      </w:pPr>
      <w:r w:rsidRPr="00DA037C">
        <w:rPr>
          <w:i/>
          <w:iCs/>
          <w:lang w:val="es-ES_tradnl"/>
        </w:rPr>
        <w:t>e)</w:t>
      </w:r>
      <w:r w:rsidRPr="00DA037C">
        <w:rPr>
          <w:lang w:val="es-ES_tradnl"/>
        </w:rPr>
        <w:tab/>
        <w:t>que los equipos inalámbricos fijos para disminuir los efectos de las catástrofes y las operaciones de socorro pueden emplearse en terrenos y zonas climáticas diferentes condiciones medioambientales incontroladas y/o fuentes de energía inestables;</w:t>
      </w:r>
    </w:p>
    <w:p w:rsidR="005549EC" w:rsidRPr="00DA037C" w:rsidRDefault="005549EC" w:rsidP="005549EC">
      <w:pPr>
        <w:rPr>
          <w:lang w:val="es-ES_tradnl"/>
        </w:rPr>
      </w:pPr>
      <w:r w:rsidRPr="00DA037C">
        <w:rPr>
          <w:i/>
          <w:iCs/>
          <w:lang w:val="es-ES_tradnl"/>
        </w:rPr>
        <w:t>f)</w:t>
      </w:r>
      <w:r w:rsidRPr="00DA037C">
        <w:rPr>
          <w:lang w:val="es-ES_tradnl"/>
        </w:rPr>
        <w:tab/>
        <w:t>que los equipos inalámbricos fijos para disminuir los efectos de las catástrofes y las operaciones de socorro pueden utilizarse en zonas desfavorables en materia de interferencia;</w:t>
      </w:r>
    </w:p>
    <w:p w:rsidR="005549EC" w:rsidRPr="00DA037C" w:rsidRDefault="005549EC" w:rsidP="005549EC">
      <w:pPr>
        <w:rPr>
          <w:lang w:val="es-ES_tradnl"/>
        </w:rPr>
      </w:pPr>
      <w:r w:rsidRPr="00DA037C">
        <w:rPr>
          <w:i/>
          <w:iCs/>
          <w:lang w:val="es-ES_tradnl"/>
        </w:rPr>
        <w:t>g)</w:t>
      </w:r>
      <w:r w:rsidRPr="00DA037C">
        <w:rPr>
          <w:lang w:val="es-ES_tradnl"/>
        </w:rPr>
        <w:tab/>
        <w:t xml:space="preserve">que sería conveniente la interoperabilidad y el </w:t>
      </w:r>
      <w:proofErr w:type="spellStart"/>
      <w:r w:rsidRPr="00DA037C">
        <w:rPr>
          <w:lang w:val="es-ES_tradnl"/>
        </w:rPr>
        <w:t>interfuncionamiento</w:t>
      </w:r>
      <w:proofErr w:type="spellEnd"/>
      <w:r w:rsidRPr="00DA037C">
        <w:rPr>
          <w:lang w:val="es-ES_tradnl"/>
        </w:rPr>
        <w:t xml:space="preserve"> entre los equipos inalámbricos fijos para disminuir los efectos de las catástrofes y las operaciones de socorro y otras redes en situaciones de emergencia como las mencionadas en el </w:t>
      </w:r>
      <w:r w:rsidRPr="00DA037C">
        <w:rPr>
          <w:i/>
          <w:iCs/>
          <w:lang w:val="es-ES_tradnl"/>
        </w:rPr>
        <w:t>considerando</w:t>
      </w:r>
      <w:r w:rsidRPr="00DA037C">
        <w:rPr>
          <w:lang w:val="es-ES_tradnl"/>
        </w:rPr>
        <w:t> </w:t>
      </w:r>
      <w:r w:rsidRPr="00F855C4">
        <w:rPr>
          <w:i/>
          <w:iCs/>
          <w:lang w:val="es-ES_tradnl"/>
        </w:rPr>
        <w:t>a)</w:t>
      </w:r>
      <w:r w:rsidRPr="00DA037C">
        <w:rPr>
          <w:lang w:val="es-ES_tradnl"/>
        </w:rPr>
        <w:t>;</w:t>
      </w:r>
    </w:p>
    <w:p w:rsidR="005549EC" w:rsidRPr="00DA037C" w:rsidRDefault="005549EC" w:rsidP="00AC3027">
      <w:pPr>
        <w:rPr>
          <w:lang w:val="es-ES_tradnl"/>
        </w:rPr>
      </w:pPr>
      <w:r w:rsidRPr="00DA037C">
        <w:rPr>
          <w:i/>
          <w:iCs/>
          <w:lang w:val="es-ES_tradnl" w:eastAsia="ja-JP"/>
        </w:rPr>
        <w:t>h)</w:t>
      </w:r>
      <w:r w:rsidRPr="00DA037C">
        <w:rPr>
          <w:lang w:val="es-ES_tradnl" w:eastAsia="ja-JP"/>
        </w:rPr>
        <w:tab/>
        <w:t xml:space="preserve">que, debido a la capacidad de interoperabilidad y de </w:t>
      </w:r>
      <w:proofErr w:type="spellStart"/>
      <w:r w:rsidRPr="00DA037C">
        <w:rPr>
          <w:lang w:val="es-ES_tradnl" w:eastAsia="ja-JP"/>
        </w:rPr>
        <w:t>interfuncionamiento</w:t>
      </w:r>
      <w:proofErr w:type="spellEnd"/>
      <w:r w:rsidRPr="00DA037C">
        <w:rPr>
          <w:lang w:val="es-ES_tradnl" w:eastAsia="ja-JP"/>
        </w:rPr>
        <w:t xml:space="preserve"> de redes indicadas en el </w:t>
      </w:r>
      <w:r w:rsidRPr="00DA037C">
        <w:rPr>
          <w:i/>
          <w:iCs/>
          <w:lang w:val="es-ES_tradnl" w:eastAsia="ja-JP"/>
        </w:rPr>
        <w:t>considerando</w:t>
      </w:r>
      <w:r w:rsidRPr="00DA037C">
        <w:rPr>
          <w:lang w:val="es-ES_tradnl" w:eastAsia="ja-JP"/>
        </w:rPr>
        <w:t xml:space="preserve"> </w:t>
      </w:r>
      <w:r w:rsidRPr="00F855C4">
        <w:rPr>
          <w:i/>
          <w:iCs/>
          <w:lang w:val="es-ES_tradnl" w:eastAsia="ja-JP"/>
        </w:rPr>
        <w:t>g)</w:t>
      </w:r>
      <w:r w:rsidRPr="00DA037C">
        <w:rPr>
          <w:lang w:val="es-ES_tradnl" w:eastAsia="ja-JP"/>
        </w:rPr>
        <w:t>, resulta más eficiente equipar un vehículo con un enlace de retroceso móvil transportable y una estación de base móvil transportable y desplazarlo a la zona afectada por la catástrofe cuando el enlace de retroceso móvil y la estación de base para el funcionamiento normal han resultado dañados por una catástrofe;</w:t>
      </w:r>
    </w:p>
    <w:p w:rsidR="005549EC" w:rsidRPr="00DA037C" w:rsidRDefault="005549EC" w:rsidP="005549EC">
      <w:pPr>
        <w:rPr>
          <w:lang w:val="es-ES_tradnl"/>
        </w:rPr>
      </w:pPr>
      <w:r w:rsidRPr="00DA037C">
        <w:rPr>
          <w:i/>
          <w:iCs/>
          <w:lang w:val="es-ES_tradnl"/>
        </w:rPr>
        <w:t>i)</w:t>
      </w:r>
      <w:r w:rsidRPr="00DA037C">
        <w:rPr>
          <w:lang w:val="es-ES_tradnl"/>
        </w:rPr>
        <w:tab/>
        <w:t>que es necesaria una utilización eficaz del espectro,</w:t>
      </w:r>
    </w:p>
    <w:p w:rsidR="005549EC" w:rsidRPr="00DA037C" w:rsidRDefault="005549EC" w:rsidP="005549EC">
      <w:pPr>
        <w:pStyle w:val="Call"/>
        <w:rPr>
          <w:lang w:val="es-ES_tradnl"/>
        </w:rPr>
      </w:pPr>
      <w:r w:rsidRPr="00DA037C">
        <w:rPr>
          <w:lang w:val="es-ES_tradnl"/>
        </w:rPr>
        <w:t>reconociendo</w:t>
      </w:r>
    </w:p>
    <w:p w:rsidR="005549EC" w:rsidRPr="00DA037C" w:rsidRDefault="005549EC" w:rsidP="005549EC">
      <w:pPr>
        <w:rPr>
          <w:lang w:val="es-ES_tradnl"/>
        </w:rPr>
      </w:pPr>
      <w:r w:rsidRPr="00DA037C">
        <w:rPr>
          <w:i/>
          <w:iCs/>
          <w:lang w:val="es-ES_tradnl"/>
        </w:rPr>
        <w:t>a)</w:t>
      </w:r>
      <w:r w:rsidRPr="00DA037C">
        <w:rPr>
          <w:lang w:val="es-ES_tradnl"/>
        </w:rPr>
        <w:tab/>
        <w:t>que la Conferencia Mundial de Radiocomunicaciones (CMR</w:t>
      </w:r>
      <w:r w:rsidRPr="00DA037C">
        <w:rPr>
          <w:lang w:val="es-ES_tradnl"/>
        </w:rPr>
        <w:noBreakHyphen/>
        <w:t>12) invitó al UIT</w:t>
      </w:r>
      <w:r w:rsidRPr="00DA037C">
        <w:rPr>
          <w:lang w:val="es-ES_tradnl"/>
        </w:rPr>
        <w:noBreakHyphen/>
        <w:t>R a continuar sus estudios técnicos y formular recomendaciones relativas a la aplicación técnica y operacional, según sea necesario, para determinar soluciones avanzadas que permitan satisfacer las necesidades de aplicaciones de radiocomunicaciones para protección pública y operaciones de socorro y que tengan en cuenta las capacidades, la evolución y cualquier requisito de transición resultante de los sistemas existentes, en particular los de muchos países en desarrollo, para las operaciones nacionales e internacionales (véase la parte pertinente de la Resolución </w:t>
      </w:r>
      <w:r w:rsidRPr="00DA037C">
        <w:rPr>
          <w:b/>
          <w:bCs/>
          <w:lang w:val="es-ES_tradnl"/>
        </w:rPr>
        <w:t>646 (Rev.CMR</w:t>
      </w:r>
      <w:r w:rsidRPr="00DA037C">
        <w:rPr>
          <w:b/>
          <w:bCs/>
          <w:lang w:val="es-ES_tradnl"/>
        </w:rPr>
        <w:noBreakHyphen/>
        <w:t>12)</w:t>
      </w:r>
      <w:r w:rsidRPr="00724193">
        <w:rPr>
          <w:lang w:val="es-ES_tradnl"/>
        </w:rPr>
        <w:t>)</w:t>
      </w:r>
      <w:r w:rsidRPr="00DA037C">
        <w:rPr>
          <w:lang w:val="es-ES_tradnl"/>
        </w:rPr>
        <w:t>;</w:t>
      </w:r>
    </w:p>
    <w:p w:rsidR="005549EC" w:rsidRPr="00DA037C" w:rsidRDefault="005549EC" w:rsidP="005549EC">
      <w:pPr>
        <w:rPr>
          <w:lang w:val="es-ES_tradnl" w:eastAsia="ja-JP"/>
        </w:rPr>
      </w:pPr>
      <w:r w:rsidRPr="00DA037C">
        <w:rPr>
          <w:i/>
          <w:iCs/>
          <w:lang w:val="es-ES_tradnl" w:eastAsia="ja-JP"/>
        </w:rPr>
        <w:t>b)</w:t>
      </w:r>
      <w:r w:rsidRPr="00DA037C">
        <w:rPr>
          <w:lang w:val="es-ES_tradnl" w:eastAsia="ja-JP"/>
        </w:rPr>
        <w:tab/>
        <w:t xml:space="preserve">que en la Resolución UIT-R 53-1 se solicita a </w:t>
      </w:r>
      <w:r w:rsidRPr="00DA037C">
        <w:rPr>
          <w:lang w:val="es-ES_tradnl"/>
        </w:rPr>
        <w:t>las Comisiones de Estudio del UIT</w:t>
      </w:r>
      <w:r w:rsidRPr="00DA037C">
        <w:rPr>
          <w:lang w:val="es-ES_tradnl"/>
        </w:rPr>
        <w:noBreakHyphen/>
        <w:t>R competentes que emprendan estudios y elaboren directrices en relación con la gestión de las radiocomunicaciones para la predicción, detección, reducción de los efectos y operaciones de socorro en casos de catástrofe, en cooperación con el resto de la UIT y con organizaciones ajenas a la Unión</w:t>
      </w:r>
      <w:r w:rsidRPr="00DA037C">
        <w:rPr>
          <w:lang w:val="es-ES_tradnl" w:eastAsia="ja-JP"/>
        </w:rPr>
        <w:t>;</w:t>
      </w:r>
    </w:p>
    <w:p w:rsidR="005549EC" w:rsidRPr="00DA037C" w:rsidRDefault="005549EC" w:rsidP="005549EC">
      <w:pPr>
        <w:rPr>
          <w:lang w:val="es-ES_tradnl" w:eastAsia="ja-JP"/>
        </w:rPr>
      </w:pPr>
      <w:r w:rsidRPr="00DA037C">
        <w:rPr>
          <w:i/>
          <w:iCs/>
          <w:lang w:val="es-ES_tradnl" w:eastAsia="ja-JP"/>
        </w:rPr>
        <w:t>c)</w:t>
      </w:r>
      <w:r w:rsidRPr="00DA037C">
        <w:rPr>
          <w:lang w:val="es-ES_tradnl" w:eastAsia="ja-JP"/>
        </w:rPr>
        <w:tab/>
        <w:t xml:space="preserve">que en la Resolución UIT-R 55-1 se solicita a </w:t>
      </w:r>
      <w:r w:rsidRPr="00DA037C">
        <w:rPr>
          <w:lang w:val="es-ES_tradnl"/>
        </w:rPr>
        <w:t>las Comisiones de Estudio del UIT</w:t>
      </w:r>
      <w:r w:rsidRPr="00DA037C">
        <w:rPr>
          <w:lang w:val="es-ES_tradnl"/>
        </w:rPr>
        <w:noBreakHyphen/>
        <w:t>R que tomen en consideración el alcance de los estudios y actividades en curso que se resumen en el Anexo 1</w:t>
      </w:r>
      <w:r w:rsidRPr="00DA037C">
        <w:rPr>
          <w:lang w:val="es-ES_tradnl" w:eastAsia="ja-JP"/>
        </w:rPr>
        <w:t>,</w:t>
      </w:r>
    </w:p>
    <w:p w:rsidR="005549EC" w:rsidRPr="00DA037C" w:rsidRDefault="005549EC" w:rsidP="005549EC">
      <w:pPr>
        <w:pStyle w:val="Call"/>
        <w:rPr>
          <w:lang w:val="es-ES_tradnl" w:eastAsia="ja-JP"/>
        </w:rPr>
      </w:pPr>
      <w:r w:rsidRPr="00DA037C">
        <w:rPr>
          <w:lang w:val="es-ES_tradnl" w:eastAsia="ja-JP"/>
        </w:rPr>
        <w:t>observando</w:t>
      </w:r>
    </w:p>
    <w:p w:rsidR="005549EC" w:rsidRPr="00DA037C" w:rsidRDefault="005549EC" w:rsidP="00724193">
      <w:pPr>
        <w:rPr>
          <w:lang w:val="es-ES_tradnl"/>
        </w:rPr>
      </w:pPr>
      <w:r w:rsidRPr="00DA037C">
        <w:rPr>
          <w:lang w:val="es-ES_tradnl" w:eastAsia="ja-JP"/>
        </w:rPr>
        <w:t>que en los Informes UIT-R</w:t>
      </w:r>
      <w:r w:rsidR="00724193">
        <w:rPr>
          <w:lang w:val="es-ES_tradnl" w:eastAsia="ja-JP"/>
        </w:rPr>
        <w:t> </w:t>
      </w:r>
      <w:r w:rsidRPr="00DA037C">
        <w:rPr>
          <w:lang w:val="es-ES_tradnl" w:eastAsia="ja-JP"/>
        </w:rPr>
        <w:t>F.2061 y UIT-R</w:t>
      </w:r>
      <w:r w:rsidR="00724193">
        <w:rPr>
          <w:lang w:val="es-ES_tradnl" w:eastAsia="ja-JP"/>
        </w:rPr>
        <w:t> </w:t>
      </w:r>
      <w:r w:rsidRPr="00DA037C">
        <w:rPr>
          <w:lang w:val="es-ES_tradnl" w:eastAsia="ja-JP"/>
        </w:rPr>
        <w:t xml:space="preserve">F.2087 se trata del papel de los sistemas de radiocomunicaciones en ondas </w:t>
      </w:r>
      <w:proofErr w:type="spellStart"/>
      <w:r w:rsidRPr="00DA037C">
        <w:rPr>
          <w:lang w:val="es-ES_tradnl" w:eastAsia="ja-JP"/>
        </w:rPr>
        <w:t>decamétricas</w:t>
      </w:r>
      <w:proofErr w:type="spellEnd"/>
      <w:r w:rsidRPr="00DA037C">
        <w:rPr>
          <w:lang w:val="es-ES_tradnl" w:eastAsia="ja-JP"/>
        </w:rPr>
        <w:t xml:space="preserve"> para las operaciones de protección civil y ayuda en caso de catástrofe (PPDR),</w:t>
      </w:r>
    </w:p>
    <w:p w:rsidR="005549EC" w:rsidRPr="00DA037C" w:rsidRDefault="005549EC" w:rsidP="005549EC">
      <w:pPr>
        <w:pStyle w:val="Call"/>
        <w:rPr>
          <w:lang w:val="es-ES_tradnl"/>
        </w:rPr>
      </w:pPr>
      <w:r w:rsidRPr="00DA037C">
        <w:rPr>
          <w:lang w:val="es-ES_tradnl"/>
        </w:rPr>
        <w:t>recomienda</w:t>
      </w:r>
    </w:p>
    <w:p w:rsidR="005549EC" w:rsidRPr="00DA037C" w:rsidRDefault="005549EC" w:rsidP="005549EC">
      <w:pPr>
        <w:rPr>
          <w:lang w:val="es-ES_tradnl"/>
        </w:rPr>
      </w:pPr>
      <w:r w:rsidRPr="00DA037C">
        <w:rPr>
          <w:b/>
          <w:lang w:val="es-ES_tradnl"/>
        </w:rPr>
        <w:t>1</w:t>
      </w:r>
      <w:r w:rsidRPr="00DA037C">
        <w:rPr>
          <w:lang w:val="es-ES_tradnl"/>
        </w:rPr>
        <w:tab/>
        <w:t>que, para disminuir los efectos de las catástrofes y llevar a cabo las operaciones de socorro en zonas devastadas o para el restablecimiento de enlaces de transmisión, se consideren los siguientes tipos de sistemas inalámbricos fijos</w:t>
      </w:r>
      <w:r w:rsidRPr="00DA037C">
        <w:rPr>
          <w:lang w:val="es-ES_tradnl" w:eastAsia="ja-JP"/>
        </w:rPr>
        <w:t xml:space="preserve"> (FWS)</w:t>
      </w:r>
      <w:r w:rsidRPr="00DA037C">
        <w:rPr>
          <w:lang w:val="es-ES_tradnl"/>
        </w:rPr>
        <w:t xml:space="preserve"> indicados en el Cuadro 1;</w:t>
      </w:r>
    </w:p>
    <w:p w:rsidR="005549EC" w:rsidRPr="00DA037C" w:rsidRDefault="005549EC" w:rsidP="006E4796">
      <w:pPr>
        <w:pStyle w:val="TableNo"/>
        <w:rPr>
          <w:lang w:val="es-ES_tradnl"/>
        </w:rPr>
      </w:pPr>
      <w:r w:rsidRPr="00DA037C">
        <w:rPr>
          <w:lang w:val="es-ES_tradnl"/>
        </w:rPr>
        <w:t>CUADRO 1</w:t>
      </w:r>
    </w:p>
    <w:p w:rsidR="005549EC" w:rsidRPr="00DA037C" w:rsidRDefault="005549EC" w:rsidP="005549EC">
      <w:pPr>
        <w:pStyle w:val="Tabletitle"/>
        <w:rPr>
          <w:lang w:val="es-ES_tradnl"/>
        </w:rPr>
      </w:pPr>
      <w:r w:rsidRPr="00DA037C">
        <w:rPr>
          <w:lang w:val="es-ES_tradnl"/>
        </w:rPr>
        <w:t xml:space="preserve">Tipos de sistemas inalámbricos fijos para disminuir los efectos </w:t>
      </w:r>
      <w:r>
        <w:rPr>
          <w:lang w:val="es-ES_tradnl"/>
        </w:rPr>
        <w:br/>
      </w:r>
      <w:r w:rsidRPr="00DA037C">
        <w:rPr>
          <w:lang w:val="es-ES_tradnl"/>
        </w:rPr>
        <w:t>de las catástrofes y las operaciones de socorro</w:t>
      </w:r>
    </w:p>
    <w:tbl>
      <w:tblPr>
        <w:tblW w:w="0" w:type="auto"/>
        <w:jc w:val="center"/>
        <w:tblLayout w:type="fixed"/>
        <w:tblLook w:val="0000" w:firstRow="0" w:lastRow="0" w:firstColumn="0" w:lastColumn="0" w:noHBand="0" w:noVBand="0"/>
      </w:tblPr>
      <w:tblGrid>
        <w:gridCol w:w="1134"/>
        <w:gridCol w:w="7087"/>
        <w:gridCol w:w="1418"/>
      </w:tblGrid>
      <w:tr w:rsidR="005A7396" w:rsidRPr="00DA037C" w:rsidTr="006C70F7">
        <w:trPr>
          <w:cantSplit/>
          <w:tblHeader/>
          <w:jc w:val="center"/>
        </w:trPr>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head"/>
              <w:rPr>
                <w:lang w:val="es-ES_tradnl"/>
              </w:rPr>
            </w:pPr>
            <w:r w:rsidRPr="00DA037C">
              <w:rPr>
                <w:lang w:val="es-ES_tradnl"/>
              </w:rPr>
              <w:t>Tipo</w:t>
            </w:r>
          </w:p>
        </w:tc>
        <w:tc>
          <w:tcPr>
            <w:tcW w:w="708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head"/>
              <w:rPr>
                <w:lang w:val="es-ES_tradnl"/>
              </w:rPr>
            </w:pPr>
            <w:r w:rsidRPr="00DA037C">
              <w:rPr>
                <w:lang w:val="es-ES_tradnl"/>
              </w:rPr>
              <w:t>Característica</w:t>
            </w:r>
          </w:p>
        </w:tc>
        <w:tc>
          <w:tcPr>
            <w:tcW w:w="141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head"/>
              <w:rPr>
                <w:lang w:val="es-ES_tradnl"/>
              </w:rPr>
            </w:pPr>
            <w:r w:rsidRPr="00DA037C">
              <w:rPr>
                <w:lang w:val="es-ES_tradnl"/>
              </w:rPr>
              <w:t>Aplicación</w:t>
            </w:r>
          </w:p>
        </w:tc>
      </w:tr>
      <w:tr w:rsidR="006C70F7" w:rsidRPr="00DA037C" w:rsidTr="006C70F7">
        <w:trPr>
          <w:cantSplit/>
          <w:jc w:val="center"/>
        </w:trPr>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center"/>
              <w:rPr>
                <w:lang w:val="es-ES_tradnl"/>
              </w:rPr>
            </w:pPr>
            <w:r w:rsidRPr="00DA037C">
              <w:rPr>
                <w:lang w:val="es-ES_tradnl"/>
              </w:rPr>
              <w:t>A</w:t>
            </w:r>
          </w:p>
        </w:tc>
        <w:tc>
          <w:tcPr>
            <w:tcW w:w="708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left"/>
              <w:rPr>
                <w:lang w:val="es-ES_tradnl"/>
              </w:rPr>
            </w:pPr>
            <w:r w:rsidRPr="00DA037C">
              <w:rPr>
                <w:lang w:val="es-ES_tradnl"/>
              </w:rPr>
              <w:t>Un enlace inalámbrico sencillo que pueda establecerse rápidamente para facilitar comunicaciones telefónicas con un centro de socorro gubernamental o internacional</w:t>
            </w:r>
          </w:p>
        </w:tc>
        <w:tc>
          <w:tcPr>
            <w:tcW w:w="141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center"/>
              <w:rPr>
                <w:lang w:val="es-ES_tradnl"/>
              </w:rPr>
            </w:pPr>
            <w:r w:rsidRPr="00DA037C">
              <w:rPr>
                <w:lang w:val="es-ES_tradnl"/>
              </w:rPr>
              <w:t>(1)</w:t>
            </w:r>
            <w:r w:rsidRPr="00DA037C">
              <w:rPr>
                <w:lang w:val="es-ES_tradnl"/>
              </w:rPr>
              <w:br/>
              <w:t>(2)</w:t>
            </w:r>
          </w:p>
        </w:tc>
      </w:tr>
      <w:tr w:rsidR="006C70F7" w:rsidRPr="00DA037C" w:rsidTr="006C70F7">
        <w:trPr>
          <w:cantSplit/>
          <w:jc w:val="center"/>
        </w:trPr>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center"/>
              <w:rPr>
                <w:lang w:val="es-ES_tradnl"/>
              </w:rPr>
            </w:pPr>
            <w:r w:rsidRPr="00DA037C">
              <w:rPr>
                <w:lang w:val="es-ES_tradnl"/>
              </w:rPr>
              <w:t>B</w:t>
            </w:r>
          </w:p>
        </w:tc>
        <w:tc>
          <w:tcPr>
            <w:tcW w:w="708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left"/>
              <w:rPr>
                <w:lang w:val="es-ES_tradnl"/>
              </w:rPr>
            </w:pPr>
            <w:r w:rsidRPr="00DA037C">
              <w:rPr>
                <w:lang w:val="es-ES_tradnl"/>
              </w:rPr>
              <w:t xml:space="preserve">Una o más redes locales que conecten un centro de comunicaciones y hasta unas 10 </w:t>
            </w:r>
            <w:proofErr w:type="spellStart"/>
            <w:r w:rsidRPr="00DA037C">
              <w:rPr>
                <w:lang w:val="es-ES_tradnl"/>
              </w:rPr>
              <w:t>ó</w:t>
            </w:r>
            <w:proofErr w:type="spellEnd"/>
            <w:r w:rsidRPr="00DA037C">
              <w:rPr>
                <w:lang w:val="es-ES_tradnl"/>
              </w:rPr>
              <w:t xml:space="preserve"> 20 estaciones de usuario final con enlaces telefónicos</w:t>
            </w:r>
          </w:p>
        </w:tc>
        <w:tc>
          <w:tcPr>
            <w:tcW w:w="141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center"/>
              <w:rPr>
                <w:lang w:val="es-ES_tradnl"/>
              </w:rPr>
            </w:pPr>
            <w:r w:rsidRPr="00DA037C">
              <w:rPr>
                <w:lang w:val="es-ES_tradnl"/>
              </w:rPr>
              <w:t>(1)</w:t>
            </w:r>
          </w:p>
        </w:tc>
      </w:tr>
      <w:tr w:rsidR="006C70F7" w:rsidRPr="00DA037C" w:rsidTr="006C70F7">
        <w:trPr>
          <w:cantSplit/>
          <w:jc w:val="center"/>
        </w:trPr>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center"/>
              <w:rPr>
                <w:lang w:val="es-ES_tradnl"/>
              </w:rPr>
            </w:pPr>
            <w:r w:rsidRPr="00DA037C">
              <w:rPr>
                <w:lang w:val="es-ES_tradnl"/>
              </w:rPr>
              <w:t>C</w:t>
            </w:r>
          </w:p>
        </w:tc>
        <w:tc>
          <w:tcPr>
            <w:tcW w:w="708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left"/>
              <w:rPr>
                <w:lang w:val="es-ES_tradnl"/>
              </w:rPr>
            </w:pPr>
            <w:r w:rsidRPr="00DA037C">
              <w:rPr>
                <w:lang w:val="es-ES_tradnl"/>
              </w:rPr>
              <w:t xml:space="preserve">Un enlace telefónico para unos 6 a 120 canales o un enlace de datos hasta 6,3/8 </w:t>
            </w:r>
            <w:proofErr w:type="spellStart"/>
            <w:r w:rsidRPr="00DA037C">
              <w:rPr>
                <w:lang w:val="es-ES_tradnl"/>
              </w:rPr>
              <w:t>Mbits</w:t>
            </w:r>
            <w:proofErr w:type="spellEnd"/>
            <w:r w:rsidRPr="00DA037C">
              <w:rPr>
                <w:lang w:val="es-ES_tradnl"/>
              </w:rPr>
              <w:t>/s con trayecto de visibilidad directa o casi directa</w:t>
            </w:r>
          </w:p>
        </w:tc>
        <w:tc>
          <w:tcPr>
            <w:tcW w:w="141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F855C4">
            <w:pPr>
              <w:pStyle w:val="Tabletext"/>
              <w:keepNext/>
              <w:keepLines/>
              <w:spacing w:before="60" w:after="60"/>
              <w:jc w:val="center"/>
              <w:rPr>
                <w:lang w:val="es-ES_tradnl"/>
              </w:rPr>
            </w:pPr>
            <w:r w:rsidRPr="00DA037C">
              <w:rPr>
                <w:lang w:val="es-ES_tradnl"/>
              </w:rPr>
              <w:t>(1)</w:t>
            </w:r>
            <w:r w:rsidRPr="00DA037C">
              <w:rPr>
                <w:lang w:val="es-ES_tradnl"/>
              </w:rPr>
              <w:br/>
              <w:t>(2)</w:t>
            </w:r>
          </w:p>
        </w:tc>
      </w:tr>
      <w:tr w:rsidR="005A7396" w:rsidRPr="00DA037C" w:rsidTr="006C70F7">
        <w:trPr>
          <w:cantSplit/>
          <w:jc w:val="center"/>
        </w:trPr>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D</w:t>
            </w:r>
          </w:p>
        </w:tc>
        <w:tc>
          <w:tcPr>
            <w:tcW w:w="708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left"/>
              <w:rPr>
                <w:lang w:val="es-ES_tradnl"/>
              </w:rPr>
            </w:pPr>
            <w:r w:rsidRPr="00DA037C">
              <w:rPr>
                <w:lang w:val="es-ES_tradnl"/>
              </w:rPr>
              <w:t xml:space="preserve">Un enlace telefónico entre 12 y 480 canales o un enlace de datos de hasta </w:t>
            </w:r>
            <w:r w:rsidRPr="00DA037C">
              <w:rPr>
                <w:szCs w:val="22"/>
                <w:lang w:val="es-ES_tradnl" w:eastAsia="ja-JP"/>
              </w:rPr>
              <w:t xml:space="preserve">34/45 Mbit/s </w:t>
            </w:r>
            <w:r w:rsidRPr="00DA037C">
              <w:rPr>
                <w:lang w:val="es-ES_tradnl"/>
              </w:rPr>
              <w:t xml:space="preserve">por un trayecto de visibilidad directa, obstáculo o </w:t>
            </w:r>
            <w:proofErr w:type="spellStart"/>
            <w:r w:rsidRPr="00DA037C">
              <w:rPr>
                <w:lang w:val="es-ES_tradnl"/>
              </w:rPr>
              <w:t>transhorizonte</w:t>
            </w:r>
            <w:proofErr w:type="spellEnd"/>
          </w:p>
        </w:tc>
        <w:tc>
          <w:tcPr>
            <w:tcW w:w="141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(2)</w:t>
            </w:r>
          </w:p>
        </w:tc>
      </w:tr>
      <w:tr w:rsidR="005A7396" w:rsidRPr="00DA037C" w:rsidTr="006C70F7">
        <w:trPr>
          <w:cantSplit/>
          <w:jc w:val="center"/>
        </w:trPr>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E</w:t>
            </w:r>
          </w:p>
        </w:tc>
        <w:tc>
          <w:tcPr>
            <w:tcW w:w="708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left"/>
              <w:rPr>
                <w:lang w:val="es-ES_tradnl"/>
              </w:rPr>
            </w:pPr>
            <w:r w:rsidRPr="00DA037C">
              <w:rPr>
                <w:lang w:val="es-ES_tradnl"/>
              </w:rPr>
              <w:t>Un enlace telefónico de alta capacidad (más de 480 canales) o un enlace de alta velocidad</w:t>
            </w:r>
            <w:r>
              <w:rPr>
                <w:lang w:val="es-ES_tradnl"/>
              </w:rPr>
              <w:t xml:space="preserve"> de datos</w:t>
            </w:r>
            <w:r w:rsidRPr="00DA037C">
              <w:rPr>
                <w:lang w:val="es-ES_tradnl"/>
              </w:rPr>
              <w:t xml:space="preserve"> hasta </w:t>
            </w:r>
            <w:r w:rsidRPr="00DA037C">
              <w:rPr>
                <w:rFonts w:ascii="Times" w:hAnsi="Times"/>
                <w:szCs w:val="22"/>
                <w:lang w:val="es-ES_tradnl" w:eastAsia="ja-JP"/>
              </w:rPr>
              <w:t>STM-1</w:t>
            </w:r>
          </w:p>
        </w:tc>
        <w:tc>
          <w:tcPr>
            <w:tcW w:w="141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(2)</w:t>
            </w:r>
          </w:p>
        </w:tc>
      </w:tr>
      <w:tr w:rsidR="006C70F7" w:rsidRPr="006C70F7" w:rsidTr="006C70F7">
        <w:trPr>
          <w:cantSplit/>
          <w:jc w:val="center"/>
        </w:trPr>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6C70F7" w:rsidRPr="00DA037C" w:rsidRDefault="006C70F7" w:rsidP="00613BA1">
            <w:pPr>
              <w:pStyle w:val="Tabletext"/>
              <w:spacing w:before="60" w:after="60"/>
              <w:jc w:val="center"/>
              <w:rPr>
                <w:lang w:val="es-ES_tradnl"/>
              </w:rPr>
            </w:pPr>
            <w:r w:rsidRPr="00DA037C">
              <w:rPr>
                <w:lang w:val="es-ES_tradnl"/>
              </w:rPr>
              <w:t>F</w:t>
            </w:r>
          </w:p>
        </w:tc>
        <w:tc>
          <w:tcPr>
            <w:tcW w:w="7087" w:type="dxa"/>
            <w:tcBorders>
              <w:top w:val="single" w:sz="6" w:space="0" w:color="auto"/>
              <w:left w:val="single" w:sz="6" w:space="0" w:color="auto"/>
              <w:bottom w:val="single" w:sz="6" w:space="0" w:color="auto"/>
              <w:right w:val="single" w:sz="6" w:space="0" w:color="auto"/>
            </w:tcBorders>
            <w:tcMar>
              <w:left w:w="108" w:type="dxa"/>
              <w:right w:w="108" w:type="dxa"/>
            </w:tcMar>
          </w:tcPr>
          <w:p w:rsidR="006C70F7" w:rsidRPr="00DA037C" w:rsidRDefault="006C70F7" w:rsidP="00613BA1">
            <w:pPr>
              <w:pStyle w:val="Tabletext"/>
              <w:spacing w:before="60" w:after="60"/>
              <w:jc w:val="left"/>
              <w:rPr>
                <w:lang w:val="es-ES_tradnl"/>
              </w:rPr>
            </w:pPr>
            <w:r w:rsidRPr="00DA037C">
              <w:rPr>
                <w:lang w:val="es-ES_tradnl" w:eastAsia="ja-JP"/>
              </w:rPr>
              <w:t>Radiocomunicaciones individuales o en grupo simultáneas que utilizan radiocomunicaciones individuales punto a multipunto entre una estación central y un cierto número de terminales en una región</w:t>
            </w:r>
          </w:p>
        </w:tc>
        <w:tc>
          <w:tcPr>
            <w:tcW w:w="1417" w:type="dxa"/>
            <w:tcBorders>
              <w:top w:val="single" w:sz="6" w:space="0" w:color="auto"/>
              <w:left w:val="single" w:sz="6" w:space="0" w:color="auto"/>
              <w:bottom w:val="single" w:sz="6" w:space="0" w:color="auto"/>
              <w:right w:val="single" w:sz="6" w:space="0" w:color="auto"/>
            </w:tcBorders>
            <w:tcMar>
              <w:left w:w="108" w:type="dxa"/>
              <w:right w:w="108" w:type="dxa"/>
            </w:tcMar>
          </w:tcPr>
          <w:p w:rsidR="006C70F7" w:rsidRPr="00DA037C" w:rsidRDefault="006C70F7" w:rsidP="00613BA1">
            <w:pPr>
              <w:pStyle w:val="Tabletext"/>
              <w:spacing w:before="60" w:after="60"/>
              <w:jc w:val="center"/>
              <w:rPr>
                <w:lang w:val="es-ES_tradnl"/>
              </w:rPr>
            </w:pPr>
            <w:r w:rsidRPr="00DA037C">
              <w:rPr>
                <w:lang w:val="es-ES_tradnl"/>
              </w:rPr>
              <w:t>(1)</w:t>
            </w:r>
            <w:r>
              <w:rPr>
                <w:lang w:val="es-ES_tradnl"/>
              </w:rPr>
              <w:t xml:space="preserve">, </w:t>
            </w:r>
            <w:r w:rsidRPr="00DA037C">
              <w:rPr>
                <w:lang w:val="es-ES_tradnl"/>
              </w:rPr>
              <w:t>(</w:t>
            </w:r>
            <w:r>
              <w:rPr>
                <w:lang w:val="es-ES_tradnl"/>
              </w:rPr>
              <w:t>3</w:t>
            </w:r>
            <w:r w:rsidRPr="00DA037C">
              <w:rPr>
                <w:lang w:val="es-ES_tradnl"/>
              </w:rPr>
              <w:t>)</w:t>
            </w:r>
          </w:p>
        </w:tc>
      </w:tr>
      <w:tr w:rsidR="005549EC" w:rsidRPr="006E4796" w:rsidTr="00F855C4">
        <w:trPr>
          <w:cantSplit/>
          <w:jc w:val="center"/>
        </w:trPr>
        <w:tc>
          <w:tcPr>
            <w:tcW w:w="9639" w:type="dxa"/>
            <w:gridSpan w:val="3"/>
            <w:tcBorders>
              <w:top w:val="single" w:sz="6" w:space="0" w:color="auto"/>
            </w:tcBorders>
            <w:tcMar>
              <w:left w:w="108" w:type="dxa"/>
              <w:right w:w="108" w:type="dxa"/>
            </w:tcMar>
          </w:tcPr>
          <w:p w:rsidR="005549EC" w:rsidRPr="00DA037C" w:rsidRDefault="005549EC" w:rsidP="00613BA1">
            <w:pPr>
              <w:pStyle w:val="Tablelegend"/>
              <w:rPr>
                <w:lang w:val="es-ES_tradnl"/>
              </w:rPr>
            </w:pPr>
            <w:r w:rsidRPr="00DA037C">
              <w:rPr>
                <w:lang w:val="es-ES_tradnl"/>
              </w:rPr>
              <w:t>Tipos A</w:t>
            </w:r>
            <w:r>
              <w:rPr>
                <w:lang w:val="es-ES_tradnl"/>
              </w:rPr>
              <w:t xml:space="preserve"> </w:t>
            </w:r>
            <w:proofErr w:type="spellStart"/>
            <w:r>
              <w:rPr>
                <w:lang w:val="es-ES_tradnl"/>
              </w:rPr>
              <w:t>a</w:t>
            </w:r>
            <w:proofErr w:type="spellEnd"/>
            <w:r w:rsidRPr="00DA037C">
              <w:rPr>
                <w:lang w:val="es-ES_tradnl"/>
              </w:rPr>
              <w:t xml:space="preserve"> E:</w:t>
            </w:r>
            <w:r w:rsidRPr="00DA037C">
              <w:rPr>
                <w:lang w:val="es-ES_tradnl"/>
              </w:rPr>
              <w:tab/>
            </w:r>
            <w:r w:rsidRPr="00DA037C">
              <w:rPr>
                <w:lang w:val="es-ES_tradnl"/>
              </w:rPr>
              <w:tab/>
              <w:t>Sistema transportable.</w:t>
            </w:r>
          </w:p>
          <w:p w:rsidR="005549EC" w:rsidRPr="00DA037C" w:rsidRDefault="005549EC" w:rsidP="00613BA1">
            <w:pPr>
              <w:pStyle w:val="Tablelegend"/>
              <w:rPr>
                <w:lang w:val="es-ES_tradnl"/>
              </w:rPr>
            </w:pPr>
            <w:r w:rsidRPr="00DA037C">
              <w:rPr>
                <w:lang w:val="es-ES_tradnl"/>
              </w:rPr>
              <w:t>Aplicación (1):</w:t>
            </w:r>
            <w:r w:rsidRPr="00DA037C">
              <w:rPr>
                <w:lang w:val="es-ES_tradnl"/>
              </w:rPr>
              <w:tab/>
              <w:t>Para zonas devastadas.</w:t>
            </w:r>
          </w:p>
          <w:p w:rsidR="005549EC" w:rsidRPr="00DA037C" w:rsidRDefault="005549EC" w:rsidP="00613BA1">
            <w:pPr>
              <w:pStyle w:val="Tablelegend"/>
              <w:rPr>
                <w:lang w:val="es-ES_tradnl"/>
              </w:rPr>
            </w:pPr>
            <w:r w:rsidRPr="00DA037C">
              <w:rPr>
                <w:lang w:val="es-ES_tradnl"/>
              </w:rPr>
              <w:t>Aplicación (2):</w:t>
            </w:r>
            <w:r w:rsidRPr="00DA037C">
              <w:rPr>
                <w:lang w:val="es-ES_tradnl"/>
              </w:rPr>
              <w:tab/>
              <w:t>Para interrupciones de los enlaces de transmisión.</w:t>
            </w:r>
          </w:p>
          <w:p w:rsidR="005549EC" w:rsidRPr="00DA037C" w:rsidRDefault="005549EC" w:rsidP="00613BA1">
            <w:pPr>
              <w:pStyle w:val="Tablelegend"/>
              <w:rPr>
                <w:lang w:val="es-ES_tradnl"/>
              </w:rPr>
            </w:pPr>
            <w:r w:rsidRPr="00DA037C">
              <w:rPr>
                <w:lang w:val="es-ES_tradnl"/>
              </w:rPr>
              <w:t>Aplicación (3):</w:t>
            </w:r>
            <w:r w:rsidRPr="00DA037C">
              <w:rPr>
                <w:lang w:val="es-ES_tradnl"/>
              </w:rPr>
              <w:tab/>
              <w:t>Para disminuir los efectos de las catástrofes.</w:t>
            </w:r>
          </w:p>
        </w:tc>
      </w:tr>
    </w:tbl>
    <w:p w:rsidR="005549EC" w:rsidRPr="00DA037C" w:rsidRDefault="005549EC" w:rsidP="005549EC">
      <w:pPr>
        <w:rPr>
          <w:lang w:val="es-ES_tradnl"/>
        </w:rPr>
      </w:pPr>
      <w:r w:rsidRPr="00DA037C">
        <w:rPr>
          <w:b/>
          <w:lang w:val="es-ES_tradnl"/>
        </w:rPr>
        <w:t>2</w:t>
      </w:r>
      <w:r w:rsidRPr="00DA037C">
        <w:rPr>
          <w:lang w:val="es-ES_tradnl"/>
        </w:rPr>
        <w:tab/>
        <w:t xml:space="preserve">que los ejemplos de bandas de frecuencias utilizadas por los </w:t>
      </w:r>
      <w:r w:rsidRPr="00DA037C">
        <w:rPr>
          <w:rFonts w:ascii="Times" w:hAnsi="Times"/>
          <w:lang w:val="es-ES_tradnl"/>
        </w:rPr>
        <w:t>FWS</w:t>
      </w:r>
      <w:r w:rsidRPr="00DA037C">
        <w:rPr>
          <w:lang w:val="es-ES_tradnl"/>
        </w:rPr>
        <w:t xml:space="preserve"> para disminuir los efectos de las catástrofes y las operaciones de socorro descritos en el Cuadro 1 sean conformes con el Reglamento de Radiocomunicaciones para el servicio fijo, así como con las atribuciones de frecuencias nacionales y regionales (véase el Cuadro 2);</w:t>
      </w:r>
    </w:p>
    <w:p w:rsidR="005549EC" w:rsidRPr="00DA037C" w:rsidRDefault="005549EC" w:rsidP="005549EC">
      <w:pPr>
        <w:rPr>
          <w:lang w:val="es-ES_tradnl"/>
        </w:rPr>
      </w:pPr>
      <w:r w:rsidRPr="00DA037C">
        <w:rPr>
          <w:b/>
          <w:lang w:val="es-ES_tradnl"/>
        </w:rPr>
        <w:t>3</w:t>
      </w:r>
      <w:r w:rsidRPr="00DA037C">
        <w:rPr>
          <w:lang w:val="es-ES_tradnl"/>
        </w:rPr>
        <w:tab/>
        <w:t xml:space="preserve">que las disposiciones de las radiofrecuencias para los </w:t>
      </w:r>
      <w:r w:rsidRPr="00DA037C">
        <w:rPr>
          <w:rFonts w:ascii="Times" w:hAnsi="Times"/>
          <w:lang w:val="es-ES_tradnl"/>
        </w:rPr>
        <w:t>FWS</w:t>
      </w:r>
      <w:r w:rsidRPr="00DA037C">
        <w:rPr>
          <w:lang w:val="es-ES_tradnl"/>
        </w:rPr>
        <w:t xml:space="preserve"> destinados a disminuir los efectos de las catástrofes y las operaciones de socorro en las bandas escogidas se hagan de conformidad con las Recomendaciones UIT</w:t>
      </w:r>
      <w:r w:rsidRPr="00DA037C">
        <w:rPr>
          <w:lang w:val="es-ES_tradnl"/>
        </w:rPr>
        <w:noBreakHyphen/>
        <w:t>R (véase la Recomendación UIT-R F.746) y las normas nacionales;</w:t>
      </w:r>
    </w:p>
    <w:p w:rsidR="005549EC" w:rsidRPr="00DA037C" w:rsidRDefault="005549EC" w:rsidP="005549EC">
      <w:pPr>
        <w:rPr>
          <w:lang w:val="es-ES_tradnl"/>
        </w:rPr>
      </w:pPr>
      <w:r w:rsidRPr="00DA037C">
        <w:rPr>
          <w:b/>
          <w:lang w:val="es-ES_tradnl"/>
        </w:rPr>
        <w:t>4</w:t>
      </w:r>
      <w:r w:rsidRPr="00DA037C">
        <w:rPr>
          <w:lang w:val="es-ES_tradnl"/>
        </w:rPr>
        <w:tab/>
        <w:t xml:space="preserve">que la interconexión de los </w:t>
      </w:r>
      <w:r w:rsidRPr="00DA037C">
        <w:rPr>
          <w:rFonts w:ascii="Times" w:hAnsi="Times"/>
          <w:lang w:val="es-ES_tradnl"/>
        </w:rPr>
        <w:t>FWS</w:t>
      </w:r>
      <w:r w:rsidRPr="00DA037C">
        <w:rPr>
          <w:lang w:val="es-ES_tradnl"/>
        </w:rPr>
        <w:t xml:space="preserve"> transportables con los sistemas de cable analógicos y digitales en las estaciones repetidoras se haga en la banda de base;</w:t>
      </w:r>
    </w:p>
    <w:p w:rsidR="005549EC" w:rsidRPr="00DA037C" w:rsidRDefault="005549EC" w:rsidP="005549EC">
      <w:pPr>
        <w:rPr>
          <w:lang w:val="es-ES_tradnl"/>
        </w:rPr>
      </w:pPr>
      <w:r w:rsidRPr="00DA037C">
        <w:rPr>
          <w:b/>
          <w:lang w:val="es-ES_tradnl"/>
        </w:rPr>
        <w:t>5</w:t>
      </w:r>
      <w:r w:rsidRPr="00DA037C">
        <w:rPr>
          <w:lang w:val="es-ES_tradnl"/>
        </w:rPr>
        <w:tab/>
        <w:t xml:space="preserve">que la interconexión de los </w:t>
      </w:r>
      <w:r w:rsidRPr="00DA037C">
        <w:rPr>
          <w:rFonts w:ascii="Times" w:hAnsi="Times"/>
          <w:lang w:val="es-ES_tradnl"/>
        </w:rPr>
        <w:t>FWS</w:t>
      </w:r>
      <w:r w:rsidRPr="00DA037C">
        <w:rPr>
          <w:lang w:val="es-ES_tradnl"/>
        </w:rPr>
        <w:t xml:space="preserve"> transportables con los sistemas de fibra óptica en las estaciones repetidoras pueda hacerse en puntos que tengan un nivel importante de potencia óptica;</w:t>
      </w:r>
    </w:p>
    <w:p w:rsidR="005549EC" w:rsidRPr="00DA037C" w:rsidRDefault="005549EC" w:rsidP="005549EC">
      <w:pPr>
        <w:rPr>
          <w:lang w:val="es-ES_tradnl"/>
        </w:rPr>
      </w:pPr>
      <w:r w:rsidRPr="00DA037C">
        <w:rPr>
          <w:b/>
          <w:lang w:val="es-ES_tradnl"/>
        </w:rPr>
        <w:t>6</w:t>
      </w:r>
      <w:r w:rsidRPr="00DA037C">
        <w:rPr>
          <w:lang w:val="es-ES_tradnl"/>
        </w:rPr>
        <w:tab/>
        <w:t>que, para las características del equipo, las administraciones y los planificadores de los sistemas puedan referirse a la información contenida en el § 1 del Anexo 1;</w:t>
      </w:r>
    </w:p>
    <w:p w:rsidR="005549EC" w:rsidRPr="00DA037C" w:rsidRDefault="005549EC" w:rsidP="005549EC">
      <w:pPr>
        <w:rPr>
          <w:lang w:val="es-ES_tradnl"/>
        </w:rPr>
      </w:pPr>
      <w:r w:rsidRPr="00DA037C">
        <w:rPr>
          <w:b/>
          <w:lang w:val="es-ES_tradnl"/>
        </w:rPr>
        <w:t>7</w:t>
      </w:r>
      <w:r w:rsidRPr="00DA037C">
        <w:rPr>
          <w:lang w:val="es-ES_tradnl"/>
        </w:rPr>
        <w:tab/>
        <w:t>que los objetivos de calidad de funcionamiento de los enlaces que utilizan equipos inalámbricos fijos transportables y de los enlaces separados formados por equipos inalámbricos fijos transportables durante el restablecimiento sean suficientes para lograr una transmisión adecuada en el servicio normal (véase el § 3 del Anexo 1);</w:t>
      </w:r>
    </w:p>
    <w:p w:rsidR="005549EC" w:rsidRDefault="005549EC" w:rsidP="00C42434">
      <w:pPr>
        <w:rPr>
          <w:lang w:val="es-ES_tradnl"/>
        </w:rPr>
      </w:pPr>
      <w:r w:rsidRPr="00DA037C">
        <w:rPr>
          <w:b/>
          <w:bCs/>
          <w:lang w:val="es-ES_tradnl"/>
        </w:rPr>
        <w:t>8</w:t>
      </w:r>
      <w:r w:rsidRPr="00DA037C">
        <w:rPr>
          <w:b/>
          <w:bCs/>
          <w:lang w:val="es-ES_tradnl"/>
        </w:rPr>
        <w:tab/>
      </w:r>
      <w:r w:rsidRPr="00DA037C">
        <w:rPr>
          <w:lang w:val="es-ES_tradnl"/>
        </w:rPr>
        <w:t xml:space="preserve">que los </w:t>
      </w:r>
      <w:r w:rsidRPr="00DA037C">
        <w:rPr>
          <w:rFonts w:ascii="Times" w:hAnsi="Times"/>
          <w:lang w:val="es-ES_tradnl"/>
        </w:rPr>
        <w:t>FWS</w:t>
      </w:r>
      <w:r w:rsidRPr="00DA037C">
        <w:rPr>
          <w:lang w:val="es-ES_tradnl"/>
        </w:rPr>
        <w:t xml:space="preserve"> transportables</w:t>
      </w:r>
      <w:r>
        <w:rPr>
          <w:lang w:val="es-ES_tradnl"/>
        </w:rPr>
        <w:t>,</w:t>
      </w:r>
      <w:r w:rsidRPr="00DA037C">
        <w:rPr>
          <w:lang w:val="es-ES_tradnl"/>
        </w:rPr>
        <w:t xml:space="preserve"> Tipos A </w:t>
      </w:r>
      <w:proofErr w:type="spellStart"/>
      <w:r w:rsidRPr="00DA037C">
        <w:rPr>
          <w:lang w:val="es-ES_tradnl"/>
        </w:rPr>
        <w:t>a</w:t>
      </w:r>
      <w:proofErr w:type="spellEnd"/>
      <w:r w:rsidRPr="00DA037C">
        <w:rPr>
          <w:lang w:val="es-ES_tradnl"/>
        </w:rPr>
        <w:t xml:space="preserve"> E del Cuadro 1, incluido el Anexo 1 donde se describen sus características, se utilicen para el enlace de acceso a la estación de base en las comunicaciones móviles que funcionan en situaciones de emergencia y operaciones de socorro </w:t>
      </w:r>
      <w:r w:rsidRPr="00DA037C">
        <w:rPr>
          <w:lang w:val="es-ES_tradnl" w:eastAsia="ja-JP"/>
        </w:rPr>
        <w:t>(</w:t>
      </w:r>
      <w:r>
        <w:rPr>
          <w:lang w:val="es-ES_tradnl" w:eastAsia="ja-JP"/>
        </w:rPr>
        <w:t>véase</w:t>
      </w:r>
      <w:r w:rsidR="00C42434">
        <w:rPr>
          <w:lang w:val="es-ES_tradnl" w:eastAsia="ja-JP"/>
        </w:rPr>
        <w:t xml:space="preserve"> </w:t>
      </w:r>
      <w:r w:rsidRPr="00DA037C">
        <w:rPr>
          <w:lang w:val="es-ES_tradnl" w:eastAsia="ja-JP"/>
        </w:rPr>
        <w:t>el § 2.6 y el Apéndice 2 del Anexo 1)</w:t>
      </w:r>
      <w:r w:rsidRPr="00DA037C">
        <w:rPr>
          <w:lang w:val="es-ES_tradnl"/>
        </w:rPr>
        <w:t>.</w:t>
      </w:r>
    </w:p>
    <w:p w:rsidR="005549EC" w:rsidRPr="00DA037C" w:rsidRDefault="005549EC" w:rsidP="006E4796">
      <w:pPr>
        <w:pStyle w:val="AnnexNoTitle"/>
        <w:rPr>
          <w:lang w:val="es-ES_tradnl"/>
        </w:rPr>
      </w:pPr>
      <w:r w:rsidRPr="00DA037C">
        <w:rPr>
          <w:lang w:val="es-ES_tradnl"/>
        </w:rPr>
        <w:t>Anexo 1</w:t>
      </w:r>
      <w:r w:rsidRPr="00DA037C">
        <w:rPr>
          <w:lang w:val="es-ES_tradnl"/>
        </w:rPr>
        <w:br/>
      </w:r>
      <w:r w:rsidRPr="00DA037C">
        <w:rPr>
          <w:lang w:val="es-ES_tradnl"/>
        </w:rPr>
        <w:br/>
        <w:t xml:space="preserve">Descripción de los sistemas inalámbricos fijos para disminuir </w:t>
      </w:r>
      <w:r w:rsidRPr="00DA037C">
        <w:rPr>
          <w:lang w:val="es-ES_tradnl"/>
        </w:rPr>
        <w:br/>
      </w:r>
      <w:r w:rsidR="00C42434" w:rsidRPr="00DA037C">
        <w:rPr>
          <w:lang w:val="es-ES_tradnl"/>
        </w:rPr>
        <w:t xml:space="preserve">los efectos </w:t>
      </w:r>
      <w:r w:rsidRPr="00DA037C">
        <w:rPr>
          <w:lang w:val="es-ES_tradnl"/>
        </w:rPr>
        <w:t>de las catástrofes y las operaciones de socorro</w:t>
      </w:r>
    </w:p>
    <w:p w:rsidR="005549EC" w:rsidRPr="00DA037C" w:rsidRDefault="005549EC" w:rsidP="005549EC">
      <w:pPr>
        <w:pStyle w:val="Heading1"/>
        <w:rPr>
          <w:lang w:val="es-ES_tradnl"/>
        </w:rPr>
      </w:pPr>
      <w:r w:rsidRPr="00DA037C">
        <w:rPr>
          <w:lang w:val="es-ES_tradnl"/>
        </w:rPr>
        <w:t>1</w:t>
      </w:r>
      <w:r w:rsidRPr="00DA037C">
        <w:rPr>
          <w:lang w:val="es-ES_tradnl"/>
        </w:rPr>
        <w:tab/>
        <w:t>Características de los equipos</w:t>
      </w:r>
    </w:p>
    <w:p w:rsidR="005549EC" w:rsidRPr="00DA037C" w:rsidRDefault="005549EC" w:rsidP="005549EC">
      <w:pPr>
        <w:rPr>
          <w:lang w:val="es-ES_tradnl"/>
        </w:rPr>
      </w:pPr>
      <w:r w:rsidRPr="00DA037C">
        <w:rPr>
          <w:lang w:val="es-ES_tradnl"/>
        </w:rPr>
        <w:t>Para cada tipo de sistemas del Cuadro 1, son adecuadas las capacidades de canal, las bandas de frecuencia y las distancias de trayecto especificadas en el Cuadro 2.</w:t>
      </w:r>
    </w:p>
    <w:p w:rsidR="005549EC" w:rsidRPr="00DA037C" w:rsidRDefault="005549EC" w:rsidP="005549EC">
      <w:pPr>
        <w:pStyle w:val="TableNo"/>
        <w:rPr>
          <w:lang w:val="es-ES_tradnl"/>
        </w:rPr>
      </w:pPr>
      <w:r w:rsidRPr="00DA037C">
        <w:rPr>
          <w:lang w:val="es-ES_tradnl"/>
        </w:rPr>
        <w:t>CUADRO  2</w:t>
      </w:r>
    </w:p>
    <w:p w:rsidR="005549EC" w:rsidRPr="00DA037C" w:rsidRDefault="005549EC" w:rsidP="005549EC">
      <w:pPr>
        <w:pStyle w:val="Tabletitle"/>
        <w:rPr>
          <w:lang w:val="es-ES_tradnl"/>
        </w:rPr>
      </w:pPr>
      <w:r w:rsidRPr="00DA037C">
        <w:rPr>
          <w:lang w:val="es-ES_tradnl"/>
        </w:rPr>
        <w:t>Características básicas</w:t>
      </w:r>
    </w:p>
    <w:tbl>
      <w:tblPr>
        <w:tblW w:w="0" w:type="auto"/>
        <w:jc w:val="center"/>
        <w:tblLayout w:type="fixed"/>
        <w:tblLook w:val="0000" w:firstRow="0" w:lastRow="0" w:firstColumn="0" w:lastColumn="0" w:noHBand="0" w:noVBand="0"/>
      </w:tblPr>
      <w:tblGrid>
        <w:gridCol w:w="1247"/>
        <w:gridCol w:w="2665"/>
        <w:gridCol w:w="4082"/>
        <w:gridCol w:w="1645"/>
      </w:tblGrid>
      <w:tr w:rsidR="005549EC" w:rsidRPr="006E4796" w:rsidTr="00C42434">
        <w:trPr>
          <w:cantSplit/>
          <w:jc w:val="center"/>
        </w:trPr>
        <w:tc>
          <w:tcPr>
            <w:tcW w:w="1247"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549EC" w:rsidRPr="00DA037C" w:rsidRDefault="005549EC" w:rsidP="00613BA1">
            <w:pPr>
              <w:pStyle w:val="Tablehead"/>
              <w:rPr>
                <w:lang w:val="es-ES_tradnl"/>
              </w:rPr>
            </w:pPr>
            <w:r w:rsidRPr="00DA037C">
              <w:rPr>
                <w:lang w:val="es-ES_tradnl"/>
              </w:rPr>
              <w:t xml:space="preserve">Tipo de </w:t>
            </w:r>
            <w:r w:rsidRPr="00DA037C">
              <w:rPr>
                <w:lang w:val="es-ES_tradnl"/>
              </w:rPr>
              <w:br/>
              <w:t>equipo</w:t>
            </w:r>
          </w:p>
        </w:tc>
        <w:tc>
          <w:tcPr>
            <w:tcW w:w="266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549EC" w:rsidRPr="00DA037C" w:rsidRDefault="005549EC" w:rsidP="00613BA1">
            <w:pPr>
              <w:pStyle w:val="Tablehead"/>
              <w:rPr>
                <w:lang w:val="es-ES_tradnl"/>
              </w:rPr>
            </w:pPr>
            <w:r w:rsidRPr="00DA037C">
              <w:rPr>
                <w:lang w:val="es-ES_tradnl"/>
              </w:rPr>
              <w:t>Capacidad</w:t>
            </w:r>
          </w:p>
        </w:tc>
        <w:tc>
          <w:tcPr>
            <w:tcW w:w="4082"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549EC" w:rsidRPr="00DA037C" w:rsidRDefault="005549EC" w:rsidP="00613BA1">
            <w:pPr>
              <w:pStyle w:val="Tablehead"/>
              <w:rPr>
                <w:lang w:val="es-ES_tradnl"/>
              </w:rPr>
            </w:pPr>
            <w:r w:rsidRPr="00DA037C">
              <w:rPr>
                <w:lang w:val="es-ES_tradnl"/>
              </w:rPr>
              <w:t>Ejemplos de bandas de frecuencias</w:t>
            </w:r>
            <w:r w:rsidRPr="00DA037C">
              <w:rPr>
                <w:rFonts w:ascii="Times New Roman Bold" w:hAnsi="Times New Roman Bold"/>
                <w:szCs w:val="22"/>
                <w:vertAlign w:val="superscript"/>
                <w:lang w:val="es-ES_tradnl"/>
              </w:rPr>
              <w:t>(1)</w:t>
            </w:r>
          </w:p>
        </w:tc>
        <w:tc>
          <w:tcPr>
            <w:tcW w:w="1644"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549EC" w:rsidRPr="00DA037C" w:rsidRDefault="005549EC" w:rsidP="00613BA1">
            <w:pPr>
              <w:pStyle w:val="Tablehead"/>
              <w:rPr>
                <w:lang w:val="es-ES_tradnl"/>
              </w:rPr>
            </w:pPr>
            <w:r w:rsidRPr="00DA037C">
              <w:rPr>
                <w:lang w:val="es-ES_tradnl"/>
              </w:rPr>
              <w:t>Distancia del trayecto de transmisión</w:t>
            </w:r>
          </w:p>
        </w:tc>
      </w:tr>
      <w:tr w:rsidR="005549EC" w:rsidRPr="00DA037C" w:rsidTr="00C42434">
        <w:trPr>
          <w:cantSplit/>
          <w:jc w:val="center"/>
        </w:trPr>
        <w:tc>
          <w:tcPr>
            <w:tcW w:w="124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A</w:t>
            </w:r>
          </w:p>
        </w:tc>
        <w:tc>
          <w:tcPr>
            <w:tcW w:w="2665"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jc w:val="left"/>
              <w:rPr>
                <w:lang w:val="es-ES_tradnl"/>
              </w:rPr>
            </w:pPr>
            <w:r w:rsidRPr="00DA037C">
              <w:rPr>
                <w:lang w:val="es-ES_tradnl"/>
              </w:rPr>
              <w:t>1-2 canales</w:t>
            </w:r>
          </w:p>
        </w:tc>
        <w:tc>
          <w:tcPr>
            <w:tcW w:w="4082"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tabs>
                <w:tab w:val="clear" w:pos="284"/>
                <w:tab w:val="clear" w:pos="567"/>
                <w:tab w:val="clear" w:pos="851"/>
                <w:tab w:val="clear" w:pos="1134"/>
                <w:tab w:val="clear" w:pos="1418"/>
                <w:tab w:val="clear" w:pos="1701"/>
                <w:tab w:val="clear" w:pos="1985"/>
                <w:tab w:val="clear" w:pos="2268"/>
                <w:tab w:val="clear" w:pos="2552"/>
                <w:tab w:val="left" w:pos="2260"/>
              </w:tabs>
              <w:jc w:val="left"/>
              <w:rPr>
                <w:lang w:val="es-ES_tradnl"/>
              </w:rPr>
            </w:pPr>
            <w:r w:rsidRPr="00DA037C">
              <w:rPr>
                <w:lang w:val="es-ES_tradnl"/>
              </w:rPr>
              <w:t xml:space="preserve">Ondas </w:t>
            </w:r>
            <w:proofErr w:type="spellStart"/>
            <w:r w:rsidRPr="00DA037C">
              <w:rPr>
                <w:lang w:val="es-ES_tradnl"/>
              </w:rPr>
              <w:t>decamétricas</w:t>
            </w:r>
            <w:proofErr w:type="spellEnd"/>
            <w:r w:rsidRPr="00DA037C">
              <w:rPr>
                <w:lang w:val="es-ES_tradnl"/>
              </w:rPr>
              <w:tab/>
              <w:t>(2-10 MHz)</w:t>
            </w:r>
          </w:p>
        </w:tc>
        <w:tc>
          <w:tcPr>
            <w:tcW w:w="164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C42434">
            <w:pPr>
              <w:pStyle w:val="Tabletext"/>
              <w:jc w:val="left"/>
              <w:rPr>
                <w:lang w:val="es-ES_tradnl"/>
              </w:rPr>
            </w:pPr>
            <w:r w:rsidRPr="00DA037C">
              <w:rPr>
                <w:lang w:val="es-ES_tradnl"/>
              </w:rPr>
              <w:t>Hasta 250 km o</w:t>
            </w:r>
            <w:r w:rsidR="00C42434">
              <w:rPr>
                <w:lang w:val="es-ES_tradnl"/>
              </w:rPr>
              <w:t> </w:t>
            </w:r>
            <w:r w:rsidRPr="00DA037C">
              <w:rPr>
                <w:lang w:val="es-ES_tradnl"/>
              </w:rPr>
              <w:t>más</w:t>
            </w:r>
          </w:p>
        </w:tc>
      </w:tr>
      <w:tr w:rsidR="005549EC" w:rsidRPr="00DA037C" w:rsidTr="00C42434">
        <w:trPr>
          <w:cantSplit/>
          <w:jc w:val="center"/>
        </w:trPr>
        <w:tc>
          <w:tcPr>
            <w:tcW w:w="124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B</w:t>
            </w:r>
          </w:p>
        </w:tc>
        <w:tc>
          <w:tcPr>
            <w:tcW w:w="2665"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ind w:right="-57"/>
              <w:jc w:val="left"/>
              <w:rPr>
                <w:lang w:val="es-ES_tradnl"/>
              </w:rPr>
            </w:pPr>
            <w:r w:rsidRPr="00DA037C">
              <w:rPr>
                <w:lang w:val="es-ES_tradnl"/>
              </w:rPr>
              <w:t>Red local con 10</w:t>
            </w:r>
            <w:r w:rsidRPr="00DA037C">
              <w:rPr>
                <w:lang w:val="es-ES_tradnl"/>
              </w:rPr>
              <w:noBreakHyphen/>
              <w:t>20 estaciones periféricas (varios canales)</w:t>
            </w:r>
          </w:p>
        </w:tc>
        <w:tc>
          <w:tcPr>
            <w:tcW w:w="4082"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tabs>
                <w:tab w:val="clear" w:pos="284"/>
                <w:tab w:val="clear" w:pos="567"/>
                <w:tab w:val="clear" w:pos="851"/>
                <w:tab w:val="clear" w:pos="1134"/>
                <w:tab w:val="clear" w:pos="1418"/>
                <w:tab w:val="clear" w:pos="1701"/>
                <w:tab w:val="clear" w:pos="1985"/>
                <w:tab w:val="clear" w:pos="2268"/>
                <w:tab w:val="clear" w:pos="2552"/>
                <w:tab w:val="left" w:pos="2260"/>
              </w:tabs>
              <w:jc w:val="left"/>
              <w:rPr>
                <w:lang w:val="es-ES_tradnl"/>
              </w:rPr>
            </w:pPr>
            <w:r w:rsidRPr="00DA037C">
              <w:rPr>
                <w:lang w:val="es-ES_tradnl"/>
              </w:rPr>
              <w:t>Ondas métricas</w:t>
            </w:r>
            <w:r w:rsidRPr="00DA037C">
              <w:rPr>
                <w:lang w:val="es-ES_tradnl"/>
              </w:rPr>
              <w:tab/>
              <w:t>(50-88 MHz)</w:t>
            </w:r>
            <w:r w:rsidRPr="00DA037C">
              <w:rPr>
                <w:lang w:val="es-ES_tradnl"/>
              </w:rPr>
              <w:br/>
            </w:r>
            <w:r w:rsidRPr="00DA037C">
              <w:rPr>
                <w:lang w:val="es-ES_tradnl"/>
              </w:rPr>
              <w:tab/>
              <w:t>(150-174 MHz)</w:t>
            </w:r>
            <w:r w:rsidRPr="00DA037C">
              <w:rPr>
                <w:lang w:val="es-ES_tradnl"/>
              </w:rPr>
              <w:br/>
              <w:t>Ondas decimétricas</w:t>
            </w:r>
            <w:r w:rsidRPr="00DA037C">
              <w:rPr>
                <w:lang w:val="es-ES_tradnl"/>
              </w:rPr>
              <w:tab/>
              <w:t>(335-470 MHz)</w:t>
            </w:r>
          </w:p>
        </w:tc>
        <w:tc>
          <w:tcPr>
            <w:tcW w:w="164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jc w:val="left"/>
              <w:rPr>
                <w:lang w:val="es-ES_tradnl"/>
              </w:rPr>
            </w:pPr>
            <w:r w:rsidRPr="00DA037C">
              <w:rPr>
                <w:lang w:val="es-ES_tradnl"/>
              </w:rPr>
              <w:t>Hasta unos pocos km</w:t>
            </w:r>
          </w:p>
        </w:tc>
      </w:tr>
      <w:tr w:rsidR="005549EC" w:rsidRPr="00DA037C" w:rsidTr="00C42434">
        <w:trPr>
          <w:cantSplit/>
          <w:jc w:val="center"/>
        </w:trPr>
        <w:tc>
          <w:tcPr>
            <w:tcW w:w="124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C</w:t>
            </w:r>
          </w:p>
        </w:tc>
        <w:tc>
          <w:tcPr>
            <w:tcW w:w="2665"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5549EC" w:rsidRDefault="005549EC" w:rsidP="00613BA1">
            <w:pPr>
              <w:pStyle w:val="Tabletext"/>
              <w:jc w:val="left"/>
              <w:rPr>
                <w:lang w:val="en-US"/>
              </w:rPr>
            </w:pPr>
            <w:r w:rsidRPr="005549EC">
              <w:rPr>
                <w:lang w:val="en-US"/>
              </w:rPr>
              <w:t xml:space="preserve">6 a 120 </w:t>
            </w:r>
            <w:proofErr w:type="spellStart"/>
            <w:r w:rsidRPr="005549EC">
              <w:rPr>
                <w:lang w:val="en-US"/>
              </w:rPr>
              <w:t>canales</w:t>
            </w:r>
            <w:proofErr w:type="spellEnd"/>
            <w:r w:rsidRPr="005549EC">
              <w:rPr>
                <w:lang w:val="en-US"/>
              </w:rPr>
              <w:br/>
              <w:t>1,5/2 ó 6,3/8 Mbit/s</w:t>
            </w:r>
          </w:p>
        </w:tc>
        <w:tc>
          <w:tcPr>
            <w:tcW w:w="4082"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tabs>
                <w:tab w:val="clear" w:pos="284"/>
                <w:tab w:val="clear" w:pos="567"/>
                <w:tab w:val="clear" w:pos="851"/>
                <w:tab w:val="clear" w:pos="1134"/>
                <w:tab w:val="clear" w:pos="1418"/>
                <w:tab w:val="clear" w:pos="1701"/>
                <w:tab w:val="clear" w:pos="1985"/>
                <w:tab w:val="clear" w:pos="2268"/>
                <w:tab w:val="clear" w:pos="2552"/>
                <w:tab w:val="left" w:pos="2260"/>
              </w:tabs>
              <w:jc w:val="left"/>
              <w:rPr>
                <w:lang w:val="es-ES_tradnl"/>
              </w:rPr>
            </w:pPr>
            <w:r w:rsidRPr="00DA037C">
              <w:rPr>
                <w:lang w:val="es-ES_tradnl"/>
              </w:rPr>
              <w:t>Ondas decimétricas</w:t>
            </w:r>
            <w:r w:rsidRPr="00DA037C">
              <w:rPr>
                <w:lang w:val="es-ES_tradnl"/>
              </w:rPr>
              <w:tab/>
              <w:t>(335-470 MHz)</w:t>
            </w:r>
            <w:r w:rsidRPr="00DA037C">
              <w:rPr>
                <w:lang w:val="es-ES_tradnl"/>
              </w:rPr>
              <w:br/>
            </w:r>
            <w:r w:rsidRPr="00DA037C">
              <w:rPr>
                <w:lang w:val="es-ES_tradnl"/>
              </w:rPr>
              <w:tab/>
              <w:t>(1,4-1,6 GHz)</w:t>
            </w:r>
            <w:r w:rsidRPr="00DA037C">
              <w:rPr>
                <w:lang w:val="es-ES_tradnl"/>
              </w:rPr>
              <w:br/>
              <w:t xml:space="preserve">Ondas </w:t>
            </w:r>
            <w:proofErr w:type="spellStart"/>
            <w:r w:rsidRPr="00DA037C">
              <w:rPr>
                <w:lang w:val="es-ES_tradnl"/>
              </w:rPr>
              <w:t>centimétricas</w:t>
            </w:r>
            <w:proofErr w:type="spellEnd"/>
            <w:r w:rsidRPr="00DA037C">
              <w:rPr>
                <w:lang w:val="es-ES_tradnl"/>
              </w:rPr>
              <w:tab/>
              <w:t>(7-8 GHz)</w:t>
            </w:r>
            <w:r w:rsidRPr="00DA037C">
              <w:rPr>
                <w:lang w:val="es-ES_tradnl"/>
              </w:rPr>
              <w:br/>
            </w:r>
            <w:r w:rsidRPr="00DA037C">
              <w:rPr>
                <w:lang w:val="es-ES_tradnl"/>
              </w:rPr>
              <w:tab/>
              <w:t>(10,5-10,68 GHz)</w:t>
            </w:r>
          </w:p>
        </w:tc>
        <w:tc>
          <w:tcPr>
            <w:tcW w:w="164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jc w:val="left"/>
              <w:rPr>
                <w:lang w:val="es-ES_tradnl"/>
              </w:rPr>
            </w:pPr>
            <w:r w:rsidRPr="00DA037C">
              <w:rPr>
                <w:lang w:val="es-ES_tradnl"/>
              </w:rPr>
              <w:t>Hasta 100 km</w:t>
            </w:r>
          </w:p>
        </w:tc>
      </w:tr>
      <w:tr w:rsidR="005549EC" w:rsidRPr="006E4796" w:rsidTr="00C42434">
        <w:trPr>
          <w:cantSplit/>
          <w:jc w:val="center"/>
        </w:trPr>
        <w:tc>
          <w:tcPr>
            <w:tcW w:w="124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D</w:t>
            </w:r>
          </w:p>
        </w:tc>
        <w:tc>
          <w:tcPr>
            <w:tcW w:w="2665"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5549EC" w:rsidRDefault="005549EC" w:rsidP="00D2508C">
            <w:pPr>
              <w:pStyle w:val="Tabletext"/>
              <w:jc w:val="left"/>
              <w:rPr>
                <w:lang w:val="en-US"/>
              </w:rPr>
            </w:pPr>
            <w:r w:rsidRPr="005549EC">
              <w:rPr>
                <w:lang w:val="en-US"/>
              </w:rPr>
              <w:t xml:space="preserve">12 a 480 </w:t>
            </w:r>
            <w:proofErr w:type="spellStart"/>
            <w:r w:rsidRPr="005549EC">
              <w:rPr>
                <w:lang w:val="en-US"/>
              </w:rPr>
              <w:t>canales</w:t>
            </w:r>
            <w:proofErr w:type="spellEnd"/>
            <w:r w:rsidRPr="005549EC">
              <w:rPr>
                <w:lang w:val="en-US"/>
              </w:rPr>
              <w:br/>
              <w:t>1,5/2; 6,3/8; 4 </w:t>
            </w:r>
            <w:r w:rsidRPr="00DA037C">
              <w:rPr>
                <w:lang w:val="es-ES_tradnl"/>
              </w:rPr>
              <w:sym w:font="Symbol" w:char="F0B4"/>
            </w:r>
            <w:r w:rsidR="00D2508C">
              <w:rPr>
                <w:lang w:val="en-US"/>
              </w:rPr>
              <w:t> 6,3/8 </w:t>
            </w:r>
            <w:r w:rsidRPr="005549EC">
              <w:rPr>
                <w:lang w:val="en-US"/>
              </w:rPr>
              <w:t>Mbit/s o 34/45 Mbit/s</w:t>
            </w:r>
          </w:p>
        </w:tc>
        <w:tc>
          <w:tcPr>
            <w:tcW w:w="4082"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tabs>
                <w:tab w:val="clear" w:pos="284"/>
                <w:tab w:val="clear" w:pos="567"/>
                <w:tab w:val="clear" w:pos="851"/>
                <w:tab w:val="clear" w:pos="1134"/>
                <w:tab w:val="clear" w:pos="1418"/>
                <w:tab w:val="clear" w:pos="1701"/>
                <w:tab w:val="clear" w:pos="1985"/>
                <w:tab w:val="clear" w:pos="2268"/>
                <w:tab w:val="clear" w:pos="2552"/>
                <w:tab w:val="left" w:pos="2260"/>
              </w:tabs>
              <w:jc w:val="left"/>
              <w:rPr>
                <w:lang w:val="es-ES_tradnl"/>
              </w:rPr>
            </w:pPr>
            <w:r w:rsidRPr="00DA037C">
              <w:rPr>
                <w:lang w:val="es-ES_tradnl"/>
              </w:rPr>
              <w:t>Ondas decimétricas</w:t>
            </w:r>
            <w:r w:rsidRPr="00DA037C">
              <w:rPr>
                <w:lang w:val="es-ES_tradnl"/>
              </w:rPr>
              <w:tab/>
              <w:t>(800-</w:t>
            </w:r>
            <w:r w:rsidRPr="00C42434">
              <w:rPr>
                <w:lang w:val="es-ES_tradnl"/>
              </w:rPr>
              <w:t>1</w:t>
            </w:r>
            <w:r w:rsidR="00C42434" w:rsidRPr="00C42434">
              <w:rPr>
                <w:lang w:val="es-ES_tradnl"/>
              </w:rPr>
              <w:t> </w:t>
            </w:r>
            <w:r w:rsidRPr="00C42434">
              <w:rPr>
                <w:lang w:val="es-ES_tradnl"/>
              </w:rPr>
              <w:t>000</w:t>
            </w:r>
            <w:r w:rsidRPr="00DA037C">
              <w:rPr>
                <w:lang w:val="es-ES_tradnl"/>
              </w:rPr>
              <w:t xml:space="preserve"> MHz)</w:t>
            </w:r>
            <w:r w:rsidRPr="00DA037C">
              <w:rPr>
                <w:lang w:val="es-ES_tradnl"/>
              </w:rPr>
              <w:br/>
            </w:r>
            <w:r w:rsidRPr="00DA037C">
              <w:rPr>
                <w:lang w:val="es-ES_tradnl"/>
              </w:rPr>
              <w:tab/>
              <w:t>(1,7-2,7 GHz)</w:t>
            </w:r>
            <w:r w:rsidRPr="00DA037C">
              <w:rPr>
                <w:lang w:val="es-ES_tradnl"/>
              </w:rPr>
              <w:br/>
              <w:t xml:space="preserve">Ondas </w:t>
            </w:r>
            <w:proofErr w:type="spellStart"/>
            <w:r w:rsidRPr="00DA037C">
              <w:rPr>
                <w:lang w:val="es-ES_tradnl"/>
              </w:rPr>
              <w:t>centimétricas</w:t>
            </w:r>
            <w:proofErr w:type="spellEnd"/>
            <w:r w:rsidRPr="00DA037C">
              <w:rPr>
                <w:lang w:val="es-ES_tradnl"/>
              </w:rPr>
              <w:tab/>
              <w:t>(4,2-5 GHz)</w:t>
            </w:r>
          </w:p>
        </w:tc>
        <w:tc>
          <w:tcPr>
            <w:tcW w:w="164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jc w:val="left"/>
              <w:rPr>
                <w:lang w:val="es-ES_tradnl"/>
              </w:rPr>
            </w:pPr>
            <w:r w:rsidRPr="00DA037C">
              <w:rPr>
                <w:lang w:val="es-ES_tradnl"/>
              </w:rPr>
              <w:t>Trayectos obstruidos o con visibilidad directa</w:t>
            </w:r>
          </w:p>
        </w:tc>
      </w:tr>
      <w:tr w:rsidR="005549EC" w:rsidRPr="006E4796" w:rsidTr="00C42434">
        <w:trPr>
          <w:cantSplit/>
          <w:jc w:val="center"/>
        </w:trPr>
        <w:tc>
          <w:tcPr>
            <w:tcW w:w="124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E</w:t>
            </w:r>
          </w:p>
        </w:tc>
        <w:tc>
          <w:tcPr>
            <w:tcW w:w="2665"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60BBD" w:rsidRDefault="005549EC" w:rsidP="00D2508C">
            <w:pPr>
              <w:pStyle w:val="Tabletext"/>
              <w:jc w:val="left"/>
              <w:rPr>
                <w:lang w:val="en-US"/>
              </w:rPr>
            </w:pPr>
            <w:r w:rsidRPr="00D60BBD">
              <w:rPr>
                <w:lang w:val="en-US"/>
              </w:rPr>
              <w:t>960-2</w:t>
            </w:r>
            <w:r w:rsidR="00D2508C">
              <w:rPr>
                <w:lang w:val="en-US"/>
              </w:rPr>
              <w:t> </w:t>
            </w:r>
            <w:r w:rsidRPr="00D60BBD">
              <w:rPr>
                <w:lang w:val="en-US"/>
              </w:rPr>
              <w:t xml:space="preserve">700 </w:t>
            </w:r>
            <w:proofErr w:type="spellStart"/>
            <w:r w:rsidRPr="00D60BBD">
              <w:rPr>
                <w:lang w:val="en-US"/>
              </w:rPr>
              <w:t>canales</w:t>
            </w:r>
            <w:proofErr w:type="spellEnd"/>
            <w:r w:rsidRPr="00D60BBD">
              <w:rPr>
                <w:position w:val="6"/>
                <w:sz w:val="18"/>
                <w:lang w:val="en-US"/>
              </w:rPr>
              <w:br/>
            </w:r>
            <w:r w:rsidRPr="00D60BBD">
              <w:rPr>
                <w:rFonts w:ascii="Times" w:hAnsi="Times"/>
                <w:lang w:val="en-US"/>
              </w:rPr>
              <w:t>STM-0 (52 Mbit/s) o</w:t>
            </w:r>
            <w:r w:rsidRPr="00D60BBD">
              <w:rPr>
                <w:rFonts w:ascii="Times" w:hAnsi="Times"/>
                <w:lang w:val="en-US"/>
              </w:rPr>
              <w:br/>
              <w:t>STM-1 (155 Mbit/s)</w:t>
            </w:r>
          </w:p>
        </w:tc>
        <w:tc>
          <w:tcPr>
            <w:tcW w:w="4082"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60BBD" w:rsidRDefault="005549EC" w:rsidP="00C42434">
            <w:pPr>
              <w:pStyle w:val="Tabletext"/>
              <w:tabs>
                <w:tab w:val="clear" w:pos="284"/>
                <w:tab w:val="clear" w:pos="567"/>
                <w:tab w:val="clear" w:pos="851"/>
                <w:tab w:val="clear" w:pos="1134"/>
                <w:tab w:val="clear" w:pos="1418"/>
                <w:tab w:val="clear" w:pos="1701"/>
                <w:tab w:val="clear" w:pos="1985"/>
                <w:tab w:val="clear" w:pos="2552"/>
              </w:tabs>
              <w:ind w:right="-57"/>
              <w:jc w:val="left"/>
              <w:rPr>
                <w:lang w:val="en-US"/>
              </w:rPr>
            </w:pPr>
            <w:proofErr w:type="spellStart"/>
            <w:r w:rsidRPr="00D60BBD">
              <w:rPr>
                <w:lang w:val="en-US"/>
              </w:rPr>
              <w:t>Ondas</w:t>
            </w:r>
            <w:proofErr w:type="spellEnd"/>
            <w:r w:rsidRPr="00D60BBD">
              <w:rPr>
                <w:lang w:val="en-US"/>
              </w:rPr>
              <w:t xml:space="preserve"> </w:t>
            </w:r>
            <w:proofErr w:type="spellStart"/>
            <w:r w:rsidRPr="00D60BBD">
              <w:rPr>
                <w:lang w:val="en-US"/>
              </w:rPr>
              <w:t>centimétricas</w:t>
            </w:r>
            <w:proofErr w:type="spellEnd"/>
            <w:r w:rsidRPr="00D60BBD">
              <w:rPr>
                <w:lang w:val="en-US"/>
              </w:rPr>
              <w:tab/>
              <w:t>(4,4-5 GHz)</w:t>
            </w:r>
            <w:r w:rsidRPr="00D60BBD">
              <w:rPr>
                <w:lang w:val="en-US"/>
              </w:rPr>
              <w:br/>
            </w:r>
            <w:r w:rsidRPr="00D60BBD">
              <w:rPr>
                <w:lang w:val="en-US"/>
              </w:rPr>
              <w:tab/>
              <w:t>(7,1-8,5 GHz)</w:t>
            </w:r>
            <w:r w:rsidRPr="00D60BBD">
              <w:rPr>
                <w:lang w:val="en-US"/>
              </w:rPr>
              <w:br/>
            </w:r>
            <w:r w:rsidRPr="00D60BBD">
              <w:rPr>
                <w:lang w:val="en-US"/>
              </w:rPr>
              <w:tab/>
              <w:t>(10,5-10,68 GHz)</w:t>
            </w:r>
            <w:r w:rsidRPr="00D60BBD">
              <w:rPr>
                <w:position w:val="6"/>
                <w:sz w:val="18"/>
                <w:lang w:val="en-US"/>
              </w:rPr>
              <w:br/>
            </w:r>
            <w:r w:rsidRPr="00D60BBD">
              <w:rPr>
                <w:szCs w:val="22"/>
                <w:lang w:val="en-US"/>
              </w:rPr>
              <w:tab/>
            </w:r>
            <w:r w:rsidRPr="00D60BBD">
              <w:rPr>
                <w:lang w:val="en-US"/>
              </w:rPr>
              <w:t>(</w:t>
            </w:r>
            <w:r w:rsidRPr="00D60BBD">
              <w:rPr>
                <w:szCs w:val="22"/>
                <w:lang w:val="en-US"/>
              </w:rPr>
              <w:t>10,</w:t>
            </w:r>
            <w:r w:rsidRPr="00D60BBD">
              <w:rPr>
                <w:szCs w:val="22"/>
                <w:lang w:val="en-US" w:eastAsia="ja-JP"/>
              </w:rPr>
              <w:t>7</w:t>
            </w:r>
            <w:r w:rsidRPr="00D60BBD">
              <w:rPr>
                <w:szCs w:val="22"/>
                <w:lang w:val="en-US"/>
              </w:rPr>
              <w:t>-1</w:t>
            </w:r>
            <w:r w:rsidRPr="00D60BBD">
              <w:rPr>
                <w:szCs w:val="22"/>
                <w:lang w:val="en-US" w:eastAsia="ja-JP"/>
              </w:rPr>
              <w:t>1,7</w:t>
            </w:r>
            <w:r w:rsidRPr="00D60BBD">
              <w:rPr>
                <w:szCs w:val="22"/>
                <w:lang w:val="en-US"/>
              </w:rPr>
              <w:t xml:space="preserve"> GHz)</w:t>
            </w:r>
            <w:r w:rsidRPr="00D60BBD">
              <w:rPr>
                <w:lang w:val="en-US"/>
              </w:rPr>
              <w:br/>
            </w:r>
            <w:r w:rsidRPr="00D60BBD">
              <w:rPr>
                <w:lang w:val="en-US"/>
              </w:rPr>
              <w:tab/>
              <w:t>(11,7-13,2 GHz)</w:t>
            </w:r>
            <w:r w:rsidRPr="00D60BBD">
              <w:rPr>
                <w:lang w:val="en-US"/>
              </w:rPr>
              <w:br/>
            </w:r>
            <w:r w:rsidRPr="00D60BBD">
              <w:rPr>
                <w:szCs w:val="22"/>
                <w:lang w:val="en-US"/>
              </w:rPr>
              <w:tab/>
              <w:t>(1</w:t>
            </w:r>
            <w:r w:rsidRPr="00D60BBD">
              <w:rPr>
                <w:szCs w:val="22"/>
                <w:lang w:val="en-US" w:eastAsia="ja-JP"/>
              </w:rPr>
              <w:t>4,4</w:t>
            </w:r>
            <w:r w:rsidRPr="00D60BBD">
              <w:rPr>
                <w:szCs w:val="22"/>
                <w:lang w:val="en-US"/>
              </w:rPr>
              <w:t>-1</w:t>
            </w:r>
            <w:r w:rsidRPr="00D60BBD">
              <w:rPr>
                <w:szCs w:val="22"/>
                <w:lang w:val="en-US" w:eastAsia="ja-JP"/>
              </w:rPr>
              <w:t>5</w:t>
            </w:r>
            <w:r w:rsidRPr="00D60BBD">
              <w:rPr>
                <w:szCs w:val="22"/>
                <w:lang w:val="en-US"/>
              </w:rPr>
              <w:t>,</w:t>
            </w:r>
            <w:r w:rsidRPr="00D60BBD">
              <w:rPr>
                <w:szCs w:val="22"/>
                <w:lang w:val="en-US" w:eastAsia="ja-JP"/>
              </w:rPr>
              <w:t>23</w:t>
            </w:r>
            <w:r w:rsidRPr="00D60BBD">
              <w:rPr>
                <w:szCs w:val="22"/>
                <w:lang w:val="en-US"/>
              </w:rPr>
              <w:t xml:space="preserve"> GHz) </w:t>
            </w:r>
            <w:r w:rsidRPr="00D60BBD">
              <w:rPr>
                <w:szCs w:val="22"/>
                <w:lang w:val="en-US"/>
              </w:rPr>
              <w:br/>
            </w:r>
            <w:r w:rsidRPr="00D60BBD">
              <w:rPr>
                <w:szCs w:val="22"/>
                <w:lang w:val="en-US"/>
              </w:rPr>
              <w:tab/>
              <w:t>(1</w:t>
            </w:r>
            <w:r w:rsidRPr="00D60BBD">
              <w:rPr>
                <w:szCs w:val="22"/>
                <w:lang w:val="en-US" w:eastAsia="ja-JP"/>
              </w:rPr>
              <w:t>7,8</w:t>
            </w:r>
            <w:r w:rsidRPr="00D60BBD">
              <w:rPr>
                <w:szCs w:val="22"/>
                <w:lang w:val="en-US"/>
              </w:rPr>
              <w:t>5-1</w:t>
            </w:r>
            <w:r w:rsidRPr="00D60BBD">
              <w:rPr>
                <w:szCs w:val="22"/>
                <w:lang w:val="en-US" w:eastAsia="ja-JP"/>
              </w:rPr>
              <w:t xml:space="preserve">7,97/ </w:t>
            </w:r>
            <w:r w:rsidRPr="00D60BBD">
              <w:rPr>
                <w:szCs w:val="22"/>
                <w:lang w:val="en-US" w:eastAsia="ja-JP"/>
              </w:rPr>
              <w:tab/>
            </w:r>
            <w:r w:rsidRPr="00D60BBD">
              <w:rPr>
                <w:szCs w:val="22"/>
                <w:lang w:val="en-US"/>
              </w:rPr>
              <w:t>1</w:t>
            </w:r>
            <w:r w:rsidRPr="00D60BBD">
              <w:rPr>
                <w:szCs w:val="22"/>
                <w:lang w:val="en-US" w:eastAsia="ja-JP"/>
              </w:rPr>
              <w:t>8,6</w:t>
            </w:r>
            <w:r w:rsidRPr="00D60BBD">
              <w:rPr>
                <w:szCs w:val="22"/>
                <w:lang w:val="en-US" w:eastAsia="ja-JP"/>
              </w:rPr>
              <w:noBreakHyphen/>
            </w:r>
            <w:r w:rsidRPr="00D60BBD">
              <w:rPr>
                <w:szCs w:val="22"/>
                <w:lang w:val="en-US"/>
              </w:rPr>
              <w:t>1</w:t>
            </w:r>
            <w:r w:rsidRPr="00D60BBD">
              <w:rPr>
                <w:szCs w:val="22"/>
                <w:lang w:val="en-US" w:eastAsia="ja-JP"/>
              </w:rPr>
              <w:t>8,72</w:t>
            </w:r>
            <w:r w:rsidRPr="00D60BBD">
              <w:rPr>
                <w:szCs w:val="22"/>
                <w:lang w:val="en-US"/>
              </w:rPr>
              <w:t xml:space="preserve"> GHz)</w:t>
            </w:r>
            <w:r w:rsidRPr="00D60BBD">
              <w:rPr>
                <w:lang w:val="en-US"/>
              </w:rPr>
              <w:br/>
            </w:r>
            <w:r w:rsidRPr="00D60BBD">
              <w:rPr>
                <w:lang w:val="en-US"/>
              </w:rPr>
              <w:tab/>
              <w:t>(23 GHz)</w:t>
            </w:r>
          </w:p>
        </w:tc>
        <w:tc>
          <w:tcPr>
            <w:tcW w:w="164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jc w:val="left"/>
              <w:rPr>
                <w:lang w:val="es-ES_tradnl"/>
              </w:rPr>
            </w:pPr>
            <w:r w:rsidRPr="00DA037C">
              <w:rPr>
                <w:lang w:val="es-ES_tradnl"/>
              </w:rPr>
              <w:t>Hasta varias decenas de km</w:t>
            </w:r>
          </w:p>
        </w:tc>
      </w:tr>
      <w:tr w:rsidR="005549EC" w:rsidRPr="006E4796" w:rsidTr="00C42434">
        <w:trPr>
          <w:cantSplit/>
          <w:jc w:val="center"/>
        </w:trPr>
        <w:tc>
          <w:tcPr>
            <w:tcW w:w="1247"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spacing w:before="60" w:after="60"/>
              <w:jc w:val="center"/>
              <w:rPr>
                <w:lang w:val="es-ES_tradnl"/>
              </w:rPr>
            </w:pPr>
            <w:r w:rsidRPr="00DA037C">
              <w:rPr>
                <w:lang w:val="es-ES_tradnl"/>
              </w:rPr>
              <w:t>F</w:t>
            </w:r>
          </w:p>
        </w:tc>
        <w:tc>
          <w:tcPr>
            <w:tcW w:w="2665"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C42434">
            <w:pPr>
              <w:pStyle w:val="Tabletext"/>
              <w:jc w:val="left"/>
              <w:rPr>
                <w:lang w:val="es-ES_tradnl"/>
              </w:rPr>
            </w:pPr>
            <w:r w:rsidRPr="00DA037C">
              <w:rPr>
                <w:lang w:val="es-ES_tradnl" w:eastAsia="ja-JP"/>
              </w:rPr>
              <w:t>6 canales AMDT</w:t>
            </w:r>
            <w:r w:rsidR="00C42434">
              <w:rPr>
                <w:lang w:val="es-ES_tradnl" w:eastAsia="ja-JP"/>
              </w:rPr>
              <w:t>,</w:t>
            </w:r>
            <w:r w:rsidRPr="00DA037C">
              <w:rPr>
                <w:lang w:val="es-ES_tradnl" w:eastAsia="ja-JP"/>
              </w:rPr>
              <w:br/>
              <w:t>po</w:t>
            </w:r>
            <w:r w:rsidR="00C42434">
              <w:rPr>
                <w:lang w:val="es-ES_tradnl" w:eastAsia="ja-JP"/>
              </w:rPr>
              <w:t xml:space="preserve">r ejemplo, hasta 2 000 llamadas </w:t>
            </w:r>
            <w:r w:rsidRPr="00DA037C">
              <w:rPr>
                <w:lang w:val="es-ES_tradnl" w:eastAsia="ja-JP"/>
              </w:rPr>
              <w:t>individuales</w:t>
            </w:r>
            <w:r w:rsidR="00C42434">
              <w:rPr>
                <w:lang w:val="es-ES_tradnl" w:eastAsia="ja-JP"/>
              </w:rPr>
              <w:t>,</w:t>
            </w:r>
            <w:r w:rsidRPr="00DA037C">
              <w:rPr>
                <w:lang w:val="es-ES_tradnl" w:eastAsia="ja-JP"/>
              </w:rPr>
              <w:br/>
              <w:t>por ejemplo, hasta 200 llamadas de grupo</w:t>
            </w:r>
          </w:p>
        </w:tc>
        <w:tc>
          <w:tcPr>
            <w:tcW w:w="4082"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tabs>
                <w:tab w:val="clear" w:pos="284"/>
                <w:tab w:val="clear" w:pos="567"/>
                <w:tab w:val="clear" w:pos="851"/>
                <w:tab w:val="clear" w:pos="1134"/>
                <w:tab w:val="clear" w:pos="1418"/>
                <w:tab w:val="clear" w:pos="1701"/>
                <w:tab w:val="clear" w:pos="1985"/>
                <w:tab w:val="clear" w:pos="2268"/>
                <w:tab w:val="clear" w:pos="2552"/>
                <w:tab w:val="left" w:pos="2260"/>
              </w:tabs>
              <w:ind w:right="-57"/>
              <w:jc w:val="left"/>
              <w:rPr>
                <w:lang w:val="es-ES_tradnl"/>
              </w:rPr>
            </w:pPr>
            <w:r w:rsidRPr="00DA037C">
              <w:rPr>
                <w:lang w:val="es-ES_tradnl" w:eastAsia="ja-JP"/>
              </w:rPr>
              <w:t>Ondas métricas</w:t>
            </w:r>
            <w:r w:rsidRPr="00DA037C">
              <w:rPr>
                <w:lang w:val="es-ES_tradnl" w:eastAsia="ja-JP"/>
              </w:rPr>
              <w:tab/>
              <w:t>(54</w:t>
            </w:r>
            <w:r w:rsidRPr="00DA037C">
              <w:rPr>
                <w:lang w:val="es-ES_tradnl" w:eastAsia="ja-JP"/>
              </w:rPr>
              <w:noBreakHyphen/>
              <w:t>70 MHz)</w:t>
            </w:r>
          </w:p>
        </w:tc>
        <w:tc>
          <w:tcPr>
            <w:tcW w:w="1644" w:type="dxa"/>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text"/>
              <w:jc w:val="left"/>
              <w:rPr>
                <w:lang w:val="es-ES_tradnl"/>
              </w:rPr>
            </w:pPr>
            <w:r w:rsidRPr="00DA037C">
              <w:rPr>
                <w:lang w:val="es-ES_tradnl" w:eastAsia="ja-JP"/>
              </w:rPr>
              <w:t>Hasta 10 km (típica)</w:t>
            </w:r>
            <w:r w:rsidR="00C42434">
              <w:rPr>
                <w:lang w:val="es-ES_tradnl" w:eastAsia="ja-JP"/>
              </w:rPr>
              <w:t>.</w:t>
            </w:r>
            <w:r w:rsidRPr="00DA037C">
              <w:rPr>
                <w:lang w:val="es-ES_tradnl" w:eastAsia="ja-JP"/>
              </w:rPr>
              <w:br/>
              <w:t>Extensión con repetidores</w:t>
            </w:r>
          </w:p>
        </w:tc>
      </w:tr>
      <w:tr w:rsidR="005549EC" w:rsidRPr="006E4796" w:rsidTr="00C42434">
        <w:trPr>
          <w:cantSplit/>
          <w:jc w:val="center"/>
        </w:trPr>
        <w:tc>
          <w:tcPr>
            <w:tcW w:w="9639" w:type="dxa"/>
            <w:gridSpan w:val="4"/>
            <w:tcBorders>
              <w:top w:val="single" w:sz="6" w:space="0" w:color="auto"/>
              <w:left w:val="single" w:sz="6" w:space="0" w:color="auto"/>
              <w:bottom w:val="single" w:sz="6" w:space="0" w:color="auto"/>
              <w:right w:val="single" w:sz="6" w:space="0" w:color="auto"/>
            </w:tcBorders>
            <w:tcMar>
              <w:left w:w="108" w:type="dxa"/>
              <w:right w:w="108" w:type="dxa"/>
            </w:tcMar>
          </w:tcPr>
          <w:p w:rsidR="005549EC" w:rsidRPr="00DA037C" w:rsidRDefault="005549EC" w:rsidP="00613BA1">
            <w:pPr>
              <w:pStyle w:val="Tablelegend"/>
              <w:ind w:left="482" w:hanging="567"/>
              <w:rPr>
                <w:lang w:val="es-ES_tradnl"/>
              </w:rPr>
            </w:pPr>
            <w:r w:rsidRPr="00DA037C">
              <w:rPr>
                <w:lang w:val="es-ES_tradnl"/>
              </w:rPr>
              <w:t>AMDT:</w:t>
            </w:r>
            <w:r w:rsidRPr="00DA037C">
              <w:rPr>
                <w:lang w:val="es-ES_tradnl"/>
              </w:rPr>
              <w:tab/>
              <w:t>Acceso múltiple por división en el tiempo</w:t>
            </w:r>
          </w:p>
          <w:p w:rsidR="005549EC" w:rsidRPr="00DA037C" w:rsidRDefault="005549EC" w:rsidP="00613BA1">
            <w:pPr>
              <w:pStyle w:val="Tablelegend"/>
              <w:rPr>
                <w:lang w:val="es-ES_tradnl"/>
              </w:rPr>
            </w:pPr>
            <w:r w:rsidRPr="00DA037C">
              <w:rPr>
                <w:lang w:val="es-ES_tradnl"/>
              </w:rPr>
              <w:t>STM:</w:t>
            </w:r>
            <w:r w:rsidRPr="00DA037C">
              <w:rPr>
                <w:lang w:val="es-ES_tradnl"/>
              </w:rPr>
              <w:tab/>
            </w:r>
            <w:r w:rsidRPr="00DA037C">
              <w:rPr>
                <w:lang w:val="es-ES_tradnl"/>
              </w:rPr>
              <w:tab/>
              <w:t>Modo de transferencia síncrono</w:t>
            </w:r>
          </w:p>
          <w:p w:rsidR="005549EC" w:rsidRPr="00DA037C" w:rsidRDefault="005549EC" w:rsidP="00C42434">
            <w:pPr>
              <w:pStyle w:val="Tablelegend"/>
              <w:spacing w:after="80"/>
              <w:rPr>
                <w:lang w:val="es-ES_tradnl" w:eastAsia="ja-JP"/>
              </w:rPr>
            </w:pPr>
            <w:r w:rsidRPr="00DA037C">
              <w:rPr>
                <w:szCs w:val="22"/>
                <w:vertAlign w:val="superscript"/>
                <w:lang w:val="es-ES_tradnl"/>
              </w:rPr>
              <w:t>(1)</w:t>
            </w:r>
            <w:r w:rsidRPr="00DA037C">
              <w:rPr>
                <w:lang w:val="es-ES_tradnl"/>
              </w:rPr>
              <w:tab/>
              <w:t>Muchas partes de estas bandas están compartidas con los servicios por satélite.</w:t>
            </w:r>
          </w:p>
        </w:tc>
      </w:tr>
    </w:tbl>
    <w:p w:rsidR="005549EC" w:rsidRPr="00DA037C" w:rsidRDefault="005549EC" w:rsidP="005549EC">
      <w:pPr>
        <w:pStyle w:val="Tablefin"/>
        <w:rPr>
          <w:sz w:val="2"/>
          <w:szCs w:val="2"/>
          <w:lang w:val="es-ES_tradnl"/>
        </w:rPr>
      </w:pPr>
    </w:p>
    <w:p w:rsidR="005549EC" w:rsidRPr="00DA037C" w:rsidRDefault="005549EC" w:rsidP="005549EC">
      <w:pPr>
        <w:pStyle w:val="Tablefin"/>
        <w:rPr>
          <w:lang w:val="es-ES_tradnl"/>
        </w:rPr>
      </w:pPr>
    </w:p>
    <w:p w:rsidR="005549EC" w:rsidRPr="00DA037C" w:rsidRDefault="005549EC" w:rsidP="00D2508C">
      <w:pPr>
        <w:keepNext/>
        <w:keepLines/>
        <w:rPr>
          <w:lang w:val="es-ES_tradnl"/>
        </w:rPr>
      </w:pPr>
      <w:r w:rsidRPr="00DA037C">
        <w:rPr>
          <w:lang w:val="es-ES_tradnl"/>
        </w:rPr>
        <w:t>Para los enlaces con una estación terrena que haga parte de un servicio por satélite, deben tenerse en cuenta las restricciones adicionales siguientes:</w:t>
      </w:r>
    </w:p>
    <w:p w:rsidR="005549EC" w:rsidRPr="00DA037C" w:rsidRDefault="005549EC" w:rsidP="005549EC">
      <w:pPr>
        <w:pStyle w:val="enumlev1"/>
        <w:rPr>
          <w:lang w:val="es-ES_tradnl"/>
        </w:rPr>
      </w:pPr>
      <w:r w:rsidRPr="00DA037C">
        <w:rPr>
          <w:lang w:val="es-ES_tradnl"/>
        </w:rPr>
        <w:t>–</w:t>
      </w:r>
      <w:r w:rsidRPr="00DA037C">
        <w:rPr>
          <w:lang w:val="es-ES_tradnl"/>
        </w:rPr>
        <w:tab/>
        <w:t>deben evitarse las bandas de frecuencias espacio-Tierra;</w:t>
      </w:r>
    </w:p>
    <w:p w:rsidR="005549EC" w:rsidRPr="00DA037C" w:rsidRDefault="005549EC" w:rsidP="005549EC">
      <w:pPr>
        <w:pStyle w:val="enumlev1"/>
        <w:rPr>
          <w:lang w:val="es-ES_tradnl"/>
        </w:rPr>
      </w:pPr>
      <w:r w:rsidRPr="00DA037C">
        <w:rPr>
          <w:lang w:val="es-ES_tradnl"/>
        </w:rPr>
        <w:t>–</w:t>
      </w:r>
      <w:r w:rsidRPr="00DA037C">
        <w:rPr>
          <w:lang w:val="es-ES_tradnl"/>
        </w:rPr>
        <w:tab/>
        <w:t>pueden surgir problemas si se utilizan las bandas de frecuencias Tierra-espacio;</w:t>
      </w:r>
    </w:p>
    <w:p w:rsidR="005549EC" w:rsidRPr="00DA037C" w:rsidRDefault="005549EC" w:rsidP="005549EC">
      <w:pPr>
        <w:pStyle w:val="enumlev1"/>
        <w:rPr>
          <w:lang w:val="es-ES_tradnl"/>
        </w:rPr>
      </w:pPr>
      <w:r w:rsidRPr="00DA037C">
        <w:rPr>
          <w:lang w:val="es-ES_tradnl"/>
        </w:rPr>
        <w:t>–</w:t>
      </w:r>
      <w:r w:rsidRPr="00DA037C">
        <w:rPr>
          <w:lang w:val="es-ES_tradnl"/>
        </w:rPr>
        <w:tab/>
        <w:t xml:space="preserve">deben evitarse los sistemas </w:t>
      </w:r>
      <w:proofErr w:type="spellStart"/>
      <w:r w:rsidRPr="00DA037C">
        <w:rPr>
          <w:lang w:val="es-ES_tradnl"/>
        </w:rPr>
        <w:t>transhorizonte</w:t>
      </w:r>
      <w:proofErr w:type="spellEnd"/>
      <w:r w:rsidRPr="00DA037C">
        <w:rPr>
          <w:lang w:val="es-ES_tradnl"/>
        </w:rPr>
        <w:t xml:space="preserve"> (Tipo D).</w:t>
      </w:r>
    </w:p>
    <w:p w:rsidR="005549EC" w:rsidRPr="00DA037C" w:rsidRDefault="005549EC" w:rsidP="005549EC">
      <w:pPr>
        <w:rPr>
          <w:lang w:val="es-ES_tradnl"/>
        </w:rPr>
      </w:pPr>
      <w:r w:rsidRPr="00DA037C">
        <w:rPr>
          <w:lang w:val="es-ES_tradnl"/>
        </w:rPr>
        <w:t>Sería preferible evitar las bandas que puedan estar en uso o previstas para comunicaciones interurbanas; sin embargo, estas bandas pueden utilizarse para el Tipo E, siempre que la administración examine atentamente los problemas de interferencia.</w:t>
      </w:r>
    </w:p>
    <w:p w:rsidR="005549EC" w:rsidRPr="00DA037C" w:rsidRDefault="005549EC" w:rsidP="005549EC">
      <w:pPr>
        <w:pStyle w:val="Heading1"/>
        <w:rPr>
          <w:lang w:val="es-ES_tradnl"/>
        </w:rPr>
      </w:pPr>
      <w:r w:rsidRPr="00DA037C">
        <w:rPr>
          <w:lang w:val="es-ES_tradnl"/>
        </w:rPr>
        <w:t>2</w:t>
      </w:r>
      <w:r w:rsidRPr="00DA037C">
        <w:rPr>
          <w:lang w:val="es-ES_tradnl"/>
        </w:rPr>
        <w:tab/>
        <w:t>Principios técnicos</w:t>
      </w:r>
    </w:p>
    <w:p w:rsidR="005549EC" w:rsidRPr="00DA037C" w:rsidRDefault="005549EC" w:rsidP="005549EC">
      <w:pPr>
        <w:pStyle w:val="Heading2"/>
        <w:rPr>
          <w:lang w:val="es-ES_tradnl"/>
        </w:rPr>
      </w:pPr>
      <w:r w:rsidRPr="00DA037C">
        <w:rPr>
          <w:lang w:val="es-ES_tradnl"/>
        </w:rPr>
        <w:t>2.1</w:t>
      </w:r>
      <w:r w:rsidRPr="00DA037C">
        <w:rPr>
          <w:lang w:val="es-ES_tradnl"/>
        </w:rPr>
        <w:tab/>
        <w:t>Enlaces de poca capacidad (sistema de Tipo A)</w:t>
      </w:r>
    </w:p>
    <w:p w:rsidR="005549EC" w:rsidRPr="00DA037C" w:rsidRDefault="005549EC" w:rsidP="005549EC">
      <w:pPr>
        <w:rPr>
          <w:lang w:val="es-ES_tradnl"/>
        </w:rPr>
      </w:pPr>
      <w:r w:rsidRPr="00DA037C">
        <w:rPr>
          <w:lang w:val="es-ES_tradnl"/>
        </w:rPr>
        <w:t xml:space="preserve">Los equipos transportables de ondas </w:t>
      </w:r>
      <w:proofErr w:type="spellStart"/>
      <w:r w:rsidRPr="00DA037C">
        <w:rPr>
          <w:lang w:val="es-ES_tradnl"/>
        </w:rPr>
        <w:t>decamétricas</w:t>
      </w:r>
      <w:proofErr w:type="spellEnd"/>
      <w:r w:rsidRPr="00DA037C">
        <w:rPr>
          <w:lang w:val="es-ES_tradnl"/>
        </w:rPr>
        <w:t xml:space="preserve"> para uno o dos canales, deben utilizar solamente semi</w:t>
      </w:r>
      <w:r w:rsidRPr="00DA037C">
        <w:rPr>
          <w:lang w:val="es-ES_tradnl"/>
        </w:rPr>
        <w:softHyphen/>
        <w:t>conductores y proyectarse para desconectar los transmisores cuando no se empleen, con el fin de conservar la potencia de la batería y disminuir las posibilidades de interferencia.</w:t>
      </w:r>
    </w:p>
    <w:p w:rsidR="005549EC" w:rsidRPr="00DA037C" w:rsidRDefault="005549EC" w:rsidP="00D2508C">
      <w:pPr>
        <w:rPr>
          <w:lang w:val="es-ES_tradnl"/>
        </w:rPr>
      </w:pPr>
      <w:r w:rsidRPr="00DA037C">
        <w:rPr>
          <w:lang w:val="es-ES_tradnl"/>
        </w:rPr>
        <w:t>Por ejemplo, un equipo terminal de semiconductores y banda lateral única de 100</w:t>
      </w:r>
      <w:r w:rsidR="00D2508C">
        <w:rPr>
          <w:lang w:val="es-ES_tradnl"/>
        </w:rPr>
        <w:t> </w:t>
      </w:r>
      <w:r w:rsidRPr="00DA037C">
        <w:rPr>
          <w:lang w:val="es-ES_tradnl"/>
        </w:rPr>
        <w:t>W en una banda comprendida entre 2 y 8</w:t>
      </w:r>
      <w:r w:rsidR="00D2508C">
        <w:rPr>
          <w:lang w:val="es-ES_tradnl"/>
        </w:rPr>
        <w:t> </w:t>
      </w:r>
      <w:r w:rsidRPr="00DA037C">
        <w:rPr>
          <w:lang w:val="es-ES_tradnl"/>
        </w:rPr>
        <w:t>MHz, y explotado con una antena de látigo, puede tener un alcance de hasta 250</w:t>
      </w:r>
      <w:r w:rsidR="00D2508C">
        <w:rPr>
          <w:lang w:val="es-ES_tradnl"/>
        </w:rPr>
        <w:t> </w:t>
      </w:r>
      <w:r w:rsidRPr="00DA037C">
        <w:rPr>
          <w:lang w:val="es-ES_tradnl"/>
        </w:rPr>
        <w:t xml:space="preserve">km. La explotación </w:t>
      </w:r>
      <w:proofErr w:type="spellStart"/>
      <w:r w:rsidRPr="00DA037C">
        <w:rPr>
          <w:lang w:val="es-ES_tradnl"/>
        </w:rPr>
        <w:t>símplex</w:t>
      </w:r>
      <w:proofErr w:type="spellEnd"/>
      <w:r w:rsidRPr="00DA037C">
        <w:rPr>
          <w:lang w:val="es-ES_tradnl"/>
        </w:rPr>
        <w:t xml:space="preserve"> (empleando la misma frecuencia en el transmisor y receptor), con un sintetizador de frecuencias para garantizar una amplia y rápida elección de frecuencia cuando se produce interferencia y facilitar el establecimiento en caso de emergencia, puede proporcionar una explotación de 24 h con una batería relativamente pequeña (suponiendo que el transmisor no se utilice excesivamente). La batería puede cargarse mediante un generador montado en un vehículo, y todas las unidades pueden transportarse a mano en terreno accidentado.</w:t>
      </w:r>
    </w:p>
    <w:p w:rsidR="005549EC" w:rsidRPr="00DA037C" w:rsidRDefault="005549EC" w:rsidP="005549EC">
      <w:pPr>
        <w:pStyle w:val="Heading2"/>
        <w:rPr>
          <w:lang w:val="es-ES_tradnl"/>
        </w:rPr>
      </w:pPr>
      <w:r w:rsidRPr="00DA037C">
        <w:rPr>
          <w:lang w:val="es-ES_tradnl"/>
        </w:rPr>
        <w:t>2.2</w:t>
      </w:r>
      <w:r w:rsidRPr="00DA037C">
        <w:rPr>
          <w:lang w:val="es-ES_tradnl"/>
        </w:rPr>
        <w:tab/>
        <w:t>Redes locales de radiocomunicaciones (sistema de Tipo B)</w:t>
      </w:r>
    </w:p>
    <w:p w:rsidR="005549EC" w:rsidRPr="00DA037C" w:rsidRDefault="005549EC" w:rsidP="00D2508C">
      <w:pPr>
        <w:rPr>
          <w:lang w:val="es-ES_tradnl"/>
        </w:rPr>
      </w:pPr>
      <w:r w:rsidRPr="00DA037C">
        <w:rPr>
          <w:lang w:val="es-ES_tradnl"/>
        </w:rPr>
        <w:t>Las redes de radiocomunicaciones de Tipo</w:t>
      </w:r>
      <w:r w:rsidR="00D2508C">
        <w:rPr>
          <w:lang w:val="es-ES_tradnl"/>
        </w:rPr>
        <w:t> </w:t>
      </w:r>
      <w:r w:rsidRPr="00DA037C">
        <w:rPr>
          <w:lang w:val="es-ES_tradnl"/>
        </w:rPr>
        <w:t xml:space="preserve">B se prevén como centros locales para las radiocomunicaciones </w:t>
      </w:r>
      <w:proofErr w:type="spellStart"/>
      <w:r w:rsidRPr="00DA037C">
        <w:rPr>
          <w:lang w:val="es-ES_tradnl"/>
        </w:rPr>
        <w:t>monocanal</w:t>
      </w:r>
      <w:proofErr w:type="spellEnd"/>
      <w:r w:rsidRPr="00DA037C">
        <w:rPr>
          <w:lang w:val="es-ES_tradnl"/>
        </w:rPr>
        <w:t>, con 10 a 20 estaciones exteriores, explotadas en ondas métricas o decimétricas, hasta unos 470</w:t>
      </w:r>
      <w:r w:rsidR="00D2508C">
        <w:rPr>
          <w:lang w:val="es-ES_tradnl"/>
        </w:rPr>
        <w:t> </w:t>
      </w:r>
      <w:r w:rsidRPr="00DA037C">
        <w:rPr>
          <w:lang w:val="es-ES_tradnl"/>
        </w:rPr>
        <w:t>MHz. Pueden utilizarse equipos de un solo canal y de canales múltiples como los empleados en el servicio móvil terrestre.</w:t>
      </w:r>
    </w:p>
    <w:p w:rsidR="005549EC" w:rsidRPr="00DA037C" w:rsidRDefault="005549EC" w:rsidP="005549EC">
      <w:pPr>
        <w:pStyle w:val="Heading2"/>
        <w:rPr>
          <w:lang w:val="es-ES_tradnl"/>
        </w:rPr>
      </w:pPr>
      <w:r w:rsidRPr="00DA037C">
        <w:rPr>
          <w:lang w:val="es-ES_tradnl"/>
        </w:rPr>
        <w:t>2.3</w:t>
      </w:r>
      <w:r w:rsidRPr="00DA037C">
        <w:rPr>
          <w:lang w:val="es-ES_tradnl"/>
        </w:rPr>
        <w:tab/>
        <w:t xml:space="preserve">Enlaces de hasta 120 canales </w:t>
      </w:r>
      <w:r w:rsidRPr="00DA037C">
        <w:rPr>
          <w:lang w:val="es-ES_tradnl" w:eastAsia="ja-JP"/>
        </w:rPr>
        <w:t>o 6,3/8 Mbit/s</w:t>
      </w:r>
      <w:r w:rsidRPr="00DA037C">
        <w:rPr>
          <w:lang w:val="es-ES_tradnl"/>
        </w:rPr>
        <w:t xml:space="preserve"> (sistema de Tipo C)</w:t>
      </w:r>
    </w:p>
    <w:p w:rsidR="005549EC" w:rsidRPr="00DA037C" w:rsidRDefault="005549EC" w:rsidP="005549EC">
      <w:pPr>
        <w:rPr>
          <w:lang w:val="es-ES_tradnl"/>
        </w:rPr>
      </w:pPr>
      <w:r w:rsidRPr="00DA037C">
        <w:rPr>
          <w:lang w:val="es-ES_tradnl"/>
        </w:rPr>
        <w:t>Se dispone de equipos adecuados para su transporte por carretera, ferrocarril o helicóptero. Tales equipos, junto con las fuentes de alimentación, pueden instalarse y ponerse en servicio fácil y rápidamente. La capacidad de los equipos va de 1,5/2 a 6,3/8 Mbit/s, dependiendo de las necesidades de la topografía del terreno y de otros factores.</w:t>
      </w:r>
    </w:p>
    <w:p w:rsidR="005549EC" w:rsidRPr="00DA037C" w:rsidRDefault="005549EC" w:rsidP="005549EC">
      <w:pPr>
        <w:rPr>
          <w:lang w:val="es-ES_tradnl"/>
        </w:rPr>
      </w:pPr>
      <w:r w:rsidRPr="00DA037C">
        <w:rPr>
          <w:lang w:val="es-ES_tradnl"/>
        </w:rPr>
        <w:t xml:space="preserve">Se prefieren los equipos alimentados con c.c. o que puedan funcionar con </w:t>
      </w:r>
      <w:proofErr w:type="spellStart"/>
      <w:r w:rsidRPr="00DA037C">
        <w:rPr>
          <w:lang w:val="es-ES_tradnl"/>
        </w:rPr>
        <w:t>c.a.</w:t>
      </w:r>
      <w:proofErr w:type="spellEnd"/>
      <w:r w:rsidRPr="00DA037C">
        <w:rPr>
          <w:lang w:val="es-ES_tradnl"/>
        </w:rPr>
        <w:t xml:space="preserve"> y conmutarse automáticamente a c.c. Pueden asociarse a antenas </w:t>
      </w:r>
      <w:proofErr w:type="spellStart"/>
      <w:r w:rsidRPr="00DA037C">
        <w:rPr>
          <w:lang w:val="es-ES_tradnl"/>
        </w:rPr>
        <w:t>Yagi</w:t>
      </w:r>
      <w:proofErr w:type="spellEnd"/>
      <w:r w:rsidRPr="00DA037C">
        <w:rPr>
          <w:lang w:val="es-ES_tradnl"/>
        </w:rPr>
        <w:t xml:space="preserve"> o de rejilla de poco peso y ganancia elevada, con un alcance de visibilidad directa de hasta 100 km, pero capaces de aceptar alguna obstrucción debida a los árboles, en trayectos más cortos. Conviene utilizar mástiles telescópicos o arriostrados y que puedan orientarse desde el suelo. Si se utilizan antenas separadas para la transmisión y la recepción con polarización cruzada, conviene conectar los transmisores a las antenas, que tienen una polarización de 45° (desde la parte superior derecha a la parte inferior izquierda, visto a lo largo del trayecto desde atrás de la antena); si las antenas del transmisor y del receptor están montadas en el mismo subconjunto, con conectores machos y hembras, no puede haber confusión en cuanto al plano de polarización que ha de elegirse, puesto que la señal recibida estará siempre en polarización cruzada con la transmitida.</w:t>
      </w:r>
    </w:p>
    <w:p w:rsidR="005549EC" w:rsidRPr="00DA037C" w:rsidRDefault="005549EC" w:rsidP="005549EC">
      <w:pPr>
        <w:rPr>
          <w:lang w:val="es-ES_tradnl"/>
        </w:rPr>
      </w:pPr>
      <w:r w:rsidRPr="00DA037C">
        <w:rPr>
          <w:lang w:val="es-ES_tradnl"/>
        </w:rPr>
        <w:t>Ha de optarse por una sola frecuencia o frecuencias que pueden elegirse previamente, para eliminar la mayor cantidad posible de variantes durante el establecimiento inicial del equipo. La capacidad de seleccionar adecuadamente sobre el terreno las frecuencias de transmisión y recepción pertenecientes a una amplia banda de frecuencias es una ventaja. Se preferirá un cable relleno de espuma o un cable flexible relleno de un dieléctrico sólido, por ser menos propenso a los daños mecánicos y a los efectos de la humedad.</w:t>
      </w:r>
    </w:p>
    <w:p w:rsidR="005549EC" w:rsidRPr="00DA037C" w:rsidRDefault="005549EC" w:rsidP="005549EC">
      <w:pPr>
        <w:pStyle w:val="Heading2"/>
        <w:rPr>
          <w:lang w:val="es-ES_tradnl"/>
        </w:rPr>
      </w:pPr>
      <w:r w:rsidRPr="00DA037C">
        <w:rPr>
          <w:lang w:val="es-ES_tradnl"/>
        </w:rPr>
        <w:t>2.4</w:t>
      </w:r>
      <w:r w:rsidRPr="00DA037C">
        <w:rPr>
          <w:lang w:val="es-ES_tradnl"/>
        </w:rPr>
        <w:tab/>
        <w:t>Enlaces de hasta 480 canales o 34/45 Mbit/s (sistema de Tipo D)</w:t>
      </w:r>
    </w:p>
    <w:p w:rsidR="005549EC" w:rsidRPr="00DA037C" w:rsidRDefault="005549EC" w:rsidP="006E4796">
      <w:pPr>
        <w:rPr>
          <w:lang w:val="es-ES_tradnl"/>
        </w:rPr>
      </w:pPr>
      <w:r w:rsidRPr="00DA037C">
        <w:rPr>
          <w:lang w:val="es-ES_tradnl"/>
        </w:rPr>
        <w:t>En este caso, se dispone de equipo adecuado para el transporte por carretera, ferrocarril o helicópteros; tal equipo puede instalarse y ponerse en servicio, fácil y rápidamente, junto con el suministro de energía. Su capacidad es de 12 a 480</w:t>
      </w:r>
      <w:r w:rsidR="006E4796">
        <w:rPr>
          <w:lang w:val="es-ES_tradnl"/>
        </w:rPr>
        <w:t> </w:t>
      </w:r>
      <w:r w:rsidRPr="00DA037C">
        <w:rPr>
          <w:lang w:val="es-ES_tradnl"/>
        </w:rPr>
        <w:t xml:space="preserve">canales telefónicos, aproximadamente, según las necesidades, la topografía y otros factores. El empleo de receptores con bajo nivel de ruido y demoduladores especiales, así como recepción por diversidad, permite que el tamaño de las antenas, la potencia del transmisor y el volumen del equipo de suministro de energía sean más pequeños que los utilizados normalmente en instalaciones </w:t>
      </w:r>
      <w:proofErr w:type="spellStart"/>
      <w:r w:rsidRPr="00DA037C">
        <w:rPr>
          <w:lang w:val="es-ES_tradnl"/>
        </w:rPr>
        <w:t>transhorizonte</w:t>
      </w:r>
      <w:proofErr w:type="spellEnd"/>
      <w:r w:rsidRPr="00DA037C">
        <w:rPr>
          <w:lang w:val="es-ES_tradnl"/>
        </w:rPr>
        <w:t xml:space="preserve"> clásicas.</w:t>
      </w:r>
    </w:p>
    <w:p w:rsidR="005549EC" w:rsidRPr="00DA037C" w:rsidRDefault="005549EC" w:rsidP="005549EC">
      <w:pPr>
        <w:rPr>
          <w:lang w:val="es-ES_tradnl"/>
        </w:rPr>
      </w:pPr>
      <w:r w:rsidRPr="00DA037C">
        <w:rPr>
          <w:lang w:val="es-ES_tradnl"/>
        </w:rPr>
        <w:t xml:space="preserve">En condiciones de trayecto con visibilidad directa o parcialmente obstruido, se dispone de equipos transportables con capacidad de despliegue rápido similar pero con capacidades de transmisión de hasta 34/45 Mbit/s. Se prefieren equipos alimentados con c.c. o equipos que puedan funcionar con </w:t>
      </w:r>
      <w:proofErr w:type="spellStart"/>
      <w:r w:rsidRPr="00DA037C">
        <w:rPr>
          <w:lang w:val="es-ES_tradnl"/>
        </w:rPr>
        <w:t>c.a.</w:t>
      </w:r>
      <w:proofErr w:type="spellEnd"/>
      <w:r w:rsidRPr="00DA037C">
        <w:rPr>
          <w:lang w:val="es-ES_tradnl"/>
        </w:rPr>
        <w:t xml:space="preserve"> y conmutarse automáticamente a c.c. Pueden asociarse a antenas de rejilla ligeras </w:t>
      </w:r>
      <w:r w:rsidRPr="00DA037C">
        <w:rPr>
          <w:lang w:val="es-ES_tradnl" w:eastAsia="ja-JP"/>
        </w:rPr>
        <w:t>o pantalla plana</w:t>
      </w:r>
      <w:r w:rsidRPr="00DA037C">
        <w:rPr>
          <w:lang w:val="es-ES_tradnl"/>
        </w:rPr>
        <w:t>, con un alcance de visibilidad directa pero capaces de aceptar alguna obstrucción debida a los árboles, en trayectos más cortos. Conviene utilizar mástiles telescópicos o arriostrados y que puedan orientarse desde el suelo.</w:t>
      </w:r>
    </w:p>
    <w:p w:rsidR="005549EC" w:rsidRPr="00DA037C" w:rsidRDefault="005549EC" w:rsidP="005549EC">
      <w:pPr>
        <w:rPr>
          <w:lang w:val="es-ES_tradnl"/>
        </w:rPr>
      </w:pPr>
      <w:r w:rsidRPr="00DA037C">
        <w:rPr>
          <w:lang w:val="es-ES_tradnl"/>
        </w:rPr>
        <w:t>La capacidad de seleccionar adecuadamente sobre el terreno las frecuencias de transmisión y recepción pertenecientes a una banda de frecuencias amplia es una ventaja.</w:t>
      </w:r>
    </w:p>
    <w:p w:rsidR="005549EC" w:rsidRPr="00DA037C" w:rsidRDefault="005549EC" w:rsidP="005549EC">
      <w:pPr>
        <w:pStyle w:val="Heading2"/>
        <w:rPr>
          <w:lang w:val="es-ES_tradnl"/>
        </w:rPr>
      </w:pPr>
      <w:r w:rsidRPr="00DA037C">
        <w:rPr>
          <w:lang w:val="es-ES_tradnl"/>
        </w:rPr>
        <w:t>2.5</w:t>
      </w:r>
      <w:r w:rsidRPr="00DA037C">
        <w:rPr>
          <w:lang w:val="es-ES_tradnl"/>
        </w:rPr>
        <w:tab/>
        <w:t>Enlaces de gran capacidad (sistema de Tipo E)</w:t>
      </w:r>
    </w:p>
    <w:p w:rsidR="005549EC" w:rsidRPr="00DA037C" w:rsidRDefault="005549EC" w:rsidP="00D2508C">
      <w:pPr>
        <w:rPr>
          <w:lang w:val="es-ES_tradnl"/>
        </w:rPr>
      </w:pPr>
      <w:r w:rsidRPr="00DA037C">
        <w:rPr>
          <w:lang w:val="es-ES_tradnl"/>
        </w:rPr>
        <w:t>Para bandas de frecuencias más elevadas y capacidades de 960 canales telefónicos</w:t>
      </w:r>
      <w:r w:rsidRPr="00DA037C">
        <w:rPr>
          <w:lang w:val="es-ES_tradnl" w:eastAsia="ja-JP"/>
        </w:rPr>
        <w:t xml:space="preserve"> o STM-0</w:t>
      </w:r>
      <w:r w:rsidRPr="00DA037C">
        <w:rPr>
          <w:lang w:val="es-ES_tradnl"/>
        </w:rPr>
        <w:t xml:space="preserve"> y superiores, se recomienda que el equipo de radiofrecuencia se integre directamente en las antenas. En cuanto al equipo transportable, debe darse preferencia al disponible con reflectores de un diámetro inferior a unos 2</w:t>
      </w:r>
      <w:r w:rsidR="00D2508C">
        <w:rPr>
          <w:lang w:val="es-ES_tradnl"/>
        </w:rPr>
        <w:t> </w:t>
      </w:r>
      <w:r w:rsidRPr="00DA037C">
        <w:rPr>
          <w:lang w:val="es-ES_tradnl"/>
        </w:rPr>
        <w:t>m. Como la interconexión a frecuencias intermedias en los repetidores es una característica conveniente, se debe poder hacer una interconexión a frecuencias intermedias entre las unidades de entrada de radiofrecuencia.</w:t>
      </w:r>
    </w:p>
    <w:p w:rsidR="005549EC" w:rsidRPr="00DA037C" w:rsidRDefault="005549EC" w:rsidP="00D2508C">
      <w:pPr>
        <w:rPr>
          <w:lang w:val="es-ES_tradnl"/>
        </w:rPr>
      </w:pPr>
      <w:r w:rsidRPr="00DA037C">
        <w:rPr>
          <w:lang w:val="es-ES_tradnl"/>
        </w:rPr>
        <w:t>Sin embargo, como el equipo que ha de reemplazarse en un caso de emergencia o con carácter temporal, se encontrará muy probablemente a nivel del suelo, el cable de control debe pasar la frecuencia intermedia a la unidad de control a ese nivel. Probablemente las antenas de los sistemas utilizados en operaciones de socorro sean más pequeñas que las de los enlaces fijos por microondas, por lo cual es importante que la potencia de salida de los transmisores sea lo más elevada posible y que el factor de ruido de los receptores se reduzca al máximo. Se prefiere el equipo de batería, siendo adecuadas las tensiones de 12</w:t>
      </w:r>
      <w:r w:rsidR="00D2508C">
        <w:rPr>
          <w:lang w:val="es-ES_tradnl"/>
        </w:rPr>
        <w:t> </w:t>
      </w:r>
      <w:r w:rsidRPr="00DA037C">
        <w:rPr>
          <w:lang w:val="es-ES_tradnl"/>
        </w:rPr>
        <w:t>V y/o 24</w:t>
      </w:r>
      <w:r w:rsidR="00D2508C">
        <w:rPr>
          <w:lang w:val="es-ES_tradnl"/>
        </w:rPr>
        <w:t> </w:t>
      </w:r>
      <w:r w:rsidRPr="00DA037C">
        <w:rPr>
          <w:lang w:val="es-ES_tradnl"/>
        </w:rPr>
        <w:t>V, en caso de que las baterías hayan de cargarse de nuevo mediante dínamos o alternadores de un vehículo disponible.</w:t>
      </w:r>
    </w:p>
    <w:p w:rsidR="005549EC" w:rsidRPr="00DA037C" w:rsidRDefault="005549EC" w:rsidP="006E4796">
      <w:pPr>
        <w:rPr>
          <w:lang w:val="es-ES_tradnl"/>
        </w:rPr>
      </w:pPr>
      <w:r w:rsidRPr="00DA037C">
        <w:rPr>
          <w:lang w:val="es-ES_tradnl"/>
        </w:rPr>
        <w:t>Cabe también la posibilidad de introducir el equipo en varios contenedores. Ello facilitaría el transporte del equipo y cada contenedor podría proporcionar medios para la instalación rápida de varios transmisores y receptores. El número máximo de transceptores alojados en un contenedor dependerá de las dimensiones y del peso máximo que se adopte, en previsión del transporte por helicóptero, avión, o cualquier otro medio. Además, es preferible tener en cuenta equipo que funcione con fuentes de energía disponibles comúnmente en el mercado. Los sistemas inalámbricos fijos requieren generalmente funcionamiento con visibilidad directa. Para los sistemas inalámbricos fijos digitales, la interfaz debe basarse en la velocidad primaria (2 Mbit/s</w:t>
      </w:r>
      <w:r w:rsidR="006E4796">
        <w:rPr>
          <w:lang w:val="es-ES_tradnl"/>
        </w:rPr>
        <w:t xml:space="preserve"> </w:t>
      </w:r>
      <w:r w:rsidRPr="00DA037C">
        <w:rPr>
          <w:lang w:val="es-ES_tradnl"/>
        </w:rPr>
        <w:t>(E1) o</w:t>
      </w:r>
      <w:r w:rsidR="006E4796">
        <w:rPr>
          <w:lang w:val="es-ES_tradnl"/>
        </w:rPr>
        <w:t xml:space="preserve"> </w:t>
      </w:r>
      <w:r w:rsidRPr="00DA037C">
        <w:rPr>
          <w:lang w:val="es-ES_tradnl"/>
        </w:rPr>
        <w:t>1,5 Mbit/s</w:t>
      </w:r>
      <w:r w:rsidR="006E4796">
        <w:rPr>
          <w:lang w:val="es-ES_tradnl"/>
        </w:rPr>
        <w:t xml:space="preserve"> </w:t>
      </w:r>
      <w:r w:rsidRPr="00DA037C">
        <w:rPr>
          <w:lang w:val="es-ES_tradnl"/>
        </w:rPr>
        <w:t xml:space="preserve">(T1)) </w:t>
      </w:r>
      <w:r>
        <w:rPr>
          <w:lang w:val="es-ES_tradnl" w:eastAsia="ja-JP"/>
        </w:rPr>
        <w:t>o</w:t>
      </w:r>
      <w:r w:rsidR="006E4796">
        <w:rPr>
          <w:lang w:val="es-ES_tradnl" w:eastAsia="ja-JP"/>
        </w:rPr>
        <w:t xml:space="preserve"> </w:t>
      </w:r>
      <w:r>
        <w:rPr>
          <w:lang w:val="es-ES_tradnl" w:eastAsia="ja-JP"/>
        </w:rPr>
        <w:t>155,52 </w:t>
      </w:r>
      <w:r w:rsidRPr="00DA037C">
        <w:rPr>
          <w:lang w:val="es-ES_tradnl" w:eastAsia="ja-JP"/>
        </w:rPr>
        <w:t>Mbit/s (STM-1)</w:t>
      </w:r>
      <w:r w:rsidRPr="00DA037C">
        <w:rPr>
          <w:lang w:val="es-ES_tradnl"/>
        </w:rPr>
        <w:t>.</w:t>
      </w:r>
    </w:p>
    <w:p w:rsidR="005549EC" w:rsidRPr="00DA037C" w:rsidRDefault="005549EC" w:rsidP="005549EC">
      <w:pPr>
        <w:pStyle w:val="Heading2"/>
        <w:rPr>
          <w:lang w:val="es-ES_tradnl" w:eastAsia="ja-JP"/>
        </w:rPr>
      </w:pPr>
      <w:r w:rsidRPr="00DA037C">
        <w:rPr>
          <w:lang w:val="es-ES_tradnl"/>
        </w:rPr>
        <w:t>2.</w:t>
      </w:r>
      <w:r w:rsidRPr="00DA037C">
        <w:rPr>
          <w:lang w:val="es-ES_tradnl" w:eastAsia="ja-JP"/>
        </w:rPr>
        <w:t>6</w:t>
      </w:r>
      <w:r w:rsidRPr="00DA037C">
        <w:rPr>
          <w:lang w:val="es-ES_tradnl"/>
        </w:rPr>
        <w:tab/>
        <w:t>Utilización de equipos transportables del SF a bordo de vehículos (sistema Tipo D o E) en combinación con estaciones</w:t>
      </w:r>
      <w:r>
        <w:rPr>
          <w:lang w:val="es-ES_tradnl"/>
        </w:rPr>
        <w:t xml:space="preserve"> de base móviles transportables</w:t>
      </w:r>
    </w:p>
    <w:p w:rsidR="005549EC" w:rsidRPr="00DA037C" w:rsidRDefault="005549EC" w:rsidP="005549EC">
      <w:pPr>
        <w:rPr>
          <w:lang w:val="es-ES_tradnl" w:eastAsia="ja-JP"/>
        </w:rPr>
      </w:pPr>
      <w:r w:rsidRPr="00DA037C">
        <w:rPr>
          <w:lang w:val="es-ES_tradnl" w:eastAsia="ja-JP"/>
        </w:rPr>
        <w:t>Una de las utilizaciones principales de los FWS es para el enlace de retroceso móvil, que también puede construirse utilizando un sistema</w:t>
      </w:r>
      <w:r>
        <w:rPr>
          <w:lang w:val="es-ES_tradnl" w:eastAsia="ja-JP"/>
        </w:rPr>
        <w:t xml:space="preserve"> de cable como la fibra óptica.</w:t>
      </w:r>
    </w:p>
    <w:p w:rsidR="005549EC" w:rsidRPr="00DA037C" w:rsidRDefault="005549EC" w:rsidP="005549EC">
      <w:pPr>
        <w:rPr>
          <w:lang w:val="es-ES_tradnl" w:eastAsia="ja-JP"/>
        </w:rPr>
      </w:pPr>
      <w:r w:rsidRPr="00DA037C">
        <w:rPr>
          <w:lang w:val="es-ES_tradnl" w:eastAsia="ja-JP"/>
        </w:rPr>
        <w:t>En una catástrofe de gran alcance, no sólo puede dañarse e inutilizarse un enlace de acceso a una estación de base (utilizando un FWS o un sistema de cable), sino también una estación de base móvil. Por consiguiente, deberían montarse a bordo de un vehículo un enlace de retroceso de FWS portátil y una estación de base móvil portátil de modo que ambos equipos se interconecten con facilidad en la zona afectada por la catástrofe. Estas condiciones de funcionamiento permiten restablecer la infraestructura de telecomunicaciones de manera efectiva y prestar rápidamente servicio a los usuarios finales.</w:t>
      </w:r>
    </w:p>
    <w:p w:rsidR="005549EC" w:rsidRPr="00DA037C" w:rsidRDefault="005549EC" w:rsidP="005549EC">
      <w:pPr>
        <w:rPr>
          <w:lang w:val="es-ES_tradnl"/>
        </w:rPr>
      </w:pPr>
      <w:r w:rsidRPr="00DA037C">
        <w:rPr>
          <w:lang w:val="es-ES_tradnl" w:eastAsia="ja-JP"/>
        </w:rPr>
        <w:t>En el Apéndice 2 del Anexo 1 se facilita un ejemplo de un sistema de operaciones de socorro en caso de catástrofe montado a bordo de un vehículo con este fin.</w:t>
      </w:r>
    </w:p>
    <w:p w:rsidR="005549EC" w:rsidRPr="00DA037C" w:rsidRDefault="005549EC" w:rsidP="005549EC">
      <w:pPr>
        <w:pStyle w:val="Heading2"/>
        <w:rPr>
          <w:lang w:val="es-ES_tradnl"/>
        </w:rPr>
      </w:pPr>
      <w:r w:rsidRPr="00DA037C">
        <w:rPr>
          <w:lang w:val="es-ES_tradnl"/>
        </w:rPr>
        <w:t>2.7</w:t>
      </w:r>
      <w:r w:rsidRPr="00DA037C">
        <w:rPr>
          <w:lang w:val="es-ES_tradnl"/>
        </w:rPr>
        <w:tab/>
        <w:t>Sistema regional de comunicaciones simultáneas (sistema de tipo F)</w:t>
      </w:r>
    </w:p>
    <w:p w:rsidR="005549EC" w:rsidRPr="00DA037C" w:rsidRDefault="005549EC" w:rsidP="005549EC">
      <w:pPr>
        <w:rPr>
          <w:lang w:val="es-ES_tradnl"/>
        </w:rPr>
      </w:pPr>
      <w:r w:rsidRPr="00DA037C">
        <w:rPr>
          <w:lang w:val="es-ES_tradnl"/>
        </w:rPr>
        <w:t>Este tipo de sistema funciona como un sistema punto a multipunto en condiciones normales y, en casos de emergencia, funciona en particular para las comunicaciones de socorro en caso de catástrofe.</w:t>
      </w:r>
    </w:p>
    <w:p w:rsidR="005549EC" w:rsidRPr="00DA037C" w:rsidRDefault="005549EC" w:rsidP="005549EC">
      <w:pPr>
        <w:rPr>
          <w:lang w:val="es-ES_tradnl"/>
        </w:rPr>
      </w:pPr>
      <w:r w:rsidRPr="00DA037C">
        <w:rPr>
          <w:lang w:val="es-ES_tradnl"/>
        </w:rPr>
        <w:t xml:space="preserve">Una estación central (EC) en unas instalaciones locales/municipales proporciona normalmente información pública a estaciones terminales exteriores (EE) o receptores en interiores para las comunicaciones cotidianas entre la central y los residentes. Para prevenir catástrofes potenciales, la EC también recopila datos o información procedentes de las EE, mediante cámaras de supervisión, dispositivos de </w:t>
      </w:r>
      <w:proofErr w:type="spellStart"/>
      <w:r w:rsidRPr="00DA037C">
        <w:rPr>
          <w:lang w:val="es-ES_tradnl"/>
        </w:rPr>
        <w:t>telemedida</w:t>
      </w:r>
      <w:proofErr w:type="spellEnd"/>
      <w:r w:rsidRPr="00DA037C">
        <w:rPr>
          <w:lang w:val="es-ES_tradnl"/>
        </w:rPr>
        <w:t>, etc., o a partir de sistemas de prevención de catástrofes utilizados en otras zonas. La información anterior puede incluir datos meteorológicos o avisos de tormentas e incendios. Estas comunicaciones habituales se realizan en AMDT</w:t>
      </w:r>
      <w:r w:rsidRPr="00DA037C">
        <w:rPr>
          <w:lang w:val="es-ES_tradnl"/>
        </w:rPr>
        <w:noBreakHyphen/>
        <w:t>DDT.</w:t>
      </w:r>
    </w:p>
    <w:p w:rsidR="005549EC" w:rsidRPr="00DA037C" w:rsidRDefault="005549EC" w:rsidP="005549EC">
      <w:pPr>
        <w:rPr>
          <w:lang w:val="es-ES_tradnl"/>
        </w:rPr>
      </w:pPr>
      <w:r w:rsidRPr="00DA037C">
        <w:rPr>
          <w:lang w:val="es-ES_tradnl"/>
        </w:rPr>
        <w:t>En el caso de EE distantes de la EC, puede utilizarse una estación repetidora (o varias estaciones repetidoras conectadas en serie). Las estaciones repetidoras pueden funcionar como una EC desempeñando la función de comunicación interactiva.</w:t>
      </w:r>
    </w:p>
    <w:p w:rsidR="005549EC" w:rsidRPr="00DA037C" w:rsidRDefault="005549EC" w:rsidP="00F85CD2">
      <w:pPr>
        <w:rPr>
          <w:lang w:val="es-ES_tradnl"/>
        </w:rPr>
      </w:pPr>
      <w:r w:rsidRPr="00DA037C">
        <w:rPr>
          <w:lang w:val="es-ES_tradnl"/>
        </w:rPr>
        <w:t>Si se produce una catástrofe o es probable que se produzca, la</w:t>
      </w:r>
      <w:r w:rsidR="00F85CD2">
        <w:rPr>
          <w:lang w:val="es-ES_tradnl"/>
        </w:rPr>
        <w:t xml:space="preserve"> </w:t>
      </w:r>
      <w:r w:rsidRPr="00DA037C">
        <w:rPr>
          <w:lang w:val="es-ES_tradnl"/>
        </w:rPr>
        <w:t>EC transmite a los residentes la información necesaria o los avisos de tormenta, terremoto o maremoto mediante altavoces o pantalla de caracteres con los que van equipados las EE y los receptores en interiores. Esta información de enlace descendente se transmite en modo de distribución simultánea.</w:t>
      </w:r>
    </w:p>
    <w:p w:rsidR="005549EC" w:rsidRPr="00DA037C" w:rsidRDefault="005549EC" w:rsidP="005549EC">
      <w:pPr>
        <w:rPr>
          <w:lang w:val="es-ES_tradnl"/>
        </w:rPr>
      </w:pPr>
      <w:r w:rsidRPr="00DA037C">
        <w:rPr>
          <w:lang w:val="es-ES_tradnl"/>
        </w:rPr>
        <w:t>Las comunicaciones interactivas entre la EC y una EE individual son posibles aun cuando se esté realizando distribución simultánea, utilizando otros intervalos de tiempo en AMDT</w:t>
      </w:r>
      <w:r w:rsidRPr="00DA037C">
        <w:rPr>
          <w:lang w:val="es-ES_tradnl"/>
        </w:rPr>
        <w:noBreakHyphen/>
        <w:t>DDT. De esa forma, información importante procedente de la zona afectada puede transmitirse de manera eficaz a la EC, incluida la situación de las operaciones de socorro, los recursos que se necesitan con urgencia o la información de seguridad dirigida a los residentes y afectados.</w:t>
      </w:r>
    </w:p>
    <w:p w:rsidR="005549EC" w:rsidRPr="00DA037C" w:rsidRDefault="005549EC" w:rsidP="005549EC">
      <w:pPr>
        <w:rPr>
          <w:lang w:val="es-ES_tradnl"/>
        </w:rPr>
      </w:pPr>
      <w:r w:rsidRPr="00DA037C">
        <w:rPr>
          <w:lang w:val="es-ES_tradnl"/>
        </w:rPr>
        <w:t>Para mayor información, véase el Apéndice 1.</w:t>
      </w:r>
    </w:p>
    <w:p w:rsidR="005549EC" w:rsidRPr="00DA037C" w:rsidRDefault="005549EC" w:rsidP="005549EC">
      <w:pPr>
        <w:pStyle w:val="Heading1"/>
        <w:rPr>
          <w:lang w:val="es-ES_tradnl"/>
        </w:rPr>
      </w:pPr>
      <w:r w:rsidRPr="00DA037C">
        <w:rPr>
          <w:lang w:val="es-ES_tradnl"/>
        </w:rPr>
        <w:t>3</w:t>
      </w:r>
      <w:r w:rsidRPr="00DA037C">
        <w:rPr>
          <w:lang w:val="es-ES_tradnl"/>
        </w:rPr>
        <w:tab/>
        <w:t>Calidad de la transmisión</w:t>
      </w:r>
    </w:p>
    <w:p w:rsidR="005549EC" w:rsidRPr="00DA037C" w:rsidRDefault="005549EC" w:rsidP="006C70F7">
      <w:pPr>
        <w:keepNext/>
        <w:keepLines/>
        <w:rPr>
          <w:lang w:val="es-ES_tradnl"/>
        </w:rPr>
      </w:pPr>
      <w:r w:rsidRPr="00DA037C">
        <w:rPr>
          <w:lang w:val="es-ES_tradnl"/>
        </w:rPr>
        <w:t>El nivel de ruido de los sistemas de Tipo A depende esencialmente de las antenas y de la longitud del trayecto en cada caso concreto.</w:t>
      </w:r>
    </w:p>
    <w:p w:rsidR="005549EC" w:rsidRPr="00DA037C" w:rsidRDefault="005549EC" w:rsidP="006E4796">
      <w:pPr>
        <w:rPr>
          <w:lang w:val="es-ES_tradnl"/>
        </w:rPr>
      </w:pPr>
      <w:r w:rsidRPr="00DA037C">
        <w:rPr>
          <w:lang w:val="es-ES_tradnl"/>
        </w:rPr>
        <w:t>Los sistemas de Tipo B y C, utilizados en operaciones de socorro, probablemente proporcionarán una calidad de transmisión análoga a la que presentan en condiciones normales. Como orientación para los sistemas digitales puede utilizarse como objetivo de la BER un valor mínimo sostenible de</w:t>
      </w:r>
      <w:r w:rsidR="006E4796">
        <w:rPr>
          <w:lang w:val="es-ES_tradnl"/>
        </w:rPr>
        <w:t> </w:t>
      </w:r>
      <w:r w:rsidRPr="00DA037C">
        <w:rPr>
          <w:lang w:val="es-ES_tradnl"/>
        </w:rPr>
        <w:t>&lt;1 </w:t>
      </w:r>
      <w:r w:rsidRPr="00DA037C">
        <w:rPr>
          <w:lang w:val="es-ES_tradnl"/>
        </w:rPr>
        <w:sym w:font="Symbol" w:char="F0B4"/>
      </w:r>
      <w:r w:rsidRPr="00DA037C">
        <w:rPr>
          <w:lang w:val="es-ES_tradnl"/>
        </w:rPr>
        <w:t> 10</w:t>
      </w:r>
      <w:r w:rsidRPr="00DA037C">
        <w:rPr>
          <w:szCs w:val="24"/>
          <w:vertAlign w:val="superscript"/>
          <w:lang w:val="es-ES_tradnl"/>
        </w:rPr>
        <w:t>–8</w:t>
      </w:r>
      <w:r w:rsidRPr="00DA037C">
        <w:rPr>
          <w:lang w:val="es-ES_tradnl"/>
        </w:rPr>
        <w:t>.</w:t>
      </w:r>
    </w:p>
    <w:p w:rsidR="005549EC" w:rsidRPr="00DA037C" w:rsidRDefault="005549EC" w:rsidP="005549EC">
      <w:pPr>
        <w:rPr>
          <w:lang w:val="es-ES_tradnl"/>
        </w:rPr>
      </w:pPr>
      <w:r w:rsidRPr="00DA037C">
        <w:rPr>
          <w:lang w:val="es-ES_tradnl"/>
        </w:rPr>
        <w:t>Los sistemas de Tipo D, como los del Tipo A, son sumamente dependientes de la ubicación de los terminales y del tamaño de las antenas. Como orientación para los sistemas digitales puede utilizarse como objetivo de la BER un valor mínimo sostenible de &lt;1 </w:t>
      </w:r>
      <w:r w:rsidRPr="00DA037C">
        <w:rPr>
          <w:lang w:val="es-ES_tradnl"/>
        </w:rPr>
        <w:sym w:font="Symbol" w:char="F0B4"/>
      </w:r>
      <w:r w:rsidRPr="00DA037C">
        <w:rPr>
          <w:lang w:val="es-ES_tradnl"/>
        </w:rPr>
        <w:t> 10</w:t>
      </w:r>
      <w:r w:rsidRPr="00DA037C">
        <w:rPr>
          <w:szCs w:val="24"/>
          <w:vertAlign w:val="superscript"/>
          <w:lang w:val="es-ES_tradnl"/>
        </w:rPr>
        <w:t>–8</w:t>
      </w:r>
      <w:r w:rsidRPr="00DA037C">
        <w:rPr>
          <w:lang w:val="es-ES_tradnl"/>
        </w:rPr>
        <w:t>.</w:t>
      </w:r>
    </w:p>
    <w:p w:rsidR="005549EC" w:rsidRPr="00DA037C" w:rsidRDefault="005549EC" w:rsidP="005549EC">
      <w:pPr>
        <w:rPr>
          <w:lang w:val="es-ES_tradnl"/>
        </w:rPr>
      </w:pPr>
      <w:r w:rsidRPr="00DA037C">
        <w:rPr>
          <w:lang w:val="es-ES_tradnl"/>
        </w:rPr>
        <w:t>Dado que los equipos transportables de microondas de Tipo E requieren antenas más pequeñas así como potencias de transmisión inferiores, que los enlaces fijos, es probable que su calidad de transmisión sea inferior a la que se exige normalmente para las comunicaciones interurbanas. No obstante, la calidad de funcionamiento debe ser tal que la red pueda seguir desempeñando todas las funciones normales. A continuación se dan valores orientativos para la calidad de funcionamiento en estas condiciones de emergencia:</w:t>
      </w:r>
    </w:p>
    <w:p w:rsidR="005549EC" w:rsidRPr="00DA037C" w:rsidRDefault="005549EC" w:rsidP="00F85CD2">
      <w:pPr>
        <w:pStyle w:val="enumlev1"/>
        <w:rPr>
          <w:lang w:val="es-ES_tradnl"/>
        </w:rPr>
      </w:pPr>
      <w:r w:rsidRPr="00DA037C">
        <w:rPr>
          <w:lang w:val="es-ES_tradnl"/>
        </w:rPr>
        <w:t>–</w:t>
      </w:r>
      <w:r w:rsidRPr="00DA037C">
        <w:rPr>
          <w:lang w:val="es-ES_tradnl"/>
        </w:rPr>
        <w:tab/>
        <w:t xml:space="preserve">BER </w:t>
      </w:r>
      <w:r w:rsidR="00F85CD2">
        <w:rPr>
          <w:lang w:val="es-ES_tradnl"/>
        </w:rPr>
        <w:t>&lt;</w:t>
      </w:r>
      <w:r w:rsidRPr="00DA037C">
        <w:rPr>
          <w:lang w:val="es-ES_tradnl"/>
        </w:rPr>
        <w:t> 1</w:t>
      </w:r>
      <w:r w:rsidR="00D2508C">
        <w:rPr>
          <w:lang w:val="es-ES_tradnl"/>
        </w:rPr>
        <w:t xml:space="preserve"> </w:t>
      </w:r>
      <w:r w:rsidR="006E4796">
        <w:rPr>
          <w:lang w:val="es-ES_tradnl"/>
        </w:rPr>
        <w:t>×</w:t>
      </w:r>
      <w:r w:rsidRPr="00DA037C">
        <w:rPr>
          <w:lang w:val="es-ES_tradnl"/>
        </w:rPr>
        <w:t xml:space="preserve"> 10</w:t>
      </w:r>
      <w:r w:rsidR="006E4796" w:rsidRPr="006E4796">
        <w:rPr>
          <w:vertAlign w:val="superscript"/>
          <w:lang w:val="es-ES_tradnl"/>
        </w:rPr>
        <w:t>–</w:t>
      </w:r>
      <w:r w:rsidRPr="006E4796">
        <w:rPr>
          <w:vertAlign w:val="superscript"/>
        </w:rPr>
        <w:t>8</w:t>
      </w:r>
      <w:r w:rsidRPr="00DA037C">
        <w:rPr>
          <w:lang w:val="es-ES_tradnl"/>
        </w:rPr>
        <w:t xml:space="preserve"> para sistemas digitales.</w:t>
      </w:r>
    </w:p>
    <w:p w:rsidR="005549EC" w:rsidRPr="00DA037C" w:rsidRDefault="005549EC" w:rsidP="005549EC">
      <w:pPr>
        <w:rPr>
          <w:lang w:val="es-ES_tradnl" w:eastAsia="ja-JP"/>
        </w:rPr>
      </w:pPr>
      <w:r w:rsidRPr="00DA037C">
        <w:rPr>
          <w:lang w:val="es-ES_tradnl"/>
        </w:rPr>
        <w:t>El sistema de Tipo F requiere</w:t>
      </w:r>
      <w:r w:rsidRPr="00DA037C">
        <w:rPr>
          <w:lang w:val="es-ES_tradnl" w:eastAsia="ja-JP"/>
        </w:rPr>
        <w:t>:</w:t>
      </w:r>
    </w:p>
    <w:p w:rsidR="005549EC" w:rsidRPr="00DA037C" w:rsidRDefault="005549EC" w:rsidP="00F85CD2">
      <w:pPr>
        <w:pStyle w:val="enumlev1"/>
        <w:rPr>
          <w:lang w:val="es-ES_tradnl" w:eastAsia="ja-JP"/>
        </w:rPr>
      </w:pPr>
      <w:r w:rsidRPr="00DA037C">
        <w:rPr>
          <w:lang w:val="es-ES_tradnl"/>
        </w:rPr>
        <w:t>–</w:t>
      </w:r>
      <w:r w:rsidRPr="00DA037C">
        <w:rPr>
          <w:lang w:val="es-ES_tradnl"/>
        </w:rPr>
        <w:tab/>
        <w:t xml:space="preserve">BER </w:t>
      </w:r>
      <w:r w:rsidR="00F85CD2">
        <w:rPr>
          <w:lang w:val="es-ES_tradnl"/>
        </w:rPr>
        <w:t>&lt;</w:t>
      </w:r>
      <w:r w:rsidRPr="00DA037C">
        <w:rPr>
          <w:lang w:val="es-ES_tradnl"/>
        </w:rPr>
        <w:t xml:space="preserve"> 1 </w:t>
      </w:r>
      <w:r w:rsidR="006E4796">
        <w:rPr>
          <w:lang w:val="es-ES_tradnl"/>
        </w:rPr>
        <w:t>×</w:t>
      </w:r>
      <w:r w:rsidRPr="00DA037C">
        <w:rPr>
          <w:lang w:val="es-ES_tradnl"/>
        </w:rPr>
        <w:t xml:space="preserve"> 10</w:t>
      </w:r>
      <w:r w:rsidR="006E4796" w:rsidRPr="006E4796">
        <w:rPr>
          <w:vertAlign w:val="superscript"/>
          <w:lang w:val="es-ES_tradnl"/>
        </w:rPr>
        <w:t>–</w:t>
      </w:r>
      <w:r w:rsidR="006E4796">
        <w:rPr>
          <w:vertAlign w:val="superscript"/>
          <w:lang w:val="es-ES_tradnl"/>
        </w:rPr>
        <w:t>3</w:t>
      </w:r>
      <w:r w:rsidRPr="00DA037C">
        <w:rPr>
          <w:lang w:val="es-ES_tradnl"/>
        </w:rPr>
        <w:t xml:space="preserve"> para terminales del receptor en interiores.</w:t>
      </w:r>
    </w:p>
    <w:p w:rsidR="005549EC" w:rsidRDefault="005549EC" w:rsidP="00F85CD2">
      <w:pPr>
        <w:pStyle w:val="enumlev1"/>
        <w:rPr>
          <w:lang w:val="es-ES_tradnl"/>
        </w:rPr>
      </w:pPr>
      <w:r w:rsidRPr="00DA037C">
        <w:rPr>
          <w:lang w:val="es-ES_tradnl"/>
        </w:rPr>
        <w:t>–</w:t>
      </w:r>
      <w:r w:rsidRPr="00DA037C">
        <w:rPr>
          <w:lang w:val="es-ES_tradnl"/>
        </w:rPr>
        <w:tab/>
        <w:t xml:space="preserve">BER </w:t>
      </w:r>
      <w:r w:rsidR="00F85CD2">
        <w:rPr>
          <w:lang w:val="es-ES_tradnl"/>
        </w:rPr>
        <w:t>&lt;</w:t>
      </w:r>
      <w:r w:rsidRPr="00DA037C">
        <w:rPr>
          <w:lang w:val="es-ES_tradnl"/>
        </w:rPr>
        <w:t xml:space="preserve"> 1 </w:t>
      </w:r>
      <w:r w:rsidR="006E4796">
        <w:rPr>
          <w:lang w:val="es-ES_tradnl"/>
        </w:rPr>
        <w:t>×</w:t>
      </w:r>
      <w:r w:rsidRPr="00DA037C">
        <w:rPr>
          <w:lang w:val="es-ES_tradnl"/>
        </w:rPr>
        <w:t xml:space="preserve"> 10</w:t>
      </w:r>
      <w:r w:rsidR="006E4796" w:rsidRPr="006E4796">
        <w:rPr>
          <w:vertAlign w:val="superscript"/>
          <w:lang w:val="es-ES_tradnl"/>
        </w:rPr>
        <w:t>–</w:t>
      </w:r>
      <w:r w:rsidR="006E4796">
        <w:rPr>
          <w:vertAlign w:val="superscript"/>
          <w:lang w:val="es-ES_tradnl"/>
        </w:rPr>
        <w:t>4</w:t>
      </w:r>
      <w:r w:rsidRPr="00DA037C">
        <w:rPr>
          <w:lang w:val="es-ES_tradnl"/>
        </w:rPr>
        <w:t xml:space="preserve"> para terminales en exteriores con altavoces.</w:t>
      </w:r>
    </w:p>
    <w:p w:rsidR="006C70F7" w:rsidRDefault="006C70F7" w:rsidP="006C70F7">
      <w:pPr>
        <w:rPr>
          <w:lang w:val="es-ES_tradnl"/>
        </w:rPr>
      </w:pPr>
    </w:p>
    <w:p w:rsidR="006C70F7" w:rsidRDefault="006C70F7" w:rsidP="006C70F7">
      <w:pPr>
        <w:rPr>
          <w:lang w:val="es-ES_tradnl"/>
        </w:rPr>
      </w:pPr>
    </w:p>
    <w:p w:rsidR="005549EC" w:rsidRPr="00DA037C" w:rsidRDefault="005549EC" w:rsidP="00B710AC">
      <w:pPr>
        <w:pStyle w:val="AnnexNoTitle"/>
        <w:rPr>
          <w:lang w:val="es-ES_tradnl" w:eastAsia="ja-JP"/>
        </w:rPr>
      </w:pPr>
      <w:r w:rsidRPr="00DA037C">
        <w:rPr>
          <w:lang w:val="es-ES_tradnl" w:eastAsia="ja-JP"/>
        </w:rPr>
        <w:t>Apéndice 1</w:t>
      </w:r>
      <w:r w:rsidRPr="00DA037C">
        <w:rPr>
          <w:lang w:val="es-ES_tradnl" w:eastAsia="ja-JP"/>
        </w:rPr>
        <w:br/>
        <w:t>al Anexo 1</w:t>
      </w:r>
      <w:r w:rsidRPr="00DA037C">
        <w:rPr>
          <w:lang w:val="es-ES_tradnl" w:eastAsia="ja-JP"/>
        </w:rPr>
        <w:br/>
      </w:r>
      <w:r w:rsidRPr="00DA037C">
        <w:rPr>
          <w:lang w:val="es-ES_tradnl" w:eastAsia="ja-JP"/>
        </w:rPr>
        <w:br/>
        <w:t>Características y aplicaciones del sistema regional de comunicaciones</w:t>
      </w:r>
      <w:r w:rsidR="00B710AC">
        <w:rPr>
          <w:lang w:val="es-ES_tradnl" w:eastAsia="ja-JP"/>
        </w:rPr>
        <w:br/>
      </w:r>
      <w:r w:rsidRPr="00DA037C">
        <w:rPr>
          <w:lang w:val="es-ES_tradnl" w:eastAsia="ja-JP"/>
        </w:rPr>
        <w:t>digitales</w:t>
      </w:r>
      <w:r w:rsidR="00B710AC">
        <w:rPr>
          <w:lang w:val="es-ES_tradnl" w:eastAsia="ja-JP"/>
        </w:rPr>
        <w:t xml:space="preserve"> </w:t>
      </w:r>
      <w:r w:rsidRPr="00DA037C">
        <w:rPr>
          <w:lang w:val="es-ES_tradnl" w:eastAsia="ja-JP"/>
        </w:rPr>
        <w:t>simultáneas para la prevención de catástrofes</w:t>
      </w:r>
      <w:r w:rsidR="00B710AC">
        <w:rPr>
          <w:lang w:val="es-ES_tradnl" w:eastAsia="ja-JP"/>
        </w:rPr>
        <w:br/>
      </w:r>
      <w:r w:rsidRPr="00DA037C">
        <w:rPr>
          <w:lang w:val="es-ES_tradnl" w:eastAsia="ja-JP"/>
        </w:rPr>
        <w:t>y operaciones de socorro</w:t>
      </w:r>
    </w:p>
    <w:p w:rsidR="005549EC" w:rsidRPr="00DA037C" w:rsidRDefault="005549EC" w:rsidP="00182152">
      <w:pPr>
        <w:pStyle w:val="Normalaftertitle"/>
        <w:rPr>
          <w:lang w:val="es-ES_tradnl"/>
        </w:rPr>
      </w:pPr>
      <w:r w:rsidRPr="00DA037C">
        <w:rPr>
          <w:lang w:val="es-ES_tradnl" w:eastAsia="ja-JP"/>
        </w:rPr>
        <w:t>El sistema regional de comunicaciones digitales simultáneas (RDSCS) basado en ARIB STD-T86</w:t>
      </w:r>
      <w:r w:rsidR="00182152">
        <w:rPr>
          <w:rStyle w:val="FootnoteReference"/>
          <w:lang w:val="es-ES_tradnl" w:eastAsia="ja-JP"/>
        </w:rPr>
        <w:footnoteReference w:customMarkFollows="1" w:id="2"/>
        <w:t>*</w:t>
      </w:r>
      <w:r w:rsidRPr="00DA037C">
        <w:rPr>
          <w:lang w:val="es-ES_tradnl"/>
        </w:rPr>
        <w:t xml:space="preserve"> se ha desarrollado para la prevención de catástrofes y operaciones de socorro; es decir, tiene por objeto la recopilación de datos o información destinada a prevenir las catástrofes o los daños causados por las catástrofes, y la transmisión de la información necesaria o las alarmas a los residentes, además de las comunicaciones vocales o de datos cursadas entre la estación central y los residentes.</w:t>
      </w:r>
    </w:p>
    <w:p w:rsidR="005549EC" w:rsidRPr="00DA037C" w:rsidRDefault="005549EC" w:rsidP="005549EC">
      <w:pPr>
        <w:rPr>
          <w:lang w:val="es-ES_tradnl"/>
        </w:rPr>
      </w:pPr>
      <w:r w:rsidRPr="00DA037C">
        <w:rPr>
          <w:lang w:val="es-ES_tradnl"/>
        </w:rPr>
        <w:t>Ubicando una estación central en la oficina local y un cierto número de terminales en la región, el sistema proporciona comunicaciones simultáneas o de grupo además de comunicaciones individuales punto a multipunto entre la estación central y los terminales.</w:t>
      </w:r>
    </w:p>
    <w:p w:rsidR="005549EC" w:rsidRPr="00DA037C" w:rsidRDefault="005549EC" w:rsidP="006C70F7">
      <w:pPr>
        <w:keepNext/>
        <w:keepLines/>
        <w:rPr>
          <w:lang w:val="es-ES_tradnl"/>
        </w:rPr>
      </w:pPr>
      <w:r w:rsidRPr="00DA037C">
        <w:rPr>
          <w:lang w:val="es-ES_tradnl"/>
        </w:rPr>
        <w:t xml:space="preserve">La estación central recopila datos o información para prevenir o atenuar los efectos de las catástrofes; utilizando desde cámaras de supervisión, </w:t>
      </w:r>
      <w:proofErr w:type="spellStart"/>
      <w:r w:rsidRPr="00DA037C">
        <w:rPr>
          <w:lang w:val="es-ES_tradnl"/>
        </w:rPr>
        <w:t>telemedidores</w:t>
      </w:r>
      <w:proofErr w:type="spellEnd"/>
      <w:r w:rsidRPr="00DA037C">
        <w:rPr>
          <w:lang w:val="es-ES_tradnl"/>
        </w:rPr>
        <w:t>, vigilantes humanos, etc., a terminales en exteriores que emplean AMDT o desde otro sistema de prevención de catástrofes a teléfonos o facsímil. A continuación, la estación central transmite la información necesaria o la alarma a los residentes mediante los terminales en exteriores y los receptores en interiores a través de altavoces o pantallas de caracteres en m</w:t>
      </w:r>
      <w:r>
        <w:rPr>
          <w:lang w:val="es-ES_tradnl"/>
        </w:rPr>
        <w:t>odo de distribución simultánea.</w:t>
      </w:r>
    </w:p>
    <w:p w:rsidR="005549EC" w:rsidRPr="00DA037C" w:rsidRDefault="005549EC" w:rsidP="005549EC">
      <w:pPr>
        <w:rPr>
          <w:lang w:val="es-ES_tradnl"/>
        </w:rPr>
      </w:pPr>
      <w:r w:rsidRPr="00DA037C">
        <w:rPr>
          <w:lang w:val="es-ES_tradnl"/>
        </w:rPr>
        <w:t>Cada terminal en exteriores es capaz de realizar comunicaciones interactivas con la estación central en modo DDT (dúplex por división en el tiempo). Seis intervalos de tiempo AMDT pueden proporcionar comunicaciones individuales incluso durante los instantes en que se está realizando la distribución simultánea.</w:t>
      </w:r>
    </w:p>
    <w:p w:rsidR="005549EC" w:rsidRPr="00DA037C" w:rsidRDefault="005549EC" w:rsidP="005549EC">
      <w:pPr>
        <w:rPr>
          <w:lang w:val="es-ES_tradnl"/>
        </w:rPr>
      </w:pPr>
      <w:r w:rsidRPr="00DA037C">
        <w:rPr>
          <w:lang w:val="es-ES_tradnl"/>
        </w:rPr>
        <w:t>Pueden efectuarse hasta 2 000 llamadas individuales o hasta 200 llamadas de grupo a través de 6 canales AMDT, aunque estas capacidades dependen del modelo concreto del fabricante.</w:t>
      </w:r>
    </w:p>
    <w:p w:rsidR="005549EC" w:rsidRPr="00DA037C" w:rsidRDefault="005549EC" w:rsidP="006C70F7">
      <w:pPr>
        <w:rPr>
          <w:lang w:val="es-ES_tradnl" w:eastAsia="ja-JP"/>
        </w:rPr>
      </w:pPr>
      <w:r w:rsidRPr="00DA037C">
        <w:rPr>
          <w:lang w:val="es-ES_tradnl"/>
        </w:rPr>
        <w:t xml:space="preserve">Mediante el esquema </w:t>
      </w:r>
      <w:r w:rsidRPr="00DA037C">
        <w:rPr>
          <w:lang w:val="es-ES_tradnl" w:eastAsia="ja-JP"/>
        </w:rPr>
        <w:t>16 MAQ (modulación de amplitud en cuadratura), es posible lograr una velocidad de transmisión de 45</w:t>
      </w:r>
      <w:r w:rsidR="006C70F7">
        <w:rPr>
          <w:lang w:val="es-ES_tradnl" w:eastAsia="ja-JP"/>
        </w:rPr>
        <w:t> </w:t>
      </w:r>
      <w:r w:rsidRPr="00DA037C">
        <w:rPr>
          <w:lang w:val="es-ES_tradnl" w:eastAsia="ja-JP"/>
        </w:rPr>
        <w:t>kbit/s con una separación d</w:t>
      </w:r>
      <w:r w:rsidR="006C70F7">
        <w:rPr>
          <w:lang w:val="es-ES_tradnl" w:eastAsia="ja-JP"/>
        </w:rPr>
        <w:t xml:space="preserve">e radiocanales de </w:t>
      </w:r>
      <w:r w:rsidRPr="00DA037C">
        <w:rPr>
          <w:lang w:val="es-ES_tradnl" w:eastAsia="ja-JP"/>
        </w:rPr>
        <w:t>15 kHz, proporcionando una recopilación de datos de imagen en la estación central y pantalla de caracteres en los terminales.</w:t>
      </w:r>
    </w:p>
    <w:p w:rsidR="005549EC" w:rsidRPr="00DA037C" w:rsidRDefault="005549EC" w:rsidP="005549EC">
      <w:pPr>
        <w:rPr>
          <w:lang w:val="es-ES_tradnl" w:eastAsia="ja-JP"/>
        </w:rPr>
      </w:pPr>
      <w:r w:rsidRPr="00DA037C">
        <w:rPr>
          <w:lang w:val="es-ES_tradnl" w:eastAsia="ja-JP"/>
        </w:rPr>
        <w:t>Para los terminales alejados de la estación central, se instala un repetidor que proporciona la función de desprendimiento, permitiendo a los terminales su acceso a un repetidor así como a la estación central. Podrían instalarse dos o más repetidores en serie, si es necesario. Utilizando repetidores, la potencia de salida del transmisor de cada terminal en exteriores podría tomar un valor de 10 W o menos. Junto con los funcionamientos DDT y AMDT, el bajo consumo de potencia del terminal en exteriores hace posible utilizar alimentación mediante baterías solares o alimentación híbrida mediante un generador solar/eólico.</w:t>
      </w:r>
    </w:p>
    <w:p w:rsidR="005549EC" w:rsidRPr="00DA037C" w:rsidRDefault="005549EC" w:rsidP="005549EC">
      <w:pPr>
        <w:rPr>
          <w:lang w:val="es-ES_tradnl" w:eastAsia="ja-JP"/>
        </w:rPr>
      </w:pPr>
      <w:r w:rsidRPr="00DA037C">
        <w:rPr>
          <w:lang w:val="es-ES_tradnl" w:eastAsia="ja-JP"/>
        </w:rPr>
        <w:t>En esta norma se asegura la interoperabilidad entre terminales o sistemas de diferentes suministradores, permitiendo el transporte de tales equipos a otras zonas afectadas por la catástrofe para realizar las operaciones de socorro.</w:t>
      </w:r>
    </w:p>
    <w:p w:rsidR="005549EC" w:rsidRPr="00DA037C" w:rsidRDefault="005549EC" w:rsidP="005549EC">
      <w:pPr>
        <w:rPr>
          <w:lang w:val="es-ES_tradnl"/>
        </w:rPr>
      </w:pPr>
      <w:r w:rsidRPr="00DA037C">
        <w:rPr>
          <w:lang w:val="es-ES_tradnl" w:eastAsia="ja-JP"/>
        </w:rPr>
        <w:t>Habitualmente, el sistema se utiliza para avisos de tormenta, incendios, etc., así como para establecer las comunicaciones diarias entre la oficina local y los residentes.</w:t>
      </w:r>
    </w:p>
    <w:p w:rsidR="005549EC" w:rsidRPr="00DA037C" w:rsidRDefault="005549EC" w:rsidP="005549EC">
      <w:pPr>
        <w:pStyle w:val="Headingi"/>
        <w:rPr>
          <w:lang w:val="es-ES_tradnl" w:eastAsia="ja-JP"/>
        </w:rPr>
      </w:pPr>
      <w:r w:rsidRPr="00DA037C">
        <w:rPr>
          <w:lang w:val="es-ES_tradnl" w:eastAsia="ja-JP"/>
        </w:rPr>
        <w:t>Resumen de las especificaciones técnicas:</w:t>
      </w:r>
    </w:p>
    <w:p w:rsidR="005549EC" w:rsidRPr="00DA037C" w:rsidRDefault="005549EC" w:rsidP="005549EC">
      <w:pPr>
        <w:pStyle w:val="enumlev1"/>
        <w:tabs>
          <w:tab w:val="clear" w:pos="1588"/>
          <w:tab w:val="clear" w:pos="1985"/>
          <w:tab w:val="left" w:pos="2835"/>
        </w:tabs>
        <w:rPr>
          <w:lang w:val="es-ES_tradnl" w:eastAsia="ja-JP"/>
        </w:rPr>
      </w:pPr>
      <w:r w:rsidRPr="00DA037C">
        <w:rPr>
          <w:lang w:val="es-ES_tradnl" w:eastAsia="ja-JP"/>
        </w:rPr>
        <w:t>Banda de frecuencias:</w:t>
      </w:r>
      <w:r w:rsidRPr="00DA037C">
        <w:rPr>
          <w:lang w:val="es-ES_tradnl" w:eastAsia="ja-JP"/>
        </w:rPr>
        <w:tab/>
        <w:t>54-70 MHz</w:t>
      </w:r>
    </w:p>
    <w:p w:rsidR="005549EC" w:rsidRPr="00DA037C" w:rsidRDefault="005549EC" w:rsidP="005549EC">
      <w:pPr>
        <w:pStyle w:val="enumlev1"/>
        <w:tabs>
          <w:tab w:val="clear" w:pos="1588"/>
          <w:tab w:val="clear" w:pos="1985"/>
          <w:tab w:val="left" w:pos="2835"/>
        </w:tabs>
        <w:rPr>
          <w:lang w:val="es-ES_tradnl" w:eastAsia="ja-JP"/>
        </w:rPr>
      </w:pPr>
      <w:r w:rsidRPr="00DA037C">
        <w:rPr>
          <w:lang w:val="es-ES_tradnl" w:eastAsia="ja-JP"/>
        </w:rPr>
        <w:t>Separación de canales:</w:t>
      </w:r>
      <w:r w:rsidRPr="00DA037C">
        <w:rPr>
          <w:lang w:val="es-ES_tradnl" w:eastAsia="ja-JP"/>
        </w:rPr>
        <w:tab/>
        <w:t>15 kHz</w:t>
      </w:r>
    </w:p>
    <w:p w:rsidR="005549EC" w:rsidRPr="00DA037C" w:rsidRDefault="005549EC" w:rsidP="005549EC">
      <w:pPr>
        <w:pStyle w:val="enumlev1"/>
        <w:tabs>
          <w:tab w:val="clear" w:pos="1588"/>
          <w:tab w:val="clear" w:pos="1985"/>
          <w:tab w:val="left" w:pos="2835"/>
        </w:tabs>
        <w:rPr>
          <w:lang w:val="es-ES_tradnl" w:eastAsia="ja-JP"/>
        </w:rPr>
      </w:pPr>
      <w:r w:rsidRPr="00DA037C">
        <w:rPr>
          <w:lang w:val="es-ES_tradnl" w:eastAsia="ja-JP"/>
        </w:rPr>
        <w:t>Potencia del transmisor:</w:t>
      </w:r>
      <w:r w:rsidRPr="00DA037C">
        <w:rPr>
          <w:lang w:val="es-ES_tradnl" w:eastAsia="ja-JP"/>
        </w:rPr>
        <w:tab/>
        <w:t>10 W o menos</w:t>
      </w:r>
    </w:p>
    <w:p w:rsidR="005549EC" w:rsidRPr="00DA037C" w:rsidRDefault="005549EC" w:rsidP="005549EC">
      <w:pPr>
        <w:pStyle w:val="enumlev1"/>
        <w:tabs>
          <w:tab w:val="clear" w:pos="1588"/>
          <w:tab w:val="clear" w:pos="1985"/>
          <w:tab w:val="left" w:pos="2835"/>
        </w:tabs>
        <w:rPr>
          <w:lang w:val="es-ES_tradnl" w:eastAsia="ja-JP"/>
        </w:rPr>
      </w:pPr>
      <w:r w:rsidRPr="00DA037C">
        <w:rPr>
          <w:lang w:val="es-ES_tradnl" w:eastAsia="ja-JP"/>
        </w:rPr>
        <w:t>Velocidad de transmisión:</w:t>
      </w:r>
      <w:r w:rsidRPr="00DA037C">
        <w:rPr>
          <w:lang w:val="es-ES_tradnl" w:eastAsia="ja-JP"/>
        </w:rPr>
        <w:tab/>
        <w:t>45 kbit/s</w:t>
      </w:r>
    </w:p>
    <w:p w:rsidR="005549EC" w:rsidRPr="00DA037C" w:rsidRDefault="005549EC" w:rsidP="005549EC">
      <w:pPr>
        <w:pStyle w:val="enumlev1"/>
        <w:tabs>
          <w:tab w:val="clear" w:pos="1588"/>
          <w:tab w:val="clear" w:pos="1985"/>
          <w:tab w:val="left" w:pos="2835"/>
        </w:tabs>
        <w:rPr>
          <w:lang w:val="es-ES_tradnl" w:eastAsia="ja-JP"/>
        </w:rPr>
      </w:pPr>
      <w:r>
        <w:rPr>
          <w:lang w:val="es-ES_tradnl" w:eastAsia="ja-JP"/>
        </w:rPr>
        <w:t>Esquema de modulación:</w:t>
      </w:r>
      <w:r>
        <w:rPr>
          <w:lang w:val="es-ES_tradnl" w:eastAsia="ja-JP"/>
        </w:rPr>
        <w:tab/>
        <w:t>16</w:t>
      </w:r>
      <w:r>
        <w:rPr>
          <w:lang w:val="es-ES_tradnl" w:eastAsia="ja-JP"/>
        </w:rPr>
        <w:noBreakHyphen/>
      </w:r>
      <w:r w:rsidRPr="00DA037C">
        <w:rPr>
          <w:lang w:val="es-ES_tradnl" w:eastAsia="ja-JP"/>
        </w:rPr>
        <w:t>MAQ</w:t>
      </w:r>
    </w:p>
    <w:p w:rsidR="005549EC" w:rsidRPr="00DA037C" w:rsidRDefault="005549EC" w:rsidP="005549EC">
      <w:pPr>
        <w:pStyle w:val="enumlev1"/>
        <w:tabs>
          <w:tab w:val="clear" w:pos="1588"/>
          <w:tab w:val="clear" w:pos="1985"/>
          <w:tab w:val="left" w:pos="2835"/>
        </w:tabs>
        <w:rPr>
          <w:lang w:val="es-ES_tradnl"/>
        </w:rPr>
      </w:pPr>
      <w:r>
        <w:rPr>
          <w:lang w:val="es-ES_tradnl"/>
        </w:rPr>
        <w:t>Método de comunicación:</w:t>
      </w:r>
      <w:r>
        <w:rPr>
          <w:lang w:val="es-ES_tradnl"/>
        </w:rPr>
        <w:tab/>
        <w:t>AMDT</w:t>
      </w:r>
      <w:r>
        <w:rPr>
          <w:lang w:val="es-ES_tradnl"/>
        </w:rPr>
        <w:noBreakHyphen/>
        <w:t>DDT</w:t>
      </w:r>
    </w:p>
    <w:p w:rsidR="005549EC" w:rsidRPr="00DA037C" w:rsidRDefault="005549EC" w:rsidP="005549EC">
      <w:pPr>
        <w:pStyle w:val="enumlev1"/>
        <w:tabs>
          <w:tab w:val="clear" w:pos="1588"/>
          <w:tab w:val="clear" w:pos="1985"/>
          <w:tab w:val="left" w:pos="2835"/>
        </w:tabs>
        <w:ind w:left="2835" w:hanging="2835"/>
        <w:rPr>
          <w:lang w:val="es-ES_tradnl"/>
        </w:rPr>
      </w:pPr>
      <w:r w:rsidRPr="00DA037C">
        <w:rPr>
          <w:lang w:val="es-ES_tradnl"/>
        </w:rPr>
        <w:t>CÓDEC vocal:</w:t>
      </w:r>
      <w:r w:rsidRPr="00DA037C">
        <w:rPr>
          <w:lang w:val="es-ES_tradnl"/>
        </w:rPr>
        <w:tab/>
        <w:t>CÓDEC vocal de alto rendimiento de 16 kbit/s para funcionamiento con altavoces.</w:t>
      </w:r>
    </w:p>
    <w:p w:rsidR="005549EC" w:rsidRPr="00DA037C" w:rsidRDefault="005549EC" w:rsidP="005549EC">
      <w:pPr>
        <w:pStyle w:val="enumlev1"/>
        <w:tabs>
          <w:tab w:val="clear" w:pos="1588"/>
          <w:tab w:val="clear" w:pos="1985"/>
          <w:tab w:val="left" w:pos="2835"/>
        </w:tabs>
        <w:ind w:left="2835" w:hanging="2835"/>
        <w:rPr>
          <w:lang w:val="es-ES_tradnl"/>
        </w:rPr>
      </w:pPr>
    </w:p>
    <w:p w:rsidR="005549EC" w:rsidRPr="00DA037C" w:rsidRDefault="005549EC" w:rsidP="006C6AF6">
      <w:pPr>
        <w:pStyle w:val="AppendixNoTitle"/>
        <w:rPr>
          <w:lang w:val="es-ES_tradnl" w:eastAsia="ja-JP"/>
        </w:rPr>
      </w:pPr>
      <w:r w:rsidRPr="00DA037C">
        <w:rPr>
          <w:lang w:val="es-ES_tradnl" w:eastAsia="ja-JP"/>
        </w:rPr>
        <w:t>Apéndice 2</w:t>
      </w:r>
      <w:r w:rsidR="006C6AF6">
        <w:rPr>
          <w:lang w:val="es-ES_tradnl" w:eastAsia="ja-JP"/>
        </w:rPr>
        <w:br/>
      </w:r>
      <w:r w:rsidRPr="00DA037C">
        <w:rPr>
          <w:lang w:val="es-ES_tradnl" w:eastAsia="ja-JP"/>
        </w:rPr>
        <w:t xml:space="preserve">al Anexo 1 </w:t>
      </w:r>
      <w:r w:rsidRPr="00DA037C">
        <w:rPr>
          <w:lang w:val="es-ES_tradnl" w:eastAsia="ja-JP"/>
        </w:rPr>
        <w:br/>
      </w:r>
      <w:r w:rsidRPr="00DA037C">
        <w:rPr>
          <w:lang w:val="es-ES_tradnl" w:eastAsia="ja-JP"/>
        </w:rPr>
        <w:br/>
        <w:t>Utilización de un equipo transportable del SF a bordo de vehículo</w:t>
      </w:r>
      <w:r w:rsidR="00B710AC">
        <w:rPr>
          <w:lang w:val="es-ES_tradnl" w:eastAsia="ja-JP"/>
        </w:rPr>
        <w:br/>
      </w:r>
      <w:r w:rsidRPr="00DA037C">
        <w:rPr>
          <w:lang w:val="es-ES_tradnl" w:eastAsia="ja-JP"/>
        </w:rPr>
        <w:t xml:space="preserve">en combinación con una estación de base móvil para </w:t>
      </w:r>
      <w:r w:rsidRPr="00DA037C">
        <w:rPr>
          <w:lang w:val="es-ES_tradnl" w:eastAsia="ja-JP"/>
        </w:rPr>
        <w:br/>
      </w:r>
      <w:r w:rsidR="00B710AC" w:rsidRPr="00DA037C">
        <w:rPr>
          <w:lang w:val="es-ES_tradnl" w:eastAsia="ja-JP"/>
        </w:rPr>
        <w:t xml:space="preserve">las </w:t>
      </w:r>
      <w:r w:rsidRPr="00DA037C">
        <w:rPr>
          <w:lang w:val="es-ES_tradnl" w:eastAsia="ja-JP"/>
        </w:rPr>
        <w:t>operaciones de socorro en caso de catástrofe</w:t>
      </w:r>
    </w:p>
    <w:p w:rsidR="005549EC" w:rsidRPr="00DA037C" w:rsidRDefault="005549EC" w:rsidP="005549EC">
      <w:pPr>
        <w:pStyle w:val="Normalaftertitle"/>
        <w:rPr>
          <w:lang w:val="es-ES_tradnl" w:eastAsia="ja-JP"/>
        </w:rPr>
      </w:pPr>
      <w:r w:rsidRPr="00DA037C">
        <w:rPr>
          <w:lang w:val="es-ES_tradnl" w:eastAsia="ja-JP"/>
        </w:rPr>
        <w:t>El FWS transportable utiliza las distintas bandas de frecuencias, por ejemplo</w:t>
      </w:r>
      <w:r>
        <w:rPr>
          <w:lang w:val="es-ES_tradnl" w:eastAsia="ja-JP"/>
        </w:rPr>
        <w:t>,</w:t>
      </w:r>
      <w:r w:rsidRPr="00DA037C">
        <w:rPr>
          <w:lang w:val="es-ES_tradnl" w:eastAsia="ja-JP"/>
        </w:rPr>
        <w:t xml:space="preserve"> algunas de las bandas de frecuencias que se </w:t>
      </w:r>
      <w:r>
        <w:rPr>
          <w:lang w:val="es-ES_tradnl" w:eastAsia="ja-JP"/>
        </w:rPr>
        <w:t>ponen como ejemplo en el Cuadro 2 (fila </w:t>
      </w:r>
      <w:r w:rsidRPr="00DA037C">
        <w:rPr>
          <w:lang w:val="es-ES_tradnl" w:eastAsia="ja-JP"/>
        </w:rPr>
        <w:t xml:space="preserve">E), en función de las condiciones de interferencia y/o la distancia de transmisión necesaria en la zona afectada por la catástrofe. En particular, los sistemas en la parte superior de la banda de </w:t>
      </w:r>
      <w:r>
        <w:rPr>
          <w:lang w:val="es-ES_tradnl" w:eastAsia="ja-JP"/>
        </w:rPr>
        <w:t>4 </w:t>
      </w:r>
      <w:r w:rsidRPr="00DA037C">
        <w:rPr>
          <w:lang w:val="es-ES_tradnl" w:eastAsia="ja-JP"/>
        </w:rPr>
        <w:t>GHz y</w:t>
      </w:r>
      <w:r>
        <w:rPr>
          <w:lang w:val="es-ES_tradnl" w:eastAsia="ja-JP"/>
        </w:rPr>
        <w:t xml:space="preserve"> 18 </w:t>
      </w:r>
      <w:r w:rsidRPr="00DA037C">
        <w:rPr>
          <w:lang w:val="es-ES_tradnl" w:eastAsia="ja-JP"/>
        </w:rPr>
        <w:t>GHz son ligeros y de tamaño reducido. Por lo tanto, se pueden instalar a bordo de un vehículo y utilizarse con facilidad. Las principales especificaciones de estos siste</w:t>
      </w:r>
      <w:r>
        <w:rPr>
          <w:lang w:val="es-ES_tradnl" w:eastAsia="ja-JP"/>
        </w:rPr>
        <w:t>mas se muestran en el Cuadro 3.</w:t>
      </w:r>
    </w:p>
    <w:p w:rsidR="005549EC" w:rsidRDefault="005549EC" w:rsidP="005549EC">
      <w:pPr>
        <w:rPr>
          <w:lang w:val="es-ES_tradnl" w:eastAsia="ja-JP"/>
        </w:rPr>
      </w:pPr>
      <w:r w:rsidRPr="00DA037C">
        <w:rPr>
          <w:lang w:val="es-ES_tradnl" w:eastAsia="ja-JP"/>
        </w:rPr>
        <w:t>Las principales especificaciones de la estación de base móvil transportable para su interconexión con el FWS transportable se muestran en el Cuadro</w:t>
      </w:r>
      <w:r>
        <w:rPr>
          <w:lang w:val="es-ES_tradnl" w:eastAsia="ja-JP"/>
        </w:rPr>
        <w:t> </w:t>
      </w:r>
      <w:r w:rsidRPr="00DA037C">
        <w:rPr>
          <w:lang w:val="es-ES_tradnl" w:eastAsia="ja-JP"/>
        </w:rPr>
        <w:t>4. El diagrama conceptual global de este sis</w:t>
      </w:r>
      <w:r>
        <w:rPr>
          <w:lang w:val="es-ES_tradnl" w:eastAsia="ja-JP"/>
        </w:rPr>
        <w:t xml:space="preserve">tema se muestra en la </w:t>
      </w:r>
      <w:r w:rsidR="006C70F7">
        <w:rPr>
          <w:lang w:val="es-ES_tradnl" w:eastAsia="ja-JP"/>
        </w:rPr>
        <w:t>Fig.</w:t>
      </w:r>
      <w:r>
        <w:rPr>
          <w:lang w:val="es-ES_tradnl" w:eastAsia="ja-JP"/>
        </w:rPr>
        <w:t> 1.</w:t>
      </w:r>
    </w:p>
    <w:p w:rsidR="005549EC" w:rsidRPr="00DA037C" w:rsidRDefault="005549EC" w:rsidP="005549EC">
      <w:pPr>
        <w:pStyle w:val="TableNo"/>
        <w:rPr>
          <w:lang w:val="es-ES_tradnl"/>
        </w:rPr>
      </w:pPr>
      <w:r w:rsidRPr="00DA037C">
        <w:rPr>
          <w:lang w:val="es-ES_tradnl"/>
        </w:rPr>
        <w:t xml:space="preserve">CUADRO </w:t>
      </w:r>
      <w:r w:rsidRPr="00DA037C">
        <w:rPr>
          <w:lang w:val="es-ES_tradnl" w:eastAsia="ja-JP"/>
        </w:rPr>
        <w:t>3</w:t>
      </w:r>
    </w:p>
    <w:p w:rsidR="005549EC" w:rsidRPr="00DA037C" w:rsidRDefault="005549EC" w:rsidP="005549EC">
      <w:pPr>
        <w:pStyle w:val="Tabletitle"/>
        <w:rPr>
          <w:lang w:val="es-ES_tradnl" w:eastAsia="ja-JP"/>
        </w:rPr>
      </w:pPr>
      <w:r w:rsidRPr="00DA037C">
        <w:rPr>
          <w:lang w:val="es-ES_tradnl" w:eastAsia="ja-JP"/>
        </w:rPr>
        <w:t xml:space="preserve">Especificaciones principales de los FWS transportables para uso a bordo </w:t>
      </w:r>
      <w:r>
        <w:rPr>
          <w:lang w:val="es-ES_tradnl" w:eastAsia="ja-JP"/>
        </w:rPr>
        <w:br/>
      </w:r>
      <w:r w:rsidRPr="00DA037C">
        <w:rPr>
          <w:lang w:val="es-ES_tradnl" w:eastAsia="ja-JP"/>
        </w:rPr>
        <w:t>de vehículos en operaciones d</w:t>
      </w:r>
      <w:r>
        <w:rPr>
          <w:lang w:val="es-ES_tradnl" w:eastAsia="ja-JP"/>
        </w:rPr>
        <w:t>e socorro en caso de catástrofe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666"/>
        <w:gridCol w:w="1927"/>
        <w:gridCol w:w="2101"/>
        <w:gridCol w:w="1755"/>
      </w:tblGrid>
      <w:tr w:rsidR="005549EC" w:rsidRPr="00DA037C" w:rsidTr="00613BA1">
        <w:trPr>
          <w:jc w:val="center"/>
        </w:trPr>
        <w:tc>
          <w:tcPr>
            <w:tcW w:w="2190" w:type="dxa"/>
          </w:tcPr>
          <w:p w:rsidR="005549EC" w:rsidRPr="00DA037C" w:rsidRDefault="005549EC" w:rsidP="00B45766">
            <w:pPr>
              <w:pStyle w:val="Tablehead"/>
              <w:spacing w:before="40" w:after="40"/>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Banda de frecuencias</w:t>
            </w:r>
            <w:r w:rsidRPr="00DA037C">
              <w:rPr>
                <w:rFonts w:asciiTheme="majorBidi" w:hAnsiTheme="majorBidi" w:cstheme="majorBidi"/>
                <w:szCs w:val="22"/>
                <w:vertAlign w:val="superscript"/>
                <w:lang w:val="es-ES_tradnl" w:eastAsia="ja-JP"/>
              </w:rPr>
              <w:t>(</w:t>
            </w:r>
            <w:r w:rsidR="00B45766" w:rsidRPr="00B45766">
              <w:t>*</w:t>
            </w:r>
            <w:r w:rsidRPr="00DA037C">
              <w:rPr>
                <w:rFonts w:asciiTheme="majorBidi" w:hAnsiTheme="majorBidi" w:cstheme="majorBidi"/>
                <w:szCs w:val="22"/>
                <w:vertAlign w:val="superscript"/>
                <w:lang w:val="es-ES_tradnl" w:eastAsia="ja-JP"/>
              </w:rPr>
              <w:t>)</w:t>
            </w:r>
          </w:p>
        </w:tc>
        <w:tc>
          <w:tcPr>
            <w:tcW w:w="1666" w:type="dxa"/>
          </w:tcPr>
          <w:p w:rsidR="005549EC" w:rsidRPr="00DA037C" w:rsidRDefault="005549EC" w:rsidP="00613BA1">
            <w:pPr>
              <w:pStyle w:val="Tablehead"/>
              <w:spacing w:before="40" w:after="40"/>
              <w:rPr>
                <w:rFonts w:asciiTheme="majorBidi" w:hAnsiTheme="majorBidi" w:cstheme="majorBidi"/>
                <w:szCs w:val="22"/>
                <w:lang w:val="es-ES_tradnl" w:eastAsia="ja-JP"/>
              </w:rPr>
            </w:pPr>
            <w:r w:rsidRPr="00DA037C">
              <w:rPr>
                <w:rFonts w:asciiTheme="majorBidi" w:hAnsiTheme="majorBidi" w:cstheme="majorBidi"/>
                <w:szCs w:val="22"/>
                <w:lang w:val="es-ES_tradnl"/>
              </w:rPr>
              <w:t>Capacidad</w:t>
            </w:r>
          </w:p>
        </w:tc>
        <w:tc>
          <w:tcPr>
            <w:tcW w:w="1927" w:type="dxa"/>
          </w:tcPr>
          <w:p w:rsidR="005549EC" w:rsidRPr="00DA037C" w:rsidRDefault="005549EC" w:rsidP="00613BA1">
            <w:pPr>
              <w:pStyle w:val="Tablehead"/>
              <w:spacing w:before="40" w:after="40"/>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Interfaz</w:t>
            </w:r>
          </w:p>
        </w:tc>
        <w:tc>
          <w:tcPr>
            <w:tcW w:w="2101" w:type="dxa"/>
          </w:tcPr>
          <w:p w:rsidR="005549EC" w:rsidRPr="00DA037C" w:rsidRDefault="005549EC" w:rsidP="00613BA1">
            <w:pPr>
              <w:pStyle w:val="Tablehead"/>
              <w:spacing w:before="40" w:after="40"/>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Tipo de antena</w:t>
            </w:r>
          </w:p>
        </w:tc>
        <w:tc>
          <w:tcPr>
            <w:tcW w:w="1755" w:type="dxa"/>
          </w:tcPr>
          <w:p w:rsidR="005549EC" w:rsidRPr="00DA037C" w:rsidRDefault="005549EC" w:rsidP="00613BA1">
            <w:pPr>
              <w:pStyle w:val="Tablehead"/>
              <w:spacing w:before="40" w:after="40"/>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Distancia de transmisión</w:t>
            </w:r>
          </w:p>
        </w:tc>
      </w:tr>
      <w:tr w:rsidR="005549EC" w:rsidRPr="00DA037C" w:rsidTr="00613BA1">
        <w:trPr>
          <w:jc w:val="center"/>
        </w:trPr>
        <w:tc>
          <w:tcPr>
            <w:tcW w:w="2190" w:type="dxa"/>
          </w:tcPr>
          <w:p w:rsidR="005549EC" w:rsidRPr="00DA037C" w:rsidRDefault="005549EC" w:rsidP="00613BA1">
            <w:pPr>
              <w:pStyle w:val="Tabletext"/>
              <w:keepNext/>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 xml:space="preserve">Parte superior de la banda de 4 GHz </w:t>
            </w:r>
            <w:r w:rsidRPr="00DA037C">
              <w:rPr>
                <w:rFonts w:asciiTheme="majorBidi" w:hAnsiTheme="majorBidi" w:cstheme="majorBidi"/>
                <w:szCs w:val="22"/>
                <w:lang w:val="es-ES_tradnl" w:eastAsia="ja-JP"/>
              </w:rPr>
              <w:br/>
              <w:t>(4,92-5,0 GHz)</w:t>
            </w:r>
          </w:p>
        </w:tc>
        <w:tc>
          <w:tcPr>
            <w:tcW w:w="1666" w:type="dxa"/>
            <w:vAlign w:val="center"/>
          </w:tcPr>
          <w:p w:rsidR="005549EC" w:rsidRPr="00DA037C" w:rsidRDefault="005549EC" w:rsidP="00613BA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7-35 Mbit/s</w:t>
            </w:r>
          </w:p>
        </w:tc>
        <w:tc>
          <w:tcPr>
            <w:tcW w:w="1927" w:type="dxa"/>
            <w:vAlign w:val="center"/>
          </w:tcPr>
          <w:p w:rsidR="005549EC" w:rsidRPr="00DA037C" w:rsidRDefault="005549EC" w:rsidP="00B45766">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val="es-ES_tradnl" w:eastAsia="ja-JP"/>
              </w:rPr>
            </w:pPr>
            <w:r w:rsidRPr="00DA037C">
              <w:rPr>
                <w:rFonts w:asciiTheme="majorBidi" w:hAnsiTheme="majorBidi" w:cstheme="majorBidi"/>
                <w:b w:val="0"/>
                <w:szCs w:val="22"/>
                <w:lang w:val="es-ES_tradnl" w:eastAsia="ja-JP"/>
              </w:rPr>
              <w:t>100BASE-TX</w:t>
            </w:r>
            <w:r w:rsidR="00B45766" w:rsidRPr="00B45766">
              <w:rPr>
                <w:rFonts w:asciiTheme="majorBidi" w:hAnsiTheme="majorBidi" w:cstheme="majorBidi"/>
                <w:b w:val="0"/>
                <w:bCs/>
                <w:szCs w:val="22"/>
                <w:vertAlign w:val="superscript"/>
                <w:lang w:val="es-ES_tradnl" w:eastAsia="ja-JP"/>
              </w:rPr>
              <w:t>(</w:t>
            </w:r>
            <w:r w:rsidR="00B45766" w:rsidRPr="00B45766">
              <w:rPr>
                <w:b w:val="0"/>
                <w:bCs/>
              </w:rPr>
              <w:t>**</w:t>
            </w:r>
            <w:r w:rsidR="00B45766" w:rsidRPr="00B45766">
              <w:rPr>
                <w:rFonts w:asciiTheme="majorBidi" w:hAnsiTheme="majorBidi" w:cstheme="majorBidi"/>
                <w:b w:val="0"/>
                <w:bCs/>
                <w:szCs w:val="22"/>
                <w:vertAlign w:val="superscript"/>
                <w:lang w:val="es-ES_tradnl" w:eastAsia="ja-JP"/>
              </w:rPr>
              <w:t>)</w:t>
            </w:r>
          </w:p>
        </w:tc>
        <w:tc>
          <w:tcPr>
            <w:tcW w:w="2101" w:type="dxa"/>
            <w:vAlign w:val="center"/>
          </w:tcPr>
          <w:p w:rsidR="005549EC" w:rsidRPr="00DA037C" w:rsidRDefault="005549EC" w:rsidP="00613BA1">
            <w:pPr>
              <w:pStyle w:val="Tablehead"/>
              <w:keepLines/>
              <w:tabs>
                <w:tab w:val="clear" w:pos="567"/>
                <w:tab w:val="left" w:pos="0"/>
                <w:tab w:val="left" w:leader="dot" w:pos="7938"/>
                <w:tab w:val="center" w:pos="9526"/>
                <w:tab w:val="right" w:pos="9611"/>
              </w:tabs>
              <w:spacing w:before="40" w:after="40"/>
              <w:rPr>
                <w:rFonts w:asciiTheme="majorBidi" w:hAnsiTheme="majorBidi" w:cstheme="majorBidi"/>
                <w:b w:val="0"/>
                <w:szCs w:val="22"/>
                <w:lang w:val="es-ES_tradnl" w:eastAsia="ja-JP"/>
              </w:rPr>
            </w:pPr>
            <w:r>
              <w:rPr>
                <w:rFonts w:asciiTheme="majorBidi" w:hAnsiTheme="majorBidi" w:cstheme="majorBidi"/>
                <w:b w:val="0"/>
                <w:szCs w:val="22"/>
                <w:lang w:val="es-ES_tradnl" w:eastAsia="ja-JP"/>
              </w:rPr>
              <w:t>Pantalla plana de 36 </w:t>
            </w:r>
            <w:r w:rsidRPr="00DA037C">
              <w:rPr>
                <w:rFonts w:asciiTheme="majorBidi" w:hAnsiTheme="majorBidi" w:cstheme="majorBidi"/>
                <w:b w:val="0"/>
                <w:szCs w:val="22"/>
                <w:lang w:val="es-ES_tradnl" w:eastAsia="ja-JP"/>
              </w:rPr>
              <w:t>cm</w:t>
            </w:r>
          </w:p>
        </w:tc>
        <w:tc>
          <w:tcPr>
            <w:tcW w:w="1755" w:type="dxa"/>
            <w:vAlign w:val="center"/>
          </w:tcPr>
          <w:p w:rsidR="005549EC" w:rsidRPr="00DA037C" w:rsidRDefault="005549EC" w:rsidP="00613BA1">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val="es-ES_tradnl" w:eastAsia="ja-JP"/>
              </w:rPr>
            </w:pPr>
            <w:r w:rsidRPr="00DA037C">
              <w:rPr>
                <w:rFonts w:asciiTheme="majorBidi" w:hAnsiTheme="majorBidi" w:cstheme="majorBidi"/>
                <w:b w:val="0"/>
                <w:szCs w:val="22"/>
                <w:lang w:val="es-ES_tradnl" w:eastAsia="ja-JP"/>
              </w:rPr>
              <w:t>1</w:t>
            </w:r>
            <w:r w:rsidRPr="00DA037C">
              <w:rPr>
                <w:rFonts w:asciiTheme="majorBidi" w:hAnsiTheme="majorBidi" w:cstheme="majorBidi"/>
                <w:b w:val="0"/>
                <w:szCs w:val="22"/>
                <w:lang w:val="es-ES_tradnl"/>
              </w:rPr>
              <w:t>0 km</w:t>
            </w:r>
          </w:p>
        </w:tc>
      </w:tr>
      <w:tr w:rsidR="005549EC" w:rsidRPr="00B45766" w:rsidTr="00613BA1">
        <w:trPr>
          <w:jc w:val="center"/>
        </w:trPr>
        <w:tc>
          <w:tcPr>
            <w:tcW w:w="2190" w:type="dxa"/>
            <w:tcBorders>
              <w:bottom w:val="single" w:sz="4" w:space="0" w:color="auto"/>
            </w:tcBorders>
          </w:tcPr>
          <w:p w:rsidR="005549EC" w:rsidRPr="00DA037C" w:rsidRDefault="005549EC" w:rsidP="00B45766">
            <w:pPr>
              <w:pStyle w:val="Tabletext"/>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 xml:space="preserve">Banda de 18 GHz </w:t>
            </w:r>
            <w:r w:rsidRPr="00DA037C">
              <w:rPr>
                <w:rFonts w:asciiTheme="majorBidi" w:hAnsiTheme="majorBidi" w:cstheme="majorBidi"/>
                <w:szCs w:val="22"/>
                <w:lang w:val="es-ES_tradnl" w:eastAsia="ja-JP"/>
              </w:rPr>
              <w:br/>
              <w:t>(17,85-17,97/</w:t>
            </w:r>
            <w:r w:rsidR="00B45766">
              <w:rPr>
                <w:rFonts w:asciiTheme="majorBidi" w:hAnsiTheme="majorBidi" w:cstheme="majorBidi"/>
                <w:szCs w:val="22"/>
                <w:lang w:val="es-ES_tradnl" w:eastAsia="ja-JP"/>
              </w:rPr>
              <w:br/>
            </w:r>
            <w:r w:rsidRPr="00DA037C">
              <w:rPr>
                <w:rFonts w:asciiTheme="majorBidi" w:hAnsiTheme="majorBidi" w:cstheme="majorBidi"/>
                <w:szCs w:val="22"/>
                <w:lang w:val="es-ES_tradnl" w:eastAsia="ja-JP"/>
              </w:rPr>
              <w:t>18,6</w:t>
            </w:r>
            <w:r w:rsidRPr="00DA037C">
              <w:rPr>
                <w:rFonts w:asciiTheme="majorBidi" w:hAnsiTheme="majorBidi" w:cstheme="majorBidi"/>
                <w:szCs w:val="22"/>
                <w:lang w:val="es-ES_tradnl" w:eastAsia="ja-JP"/>
              </w:rPr>
              <w:noBreakHyphen/>
              <w:t>18,72 GHz)</w:t>
            </w:r>
          </w:p>
        </w:tc>
        <w:tc>
          <w:tcPr>
            <w:tcW w:w="1666" w:type="dxa"/>
            <w:tcBorders>
              <w:bottom w:val="single" w:sz="4" w:space="0" w:color="auto"/>
            </w:tcBorders>
            <w:vAlign w:val="center"/>
          </w:tcPr>
          <w:p w:rsidR="005549EC" w:rsidRPr="00DA037C" w:rsidRDefault="005549EC" w:rsidP="00613BA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155</w:t>
            </w:r>
            <w:r>
              <w:rPr>
                <w:rFonts w:asciiTheme="majorBidi" w:hAnsiTheme="majorBidi" w:cstheme="majorBidi"/>
                <w:szCs w:val="22"/>
                <w:lang w:val="es-ES_tradnl" w:eastAsia="ja-JP"/>
              </w:rPr>
              <w:t>,</w:t>
            </w:r>
            <w:r w:rsidRPr="00DA037C">
              <w:rPr>
                <w:rFonts w:asciiTheme="majorBidi" w:hAnsiTheme="majorBidi" w:cstheme="majorBidi"/>
                <w:szCs w:val="22"/>
                <w:lang w:val="es-ES_tradnl" w:eastAsia="ja-JP"/>
              </w:rPr>
              <w:t>52 Mbit/s</w:t>
            </w:r>
          </w:p>
        </w:tc>
        <w:tc>
          <w:tcPr>
            <w:tcW w:w="1927" w:type="dxa"/>
            <w:tcBorders>
              <w:bottom w:val="single" w:sz="4" w:space="0" w:color="auto"/>
            </w:tcBorders>
            <w:vAlign w:val="center"/>
          </w:tcPr>
          <w:p w:rsidR="005549EC" w:rsidRPr="00DA037C" w:rsidRDefault="005549EC" w:rsidP="00613BA1">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val="es-ES_tradnl" w:eastAsia="ja-JP"/>
              </w:rPr>
            </w:pPr>
            <w:r w:rsidRPr="00DA037C">
              <w:rPr>
                <w:rFonts w:asciiTheme="majorBidi" w:hAnsiTheme="majorBidi" w:cstheme="majorBidi"/>
                <w:b w:val="0"/>
                <w:szCs w:val="22"/>
                <w:lang w:val="es-ES_tradnl" w:eastAsia="ja-JP"/>
              </w:rPr>
              <w:t>STM-1</w:t>
            </w:r>
          </w:p>
        </w:tc>
        <w:tc>
          <w:tcPr>
            <w:tcW w:w="2101" w:type="dxa"/>
            <w:tcBorders>
              <w:bottom w:val="single" w:sz="4" w:space="0" w:color="auto"/>
            </w:tcBorders>
            <w:vAlign w:val="center"/>
          </w:tcPr>
          <w:p w:rsidR="005549EC" w:rsidRPr="00DA037C" w:rsidRDefault="005549EC" w:rsidP="00613BA1">
            <w:pPr>
              <w:pStyle w:val="Tablehead"/>
              <w:keepLines/>
              <w:tabs>
                <w:tab w:val="clear" w:pos="567"/>
                <w:tab w:val="left" w:pos="341"/>
                <w:tab w:val="left" w:leader="dot" w:pos="7938"/>
                <w:tab w:val="center" w:pos="9526"/>
                <w:tab w:val="right" w:pos="9611"/>
              </w:tabs>
              <w:spacing w:before="40" w:after="40"/>
              <w:rPr>
                <w:rFonts w:asciiTheme="majorBidi" w:hAnsiTheme="majorBidi" w:cstheme="majorBidi"/>
                <w:b w:val="0"/>
                <w:szCs w:val="22"/>
                <w:lang w:val="es-ES_tradnl" w:eastAsia="ja-JP"/>
              </w:rPr>
            </w:pPr>
            <w:r w:rsidRPr="00DA037C">
              <w:rPr>
                <w:rFonts w:asciiTheme="majorBidi" w:hAnsiTheme="majorBidi" w:cstheme="majorBidi"/>
                <w:b w:val="0"/>
                <w:szCs w:val="22"/>
                <w:lang w:val="es-ES_tradnl" w:eastAsia="ja-JP"/>
              </w:rPr>
              <w:t>Parabólica de 0,</w:t>
            </w:r>
            <w:r>
              <w:rPr>
                <w:rFonts w:asciiTheme="majorBidi" w:hAnsiTheme="majorBidi" w:cstheme="majorBidi"/>
                <w:b w:val="0"/>
                <w:szCs w:val="22"/>
                <w:lang w:val="es-ES_tradnl" w:eastAsia="ja-JP"/>
              </w:rPr>
              <w:t>4</w:t>
            </w:r>
            <w:r>
              <w:rPr>
                <w:rFonts w:asciiTheme="majorBidi" w:hAnsiTheme="majorBidi" w:cstheme="majorBidi"/>
                <w:b w:val="0"/>
                <w:szCs w:val="22"/>
                <w:lang w:val="es-ES_tradnl" w:eastAsia="ja-JP"/>
              </w:rPr>
              <w:noBreakHyphen/>
            </w:r>
            <w:r w:rsidRPr="00DA037C">
              <w:rPr>
                <w:rFonts w:asciiTheme="majorBidi" w:hAnsiTheme="majorBidi" w:cstheme="majorBidi"/>
                <w:b w:val="0"/>
                <w:szCs w:val="22"/>
                <w:lang w:val="es-ES_tradnl" w:eastAsia="ja-JP"/>
              </w:rPr>
              <w:t>1,</w:t>
            </w:r>
            <w:r>
              <w:rPr>
                <w:rFonts w:asciiTheme="majorBidi" w:hAnsiTheme="majorBidi" w:cstheme="majorBidi"/>
                <w:b w:val="0"/>
                <w:szCs w:val="22"/>
                <w:lang w:val="es-ES_tradnl" w:eastAsia="ja-JP"/>
              </w:rPr>
              <w:t>2 </w:t>
            </w:r>
            <w:r w:rsidRPr="00DA037C">
              <w:rPr>
                <w:rFonts w:asciiTheme="majorBidi" w:hAnsiTheme="majorBidi" w:cstheme="majorBidi"/>
                <w:b w:val="0"/>
                <w:szCs w:val="22"/>
                <w:lang w:val="es-ES_tradnl" w:eastAsia="ja-JP"/>
              </w:rPr>
              <w:t>m de diámetro</w:t>
            </w:r>
          </w:p>
        </w:tc>
        <w:tc>
          <w:tcPr>
            <w:tcW w:w="1755" w:type="dxa"/>
            <w:tcBorders>
              <w:bottom w:val="single" w:sz="4" w:space="0" w:color="auto"/>
            </w:tcBorders>
            <w:vAlign w:val="center"/>
          </w:tcPr>
          <w:p w:rsidR="005549EC" w:rsidRPr="00DA037C" w:rsidRDefault="005549EC" w:rsidP="00613BA1">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val="es-ES_tradnl" w:eastAsia="ja-JP"/>
              </w:rPr>
            </w:pPr>
            <w:r w:rsidRPr="00DA037C">
              <w:rPr>
                <w:rFonts w:asciiTheme="majorBidi" w:hAnsiTheme="majorBidi" w:cstheme="majorBidi"/>
                <w:b w:val="0"/>
                <w:szCs w:val="22"/>
                <w:lang w:val="es-ES_tradnl" w:eastAsia="ja-JP"/>
              </w:rPr>
              <w:t>3,5 km</w:t>
            </w:r>
          </w:p>
        </w:tc>
      </w:tr>
      <w:tr w:rsidR="005549EC" w:rsidRPr="006E4796" w:rsidTr="00613BA1">
        <w:trPr>
          <w:jc w:val="center"/>
        </w:trPr>
        <w:tc>
          <w:tcPr>
            <w:tcW w:w="9639" w:type="dxa"/>
            <w:gridSpan w:val="5"/>
            <w:tcBorders>
              <w:left w:val="nil"/>
              <w:bottom w:val="nil"/>
              <w:right w:val="nil"/>
            </w:tcBorders>
          </w:tcPr>
          <w:p w:rsidR="005549EC" w:rsidRPr="00DA037C" w:rsidRDefault="00B45766" w:rsidP="00F754D6">
            <w:pPr>
              <w:pStyle w:val="Tablelegend"/>
              <w:rPr>
                <w:caps/>
                <w:lang w:val="es-ES_tradnl" w:eastAsia="ja-JP"/>
              </w:rPr>
            </w:pPr>
            <w:r w:rsidRPr="00B45766">
              <w:rPr>
                <w:rFonts w:asciiTheme="majorBidi" w:hAnsiTheme="majorBidi" w:cstheme="majorBidi"/>
                <w:b/>
                <w:bCs/>
                <w:szCs w:val="22"/>
                <w:vertAlign w:val="superscript"/>
                <w:lang w:val="es-ES_tradnl" w:eastAsia="ja-JP"/>
              </w:rPr>
              <w:t>(</w:t>
            </w:r>
            <w:r w:rsidRPr="00B45766">
              <w:rPr>
                <w:b/>
                <w:bCs/>
                <w:lang w:val="es-ES_tradnl"/>
              </w:rPr>
              <w:t>*</w:t>
            </w:r>
            <w:r w:rsidRPr="00B45766">
              <w:rPr>
                <w:rFonts w:asciiTheme="majorBidi" w:hAnsiTheme="majorBidi" w:cstheme="majorBidi"/>
                <w:b/>
                <w:bCs/>
                <w:szCs w:val="22"/>
                <w:vertAlign w:val="superscript"/>
                <w:lang w:val="es-ES_tradnl" w:eastAsia="ja-JP"/>
              </w:rPr>
              <w:t>)</w:t>
            </w:r>
            <w:r w:rsidR="005549EC" w:rsidRPr="00DA037C">
              <w:rPr>
                <w:lang w:val="es-ES_tradnl" w:eastAsia="ja-JP"/>
              </w:rPr>
              <w:tab/>
              <w:t>El canal RF se selecciona dentro de la banda de frecuencias asignada</w:t>
            </w:r>
            <w:r>
              <w:rPr>
                <w:lang w:val="es-ES_tradnl" w:eastAsia="ja-JP"/>
              </w:rPr>
              <w:t>.</w:t>
            </w:r>
          </w:p>
          <w:p w:rsidR="005549EC" w:rsidRPr="00DA037C" w:rsidRDefault="00B45766" w:rsidP="00B45766">
            <w:pPr>
              <w:pStyle w:val="Tablelegend"/>
              <w:rPr>
                <w:lang w:val="es-ES_tradnl" w:eastAsia="ja-JP"/>
              </w:rPr>
            </w:pPr>
            <w:r w:rsidRPr="00B45766">
              <w:rPr>
                <w:rFonts w:asciiTheme="majorBidi" w:hAnsiTheme="majorBidi" w:cstheme="majorBidi"/>
                <w:b/>
                <w:bCs/>
                <w:szCs w:val="22"/>
                <w:vertAlign w:val="superscript"/>
                <w:lang w:val="es-ES_tradnl" w:eastAsia="ja-JP"/>
              </w:rPr>
              <w:t>(</w:t>
            </w:r>
            <w:r w:rsidRPr="00B45766">
              <w:rPr>
                <w:b/>
                <w:bCs/>
                <w:lang w:val="es-ES_tradnl"/>
              </w:rPr>
              <w:t>**</w:t>
            </w:r>
            <w:r w:rsidRPr="00B45766">
              <w:rPr>
                <w:rFonts w:asciiTheme="majorBidi" w:hAnsiTheme="majorBidi" w:cstheme="majorBidi"/>
                <w:b/>
                <w:bCs/>
                <w:szCs w:val="22"/>
                <w:vertAlign w:val="superscript"/>
                <w:lang w:val="es-ES_tradnl" w:eastAsia="ja-JP"/>
              </w:rPr>
              <w:t>)</w:t>
            </w:r>
            <w:r w:rsidR="005549EC" w:rsidRPr="00DA037C">
              <w:rPr>
                <w:lang w:val="es-ES_tradnl" w:eastAsia="ja-JP"/>
              </w:rPr>
              <w:tab/>
              <w:t>Conectada al MPX (</w:t>
            </w:r>
            <w:proofErr w:type="spellStart"/>
            <w:r w:rsidR="005549EC" w:rsidRPr="00DA037C">
              <w:rPr>
                <w:lang w:val="es-ES_tradnl" w:eastAsia="ja-JP"/>
              </w:rPr>
              <w:t>multiplexador</w:t>
            </w:r>
            <w:proofErr w:type="spellEnd"/>
            <w:r w:rsidR="005549EC" w:rsidRPr="00DA037C">
              <w:rPr>
                <w:lang w:val="es-ES_tradnl" w:eastAsia="ja-JP"/>
              </w:rPr>
              <w:t xml:space="preserve">) a través de un convertidor </w:t>
            </w:r>
            <w:proofErr w:type="spellStart"/>
            <w:r w:rsidR="005549EC" w:rsidRPr="00DA037C">
              <w:rPr>
                <w:lang w:val="es-ES_tradnl" w:eastAsia="ja-JP"/>
              </w:rPr>
              <w:t>Ether</w:t>
            </w:r>
            <w:proofErr w:type="spellEnd"/>
            <w:r w:rsidR="005549EC" w:rsidRPr="00DA037C">
              <w:rPr>
                <w:lang w:val="es-ES_tradnl" w:eastAsia="ja-JP"/>
              </w:rPr>
              <w:t>/ATM.</w:t>
            </w:r>
          </w:p>
        </w:tc>
      </w:tr>
    </w:tbl>
    <w:p w:rsidR="005549EC" w:rsidRPr="00DA037C" w:rsidRDefault="005549EC" w:rsidP="005549EC">
      <w:pPr>
        <w:pStyle w:val="Tablefin"/>
        <w:rPr>
          <w:lang w:val="es-ES_tradnl"/>
        </w:rPr>
      </w:pPr>
    </w:p>
    <w:p w:rsidR="005549EC" w:rsidRPr="00DA037C" w:rsidRDefault="005549EC" w:rsidP="005549EC">
      <w:pPr>
        <w:pStyle w:val="TableNo"/>
        <w:keepLines/>
        <w:rPr>
          <w:lang w:val="es-ES_tradnl"/>
        </w:rPr>
      </w:pPr>
      <w:r w:rsidRPr="00DA037C">
        <w:rPr>
          <w:lang w:val="es-ES_tradnl"/>
        </w:rPr>
        <w:t>CUADRO 4</w:t>
      </w:r>
    </w:p>
    <w:p w:rsidR="005549EC" w:rsidRPr="00DA037C" w:rsidRDefault="005549EC" w:rsidP="005549EC">
      <w:pPr>
        <w:pStyle w:val="Tabletitle"/>
        <w:keepLines/>
        <w:rPr>
          <w:lang w:val="es-ES_tradnl" w:eastAsia="ja-JP"/>
        </w:rPr>
      </w:pPr>
      <w:r w:rsidRPr="00DA037C">
        <w:rPr>
          <w:lang w:val="es-ES_tradnl" w:eastAsia="ja-JP"/>
        </w:rPr>
        <w:t xml:space="preserve">Ejemplo de parámetros de estación de base móvil transportable para utilización </w:t>
      </w:r>
      <w:r>
        <w:rPr>
          <w:lang w:val="es-ES_tradnl" w:eastAsia="ja-JP"/>
        </w:rPr>
        <w:br/>
      </w:r>
      <w:r w:rsidRPr="00DA037C">
        <w:rPr>
          <w:lang w:val="es-ES_tradnl" w:eastAsia="ja-JP"/>
        </w:rPr>
        <w:t>a bordo de vehículos en operaciones</w:t>
      </w:r>
      <w:r>
        <w:rPr>
          <w:lang w:val="es-ES_tradnl" w:eastAsia="ja-JP"/>
        </w:rPr>
        <w:t xml:space="preserve"> de ayuda en caso de catástrofe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9"/>
        <w:gridCol w:w="2909"/>
        <w:gridCol w:w="3291"/>
      </w:tblGrid>
      <w:tr w:rsidR="005549EC" w:rsidRPr="00DA037C" w:rsidTr="00613BA1">
        <w:trPr>
          <w:jc w:val="center"/>
        </w:trPr>
        <w:tc>
          <w:tcPr>
            <w:tcW w:w="3439" w:type="dxa"/>
            <w:vAlign w:val="center"/>
          </w:tcPr>
          <w:p w:rsidR="005549EC" w:rsidRPr="00DA037C" w:rsidRDefault="005549EC" w:rsidP="00613BA1">
            <w:pPr>
              <w:pStyle w:val="Tablehead"/>
              <w:keepLines/>
              <w:spacing w:before="40" w:after="40"/>
              <w:rPr>
                <w:rFonts w:asciiTheme="majorBidi" w:hAnsiTheme="majorBidi" w:cstheme="majorBidi"/>
                <w:szCs w:val="22"/>
                <w:lang w:val="es-ES_tradnl"/>
              </w:rPr>
            </w:pPr>
            <w:r w:rsidRPr="00DA037C">
              <w:rPr>
                <w:rFonts w:asciiTheme="majorBidi" w:hAnsiTheme="majorBidi" w:cstheme="majorBidi"/>
                <w:szCs w:val="22"/>
                <w:lang w:val="es-ES_tradnl"/>
              </w:rPr>
              <w:t>Banda de frecuencias</w:t>
            </w:r>
          </w:p>
        </w:tc>
        <w:tc>
          <w:tcPr>
            <w:tcW w:w="2909" w:type="dxa"/>
            <w:vAlign w:val="center"/>
          </w:tcPr>
          <w:p w:rsidR="005549EC" w:rsidRPr="00DA037C" w:rsidRDefault="005549EC" w:rsidP="00692453">
            <w:pPr>
              <w:pStyle w:val="Tablehead"/>
              <w:keepLines/>
              <w:spacing w:before="40" w:after="40"/>
              <w:rPr>
                <w:rFonts w:asciiTheme="majorBidi" w:hAnsiTheme="majorBidi" w:cstheme="majorBidi"/>
                <w:szCs w:val="22"/>
                <w:lang w:val="es-ES_tradnl"/>
              </w:rPr>
            </w:pPr>
            <w:r w:rsidRPr="00DA037C">
              <w:rPr>
                <w:rFonts w:asciiTheme="majorBidi" w:hAnsiTheme="majorBidi" w:cstheme="majorBidi"/>
                <w:szCs w:val="22"/>
                <w:lang w:val="es-ES_tradnl"/>
              </w:rPr>
              <w:t>Ancho de banda</w:t>
            </w:r>
            <w:r w:rsidR="00692453">
              <w:rPr>
                <w:rFonts w:asciiTheme="majorBidi" w:hAnsiTheme="majorBidi" w:cstheme="majorBidi"/>
                <w:szCs w:val="22"/>
                <w:lang w:val="es-ES_tradnl"/>
              </w:rPr>
              <w:br/>
            </w:r>
            <w:r w:rsidRPr="00DA037C">
              <w:rPr>
                <w:rFonts w:asciiTheme="majorBidi" w:hAnsiTheme="majorBidi" w:cstheme="majorBidi"/>
                <w:szCs w:val="22"/>
                <w:lang w:val="es-ES_tradnl"/>
              </w:rPr>
              <w:t>(número de portadoras)</w:t>
            </w:r>
          </w:p>
        </w:tc>
        <w:tc>
          <w:tcPr>
            <w:tcW w:w="3291" w:type="dxa"/>
            <w:vAlign w:val="center"/>
          </w:tcPr>
          <w:p w:rsidR="005549EC" w:rsidRPr="00DA037C" w:rsidRDefault="005549EC" w:rsidP="00613BA1">
            <w:pPr>
              <w:pStyle w:val="Tablehead"/>
              <w:keepLines/>
              <w:spacing w:before="40" w:after="40"/>
              <w:rPr>
                <w:rFonts w:asciiTheme="majorBidi" w:hAnsiTheme="majorBidi" w:cstheme="majorBidi"/>
                <w:szCs w:val="22"/>
                <w:lang w:val="es-ES_tradnl"/>
              </w:rPr>
            </w:pPr>
            <w:r w:rsidRPr="00DA037C">
              <w:rPr>
                <w:rFonts w:asciiTheme="majorBidi" w:hAnsiTheme="majorBidi" w:cstheme="majorBidi"/>
                <w:szCs w:val="22"/>
                <w:lang w:val="es-ES_tradnl"/>
              </w:rPr>
              <w:t>Tipo de antena</w:t>
            </w:r>
          </w:p>
        </w:tc>
      </w:tr>
      <w:tr w:rsidR="005549EC" w:rsidRPr="006E4796" w:rsidTr="00613BA1">
        <w:trPr>
          <w:jc w:val="center"/>
        </w:trPr>
        <w:tc>
          <w:tcPr>
            <w:tcW w:w="3439" w:type="dxa"/>
            <w:tcBorders>
              <w:bottom w:val="single" w:sz="4" w:space="0" w:color="auto"/>
            </w:tcBorders>
            <w:vAlign w:val="center"/>
          </w:tcPr>
          <w:p w:rsidR="005549EC" w:rsidRPr="00DA037C" w:rsidRDefault="005549EC" w:rsidP="0048430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 w:val="right" w:pos="9611"/>
              </w:tabs>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800 MHz (830-845/</w:t>
            </w:r>
            <w:r w:rsidR="00484300">
              <w:rPr>
                <w:rFonts w:asciiTheme="majorBidi" w:hAnsiTheme="majorBidi" w:cstheme="majorBidi"/>
                <w:szCs w:val="22"/>
                <w:lang w:val="es-ES_tradnl" w:eastAsia="ja-JP"/>
              </w:rPr>
              <w:br/>
            </w:r>
            <w:r w:rsidRPr="00DA037C">
              <w:rPr>
                <w:rFonts w:asciiTheme="majorBidi" w:hAnsiTheme="majorBidi" w:cstheme="majorBidi"/>
                <w:szCs w:val="22"/>
                <w:lang w:val="es-ES_tradnl" w:eastAsia="ja-JP"/>
              </w:rPr>
              <w:t>875-890 MHz)</w:t>
            </w:r>
            <w:r w:rsidR="00B45766" w:rsidRPr="00B45766">
              <w:rPr>
                <w:rFonts w:asciiTheme="majorBidi" w:hAnsiTheme="majorBidi" w:cstheme="majorBidi"/>
                <w:b/>
                <w:bCs/>
                <w:szCs w:val="22"/>
                <w:vertAlign w:val="superscript"/>
                <w:lang w:val="es-ES_tradnl" w:eastAsia="ja-JP"/>
              </w:rPr>
              <w:t>(</w:t>
            </w:r>
            <w:r w:rsidR="00B45766" w:rsidRPr="00484300">
              <w:rPr>
                <w:b/>
                <w:bCs/>
                <w:lang w:val="es-ES_tradnl"/>
              </w:rPr>
              <w:t>***</w:t>
            </w:r>
            <w:r w:rsidR="00B45766" w:rsidRPr="00B45766">
              <w:rPr>
                <w:rFonts w:asciiTheme="majorBidi" w:hAnsiTheme="majorBidi" w:cstheme="majorBidi"/>
                <w:b/>
                <w:bCs/>
                <w:szCs w:val="22"/>
                <w:vertAlign w:val="superscript"/>
                <w:lang w:val="es-ES_tradnl" w:eastAsia="ja-JP"/>
              </w:rPr>
              <w:t>)</w:t>
            </w:r>
          </w:p>
          <w:p w:rsidR="005549EC" w:rsidRPr="00DA037C" w:rsidRDefault="005549EC" w:rsidP="00B4576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2 GHz (1 940-1 960/</w:t>
            </w:r>
            <w:r w:rsidRPr="00DA037C">
              <w:rPr>
                <w:rFonts w:asciiTheme="majorBidi" w:hAnsiTheme="majorBidi" w:cstheme="majorBidi"/>
                <w:szCs w:val="22"/>
                <w:lang w:val="es-ES_tradnl" w:eastAsia="ja-JP"/>
              </w:rPr>
              <w:br/>
              <w:t>2 130-2 150 MHz)</w:t>
            </w:r>
          </w:p>
        </w:tc>
        <w:tc>
          <w:tcPr>
            <w:tcW w:w="2909" w:type="dxa"/>
            <w:tcBorders>
              <w:bottom w:val="single" w:sz="4" w:space="0" w:color="auto"/>
            </w:tcBorders>
            <w:vAlign w:val="center"/>
          </w:tcPr>
          <w:p w:rsidR="005549EC" w:rsidRPr="00DA037C" w:rsidRDefault="005549EC" w:rsidP="006924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15 MHz</w:t>
            </w:r>
            <w:r w:rsidR="00692453">
              <w:rPr>
                <w:rFonts w:asciiTheme="majorBidi" w:hAnsiTheme="majorBidi" w:cstheme="majorBidi"/>
                <w:szCs w:val="22"/>
                <w:lang w:val="es-ES_tradnl" w:eastAsia="ja-JP"/>
              </w:rPr>
              <w:br/>
            </w:r>
            <w:r w:rsidRPr="00DA037C">
              <w:rPr>
                <w:rFonts w:asciiTheme="majorBidi" w:hAnsiTheme="majorBidi" w:cstheme="majorBidi"/>
                <w:szCs w:val="22"/>
                <w:lang w:val="es-ES_tradnl" w:eastAsia="ja-JP"/>
              </w:rPr>
              <w:t>(3 portadoras)</w:t>
            </w:r>
            <w:r w:rsidR="00B45766" w:rsidRPr="00B45766">
              <w:rPr>
                <w:rFonts w:asciiTheme="majorBidi" w:hAnsiTheme="majorBidi" w:cstheme="majorBidi"/>
                <w:b/>
                <w:bCs/>
                <w:szCs w:val="22"/>
                <w:vertAlign w:val="superscript"/>
                <w:lang w:val="es-ES_tradnl" w:eastAsia="ja-JP"/>
              </w:rPr>
              <w:t>(</w:t>
            </w:r>
            <w:r w:rsidR="00B45766" w:rsidRPr="00484300">
              <w:rPr>
                <w:b/>
                <w:bCs/>
                <w:lang w:val="es-ES_tradnl"/>
              </w:rPr>
              <w:t>*</w:t>
            </w:r>
            <w:r w:rsidR="00B45766" w:rsidRPr="00B45766">
              <w:rPr>
                <w:rFonts w:asciiTheme="majorBidi" w:hAnsiTheme="majorBidi" w:cstheme="majorBidi"/>
                <w:b/>
                <w:bCs/>
                <w:szCs w:val="22"/>
                <w:vertAlign w:val="superscript"/>
                <w:lang w:val="es-ES_tradnl" w:eastAsia="ja-JP"/>
              </w:rPr>
              <w:t>)</w:t>
            </w:r>
            <w:r w:rsidRPr="00DA037C">
              <w:rPr>
                <w:rFonts w:asciiTheme="majorBidi" w:hAnsiTheme="majorBidi" w:cstheme="majorBidi"/>
                <w:szCs w:val="22"/>
                <w:lang w:val="es-ES_tradnl" w:eastAsia="ja-JP"/>
              </w:rPr>
              <w:t>,</w:t>
            </w:r>
          </w:p>
          <w:p w:rsidR="005549EC" w:rsidRPr="00DA037C" w:rsidRDefault="005549EC" w:rsidP="006924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20 MHz</w:t>
            </w:r>
            <w:r w:rsidR="00692453">
              <w:rPr>
                <w:rFonts w:asciiTheme="majorBidi" w:hAnsiTheme="majorBidi" w:cstheme="majorBidi"/>
                <w:szCs w:val="22"/>
                <w:lang w:val="es-ES_tradnl" w:eastAsia="ja-JP"/>
              </w:rPr>
              <w:br/>
            </w:r>
            <w:r w:rsidRPr="00DA037C">
              <w:rPr>
                <w:rFonts w:asciiTheme="majorBidi" w:hAnsiTheme="majorBidi" w:cstheme="majorBidi"/>
                <w:szCs w:val="22"/>
                <w:lang w:val="es-ES_tradnl" w:eastAsia="ja-JP"/>
              </w:rPr>
              <w:t>(4 portadoras)</w:t>
            </w:r>
            <w:r w:rsidR="00B45766" w:rsidRPr="00B45766">
              <w:rPr>
                <w:rFonts w:asciiTheme="majorBidi" w:hAnsiTheme="majorBidi" w:cstheme="majorBidi"/>
                <w:b/>
                <w:bCs/>
                <w:szCs w:val="22"/>
                <w:vertAlign w:val="superscript"/>
                <w:lang w:val="es-ES_tradnl" w:eastAsia="ja-JP"/>
              </w:rPr>
              <w:t>(</w:t>
            </w:r>
            <w:r w:rsidR="00B45766" w:rsidRPr="00484300">
              <w:rPr>
                <w:b/>
                <w:bCs/>
                <w:lang w:val="es-ES_tradnl"/>
              </w:rPr>
              <w:t>*</w:t>
            </w:r>
            <w:r w:rsidR="00B45766" w:rsidRPr="00B45766">
              <w:rPr>
                <w:rFonts w:asciiTheme="majorBidi" w:hAnsiTheme="majorBidi" w:cstheme="majorBidi"/>
                <w:b/>
                <w:bCs/>
                <w:szCs w:val="22"/>
                <w:vertAlign w:val="superscript"/>
                <w:lang w:val="es-ES_tradnl" w:eastAsia="ja-JP"/>
              </w:rPr>
              <w:t>)</w:t>
            </w:r>
          </w:p>
        </w:tc>
        <w:tc>
          <w:tcPr>
            <w:tcW w:w="3291" w:type="dxa"/>
            <w:tcBorders>
              <w:bottom w:val="single" w:sz="4" w:space="0" w:color="auto"/>
            </w:tcBorders>
            <w:vAlign w:val="center"/>
          </w:tcPr>
          <w:p w:rsidR="005549EC" w:rsidRPr="00DA037C" w:rsidRDefault="005549EC" w:rsidP="00613BA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 xml:space="preserve">Reflector de diedro </w:t>
            </w:r>
            <w:r>
              <w:rPr>
                <w:rFonts w:asciiTheme="majorBidi" w:hAnsiTheme="majorBidi" w:cstheme="majorBidi"/>
                <w:szCs w:val="22"/>
                <w:lang w:val="es-ES_tradnl" w:eastAsia="ja-JP"/>
              </w:rPr>
              <w:br/>
            </w:r>
            <w:r w:rsidRPr="00DA037C">
              <w:rPr>
                <w:rFonts w:asciiTheme="majorBidi" w:hAnsiTheme="majorBidi" w:cstheme="majorBidi"/>
                <w:szCs w:val="22"/>
                <w:lang w:val="es-ES_tradnl" w:eastAsia="ja-JP"/>
              </w:rPr>
              <w:t>(40 cm × 3 7cm),</w:t>
            </w:r>
          </w:p>
          <w:p w:rsidR="005549EC" w:rsidRPr="00DA037C" w:rsidRDefault="005549EC" w:rsidP="00B4576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center"/>
              <w:rPr>
                <w:rFonts w:asciiTheme="majorBidi" w:hAnsiTheme="majorBidi" w:cstheme="majorBidi"/>
                <w:szCs w:val="22"/>
                <w:lang w:val="es-ES_tradnl" w:eastAsia="ja-JP"/>
              </w:rPr>
            </w:pPr>
            <w:r w:rsidRPr="00DA037C">
              <w:rPr>
                <w:rFonts w:asciiTheme="majorBidi" w:hAnsiTheme="majorBidi" w:cstheme="majorBidi"/>
                <w:szCs w:val="22"/>
                <w:lang w:val="es-ES_tradnl" w:eastAsia="ja-JP"/>
              </w:rPr>
              <w:t xml:space="preserve">Reflector de diedro </w:t>
            </w:r>
            <w:r>
              <w:rPr>
                <w:rFonts w:asciiTheme="majorBidi" w:hAnsiTheme="majorBidi" w:cstheme="majorBidi"/>
                <w:szCs w:val="22"/>
                <w:lang w:val="es-ES_tradnl" w:eastAsia="ja-JP"/>
              </w:rPr>
              <w:br/>
            </w:r>
            <w:r w:rsidRPr="00DA037C">
              <w:rPr>
                <w:rFonts w:asciiTheme="majorBidi" w:hAnsiTheme="majorBidi" w:cstheme="majorBidi"/>
                <w:szCs w:val="22"/>
                <w:lang w:val="es-ES_tradnl" w:eastAsia="ja-JP"/>
              </w:rPr>
              <w:t>(23 cm × 42cm)</w:t>
            </w:r>
            <w:r w:rsidR="00B45766" w:rsidRPr="00B45766">
              <w:rPr>
                <w:rFonts w:asciiTheme="majorBidi" w:hAnsiTheme="majorBidi" w:cstheme="majorBidi"/>
                <w:b/>
                <w:bCs/>
                <w:szCs w:val="22"/>
                <w:vertAlign w:val="superscript"/>
                <w:lang w:val="es-ES_tradnl" w:eastAsia="ja-JP"/>
              </w:rPr>
              <w:t>(</w:t>
            </w:r>
            <w:r w:rsidR="00B45766" w:rsidRPr="00B45766">
              <w:rPr>
                <w:b/>
                <w:bCs/>
                <w:lang w:val="es-ES_tradnl"/>
              </w:rPr>
              <w:t>**</w:t>
            </w:r>
            <w:r w:rsidR="00B45766" w:rsidRPr="00B45766">
              <w:rPr>
                <w:rFonts w:asciiTheme="majorBidi" w:hAnsiTheme="majorBidi" w:cstheme="majorBidi"/>
                <w:b/>
                <w:bCs/>
                <w:szCs w:val="22"/>
                <w:vertAlign w:val="superscript"/>
                <w:lang w:val="es-ES_tradnl" w:eastAsia="ja-JP"/>
              </w:rPr>
              <w:t>)</w:t>
            </w:r>
          </w:p>
        </w:tc>
      </w:tr>
      <w:tr w:rsidR="005549EC" w:rsidRPr="006E4796" w:rsidTr="00613BA1">
        <w:trPr>
          <w:jc w:val="center"/>
        </w:trPr>
        <w:tc>
          <w:tcPr>
            <w:tcW w:w="9639" w:type="dxa"/>
            <w:gridSpan w:val="3"/>
            <w:tcBorders>
              <w:left w:val="nil"/>
              <w:bottom w:val="nil"/>
              <w:right w:val="nil"/>
            </w:tcBorders>
            <w:vAlign w:val="center"/>
          </w:tcPr>
          <w:p w:rsidR="005549EC" w:rsidRPr="00DA037C" w:rsidRDefault="00F754D6" w:rsidP="00692453">
            <w:pPr>
              <w:pStyle w:val="Tablelegend"/>
              <w:rPr>
                <w:lang w:val="es-ES_tradnl" w:eastAsia="ja-JP"/>
              </w:rPr>
            </w:pPr>
            <w:r w:rsidRPr="00B45766">
              <w:rPr>
                <w:rFonts w:asciiTheme="majorBidi" w:hAnsiTheme="majorBidi" w:cstheme="majorBidi"/>
                <w:b/>
                <w:bCs/>
                <w:szCs w:val="22"/>
                <w:vertAlign w:val="superscript"/>
                <w:lang w:val="es-ES_tradnl" w:eastAsia="ja-JP"/>
              </w:rPr>
              <w:t>(</w:t>
            </w:r>
            <w:r w:rsidRPr="00B45766">
              <w:rPr>
                <w:b/>
                <w:bCs/>
                <w:lang w:val="es-ES_tradnl"/>
              </w:rPr>
              <w:t>*</w:t>
            </w:r>
            <w:r w:rsidRPr="00B45766">
              <w:rPr>
                <w:rFonts w:asciiTheme="majorBidi" w:hAnsiTheme="majorBidi" w:cstheme="majorBidi"/>
                <w:b/>
                <w:bCs/>
                <w:szCs w:val="22"/>
                <w:vertAlign w:val="superscript"/>
                <w:lang w:val="es-ES_tradnl" w:eastAsia="ja-JP"/>
              </w:rPr>
              <w:t>)</w:t>
            </w:r>
            <w:r w:rsidR="005549EC" w:rsidRPr="00DA037C">
              <w:rPr>
                <w:lang w:val="es-ES_tradnl" w:eastAsia="ja-JP"/>
              </w:rPr>
              <w:tab/>
            </w:r>
            <w:r w:rsidR="005549EC" w:rsidRPr="00DA037C">
              <w:rPr>
                <w:lang w:val="es-ES_tradnl" w:eastAsia="ja-JP"/>
              </w:rPr>
              <w:tab/>
              <w:t>El ancho de banda de una portadora es 5 MHz.</w:t>
            </w:r>
          </w:p>
          <w:p w:rsidR="005549EC" w:rsidRPr="00DA037C" w:rsidRDefault="00F754D6" w:rsidP="00692453">
            <w:pPr>
              <w:pStyle w:val="Tablelegend"/>
              <w:rPr>
                <w:lang w:val="es-ES_tradnl" w:eastAsia="ja-JP"/>
              </w:rPr>
            </w:pPr>
            <w:r w:rsidRPr="00B45766">
              <w:rPr>
                <w:rFonts w:asciiTheme="majorBidi" w:hAnsiTheme="majorBidi" w:cstheme="majorBidi"/>
                <w:b/>
                <w:bCs/>
                <w:szCs w:val="22"/>
                <w:vertAlign w:val="superscript"/>
                <w:lang w:val="es-ES_tradnl" w:eastAsia="ja-JP"/>
              </w:rPr>
              <w:t>(</w:t>
            </w:r>
            <w:r>
              <w:rPr>
                <w:b/>
                <w:bCs/>
                <w:lang w:val="es-ES_tradnl"/>
              </w:rPr>
              <w:t>*</w:t>
            </w:r>
            <w:r w:rsidRPr="00B45766">
              <w:rPr>
                <w:b/>
                <w:bCs/>
                <w:lang w:val="es-ES_tradnl"/>
              </w:rPr>
              <w:t>*</w:t>
            </w:r>
            <w:r w:rsidRPr="00B45766">
              <w:rPr>
                <w:rFonts w:asciiTheme="majorBidi" w:hAnsiTheme="majorBidi" w:cstheme="majorBidi"/>
                <w:b/>
                <w:bCs/>
                <w:szCs w:val="22"/>
                <w:vertAlign w:val="superscript"/>
                <w:lang w:val="es-ES_tradnl" w:eastAsia="ja-JP"/>
              </w:rPr>
              <w:t>)</w:t>
            </w:r>
            <w:r w:rsidR="005549EC" w:rsidRPr="00DA037C">
              <w:rPr>
                <w:lang w:val="es-ES_tradnl" w:eastAsia="ja-JP"/>
              </w:rPr>
              <w:tab/>
            </w:r>
            <w:r w:rsidR="00692453">
              <w:rPr>
                <w:lang w:val="es-ES_tradnl" w:eastAsia="ja-JP"/>
              </w:rPr>
              <w:tab/>
            </w:r>
            <w:r w:rsidR="005549EC" w:rsidRPr="00DA037C">
              <w:rPr>
                <w:lang w:val="es-ES_tradnl" w:eastAsia="ja-JP"/>
              </w:rPr>
              <w:t>Apertura máxima.</w:t>
            </w:r>
          </w:p>
          <w:p w:rsidR="005549EC" w:rsidRPr="00DA037C" w:rsidRDefault="00F754D6" w:rsidP="00692453">
            <w:pPr>
              <w:pStyle w:val="Tablelegend"/>
              <w:ind w:left="567" w:hanging="652"/>
              <w:jc w:val="left"/>
              <w:rPr>
                <w:lang w:val="es-ES_tradnl" w:eastAsia="ja-JP"/>
              </w:rPr>
            </w:pPr>
            <w:r w:rsidRPr="00B45766">
              <w:rPr>
                <w:rFonts w:asciiTheme="majorBidi" w:hAnsiTheme="majorBidi" w:cstheme="majorBidi"/>
                <w:b/>
                <w:bCs/>
                <w:szCs w:val="22"/>
                <w:vertAlign w:val="superscript"/>
                <w:lang w:val="es-ES_tradnl" w:eastAsia="ja-JP"/>
              </w:rPr>
              <w:t>(</w:t>
            </w:r>
            <w:r w:rsidRPr="00B45766">
              <w:rPr>
                <w:b/>
                <w:bCs/>
                <w:lang w:val="es-ES_tradnl"/>
              </w:rPr>
              <w:t>*</w:t>
            </w:r>
            <w:r>
              <w:rPr>
                <w:b/>
                <w:bCs/>
                <w:lang w:val="es-ES_tradnl"/>
              </w:rPr>
              <w:t>*</w:t>
            </w:r>
            <w:r w:rsidRPr="00B45766">
              <w:rPr>
                <w:b/>
                <w:bCs/>
                <w:lang w:val="es-ES_tradnl"/>
              </w:rPr>
              <w:t>*</w:t>
            </w:r>
            <w:r w:rsidRPr="00B45766">
              <w:rPr>
                <w:rFonts w:asciiTheme="majorBidi" w:hAnsiTheme="majorBidi" w:cstheme="majorBidi"/>
                <w:b/>
                <w:bCs/>
                <w:szCs w:val="22"/>
                <w:vertAlign w:val="superscript"/>
                <w:lang w:val="es-ES_tradnl" w:eastAsia="ja-JP"/>
              </w:rPr>
              <w:t>)</w:t>
            </w:r>
            <w:r w:rsidR="005549EC" w:rsidRPr="00DA037C">
              <w:rPr>
                <w:lang w:val="es-ES_tradnl" w:eastAsia="ja-JP"/>
              </w:rPr>
              <w:tab/>
              <w:t>Estas bandas de frecuencias se utilizan para las comunicaciones públicas en el servicio móvil terrestre.</w:t>
            </w:r>
          </w:p>
        </w:tc>
      </w:tr>
    </w:tbl>
    <w:p w:rsidR="005549EC" w:rsidRPr="00DA037C" w:rsidRDefault="005549EC" w:rsidP="005549EC">
      <w:pPr>
        <w:pStyle w:val="Tablefin"/>
        <w:rPr>
          <w:lang w:val="es-ES_tradnl"/>
        </w:rPr>
      </w:pPr>
    </w:p>
    <w:p w:rsidR="005549EC" w:rsidRDefault="005549EC" w:rsidP="005549EC">
      <w:pPr>
        <w:rPr>
          <w:lang w:val="es-ES_tradnl" w:eastAsia="ja-JP"/>
        </w:rPr>
      </w:pPr>
      <w:r>
        <w:rPr>
          <w:lang w:val="es-ES_tradnl" w:eastAsia="ja-JP"/>
        </w:rPr>
        <w:t xml:space="preserve">En la </w:t>
      </w:r>
      <w:r w:rsidR="006C70F7">
        <w:rPr>
          <w:lang w:val="es-ES_tradnl" w:eastAsia="ja-JP"/>
        </w:rPr>
        <w:t>Fig.</w:t>
      </w:r>
      <w:r>
        <w:rPr>
          <w:lang w:val="es-ES_tradnl" w:eastAsia="ja-JP"/>
        </w:rPr>
        <w:t> </w:t>
      </w:r>
      <w:r w:rsidRPr="00DA037C">
        <w:rPr>
          <w:lang w:val="es-ES_tradnl" w:eastAsia="ja-JP"/>
        </w:rPr>
        <w:t>1 se muestra el diagrama conceptual del sistema a bordo de un vehículo para operaciones de socorro en caso de catástrofe en la parte</w:t>
      </w:r>
      <w:r>
        <w:rPr>
          <w:lang w:val="es-ES_tradnl" w:eastAsia="ja-JP"/>
        </w:rPr>
        <w:t xml:space="preserve"> superior de la banda de 4 GHz.</w:t>
      </w:r>
    </w:p>
    <w:p w:rsidR="005549EC" w:rsidRPr="00DA037C" w:rsidRDefault="005549EC" w:rsidP="005549EC">
      <w:pPr>
        <w:pStyle w:val="FigureNo"/>
        <w:rPr>
          <w:lang w:val="es-ES_tradnl" w:eastAsia="ja-JP"/>
        </w:rPr>
      </w:pPr>
      <w:r w:rsidRPr="00DA037C">
        <w:rPr>
          <w:lang w:val="es-ES_tradnl"/>
        </w:rPr>
        <w:t>FIGURA</w:t>
      </w:r>
      <w:r w:rsidRPr="00DA037C">
        <w:rPr>
          <w:lang w:val="es-ES_tradnl" w:eastAsia="ja-JP"/>
        </w:rPr>
        <w:t xml:space="preserve"> 1</w:t>
      </w:r>
    </w:p>
    <w:p w:rsidR="005549EC" w:rsidRPr="00DA037C" w:rsidRDefault="005549EC" w:rsidP="005549EC">
      <w:pPr>
        <w:pStyle w:val="Figuretitle"/>
        <w:rPr>
          <w:lang w:val="es-ES_tradnl"/>
        </w:rPr>
      </w:pPr>
      <w:r w:rsidRPr="00DA037C">
        <w:rPr>
          <w:lang w:val="es-ES_tradnl"/>
        </w:rPr>
        <w:t xml:space="preserve">Diagrama conceptual del sistema a bordo de un vehículo para operaciones de socorro </w:t>
      </w:r>
      <w:r w:rsidRPr="00DA037C">
        <w:rPr>
          <w:lang w:val="es-ES_tradnl"/>
        </w:rPr>
        <w:br/>
        <w:t>en caso de catástrofe en la parte superior de la banda de 4 GHz</w:t>
      </w:r>
    </w:p>
    <w:p w:rsidR="005549EC" w:rsidRPr="00DA037C" w:rsidRDefault="00CF0AFA" w:rsidP="005549EC">
      <w:pPr>
        <w:pStyle w:val="Figure"/>
        <w:spacing w:line="480" w:lineRule="auto"/>
        <w:rPr>
          <w:lang w:val="es-ES_tradnl" w:eastAsia="ja-JP"/>
        </w:rPr>
      </w:pPr>
      <w:r w:rsidRPr="00DA037C">
        <w:rPr>
          <w:noProof/>
          <w:lang w:val="es-ES_tradnl" w:eastAsia="zh-CN"/>
        </w:rPr>
        <w:object w:dxaOrig="5751" w:dyaOrig="3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2pt;height:333.5pt" o:ole="">
            <v:imagedata r:id="rId14" o:title=""/>
          </v:shape>
          <o:OLEObject Type="Embed" ProgID="CorelDRAW.Graphic.14" ShapeID="_x0000_i1027" DrawAspect="Content" ObjectID="_1500105545" r:id="rId15"/>
        </w:object>
      </w:r>
    </w:p>
    <w:p w:rsidR="00A6617B" w:rsidRDefault="00A6617B" w:rsidP="005549EC"/>
    <w:p w:rsidR="005549EC" w:rsidRDefault="005549EC" w:rsidP="005A7396"/>
    <w:p w:rsidR="005549EC" w:rsidRDefault="005549EC">
      <w:pPr>
        <w:jc w:val="center"/>
      </w:pPr>
      <w:r>
        <w:t>______________</w:t>
      </w:r>
    </w:p>
    <w:p w:rsidR="005549EC" w:rsidRDefault="005549EC" w:rsidP="005549EC"/>
    <w:sectPr w:rsidR="005549EC" w:rsidSect="005549EC">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9EC" w:rsidRDefault="005549EC">
      <w:r>
        <w:separator/>
      </w:r>
    </w:p>
  </w:endnote>
  <w:endnote w:type="continuationSeparator" w:id="0">
    <w:p w:rsidR="005549EC" w:rsidRDefault="00554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9EC" w:rsidRDefault="005549EC">
      <w:r>
        <w:separator/>
      </w:r>
    </w:p>
  </w:footnote>
  <w:footnote w:type="continuationSeparator" w:id="0">
    <w:p w:rsidR="005549EC" w:rsidRDefault="005549EC">
      <w:r>
        <w:continuationSeparator/>
      </w:r>
    </w:p>
  </w:footnote>
  <w:footnote w:id="1">
    <w:p w:rsidR="00AC3027" w:rsidRDefault="00AC3027" w:rsidP="00AC3027">
      <w:pPr>
        <w:pStyle w:val="FootnoteText"/>
        <w:spacing w:before="0"/>
        <w:rPr>
          <w:lang w:val="es-ES_tradnl"/>
        </w:rPr>
      </w:pPr>
      <w:r>
        <w:rPr>
          <w:rStyle w:val="FootnoteReference"/>
          <w:lang w:val="es-ES_tradnl"/>
        </w:rPr>
        <w:t>*</w:t>
      </w:r>
      <w:r>
        <w:rPr>
          <w:lang w:val="es-ES_tradnl"/>
        </w:rPr>
        <w:tab/>
      </w:r>
      <w:r w:rsidRPr="00CB0434">
        <w:rPr>
          <w:sz w:val="24"/>
          <w:szCs w:val="24"/>
          <w:lang w:val="es-ES_tradnl"/>
        </w:rPr>
        <w:t>Esta Recomendación debe señalarse a la atención de la Comisión de Estudio 2 de</w:t>
      </w:r>
      <w:r>
        <w:rPr>
          <w:sz w:val="24"/>
          <w:szCs w:val="24"/>
          <w:lang w:val="es-ES_tradnl"/>
        </w:rPr>
        <w:t>l Sector de</w:t>
      </w:r>
      <w:r w:rsidRPr="00CB0434">
        <w:rPr>
          <w:sz w:val="24"/>
          <w:szCs w:val="24"/>
          <w:lang w:val="es-ES_tradnl"/>
        </w:rPr>
        <w:t xml:space="preserve"> Desarrollo de las Telecomunicaciones</w:t>
      </w:r>
      <w:r>
        <w:rPr>
          <w:sz w:val="24"/>
          <w:szCs w:val="24"/>
          <w:lang w:val="es-ES_tradnl"/>
        </w:rPr>
        <w:t xml:space="preserve"> y las correspondientes Comisiones de Estudio del UIT-T</w:t>
      </w:r>
      <w:r w:rsidRPr="00CB0434">
        <w:rPr>
          <w:sz w:val="24"/>
          <w:szCs w:val="24"/>
          <w:lang w:val="es-ES_tradnl"/>
        </w:rPr>
        <w:t>.</w:t>
      </w:r>
    </w:p>
  </w:footnote>
  <w:footnote w:id="2">
    <w:p w:rsidR="00182152" w:rsidRPr="00182152" w:rsidRDefault="00182152">
      <w:pPr>
        <w:pStyle w:val="FootnoteText"/>
        <w:rPr>
          <w:lang w:val="es-ES_tradnl"/>
        </w:rPr>
      </w:pPr>
      <w:r w:rsidRPr="00AC3027">
        <w:rPr>
          <w:rStyle w:val="FootnoteReference"/>
          <w:lang w:val="es-ES_tradnl"/>
        </w:rPr>
        <w:t>*</w:t>
      </w:r>
      <w:r w:rsidRPr="00AC3027">
        <w:rPr>
          <w:lang w:val="es-ES_tradnl"/>
        </w:rPr>
        <w:t xml:space="preserve"> </w:t>
      </w:r>
      <w:r>
        <w:rPr>
          <w:lang w:val="es-ES_tradnl"/>
        </w:rPr>
        <w:tab/>
      </w:r>
      <w:r w:rsidR="006E35F9">
        <w:fldChar w:fldCharType="begin"/>
      </w:r>
      <w:r w:rsidR="006E35F9" w:rsidRPr="006E4796">
        <w:rPr>
          <w:lang w:val="es-ES_tradnl"/>
        </w:rPr>
        <w:instrText xml:space="preserve"> HYPERLINK "http://www.arib.or.jp/english/html/overview/itu/itu-arib_std-t86v1.0_e.pdf" </w:instrText>
      </w:r>
      <w:r w:rsidR="006E35F9">
        <w:fldChar w:fldCharType="separate"/>
      </w:r>
      <w:r w:rsidRPr="00D72E9D">
        <w:rPr>
          <w:rStyle w:val="Hyperlink"/>
          <w:lang w:val="es-ES_tradnl" w:eastAsia="ja-JP"/>
        </w:rPr>
        <w:t>http://www.arib.or.jp/english/html/overview/itu/itu-arib_std-t86v1.0_e.pdf</w:t>
      </w:r>
      <w:r w:rsidR="006E35F9">
        <w:rPr>
          <w:rStyle w:val="Hyperlink"/>
          <w:lang w:val="es-ES_tradnl" w:eastAsia="ja-JP"/>
        </w:rPr>
        <w:fldChar w:fldCharType="end"/>
      </w:r>
      <w:r>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9EC" w:rsidRDefault="005549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9EC" w:rsidRDefault="005549EC" w:rsidP="00D62884">
    <w:pPr>
      <w:pStyle w:val="Header"/>
      <w:ind w:right="360" w:firstLine="360"/>
    </w:pPr>
    <w:r>
      <w:rPr>
        <w:noProof/>
        <w:lang w:val="es-ES_tradnl" w:eastAsia="zh-CN"/>
      </w:rPr>
      <w:drawing>
        <wp:anchor distT="0" distB="0" distL="114300" distR="114300" simplePos="0" relativeHeight="251660288" behindDoc="0" locked="0" layoutInCell="1" allowOverlap="1" wp14:anchorId="5329879B" wp14:editId="7B442E6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01B62C19" wp14:editId="44C6718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9EC" w:rsidRDefault="005549E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D6012">
      <w:rPr>
        <w:rStyle w:val="PageNumber"/>
        <w:b/>
        <w:bCs/>
        <w:noProof/>
      </w:rPr>
      <w:t>ii</w:t>
    </w:r>
    <w:r>
      <w:rPr>
        <w:rStyle w:val="PageNumber"/>
        <w:b/>
        <w:bCs/>
      </w:rPr>
      <w:fldChar w:fldCharType="end"/>
    </w:r>
    <w:r>
      <w:tab/>
    </w:r>
    <w:r w:rsidR="006E35F9">
      <w:fldChar w:fldCharType="begin"/>
    </w:r>
    <w:r w:rsidR="006E35F9">
      <w:instrText xml:space="preserve"> DOCPROPERTY "Header" \* MERGEFORMAT </w:instrText>
    </w:r>
    <w:r w:rsidR="006E35F9">
      <w:fldChar w:fldCharType="separate"/>
    </w:r>
    <w:r w:rsidR="00CD6012" w:rsidRPr="00CD6012">
      <w:rPr>
        <w:b/>
        <w:bCs/>
        <w:lang w:val="en-US"/>
      </w:rPr>
      <w:t xml:space="preserve">Rec. </w:t>
    </w:r>
    <w:r w:rsidR="006E35F9">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CD6012">
      <w:rPr>
        <w:b/>
        <w:bCs/>
        <w:noProof/>
      </w:rPr>
      <w:t>UIT-R  F.1105-3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9EC" w:rsidRDefault="005549EC">
    <w:pPr>
      <w:pStyle w:val="Header"/>
    </w:pPr>
    <w:r>
      <w:tab/>
    </w:r>
    <w:r w:rsidR="006E35F9">
      <w:fldChar w:fldCharType="begin"/>
    </w:r>
    <w:r w:rsidR="006E35F9">
      <w:instrText xml:space="preserve"> DOCPROPERTY "Header" \* MERGEFORMAT </w:instrText>
    </w:r>
    <w:r w:rsidR="006E35F9">
      <w:fldChar w:fldCharType="separate"/>
    </w:r>
    <w:r w:rsidR="00CD6012" w:rsidRPr="00CD6012">
      <w:rPr>
        <w:lang w:val="en-US"/>
      </w:rPr>
      <w:t xml:space="preserve">Rec. </w:t>
    </w:r>
    <w:r w:rsidR="006E35F9">
      <w:rPr>
        <w:lang w:val="en-US"/>
      </w:rPr>
      <w:fldChar w:fldCharType="end"/>
    </w:r>
    <w:r>
      <w:rPr>
        <w:b/>
        <w:bCs/>
      </w:rPr>
      <w:t xml:space="preserve">  </w:t>
    </w:r>
    <w:r>
      <w:rPr>
        <w:b/>
        <w:bCs/>
      </w:rPr>
      <w:fldChar w:fldCharType="begin"/>
    </w:r>
    <w:r>
      <w:rPr>
        <w:b/>
        <w:bCs/>
      </w:rPr>
      <w:instrText>styleref href</w:instrText>
    </w:r>
    <w:r>
      <w:rPr>
        <w:b/>
        <w:bCs/>
      </w:rPr>
      <w:fldChar w:fldCharType="separate"/>
    </w:r>
    <w:r w:rsidR="00CD6012">
      <w:rPr>
        <w:b/>
        <w:bCs/>
        <w:noProof/>
      </w:rPr>
      <w:t>UIT-R  F.1105-3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35F9">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D6012" w:rsidRPr="00CD601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35F9">
      <w:rPr>
        <w:b/>
        <w:bCs/>
        <w:noProof/>
      </w:rPr>
      <w:t>UIT-R  F.1105-3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E35F9">
      <w:fldChar w:fldCharType="begin"/>
    </w:r>
    <w:r w:rsidR="006E35F9">
      <w:instrText xml:space="preserve"> DOCPROPERTY "Header" \* MERGEFORMAT </w:instrText>
    </w:r>
    <w:r w:rsidR="006E35F9">
      <w:fldChar w:fldCharType="separate"/>
    </w:r>
    <w:r w:rsidR="00CD6012" w:rsidRPr="00CD6012">
      <w:rPr>
        <w:b/>
        <w:bCs/>
      </w:rPr>
      <w:t xml:space="preserve">Rec. </w:t>
    </w:r>
    <w:r w:rsidR="006E35F9">
      <w:rPr>
        <w:b/>
        <w:bCs/>
      </w:rPr>
      <w:fldChar w:fldCharType="end"/>
    </w:r>
    <w:r>
      <w:rPr>
        <w:b/>
        <w:bCs/>
      </w:rPr>
      <w:t xml:space="preserve"> </w:t>
    </w:r>
    <w:r>
      <w:rPr>
        <w:b/>
        <w:bCs/>
      </w:rPr>
      <w:fldChar w:fldCharType="begin"/>
    </w:r>
    <w:r>
      <w:rPr>
        <w:b/>
        <w:bCs/>
      </w:rPr>
      <w:instrText>styleref href</w:instrText>
    </w:r>
    <w:r>
      <w:rPr>
        <w:b/>
        <w:bCs/>
      </w:rPr>
      <w:fldChar w:fldCharType="separate"/>
    </w:r>
    <w:r w:rsidR="006E35F9">
      <w:rPr>
        <w:b/>
        <w:bCs/>
        <w:noProof/>
      </w:rPr>
      <w:t>UIT-R  F.1105-3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35F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989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92EB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DCE2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24AF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2AD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E8EA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E62C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9E79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2F7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7E765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EC"/>
    <w:rsid w:val="0002491B"/>
    <w:rsid w:val="001072EF"/>
    <w:rsid w:val="00182152"/>
    <w:rsid w:val="00217EBF"/>
    <w:rsid w:val="00242AEE"/>
    <w:rsid w:val="002D76C4"/>
    <w:rsid w:val="00484300"/>
    <w:rsid w:val="004F4D82"/>
    <w:rsid w:val="0052529D"/>
    <w:rsid w:val="005549EC"/>
    <w:rsid w:val="005A7396"/>
    <w:rsid w:val="00607D68"/>
    <w:rsid w:val="00692453"/>
    <w:rsid w:val="006A2428"/>
    <w:rsid w:val="006C6AF6"/>
    <w:rsid w:val="006C70F7"/>
    <w:rsid w:val="006E35F9"/>
    <w:rsid w:val="006E4796"/>
    <w:rsid w:val="00724193"/>
    <w:rsid w:val="007468DA"/>
    <w:rsid w:val="00861CDC"/>
    <w:rsid w:val="00933170"/>
    <w:rsid w:val="009E00A8"/>
    <w:rsid w:val="00A32C81"/>
    <w:rsid w:val="00A6617B"/>
    <w:rsid w:val="00AB0DC8"/>
    <w:rsid w:val="00AC3027"/>
    <w:rsid w:val="00B44E24"/>
    <w:rsid w:val="00B45766"/>
    <w:rsid w:val="00B710AC"/>
    <w:rsid w:val="00C411A4"/>
    <w:rsid w:val="00C42434"/>
    <w:rsid w:val="00CD6012"/>
    <w:rsid w:val="00CE7C97"/>
    <w:rsid w:val="00CF0AFA"/>
    <w:rsid w:val="00D2508C"/>
    <w:rsid w:val="00D4015E"/>
    <w:rsid w:val="00D6470F"/>
    <w:rsid w:val="00DF4176"/>
    <w:rsid w:val="00EF3356"/>
    <w:rsid w:val="00F754D6"/>
    <w:rsid w:val="00F855C4"/>
    <w:rsid w:val="00F85CD2"/>
    <w:rsid w:val="00FE22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9337B301-F125-4364-8371-8B847543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9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link w:val="SummaryChar"/>
    <w:autoRedefine/>
    <w:rsid w:val="00D6470F"/>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549EC"/>
    <w:rPr>
      <w:color w:val="0000FF"/>
      <w:u w:val="single"/>
    </w:rPr>
  </w:style>
  <w:style w:type="character" w:customStyle="1" w:styleId="SummaryChar">
    <w:name w:val="Summary Char"/>
    <w:basedOn w:val="DefaultParagraphFont"/>
    <w:link w:val="Summary"/>
    <w:rsid w:val="00D6470F"/>
    <w:rPr>
      <w:sz w:val="22"/>
      <w:lang w:val="es-ES_tradnl" w:eastAsia="en-US"/>
    </w:rPr>
  </w:style>
  <w:style w:type="character" w:customStyle="1" w:styleId="NormalaftertitleChar">
    <w:name w:val="Normal_after_title Char"/>
    <w:basedOn w:val="DefaultParagraphFont"/>
    <w:link w:val="Normalaftertitle"/>
    <w:locked/>
    <w:rsid w:val="005549EC"/>
    <w:rPr>
      <w:sz w:val="24"/>
      <w:lang w:val="fr-FR" w:eastAsia="en-US"/>
    </w:rPr>
  </w:style>
  <w:style w:type="character" w:customStyle="1" w:styleId="CallChar">
    <w:name w:val="Call Char"/>
    <w:basedOn w:val="DefaultParagraphFont"/>
    <w:link w:val="Call"/>
    <w:locked/>
    <w:rsid w:val="005549EC"/>
    <w:rPr>
      <w:i/>
      <w:sz w:val="24"/>
      <w:lang w:val="fr-FR" w:eastAsia="en-US"/>
    </w:rPr>
  </w:style>
  <w:style w:type="character" w:customStyle="1" w:styleId="TabletextChar">
    <w:name w:val="Table_text Char"/>
    <w:link w:val="Tabletext"/>
    <w:locked/>
    <w:rsid w:val="005549EC"/>
    <w:rPr>
      <w:sz w:val="22"/>
      <w:lang w:val="fr-FR" w:eastAsia="en-US"/>
    </w:rPr>
  </w:style>
  <w:style w:type="character" w:customStyle="1" w:styleId="TableNoChar">
    <w:name w:val="Table_No Char"/>
    <w:link w:val="TableNo"/>
    <w:locked/>
    <w:rsid w:val="005549EC"/>
    <w:rPr>
      <w:sz w:val="24"/>
      <w:lang w:val="fr-FR" w:eastAsia="en-US"/>
    </w:rPr>
  </w:style>
  <w:style w:type="character" w:customStyle="1" w:styleId="FigureNoChar">
    <w:name w:val="Figure_No Char"/>
    <w:link w:val="FigureNo"/>
    <w:locked/>
    <w:rsid w:val="005549EC"/>
    <w:rPr>
      <w:caps/>
      <w:sz w:val="18"/>
      <w:lang w:val="fr-FR" w:eastAsia="en-US"/>
    </w:rPr>
  </w:style>
  <w:style w:type="character" w:customStyle="1" w:styleId="FiguretitleChar">
    <w:name w:val="Figure_title Char"/>
    <w:link w:val="Figuretitle"/>
    <w:locked/>
    <w:rsid w:val="005549EC"/>
    <w:rPr>
      <w:rFonts w:ascii="Times New Roman Bold" w:hAnsi="Times New Roman Bold"/>
      <w:b/>
      <w:sz w:val="18"/>
      <w:lang w:val="fr-FR" w:eastAsia="en-US"/>
    </w:rPr>
  </w:style>
  <w:style w:type="character" w:customStyle="1" w:styleId="TabletitleChar">
    <w:name w:val="Table_title Char"/>
    <w:link w:val="Tabletitle"/>
    <w:locked/>
    <w:rsid w:val="005549EC"/>
    <w:rPr>
      <w:b/>
      <w:sz w:val="24"/>
      <w:lang w:val="fr-FR" w:eastAsia="en-US"/>
    </w:rPr>
  </w:style>
  <w:style w:type="character" w:customStyle="1" w:styleId="TableheadChar">
    <w:name w:val="Table_head Char"/>
    <w:link w:val="Tablehead"/>
    <w:locked/>
    <w:rsid w:val="005549EC"/>
    <w:rPr>
      <w:b/>
      <w:sz w:val="22"/>
      <w:lang w:val="fr-FR" w:eastAsia="en-US"/>
    </w:rPr>
  </w:style>
  <w:style w:type="character" w:customStyle="1" w:styleId="FootnoteTextChar">
    <w:name w:val="Footnote Text Char"/>
    <w:basedOn w:val="DefaultParagraphFont"/>
    <w:link w:val="FootnoteText"/>
    <w:semiHidden/>
    <w:rsid w:val="00AC302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F23BD-00AD-4540-886A-2246107DC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297</TotalTime>
  <Pages>13</Pages>
  <Words>4872</Words>
  <Characters>25824</Characters>
  <Application>Microsoft Office Word</Application>
  <DocSecurity>0</DocSecurity>
  <Lines>600</Lines>
  <Paragraphs>60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Template BR_Rec_2005.dot</vt:lpstr>
      <vt:lpstr>Política sobre Derechos de Propiedad Intelectual (IPR)</vt:lpstr>
      <vt:lpstr>1	Características de los equipos</vt:lpstr>
      <vt:lpstr>2	Principios técnicos</vt:lpstr>
      <vt:lpstr>    2.1	Enlaces de poca capacidad (sistema de Tipo A)</vt:lpstr>
      <vt:lpstr>    2.2	Redes locales de radiocomunicaciones (sistema de Tipo B)</vt:lpstr>
      <vt:lpstr>    2.3	Enlaces de hasta 120 canales o 6,3/8 Mbit/s (sistema de Tipo C)</vt:lpstr>
      <vt:lpstr>    2.4	Enlaces de hasta 480 canales o 34/45 Mbit/s (sistema de Tipo D)</vt:lpstr>
      <vt:lpstr>    2.5	Enlaces de gran capacidad (sistema de Tipo E)</vt:lpstr>
      <vt:lpstr>    2.6	Utilización de equipos transportables del SF a bordo de vehículos (sistema T</vt:lpstr>
      <vt:lpstr>    2.7	Sistema regional de comunicaciones simultáneas (sistema de tipo F)</vt:lpstr>
      <vt:lpstr>3	Calidad de la transmisión</vt:lpstr>
      <vt:lpstr>        Resumen de las especificaciones técnicas:</vt:lpstr>
    </vt:vector>
  </TitlesOfParts>
  <Manager/>
  <Company>ITU</Company>
  <LinksUpToDate>false</LinksUpToDate>
  <CharactersWithSpaces>30636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28</cp:revision>
  <cp:lastPrinted>2015-08-03T08:30:00Z</cp:lastPrinted>
  <dcterms:created xsi:type="dcterms:W3CDTF">2015-07-31T07:38:00Z</dcterms:created>
  <dcterms:modified xsi:type="dcterms:W3CDTF">2015-08-03T09:11:00Z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