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CEF" w:rsidRDefault="004C3CEF" w:rsidP="004C3CEF">
      <w:bookmarkStart w:id="0" w:name="_GoBack"/>
      <w:bookmarkEnd w:id="0"/>
    </w:p>
    <w:p w:rsidR="004C3CEF" w:rsidRDefault="004C3CEF" w:rsidP="004C3CEF"/>
    <w:p w:rsidR="004C3CEF" w:rsidRDefault="004C3CEF" w:rsidP="004C3CEF"/>
    <w:p w:rsidR="004C3CEF" w:rsidRDefault="004C3CEF" w:rsidP="004C3CEF"/>
    <w:p w:rsidR="004C3CEF" w:rsidRDefault="004C3CEF" w:rsidP="004C3CEF"/>
    <w:p w:rsidR="004C3CEF" w:rsidRDefault="004C3CEF" w:rsidP="004C3CEF"/>
    <w:p w:rsidR="004C3CEF" w:rsidRDefault="004C3CEF" w:rsidP="004C3CEF"/>
    <w:p w:rsidR="004C3CEF" w:rsidRDefault="004C3CEF" w:rsidP="004C3CEF"/>
    <w:p w:rsidR="004C3CEF" w:rsidRDefault="004C3CEF" w:rsidP="004C3CEF"/>
    <w:p w:rsidR="004C3CEF" w:rsidRDefault="004C3CEF" w:rsidP="004C3CEF"/>
    <w:p w:rsidR="004C3CEF" w:rsidRDefault="004C3CEF" w:rsidP="004C3CEF"/>
    <w:p w:rsidR="004C3CEF" w:rsidRDefault="004C3CEF" w:rsidP="004C3CEF"/>
    <w:tbl>
      <w:tblPr>
        <w:tblW w:w="10089" w:type="dxa"/>
        <w:tblLook w:val="01E0" w:firstRow="1" w:lastRow="1" w:firstColumn="1" w:lastColumn="1" w:noHBand="0" w:noVBand="0"/>
      </w:tblPr>
      <w:tblGrid>
        <w:gridCol w:w="10089"/>
      </w:tblGrid>
      <w:tr w:rsidR="004C3CEF" w:rsidRPr="00A443C2" w:rsidTr="00A76F7A">
        <w:tc>
          <w:tcPr>
            <w:tcW w:w="10089" w:type="dxa"/>
          </w:tcPr>
          <w:p w:rsidR="004C3CEF" w:rsidRPr="00B033C8" w:rsidRDefault="004C3CEF" w:rsidP="00A76F7A">
            <w:pPr>
              <w:spacing w:before="380" w:line="280" w:lineRule="exact"/>
              <w:jc w:val="right"/>
              <w:rPr>
                <w:rFonts w:ascii="Tahoma" w:hAnsi="Tahoma" w:cs="Tahoma"/>
                <w:b/>
                <w:bCs/>
                <w:iCs/>
                <w:color w:val="243285"/>
                <w:sz w:val="32"/>
                <w:szCs w:val="32"/>
                <w:lang w:val="en-US"/>
              </w:rPr>
            </w:pPr>
          </w:p>
          <w:p w:rsidR="004C3CEF" w:rsidRPr="00A443C2" w:rsidRDefault="004C3CEF" w:rsidP="0062074E">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sidR="0062074E">
              <w:rPr>
                <w:rFonts w:ascii="Tahoma" w:hAnsi="Tahoma" w:cs="Tahoma"/>
                <w:b/>
                <w:bCs/>
                <w:iCs/>
                <w:color w:val="243285"/>
                <w:sz w:val="36"/>
                <w:szCs w:val="36"/>
              </w:rPr>
              <w:t>1099-5</w:t>
            </w:r>
          </w:p>
          <w:p w:rsidR="004C3CEF" w:rsidRPr="00A443C2" w:rsidRDefault="0062074E" w:rsidP="00A76F7A">
            <w:pPr>
              <w:spacing w:before="80" w:line="280" w:lineRule="exact"/>
              <w:jc w:val="right"/>
              <w:rPr>
                <w:rFonts w:ascii="Tahoma" w:hAnsi="Tahoma" w:cs="Tahoma"/>
                <w:b/>
                <w:bCs/>
                <w:iCs/>
                <w:color w:val="243285"/>
                <w:szCs w:val="24"/>
              </w:rPr>
            </w:pPr>
            <w:r w:rsidRPr="006E3868">
              <w:rPr>
                <w:rFonts w:ascii="Tahoma" w:hAnsi="Tahoma" w:cs="Tahoma"/>
                <w:b/>
                <w:bCs/>
                <w:iCs/>
                <w:color w:val="243285"/>
                <w:szCs w:val="24"/>
                <w:lang w:val="fr-CH"/>
              </w:rPr>
              <w:t>(0</w:t>
            </w:r>
            <w:r>
              <w:rPr>
                <w:rFonts w:ascii="Tahoma" w:hAnsi="Tahoma" w:cs="Tahoma"/>
                <w:b/>
                <w:bCs/>
                <w:iCs/>
                <w:color w:val="243285"/>
                <w:szCs w:val="24"/>
                <w:lang w:val="fr-CH"/>
              </w:rPr>
              <w:t>2</w:t>
            </w:r>
            <w:r w:rsidRPr="006E3868">
              <w:rPr>
                <w:rFonts w:ascii="Tahoma" w:hAnsi="Tahoma" w:cs="Tahoma"/>
                <w:b/>
                <w:bCs/>
                <w:iCs/>
                <w:color w:val="243285"/>
                <w:szCs w:val="24"/>
                <w:lang w:val="fr-CH"/>
              </w:rPr>
              <w:t>/201</w:t>
            </w:r>
            <w:r>
              <w:rPr>
                <w:rFonts w:ascii="Tahoma" w:hAnsi="Tahoma" w:cs="Tahoma"/>
                <w:b/>
                <w:bCs/>
                <w:iCs/>
                <w:color w:val="243285"/>
                <w:szCs w:val="24"/>
                <w:lang w:val="fr-CH"/>
              </w:rPr>
              <w:t>3</w:t>
            </w:r>
            <w:r w:rsidRPr="006E3868">
              <w:rPr>
                <w:rFonts w:ascii="Tahoma" w:hAnsi="Tahoma" w:cs="Tahoma"/>
                <w:b/>
                <w:bCs/>
                <w:iCs/>
                <w:color w:val="243285"/>
                <w:szCs w:val="24"/>
                <w:lang w:val="fr-CH"/>
              </w:rPr>
              <w:t>)</w:t>
            </w:r>
          </w:p>
        </w:tc>
      </w:tr>
      <w:tr w:rsidR="004C3CEF" w:rsidRPr="00F54FBD" w:rsidTr="00A76F7A">
        <w:tc>
          <w:tcPr>
            <w:tcW w:w="10089" w:type="dxa"/>
          </w:tcPr>
          <w:p w:rsidR="004C3CEF" w:rsidRDefault="004C3CEF" w:rsidP="00A76F7A">
            <w:pPr>
              <w:spacing w:before="80" w:line="500" w:lineRule="exact"/>
              <w:jc w:val="right"/>
              <w:rPr>
                <w:rFonts w:ascii="Tahoma" w:hAnsi="Tahoma" w:cs="Tahoma"/>
                <w:b/>
                <w:bCs/>
                <w:iCs/>
                <w:color w:val="243285"/>
                <w:sz w:val="44"/>
                <w:szCs w:val="44"/>
              </w:rPr>
            </w:pPr>
          </w:p>
          <w:p w:rsidR="004C3CEF" w:rsidRDefault="0062074E" w:rsidP="00A76F7A">
            <w:pPr>
              <w:spacing w:before="80" w:line="500" w:lineRule="exact"/>
              <w:jc w:val="right"/>
              <w:rPr>
                <w:rFonts w:ascii="Tahoma" w:hAnsi="Tahoma" w:cs="Tahoma"/>
                <w:b/>
                <w:bCs/>
                <w:iCs/>
                <w:color w:val="243285"/>
                <w:sz w:val="44"/>
                <w:szCs w:val="44"/>
              </w:rPr>
            </w:pPr>
            <w:r w:rsidRPr="00250BD3">
              <w:rPr>
                <w:rFonts w:ascii="Tahoma" w:hAnsi="Tahoma" w:cs="Tahoma"/>
                <w:b/>
                <w:bCs/>
                <w:color w:val="243285"/>
                <w:sz w:val="44"/>
                <w:szCs w:val="44"/>
                <w:lang w:val="fr-CH"/>
              </w:rPr>
              <w:t>Dispositions des canaux radioélectriques pour les systèmes hertziens fixes numériques de moyenne et grande capacité fonctionnant dans la partie supérieure de la bande des 4 GHz (4 400-5 000 MHz)</w:t>
            </w:r>
          </w:p>
          <w:p w:rsidR="004C3CEF" w:rsidRPr="00F54FBD" w:rsidRDefault="004C3CEF" w:rsidP="00A76F7A">
            <w:pPr>
              <w:spacing w:before="80" w:line="500" w:lineRule="exact"/>
              <w:jc w:val="right"/>
              <w:rPr>
                <w:rFonts w:ascii="Tahoma" w:hAnsi="Tahoma" w:cs="Tahoma"/>
                <w:b/>
                <w:bCs/>
                <w:iCs/>
                <w:color w:val="243285"/>
                <w:sz w:val="44"/>
                <w:szCs w:val="44"/>
              </w:rPr>
            </w:pPr>
          </w:p>
        </w:tc>
      </w:tr>
      <w:tr w:rsidR="004C3CEF" w:rsidRPr="00F54FBD" w:rsidTr="00A76F7A">
        <w:tc>
          <w:tcPr>
            <w:tcW w:w="10089" w:type="dxa"/>
          </w:tcPr>
          <w:p w:rsidR="004C3CEF" w:rsidRPr="00F54FBD" w:rsidRDefault="004C3CEF" w:rsidP="00A76F7A">
            <w:pPr>
              <w:spacing w:before="80" w:line="280" w:lineRule="exact"/>
              <w:ind w:right="640"/>
              <w:rPr>
                <w:rFonts w:ascii="Tahoma" w:hAnsi="Tahoma" w:cs="Tahoma"/>
                <w:b/>
                <w:bCs/>
                <w:iCs/>
                <w:color w:val="243285"/>
                <w:sz w:val="32"/>
                <w:szCs w:val="32"/>
              </w:rPr>
            </w:pPr>
          </w:p>
          <w:p w:rsidR="004C3CEF" w:rsidRPr="00F54FBD" w:rsidRDefault="004C3CEF" w:rsidP="00A76F7A">
            <w:pPr>
              <w:spacing w:before="80" w:line="280" w:lineRule="exact"/>
              <w:ind w:right="640"/>
              <w:rPr>
                <w:rFonts w:ascii="Tahoma" w:hAnsi="Tahoma" w:cs="Tahoma"/>
                <w:b/>
                <w:bCs/>
                <w:iCs/>
                <w:color w:val="243285"/>
                <w:sz w:val="32"/>
                <w:szCs w:val="32"/>
              </w:rPr>
            </w:pPr>
          </w:p>
          <w:p w:rsidR="004C3CEF" w:rsidRPr="00F54FBD" w:rsidRDefault="004C3CEF" w:rsidP="00A76F7A">
            <w:pPr>
              <w:spacing w:before="80" w:after="180" w:line="360" w:lineRule="exact"/>
              <w:ind w:right="720"/>
              <w:rPr>
                <w:rFonts w:ascii="Tahoma" w:hAnsi="Tahoma" w:cs="Tahoma"/>
                <w:b/>
                <w:bCs/>
                <w:iCs/>
                <w:color w:val="243285"/>
                <w:sz w:val="36"/>
                <w:szCs w:val="36"/>
              </w:rPr>
            </w:pPr>
          </w:p>
          <w:p w:rsidR="004C3CEF" w:rsidRPr="00F54FBD" w:rsidRDefault="004C3CEF" w:rsidP="00A76F7A">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4C3CEF" w:rsidRPr="00F54FBD" w:rsidRDefault="004C3CEF" w:rsidP="00A76F7A">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4C3CEF" w:rsidRPr="00F54FBD" w:rsidRDefault="004C3CEF" w:rsidP="004C3CEF">
      <w:pPr>
        <w:spacing w:before="80"/>
        <w:rPr>
          <w:i/>
          <w:sz w:val="22"/>
        </w:rPr>
      </w:pPr>
    </w:p>
    <w:p w:rsidR="004C3CEF" w:rsidRPr="00F54FBD" w:rsidRDefault="004C3CEF" w:rsidP="004C3CEF">
      <w:pPr>
        <w:spacing w:before="80"/>
        <w:rPr>
          <w:i/>
          <w:sz w:val="22"/>
        </w:rPr>
      </w:pPr>
    </w:p>
    <w:p w:rsidR="004C3CEF" w:rsidRPr="00F54FBD" w:rsidRDefault="004C3CEF" w:rsidP="004C3CEF">
      <w:pPr>
        <w:spacing w:before="80"/>
        <w:rPr>
          <w:i/>
          <w:sz w:val="22"/>
        </w:rPr>
      </w:pPr>
    </w:p>
    <w:p w:rsidR="004C3CEF" w:rsidRPr="00F54FBD" w:rsidRDefault="004C3CEF" w:rsidP="004C3CEF">
      <w:pPr>
        <w:spacing w:before="80"/>
        <w:rPr>
          <w:i/>
          <w:sz w:val="22"/>
        </w:rPr>
      </w:pPr>
    </w:p>
    <w:p w:rsidR="004C3CEF" w:rsidRPr="00F54FBD" w:rsidRDefault="004C3CEF" w:rsidP="004C3CEF">
      <w:pPr>
        <w:spacing w:before="80"/>
        <w:rPr>
          <w:i/>
          <w:sz w:val="22"/>
        </w:rPr>
      </w:pPr>
    </w:p>
    <w:p w:rsidR="004C3CEF" w:rsidRPr="00F54FBD" w:rsidRDefault="004C3CEF" w:rsidP="004C3CEF">
      <w:pPr>
        <w:spacing w:before="80"/>
        <w:rPr>
          <w:i/>
          <w:sz w:val="22"/>
        </w:rPr>
      </w:pPr>
    </w:p>
    <w:p w:rsidR="004C3CEF" w:rsidRPr="00F54FBD" w:rsidRDefault="004C3CEF" w:rsidP="004C3CEF">
      <w:pPr>
        <w:pStyle w:val="Equation"/>
        <w:tabs>
          <w:tab w:val="clear" w:pos="4820"/>
          <w:tab w:val="clear" w:pos="9639"/>
          <w:tab w:val="left" w:pos="1191"/>
          <w:tab w:val="left" w:pos="1588"/>
          <w:tab w:val="left" w:pos="1985"/>
        </w:tabs>
        <w:rPr>
          <w:rFonts w:ascii="Palatino Linotype" w:hAnsi="Palatino Linotype"/>
        </w:rPr>
        <w:sectPr w:rsidR="004C3CEF" w:rsidRPr="00F54FBD">
          <w:headerReference w:type="even" r:id="rId8"/>
          <w:headerReference w:type="default" r:id="rId9"/>
          <w:pgSz w:w="11907" w:h="16840" w:code="9"/>
          <w:pgMar w:top="1089" w:right="1089" w:bottom="284" w:left="1089" w:header="567" w:footer="284" w:gutter="0"/>
          <w:pgNumType w:start="1"/>
          <w:cols w:space="720"/>
        </w:sectPr>
      </w:pPr>
    </w:p>
    <w:p w:rsidR="004C3CEF" w:rsidRPr="00F54FBD" w:rsidRDefault="004C3CEF" w:rsidP="004C3C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4C3CEF" w:rsidRPr="00F54FBD" w:rsidRDefault="004C3CEF" w:rsidP="004C3CEF">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4C3CEF" w:rsidRPr="00F54FBD" w:rsidRDefault="004C3CEF" w:rsidP="004C3CEF">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4C3CEF" w:rsidRPr="00E44CBB" w:rsidRDefault="004C3CEF" w:rsidP="004C3CEF">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4C3CEF" w:rsidRPr="00E44CBB" w:rsidRDefault="004C3CEF" w:rsidP="004C3CEF">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4C3CEF" w:rsidRPr="00127062" w:rsidRDefault="004C3CEF" w:rsidP="004C3CEF">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C3CEF" w:rsidRPr="009454F8" w:rsidTr="00A76F7A">
        <w:tc>
          <w:tcPr>
            <w:tcW w:w="9360" w:type="dxa"/>
            <w:gridSpan w:val="2"/>
          </w:tcPr>
          <w:p w:rsidR="004C3CEF" w:rsidRPr="009454F8" w:rsidRDefault="004C3CEF" w:rsidP="00A76F7A">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4C3CEF" w:rsidRPr="009454F8" w:rsidRDefault="004C3CEF" w:rsidP="00A76F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4C3CEF" w:rsidRPr="00036EE3" w:rsidTr="00A76F7A">
        <w:tc>
          <w:tcPr>
            <w:tcW w:w="1140" w:type="dxa"/>
            <w:tcBorders>
              <w:bottom w:val="nil"/>
            </w:tcBorders>
          </w:tcPr>
          <w:p w:rsidR="004C3CEF" w:rsidRPr="00614CC6" w:rsidRDefault="004C3CEF" w:rsidP="00A76F7A">
            <w:pPr>
              <w:spacing w:before="90" w:after="100"/>
              <w:ind w:left="57"/>
              <w:rPr>
                <w:b/>
                <w:bCs/>
                <w:sz w:val="20"/>
                <w:lang w:val="en-US"/>
              </w:rPr>
            </w:pPr>
            <w:r w:rsidRPr="00614CC6">
              <w:rPr>
                <w:b/>
                <w:bCs/>
                <w:sz w:val="20"/>
                <w:lang w:val="en-US"/>
              </w:rPr>
              <w:t>Séries</w:t>
            </w:r>
          </w:p>
        </w:tc>
        <w:tc>
          <w:tcPr>
            <w:tcW w:w="8220" w:type="dxa"/>
            <w:tcBorders>
              <w:bottom w:val="nil"/>
            </w:tcBorders>
          </w:tcPr>
          <w:p w:rsidR="004C3CEF" w:rsidRPr="00614CC6" w:rsidRDefault="004C3CEF" w:rsidP="00A76F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4C3CEF" w:rsidRPr="005E427C" w:rsidTr="00A76F7A">
        <w:tc>
          <w:tcPr>
            <w:tcW w:w="1140" w:type="dxa"/>
            <w:tcBorders>
              <w:top w:val="nil"/>
              <w:bottom w:val="nil"/>
            </w:tcBorders>
            <w:shd w:val="clear" w:color="auto" w:fill="auto"/>
          </w:tcPr>
          <w:p w:rsidR="004C3CEF" w:rsidRPr="005E427C" w:rsidRDefault="004C3CEF" w:rsidP="00A76F7A">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4C3CEF" w:rsidRPr="005E427C" w:rsidRDefault="004C3CEF" w:rsidP="00A76F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4C3CEF" w:rsidRPr="009454F8" w:rsidTr="00A76F7A">
        <w:tc>
          <w:tcPr>
            <w:tcW w:w="1140" w:type="dxa"/>
            <w:tcBorders>
              <w:top w:val="nil"/>
              <w:bottom w:val="nil"/>
            </w:tcBorders>
          </w:tcPr>
          <w:p w:rsidR="004C3CEF" w:rsidRPr="00614CC6" w:rsidRDefault="004C3CEF" w:rsidP="00A76F7A">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4C3CEF" w:rsidRPr="00614CC6" w:rsidRDefault="004C3CEF" w:rsidP="00A76F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4C3CEF" w:rsidRPr="00E80F1D" w:rsidTr="00A76F7A">
        <w:tc>
          <w:tcPr>
            <w:tcW w:w="1140" w:type="dxa"/>
            <w:tcBorders>
              <w:top w:val="nil"/>
              <w:bottom w:val="nil"/>
            </w:tcBorders>
            <w:shd w:val="clear" w:color="auto" w:fill="auto"/>
          </w:tcPr>
          <w:p w:rsidR="004C3CEF" w:rsidRPr="00E80F1D" w:rsidRDefault="004C3CEF" w:rsidP="00A76F7A">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4C3CEF" w:rsidRPr="00E80F1D" w:rsidRDefault="004C3CEF" w:rsidP="00A76F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4C3CEF" w:rsidRPr="00ED2695" w:rsidTr="00A76F7A">
        <w:tc>
          <w:tcPr>
            <w:tcW w:w="1140" w:type="dxa"/>
            <w:tcBorders>
              <w:top w:val="nil"/>
              <w:bottom w:val="nil"/>
            </w:tcBorders>
            <w:shd w:val="clear" w:color="auto" w:fill="auto"/>
          </w:tcPr>
          <w:p w:rsidR="004C3CEF" w:rsidRPr="00614CC6" w:rsidRDefault="004C3CEF" w:rsidP="00A76F7A">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4C3CEF" w:rsidRPr="00614CC6" w:rsidRDefault="004C3CEF" w:rsidP="00A76F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4C3CEF" w:rsidRPr="00E80F1D" w:rsidTr="00A76F7A">
        <w:tc>
          <w:tcPr>
            <w:tcW w:w="1140" w:type="dxa"/>
            <w:tcBorders>
              <w:top w:val="nil"/>
              <w:bottom w:val="nil"/>
            </w:tcBorders>
            <w:shd w:val="clear" w:color="auto" w:fill="F3F3F3"/>
          </w:tcPr>
          <w:p w:rsidR="004C3CEF" w:rsidRPr="00E80F1D" w:rsidRDefault="004C3CEF" w:rsidP="00A76F7A">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4C3CEF" w:rsidRPr="00E80F1D" w:rsidRDefault="004C3CEF" w:rsidP="00A76F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4C3CEF" w:rsidRPr="00B21066" w:rsidTr="00A76F7A">
        <w:tc>
          <w:tcPr>
            <w:tcW w:w="1140" w:type="dxa"/>
            <w:tcBorders>
              <w:top w:val="nil"/>
              <w:bottom w:val="nil"/>
            </w:tcBorders>
            <w:shd w:val="clear" w:color="auto" w:fill="auto"/>
          </w:tcPr>
          <w:p w:rsidR="004C3CEF" w:rsidRPr="00B21066" w:rsidRDefault="004C3CEF" w:rsidP="00A76F7A">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4C3CEF" w:rsidRPr="00B21066" w:rsidRDefault="004C3CEF" w:rsidP="00A76F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4C3CEF" w:rsidRPr="00036EE3" w:rsidTr="00A76F7A">
        <w:tc>
          <w:tcPr>
            <w:tcW w:w="1140" w:type="dxa"/>
            <w:tcBorders>
              <w:top w:val="nil"/>
            </w:tcBorders>
          </w:tcPr>
          <w:p w:rsidR="004C3CEF" w:rsidRPr="00614CC6" w:rsidRDefault="004C3CEF" w:rsidP="00A76F7A">
            <w:pPr>
              <w:spacing w:before="30" w:after="30"/>
              <w:ind w:left="57"/>
              <w:jc w:val="left"/>
              <w:rPr>
                <w:b/>
                <w:bCs/>
                <w:sz w:val="20"/>
                <w:lang w:val="fr-CH"/>
              </w:rPr>
            </w:pPr>
            <w:r w:rsidRPr="00614CC6">
              <w:rPr>
                <w:b/>
                <w:bCs/>
                <w:sz w:val="20"/>
                <w:lang w:val="fr-CH"/>
              </w:rPr>
              <w:t>P</w:t>
            </w:r>
          </w:p>
        </w:tc>
        <w:tc>
          <w:tcPr>
            <w:tcW w:w="8220" w:type="dxa"/>
            <w:tcBorders>
              <w:top w:val="nil"/>
            </w:tcBorders>
          </w:tcPr>
          <w:p w:rsidR="004C3CEF" w:rsidRPr="00614CC6" w:rsidRDefault="004C3CEF" w:rsidP="00A76F7A">
            <w:pPr>
              <w:spacing w:before="30" w:after="30"/>
              <w:jc w:val="left"/>
              <w:rPr>
                <w:sz w:val="20"/>
                <w:lang w:val="fr-CH"/>
              </w:rPr>
            </w:pPr>
            <w:r w:rsidRPr="00614CC6">
              <w:rPr>
                <w:sz w:val="20"/>
              </w:rPr>
              <w:t>Propagation des ondes radioélectriques</w:t>
            </w:r>
          </w:p>
        </w:tc>
      </w:tr>
      <w:tr w:rsidR="004C3CEF" w:rsidRPr="00036EE3" w:rsidTr="00A76F7A">
        <w:tc>
          <w:tcPr>
            <w:tcW w:w="1140" w:type="dxa"/>
          </w:tcPr>
          <w:p w:rsidR="004C3CEF" w:rsidRPr="00614CC6" w:rsidRDefault="004C3CEF" w:rsidP="00A76F7A">
            <w:pPr>
              <w:spacing w:before="30" w:after="30"/>
              <w:ind w:left="57"/>
              <w:jc w:val="left"/>
              <w:rPr>
                <w:b/>
                <w:bCs/>
                <w:sz w:val="20"/>
                <w:lang w:val="en-US"/>
              </w:rPr>
            </w:pPr>
            <w:r w:rsidRPr="00614CC6">
              <w:rPr>
                <w:b/>
                <w:bCs/>
                <w:sz w:val="20"/>
                <w:lang w:val="en-US"/>
              </w:rPr>
              <w:t>RA</w:t>
            </w:r>
          </w:p>
        </w:tc>
        <w:tc>
          <w:tcPr>
            <w:tcW w:w="8220" w:type="dxa"/>
          </w:tcPr>
          <w:p w:rsidR="004C3CEF" w:rsidRPr="00614CC6" w:rsidRDefault="004C3CEF" w:rsidP="00A76F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4C3CEF" w:rsidRPr="00036EE3" w:rsidTr="00A76F7A">
        <w:tc>
          <w:tcPr>
            <w:tcW w:w="1140" w:type="dxa"/>
          </w:tcPr>
          <w:p w:rsidR="004C3CEF" w:rsidRPr="00614CC6" w:rsidRDefault="004C3CEF" w:rsidP="00A76F7A">
            <w:pPr>
              <w:spacing w:before="30" w:after="30"/>
              <w:ind w:left="57"/>
              <w:jc w:val="left"/>
              <w:rPr>
                <w:b/>
                <w:bCs/>
                <w:sz w:val="20"/>
                <w:lang w:val="en-US"/>
              </w:rPr>
            </w:pPr>
            <w:r w:rsidRPr="00614CC6">
              <w:rPr>
                <w:b/>
                <w:bCs/>
                <w:sz w:val="20"/>
                <w:lang w:val="en-US"/>
              </w:rPr>
              <w:t>RS</w:t>
            </w:r>
          </w:p>
        </w:tc>
        <w:tc>
          <w:tcPr>
            <w:tcW w:w="8220" w:type="dxa"/>
          </w:tcPr>
          <w:p w:rsidR="004C3CEF" w:rsidRPr="00614CC6" w:rsidRDefault="004C3CEF" w:rsidP="00A76F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4C3CEF" w:rsidRPr="00036EE3" w:rsidTr="00A76F7A">
        <w:tc>
          <w:tcPr>
            <w:tcW w:w="1140" w:type="dxa"/>
          </w:tcPr>
          <w:p w:rsidR="004C3CEF" w:rsidRPr="00614CC6" w:rsidRDefault="004C3CEF" w:rsidP="00A76F7A">
            <w:pPr>
              <w:spacing w:before="30" w:after="30"/>
              <w:ind w:left="57"/>
              <w:jc w:val="left"/>
              <w:rPr>
                <w:b/>
                <w:bCs/>
                <w:sz w:val="20"/>
                <w:lang w:val="en-US"/>
              </w:rPr>
            </w:pPr>
            <w:r w:rsidRPr="00614CC6">
              <w:rPr>
                <w:b/>
                <w:bCs/>
                <w:sz w:val="20"/>
                <w:lang w:val="en-US"/>
              </w:rPr>
              <w:t>S</w:t>
            </w:r>
          </w:p>
        </w:tc>
        <w:tc>
          <w:tcPr>
            <w:tcW w:w="8220" w:type="dxa"/>
          </w:tcPr>
          <w:p w:rsidR="004C3CEF" w:rsidRPr="00614CC6" w:rsidRDefault="004C3CEF" w:rsidP="00A76F7A">
            <w:pPr>
              <w:spacing w:before="30" w:after="30"/>
              <w:jc w:val="left"/>
              <w:rPr>
                <w:sz w:val="20"/>
                <w:lang w:val="en-US"/>
              </w:rPr>
            </w:pPr>
            <w:r w:rsidRPr="00614CC6">
              <w:rPr>
                <w:sz w:val="20"/>
              </w:rPr>
              <w:t>Service fixe par satellite</w:t>
            </w:r>
          </w:p>
        </w:tc>
      </w:tr>
      <w:tr w:rsidR="004C3CEF" w:rsidRPr="00036EE3" w:rsidTr="00A76F7A">
        <w:tc>
          <w:tcPr>
            <w:tcW w:w="1140" w:type="dxa"/>
          </w:tcPr>
          <w:p w:rsidR="004C3CEF" w:rsidRPr="00614CC6" w:rsidRDefault="004C3CEF" w:rsidP="00A76F7A">
            <w:pPr>
              <w:spacing w:before="30" w:after="30"/>
              <w:ind w:left="57"/>
              <w:jc w:val="left"/>
              <w:rPr>
                <w:b/>
                <w:bCs/>
                <w:sz w:val="20"/>
                <w:lang w:val="en-US"/>
              </w:rPr>
            </w:pPr>
            <w:r w:rsidRPr="00614CC6">
              <w:rPr>
                <w:b/>
                <w:bCs/>
                <w:sz w:val="20"/>
                <w:lang w:val="en-US"/>
              </w:rPr>
              <w:t>SA</w:t>
            </w:r>
          </w:p>
        </w:tc>
        <w:tc>
          <w:tcPr>
            <w:tcW w:w="8220" w:type="dxa"/>
          </w:tcPr>
          <w:p w:rsidR="004C3CEF" w:rsidRPr="00614CC6" w:rsidRDefault="004C3CEF" w:rsidP="00A76F7A">
            <w:pPr>
              <w:spacing w:before="30" w:after="30"/>
              <w:jc w:val="left"/>
              <w:rPr>
                <w:sz w:val="20"/>
                <w:lang w:val="en-US"/>
              </w:rPr>
            </w:pPr>
            <w:r w:rsidRPr="00614CC6">
              <w:rPr>
                <w:sz w:val="20"/>
              </w:rPr>
              <w:t>Applications spatiales et météorologie</w:t>
            </w:r>
          </w:p>
        </w:tc>
      </w:tr>
      <w:tr w:rsidR="004C3CEF" w:rsidRPr="00614CC6" w:rsidTr="00A76F7A">
        <w:tc>
          <w:tcPr>
            <w:tcW w:w="1140" w:type="dxa"/>
          </w:tcPr>
          <w:p w:rsidR="004C3CEF" w:rsidRPr="00614CC6" w:rsidRDefault="004C3CEF" w:rsidP="00A76F7A">
            <w:pPr>
              <w:spacing w:before="30" w:after="30"/>
              <w:ind w:left="57"/>
              <w:jc w:val="left"/>
              <w:rPr>
                <w:b/>
                <w:bCs/>
                <w:sz w:val="20"/>
                <w:lang w:val="en-US"/>
              </w:rPr>
            </w:pPr>
            <w:r w:rsidRPr="00614CC6">
              <w:rPr>
                <w:b/>
                <w:bCs/>
                <w:sz w:val="20"/>
                <w:lang w:val="en-US"/>
              </w:rPr>
              <w:t>SF</w:t>
            </w:r>
          </w:p>
        </w:tc>
        <w:tc>
          <w:tcPr>
            <w:tcW w:w="8220" w:type="dxa"/>
          </w:tcPr>
          <w:p w:rsidR="004C3CEF" w:rsidRPr="00614CC6" w:rsidRDefault="004C3CEF" w:rsidP="00A76F7A">
            <w:pPr>
              <w:spacing w:before="30" w:after="30"/>
              <w:jc w:val="left"/>
              <w:rPr>
                <w:sz w:val="20"/>
              </w:rPr>
            </w:pPr>
            <w:r w:rsidRPr="00614CC6">
              <w:rPr>
                <w:sz w:val="20"/>
              </w:rPr>
              <w:t>Partage des fréquences et coordination entre les systèmes du service fixe par satellite et du service fixe</w:t>
            </w:r>
          </w:p>
        </w:tc>
      </w:tr>
      <w:tr w:rsidR="004C3CEF" w:rsidRPr="00036EE3" w:rsidTr="00A76F7A">
        <w:tc>
          <w:tcPr>
            <w:tcW w:w="1140" w:type="dxa"/>
            <w:shd w:val="clear" w:color="auto" w:fill="auto"/>
          </w:tcPr>
          <w:p w:rsidR="004C3CEF" w:rsidRPr="00592F9F" w:rsidRDefault="004C3CEF" w:rsidP="00A76F7A">
            <w:pPr>
              <w:spacing w:before="30" w:after="30"/>
              <w:ind w:left="57"/>
              <w:jc w:val="left"/>
              <w:rPr>
                <w:b/>
                <w:bCs/>
                <w:sz w:val="20"/>
                <w:lang w:val="en-US"/>
              </w:rPr>
            </w:pPr>
            <w:r w:rsidRPr="00592F9F">
              <w:rPr>
                <w:b/>
                <w:bCs/>
                <w:sz w:val="20"/>
                <w:lang w:val="en-US"/>
              </w:rPr>
              <w:t>SM</w:t>
            </w:r>
          </w:p>
        </w:tc>
        <w:tc>
          <w:tcPr>
            <w:tcW w:w="8220" w:type="dxa"/>
            <w:shd w:val="clear" w:color="auto" w:fill="auto"/>
          </w:tcPr>
          <w:p w:rsidR="004C3CEF" w:rsidRPr="00592F9F" w:rsidRDefault="004C3CEF" w:rsidP="00A76F7A">
            <w:pPr>
              <w:spacing w:before="30" w:after="30"/>
              <w:jc w:val="left"/>
              <w:rPr>
                <w:sz w:val="20"/>
                <w:lang w:val="en-US"/>
              </w:rPr>
            </w:pPr>
            <w:r w:rsidRPr="00592F9F">
              <w:rPr>
                <w:sz w:val="20"/>
              </w:rPr>
              <w:t>Gestion du spectre</w:t>
            </w:r>
          </w:p>
        </w:tc>
      </w:tr>
      <w:tr w:rsidR="004C3CEF" w:rsidRPr="00036EE3" w:rsidTr="00A76F7A">
        <w:tc>
          <w:tcPr>
            <w:tcW w:w="1140" w:type="dxa"/>
          </w:tcPr>
          <w:p w:rsidR="004C3CEF" w:rsidRPr="00614CC6" w:rsidRDefault="004C3CEF" w:rsidP="00A76F7A">
            <w:pPr>
              <w:spacing w:before="30" w:after="30"/>
              <w:ind w:left="57"/>
              <w:jc w:val="left"/>
              <w:rPr>
                <w:b/>
                <w:bCs/>
                <w:sz w:val="20"/>
                <w:lang w:val="en-US"/>
              </w:rPr>
            </w:pPr>
            <w:r w:rsidRPr="00614CC6">
              <w:rPr>
                <w:b/>
                <w:bCs/>
                <w:sz w:val="20"/>
                <w:lang w:val="en-US"/>
              </w:rPr>
              <w:t>SNG</w:t>
            </w:r>
          </w:p>
        </w:tc>
        <w:tc>
          <w:tcPr>
            <w:tcW w:w="8220" w:type="dxa"/>
          </w:tcPr>
          <w:p w:rsidR="004C3CEF" w:rsidRPr="00614CC6" w:rsidRDefault="004C3CEF" w:rsidP="00A76F7A">
            <w:pPr>
              <w:spacing w:before="30" w:after="30"/>
              <w:jc w:val="left"/>
              <w:rPr>
                <w:sz w:val="20"/>
                <w:lang w:val="en-US"/>
              </w:rPr>
            </w:pPr>
            <w:r w:rsidRPr="00614CC6">
              <w:rPr>
                <w:sz w:val="20"/>
              </w:rPr>
              <w:t>Reportage d'actualités par satellite</w:t>
            </w:r>
          </w:p>
        </w:tc>
      </w:tr>
      <w:tr w:rsidR="004C3CEF" w:rsidRPr="00614CC6" w:rsidTr="00A76F7A">
        <w:tc>
          <w:tcPr>
            <w:tcW w:w="1140" w:type="dxa"/>
          </w:tcPr>
          <w:p w:rsidR="004C3CEF" w:rsidRPr="00614CC6" w:rsidRDefault="004C3CEF" w:rsidP="00A76F7A">
            <w:pPr>
              <w:spacing w:before="30" w:after="30"/>
              <w:ind w:left="57"/>
              <w:jc w:val="left"/>
              <w:rPr>
                <w:b/>
                <w:bCs/>
                <w:sz w:val="20"/>
                <w:lang w:val="en-US"/>
              </w:rPr>
            </w:pPr>
            <w:r w:rsidRPr="00614CC6">
              <w:rPr>
                <w:b/>
                <w:bCs/>
                <w:sz w:val="20"/>
                <w:lang w:val="en-US"/>
              </w:rPr>
              <w:t>TF</w:t>
            </w:r>
          </w:p>
        </w:tc>
        <w:tc>
          <w:tcPr>
            <w:tcW w:w="8220" w:type="dxa"/>
          </w:tcPr>
          <w:p w:rsidR="004C3CEF" w:rsidRPr="00614CC6" w:rsidRDefault="004C3CEF" w:rsidP="00A76F7A">
            <w:pPr>
              <w:spacing w:before="30" w:after="30"/>
              <w:jc w:val="left"/>
              <w:rPr>
                <w:sz w:val="20"/>
              </w:rPr>
            </w:pPr>
            <w:r w:rsidRPr="00614CC6">
              <w:rPr>
                <w:sz w:val="20"/>
              </w:rPr>
              <w:t>Emissions de fréquences étalon et de signaux horaires</w:t>
            </w:r>
          </w:p>
        </w:tc>
      </w:tr>
      <w:tr w:rsidR="004C3CEF" w:rsidRPr="00036EE3" w:rsidTr="00A76F7A">
        <w:tc>
          <w:tcPr>
            <w:tcW w:w="1140" w:type="dxa"/>
          </w:tcPr>
          <w:p w:rsidR="004C3CEF" w:rsidRPr="00614CC6" w:rsidRDefault="004C3CEF" w:rsidP="00A76F7A">
            <w:pPr>
              <w:spacing w:before="30" w:after="30"/>
              <w:ind w:left="57"/>
              <w:jc w:val="left"/>
              <w:rPr>
                <w:b/>
                <w:bCs/>
                <w:sz w:val="20"/>
                <w:lang w:val="en-US"/>
              </w:rPr>
            </w:pPr>
            <w:r w:rsidRPr="00614CC6">
              <w:rPr>
                <w:b/>
                <w:bCs/>
                <w:sz w:val="20"/>
                <w:lang w:val="en-US"/>
              </w:rPr>
              <w:t>V</w:t>
            </w:r>
          </w:p>
        </w:tc>
        <w:tc>
          <w:tcPr>
            <w:tcW w:w="8220" w:type="dxa"/>
          </w:tcPr>
          <w:p w:rsidR="004C3CEF" w:rsidRPr="00614CC6" w:rsidRDefault="004C3CEF" w:rsidP="00A76F7A">
            <w:pPr>
              <w:spacing w:before="30" w:after="140"/>
              <w:jc w:val="left"/>
              <w:rPr>
                <w:sz w:val="20"/>
                <w:lang w:val="en-US"/>
              </w:rPr>
            </w:pPr>
            <w:r w:rsidRPr="00614CC6">
              <w:rPr>
                <w:sz w:val="20"/>
              </w:rPr>
              <w:t>Vocabulaire et sujets associés</w:t>
            </w:r>
          </w:p>
        </w:tc>
      </w:tr>
    </w:tbl>
    <w:p w:rsidR="004C3CEF" w:rsidRPr="00036EE3" w:rsidRDefault="004C3CEF" w:rsidP="004C3CEF">
      <w:pPr>
        <w:spacing w:before="0"/>
        <w:jc w:val="center"/>
        <w:rPr>
          <w:sz w:val="20"/>
          <w:lang w:val="en-US"/>
        </w:rPr>
      </w:pPr>
    </w:p>
    <w:p w:rsidR="004C3CEF" w:rsidRPr="00036EE3" w:rsidRDefault="004C3CEF" w:rsidP="004C3CEF">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C3CEF" w:rsidRPr="00756B4D" w:rsidTr="00A76F7A">
        <w:tc>
          <w:tcPr>
            <w:tcW w:w="9360" w:type="dxa"/>
          </w:tcPr>
          <w:p w:rsidR="004C3CEF" w:rsidRPr="00756B4D" w:rsidRDefault="004C3CEF" w:rsidP="00A76F7A">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4C3CEF" w:rsidRPr="00756B4D" w:rsidRDefault="004C3CEF" w:rsidP="004C3CEF">
      <w:pPr>
        <w:spacing w:before="0"/>
        <w:jc w:val="center"/>
        <w:rPr>
          <w:sz w:val="22"/>
        </w:rPr>
      </w:pPr>
    </w:p>
    <w:p w:rsidR="004C3CEF" w:rsidRPr="00614CC6" w:rsidRDefault="004C3CEF" w:rsidP="004C3CEF">
      <w:pPr>
        <w:spacing w:before="100"/>
        <w:jc w:val="right"/>
        <w:rPr>
          <w:i/>
          <w:iCs/>
          <w:sz w:val="20"/>
        </w:rPr>
      </w:pPr>
      <w:r w:rsidRPr="00614CC6">
        <w:rPr>
          <w:i/>
          <w:iCs/>
          <w:sz w:val="20"/>
        </w:rPr>
        <w:t>Publication électronique</w:t>
      </w:r>
    </w:p>
    <w:p w:rsidR="004C3CEF" w:rsidRPr="00614CC6" w:rsidRDefault="004C3CEF" w:rsidP="004C3CEF">
      <w:pPr>
        <w:spacing w:before="0"/>
        <w:jc w:val="right"/>
        <w:rPr>
          <w:sz w:val="20"/>
        </w:rPr>
      </w:pPr>
      <w:r w:rsidRPr="00614CC6">
        <w:rPr>
          <w:sz w:val="20"/>
        </w:rPr>
        <w:t>Genève, 20</w:t>
      </w:r>
      <w:r>
        <w:rPr>
          <w:sz w:val="20"/>
        </w:rPr>
        <w:t>14</w:t>
      </w:r>
    </w:p>
    <w:p w:rsidR="004C3CEF" w:rsidRPr="00614CC6" w:rsidRDefault="004C3CEF" w:rsidP="004C3CEF">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14</w:t>
      </w:r>
    </w:p>
    <w:p w:rsidR="004C3CEF" w:rsidRPr="00614CC6" w:rsidRDefault="004C3CEF" w:rsidP="004C3CEF">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4C3CEF" w:rsidRPr="00614CC6" w:rsidRDefault="004C3CEF" w:rsidP="004C3CEF">
      <w:pPr>
        <w:spacing w:before="160"/>
        <w:rPr>
          <w:i/>
          <w:sz w:val="20"/>
          <w:highlight w:val="yellow"/>
        </w:rPr>
        <w:sectPr w:rsidR="004C3CEF"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4C3CEF" w:rsidRDefault="004C3CEF" w:rsidP="004C3CEF">
      <w:pPr>
        <w:pStyle w:val="RecNo"/>
        <w:spacing w:before="0"/>
      </w:pPr>
      <w:bookmarkStart w:id="3" w:name="irecnoe"/>
      <w:bookmarkEnd w:id="3"/>
      <w:r>
        <w:lastRenderedPageBreak/>
        <w:t xml:space="preserve">RECOMMANDATION  UIT-R  </w:t>
      </w:r>
      <w:r w:rsidRPr="009A6D84">
        <w:rPr>
          <w:rStyle w:val="href"/>
        </w:rPr>
        <w:t>F.1099-</w:t>
      </w:r>
      <w:r>
        <w:rPr>
          <w:rStyle w:val="href"/>
        </w:rPr>
        <w:t>5</w:t>
      </w:r>
    </w:p>
    <w:p w:rsidR="004C3CEF" w:rsidRDefault="004C3CEF" w:rsidP="004C3CEF">
      <w:pPr>
        <w:pStyle w:val="Rectitle"/>
      </w:pPr>
      <w:r>
        <w:t>Dispositions des canaux radioélectriques pour les systèmes hertziens fixes numériques de moyenne et grande capacité fonctionnant dans la partie supérieure de la bande des 4 GHz (4</w:t>
      </w:r>
      <w:r>
        <w:rPr>
          <w:rFonts w:ascii="Tms Rmn" w:hAnsi="Tms Rmn"/>
          <w:sz w:val="12"/>
        </w:rPr>
        <w:t xml:space="preserve"> </w:t>
      </w:r>
      <w:r>
        <w:rPr>
          <w:rFonts w:ascii="Tms Rmn" w:hAnsi="Tms Rmn"/>
        </w:rPr>
        <w:t>400-5</w:t>
      </w:r>
      <w:r w:rsidRPr="005B0DF5">
        <w:rPr>
          <w:rFonts w:ascii="Tms Rmn" w:hAnsi="Tms Rmn"/>
          <w:sz w:val="16"/>
          <w:szCs w:val="16"/>
        </w:rPr>
        <w:t xml:space="preserve"> </w:t>
      </w:r>
      <w:r>
        <w:rPr>
          <w:rFonts w:ascii="Tms Rmn" w:hAnsi="Tms Rmn"/>
        </w:rPr>
        <w:t>000 MHz)</w:t>
      </w:r>
    </w:p>
    <w:p w:rsidR="004C3CEF" w:rsidRPr="00292826" w:rsidRDefault="004C3CEF" w:rsidP="004C3CEF">
      <w:pPr>
        <w:pStyle w:val="Recref"/>
      </w:pPr>
      <w:r w:rsidRPr="00292826">
        <w:rPr>
          <w:szCs w:val="24"/>
        </w:rPr>
        <w:t xml:space="preserve">(Question UIT-R </w:t>
      </w:r>
      <w:r>
        <w:rPr>
          <w:szCs w:val="24"/>
        </w:rPr>
        <w:t>247/5</w:t>
      </w:r>
      <w:r w:rsidRPr="00292826">
        <w:rPr>
          <w:szCs w:val="24"/>
        </w:rPr>
        <w:t>)</w:t>
      </w:r>
    </w:p>
    <w:p w:rsidR="004C3CEF" w:rsidRPr="00292826" w:rsidRDefault="004C3CEF" w:rsidP="004C3CEF">
      <w:pPr>
        <w:pStyle w:val="Recdate"/>
      </w:pPr>
      <w:r w:rsidRPr="00292826">
        <w:rPr>
          <w:sz w:val="22"/>
          <w:szCs w:val="22"/>
        </w:rPr>
        <w:t>(1994-1995-1997-1999</w:t>
      </w:r>
      <w:r>
        <w:rPr>
          <w:sz w:val="22"/>
          <w:szCs w:val="22"/>
        </w:rPr>
        <w:t>-2007-2013</w:t>
      </w:r>
      <w:r w:rsidRPr="00292826">
        <w:rPr>
          <w:sz w:val="22"/>
          <w:szCs w:val="22"/>
        </w:rPr>
        <w:t>)</w:t>
      </w:r>
    </w:p>
    <w:p w:rsidR="004C3CEF" w:rsidRPr="008A4CA3" w:rsidRDefault="004C3CEF" w:rsidP="004C3CEF">
      <w:pPr>
        <w:pStyle w:val="HeadingSum"/>
        <w:rPr>
          <w:lang w:val="fr-FR"/>
        </w:rPr>
      </w:pPr>
      <w:r w:rsidRPr="008A4CA3">
        <w:rPr>
          <w:lang w:val="fr-FR"/>
        </w:rPr>
        <w:t>Domaine d'application</w:t>
      </w:r>
    </w:p>
    <w:p w:rsidR="004C3CEF" w:rsidRPr="008A4CA3" w:rsidRDefault="004C3CEF" w:rsidP="004C3CEF">
      <w:pPr>
        <w:pStyle w:val="Summary"/>
        <w:rPr>
          <w:lang w:val="fr-FR"/>
        </w:rPr>
      </w:pPr>
      <w:r w:rsidRPr="008A4CA3">
        <w:rPr>
          <w:lang w:val="fr-FR"/>
        </w:rPr>
        <w:t>La présente Recommandation décrit des dispositions de canaux radioélectriques applicable aux systèmes hertziens fixes (FWS) fonctionnant dans la partie supérieure de la bande des 4 GHz (4 400</w:t>
      </w:r>
      <w:r w:rsidRPr="008A4CA3">
        <w:rPr>
          <w:lang w:val="fr-FR"/>
        </w:rPr>
        <w:noBreakHyphen/>
        <w:t xml:space="preserve">5 000 GHz), qui peuvent être utilisées pour des systèmes fixes de moyenne et grande capacité, sur la base d'une structure commune de 10 MHz. </w:t>
      </w:r>
      <w:r w:rsidRPr="00250BD3">
        <w:rPr>
          <w:lang w:val="fr-CH"/>
        </w:rPr>
        <w:t>Les Annexes 1 et 2 présentent des dispositions de canaux radioélectriques conformes aux spécifications figurant dans le corps du texte, avec des espacements de 20, 40</w:t>
      </w:r>
      <w:r>
        <w:rPr>
          <w:lang w:val="fr-CH"/>
        </w:rPr>
        <w:t xml:space="preserve"> </w:t>
      </w:r>
      <w:r w:rsidRPr="00250BD3">
        <w:rPr>
          <w:lang w:val="fr-CH"/>
        </w:rPr>
        <w:t xml:space="preserve">ou 80 MHz. On trouvera dans l'Annexe 3 une autre disposition avec un espacement des canaux de 28 MHz. </w:t>
      </w:r>
      <w:r w:rsidRPr="008A4CA3">
        <w:rPr>
          <w:lang w:val="fr-FR"/>
        </w:rPr>
        <w:t xml:space="preserve">Des dispositions alternées </w:t>
      </w:r>
      <w:r>
        <w:rPr>
          <w:lang w:val="fr-FR"/>
        </w:rPr>
        <w:t>et</w:t>
      </w:r>
      <w:r w:rsidRPr="008A4CA3">
        <w:rPr>
          <w:lang w:val="fr-FR"/>
        </w:rPr>
        <w:t xml:space="preserve"> dans le même canal sont présentées, de même que des informations sur la transmission multiporteuse fondée sur ces dispositions.</w:t>
      </w:r>
    </w:p>
    <w:p w:rsidR="004C3CEF" w:rsidRPr="00292826" w:rsidRDefault="004C3CEF" w:rsidP="004C3CEF">
      <w:pPr>
        <w:pStyle w:val="Normalaftertitle"/>
      </w:pPr>
      <w:r w:rsidRPr="00292826">
        <w:rPr>
          <w:szCs w:val="24"/>
        </w:rPr>
        <w:t>L'Assemblée des radiocommunications de l'UIT,</w:t>
      </w:r>
    </w:p>
    <w:p w:rsidR="004C3CEF" w:rsidRPr="00292826" w:rsidRDefault="004C3CEF" w:rsidP="004C3CEF">
      <w:pPr>
        <w:pStyle w:val="Call"/>
      </w:pPr>
      <w:r w:rsidRPr="00292826">
        <w:rPr>
          <w:szCs w:val="24"/>
        </w:rPr>
        <w:t>considérant</w:t>
      </w:r>
    </w:p>
    <w:p w:rsidR="004C3CEF" w:rsidRPr="00292826" w:rsidRDefault="004C3CEF" w:rsidP="004C3CEF">
      <w:pPr>
        <w:rPr>
          <w:szCs w:val="24"/>
        </w:rPr>
      </w:pPr>
      <w:r w:rsidRPr="0065730F">
        <w:rPr>
          <w:i/>
          <w:iCs/>
          <w:szCs w:val="24"/>
        </w:rPr>
        <w:t>a)</w:t>
      </w:r>
      <w:r w:rsidRPr="00292826">
        <w:rPr>
          <w:szCs w:val="24"/>
        </w:rPr>
        <w:tab/>
        <w:t xml:space="preserve">que </w:t>
      </w:r>
      <w:r>
        <w:rPr>
          <w:szCs w:val="24"/>
        </w:rPr>
        <w:t>des systèmes</w:t>
      </w:r>
      <w:r w:rsidRPr="00292826">
        <w:rPr>
          <w:szCs w:val="24"/>
        </w:rPr>
        <w:t xml:space="preserve"> hertziens </w:t>
      </w:r>
      <w:r>
        <w:rPr>
          <w:szCs w:val="24"/>
        </w:rPr>
        <w:t xml:space="preserve">fixes </w:t>
      </w:r>
      <w:r w:rsidRPr="00292826">
        <w:rPr>
          <w:szCs w:val="24"/>
        </w:rPr>
        <w:t>numériques de grande capacité</w:t>
      </w:r>
      <w:r>
        <w:rPr>
          <w:szCs w:val="24"/>
        </w:rPr>
        <w:t xml:space="preserve"> ayant des débits binaires d'au moins</w:t>
      </w:r>
      <w:r w:rsidRPr="00292826">
        <w:rPr>
          <w:szCs w:val="24"/>
        </w:rPr>
        <w:t xml:space="preserve"> 90 Mbit/s et permettant de transmettre des signaux de la hiérarchie numé</w:t>
      </w:r>
      <w:r>
        <w:rPr>
          <w:szCs w:val="24"/>
        </w:rPr>
        <w:t>rique plésiochrone ou synchrone</w:t>
      </w:r>
      <w:r w:rsidRPr="00292826">
        <w:rPr>
          <w:szCs w:val="24"/>
        </w:rPr>
        <w:t xml:space="preserve"> sont nécessaires dans la bande des 5 GHz;</w:t>
      </w:r>
    </w:p>
    <w:p w:rsidR="004C3CEF" w:rsidRPr="00292826" w:rsidRDefault="004C3CEF" w:rsidP="004C3CEF">
      <w:pPr>
        <w:rPr>
          <w:szCs w:val="24"/>
        </w:rPr>
      </w:pPr>
      <w:r w:rsidRPr="0065730F">
        <w:rPr>
          <w:i/>
          <w:iCs/>
          <w:szCs w:val="24"/>
        </w:rPr>
        <w:t>b)</w:t>
      </w:r>
      <w:r w:rsidRPr="00292826">
        <w:rPr>
          <w:szCs w:val="24"/>
        </w:rPr>
        <w:tab/>
        <w:t>que les espacements entre fréquences centrales et les bandes de garde aux limites inférieures et supérieures de la bande peuvent être fixés en s'abstenant d'occuper un nombre adéquat d'emplacements de canaux radioélectriques en une structure de base homogène;</w:t>
      </w:r>
    </w:p>
    <w:p w:rsidR="004C3CEF" w:rsidRPr="00292826" w:rsidRDefault="004C3CEF" w:rsidP="004C3CEF">
      <w:pPr>
        <w:rPr>
          <w:szCs w:val="24"/>
        </w:rPr>
      </w:pPr>
      <w:r w:rsidRPr="0065730F">
        <w:rPr>
          <w:i/>
          <w:iCs/>
          <w:szCs w:val="24"/>
        </w:rPr>
        <w:t>c)</w:t>
      </w:r>
      <w:r w:rsidRPr="00292826">
        <w:rPr>
          <w:szCs w:val="24"/>
        </w:rPr>
        <w:tab/>
        <w:t>que la valeur de l'espacement uniforme de la structure de base doit être judicieusement choisie de manière à préserver une efficacité spectrale adéquate;</w:t>
      </w:r>
    </w:p>
    <w:p w:rsidR="004C3CEF" w:rsidRPr="00292826" w:rsidRDefault="004C3CEF" w:rsidP="004C3CEF">
      <w:pPr>
        <w:rPr>
          <w:szCs w:val="24"/>
        </w:rPr>
      </w:pPr>
      <w:r w:rsidRPr="0065730F">
        <w:rPr>
          <w:i/>
          <w:iCs/>
          <w:szCs w:val="24"/>
        </w:rPr>
        <w:t>d)</w:t>
      </w:r>
      <w:r w:rsidRPr="00292826">
        <w:rPr>
          <w:szCs w:val="24"/>
        </w:rPr>
        <w:tab/>
        <w:t>qu'une seule fréquence de référence doit définir les fréquences absolues de la structure de base;</w:t>
      </w:r>
    </w:p>
    <w:p w:rsidR="004C3CEF" w:rsidRPr="00292826" w:rsidRDefault="004C3CEF" w:rsidP="004C3CEF">
      <w:pPr>
        <w:rPr>
          <w:szCs w:val="24"/>
        </w:rPr>
      </w:pPr>
      <w:r w:rsidRPr="0065730F">
        <w:rPr>
          <w:i/>
          <w:iCs/>
          <w:szCs w:val="24"/>
        </w:rPr>
        <w:t>e)</w:t>
      </w:r>
      <w:r w:rsidRPr="00292826">
        <w:rPr>
          <w:szCs w:val="24"/>
        </w:rPr>
        <w:tab/>
        <w:t xml:space="preserve">que les </w:t>
      </w:r>
      <w:r>
        <w:rPr>
          <w:szCs w:val="24"/>
        </w:rPr>
        <w:t>systèmes</w:t>
      </w:r>
      <w:r w:rsidRPr="00292826">
        <w:rPr>
          <w:szCs w:val="24"/>
        </w:rPr>
        <w:t xml:space="preserve"> hertziens </w:t>
      </w:r>
      <w:r>
        <w:rPr>
          <w:szCs w:val="24"/>
        </w:rPr>
        <w:t xml:space="preserve">fixes </w:t>
      </w:r>
      <w:r w:rsidRPr="00292826">
        <w:rPr>
          <w:szCs w:val="24"/>
        </w:rPr>
        <w:t>numériques à une seule porteuse et à plusieurs porteuses (multiporteuses) sont, les uns et les autres, des moyens utiles pour l'obtention du meilleur compromis technique et économique en matière de conception des systèmes,</w:t>
      </w:r>
    </w:p>
    <w:p w:rsidR="004C3CEF" w:rsidRPr="00292826" w:rsidRDefault="004C3CEF" w:rsidP="004C3CEF">
      <w:pPr>
        <w:pStyle w:val="Call"/>
      </w:pPr>
      <w:r w:rsidRPr="00292826">
        <w:rPr>
          <w:szCs w:val="24"/>
        </w:rPr>
        <w:t>recommande</w:t>
      </w:r>
    </w:p>
    <w:p w:rsidR="004C3CEF" w:rsidRDefault="004C3CEF" w:rsidP="004C3CEF">
      <w:r>
        <w:rPr>
          <w:b/>
        </w:rPr>
        <w:t>1</w:t>
      </w:r>
      <w:r>
        <w:tab/>
        <w:t xml:space="preserve">que la disposition préférée des canaux radioélectriques, pour les systèmes hertziens fixes numériques de grande capacité </w:t>
      </w:r>
      <w:r>
        <w:rPr>
          <w:szCs w:val="24"/>
        </w:rPr>
        <w:t>ayant des débits binaires d'au moins</w:t>
      </w:r>
      <w:r w:rsidRPr="00292826">
        <w:rPr>
          <w:szCs w:val="24"/>
        </w:rPr>
        <w:t xml:space="preserve"> 90 Mbit/s</w:t>
      </w:r>
      <w:r>
        <w:t>, qui transmettent des signaux de la hiérarchie numérique plésiochrone ou synchrone (Note 1) et fonctionnent dans la bande des 5 GHz, soit établie à partir d'une structure homogène présentant les caractéristiques suivantes:</w:t>
      </w:r>
    </w:p>
    <w:p w:rsidR="004C3CEF" w:rsidRDefault="004C3CEF" w:rsidP="00A30ED8">
      <w:r>
        <w:t xml:space="preserve">fréquences centrales </w:t>
      </w:r>
      <w:r>
        <w:rPr>
          <w:i/>
        </w:rPr>
        <w:t>f</w:t>
      </w:r>
      <w:r>
        <w:rPr>
          <w:i/>
          <w:position w:val="-4"/>
          <w:sz w:val="16"/>
        </w:rPr>
        <w:t>p</w:t>
      </w:r>
      <w:r>
        <w:t xml:space="preserve"> des canaux radioélectriques dans la structure de base:</w:t>
      </w:r>
    </w:p>
    <w:p w:rsidR="004C3CEF" w:rsidRPr="00250BD3" w:rsidRDefault="004C3CEF" w:rsidP="00547665">
      <w:pPr>
        <w:pStyle w:val="Blanc"/>
        <w:rPr>
          <w:lang w:val="fr-CH"/>
        </w:rPr>
      </w:pPr>
    </w:p>
    <w:p w:rsidR="004C3CEF" w:rsidRDefault="004C3CEF" w:rsidP="00A30ED8">
      <w:pPr>
        <w:pStyle w:val="Equation"/>
      </w:pPr>
      <w:r>
        <w:tab/>
      </w:r>
      <w:r>
        <w:tab/>
      </w:r>
      <w:r>
        <w:rPr>
          <w:i/>
        </w:rPr>
        <w:t>f</w:t>
      </w:r>
      <w:r>
        <w:rPr>
          <w:i/>
          <w:position w:val="-4"/>
          <w:sz w:val="18"/>
        </w:rPr>
        <w:t>p</w:t>
      </w:r>
      <w:r>
        <w:t xml:space="preserve">  </w:t>
      </w:r>
      <w:r>
        <w:rPr>
          <w:rFonts w:ascii="Symbol" w:hAnsi="Symbol"/>
        </w:rPr>
        <w:t></w:t>
      </w:r>
      <w:r>
        <w:t xml:space="preserve">  5</w:t>
      </w:r>
      <w:r>
        <w:rPr>
          <w:sz w:val="12"/>
        </w:rPr>
        <w:t> </w:t>
      </w:r>
      <w:r>
        <w:t xml:space="preserve">000  –  10 </w:t>
      </w:r>
      <w:r>
        <w:rPr>
          <w:i/>
        </w:rPr>
        <w:t>p</w:t>
      </w:r>
      <w:r>
        <w:t>               MHz</w:t>
      </w:r>
    </w:p>
    <w:p w:rsidR="004C3CEF" w:rsidRPr="00250BD3" w:rsidRDefault="004C3CEF" w:rsidP="00547665">
      <w:pPr>
        <w:pStyle w:val="Blanc"/>
        <w:rPr>
          <w:lang w:val="fr-CH"/>
        </w:rPr>
      </w:pPr>
    </w:p>
    <w:p w:rsidR="004C3CEF" w:rsidRDefault="004C3CEF" w:rsidP="00A30ED8">
      <w:r>
        <w:t xml:space="preserve">avec </w:t>
      </w:r>
      <w:r>
        <w:rPr>
          <w:i/>
        </w:rPr>
        <w:t>p</w:t>
      </w:r>
      <w:r>
        <w:t xml:space="preserve">, entier </w:t>
      </w:r>
      <w:r>
        <w:rPr>
          <w:rFonts w:ascii="Symbol" w:hAnsi="Symbol"/>
        </w:rPr>
        <w:t></w:t>
      </w:r>
      <w:r>
        <w:t xml:space="preserve"> 1, 2, 3 ... (Note 2);</w:t>
      </w:r>
    </w:p>
    <w:p w:rsidR="004C3CEF" w:rsidRDefault="004C3CEF" w:rsidP="004C3CEF">
      <w:r>
        <w:rPr>
          <w:b/>
        </w:rPr>
        <w:lastRenderedPageBreak/>
        <w:t>2</w:t>
      </w:r>
      <w:r>
        <w:tab/>
        <w:t>que tous les canaux aller soient situés dans une moitié de la bande et tous les canaux retour dans l'autre moitié;</w:t>
      </w:r>
    </w:p>
    <w:p w:rsidR="004C3CEF" w:rsidRDefault="004C3CEF" w:rsidP="004C3CEF">
      <w:r>
        <w:rPr>
          <w:b/>
        </w:rPr>
        <w:t>3</w:t>
      </w:r>
      <w:r>
        <w:tab/>
        <w:t xml:space="preserve">que l'espacement des canaux </w:t>
      </w:r>
      <w:r>
        <w:rPr>
          <w:i/>
        </w:rPr>
        <w:t>XS</w:t>
      </w:r>
      <w:r>
        <w:t xml:space="preserve">, l'intervalle central </w:t>
      </w:r>
      <w:r>
        <w:rPr>
          <w:i/>
        </w:rPr>
        <w:t>YS</w:t>
      </w:r>
      <w:r>
        <w:t xml:space="preserve">, les espacements de garde </w:t>
      </w:r>
      <w:r>
        <w:rPr>
          <w:i/>
        </w:rPr>
        <w:t>Z</w:t>
      </w:r>
      <w:r>
        <w:rPr>
          <w:position w:val="-4"/>
          <w:sz w:val="16"/>
        </w:rPr>
        <w:t>1</w:t>
      </w:r>
      <w:r>
        <w:rPr>
          <w:i/>
        </w:rPr>
        <w:t>S</w:t>
      </w:r>
      <w:r>
        <w:t xml:space="preserve"> et </w:t>
      </w:r>
      <w:r>
        <w:rPr>
          <w:i/>
        </w:rPr>
        <w:t>Z</w:t>
      </w:r>
      <w:r>
        <w:rPr>
          <w:position w:val="-4"/>
          <w:sz w:val="16"/>
        </w:rPr>
        <w:t>2</w:t>
      </w:r>
      <w:r>
        <w:rPr>
          <w:i/>
        </w:rPr>
        <w:t>S</w:t>
      </w:r>
      <w:r>
        <w:t xml:space="preserve"> aux bords inférieur et supérieur de la bande et la polarisation de l'antenne soient fixés d'un commun accord entre les administrations concernées;</w:t>
      </w:r>
    </w:p>
    <w:p w:rsidR="004C3CEF" w:rsidRDefault="004C3CEF" w:rsidP="004C3CEF">
      <w:r>
        <w:rPr>
          <w:b/>
        </w:rPr>
        <w:t>4</w:t>
      </w:r>
      <w:r>
        <w:tab/>
        <w:t>que le plan de disposition alternée ou dans le même canal soit utilisé, conformément aux exemples présentés à la Fig. 1;</w:t>
      </w:r>
    </w:p>
    <w:p w:rsidR="004C3CEF" w:rsidRDefault="004C3CEF" w:rsidP="004C3CEF">
      <w:r>
        <w:rPr>
          <w:b/>
        </w:rPr>
        <w:t>5</w:t>
      </w:r>
      <w:r>
        <w:tab/>
        <w:t xml:space="preserve">que les dispositions de canaux radioélectriques établies d'après le § 1 du </w:t>
      </w:r>
      <w:r>
        <w:rPr>
          <w:i/>
        </w:rPr>
        <w:t>recommande</w:t>
      </w:r>
      <w:r>
        <w:t xml:space="preserve"> pour la bande des 5 GHz et indiquées aux Annexes 1 et 2 soient considérées comme faisant partie intégrante de la présente Recommandation;</w:t>
      </w:r>
    </w:p>
    <w:p w:rsidR="004C3CEF" w:rsidRDefault="004C3CEF" w:rsidP="004C3CEF">
      <w:r>
        <w:rPr>
          <w:b/>
        </w:rPr>
        <w:t>6</w:t>
      </w:r>
      <w:r>
        <w:tab/>
        <w:t xml:space="preserve">que, dans le cas d'une transmission multiporteuses (Note 3 et Annexe 1, § 2), l'ensemble des </w:t>
      </w:r>
      <w:r>
        <w:rPr>
          <w:i/>
        </w:rPr>
        <w:t>n</w:t>
      </w:r>
      <w:r>
        <w:t xml:space="preserve"> porteuses soit considéré comme un seul canal; la fréquence centrale et l'espacement entre canaux sont alors définis conformément à la Fig. 1, quelle que soit la fréquence centrale réelle des porteuses, qui peut varier pour des raisons techniques, en fonction de leur réalisation pratique.</w:t>
      </w:r>
    </w:p>
    <w:p w:rsidR="004C3CEF" w:rsidRDefault="004C3CEF" w:rsidP="004C3CEF">
      <w:r>
        <w:t>NOTE 1 – Les débits binaires bruts réels, bits supplémentaires compris, peuvent dépasser de 5% ou davantage les débits de transmission nets.</w:t>
      </w:r>
    </w:p>
    <w:p w:rsidR="004C3CEF" w:rsidRDefault="004C3CEF" w:rsidP="004C3CEF">
      <w:r>
        <w:t>NOTE 2 – Il convient de prendre dûment en considération le fait, que dans certains pays où l'utilisation de canaux radioélectriques supplémentaires entrelacés avec ceux des structures de base s'avère indispensable, les fréquences centrales des canaux radioélectriques en question devraient être données par la formule (voir les Annexes 1 et 2):</w:t>
      </w:r>
    </w:p>
    <w:p w:rsidR="004C3CEF" w:rsidRPr="00250BD3" w:rsidRDefault="004C3CEF" w:rsidP="004C3CEF">
      <w:pPr>
        <w:pStyle w:val="Blanc"/>
        <w:rPr>
          <w:lang w:val="fr-CH"/>
        </w:rPr>
      </w:pPr>
    </w:p>
    <w:p w:rsidR="004C3CEF" w:rsidRDefault="004C3CEF" w:rsidP="004C3CEF">
      <w:pPr>
        <w:pStyle w:val="Equation"/>
      </w:pPr>
      <w:r>
        <w:rPr>
          <w:i/>
        </w:rPr>
        <w:tab/>
      </w:r>
      <w:r>
        <w:rPr>
          <w:i/>
        </w:rPr>
        <w:tab/>
        <w:t>f</w:t>
      </w:r>
      <w:r>
        <w:rPr>
          <w:i/>
          <w:position w:val="-4"/>
          <w:sz w:val="16"/>
        </w:rPr>
        <w:t>p</w:t>
      </w:r>
      <w:r>
        <w:t xml:space="preserve">  </w:t>
      </w:r>
      <w:r>
        <w:rPr>
          <w:rFonts w:ascii="Symbol" w:hAnsi="Symbol"/>
        </w:rPr>
        <w:t></w:t>
      </w:r>
      <w:r>
        <w:t xml:space="preserve">  4</w:t>
      </w:r>
      <w:r>
        <w:rPr>
          <w:sz w:val="12"/>
        </w:rPr>
        <w:t> </w:t>
      </w:r>
      <w:r>
        <w:t xml:space="preserve">995  –  10 </w:t>
      </w:r>
      <w:r>
        <w:rPr>
          <w:i/>
        </w:rPr>
        <w:t>p</w:t>
      </w:r>
      <w:r>
        <w:t>               MHz</w:t>
      </w:r>
    </w:p>
    <w:p w:rsidR="004C3CEF" w:rsidRPr="00250BD3" w:rsidRDefault="004C3CEF" w:rsidP="004C3CEF">
      <w:pPr>
        <w:pStyle w:val="Blanc"/>
        <w:rPr>
          <w:lang w:val="fr-CH"/>
        </w:rPr>
      </w:pPr>
    </w:p>
    <w:p w:rsidR="004C3CEF" w:rsidRDefault="004C3CEF" w:rsidP="004C3CEF">
      <w:r>
        <w:t xml:space="preserve">NOTE 3 – Un système multiporteuses est un système dans lequel </w:t>
      </w:r>
      <w:r>
        <w:rPr>
          <w:i/>
        </w:rPr>
        <w:t>n</w:t>
      </w:r>
      <w:r>
        <w:t xml:space="preserve"> signaux de porteuses à modulation numérique (</w:t>
      </w:r>
      <w:r>
        <w:rPr>
          <w:i/>
        </w:rPr>
        <w:t>n</w:t>
      </w:r>
      <w:r>
        <w:t> </w:t>
      </w:r>
      <w:r>
        <w:rPr>
          <w:rFonts w:ascii="Symbol" w:hAnsi="Symbol"/>
        </w:rPr>
        <w:t></w:t>
      </w:r>
      <w:r>
        <w:t xml:space="preserve"> 1) sont émis (ou reçus) simultanément par le même équipement radiofréquences. La fréquence centrale doit être considérée comme la moyenne arithmétique des </w:t>
      </w:r>
      <w:r>
        <w:rPr>
          <w:i/>
        </w:rPr>
        <w:t>n</w:t>
      </w:r>
      <w:r>
        <w:t xml:space="preserve"> fréquences porteuses du système multiporteuses.</w:t>
      </w:r>
    </w:p>
    <w:p w:rsidR="004C3CEF" w:rsidRDefault="004C3CEF" w:rsidP="004C3CEF">
      <w:r>
        <w:t>NOTE 4 – Il faut tenir compte du fait que certains pays utilisent une disposition des canaux radioélectriques différente, fondée sur un espacement entre canaux de 28 MHz (voir l'Annexe 3).</w:t>
      </w:r>
    </w:p>
    <w:p w:rsidR="004C3CEF" w:rsidRDefault="004C3CEF" w:rsidP="004C3CEF">
      <w:pPr>
        <w:pStyle w:val="FigureNo"/>
      </w:pPr>
      <w:r>
        <w:lastRenderedPageBreak/>
        <w:t>figure 1</w:t>
      </w:r>
    </w:p>
    <w:p w:rsidR="004C3CEF" w:rsidRDefault="004C3CEF" w:rsidP="004C3CEF">
      <w:pPr>
        <w:pStyle w:val="Figuretitle"/>
        <w:keepLines/>
        <w:spacing w:after="0"/>
      </w:pPr>
      <w:r>
        <w:t>Exemples de dispositions de canaux fondées sur les § 1 et 2 du recommande</w:t>
      </w:r>
    </w:p>
    <w:p w:rsidR="004C3CEF" w:rsidRDefault="004C3CEF" w:rsidP="00B060F7">
      <w:pPr>
        <w:keepNext/>
        <w:keepLines/>
        <w:jc w:val="center"/>
        <w:rPr>
          <w:sz w:val="20"/>
        </w:rPr>
      </w:pPr>
      <w:r w:rsidRPr="00A758D0">
        <w:rPr>
          <w:sz w:val="20"/>
        </w:rPr>
        <w:t xml:space="preserve">(Les définitions de </w:t>
      </w:r>
      <w:r w:rsidRPr="00A758D0">
        <w:rPr>
          <w:i/>
          <w:iCs/>
          <w:sz w:val="20"/>
        </w:rPr>
        <w:t>X</w:t>
      </w:r>
      <w:r w:rsidRPr="00A758D0">
        <w:rPr>
          <w:sz w:val="20"/>
        </w:rPr>
        <w:t xml:space="preserve">, </w:t>
      </w:r>
      <w:r w:rsidRPr="00A758D0">
        <w:rPr>
          <w:i/>
          <w:iCs/>
          <w:sz w:val="20"/>
        </w:rPr>
        <w:t>Y</w:t>
      </w:r>
      <w:r w:rsidRPr="00A758D0">
        <w:rPr>
          <w:sz w:val="20"/>
        </w:rPr>
        <w:t xml:space="preserve">, </w:t>
      </w:r>
      <w:r w:rsidRPr="00A758D0">
        <w:rPr>
          <w:i/>
          <w:iCs/>
          <w:sz w:val="20"/>
        </w:rPr>
        <w:t>Z</w:t>
      </w:r>
      <w:r w:rsidRPr="00A758D0">
        <w:rPr>
          <w:sz w:val="20"/>
        </w:rPr>
        <w:t xml:space="preserve"> et </w:t>
      </w:r>
      <w:r w:rsidRPr="00A758D0">
        <w:rPr>
          <w:i/>
          <w:iCs/>
          <w:sz w:val="20"/>
        </w:rPr>
        <w:t>S</w:t>
      </w:r>
      <w:r w:rsidRPr="00A758D0">
        <w:rPr>
          <w:sz w:val="20"/>
        </w:rPr>
        <w:t xml:space="preserve"> figurent dans la Recommandation UIT</w:t>
      </w:r>
      <w:r w:rsidRPr="00A758D0">
        <w:rPr>
          <w:sz w:val="20"/>
        </w:rPr>
        <w:noBreakHyphen/>
        <w:t>R F.746)</w:t>
      </w:r>
    </w:p>
    <w:p w:rsidR="004C3CEF" w:rsidRPr="00A758D0" w:rsidRDefault="007C6ACD" w:rsidP="004C3CEF">
      <w:pPr>
        <w:pStyle w:val="Figure"/>
        <w:spacing w:before="240"/>
      </w:pPr>
      <w:r>
        <w:object w:dxaOrig="11671" w:dyaOrig="7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68.7pt;height:293.8pt" o:ole="">
            <v:imagedata r:id="rId14" o:title=""/>
          </v:shape>
          <o:OLEObject Type="Embed" ProgID="CorelDRAW.Graphic.14" ShapeID="_x0000_i1038" DrawAspect="Content" ObjectID="_1466340585" r:id="rId15"/>
        </w:object>
      </w:r>
    </w:p>
    <w:p w:rsidR="004C3CEF" w:rsidRDefault="004C3CEF" w:rsidP="004C3CEF"/>
    <w:p w:rsidR="00547665" w:rsidRDefault="00547665" w:rsidP="004C3CEF"/>
    <w:p w:rsidR="004C3CEF" w:rsidRDefault="004C3CEF" w:rsidP="004C3CEF">
      <w:pPr>
        <w:pStyle w:val="AnnexNoTitle"/>
      </w:pPr>
      <w:r>
        <w:t>Annexe 1</w:t>
      </w:r>
      <w:r>
        <w:br/>
      </w:r>
      <w:r>
        <w:br/>
        <w:t>Disposition des canaux radioélectriques pour la bande 4</w:t>
      </w:r>
      <w:r>
        <w:rPr>
          <w:rFonts w:ascii="Tms Rmn" w:hAnsi="Tms Rmn"/>
          <w:sz w:val="12"/>
        </w:rPr>
        <w:t> </w:t>
      </w:r>
      <w:r>
        <w:t>400-5</w:t>
      </w:r>
      <w:r>
        <w:rPr>
          <w:rFonts w:ascii="Tms Rmn" w:hAnsi="Tms Rmn"/>
          <w:sz w:val="12"/>
        </w:rPr>
        <w:t> </w:t>
      </w:r>
      <w:r>
        <w:t>000 MHz</w:t>
      </w:r>
      <w:r>
        <w:br/>
        <w:t>avec des espacements entre canaux de 40 ou 80 MHz</w:t>
      </w:r>
    </w:p>
    <w:p w:rsidR="004C3CEF" w:rsidRDefault="004C3CEF" w:rsidP="004C3CEF">
      <w:pPr>
        <w:pStyle w:val="Heading1"/>
      </w:pPr>
      <w:r>
        <w:t>1</w:t>
      </w:r>
      <w:r>
        <w:tab/>
        <w:t>Disposition des canaux radioélectriques avec un espacement de 40 MHz</w:t>
      </w:r>
    </w:p>
    <w:p w:rsidR="004C3CEF" w:rsidRDefault="004C3CEF" w:rsidP="004C3CEF">
      <w:r>
        <w:rPr>
          <w:b/>
        </w:rPr>
        <w:t>1.1</w:t>
      </w:r>
      <w:r>
        <w:tab/>
        <w:t>La disposition suivante des canaux radioélectriques offre sept canaux aller et sept canaux retour dont la capacité de transmission peut atteindre 2 </w:t>
      </w:r>
      <w:r>
        <w:rPr>
          <w:rFonts w:ascii="Symbol" w:hAnsi="Symbol"/>
        </w:rPr>
        <w:t></w:t>
      </w:r>
      <w:r>
        <w:t> 155 Mbit/s pour des systèmes radioélectriques avec une modulation de niveau supérieur appropriée et un rendement spectral pouvant aller jusqu'à 7,75 bit/s/Hz. La disposition des canaux radioélectriques devrait être telle que représentée sur la Fig. 2 et devrait se calculer comme suit:</w:t>
      </w:r>
    </w:p>
    <w:p w:rsidR="004C3CEF" w:rsidRDefault="004C3CEF" w:rsidP="004C3CEF">
      <w:pPr>
        <w:pStyle w:val="enumlev1"/>
        <w:rPr>
          <w:rFonts w:ascii="Tms Rmn" w:hAnsi="Tms Rmn"/>
        </w:rPr>
      </w:pPr>
      <w:r>
        <w:t>soit</w:t>
      </w:r>
      <w:r>
        <w:tab/>
      </w:r>
      <w:r>
        <w:rPr>
          <w:i/>
        </w:rPr>
        <w:t>f</w:t>
      </w:r>
      <w:r>
        <w:rPr>
          <w:position w:val="-4"/>
          <w:sz w:val="16"/>
        </w:rPr>
        <w:t>0</w:t>
      </w:r>
      <w:r>
        <w:tab/>
        <w:t xml:space="preserve">la fréquence (MHz) au centre de la bande occupée, </w:t>
      </w:r>
      <w:r>
        <w:rPr>
          <w:i/>
        </w:rPr>
        <w:t>f</w:t>
      </w:r>
      <w:r>
        <w:rPr>
          <w:position w:val="-4"/>
          <w:sz w:val="16"/>
        </w:rPr>
        <w:t>0</w:t>
      </w:r>
      <w:r>
        <w:t> </w:t>
      </w:r>
      <w:r>
        <w:rPr>
          <w:rFonts w:ascii="Symbol" w:hAnsi="Symbol"/>
        </w:rPr>
        <w:t></w:t>
      </w:r>
      <w:r>
        <w:t> 4</w:t>
      </w:r>
      <w:r>
        <w:rPr>
          <w:rFonts w:ascii="Tms Rmn" w:hAnsi="Tms Rmn"/>
          <w:sz w:val="12"/>
        </w:rPr>
        <w:t> </w:t>
      </w:r>
      <w:r>
        <w:rPr>
          <w:rFonts w:ascii="Tms Rmn" w:hAnsi="Tms Rmn"/>
        </w:rPr>
        <w:t>700,</w:t>
      </w:r>
    </w:p>
    <w:p w:rsidR="004C3CEF" w:rsidRDefault="004C3CEF" w:rsidP="004C3CEF">
      <w:pPr>
        <w:pStyle w:val="enumlev1"/>
        <w:ind w:left="1191" w:hanging="1191"/>
      </w:pPr>
      <w:r>
        <w:rPr>
          <w:i/>
        </w:rPr>
        <w:tab/>
        <w:t>f</w:t>
      </w:r>
      <w:r>
        <w:rPr>
          <w:i/>
          <w:position w:val="-4"/>
          <w:sz w:val="16"/>
        </w:rPr>
        <w:t>n</w:t>
      </w:r>
      <w:r>
        <w:tab/>
        <w:t>la fréquence centrale d'un canal radioélectrique dans la moitié inférieure de la bande (MHz),</w:t>
      </w:r>
    </w:p>
    <w:p w:rsidR="004C3CEF" w:rsidRDefault="004C3CEF" w:rsidP="004C3CEF">
      <w:pPr>
        <w:pStyle w:val="enumlev1"/>
        <w:ind w:left="1191" w:hanging="1191"/>
      </w:pPr>
      <w:r>
        <w:tab/>
      </w:r>
      <w:r>
        <w:fldChar w:fldCharType="begin"/>
      </w:r>
      <w:r>
        <w:instrText xml:space="preserve">eq </w:instrText>
      </w:r>
      <w:r>
        <w:rPr>
          <w:i/>
        </w:rPr>
        <w:instrText>f</w:instrText>
      </w:r>
      <w:r>
        <w:instrText xml:space="preserve">\s\up( </w:instrText>
      </w:r>
      <w:r>
        <w:rPr>
          <w:rFonts w:ascii="Symbol" w:hAnsi="Symbol"/>
        </w:rPr>
        <w:instrText>¢</w:instrText>
      </w:r>
      <w:r>
        <w:instrText>)\d\ba6()\s\do2( ,</w:instrText>
      </w:r>
      <w:r>
        <w:rPr>
          <w:i/>
          <w:sz w:val="16"/>
        </w:rPr>
        <w:instrText>n</w:instrText>
      </w:r>
      <w:r>
        <w:instrText>)</w:instrText>
      </w:r>
      <w:r>
        <w:fldChar w:fldCharType="end"/>
      </w:r>
      <w:r>
        <w:tab/>
        <w:t>la fréquence centrale d'un canal radioélectrique dans la moitié supérieure de la bande (MHz),</w:t>
      </w:r>
    </w:p>
    <w:p w:rsidR="004C3CEF" w:rsidRDefault="004C3CEF" w:rsidP="00547665">
      <w:pPr>
        <w:keepNext/>
        <w:keepLines/>
      </w:pPr>
      <w:r>
        <w:lastRenderedPageBreak/>
        <w:t>les fréquences des différents canaux sont exprimées par les relations suivantes:</w:t>
      </w:r>
    </w:p>
    <w:p w:rsidR="004C3CEF" w:rsidRPr="008A4CA3" w:rsidRDefault="004C3CEF" w:rsidP="00547665">
      <w:pPr>
        <w:pStyle w:val="enumlev1"/>
        <w:keepNext/>
        <w:keepLines/>
        <w:tabs>
          <w:tab w:val="left" w:pos="4140"/>
        </w:tabs>
      </w:pPr>
      <w:r w:rsidRPr="008A4CA3">
        <w:tab/>
        <w:t>moitié inférieure de la bande:</w:t>
      </w:r>
      <w:r w:rsidRPr="008A4CA3">
        <w:tab/>
      </w:r>
      <w:r>
        <w:t xml:space="preserve">  </w:t>
      </w:r>
      <w:r w:rsidRPr="008A4CA3">
        <w:rPr>
          <w:i/>
        </w:rPr>
        <w:t>f</w:t>
      </w:r>
      <w:r w:rsidRPr="008A4CA3">
        <w:rPr>
          <w:i/>
          <w:position w:val="-4"/>
          <w:sz w:val="16"/>
        </w:rPr>
        <w:t>n</w:t>
      </w:r>
      <w:r w:rsidRPr="00282BDC">
        <w:t xml:space="preserve"> </w:t>
      </w:r>
      <w:r>
        <w:rPr>
          <w:rFonts w:ascii="Symbol" w:hAnsi="Symbol"/>
        </w:rPr>
        <w:t></w:t>
      </w:r>
      <w:r w:rsidRPr="009D2E38">
        <w:t xml:space="preserve"> </w:t>
      </w:r>
      <w:r w:rsidRPr="008A4CA3">
        <w:rPr>
          <w:i/>
        </w:rPr>
        <w:t>f</w:t>
      </w:r>
      <w:r w:rsidRPr="008A4CA3">
        <w:rPr>
          <w:position w:val="-4"/>
          <w:sz w:val="16"/>
        </w:rPr>
        <w:t>0</w:t>
      </w:r>
      <w:r w:rsidRPr="008A4CA3">
        <w:t> – 310 </w:t>
      </w:r>
      <w:r>
        <w:rPr>
          <w:rFonts w:ascii="Symbol" w:hAnsi="Symbol"/>
        </w:rPr>
        <w:t></w:t>
      </w:r>
      <w:r w:rsidRPr="008A4CA3">
        <w:t> 40 </w:t>
      </w:r>
      <w:r w:rsidRPr="008A4CA3">
        <w:rPr>
          <w:i/>
        </w:rPr>
        <w:t>n</w:t>
      </w:r>
      <w:r>
        <w:rPr>
          <w:i/>
        </w:rPr>
        <w:tab/>
        <w:t xml:space="preserve">         </w:t>
      </w:r>
      <w:r w:rsidRPr="008A4CA3">
        <w:t>MHz</w:t>
      </w:r>
    </w:p>
    <w:p w:rsidR="004C3CEF" w:rsidRPr="008A4CA3" w:rsidRDefault="004C3CEF" w:rsidP="00547665">
      <w:pPr>
        <w:pStyle w:val="enumlev1"/>
        <w:keepNext/>
        <w:keepLines/>
        <w:tabs>
          <w:tab w:val="left" w:pos="4140"/>
        </w:tabs>
      </w:pPr>
      <w:r w:rsidRPr="008A4CA3">
        <w:tab/>
        <w:t>moitié supérieure de la bande:</w:t>
      </w:r>
      <w:r w:rsidRPr="008A4CA3">
        <w:tab/>
      </w:r>
      <w:r w:rsidRPr="002A28ED">
        <w:rPr>
          <w:position w:val="-12"/>
        </w:rPr>
        <w:object w:dxaOrig="300" w:dyaOrig="360">
          <v:shape id="_x0000_i1026" type="#_x0000_t75" style="width:15.45pt;height:18.35pt" o:ole="" o:allowoverlap="f">
            <v:imagedata r:id="rId16" o:title=""/>
          </v:shape>
          <o:OLEObject Type="Embed" ProgID="Equation.3" ShapeID="_x0000_i1026" DrawAspect="Content" ObjectID="_1466340586" r:id="rId17"/>
        </w:object>
      </w:r>
      <w:r>
        <w:t xml:space="preserve"> </w:t>
      </w:r>
      <w:r>
        <w:rPr>
          <w:rFonts w:ascii="Symbol" w:hAnsi="Symbol"/>
        </w:rPr>
        <w:t></w:t>
      </w:r>
      <w:r w:rsidRPr="009D2E38">
        <w:t xml:space="preserve"> </w:t>
      </w:r>
      <w:r w:rsidRPr="008A4CA3">
        <w:rPr>
          <w:i/>
        </w:rPr>
        <w:t>f</w:t>
      </w:r>
      <w:r w:rsidRPr="008A4CA3">
        <w:rPr>
          <w:position w:val="-4"/>
          <w:sz w:val="16"/>
        </w:rPr>
        <w:t>0</w:t>
      </w:r>
      <w:r w:rsidRPr="008A4CA3">
        <w:t> – 10 </w:t>
      </w:r>
      <w:r>
        <w:rPr>
          <w:rFonts w:ascii="Symbol" w:hAnsi="Symbol"/>
        </w:rPr>
        <w:t></w:t>
      </w:r>
      <w:r w:rsidRPr="008A4CA3">
        <w:t> 40 </w:t>
      </w:r>
      <w:r w:rsidRPr="008A4CA3">
        <w:rPr>
          <w:i/>
        </w:rPr>
        <w:t>n</w:t>
      </w:r>
      <w:r>
        <w:rPr>
          <w:i/>
        </w:rPr>
        <w:tab/>
        <w:t xml:space="preserve">         </w:t>
      </w:r>
      <w:r w:rsidRPr="008A4CA3">
        <w:t>MHz</w:t>
      </w:r>
    </w:p>
    <w:p w:rsidR="004C3CEF" w:rsidRDefault="004C3CEF" w:rsidP="004C3CEF">
      <w:r>
        <w:t>où:</w:t>
      </w:r>
    </w:p>
    <w:p w:rsidR="004C3CEF" w:rsidRDefault="004C3CEF" w:rsidP="004C3CEF">
      <w:pPr>
        <w:pStyle w:val="enumlev1"/>
      </w:pPr>
      <w:r>
        <w:rPr>
          <w:i/>
        </w:rPr>
        <w:tab/>
        <w:t>n</w:t>
      </w:r>
      <w:r>
        <w:t> </w:t>
      </w:r>
      <w:r>
        <w:rPr>
          <w:rFonts w:ascii="Symbol" w:hAnsi="Symbol"/>
        </w:rPr>
        <w:t></w:t>
      </w:r>
      <w:r>
        <w:t> 1, 2, 3, 4, 5, 6 ou 7.</w:t>
      </w:r>
    </w:p>
    <w:p w:rsidR="004C3CEF" w:rsidRDefault="004C3CEF" w:rsidP="004C3CEF">
      <w:pPr>
        <w:pStyle w:val="FigureNo"/>
      </w:pPr>
      <w:r>
        <w:t>figure 2</w:t>
      </w:r>
    </w:p>
    <w:p w:rsidR="004C3CEF" w:rsidRDefault="004C3CEF" w:rsidP="00B060F7">
      <w:pPr>
        <w:pStyle w:val="Figuretitle"/>
      </w:pPr>
      <w:r>
        <w:t xml:space="preserve">Disposition des canaux radioélectriques pour les faisceaux hertziens </w:t>
      </w:r>
      <w:r w:rsidR="00B060F7">
        <w:br/>
      </w:r>
      <w:r>
        <w:t xml:space="preserve">fonctionnant dans la bande des 5 GHz </w:t>
      </w:r>
      <w:r w:rsidRPr="00123D09">
        <w:rPr>
          <w:rFonts w:ascii="Times New Roman"/>
          <w:b w:val="0"/>
        </w:rPr>
        <w:t>(voir la Note 1)</w:t>
      </w:r>
    </w:p>
    <w:p w:rsidR="004C3CEF" w:rsidRPr="00981D3B" w:rsidRDefault="004C3CEF" w:rsidP="004C3CEF">
      <w:pPr>
        <w:spacing w:before="0" w:after="120"/>
        <w:jc w:val="center"/>
        <w:rPr>
          <w:sz w:val="20"/>
        </w:rPr>
      </w:pPr>
      <w:r w:rsidRPr="00981D3B">
        <w:rPr>
          <w:sz w:val="20"/>
        </w:rPr>
        <w:t>(Fréquences en MHz)</w:t>
      </w:r>
    </w:p>
    <w:p w:rsidR="004C3CEF" w:rsidRDefault="007C6ACD" w:rsidP="004C3CEF">
      <w:pPr>
        <w:pStyle w:val="Figure"/>
        <w:spacing w:before="120"/>
      </w:pPr>
      <w:r>
        <w:object w:dxaOrig="6741" w:dyaOrig="3160">
          <v:shape id="_x0000_i1027" type="#_x0000_t75" style="width:397.2pt;height:186.05pt" o:ole="">
            <v:imagedata r:id="rId18" o:title=""/>
          </v:shape>
          <o:OLEObject Type="Embed" ProgID="CorelDRAW.Graphic.14" ShapeID="_x0000_i1027" DrawAspect="Content" ObjectID="_1466340587" r:id="rId19"/>
        </w:object>
      </w:r>
    </w:p>
    <w:p w:rsidR="004C3CEF" w:rsidRPr="00341B65" w:rsidRDefault="004C3CEF" w:rsidP="00392220">
      <w:pPr>
        <w:pStyle w:val="Figurelegend"/>
        <w:spacing w:before="240"/>
        <w:rPr>
          <w:b/>
          <w:lang w:val="fr-CH"/>
        </w:rPr>
      </w:pPr>
      <w:r w:rsidRPr="00341B65">
        <w:rPr>
          <w:i/>
          <w:iCs/>
        </w:rPr>
        <w:t>Note 1</w:t>
      </w:r>
      <w:r w:rsidRPr="00341B65">
        <w:t xml:space="preserve"> – Lorsqu'un plus petit nombre de canaux radioélectriques (quatre ou moins) est initialement prévu ou requis, les paires de canaux aller et retour assignés peuvent employer la même polarisation. </w:t>
      </w:r>
      <w:r w:rsidRPr="00341B65">
        <w:rPr>
          <w:lang w:val="fr-CH"/>
        </w:rPr>
        <w:t>Dans ce cas, on utilise uniquement les canaux pairs ou les canaux impairs.</w:t>
      </w:r>
    </w:p>
    <w:p w:rsidR="004C3CEF" w:rsidRDefault="004C3CEF" w:rsidP="00392220">
      <w:pPr>
        <w:pStyle w:val="Normalaftertitle"/>
      </w:pPr>
      <w:r>
        <w:rPr>
          <w:b/>
        </w:rPr>
        <w:t>1.2</w:t>
      </w:r>
      <w:r>
        <w:tab/>
        <w:t>Tous les canaux aller devraient être situés dans une moitié de la bande et tous les canaux retour dans l'autre moitié.</w:t>
      </w:r>
    </w:p>
    <w:p w:rsidR="004C3CEF" w:rsidRPr="00341B65" w:rsidRDefault="004C3CEF" w:rsidP="004C3CEF">
      <w:r>
        <w:rPr>
          <w:b/>
        </w:rPr>
        <w:t>1.3</w:t>
      </w:r>
      <w:r>
        <w:tab/>
        <w:t>Dans  une structure alternée, il convient d'utiliser des polarisations différentes pour les canaux radioélectriques situés dans la même moitié de bande ou, si cela est possible, on peut recourir à la réutilisation des bandes en mode cocanal.</w:t>
      </w:r>
    </w:p>
    <w:p w:rsidR="004C3CEF" w:rsidRDefault="004C3CEF" w:rsidP="004C3CEF">
      <w:pPr>
        <w:pStyle w:val="Heading1"/>
      </w:pPr>
      <w:r>
        <w:t>2</w:t>
      </w:r>
      <w:r>
        <w:tab/>
        <w:t>Disposition des canaux radioélectriques à double polarisation cocanal avec espacement de 80 MHz</w:t>
      </w:r>
    </w:p>
    <w:p w:rsidR="004C3CEF" w:rsidRDefault="004C3CEF" w:rsidP="004C3CEF">
      <w:r>
        <w:t>La disposition représentée dans la Fig. 3 est fondée sur l'utilisation d'un système à deux porteuses transmettant à 2 </w:t>
      </w:r>
      <w:r>
        <w:rPr>
          <w:rFonts w:ascii="Symbol" w:hAnsi="Symbol"/>
        </w:rPr>
        <w:t></w:t>
      </w:r>
      <w:r>
        <w:t> 2 </w:t>
      </w:r>
      <w:r>
        <w:rPr>
          <w:rFonts w:ascii="Symbol" w:hAnsi="Symbol"/>
        </w:rPr>
        <w:t></w:t>
      </w:r>
      <w:r>
        <w:t xml:space="preserve"> 155,52 Mbit/s (4 </w:t>
      </w:r>
      <w:r>
        <w:rPr>
          <w:rFonts w:ascii="Symbol" w:hAnsi="Symbol"/>
        </w:rPr>
        <w:t></w:t>
      </w:r>
      <w:r>
        <w:t xml:space="preserve"> STM</w:t>
      </w:r>
      <w:r>
        <w:noBreakHyphen/>
        <w:t>1) à l'aide de deux couples de porteuses auxquelles sont appliquées les deux polarisations en mode cocanal.</w:t>
      </w:r>
    </w:p>
    <w:p w:rsidR="004C3CEF" w:rsidRDefault="004C3CEF" w:rsidP="004C3CEF">
      <w:r>
        <w:t>En plus des quadruplets de porteuses transmis dans les sous</w:t>
      </w:r>
      <w:r>
        <w:noBreakHyphen/>
        <w:t>bandes aller et retour, on peut utiliser, si nécessaire, deux porteuses individuelles à polarisations croisées comme canaux de protection. Etant donné la possibilité de commuter individuellement chaque porteuse (train binaire en bande de base), cette configuration (</w:t>
      </w:r>
      <w:r>
        <w:rPr>
          <w:i/>
        </w:rPr>
        <w:t>n</w:t>
      </w:r>
      <w:r>
        <w:t> </w:t>
      </w:r>
      <w:r>
        <w:rPr>
          <w:rFonts w:ascii="Symbol" w:hAnsi="Symbol"/>
        </w:rPr>
        <w:t></w:t>
      </w:r>
      <w:r>
        <w:t> 2) est au moins aussi efficace qu'une configuration (</w:t>
      </w:r>
      <w:r>
        <w:rPr>
          <w:i/>
        </w:rPr>
        <w:t>n</w:t>
      </w:r>
      <w:r>
        <w:rPr>
          <w:rFonts w:ascii="Tms Rmn" w:hAnsi="Tms Rmn"/>
          <w:sz w:val="12"/>
        </w:rPr>
        <w:t> </w:t>
      </w:r>
      <w:r>
        <w:t>/2 </w:t>
      </w:r>
      <w:r>
        <w:rPr>
          <w:rFonts w:ascii="Symbol" w:hAnsi="Symbol"/>
        </w:rPr>
        <w:t></w:t>
      </w:r>
      <w:r>
        <w:t> 1) lorsqu'elle est utilisée pour la diversité en fréquence.</w:t>
      </w:r>
    </w:p>
    <w:p w:rsidR="004C3CEF" w:rsidRDefault="004C3CEF" w:rsidP="004C3CEF">
      <w:pPr>
        <w:pStyle w:val="FigureNo"/>
      </w:pPr>
      <w:r>
        <w:lastRenderedPageBreak/>
        <w:t>figure 3</w:t>
      </w:r>
    </w:p>
    <w:p w:rsidR="004C3CEF" w:rsidRDefault="004C3CEF" w:rsidP="004C3CEF">
      <w:pPr>
        <w:pStyle w:val="Figuretitle"/>
        <w:keepLines/>
      </w:pPr>
      <w:r>
        <w:t xml:space="preserve">Disposition des canaux radioélectriques pour un faisceau hertzien à 2 x 2 x 155,52 Mbit/s (4 x STM-1) </w:t>
      </w:r>
      <w:r>
        <w:br/>
        <w:t>fonctionnant dans la bande des 5 GHz (4 400-5 000 MHz)</w:t>
      </w:r>
    </w:p>
    <w:p w:rsidR="004C3CEF" w:rsidRPr="00981D3B" w:rsidRDefault="004C3CEF" w:rsidP="004C3CEF">
      <w:pPr>
        <w:keepNext/>
        <w:keepLines/>
        <w:spacing w:before="0" w:after="120"/>
        <w:jc w:val="center"/>
        <w:rPr>
          <w:sz w:val="20"/>
        </w:rPr>
      </w:pPr>
      <w:r w:rsidRPr="00981D3B">
        <w:rPr>
          <w:sz w:val="20"/>
        </w:rPr>
        <w:t>(Fréquences en MHz)</w:t>
      </w:r>
    </w:p>
    <w:p w:rsidR="004C3CEF" w:rsidRPr="00341B65" w:rsidRDefault="007C6ACD" w:rsidP="004C3CEF">
      <w:pPr>
        <w:pStyle w:val="Figure"/>
      </w:pPr>
      <w:r>
        <w:object w:dxaOrig="6823" w:dyaOrig="2074">
          <v:shape id="_x0000_i1028" type="#_x0000_t75" style="width:457.6pt;height:139.15pt" o:ole="">
            <v:imagedata r:id="rId20" o:title=""/>
          </v:shape>
          <o:OLEObject Type="Embed" ProgID="CorelDRAW.Graphic.14" ShapeID="_x0000_i1028" DrawAspect="Content" ObjectID="_1466340588" r:id="rId21"/>
        </w:object>
      </w:r>
    </w:p>
    <w:p w:rsidR="004C3CEF" w:rsidRDefault="004C3CEF" w:rsidP="004C3CEF"/>
    <w:p w:rsidR="004C3CEF" w:rsidRDefault="004C3CEF" w:rsidP="004C3CEF"/>
    <w:p w:rsidR="004C3CEF" w:rsidRDefault="004C3CEF" w:rsidP="004C3CEF"/>
    <w:p w:rsidR="004C3CEF" w:rsidRDefault="004C3CEF" w:rsidP="004C3CEF">
      <w:pPr>
        <w:pStyle w:val="AnnexNoTitle"/>
      </w:pPr>
      <w:r>
        <w:t>Annexe 2</w:t>
      </w:r>
      <w:r>
        <w:br/>
      </w:r>
      <w:r>
        <w:br/>
        <w:t>Disposition des canaux radioélectriques pour la bande 4</w:t>
      </w:r>
      <w:r>
        <w:rPr>
          <w:rFonts w:ascii="Tms Rmn" w:hAnsi="Tms Rmn"/>
          <w:sz w:val="12"/>
        </w:rPr>
        <w:t> </w:t>
      </w:r>
      <w:r>
        <w:t>540-4</w:t>
      </w:r>
      <w:r>
        <w:rPr>
          <w:rFonts w:ascii="Tms Rmn" w:hAnsi="Tms Rmn"/>
          <w:sz w:val="12"/>
        </w:rPr>
        <w:t> </w:t>
      </w:r>
      <w:r>
        <w:t>900 MHz</w:t>
      </w:r>
      <w:r>
        <w:br/>
        <w:t>avec des espacements entre canaux de 20 ou 40 MHz</w:t>
      </w:r>
    </w:p>
    <w:p w:rsidR="004C3CEF" w:rsidRDefault="004C3CEF" w:rsidP="004C3CEF">
      <w:pPr>
        <w:pStyle w:val="Normalaftertitle"/>
      </w:pPr>
      <w:r>
        <w:t>La présente Annexe décrit une disposition des canaux radioélectriques pour des faisceaux hertziens numériques fonctionnant dans la bande 4</w:t>
      </w:r>
      <w:r>
        <w:rPr>
          <w:rFonts w:ascii="Tms Rmn" w:hAnsi="Tms Rmn"/>
          <w:sz w:val="12"/>
        </w:rPr>
        <w:t> </w:t>
      </w:r>
      <w:r>
        <w:t>540-4</w:t>
      </w:r>
      <w:r>
        <w:rPr>
          <w:rFonts w:ascii="Tms Rmn" w:hAnsi="Tms Rmn"/>
          <w:sz w:val="12"/>
        </w:rPr>
        <w:t> </w:t>
      </w:r>
      <w:r>
        <w:t>900 MHz. Cette disposition permet jusqu'à quatre canaux aller et quatre canaux retour, à raison chacun de 4 </w:t>
      </w:r>
      <w:r>
        <w:rPr>
          <w:rFonts w:ascii="Symbol" w:hAnsi="Symbol"/>
        </w:rPr>
        <w:t></w:t>
      </w:r>
      <w:r>
        <w:t> 45 Mbit/s, 6 </w:t>
      </w:r>
      <w:r>
        <w:rPr>
          <w:rFonts w:ascii="Symbol" w:hAnsi="Symbol"/>
        </w:rPr>
        <w:t></w:t>
      </w:r>
      <w:r>
        <w:t> 45 Mbit/s ou d'un débit binaire de 2 </w:t>
      </w:r>
      <w:r>
        <w:rPr>
          <w:rFonts w:ascii="Symbol" w:hAnsi="Symbol"/>
        </w:rPr>
        <w:t></w:t>
      </w:r>
      <w:r>
        <w:t> 155 Mbit/s basé sur la hiérarchie numérique synchrone. Un système de modulation MAQ</w:t>
      </w:r>
      <w:r>
        <w:noBreakHyphen/>
        <w:t>512 permet à ces systèmes de fonctionner au débit du STM</w:t>
      </w:r>
      <w:r>
        <w:noBreakHyphen/>
        <w:t>1 ou du 2 </w:t>
      </w:r>
      <w:r>
        <w:rPr>
          <w:rFonts w:ascii="Symbol" w:hAnsi="Symbol"/>
        </w:rPr>
        <w:t></w:t>
      </w:r>
      <w:r>
        <w:t> STM</w:t>
      </w:r>
      <w:r>
        <w:noBreakHyphen/>
        <w:t>1. Une autre disposition de canaux radioélectriques permet jusqu'à huit canaux aller et huit canaux retour, à raison chacun de 2 </w:t>
      </w:r>
      <w:r>
        <w:rPr>
          <w:rFonts w:ascii="Symbol" w:hAnsi="Symbol"/>
        </w:rPr>
        <w:t></w:t>
      </w:r>
      <w:r>
        <w:t> 45 Mbit/s, 3 </w:t>
      </w:r>
      <w:r>
        <w:rPr>
          <w:rFonts w:ascii="Symbol" w:hAnsi="Symbol"/>
        </w:rPr>
        <w:t></w:t>
      </w:r>
      <w:r>
        <w:t> 45 Mbit/s ou d'un débit binaire de 155 Mbit/s basé sur la hiérarchie numérique synchrone.</w:t>
      </w:r>
    </w:p>
    <w:p w:rsidR="004C3CEF" w:rsidRDefault="004C3CEF" w:rsidP="004C3CEF">
      <w:pPr>
        <w:keepNext/>
      </w:pPr>
      <w:r>
        <w:rPr>
          <w:b/>
        </w:rPr>
        <w:t>1</w:t>
      </w:r>
      <w:r>
        <w:tab/>
        <w:t>La disposition des canaux radioélectriques est représentée sur la Fig. 4 et se calcule comme suit:</w:t>
      </w:r>
    </w:p>
    <w:p w:rsidR="004C3CEF" w:rsidRDefault="004C3CEF" w:rsidP="004C3CEF">
      <w:r>
        <w:t xml:space="preserve">soit </w:t>
      </w:r>
      <w:r>
        <w:rPr>
          <w:i/>
        </w:rPr>
        <w:t>f</w:t>
      </w:r>
      <w:r>
        <w:rPr>
          <w:position w:val="-4"/>
          <w:sz w:val="16"/>
        </w:rPr>
        <w:t>0</w:t>
      </w:r>
      <w:r>
        <w:t xml:space="preserve"> la fréquence au centre de la bande occupée:</w:t>
      </w:r>
    </w:p>
    <w:p w:rsidR="004C3CEF" w:rsidRDefault="004C3CEF" w:rsidP="004C3CEF">
      <w:pPr>
        <w:pStyle w:val="enumlev1"/>
      </w:pPr>
      <w:r>
        <w:rPr>
          <w:i/>
        </w:rPr>
        <w:tab/>
        <w:t>f</w:t>
      </w:r>
      <w:r>
        <w:rPr>
          <w:position w:val="-4"/>
          <w:sz w:val="16"/>
        </w:rPr>
        <w:t>0</w:t>
      </w:r>
      <w:r>
        <w:t xml:space="preserve"> </w:t>
      </w:r>
      <w:r>
        <w:rPr>
          <w:rFonts w:ascii="Symbol" w:hAnsi="Symbol"/>
        </w:rPr>
        <w:t></w:t>
      </w:r>
      <w:r>
        <w:t xml:space="preserve"> 4</w:t>
      </w:r>
      <w:r>
        <w:rPr>
          <w:rFonts w:ascii="Tms Rmn" w:hAnsi="Tms Rmn"/>
          <w:sz w:val="12"/>
        </w:rPr>
        <w:t> </w:t>
      </w:r>
      <w:r>
        <w:t>720 MHz,</w:t>
      </w:r>
    </w:p>
    <w:p w:rsidR="004C3CEF" w:rsidRDefault="004C3CEF" w:rsidP="004C3CEF">
      <w:pPr>
        <w:pStyle w:val="enumlev1"/>
        <w:ind w:left="1191" w:hanging="1191"/>
      </w:pPr>
      <w:r>
        <w:rPr>
          <w:i/>
        </w:rPr>
        <w:tab/>
        <w:t>f</w:t>
      </w:r>
      <w:r>
        <w:rPr>
          <w:i/>
          <w:position w:val="-4"/>
          <w:sz w:val="16"/>
        </w:rPr>
        <w:t>n</w:t>
      </w:r>
      <w:r>
        <w:rPr>
          <w:position w:val="-4"/>
          <w:sz w:val="16"/>
        </w:rPr>
        <w:tab/>
      </w:r>
      <w:r>
        <w:t>la fréquence centrale d'un canal radioélectrique dans la moitié inférieure de la bande (MHz),</w:t>
      </w:r>
    </w:p>
    <w:p w:rsidR="004C3CEF" w:rsidRDefault="004C3CEF" w:rsidP="004C3CEF">
      <w:pPr>
        <w:pStyle w:val="enumlev1"/>
        <w:ind w:left="1191" w:hanging="1191"/>
      </w:pPr>
      <w:r>
        <w:tab/>
      </w:r>
      <w:r>
        <w:fldChar w:fldCharType="begin"/>
      </w:r>
      <w:r>
        <w:instrText xml:space="preserve">eq </w:instrText>
      </w:r>
      <w:r>
        <w:rPr>
          <w:i/>
        </w:rPr>
        <w:instrText>f</w:instrText>
      </w:r>
      <w:r>
        <w:instrText xml:space="preserve">\s\up( </w:instrText>
      </w:r>
      <w:r>
        <w:rPr>
          <w:rFonts w:ascii="Symbol" w:hAnsi="Symbol"/>
        </w:rPr>
        <w:instrText>¢</w:instrText>
      </w:r>
      <w:r>
        <w:instrText>)\d\ba6()\s\do2( ,</w:instrText>
      </w:r>
      <w:r>
        <w:rPr>
          <w:i/>
          <w:sz w:val="16"/>
        </w:rPr>
        <w:instrText>n</w:instrText>
      </w:r>
      <w:r>
        <w:instrText>)</w:instrText>
      </w:r>
      <w:r>
        <w:fldChar w:fldCharType="end"/>
      </w:r>
      <w:r>
        <w:tab/>
        <w:t>la fréquence centrale d'un canal radioélectrique dans la moitié supérieure de la bande (MHz),</w:t>
      </w:r>
    </w:p>
    <w:p w:rsidR="004C3CEF" w:rsidRDefault="004C3CEF" w:rsidP="004C3CEF">
      <w:r>
        <w:t>les fréquences des différents canaux sont exprimées par les relations suivantes:</w:t>
      </w:r>
    </w:p>
    <w:p w:rsidR="004C3CEF" w:rsidRPr="008A4CA3" w:rsidRDefault="004C3CEF" w:rsidP="004C3CEF">
      <w:pPr>
        <w:pStyle w:val="enumlev1"/>
        <w:tabs>
          <w:tab w:val="left" w:pos="4140"/>
        </w:tabs>
      </w:pPr>
      <w:r w:rsidRPr="008A4CA3">
        <w:tab/>
        <w:t>moitié inférieure de la bande:</w:t>
      </w:r>
      <w:r w:rsidRPr="008A4CA3">
        <w:tab/>
      </w:r>
      <w:r>
        <w:t xml:space="preserve">  </w:t>
      </w:r>
      <w:r w:rsidRPr="008A4CA3">
        <w:rPr>
          <w:i/>
        </w:rPr>
        <w:t>f</w:t>
      </w:r>
      <w:r w:rsidRPr="008A4CA3">
        <w:rPr>
          <w:i/>
          <w:position w:val="-4"/>
          <w:sz w:val="16"/>
        </w:rPr>
        <w:t>n</w:t>
      </w:r>
      <w:r w:rsidRPr="00282BDC">
        <w:t xml:space="preserve"> </w:t>
      </w:r>
      <w:r>
        <w:rPr>
          <w:rFonts w:ascii="Symbol" w:hAnsi="Symbol"/>
        </w:rPr>
        <w:t></w:t>
      </w:r>
      <w:r w:rsidRPr="009D2E38">
        <w:t xml:space="preserve"> </w:t>
      </w:r>
      <w:r w:rsidRPr="008A4CA3">
        <w:rPr>
          <w:i/>
        </w:rPr>
        <w:t>f</w:t>
      </w:r>
      <w:r w:rsidRPr="008A4CA3">
        <w:rPr>
          <w:position w:val="-4"/>
          <w:sz w:val="16"/>
        </w:rPr>
        <w:t>0</w:t>
      </w:r>
      <w:r w:rsidRPr="008A4CA3">
        <w:t> – </w:t>
      </w:r>
      <w:r>
        <w:t>195 </w:t>
      </w:r>
      <w:r>
        <w:rPr>
          <w:rFonts w:ascii="Symbol" w:hAnsi="Symbol"/>
        </w:rPr>
        <w:t></w:t>
      </w:r>
      <w:r>
        <w:t> 40 </w:t>
      </w:r>
      <w:r>
        <w:rPr>
          <w:i/>
        </w:rPr>
        <w:t>n p</w:t>
      </w:r>
      <w:r>
        <w:rPr>
          <w:i/>
        </w:rPr>
        <w:tab/>
      </w:r>
      <w:r>
        <w:rPr>
          <w:i/>
        </w:rPr>
        <w:tab/>
      </w:r>
      <w:r w:rsidRPr="008A4CA3">
        <w:t>MHz</w:t>
      </w:r>
    </w:p>
    <w:p w:rsidR="004C3CEF" w:rsidRPr="008A4CA3" w:rsidRDefault="004C3CEF" w:rsidP="004C3CEF">
      <w:pPr>
        <w:pStyle w:val="enumlev1"/>
        <w:tabs>
          <w:tab w:val="left" w:pos="4140"/>
        </w:tabs>
      </w:pPr>
      <w:r w:rsidRPr="008A4CA3">
        <w:tab/>
        <w:t>moitié supérieure de la bande:</w:t>
      </w:r>
      <w:r w:rsidRPr="008A4CA3">
        <w:tab/>
      </w:r>
      <w:r>
        <w:fldChar w:fldCharType="begin"/>
      </w:r>
      <w:r w:rsidRPr="00282BDC">
        <w:instrText xml:space="preserve">eq </w:instrText>
      </w:r>
      <w:r w:rsidRPr="00282BDC">
        <w:rPr>
          <w:i/>
        </w:rPr>
        <w:instrText>f</w:instrText>
      </w:r>
      <w:r w:rsidRPr="00282BDC">
        <w:instrText xml:space="preserve">\s\up( </w:instrText>
      </w:r>
      <w:r w:rsidRPr="00282BDC">
        <w:rPr>
          <w:rFonts w:ascii="Symbol" w:hAnsi="Symbol"/>
        </w:rPr>
        <w:instrText>¢</w:instrText>
      </w:r>
      <w:r w:rsidRPr="00282BDC">
        <w:instrText>)\d\ba6()\s\do2( ,</w:instrText>
      </w:r>
      <w:r w:rsidRPr="00282BDC">
        <w:rPr>
          <w:i/>
          <w:sz w:val="16"/>
        </w:rPr>
        <w:instrText>n</w:instrText>
      </w:r>
      <w:r w:rsidRPr="00282BDC">
        <w:instrText>)</w:instrText>
      </w:r>
      <w:r>
        <w:fldChar w:fldCharType="end"/>
      </w:r>
      <w:r>
        <w:t xml:space="preserve"> </w:t>
      </w:r>
      <w:r>
        <w:rPr>
          <w:rFonts w:ascii="Symbol" w:hAnsi="Symbol"/>
        </w:rPr>
        <w:t></w:t>
      </w:r>
      <w:r w:rsidRPr="009D2E38">
        <w:t xml:space="preserve"> </w:t>
      </w:r>
      <w:r w:rsidRPr="008A4CA3">
        <w:rPr>
          <w:i/>
        </w:rPr>
        <w:t>f</w:t>
      </w:r>
      <w:r w:rsidRPr="008A4CA3">
        <w:rPr>
          <w:position w:val="-4"/>
          <w:sz w:val="16"/>
        </w:rPr>
        <w:t>0</w:t>
      </w:r>
      <w:r w:rsidRPr="008A4CA3">
        <w:t> – </w:t>
      </w:r>
      <w:r>
        <w:t>5 </w:t>
      </w:r>
      <w:r>
        <w:rPr>
          <w:rFonts w:ascii="Symbol" w:hAnsi="Symbol"/>
        </w:rPr>
        <w:t></w:t>
      </w:r>
      <w:r>
        <w:t> 40 </w:t>
      </w:r>
      <w:r>
        <w:rPr>
          <w:i/>
        </w:rPr>
        <w:t>n p</w:t>
      </w:r>
      <w:r>
        <w:rPr>
          <w:i/>
        </w:rPr>
        <w:tab/>
      </w:r>
      <w:r>
        <w:rPr>
          <w:i/>
        </w:rPr>
        <w:tab/>
      </w:r>
      <w:r w:rsidRPr="008A4CA3">
        <w:t>MHz</w:t>
      </w:r>
    </w:p>
    <w:p w:rsidR="004C3CEF" w:rsidRDefault="004C3CEF" w:rsidP="00074621">
      <w:pPr>
        <w:keepNext/>
      </w:pPr>
      <w:r>
        <w:lastRenderedPageBreak/>
        <w:t>où:</w:t>
      </w:r>
    </w:p>
    <w:p w:rsidR="004C3CEF" w:rsidRDefault="004C3CEF" w:rsidP="004C3CEF">
      <w:pPr>
        <w:pStyle w:val="enumlev1"/>
      </w:pPr>
      <w:r>
        <w:rPr>
          <w:i/>
        </w:rPr>
        <w:tab/>
        <w:t>n</w:t>
      </w:r>
      <w:r>
        <w:t xml:space="preserve"> </w:t>
      </w:r>
      <w:r>
        <w:rPr>
          <w:rFonts w:ascii="Symbol" w:hAnsi="Symbol"/>
        </w:rPr>
        <w:t></w:t>
      </w:r>
      <w:r>
        <w:t xml:space="preserve"> 1, 2, 3 ou 4.</w:t>
      </w:r>
    </w:p>
    <w:p w:rsidR="004C3CEF" w:rsidRDefault="004C3CEF" w:rsidP="004C3CEF">
      <w:pPr>
        <w:pStyle w:val="FigureNo"/>
      </w:pPr>
      <w:r>
        <w:t>figure 4</w:t>
      </w:r>
    </w:p>
    <w:p w:rsidR="004C3CEF" w:rsidRDefault="004C3CEF" w:rsidP="004C3CEF">
      <w:pPr>
        <w:pStyle w:val="Figuretitle"/>
      </w:pPr>
      <w:r>
        <w:t>Disposition des canaux radioélectriques dans la bande des 5 GHz</w:t>
      </w:r>
    </w:p>
    <w:p w:rsidR="004C3CEF" w:rsidRPr="00981D3B" w:rsidRDefault="004C3CEF" w:rsidP="004C3CEF">
      <w:pPr>
        <w:keepNext/>
        <w:keepLines/>
        <w:spacing w:before="0" w:after="120"/>
        <w:jc w:val="center"/>
        <w:rPr>
          <w:sz w:val="20"/>
        </w:rPr>
      </w:pPr>
      <w:r w:rsidRPr="00981D3B">
        <w:rPr>
          <w:sz w:val="20"/>
        </w:rPr>
        <w:t>(Fréquences en MHz)</w:t>
      </w:r>
    </w:p>
    <w:p w:rsidR="004C3CEF" w:rsidRPr="00AF4071" w:rsidRDefault="007C6ACD" w:rsidP="004C3CEF">
      <w:pPr>
        <w:pStyle w:val="Figure"/>
      </w:pPr>
      <w:r>
        <w:object w:dxaOrig="7314" w:dyaOrig="3172">
          <v:shape id="_x0000_i1029" type="#_x0000_t75" style="width:486.6pt;height:210.7pt" o:ole="">
            <v:imagedata r:id="rId22" o:title=""/>
          </v:shape>
          <o:OLEObject Type="Embed" ProgID="CorelDRAW.Graphic.14" ShapeID="_x0000_i1029" DrawAspect="Content" ObjectID="_1466340589" r:id="rId23"/>
        </w:object>
      </w:r>
    </w:p>
    <w:p w:rsidR="004C3CEF" w:rsidRDefault="004C3CEF" w:rsidP="004C3CEF">
      <w:r>
        <w:rPr>
          <w:b/>
        </w:rPr>
        <w:t>2</w:t>
      </w:r>
      <w:r>
        <w:tab/>
        <w:t>Une autre disposition est représentée sur la Fig. 5, les fréquences assignées étant exprimées comme suit:</w:t>
      </w:r>
    </w:p>
    <w:p w:rsidR="004C3CEF" w:rsidRDefault="004C3CEF" w:rsidP="004C3CEF">
      <w:r>
        <w:t>les fréquences centrales des différents canaux sont exprimées par les relations suivantes:</w:t>
      </w:r>
    </w:p>
    <w:p w:rsidR="004C3CEF" w:rsidRPr="008A4CA3" w:rsidRDefault="004C3CEF" w:rsidP="004C3CEF">
      <w:pPr>
        <w:pStyle w:val="enumlev1"/>
        <w:tabs>
          <w:tab w:val="left" w:pos="4140"/>
        </w:tabs>
      </w:pPr>
      <w:r w:rsidRPr="008A4CA3">
        <w:tab/>
        <w:t>moitié inférieure de la bande:</w:t>
      </w:r>
      <w:r w:rsidRPr="008A4CA3">
        <w:tab/>
      </w:r>
      <w:r>
        <w:t xml:space="preserve">  </w:t>
      </w:r>
      <w:r w:rsidRPr="008A4CA3">
        <w:rPr>
          <w:i/>
        </w:rPr>
        <w:t>f</w:t>
      </w:r>
      <w:r w:rsidRPr="008A4CA3">
        <w:rPr>
          <w:i/>
          <w:position w:val="-4"/>
          <w:sz w:val="16"/>
        </w:rPr>
        <w:t>n</w:t>
      </w:r>
      <w:r w:rsidRPr="00282BDC">
        <w:t xml:space="preserve"> </w:t>
      </w:r>
      <w:r>
        <w:rPr>
          <w:rFonts w:ascii="Symbol" w:hAnsi="Symbol"/>
        </w:rPr>
        <w:t></w:t>
      </w:r>
      <w:r w:rsidRPr="009D2E38">
        <w:t xml:space="preserve"> </w:t>
      </w:r>
      <w:r w:rsidRPr="008A4CA3">
        <w:rPr>
          <w:i/>
        </w:rPr>
        <w:t>f</w:t>
      </w:r>
      <w:r w:rsidRPr="008A4CA3">
        <w:rPr>
          <w:position w:val="-4"/>
          <w:sz w:val="16"/>
        </w:rPr>
        <w:t>0</w:t>
      </w:r>
      <w:r w:rsidRPr="008A4CA3">
        <w:t> – </w:t>
      </w:r>
      <w:r>
        <w:t>185 </w:t>
      </w:r>
      <w:r>
        <w:rPr>
          <w:rFonts w:ascii="Symbol" w:hAnsi="Symbol"/>
        </w:rPr>
        <w:t></w:t>
      </w:r>
      <w:r>
        <w:t> 20 </w:t>
      </w:r>
      <w:r>
        <w:rPr>
          <w:i/>
        </w:rPr>
        <w:t>n</w:t>
      </w:r>
      <w:r>
        <w:rPr>
          <w:i/>
        </w:rPr>
        <w:tab/>
      </w:r>
      <w:r>
        <w:rPr>
          <w:i/>
        </w:rPr>
        <w:tab/>
      </w:r>
      <w:r w:rsidRPr="008A4CA3">
        <w:t>MHz</w:t>
      </w:r>
    </w:p>
    <w:p w:rsidR="004C3CEF" w:rsidRPr="008A4CA3" w:rsidRDefault="004C3CEF" w:rsidP="004C3CEF">
      <w:pPr>
        <w:pStyle w:val="enumlev1"/>
        <w:tabs>
          <w:tab w:val="left" w:pos="4140"/>
        </w:tabs>
      </w:pPr>
      <w:r w:rsidRPr="008A4CA3">
        <w:tab/>
        <w:t>moitié supérieure de la bande:</w:t>
      </w:r>
      <w:r w:rsidRPr="008A4CA3">
        <w:tab/>
      </w:r>
      <w:r>
        <w:fldChar w:fldCharType="begin"/>
      </w:r>
      <w:r w:rsidRPr="00282BDC">
        <w:instrText xml:space="preserve">eq </w:instrText>
      </w:r>
      <w:r w:rsidRPr="00282BDC">
        <w:rPr>
          <w:i/>
        </w:rPr>
        <w:instrText>f</w:instrText>
      </w:r>
      <w:r w:rsidRPr="00282BDC">
        <w:instrText xml:space="preserve">\s\up( </w:instrText>
      </w:r>
      <w:r w:rsidRPr="00282BDC">
        <w:rPr>
          <w:rFonts w:ascii="Symbol" w:hAnsi="Symbol"/>
        </w:rPr>
        <w:instrText>¢</w:instrText>
      </w:r>
      <w:r w:rsidRPr="00282BDC">
        <w:instrText>)\d\ba6()\s\do2( ,</w:instrText>
      </w:r>
      <w:r w:rsidRPr="00282BDC">
        <w:rPr>
          <w:i/>
          <w:sz w:val="16"/>
        </w:rPr>
        <w:instrText>n</w:instrText>
      </w:r>
      <w:r w:rsidRPr="00282BDC">
        <w:instrText>)</w:instrText>
      </w:r>
      <w:r>
        <w:fldChar w:fldCharType="end"/>
      </w:r>
      <w:r>
        <w:t xml:space="preserve"> </w:t>
      </w:r>
      <w:r>
        <w:rPr>
          <w:rFonts w:ascii="Symbol" w:hAnsi="Symbol"/>
        </w:rPr>
        <w:t></w:t>
      </w:r>
      <w:r w:rsidRPr="009D2E38">
        <w:t xml:space="preserve"> </w:t>
      </w:r>
      <w:r w:rsidRPr="008A4CA3">
        <w:rPr>
          <w:i/>
        </w:rPr>
        <w:t>f</w:t>
      </w:r>
      <w:r w:rsidRPr="008A4CA3">
        <w:rPr>
          <w:position w:val="-4"/>
          <w:sz w:val="16"/>
        </w:rPr>
        <w:t>0</w:t>
      </w:r>
      <w:r w:rsidRPr="008A4CA3">
        <w:t> </w:t>
      </w:r>
      <w:r>
        <w:rPr>
          <w:rFonts w:ascii="Symbol" w:hAnsi="Symbol"/>
        </w:rPr>
        <w:t></w:t>
      </w:r>
      <w:r>
        <w:t> 5 </w:t>
      </w:r>
      <w:r>
        <w:rPr>
          <w:rFonts w:ascii="Symbol" w:hAnsi="Symbol"/>
        </w:rPr>
        <w:t></w:t>
      </w:r>
      <w:r>
        <w:t> 20 </w:t>
      </w:r>
      <w:r>
        <w:rPr>
          <w:i/>
        </w:rPr>
        <w:t>n</w:t>
      </w:r>
      <w:r>
        <w:rPr>
          <w:i/>
        </w:rPr>
        <w:tab/>
      </w:r>
      <w:r>
        <w:rPr>
          <w:i/>
        </w:rPr>
        <w:tab/>
      </w:r>
      <w:r w:rsidR="00487686">
        <w:rPr>
          <w:iCs/>
        </w:rPr>
        <w:tab/>
      </w:r>
      <w:r w:rsidRPr="008A4CA3">
        <w:t>MHz</w:t>
      </w:r>
    </w:p>
    <w:p w:rsidR="004C3CEF" w:rsidRDefault="004C3CEF" w:rsidP="004C3CEF">
      <w:r>
        <w:t>où:</w:t>
      </w:r>
    </w:p>
    <w:p w:rsidR="004C3CEF" w:rsidRDefault="004C3CEF" w:rsidP="004C3CEF">
      <w:pPr>
        <w:pStyle w:val="enumlev1"/>
      </w:pPr>
      <w:r>
        <w:rPr>
          <w:i/>
        </w:rPr>
        <w:tab/>
        <w:t>f</w:t>
      </w:r>
      <w:r>
        <w:rPr>
          <w:position w:val="-4"/>
          <w:sz w:val="16"/>
        </w:rPr>
        <w:t>0</w:t>
      </w:r>
      <w:r>
        <w:t> </w:t>
      </w:r>
      <w:r>
        <w:rPr>
          <w:rFonts w:ascii="Symbol" w:hAnsi="Symbol"/>
        </w:rPr>
        <w:t></w:t>
      </w:r>
      <w:r>
        <w:t> 4</w:t>
      </w:r>
      <w:r>
        <w:rPr>
          <w:rFonts w:ascii="Tms Rmn" w:hAnsi="Tms Rmn"/>
          <w:sz w:val="12"/>
        </w:rPr>
        <w:t> </w:t>
      </w:r>
      <w:r>
        <w:t>720 MHz</w:t>
      </w:r>
    </w:p>
    <w:p w:rsidR="004C3CEF" w:rsidRDefault="004C3CEF" w:rsidP="004C3CEF">
      <w:pPr>
        <w:pStyle w:val="enumlev1"/>
      </w:pPr>
      <w:r>
        <w:rPr>
          <w:i/>
        </w:rPr>
        <w:tab/>
        <w:t>n  </w:t>
      </w:r>
      <w:r>
        <w:rPr>
          <w:rFonts w:ascii="Symbol" w:hAnsi="Symbol"/>
        </w:rPr>
        <w:t></w:t>
      </w:r>
      <w:r>
        <w:t> 1, 2, 3, 4, 5, 6, 7 ou 8.</w:t>
      </w:r>
    </w:p>
    <w:p w:rsidR="004C3CEF" w:rsidRDefault="004C3CEF" w:rsidP="004C3CEF">
      <w:r>
        <w:rPr>
          <w:b/>
        </w:rPr>
        <w:t>3</w:t>
      </w:r>
      <w:r>
        <w:tab/>
        <w:t>Tous les canaux aller doivent être situés dans une moitié de la bande et tous les canaux retour dans l'autre moitié.</w:t>
      </w:r>
    </w:p>
    <w:p w:rsidR="004C3CEF" w:rsidRDefault="004C3CEF" w:rsidP="004C3CEF">
      <w:pPr>
        <w:pStyle w:val="FigureNo"/>
      </w:pPr>
      <w:r>
        <w:lastRenderedPageBreak/>
        <w:t>figure 5</w:t>
      </w:r>
    </w:p>
    <w:p w:rsidR="004C3CEF" w:rsidRDefault="004C3CEF" w:rsidP="004C3CEF">
      <w:pPr>
        <w:pStyle w:val="Figuretitle"/>
      </w:pPr>
      <w:r>
        <w:t>Autre disposition des canaux radioélectriques dans la bande des 5 GHz</w:t>
      </w:r>
    </w:p>
    <w:p w:rsidR="004C3CEF" w:rsidRPr="00981D3B" w:rsidRDefault="004C3CEF" w:rsidP="004C3CEF">
      <w:pPr>
        <w:keepNext/>
        <w:keepLines/>
        <w:spacing w:before="0" w:after="120"/>
        <w:jc w:val="center"/>
        <w:rPr>
          <w:sz w:val="20"/>
        </w:rPr>
      </w:pPr>
      <w:r w:rsidRPr="00981D3B">
        <w:rPr>
          <w:sz w:val="20"/>
        </w:rPr>
        <w:t>(Fréquences en MHz)</w:t>
      </w:r>
    </w:p>
    <w:p w:rsidR="004C3CEF" w:rsidRDefault="007C6ACD" w:rsidP="004C3CEF">
      <w:pPr>
        <w:pStyle w:val="Figure"/>
      </w:pPr>
      <w:r>
        <w:object w:dxaOrig="7332" w:dyaOrig="3210">
          <v:shape id="_x0000_i1030" type="#_x0000_t75" style="width:461pt;height:202pt" o:ole="">
            <v:imagedata r:id="rId24" o:title=""/>
          </v:shape>
          <o:OLEObject Type="Embed" ProgID="CorelDRAW.Graphic.14" ShapeID="_x0000_i1030" DrawAspect="Content" ObjectID="_1466340590" r:id="rId25"/>
        </w:object>
      </w:r>
    </w:p>
    <w:p w:rsidR="00B15A6F" w:rsidRDefault="00B15A6F" w:rsidP="00B15A6F"/>
    <w:p w:rsidR="00B15A6F" w:rsidRDefault="00B15A6F" w:rsidP="00B15A6F"/>
    <w:p w:rsidR="00B15A6F" w:rsidRDefault="00B15A6F" w:rsidP="00B15A6F"/>
    <w:p w:rsidR="004C3CEF" w:rsidRDefault="004C3CEF" w:rsidP="004C3CEF">
      <w:pPr>
        <w:pStyle w:val="AnnexNoTitle"/>
      </w:pPr>
      <w:r>
        <w:t>Annexe 3</w:t>
      </w:r>
      <w:r>
        <w:br/>
      </w:r>
      <w:r>
        <w:br/>
        <w:t>Disposition des canaux radioélectriques dans la bande 4 400</w:t>
      </w:r>
      <w:r>
        <w:noBreakHyphen/>
        <w:t>5 000 MHz</w:t>
      </w:r>
      <w:r>
        <w:br/>
        <w:t>avec un espacement entre canaux de 28 MHz</w:t>
      </w:r>
    </w:p>
    <w:p w:rsidR="004C3CEF" w:rsidRPr="0056188A" w:rsidRDefault="004C3CEF" w:rsidP="004C3CEF">
      <w:pPr>
        <w:pStyle w:val="Normalaftertitle"/>
      </w:pPr>
      <w:r w:rsidRPr="0056188A">
        <w:t xml:space="preserve">La présente Annexe décrit une disposition des canaux radioélectriques pour des systèmes numériques </w:t>
      </w:r>
      <w:r>
        <w:t xml:space="preserve">fonctionnant </w:t>
      </w:r>
      <w:r w:rsidRPr="0056188A">
        <w:t>dans la bande 4 400</w:t>
      </w:r>
      <w:r w:rsidRPr="0056188A">
        <w:noBreakHyphen/>
        <w:t>5</w:t>
      </w:r>
      <w:r w:rsidRPr="0056188A">
        <w:rPr>
          <w:sz w:val="12"/>
        </w:rPr>
        <w:t>  </w:t>
      </w:r>
      <w:r w:rsidRPr="0056188A">
        <w:t>000 MHz. Cet</w:t>
      </w:r>
      <w:r>
        <w:t>te disposition permet jusqu'à dix</w:t>
      </w:r>
      <w:r w:rsidRPr="0056188A">
        <w:t xml:space="preserve"> </w:t>
      </w:r>
      <w:r>
        <w:t>canaux aller et dix</w:t>
      </w:r>
      <w:r w:rsidRPr="0056188A">
        <w:t> canaux retour, à raison chacun de 4 </w:t>
      </w:r>
      <w:r w:rsidRPr="0004775B">
        <w:rPr>
          <w:rFonts w:ascii="Symbol" w:hAnsi="Symbol"/>
        </w:rPr>
        <w:t></w:t>
      </w:r>
      <w:r w:rsidRPr="0056188A">
        <w:t xml:space="preserve"> 34 Mbit/s </w:t>
      </w:r>
      <w:r>
        <w:t>ou</w:t>
      </w:r>
      <w:r w:rsidRPr="0056188A">
        <w:t xml:space="preserve"> 1 </w:t>
      </w:r>
      <w:r w:rsidRPr="0004775B">
        <w:rPr>
          <w:rFonts w:ascii="Symbol" w:hAnsi="Symbol"/>
        </w:rPr>
        <w:t></w:t>
      </w:r>
      <w:r w:rsidRPr="0056188A">
        <w:t xml:space="preserve"> 139,368 Mbit/s </w:t>
      </w:r>
      <w:r>
        <w:t>ou de débits binaires basés sur la hiérarchie numérique synchrone</w:t>
      </w:r>
      <w:r w:rsidRPr="0056188A">
        <w:t>.</w:t>
      </w:r>
    </w:p>
    <w:p w:rsidR="004C3CEF" w:rsidRPr="0056188A" w:rsidRDefault="004C3CEF" w:rsidP="004C3CEF">
      <w:pPr>
        <w:rPr>
          <w:b/>
        </w:rPr>
      </w:pPr>
      <w:r w:rsidRPr="0056188A">
        <w:t>Un système de modulation M</w:t>
      </w:r>
      <w:r>
        <w:t>AQ-64 ou un système plus complexe permet aux systèmes de fonctionner</w:t>
      </w:r>
      <w:r w:rsidRPr="0056188A">
        <w:t xml:space="preserve"> à ces débits.</w:t>
      </w:r>
    </w:p>
    <w:p w:rsidR="004C3CEF" w:rsidRPr="0056188A" w:rsidRDefault="004C3CEF" w:rsidP="004C3CEF">
      <w:r w:rsidRPr="0056188A">
        <w:rPr>
          <w:b/>
        </w:rPr>
        <w:t>1</w:t>
      </w:r>
      <w:r w:rsidRPr="0056188A">
        <w:tab/>
        <w:t xml:space="preserve">La disposition des canaux radioélectriques est représentée sur la Fig. </w:t>
      </w:r>
      <w:r>
        <w:t>6 et se calcule comme suit</w:t>
      </w:r>
      <w:r w:rsidRPr="0056188A">
        <w:t>:</w:t>
      </w:r>
    </w:p>
    <w:p w:rsidR="004C3CEF" w:rsidRPr="0056188A" w:rsidRDefault="004C3CEF" w:rsidP="004C3CEF">
      <w:pPr>
        <w:pStyle w:val="enumlev1"/>
      </w:pPr>
      <w:r>
        <w:t>s</w:t>
      </w:r>
      <w:r w:rsidRPr="0056188A">
        <w:t>oit</w:t>
      </w:r>
      <w:r w:rsidRPr="0056188A">
        <w:tab/>
      </w:r>
      <w:r w:rsidRPr="0056188A">
        <w:rPr>
          <w:i/>
        </w:rPr>
        <w:t>f</w:t>
      </w:r>
      <w:r w:rsidRPr="0056188A">
        <w:rPr>
          <w:iCs/>
          <w:vertAlign w:val="subscript"/>
        </w:rPr>
        <w:t>0</w:t>
      </w:r>
      <w:r w:rsidRPr="0056188A">
        <w:tab/>
      </w:r>
      <w:r>
        <w:t xml:space="preserve">la fréquence au centre de </w:t>
      </w:r>
      <w:r w:rsidRPr="0056188A">
        <w:t>la bande:</w:t>
      </w:r>
    </w:p>
    <w:p w:rsidR="004C3CEF" w:rsidRPr="004F4123" w:rsidRDefault="004C3CEF" w:rsidP="004C3CEF">
      <w:pPr>
        <w:pStyle w:val="enumlev1"/>
      </w:pPr>
      <w:r w:rsidRPr="0056188A">
        <w:rPr>
          <w:i/>
        </w:rPr>
        <w:tab/>
      </w:r>
      <w:r w:rsidRPr="004F4123">
        <w:rPr>
          <w:i/>
        </w:rPr>
        <w:t>f</w:t>
      </w:r>
      <w:r w:rsidRPr="004F4123">
        <w:rPr>
          <w:iCs/>
          <w:vertAlign w:val="subscript"/>
        </w:rPr>
        <w:t>0</w:t>
      </w:r>
      <w:r w:rsidRPr="004F4123">
        <w:rPr>
          <w:sz w:val="20"/>
        </w:rPr>
        <w:t> </w:t>
      </w:r>
      <w:r w:rsidRPr="0004775B">
        <w:rPr>
          <w:rFonts w:ascii="Symbol" w:hAnsi="Symbol"/>
        </w:rPr>
        <w:t></w:t>
      </w:r>
      <w:r w:rsidRPr="004F4123">
        <w:rPr>
          <w:sz w:val="20"/>
        </w:rPr>
        <w:t> </w:t>
      </w:r>
      <w:r w:rsidRPr="004F4123">
        <w:t>4</w:t>
      </w:r>
      <w:r w:rsidRPr="004F4123">
        <w:rPr>
          <w:sz w:val="12"/>
        </w:rPr>
        <w:t> </w:t>
      </w:r>
      <w:r w:rsidRPr="004F4123">
        <w:t>700 MHz,</w:t>
      </w:r>
    </w:p>
    <w:p w:rsidR="004C3CEF" w:rsidRPr="0056188A" w:rsidRDefault="004C3CEF" w:rsidP="004C3CEF">
      <w:pPr>
        <w:pStyle w:val="enumlev1"/>
        <w:ind w:left="1191" w:hanging="1191"/>
      </w:pPr>
      <w:r w:rsidRPr="004F4123">
        <w:rPr>
          <w:i/>
        </w:rPr>
        <w:tab/>
      </w:r>
      <w:r w:rsidRPr="0056188A">
        <w:rPr>
          <w:i/>
        </w:rPr>
        <w:t>f</w:t>
      </w:r>
      <w:r w:rsidRPr="0056188A">
        <w:rPr>
          <w:i/>
          <w:vertAlign w:val="subscript"/>
        </w:rPr>
        <w:t>n</w:t>
      </w:r>
      <w:r w:rsidRPr="0056188A">
        <w:tab/>
        <w:t>la fréquence centrale d'un canal radioélectrique dans la moitié inférieure de la bande (MHz)</w:t>
      </w:r>
      <w:r>
        <w:t>,</w:t>
      </w:r>
    </w:p>
    <w:p w:rsidR="004C3CEF" w:rsidRPr="0056188A" w:rsidRDefault="004C3CEF" w:rsidP="004C3CEF">
      <w:pPr>
        <w:pStyle w:val="enumlev1"/>
        <w:tabs>
          <w:tab w:val="clear" w:pos="794"/>
          <w:tab w:val="left" w:pos="720"/>
        </w:tabs>
        <w:ind w:left="1191" w:hanging="1191"/>
      </w:pPr>
      <w:r w:rsidRPr="0056188A">
        <w:tab/>
      </w:r>
      <w:r w:rsidRPr="00F47AC1">
        <w:rPr>
          <w:position w:val="-10"/>
        </w:rPr>
        <w:object w:dxaOrig="279" w:dyaOrig="320">
          <v:shape id="_x0000_i1031" type="#_x0000_t75" style="width:14pt;height:15.95pt" o:ole="">
            <v:imagedata r:id="rId26" o:title=""/>
          </v:shape>
          <o:OLEObject Type="Embed" ProgID="Equation.3" ShapeID="_x0000_i1031" DrawAspect="Content" ObjectID="_1466340591" r:id="rId27"/>
        </w:object>
      </w:r>
      <w:r w:rsidRPr="0056188A">
        <w:tab/>
        <w:t xml:space="preserve">la fréquence centrale d'un canal </w:t>
      </w:r>
      <w:r>
        <w:t>radioélectrique dans la moitié supé</w:t>
      </w:r>
      <w:r w:rsidRPr="0056188A">
        <w:t>rieure de la bande (MHz),</w:t>
      </w:r>
    </w:p>
    <w:p w:rsidR="004C3CEF" w:rsidRPr="000271A4" w:rsidRDefault="004C3CEF" w:rsidP="004C3CEF">
      <w:r w:rsidRPr="000271A4">
        <w:t>les fréquences centrales des différents canaux sont exprimées par les relations suivantes:</w:t>
      </w:r>
    </w:p>
    <w:p w:rsidR="004C3CEF" w:rsidRPr="000271A4" w:rsidRDefault="004C3CEF" w:rsidP="004C3CEF">
      <w:pPr>
        <w:pStyle w:val="enumlev1"/>
        <w:tabs>
          <w:tab w:val="left" w:pos="3402"/>
        </w:tabs>
      </w:pPr>
      <w:r w:rsidRPr="000271A4">
        <w:tab/>
        <w:t>moitié inférieure de la bande:</w:t>
      </w:r>
      <w:r w:rsidRPr="000271A4">
        <w:tab/>
      </w:r>
      <w:r w:rsidRPr="000271A4">
        <w:rPr>
          <w:sz w:val="12"/>
        </w:rPr>
        <w:t xml:space="preserve"> </w:t>
      </w:r>
      <w:r w:rsidRPr="000271A4">
        <w:rPr>
          <w:i/>
        </w:rPr>
        <w:t>f</w:t>
      </w:r>
      <w:r w:rsidRPr="000271A4">
        <w:rPr>
          <w:i/>
          <w:vertAlign w:val="subscript"/>
        </w:rPr>
        <w:t>n</w:t>
      </w:r>
      <w:r w:rsidRPr="000271A4">
        <w:t xml:space="preserve"> </w:t>
      </w:r>
      <w:r w:rsidRPr="0004775B">
        <w:rPr>
          <w:rFonts w:ascii="Symbol" w:hAnsi="Symbol"/>
        </w:rPr>
        <w:t></w:t>
      </w:r>
      <w:r w:rsidRPr="000271A4">
        <w:t xml:space="preserve"> </w:t>
      </w:r>
      <w:r w:rsidRPr="000271A4">
        <w:rPr>
          <w:i/>
        </w:rPr>
        <w:t>f</w:t>
      </w:r>
      <w:r w:rsidRPr="000271A4">
        <w:rPr>
          <w:iCs/>
          <w:vertAlign w:val="subscript"/>
        </w:rPr>
        <w:t>0</w:t>
      </w:r>
      <w:r w:rsidRPr="000271A4">
        <w:t xml:space="preserve"> – 310 </w:t>
      </w:r>
      <w:r w:rsidRPr="0004775B">
        <w:rPr>
          <w:rFonts w:ascii="Symbol" w:hAnsi="Symbol"/>
        </w:rPr>
        <w:t></w:t>
      </w:r>
      <w:r w:rsidRPr="000271A4">
        <w:t xml:space="preserve"> 28 </w:t>
      </w:r>
      <w:r w:rsidRPr="000271A4">
        <w:rPr>
          <w:i/>
        </w:rPr>
        <w:t>n</w:t>
      </w:r>
    </w:p>
    <w:p w:rsidR="004C3CEF" w:rsidRPr="000271A4" w:rsidRDefault="004C3CEF" w:rsidP="004C3CEF">
      <w:pPr>
        <w:pStyle w:val="enumlev1"/>
        <w:tabs>
          <w:tab w:val="left" w:pos="3345"/>
          <w:tab w:val="left" w:pos="3402"/>
        </w:tabs>
      </w:pPr>
      <w:r w:rsidRPr="000271A4">
        <w:tab/>
        <w:t>moitié supérieure de la bande:</w:t>
      </w:r>
      <w:r w:rsidRPr="000271A4">
        <w:tab/>
      </w:r>
      <w:r w:rsidRPr="0004775B">
        <w:rPr>
          <w:position w:val="-12"/>
        </w:rPr>
        <w:object w:dxaOrig="499" w:dyaOrig="360">
          <v:shape id="_x0000_i1032" type="#_x0000_t75" style="width:25.15pt;height:18.35pt" o:ole="">
            <v:imagedata r:id="rId28" o:title=""/>
          </v:shape>
          <o:OLEObject Type="Embed" ProgID="Equation.3" ShapeID="_x0000_i1032" DrawAspect="Content" ObjectID="_1466340592" r:id="rId29"/>
        </w:object>
      </w:r>
      <w:r w:rsidRPr="000271A4">
        <w:rPr>
          <w:rFonts w:ascii="Tms Rmn" w:hAnsi="Tms Rmn"/>
          <w:sz w:val="12"/>
        </w:rPr>
        <w:t> </w:t>
      </w:r>
      <w:r w:rsidRPr="000271A4">
        <w:rPr>
          <w:i/>
        </w:rPr>
        <w:t>f</w:t>
      </w:r>
      <w:r w:rsidRPr="000271A4">
        <w:rPr>
          <w:iCs/>
          <w:vertAlign w:val="subscript"/>
        </w:rPr>
        <w:t>0</w:t>
      </w:r>
      <w:r w:rsidRPr="000271A4">
        <w:t xml:space="preserve"> </w:t>
      </w:r>
      <w:r w:rsidRPr="0004775B">
        <w:rPr>
          <w:rFonts w:ascii="Symbol" w:hAnsi="Symbol"/>
        </w:rPr>
        <w:t></w:t>
      </w:r>
      <w:r w:rsidRPr="000271A4">
        <w:t xml:space="preserve"> 2 </w:t>
      </w:r>
      <w:r w:rsidRPr="0004775B">
        <w:rPr>
          <w:rFonts w:ascii="Symbol" w:hAnsi="Symbol"/>
        </w:rPr>
        <w:t></w:t>
      </w:r>
      <w:r w:rsidRPr="000271A4">
        <w:t xml:space="preserve"> 28 </w:t>
      </w:r>
      <w:r w:rsidRPr="000271A4">
        <w:rPr>
          <w:i/>
        </w:rPr>
        <w:t>n</w:t>
      </w:r>
    </w:p>
    <w:p w:rsidR="004C3CEF" w:rsidRPr="0004775B" w:rsidRDefault="004C3CEF" w:rsidP="004C3CEF">
      <w:r>
        <w:lastRenderedPageBreak/>
        <w:t>où</w:t>
      </w:r>
      <w:r w:rsidRPr="0004775B">
        <w:t>:</w:t>
      </w:r>
    </w:p>
    <w:p w:rsidR="004C3CEF" w:rsidRDefault="004C3CEF" w:rsidP="004C3CEF">
      <w:pPr>
        <w:pStyle w:val="enumlev1"/>
        <w:ind w:left="1191" w:hanging="1191"/>
      </w:pPr>
      <w:r w:rsidRPr="0004775B">
        <w:tab/>
      </w:r>
      <w:r w:rsidRPr="0004775B">
        <w:rPr>
          <w:i/>
        </w:rPr>
        <w:t>n</w:t>
      </w:r>
      <w:r w:rsidRPr="0004775B">
        <w:t xml:space="preserve"> </w:t>
      </w:r>
      <w:r w:rsidRPr="0004775B">
        <w:rPr>
          <w:rFonts w:ascii="Symbol" w:hAnsi="Symbol"/>
        </w:rPr>
        <w:t></w:t>
      </w:r>
      <w:r w:rsidRPr="0004775B">
        <w:t xml:space="preserve"> 1, 2, 3, 4, 5, 6, 7, 8, 9, 10.</w:t>
      </w:r>
    </w:p>
    <w:p w:rsidR="004C3CEF" w:rsidRDefault="004C3CEF" w:rsidP="004C3CEF">
      <w:pPr>
        <w:pStyle w:val="FigureNo"/>
      </w:pPr>
      <w:r>
        <w:t>figure 6</w:t>
      </w:r>
    </w:p>
    <w:p w:rsidR="004C3CEF" w:rsidRDefault="004C3CEF" w:rsidP="004C3CEF">
      <w:pPr>
        <w:pStyle w:val="Figuretitle"/>
      </w:pPr>
      <w:r>
        <w:t>Disposition des canaux radioélectriques pour la bande 4 400-5 000 MHz</w:t>
      </w:r>
      <w:r>
        <w:br/>
        <w:t>avec un espacement entre canaux de 28 MHz</w:t>
      </w:r>
    </w:p>
    <w:p w:rsidR="004C3CEF" w:rsidRPr="00981D3B" w:rsidRDefault="004C3CEF" w:rsidP="004C3CEF">
      <w:pPr>
        <w:keepNext/>
        <w:keepLines/>
        <w:spacing w:before="0" w:after="120"/>
        <w:jc w:val="center"/>
        <w:rPr>
          <w:sz w:val="20"/>
        </w:rPr>
      </w:pPr>
      <w:r w:rsidRPr="00981D3B">
        <w:rPr>
          <w:sz w:val="20"/>
        </w:rPr>
        <w:t>(Fréquences en MHz)</w:t>
      </w:r>
    </w:p>
    <w:p w:rsidR="004C3CEF" w:rsidRDefault="007C6ACD" w:rsidP="004C3CEF">
      <w:pPr>
        <w:pStyle w:val="Figure"/>
      </w:pPr>
      <w:r>
        <w:object w:dxaOrig="6487" w:dyaOrig="2639">
          <v:shape id="_x0000_i1033" type="#_x0000_t75" style="width:440.7pt;height:179.75pt" o:ole="">
            <v:imagedata r:id="rId30" o:title=""/>
          </v:shape>
          <o:OLEObject Type="Embed" ProgID="CorelDRAW.Graphic.14" ShapeID="_x0000_i1033" DrawAspect="Content" ObjectID="_1466340593" r:id="rId31"/>
        </w:object>
      </w:r>
    </w:p>
    <w:p w:rsidR="004C3CEF" w:rsidRPr="000271A4" w:rsidRDefault="004C3CEF" w:rsidP="004C3CEF">
      <w:r w:rsidRPr="000271A4">
        <w:rPr>
          <w:b/>
        </w:rPr>
        <w:t>2</w:t>
      </w:r>
      <w:r w:rsidRPr="000271A4">
        <w:tab/>
        <w:t>Tous les canaux aller devraient être situés dans une moitié de la bande et tous les canaux retour dans l'autre moitié</w:t>
      </w:r>
      <w:r>
        <w:t xml:space="preserve"> de la bande.</w:t>
      </w:r>
    </w:p>
    <w:p w:rsidR="004C3CEF" w:rsidRPr="000271A4" w:rsidRDefault="004C3CEF" w:rsidP="004C3CEF">
      <w:r w:rsidRPr="000271A4">
        <w:rPr>
          <w:b/>
        </w:rPr>
        <w:t>3</w:t>
      </w:r>
      <w:r w:rsidRPr="000271A4">
        <w:tab/>
        <w:t xml:space="preserve">Cette disposition des canaux radioélectriques permet aussi la transmission de </w:t>
      </w:r>
      <w:r>
        <w:t>signaux STM</w:t>
      </w:r>
      <w:r>
        <w:noBreakHyphen/>
      </w:r>
      <w:r w:rsidRPr="000271A4">
        <w:t xml:space="preserve">1 </w:t>
      </w:r>
      <w:r>
        <w:t>à</w:t>
      </w:r>
      <w:r w:rsidRPr="000271A4">
        <w:t> 155</w:t>
      </w:r>
      <w:r w:rsidRPr="000271A4">
        <w:rPr>
          <w:sz w:val="12"/>
        </w:rPr>
        <w:t> </w:t>
      </w:r>
      <w:r w:rsidRPr="000271A4">
        <w:t>520 kbit/s</w:t>
      </w:r>
      <w:r>
        <w:t xml:space="preserve"> de la hiérarchie numérique synchrone,</w:t>
      </w:r>
      <w:r w:rsidRPr="000271A4">
        <w:t xml:space="preserve"> </w:t>
      </w:r>
      <w:r>
        <w:t>à l'aide d'une méthode de modulation appropriée.</w:t>
      </w:r>
    </w:p>
    <w:p w:rsidR="004C3CEF" w:rsidRPr="000271A4" w:rsidRDefault="004C3CEF" w:rsidP="004C3CEF">
      <w:r w:rsidRPr="000271A4">
        <w:rPr>
          <w:b/>
        </w:rPr>
        <w:t>4</w:t>
      </w:r>
      <w:r w:rsidRPr="000271A4">
        <w:tab/>
      </w:r>
      <w:r>
        <w:t>Lorsque</w:t>
      </w:r>
      <w:r w:rsidRPr="000271A4">
        <w:t xml:space="preserve"> les caractéristiques de l'équipement et du réseau le permettent, </w:t>
      </w:r>
      <w:r>
        <w:t xml:space="preserve">on peut avoir recours à </w:t>
      </w:r>
      <w:r w:rsidRPr="000271A4">
        <w:t>la réut</w:t>
      </w:r>
      <w:r>
        <w:t>ilisation des fréquences dans le</w:t>
      </w:r>
      <w:r w:rsidRPr="000271A4">
        <w:t xml:space="preserve"> m</w:t>
      </w:r>
      <w:r>
        <w:t>ême canal présentée dans la disposition, avec l'accord des administrations concernées, pour améliorer l'efficacité spectrale</w:t>
      </w:r>
      <w:r w:rsidRPr="000271A4">
        <w:t>.</w:t>
      </w:r>
    </w:p>
    <w:p w:rsidR="004C3CEF" w:rsidRDefault="004C3CEF" w:rsidP="004C3CEF">
      <w:r w:rsidRPr="00433514">
        <w:rPr>
          <w:b/>
          <w:bCs/>
        </w:rPr>
        <w:t>5</w:t>
      </w:r>
      <w:r w:rsidRPr="00250BD3">
        <w:tab/>
        <w:t xml:space="preserve">Lorsqu'il est nécessaire d'utiliser des liaisons de très grande capacité (par exemple deux fois le module 1 du mode de transfert synchrone (STM-1)) et que la coordination du réseau le permet, il est possible, avec l'accord des administrations concernées, d'utiliser deux canaux adjacents quelconques de 28 MHz spécifiés au point 1 du </w:t>
      </w:r>
      <w:r w:rsidRPr="00136660">
        <w:rPr>
          <w:i/>
          <w:iCs/>
        </w:rPr>
        <w:t>recommande</w:t>
      </w:r>
      <w:r w:rsidRPr="00250BD3">
        <w:t>, pour des systèmes ayant une plus grande largeur de bande, la fréquence centrale se trouvant à égale distance entre les deux canaux adjacents de 28 MHz.</w:t>
      </w:r>
    </w:p>
    <w:p w:rsidR="004C3CEF" w:rsidRDefault="004C3CEF" w:rsidP="004C3CEF">
      <w:pPr>
        <w:rPr>
          <w:lang w:val="fr-CH"/>
        </w:rPr>
      </w:pPr>
    </w:p>
    <w:p w:rsidR="004C3CEF" w:rsidRPr="00A758D0" w:rsidRDefault="004C3CEF" w:rsidP="004C3CEF">
      <w:pPr>
        <w:rPr>
          <w:lang w:val="fr-CH"/>
        </w:rPr>
      </w:pPr>
    </w:p>
    <w:p w:rsidR="004C3CEF" w:rsidRDefault="004C3CEF" w:rsidP="004C3CEF">
      <w:pPr>
        <w:jc w:val="center"/>
      </w:pPr>
      <w:r>
        <w:t>______________</w:t>
      </w:r>
    </w:p>
    <w:p w:rsidR="004C3CEF" w:rsidRDefault="004C3CEF" w:rsidP="004C3CEF">
      <w:pPr>
        <w:rPr>
          <w:lang w:val="en-US"/>
        </w:rPr>
      </w:pPr>
    </w:p>
    <w:p w:rsidR="004C3CEF" w:rsidRPr="004C3CEF" w:rsidRDefault="004C3CEF" w:rsidP="004C3CEF">
      <w:pPr>
        <w:rPr>
          <w:lang w:val="en-US"/>
        </w:rPr>
      </w:pPr>
    </w:p>
    <w:sectPr w:rsidR="004C3CEF" w:rsidRPr="004C3CEF" w:rsidSect="00264E20">
      <w:headerReference w:type="even" r:id="rId32"/>
      <w:headerReference w:type="default" r:id="rId3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CEF" w:rsidRDefault="004C3CEF">
      <w:r>
        <w:separator/>
      </w:r>
    </w:p>
  </w:endnote>
  <w:endnote w:type="continuationSeparator" w:id="0">
    <w:p w:rsidR="004C3CEF" w:rsidRDefault="004C3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CEF" w:rsidRDefault="004C3CEF">
      <w:r>
        <w:separator/>
      </w:r>
    </w:p>
  </w:footnote>
  <w:footnote w:type="continuationSeparator" w:id="0">
    <w:p w:rsidR="004C3CEF" w:rsidRDefault="004C3C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CEF" w:rsidRDefault="004C3CE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CEF" w:rsidRDefault="004C3CEF" w:rsidP="00C668C8">
    <w:pPr>
      <w:pStyle w:val="Header"/>
      <w:ind w:right="360" w:firstLine="360"/>
    </w:pPr>
    <w:r>
      <w:rPr>
        <w:noProof/>
        <w:lang w:val="en-US" w:eastAsia="zh-CN"/>
      </w:rPr>
      <w:drawing>
        <wp:anchor distT="0" distB="0" distL="114300" distR="114300" simplePos="0" relativeHeight="251659264" behindDoc="1" locked="0" layoutInCell="1" allowOverlap="1" wp14:anchorId="09C7DDF3" wp14:editId="539A7896">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CEF" w:rsidRPr="00837CB5" w:rsidRDefault="004C3CEF" w:rsidP="00264E2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060F7">
      <w:rPr>
        <w:rStyle w:val="PageNumber"/>
        <w:b/>
        <w:bCs/>
        <w:noProof/>
      </w:rPr>
      <w:t>ii</w:t>
    </w:r>
    <w:r>
      <w:rPr>
        <w:rStyle w:val="PageNumber"/>
        <w:b/>
        <w:bCs/>
      </w:rPr>
      <w:fldChar w:fldCharType="end"/>
    </w:r>
    <w:r w:rsidRPr="00837CB5">
      <w:tab/>
    </w:r>
    <w:fldSimple w:instr=" DOCPROPERTY &quot;Header&quot; \* MERGEFORMAT ">
      <w:r w:rsidR="00392220" w:rsidRPr="00392220">
        <w:rPr>
          <w:b/>
          <w:bCs/>
        </w:rPr>
        <w:t xml:space="preserve">Rec. </w:t>
      </w:r>
    </w:fldSimple>
    <w:r>
      <w:rPr>
        <w:b/>
        <w:bCs/>
      </w:rPr>
      <w:t xml:space="preserve"> </w:t>
    </w:r>
    <w:r w:rsidR="00264E20">
      <w:rPr>
        <w:b/>
        <w:bCs/>
      </w:rPr>
      <w:t xml:space="preserve">UIT-R  </w:t>
    </w:r>
    <w:r w:rsidR="00264E20">
      <w:rPr>
        <w:b/>
        <w:bCs/>
      </w:rPr>
      <w:fldChar w:fldCharType="begin"/>
    </w:r>
    <w:r w:rsidR="00264E20" w:rsidRPr="00FC42AF">
      <w:rPr>
        <w:b/>
        <w:bCs/>
      </w:rPr>
      <w:instrText>styleref href</w:instrText>
    </w:r>
    <w:r w:rsidR="00264E20">
      <w:rPr>
        <w:b/>
        <w:bCs/>
      </w:rPr>
      <w:fldChar w:fldCharType="separate"/>
    </w:r>
    <w:r w:rsidR="00392220">
      <w:rPr>
        <w:b/>
        <w:bCs/>
        <w:noProof/>
      </w:rPr>
      <w:t>F.1099-5</w:t>
    </w:r>
    <w:r w:rsidR="00264E20">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CEF" w:rsidRDefault="004C3CEF">
    <w:pPr>
      <w:pStyle w:val="Header"/>
    </w:pPr>
    <w:r>
      <w:tab/>
    </w:r>
    <w:fldSimple w:instr=" DOCPROPERTY &quot;Header&quot; \* MERGEFORMAT ">
      <w:r w:rsidR="00392220" w:rsidRPr="0039222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92220">
      <w:rPr>
        <w:b/>
        <w:bCs/>
        <w:noProof/>
      </w:rPr>
      <w:t>F.1099-5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87686">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392220" w:rsidRPr="00392220">
      <w:rPr>
        <w:b/>
        <w:bCs/>
        <w:lang w:val="en-US"/>
      </w:rPr>
      <w:t xml:space="preserve">Rec. </w:t>
    </w:r>
    <w:r w:rsidR="009E00A8">
      <w:rPr>
        <w:b/>
        <w:bCs/>
        <w:lang w:val="en-US"/>
      </w:rPr>
      <w:fldChar w:fldCharType="end"/>
    </w:r>
    <w:r w:rsidRPr="009E00A8">
      <w:rPr>
        <w:b/>
        <w:bCs/>
        <w:lang w:val="en-US"/>
      </w:rPr>
      <w:t xml:space="preserve"> </w:t>
    </w:r>
    <w:r w:rsidR="00264E20">
      <w:rPr>
        <w:b/>
        <w:bCs/>
        <w:lang w:val="en-US"/>
      </w:rPr>
      <w:t xml:space="preserve">UIT-R  </w:t>
    </w:r>
    <w:r>
      <w:rPr>
        <w:b/>
        <w:bCs/>
      </w:rPr>
      <w:fldChar w:fldCharType="begin"/>
    </w:r>
    <w:r>
      <w:rPr>
        <w:b/>
        <w:bCs/>
        <w:lang w:val="en-US"/>
      </w:rPr>
      <w:instrText>styleref href</w:instrText>
    </w:r>
    <w:r>
      <w:rPr>
        <w:b/>
        <w:bCs/>
      </w:rPr>
      <w:fldChar w:fldCharType="separate"/>
    </w:r>
    <w:r w:rsidR="00487686">
      <w:rPr>
        <w:b/>
        <w:bCs/>
        <w:noProof/>
      </w:rPr>
      <w:t>F.1099-5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392220" w:rsidRPr="00392220">
        <w:rPr>
          <w:b/>
          <w:bCs/>
        </w:rPr>
        <w:t xml:space="preserve">Rec. </w:t>
      </w:r>
    </w:fldSimple>
    <w:r>
      <w:rPr>
        <w:b/>
        <w:bCs/>
      </w:rPr>
      <w:t xml:space="preserve"> </w:t>
    </w:r>
    <w:r w:rsidR="00264E20">
      <w:rPr>
        <w:b/>
        <w:bCs/>
      </w:rPr>
      <w:t xml:space="preserve">UIT-R  </w:t>
    </w:r>
    <w:r>
      <w:rPr>
        <w:b/>
        <w:bCs/>
      </w:rPr>
      <w:fldChar w:fldCharType="begin"/>
    </w:r>
    <w:r>
      <w:rPr>
        <w:b/>
        <w:bCs/>
      </w:rPr>
      <w:instrText>styleref href</w:instrText>
    </w:r>
    <w:r>
      <w:rPr>
        <w:b/>
        <w:bCs/>
      </w:rPr>
      <w:fldChar w:fldCharType="separate"/>
    </w:r>
    <w:r w:rsidR="00487686">
      <w:rPr>
        <w:b/>
        <w:bCs/>
        <w:noProof/>
      </w:rPr>
      <w:t>F.1099-5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87686">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CEF"/>
    <w:rsid w:val="00074621"/>
    <w:rsid w:val="00217EBF"/>
    <w:rsid w:val="00242AEE"/>
    <w:rsid w:val="0026251A"/>
    <w:rsid w:val="00264E20"/>
    <w:rsid w:val="002D35FC"/>
    <w:rsid w:val="002D76C4"/>
    <w:rsid w:val="00392220"/>
    <w:rsid w:val="00405409"/>
    <w:rsid w:val="00487686"/>
    <w:rsid w:val="004C3CEF"/>
    <w:rsid w:val="0052529D"/>
    <w:rsid w:val="00547665"/>
    <w:rsid w:val="005B4CE2"/>
    <w:rsid w:val="00607D68"/>
    <w:rsid w:val="0062074E"/>
    <w:rsid w:val="0065730F"/>
    <w:rsid w:val="007404B3"/>
    <w:rsid w:val="007468DA"/>
    <w:rsid w:val="007C6ACD"/>
    <w:rsid w:val="009E00A8"/>
    <w:rsid w:val="00A30ED8"/>
    <w:rsid w:val="00A6617B"/>
    <w:rsid w:val="00AB0DC8"/>
    <w:rsid w:val="00B060F7"/>
    <w:rsid w:val="00B15A6F"/>
    <w:rsid w:val="00B44E24"/>
    <w:rsid w:val="00DB2AAB"/>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3CE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C3CEF"/>
    <w:rPr>
      <w:b/>
      <w:sz w:val="24"/>
      <w:lang w:val="fr-FR" w:eastAsia="en-US"/>
    </w:rPr>
  </w:style>
  <w:style w:type="character" w:styleId="Hyperlink">
    <w:name w:val="Hyperlink"/>
    <w:basedOn w:val="DefaultParagraphFont"/>
    <w:rsid w:val="004C3CEF"/>
    <w:rPr>
      <w:color w:val="0000FF"/>
      <w:u w:val="single"/>
    </w:rPr>
  </w:style>
  <w:style w:type="paragraph" w:styleId="BalloonText">
    <w:name w:val="Balloon Text"/>
    <w:basedOn w:val="Normal"/>
    <w:link w:val="BalloonTextChar"/>
    <w:rsid w:val="0026251A"/>
    <w:pPr>
      <w:spacing w:before="0"/>
    </w:pPr>
    <w:rPr>
      <w:rFonts w:ascii="Tahoma" w:hAnsi="Tahoma" w:cs="Tahoma"/>
      <w:sz w:val="16"/>
      <w:szCs w:val="16"/>
    </w:rPr>
  </w:style>
  <w:style w:type="character" w:customStyle="1" w:styleId="BalloonTextChar">
    <w:name w:val="Balloon Text Char"/>
    <w:basedOn w:val="DefaultParagraphFont"/>
    <w:link w:val="BalloonText"/>
    <w:rsid w:val="0026251A"/>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3CE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C3CEF"/>
    <w:rPr>
      <w:b/>
      <w:sz w:val="24"/>
      <w:lang w:val="fr-FR" w:eastAsia="en-US"/>
    </w:rPr>
  </w:style>
  <w:style w:type="character" w:styleId="Hyperlink">
    <w:name w:val="Hyperlink"/>
    <w:basedOn w:val="DefaultParagraphFont"/>
    <w:rsid w:val="004C3CEF"/>
    <w:rPr>
      <w:color w:val="0000FF"/>
      <w:u w:val="single"/>
    </w:rPr>
  </w:style>
  <w:style w:type="paragraph" w:styleId="BalloonText">
    <w:name w:val="Balloon Text"/>
    <w:basedOn w:val="Normal"/>
    <w:link w:val="BalloonTextChar"/>
    <w:rsid w:val="0026251A"/>
    <w:pPr>
      <w:spacing w:before="0"/>
    </w:pPr>
    <w:rPr>
      <w:rFonts w:ascii="Tahoma" w:hAnsi="Tahoma" w:cs="Tahoma"/>
      <w:sz w:val="16"/>
      <w:szCs w:val="16"/>
    </w:rPr>
  </w:style>
  <w:style w:type="character" w:customStyle="1" w:styleId="BalloonTextChar">
    <w:name w:val="Balloon Text Char"/>
    <w:basedOn w:val="DefaultParagraphFont"/>
    <w:link w:val="BalloonText"/>
    <w:rsid w:val="0026251A"/>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wmf"/><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emf"/><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sel\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B373C-1F92-4EE0-8BF1-8FEFAA6A5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372</TotalTime>
  <Pages>10</Pages>
  <Words>2434</Words>
  <Characters>13350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15753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Clausel, Magali</dc:creator>
  <cp:lastModifiedBy>Brice, Corinne</cp:lastModifiedBy>
  <cp:revision>14</cp:revision>
  <cp:lastPrinted>2014-07-08T12:49:00Z</cp:lastPrinted>
  <dcterms:created xsi:type="dcterms:W3CDTF">2014-06-24T13:15:00Z</dcterms:created>
  <dcterms:modified xsi:type="dcterms:W3CDTF">2014-07-08T14:01:00Z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