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C03" w:rsidRDefault="00112C03"/>
    <w:p w:rsidR="00112C03" w:rsidRDefault="00112C03"/>
    <w:p w:rsidR="00112C03" w:rsidRDefault="00112C03"/>
    <w:p w:rsidR="00112C03" w:rsidRDefault="00112C03"/>
    <w:p w:rsidR="00112C03" w:rsidRDefault="00112C03"/>
    <w:p w:rsidR="00112C03" w:rsidRDefault="00112C03"/>
    <w:p w:rsidR="00112C03" w:rsidRDefault="00112C03"/>
    <w:p w:rsidR="00112C03" w:rsidRDefault="00112C03"/>
    <w:p w:rsidR="00112C03" w:rsidRDefault="00112C03"/>
    <w:p w:rsidR="00112C03" w:rsidRDefault="00112C03"/>
    <w:p w:rsidR="00112C03" w:rsidRDefault="00112C03"/>
    <w:p w:rsidR="00112C03" w:rsidRDefault="00112C03"/>
    <w:tbl>
      <w:tblPr>
        <w:tblW w:w="10089" w:type="dxa"/>
        <w:tblLook w:val="01E0"/>
      </w:tblPr>
      <w:tblGrid>
        <w:gridCol w:w="10089"/>
      </w:tblGrid>
      <w:tr w:rsidR="00112C03" w:rsidRPr="00A443C2">
        <w:tc>
          <w:tcPr>
            <w:tcW w:w="10089" w:type="dxa"/>
          </w:tcPr>
          <w:p w:rsidR="00112C03" w:rsidRPr="00B033C8" w:rsidRDefault="00112C03" w:rsidP="00013002">
            <w:pPr>
              <w:spacing w:before="380" w:line="280" w:lineRule="exact"/>
              <w:jc w:val="right"/>
              <w:rPr>
                <w:rFonts w:ascii="Tahoma" w:hAnsi="Tahoma" w:cs="Tahoma"/>
                <w:b/>
                <w:bCs/>
                <w:iCs/>
                <w:color w:val="243285"/>
                <w:sz w:val="32"/>
                <w:szCs w:val="32"/>
                <w:lang w:val="en-US"/>
              </w:rPr>
            </w:pPr>
          </w:p>
          <w:p w:rsidR="00112C03" w:rsidRPr="00A443C2" w:rsidRDefault="00112C03" w:rsidP="00405A5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405A5B">
              <w:rPr>
                <w:rFonts w:ascii="Tahoma" w:hAnsi="Tahoma" w:cs="Tahoma"/>
                <w:b/>
                <w:bCs/>
                <w:iCs/>
                <w:color w:val="243285"/>
                <w:sz w:val="36"/>
                <w:szCs w:val="36"/>
              </w:rPr>
              <w:t>106-2</w:t>
            </w:r>
          </w:p>
          <w:p w:rsidR="00112C03" w:rsidRPr="00A443C2" w:rsidRDefault="00112C03" w:rsidP="00405A5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405A5B">
              <w:rPr>
                <w:rFonts w:ascii="Tahoma" w:hAnsi="Tahoma" w:cs="Tahoma"/>
                <w:b/>
                <w:bCs/>
                <w:iCs/>
                <w:color w:val="243285"/>
                <w:szCs w:val="24"/>
              </w:rPr>
              <w:t>5</w:t>
            </w:r>
            <w:r w:rsidRPr="00A443C2">
              <w:rPr>
                <w:rFonts w:ascii="Tahoma" w:hAnsi="Tahoma" w:cs="Tahoma"/>
                <w:b/>
                <w:bCs/>
                <w:iCs/>
                <w:color w:val="243285"/>
                <w:szCs w:val="24"/>
              </w:rPr>
              <w:t>/</w:t>
            </w:r>
            <w:r w:rsidR="00405A5B">
              <w:rPr>
                <w:rFonts w:ascii="Tahoma" w:hAnsi="Tahoma" w:cs="Tahoma"/>
                <w:b/>
                <w:bCs/>
                <w:iCs/>
                <w:color w:val="243285"/>
                <w:szCs w:val="24"/>
              </w:rPr>
              <w:t>1999</w:t>
            </w:r>
            <w:r w:rsidRPr="00A443C2">
              <w:rPr>
                <w:rFonts w:ascii="Tahoma" w:hAnsi="Tahoma" w:cs="Tahoma"/>
                <w:b/>
                <w:bCs/>
                <w:iCs/>
                <w:color w:val="243285"/>
                <w:szCs w:val="24"/>
              </w:rPr>
              <w:t>)</w:t>
            </w:r>
          </w:p>
        </w:tc>
      </w:tr>
      <w:tr w:rsidR="00112C03" w:rsidRPr="00F54FBD">
        <w:tc>
          <w:tcPr>
            <w:tcW w:w="10089" w:type="dxa"/>
          </w:tcPr>
          <w:p w:rsidR="00112C03" w:rsidRDefault="00112C03" w:rsidP="00123FD5">
            <w:pPr>
              <w:spacing w:before="80" w:line="500" w:lineRule="exact"/>
              <w:jc w:val="right"/>
              <w:rPr>
                <w:rFonts w:ascii="Tahoma" w:hAnsi="Tahoma" w:cs="Tahoma"/>
                <w:b/>
                <w:bCs/>
                <w:iCs/>
                <w:color w:val="243285"/>
                <w:sz w:val="44"/>
                <w:szCs w:val="44"/>
              </w:rPr>
            </w:pPr>
          </w:p>
          <w:p w:rsidR="00112C03" w:rsidRPr="00405A5B" w:rsidRDefault="00405A5B" w:rsidP="00405A5B">
            <w:pPr>
              <w:spacing w:before="80" w:line="500" w:lineRule="exact"/>
              <w:jc w:val="right"/>
              <w:rPr>
                <w:rFonts w:ascii="Tahoma" w:hAnsi="Tahoma" w:cs="Tahoma"/>
                <w:b/>
                <w:bCs/>
                <w:iCs/>
                <w:color w:val="243285"/>
                <w:sz w:val="44"/>
                <w:szCs w:val="44"/>
              </w:rPr>
            </w:pPr>
            <w:r w:rsidRPr="00405A5B">
              <w:rPr>
                <w:rFonts w:ascii="Tahoma" w:hAnsi="Tahoma" w:cs="Tahoma"/>
                <w:b/>
                <w:bCs/>
                <w:color w:val="243285"/>
                <w:sz w:val="44"/>
                <w:szCs w:val="44"/>
              </w:rPr>
              <w:t>Utilisation des techniques de réception en</w:t>
            </w:r>
            <w:r>
              <w:rPr>
                <w:rFonts w:ascii="Tahoma" w:hAnsi="Tahoma" w:cs="Tahoma"/>
                <w:b/>
                <w:bCs/>
                <w:color w:val="243285"/>
                <w:sz w:val="44"/>
                <w:szCs w:val="44"/>
              </w:rPr>
              <w:t xml:space="preserve"> </w:t>
            </w:r>
            <w:r w:rsidRPr="00405A5B">
              <w:rPr>
                <w:rFonts w:ascii="Tahoma" w:hAnsi="Tahoma" w:cs="Tahoma"/>
                <w:b/>
                <w:bCs/>
                <w:color w:val="243285"/>
                <w:sz w:val="44"/>
                <w:szCs w:val="44"/>
              </w:rPr>
              <w:t>diversité pour la</w:t>
            </w:r>
            <w:r>
              <w:rPr>
                <w:rFonts w:ascii="Tahoma" w:hAnsi="Tahoma" w:cs="Tahoma"/>
                <w:b/>
                <w:bCs/>
                <w:color w:val="243285"/>
                <w:sz w:val="44"/>
                <w:szCs w:val="44"/>
              </w:rPr>
              <w:t xml:space="preserve"> </w:t>
            </w:r>
            <w:r w:rsidRPr="00405A5B">
              <w:rPr>
                <w:rFonts w:ascii="Tahoma" w:hAnsi="Tahoma" w:cs="Tahoma"/>
                <w:b/>
                <w:bCs/>
                <w:color w:val="243285"/>
                <w:sz w:val="44"/>
                <w:szCs w:val="44"/>
              </w:rPr>
              <w:t>télégraphie harmonique sur</w:t>
            </w:r>
            <w:r>
              <w:rPr>
                <w:rFonts w:ascii="Tahoma" w:hAnsi="Tahoma" w:cs="Tahoma"/>
                <w:b/>
                <w:bCs/>
                <w:color w:val="243285"/>
                <w:sz w:val="44"/>
                <w:szCs w:val="44"/>
              </w:rPr>
              <w:t xml:space="preserve"> </w:t>
            </w:r>
            <w:r w:rsidRPr="00405A5B">
              <w:rPr>
                <w:rFonts w:ascii="Tahoma" w:hAnsi="Tahoma" w:cs="Tahoma"/>
                <w:b/>
                <w:bCs/>
                <w:color w:val="243285"/>
                <w:sz w:val="44"/>
                <w:szCs w:val="44"/>
              </w:rPr>
              <w:t>circuits radioélectriques</w:t>
            </w:r>
            <w:r>
              <w:rPr>
                <w:rFonts w:ascii="Tahoma" w:hAnsi="Tahoma" w:cs="Tahoma"/>
                <w:b/>
                <w:bCs/>
                <w:color w:val="243285"/>
                <w:sz w:val="44"/>
                <w:szCs w:val="44"/>
              </w:rPr>
              <w:t xml:space="preserve"> </w:t>
            </w:r>
            <w:r w:rsidRPr="00405A5B">
              <w:rPr>
                <w:rFonts w:ascii="Tahoma" w:hAnsi="Tahoma" w:cs="Tahoma"/>
                <w:b/>
                <w:bCs/>
                <w:color w:val="243285"/>
                <w:sz w:val="44"/>
                <w:szCs w:val="44"/>
              </w:rPr>
              <w:t>à ondes</w:t>
            </w:r>
            <w:r>
              <w:rPr>
                <w:rFonts w:ascii="Tahoma" w:hAnsi="Tahoma" w:cs="Tahoma"/>
                <w:b/>
                <w:bCs/>
                <w:color w:val="243285"/>
                <w:sz w:val="44"/>
                <w:szCs w:val="44"/>
              </w:rPr>
              <w:t xml:space="preserve"> </w:t>
            </w:r>
            <w:r w:rsidRPr="00405A5B">
              <w:rPr>
                <w:rFonts w:ascii="Tahoma" w:hAnsi="Tahoma" w:cs="Tahoma"/>
                <w:b/>
                <w:bCs/>
                <w:color w:val="243285"/>
                <w:sz w:val="44"/>
                <w:szCs w:val="44"/>
              </w:rPr>
              <w:t>décamétriques</w:t>
            </w:r>
          </w:p>
          <w:p w:rsidR="00112C03" w:rsidRPr="00F54FBD" w:rsidRDefault="00112C03" w:rsidP="00FE79FE">
            <w:pPr>
              <w:spacing w:before="80" w:line="500" w:lineRule="exact"/>
              <w:jc w:val="right"/>
              <w:rPr>
                <w:rFonts w:ascii="Tahoma" w:hAnsi="Tahoma" w:cs="Tahoma"/>
                <w:b/>
                <w:bCs/>
                <w:iCs/>
                <w:color w:val="243285"/>
                <w:sz w:val="44"/>
                <w:szCs w:val="44"/>
              </w:rPr>
            </w:pPr>
          </w:p>
        </w:tc>
      </w:tr>
      <w:tr w:rsidR="00112C03" w:rsidRPr="00F54FBD">
        <w:tc>
          <w:tcPr>
            <w:tcW w:w="10089" w:type="dxa"/>
          </w:tcPr>
          <w:p w:rsidR="00112C03" w:rsidRPr="00F54FBD" w:rsidRDefault="00112C03" w:rsidP="00AD267B">
            <w:pPr>
              <w:spacing w:before="80" w:line="280" w:lineRule="exact"/>
              <w:ind w:right="640"/>
              <w:rPr>
                <w:rFonts w:ascii="Tahoma" w:hAnsi="Tahoma" w:cs="Tahoma"/>
                <w:b/>
                <w:bCs/>
                <w:iCs/>
                <w:color w:val="243285"/>
                <w:sz w:val="32"/>
                <w:szCs w:val="32"/>
              </w:rPr>
            </w:pPr>
          </w:p>
          <w:p w:rsidR="00112C03" w:rsidRPr="00F54FBD" w:rsidRDefault="00112C03" w:rsidP="00AD267B">
            <w:pPr>
              <w:spacing w:before="80" w:line="280" w:lineRule="exact"/>
              <w:ind w:right="640"/>
              <w:rPr>
                <w:rFonts w:ascii="Tahoma" w:hAnsi="Tahoma" w:cs="Tahoma"/>
                <w:b/>
                <w:bCs/>
                <w:iCs/>
                <w:color w:val="243285"/>
                <w:sz w:val="32"/>
                <w:szCs w:val="32"/>
              </w:rPr>
            </w:pPr>
          </w:p>
          <w:p w:rsidR="00112C03" w:rsidRPr="00F54FBD" w:rsidRDefault="00112C03" w:rsidP="004A4D65">
            <w:pPr>
              <w:spacing w:before="80" w:after="180" w:line="360" w:lineRule="exact"/>
              <w:ind w:right="720"/>
              <w:rPr>
                <w:rFonts w:ascii="Tahoma" w:hAnsi="Tahoma" w:cs="Tahoma"/>
                <w:b/>
                <w:bCs/>
                <w:iCs/>
                <w:color w:val="243285"/>
                <w:sz w:val="36"/>
                <w:szCs w:val="36"/>
              </w:rPr>
            </w:pPr>
          </w:p>
          <w:p w:rsidR="00112C03" w:rsidRPr="00F54FBD" w:rsidRDefault="00112C03" w:rsidP="00E80F1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112C03" w:rsidRPr="00F54FBD" w:rsidRDefault="00112C03"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112C03" w:rsidRPr="00F54FBD" w:rsidRDefault="00112C03" w:rsidP="00CD659B">
      <w:pPr>
        <w:spacing w:before="80"/>
        <w:rPr>
          <w:i/>
          <w:sz w:val="22"/>
        </w:rPr>
      </w:pPr>
    </w:p>
    <w:p w:rsidR="00112C03" w:rsidRPr="00F54FBD" w:rsidRDefault="00112C03" w:rsidP="00CD659B">
      <w:pPr>
        <w:spacing w:before="80"/>
        <w:rPr>
          <w:i/>
          <w:sz w:val="22"/>
        </w:rPr>
      </w:pPr>
    </w:p>
    <w:p w:rsidR="00112C03" w:rsidRPr="00F54FBD" w:rsidRDefault="00112C03" w:rsidP="00CD659B">
      <w:pPr>
        <w:spacing w:before="80"/>
        <w:rPr>
          <w:i/>
          <w:sz w:val="22"/>
        </w:rPr>
      </w:pPr>
    </w:p>
    <w:p w:rsidR="00112C03" w:rsidRPr="00F54FBD" w:rsidRDefault="00112C03" w:rsidP="00CD659B">
      <w:pPr>
        <w:spacing w:before="80"/>
        <w:rPr>
          <w:i/>
          <w:sz w:val="22"/>
        </w:rPr>
      </w:pPr>
    </w:p>
    <w:p w:rsidR="00112C03" w:rsidRPr="00F54FBD" w:rsidRDefault="00112C03" w:rsidP="00CD659B">
      <w:pPr>
        <w:spacing w:before="80"/>
        <w:rPr>
          <w:i/>
          <w:sz w:val="22"/>
        </w:rPr>
      </w:pPr>
    </w:p>
    <w:p w:rsidR="00112C03" w:rsidRPr="00F54FBD" w:rsidRDefault="00112C03" w:rsidP="00CD659B">
      <w:pPr>
        <w:spacing w:before="80"/>
        <w:rPr>
          <w:i/>
          <w:sz w:val="22"/>
        </w:rPr>
      </w:pPr>
    </w:p>
    <w:p w:rsidR="00112C03" w:rsidRPr="00F54FBD" w:rsidRDefault="00112C03" w:rsidP="00CD659B">
      <w:pPr>
        <w:pStyle w:val="Equation"/>
        <w:tabs>
          <w:tab w:val="clear" w:pos="4820"/>
          <w:tab w:val="clear" w:pos="9639"/>
          <w:tab w:val="left" w:pos="1191"/>
          <w:tab w:val="left" w:pos="1588"/>
          <w:tab w:val="left" w:pos="1985"/>
        </w:tabs>
        <w:rPr>
          <w:rFonts w:ascii="Palatino Linotype" w:hAnsi="Palatino Linotype"/>
        </w:rPr>
        <w:sectPr w:rsidR="00112C03" w:rsidRPr="00F54FBD" w:rsidSect="00B656FA">
          <w:headerReference w:type="even" r:id="rId7"/>
          <w:headerReference w:type="default" r:id="rId8"/>
          <w:pgSz w:w="11907" w:h="16834" w:code="9"/>
          <w:pgMar w:top="1418" w:right="1134" w:bottom="1134" w:left="1134" w:header="720" w:footer="482" w:gutter="0"/>
          <w:paperSrc w:first="15" w:other="15"/>
          <w:cols w:space="720"/>
        </w:sectPr>
      </w:pPr>
    </w:p>
    <w:p w:rsidR="00112C03" w:rsidRPr="00F54FBD" w:rsidRDefault="00112C03"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112C03" w:rsidRPr="00F54FBD" w:rsidRDefault="00112C03"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12C03" w:rsidRPr="00F54FBD" w:rsidRDefault="00112C03"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12C03" w:rsidRPr="00E44CBB" w:rsidRDefault="00112C03"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12C03" w:rsidRPr="00E44CBB" w:rsidRDefault="00112C03"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12C03" w:rsidRPr="00112C03" w:rsidRDefault="00112C03"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112C03" w:rsidRPr="009454F8">
        <w:tc>
          <w:tcPr>
            <w:tcW w:w="9360" w:type="dxa"/>
            <w:gridSpan w:val="2"/>
          </w:tcPr>
          <w:p w:rsidR="00112C03" w:rsidRPr="009454F8" w:rsidRDefault="00112C03"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12C03" w:rsidRPr="009454F8" w:rsidRDefault="00112C03"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112C03" w:rsidRPr="00036EE3" w:rsidTr="005E427C">
        <w:tc>
          <w:tcPr>
            <w:tcW w:w="1140" w:type="dxa"/>
            <w:tcBorders>
              <w:bottom w:val="nil"/>
            </w:tcBorders>
          </w:tcPr>
          <w:p w:rsidR="00112C03" w:rsidRPr="00614CC6" w:rsidRDefault="00112C03"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112C03" w:rsidRPr="00614CC6" w:rsidRDefault="00112C03"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12C03" w:rsidRPr="005E427C" w:rsidTr="005E427C">
        <w:tc>
          <w:tcPr>
            <w:tcW w:w="1140" w:type="dxa"/>
            <w:tcBorders>
              <w:top w:val="nil"/>
              <w:bottom w:val="nil"/>
            </w:tcBorders>
            <w:shd w:val="clear" w:color="auto" w:fill="auto"/>
          </w:tcPr>
          <w:p w:rsidR="00112C03" w:rsidRPr="005E427C" w:rsidRDefault="00112C03"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112C03" w:rsidRPr="005E427C" w:rsidRDefault="00112C03"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112C03" w:rsidRPr="009454F8" w:rsidTr="00E80F1D">
        <w:tc>
          <w:tcPr>
            <w:tcW w:w="1140" w:type="dxa"/>
            <w:tcBorders>
              <w:top w:val="nil"/>
              <w:bottom w:val="nil"/>
            </w:tcBorders>
          </w:tcPr>
          <w:p w:rsidR="00112C03" w:rsidRPr="00614CC6" w:rsidRDefault="00112C03"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112C03" w:rsidRPr="00614CC6" w:rsidRDefault="00112C03"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12C03" w:rsidRPr="00E80F1D" w:rsidTr="00E80F1D">
        <w:tc>
          <w:tcPr>
            <w:tcW w:w="1140" w:type="dxa"/>
            <w:tcBorders>
              <w:top w:val="nil"/>
              <w:bottom w:val="nil"/>
            </w:tcBorders>
            <w:shd w:val="clear" w:color="auto" w:fill="auto"/>
          </w:tcPr>
          <w:p w:rsidR="00112C03" w:rsidRPr="00E80F1D" w:rsidRDefault="00112C03"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112C03" w:rsidRPr="00E80F1D" w:rsidRDefault="00112C03"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112C03" w:rsidRPr="00ED2695" w:rsidTr="00E80F1D">
        <w:tc>
          <w:tcPr>
            <w:tcW w:w="1140" w:type="dxa"/>
            <w:tcBorders>
              <w:top w:val="nil"/>
              <w:bottom w:val="nil"/>
            </w:tcBorders>
            <w:shd w:val="clear" w:color="auto" w:fill="auto"/>
          </w:tcPr>
          <w:p w:rsidR="00112C03" w:rsidRPr="00614CC6" w:rsidRDefault="00112C03"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112C03" w:rsidRPr="00614CC6" w:rsidRDefault="00112C03"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12C03" w:rsidRPr="00E80F1D" w:rsidTr="00E80F1D">
        <w:tc>
          <w:tcPr>
            <w:tcW w:w="1140" w:type="dxa"/>
            <w:tcBorders>
              <w:top w:val="nil"/>
              <w:bottom w:val="nil"/>
            </w:tcBorders>
            <w:shd w:val="clear" w:color="auto" w:fill="F3F3F3"/>
          </w:tcPr>
          <w:p w:rsidR="00112C03" w:rsidRPr="00E80F1D" w:rsidRDefault="00112C03" w:rsidP="00F336CC">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112C03" w:rsidRPr="00E80F1D" w:rsidRDefault="00112C03"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112C03" w:rsidRPr="00B21066" w:rsidTr="00B21066">
        <w:tc>
          <w:tcPr>
            <w:tcW w:w="1140" w:type="dxa"/>
            <w:tcBorders>
              <w:top w:val="nil"/>
              <w:bottom w:val="nil"/>
            </w:tcBorders>
            <w:shd w:val="clear" w:color="auto" w:fill="auto"/>
          </w:tcPr>
          <w:p w:rsidR="00112C03" w:rsidRPr="00B21066" w:rsidRDefault="00112C03"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112C03" w:rsidRPr="00B21066" w:rsidRDefault="00112C03"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112C03" w:rsidRPr="00036EE3" w:rsidTr="00B21066">
        <w:tc>
          <w:tcPr>
            <w:tcW w:w="1140" w:type="dxa"/>
            <w:tcBorders>
              <w:top w:val="nil"/>
            </w:tcBorders>
          </w:tcPr>
          <w:p w:rsidR="00112C03" w:rsidRPr="00614CC6" w:rsidRDefault="00112C03"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112C03" w:rsidRPr="00614CC6" w:rsidRDefault="00112C03" w:rsidP="00F336CC">
            <w:pPr>
              <w:spacing w:before="30" w:after="30"/>
              <w:jc w:val="left"/>
              <w:rPr>
                <w:sz w:val="20"/>
                <w:lang w:val="fr-CH"/>
              </w:rPr>
            </w:pPr>
            <w:r w:rsidRPr="00614CC6">
              <w:rPr>
                <w:sz w:val="20"/>
              </w:rPr>
              <w:t>Propagation des ondes radioélectriques</w:t>
            </w:r>
          </w:p>
        </w:tc>
      </w:tr>
      <w:tr w:rsidR="00112C03" w:rsidRPr="00036EE3">
        <w:tc>
          <w:tcPr>
            <w:tcW w:w="1140" w:type="dxa"/>
          </w:tcPr>
          <w:p w:rsidR="00112C03" w:rsidRPr="00614CC6" w:rsidRDefault="00112C03" w:rsidP="00F336CC">
            <w:pPr>
              <w:spacing w:before="30" w:after="30"/>
              <w:ind w:left="57"/>
              <w:jc w:val="left"/>
              <w:rPr>
                <w:b/>
                <w:bCs/>
                <w:sz w:val="20"/>
                <w:lang w:val="en-US"/>
              </w:rPr>
            </w:pPr>
            <w:r w:rsidRPr="00614CC6">
              <w:rPr>
                <w:b/>
                <w:bCs/>
                <w:sz w:val="20"/>
                <w:lang w:val="en-US"/>
              </w:rPr>
              <w:t>RA</w:t>
            </w:r>
          </w:p>
        </w:tc>
        <w:tc>
          <w:tcPr>
            <w:tcW w:w="8220" w:type="dxa"/>
          </w:tcPr>
          <w:p w:rsidR="00112C03" w:rsidRPr="00614CC6" w:rsidRDefault="00112C03"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12C03" w:rsidRPr="00036EE3">
        <w:tc>
          <w:tcPr>
            <w:tcW w:w="1140" w:type="dxa"/>
          </w:tcPr>
          <w:p w:rsidR="00112C03" w:rsidRPr="00614CC6" w:rsidRDefault="00112C03" w:rsidP="00F336CC">
            <w:pPr>
              <w:spacing w:before="30" w:after="30"/>
              <w:ind w:left="57"/>
              <w:jc w:val="left"/>
              <w:rPr>
                <w:b/>
                <w:bCs/>
                <w:sz w:val="20"/>
                <w:lang w:val="en-US"/>
              </w:rPr>
            </w:pPr>
            <w:r w:rsidRPr="00614CC6">
              <w:rPr>
                <w:b/>
                <w:bCs/>
                <w:sz w:val="20"/>
                <w:lang w:val="en-US"/>
              </w:rPr>
              <w:t>RS</w:t>
            </w:r>
          </w:p>
        </w:tc>
        <w:tc>
          <w:tcPr>
            <w:tcW w:w="8220" w:type="dxa"/>
          </w:tcPr>
          <w:p w:rsidR="00112C03" w:rsidRPr="00614CC6" w:rsidRDefault="00112C03"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12C03" w:rsidRPr="00036EE3">
        <w:tc>
          <w:tcPr>
            <w:tcW w:w="1140" w:type="dxa"/>
          </w:tcPr>
          <w:p w:rsidR="00112C03" w:rsidRPr="00614CC6" w:rsidRDefault="00112C03" w:rsidP="00F336CC">
            <w:pPr>
              <w:spacing w:before="30" w:after="30"/>
              <w:ind w:left="57"/>
              <w:jc w:val="left"/>
              <w:rPr>
                <w:b/>
                <w:bCs/>
                <w:sz w:val="20"/>
                <w:lang w:val="en-US"/>
              </w:rPr>
            </w:pPr>
            <w:r w:rsidRPr="00614CC6">
              <w:rPr>
                <w:b/>
                <w:bCs/>
                <w:sz w:val="20"/>
                <w:lang w:val="en-US"/>
              </w:rPr>
              <w:t>S</w:t>
            </w:r>
          </w:p>
        </w:tc>
        <w:tc>
          <w:tcPr>
            <w:tcW w:w="8220" w:type="dxa"/>
          </w:tcPr>
          <w:p w:rsidR="00112C03" w:rsidRPr="00614CC6" w:rsidRDefault="00112C03" w:rsidP="00F336CC">
            <w:pPr>
              <w:spacing w:before="30" w:after="30"/>
              <w:jc w:val="left"/>
              <w:rPr>
                <w:sz w:val="20"/>
                <w:lang w:val="en-US"/>
              </w:rPr>
            </w:pPr>
            <w:r w:rsidRPr="00614CC6">
              <w:rPr>
                <w:sz w:val="20"/>
              </w:rPr>
              <w:t>Service fixe par satellite</w:t>
            </w:r>
          </w:p>
        </w:tc>
      </w:tr>
      <w:tr w:rsidR="00112C03" w:rsidRPr="00036EE3">
        <w:tc>
          <w:tcPr>
            <w:tcW w:w="1140" w:type="dxa"/>
          </w:tcPr>
          <w:p w:rsidR="00112C03" w:rsidRPr="00614CC6" w:rsidRDefault="00112C03" w:rsidP="00F336CC">
            <w:pPr>
              <w:spacing w:before="30" w:after="30"/>
              <w:ind w:left="57"/>
              <w:jc w:val="left"/>
              <w:rPr>
                <w:b/>
                <w:bCs/>
                <w:sz w:val="20"/>
                <w:lang w:val="en-US"/>
              </w:rPr>
            </w:pPr>
            <w:r w:rsidRPr="00614CC6">
              <w:rPr>
                <w:b/>
                <w:bCs/>
                <w:sz w:val="20"/>
                <w:lang w:val="en-US"/>
              </w:rPr>
              <w:t>SA</w:t>
            </w:r>
          </w:p>
        </w:tc>
        <w:tc>
          <w:tcPr>
            <w:tcW w:w="8220" w:type="dxa"/>
          </w:tcPr>
          <w:p w:rsidR="00112C03" w:rsidRPr="00614CC6" w:rsidRDefault="00112C03" w:rsidP="00F336CC">
            <w:pPr>
              <w:spacing w:before="30" w:after="30"/>
              <w:jc w:val="left"/>
              <w:rPr>
                <w:sz w:val="20"/>
                <w:lang w:val="en-US"/>
              </w:rPr>
            </w:pPr>
            <w:r w:rsidRPr="00614CC6">
              <w:rPr>
                <w:sz w:val="20"/>
              </w:rPr>
              <w:t>Applications spatiales et météorologie</w:t>
            </w:r>
          </w:p>
        </w:tc>
      </w:tr>
      <w:tr w:rsidR="00112C03" w:rsidRPr="00614CC6">
        <w:tc>
          <w:tcPr>
            <w:tcW w:w="1140" w:type="dxa"/>
          </w:tcPr>
          <w:p w:rsidR="00112C03" w:rsidRPr="00614CC6" w:rsidRDefault="00112C03" w:rsidP="00F336CC">
            <w:pPr>
              <w:spacing w:before="30" w:after="30"/>
              <w:ind w:left="57"/>
              <w:jc w:val="left"/>
              <w:rPr>
                <w:b/>
                <w:bCs/>
                <w:sz w:val="20"/>
                <w:lang w:val="en-US"/>
              </w:rPr>
            </w:pPr>
            <w:r w:rsidRPr="00614CC6">
              <w:rPr>
                <w:b/>
                <w:bCs/>
                <w:sz w:val="20"/>
                <w:lang w:val="en-US"/>
              </w:rPr>
              <w:t>SF</w:t>
            </w:r>
          </w:p>
        </w:tc>
        <w:tc>
          <w:tcPr>
            <w:tcW w:w="8220" w:type="dxa"/>
          </w:tcPr>
          <w:p w:rsidR="00112C03" w:rsidRPr="00614CC6" w:rsidRDefault="00112C03" w:rsidP="00F336CC">
            <w:pPr>
              <w:spacing w:before="30" w:after="30"/>
              <w:jc w:val="left"/>
              <w:rPr>
                <w:sz w:val="20"/>
              </w:rPr>
            </w:pPr>
            <w:r w:rsidRPr="00614CC6">
              <w:rPr>
                <w:sz w:val="20"/>
              </w:rPr>
              <w:t>Partage des fréquences et coordination entre les systèmes du service fixe par satellite et du service fixe</w:t>
            </w:r>
          </w:p>
        </w:tc>
      </w:tr>
      <w:tr w:rsidR="00112C03" w:rsidRPr="00036EE3">
        <w:tc>
          <w:tcPr>
            <w:tcW w:w="1140" w:type="dxa"/>
            <w:shd w:val="clear" w:color="auto" w:fill="auto"/>
          </w:tcPr>
          <w:p w:rsidR="00112C03" w:rsidRPr="00592F9F" w:rsidRDefault="00112C03"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112C03" w:rsidRPr="00592F9F" w:rsidRDefault="00112C03" w:rsidP="00F336CC">
            <w:pPr>
              <w:spacing w:before="30" w:after="30"/>
              <w:jc w:val="left"/>
              <w:rPr>
                <w:sz w:val="20"/>
                <w:lang w:val="en-US"/>
              </w:rPr>
            </w:pPr>
            <w:r w:rsidRPr="00592F9F">
              <w:rPr>
                <w:sz w:val="20"/>
              </w:rPr>
              <w:t>Gestion du spectre</w:t>
            </w:r>
          </w:p>
        </w:tc>
      </w:tr>
      <w:tr w:rsidR="00112C03" w:rsidRPr="00036EE3">
        <w:tc>
          <w:tcPr>
            <w:tcW w:w="1140" w:type="dxa"/>
          </w:tcPr>
          <w:p w:rsidR="00112C03" w:rsidRPr="00614CC6" w:rsidRDefault="00112C03" w:rsidP="00F336CC">
            <w:pPr>
              <w:spacing w:before="30" w:after="30"/>
              <w:ind w:left="57"/>
              <w:jc w:val="left"/>
              <w:rPr>
                <w:b/>
                <w:bCs/>
                <w:sz w:val="20"/>
                <w:lang w:val="en-US"/>
              </w:rPr>
            </w:pPr>
            <w:r w:rsidRPr="00614CC6">
              <w:rPr>
                <w:b/>
                <w:bCs/>
                <w:sz w:val="20"/>
                <w:lang w:val="en-US"/>
              </w:rPr>
              <w:t>SNG</w:t>
            </w:r>
          </w:p>
        </w:tc>
        <w:tc>
          <w:tcPr>
            <w:tcW w:w="8220" w:type="dxa"/>
          </w:tcPr>
          <w:p w:rsidR="00112C03" w:rsidRPr="00614CC6" w:rsidRDefault="00112C03" w:rsidP="00F336CC">
            <w:pPr>
              <w:spacing w:before="30" w:after="30"/>
              <w:jc w:val="left"/>
              <w:rPr>
                <w:sz w:val="20"/>
                <w:lang w:val="en-US"/>
              </w:rPr>
            </w:pPr>
            <w:r w:rsidRPr="00614CC6">
              <w:rPr>
                <w:sz w:val="20"/>
              </w:rPr>
              <w:t>Reportage d'actualités par satellite</w:t>
            </w:r>
          </w:p>
        </w:tc>
      </w:tr>
      <w:tr w:rsidR="00112C03" w:rsidRPr="00614CC6">
        <w:tc>
          <w:tcPr>
            <w:tcW w:w="1140" w:type="dxa"/>
          </w:tcPr>
          <w:p w:rsidR="00112C03" w:rsidRPr="00614CC6" w:rsidRDefault="00112C03" w:rsidP="00F336CC">
            <w:pPr>
              <w:spacing w:before="30" w:after="30"/>
              <w:ind w:left="57"/>
              <w:jc w:val="left"/>
              <w:rPr>
                <w:b/>
                <w:bCs/>
                <w:sz w:val="20"/>
                <w:lang w:val="en-US"/>
              </w:rPr>
            </w:pPr>
            <w:r w:rsidRPr="00614CC6">
              <w:rPr>
                <w:b/>
                <w:bCs/>
                <w:sz w:val="20"/>
                <w:lang w:val="en-US"/>
              </w:rPr>
              <w:t>TF</w:t>
            </w:r>
          </w:p>
        </w:tc>
        <w:tc>
          <w:tcPr>
            <w:tcW w:w="8220" w:type="dxa"/>
          </w:tcPr>
          <w:p w:rsidR="00112C03" w:rsidRPr="00614CC6" w:rsidRDefault="00112C03" w:rsidP="00F336CC">
            <w:pPr>
              <w:spacing w:before="30" w:after="30"/>
              <w:jc w:val="left"/>
              <w:rPr>
                <w:sz w:val="20"/>
              </w:rPr>
            </w:pPr>
            <w:r w:rsidRPr="00614CC6">
              <w:rPr>
                <w:sz w:val="20"/>
              </w:rPr>
              <w:t>Emissions de fréquences étalon et de signaux horaires</w:t>
            </w:r>
          </w:p>
        </w:tc>
      </w:tr>
      <w:tr w:rsidR="00112C03" w:rsidRPr="00036EE3">
        <w:tc>
          <w:tcPr>
            <w:tcW w:w="1140" w:type="dxa"/>
          </w:tcPr>
          <w:p w:rsidR="00112C03" w:rsidRPr="00614CC6" w:rsidRDefault="00112C03" w:rsidP="00F336CC">
            <w:pPr>
              <w:spacing w:before="30" w:after="30"/>
              <w:ind w:left="57"/>
              <w:jc w:val="left"/>
              <w:rPr>
                <w:b/>
                <w:bCs/>
                <w:sz w:val="20"/>
                <w:lang w:val="en-US"/>
              </w:rPr>
            </w:pPr>
            <w:r w:rsidRPr="00614CC6">
              <w:rPr>
                <w:b/>
                <w:bCs/>
                <w:sz w:val="20"/>
                <w:lang w:val="en-US"/>
              </w:rPr>
              <w:t>V</w:t>
            </w:r>
          </w:p>
        </w:tc>
        <w:tc>
          <w:tcPr>
            <w:tcW w:w="8220" w:type="dxa"/>
          </w:tcPr>
          <w:p w:rsidR="00112C03" w:rsidRPr="00614CC6" w:rsidRDefault="00112C03" w:rsidP="00614CC6">
            <w:pPr>
              <w:spacing w:before="30" w:after="140"/>
              <w:jc w:val="left"/>
              <w:rPr>
                <w:sz w:val="20"/>
                <w:lang w:val="en-US"/>
              </w:rPr>
            </w:pPr>
            <w:r w:rsidRPr="00614CC6">
              <w:rPr>
                <w:sz w:val="20"/>
              </w:rPr>
              <w:t>Vocabulaire et sujets associés</w:t>
            </w:r>
          </w:p>
        </w:tc>
      </w:tr>
    </w:tbl>
    <w:p w:rsidR="00112C03" w:rsidRPr="00036EE3" w:rsidRDefault="00112C03" w:rsidP="00614CC6">
      <w:pPr>
        <w:spacing w:before="0"/>
        <w:jc w:val="center"/>
        <w:rPr>
          <w:sz w:val="20"/>
          <w:lang w:val="en-US"/>
        </w:rPr>
      </w:pPr>
    </w:p>
    <w:p w:rsidR="00112C03" w:rsidRPr="00036EE3" w:rsidRDefault="00112C03"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112C03" w:rsidRPr="00756B4D">
        <w:tc>
          <w:tcPr>
            <w:tcW w:w="9360" w:type="dxa"/>
          </w:tcPr>
          <w:p w:rsidR="00112C03" w:rsidRPr="00756B4D" w:rsidRDefault="00112C03" w:rsidP="00756B4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112C03" w:rsidRPr="00756B4D" w:rsidRDefault="00112C03" w:rsidP="00F54FBD">
      <w:pPr>
        <w:spacing w:before="0"/>
        <w:jc w:val="center"/>
        <w:rPr>
          <w:sz w:val="22"/>
        </w:rPr>
      </w:pPr>
    </w:p>
    <w:p w:rsidR="00112C03" w:rsidRPr="00614CC6" w:rsidRDefault="00112C03" w:rsidP="00756B4D">
      <w:pPr>
        <w:spacing w:before="100"/>
        <w:jc w:val="right"/>
        <w:rPr>
          <w:i/>
          <w:iCs/>
          <w:sz w:val="20"/>
        </w:rPr>
      </w:pPr>
      <w:r w:rsidRPr="00614CC6">
        <w:rPr>
          <w:i/>
          <w:iCs/>
          <w:sz w:val="20"/>
        </w:rPr>
        <w:t>Publication électronique</w:t>
      </w:r>
    </w:p>
    <w:p w:rsidR="00112C03" w:rsidRPr="00614CC6" w:rsidRDefault="00112C03" w:rsidP="00F50711">
      <w:pPr>
        <w:spacing w:before="0"/>
        <w:jc w:val="right"/>
        <w:rPr>
          <w:sz w:val="20"/>
        </w:rPr>
      </w:pPr>
      <w:r w:rsidRPr="00614CC6">
        <w:rPr>
          <w:sz w:val="20"/>
        </w:rPr>
        <w:t>Genève, 20</w:t>
      </w:r>
      <w:r w:rsidR="00405A5B">
        <w:rPr>
          <w:sz w:val="20"/>
        </w:rPr>
        <w:t>11</w:t>
      </w:r>
    </w:p>
    <w:p w:rsidR="00112C03" w:rsidRPr="00614CC6" w:rsidRDefault="00112C03" w:rsidP="00F50711">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405A5B">
        <w:rPr>
          <w:sz w:val="20"/>
        </w:rPr>
        <w:t>11</w:t>
      </w:r>
    </w:p>
    <w:p w:rsidR="00112C03" w:rsidRPr="00614CC6" w:rsidRDefault="00112C03"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12C03" w:rsidRPr="00614CC6" w:rsidRDefault="00112C03" w:rsidP="00CD659B">
      <w:pPr>
        <w:spacing w:before="160"/>
        <w:rPr>
          <w:i/>
          <w:sz w:val="20"/>
          <w:highlight w:val="yellow"/>
        </w:rPr>
        <w:sectPr w:rsidR="00112C03"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112C03" w:rsidRPr="00756B4D" w:rsidRDefault="00112C03" w:rsidP="00112C03">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Pr>
          <w:rStyle w:val="href"/>
        </w:rPr>
        <w:t>106-2</w:t>
      </w:r>
      <w:r>
        <w:rPr>
          <w:rStyle w:val="FootnoteReference"/>
        </w:rPr>
        <w:footnoteReference w:customMarkFollows="1" w:id="1"/>
        <w:t>*</w:t>
      </w:r>
    </w:p>
    <w:p w:rsidR="00112C03" w:rsidRDefault="00112C03" w:rsidP="00112C03">
      <w:pPr>
        <w:pStyle w:val="Rectitle"/>
      </w:pPr>
      <w:bookmarkStart w:id="3" w:name="Pre_title"/>
      <w:r>
        <w:t xml:space="preserve">Utilisation des techniques de réception en diversité pour la </w:t>
      </w:r>
      <w:r>
        <w:br/>
        <w:t xml:space="preserve">télégraphie harmonique sur circuits radioélectriques </w:t>
      </w:r>
      <w:r>
        <w:br/>
        <w:t>à ondes décamétriques</w:t>
      </w:r>
      <w:bookmarkEnd w:id="3"/>
    </w:p>
    <w:p w:rsidR="00112C03" w:rsidRDefault="00112C03" w:rsidP="00112C03">
      <w:pPr>
        <w:pStyle w:val="Recdate"/>
      </w:pPr>
      <w:bookmarkStart w:id="4" w:name="Related_Questions"/>
      <w:bookmarkStart w:id="5" w:name="Revision_history"/>
      <w:bookmarkEnd w:id="4"/>
      <w:r>
        <w:t>(1953-1970-1999)</w:t>
      </w:r>
      <w:bookmarkEnd w:id="5"/>
    </w:p>
    <w:p w:rsidR="00112C03" w:rsidRPr="00600E89" w:rsidRDefault="00112C03" w:rsidP="00405A5B">
      <w:pPr>
        <w:pStyle w:val="HeadingSum"/>
        <w:rPr>
          <w:lang w:val="fr-CH"/>
        </w:rPr>
      </w:pPr>
      <w:r w:rsidRPr="00600E89">
        <w:rPr>
          <w:lang w:val="fr-CH"/>
        </w:rPr>
        <w:t>Champ d'application</w:t>
      </w:r>
    </w:p>
    <w:p w:rsidR="00112C03" w:rsidRPr="00600E89" w:rsidRDefault="00112C03" w:rsidP="00405A5B">
      <w:pPr>
        <w:pStyle w:val="Summary"/>
        <w:rPr>
          <w:lang w:val="fr-CH"/>
        </w:rPr>
      </w:pPr>
      <w:r w:rsidRPr="00600E89">
        <w:rPr>
          <w:lang w:val="fr-CH"/>
        </w:rPr>
        <w:t>La présente Recommandation traite de l'utilisation des techniques de réception en diversité pour les systèmes de télégraphie aux fréquences au-dessous de 30 MHz. L'Annexe traite de l'utilisation de la diversité de codage.</w:t>
      </w:r>
    </w:p>
    <w:p w:rsidR="00112C03" w:rsidRDefault="00112C03" w:rsidP="00405A5B">
      <w:pPr>
        <w:pStyle w:val="Normalaftertitle"/>
      </w:pPr>
      <w:r>
        <w:t>L'Assemblée des radiocommunications de l'UIT,</w:t>
      </w:r>
    </w:p>
    <w:p w:rsidR="00112C03" w:rsidRDefault="00112C03" w:rsidP="00112C03">
      <w:pPr>
        <w:pStyle w:val="Call"/>
      </w:pPr>
      <w:r>
        <w:t>considérant</w:t>
      </w:r>
    </w:p>
    <w:p w:rsidR="00112C03" w:rsidRDefault="00112C03" w:rsidP="00405A5B">
      <w:r>
        <w:t>a)</w:t>
      </w:r>
      <w:r>
        <w:tab/>
        <w:t>que, dans le cas où l'on utilise des dispositifs de télégraphie harmonique sur voie radioélectrique utilisant des fréquences inférieures à 30 MHz environ, la qualité de service obtenue en l'absence de diversité est, en général, insuffisante;</w:t>
      </w:r>
    </w:p>
    <w:p w:rsidR="00112C03" w:rsidRDefault="00112C03" w:rsidP="00405A5B">
      <w:r>
        <w:t>b)</w:t>
      </w:r>
      <w:r>
        <w:tab/>
        <w:t>qu'en présence d'évanouissements, l'utilisation de la réception en diversité d'espace, de polarisation ou de fréquence donne des améliorations comparables de la qualité de réception des signaux télégraphiques transmis sur voie radioélectrique;</w:t>
      </w:r>
    </w:p>
    <w:p w:rsidR="00112C03" w:rsidRDefault="00112C03" w:rsidP="00405A5B">
      <w:r>
        <w:t>c)</w:t>
      </w:r>
      <w:r>
        <w:tab/>
        <w:t>que la diversité en fréquence s'est montrée en général efficace, à condition que la différence des fréquences des deux voies connectées en diversité soit supérieure à 400 Hz;</w:t>
      </w:r>
    </w:p>
    <w:p w:rsidR="00112C03" w:rsidRDefault="00112C03" w:rsidP="00405A5B">
      <w:r>
        <w:t>d)</w:t>
      </w:r>
      <w:r>
        <w:tab/>
        <w:t>que la réception en diversité d'espace ou de polarisation demande une largeur de bande deux fois plus faible et une puissance d'émission moindre que la réception en diversité de fréquence, pour chaque voie télégraphique, mais réclame, en général, plus de matériel,</w:t>
      </w:r>
    </w:p>
    <w:p w:rsidR="00112C03" w:rsidRDefault="00112C03" w:rsidP="00112C03">
      <w:pPr>
        <w:pStyle w:val="Call"/>
      </w:pPr>
      <w:r>
        <w:t>recommande</w:t>
      </w:r>
    </w:p>
    <w:p w:rsidR="00112C03" w:rsidRDefault="00112C03" w:rsidP="00405A5B">
      <w:r>
        <w:rPr>
          <w:b/>
        </w:rPr>
        <w:t>1</w:t>
      </w:r>
      <w:r>
        <w:tab/>
        <w:t>que, lorsque l'on utilise les systèmes de télégraphie harmonique sur voie radioélectrique à des fréquences inférieures à 30 MHz environ, on fasse appel à la réception en diversité de chaque voie télégraphique;</w:t>
      </w:r>
    </w:p>
    <w:p w:rsidR="00112C03" w:rsidRDefault="00112C03" w:rsidP="00405A5B">
      <w:r>
        <w:rPr>
          <w:b/>
        </w:rPr>
        <w:t>2</w:t>
      </w:r>
      <w:r>
        <w:tab/>
        <w:t>que, chaque fois que cela sera possible, on préfère la réception en diversité d'espace, ou éventuellement en diversité de polarisation, à la réception en diversité de fréquence;</w:t>
      </w:r>
    </w:p>
    <w:p w:rsidR="00112C03" w:rsidRDefault="00112C03" w:rsidP="00405A5B">
      <w:r>
        <w:rPr>
          <w:b/>
        </w:rPr>
        <w:t>3</w:t>
      </w:r>
      <w:r>
        <w:tab/>
        <w:t>que, pour obtenir un effet de diversité suffisant, dans le cas de diversité de fréquence, l'espacement entre les fréquences des voies combinées soit au moins de 400 Hz;</w:t>
      </w:r>
    </w:p>
    <w:p w:rsidR="00112C03" w:rsidRDefault="00112C03" w:rsidP="00405A5B">
      <w:r>
        <w:rPr>
          <w:b/>
        </w:rPr>
        <w:t>4</w:t>
      </w:r>
      <w:r>
        <w:rPr>
          <w:b/>
        </w:rPr>
        <w:tab/>
      </w:r>
      <w:r>
        <w:t>qu'il soit fait référence à l'Annexe 1 pour les informations complémentaires concernant les techniques de réception en diversité.</w:t>
      </w:r>
    </w:p>
    <w:p w:rsidR="00405A5B" w:rsidRDefault="00405A5B">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112C03" w:rsidRDefault="00405A5B" w:rsidP="00405A5B">
      <w:pPr>
        <w:pStyle w:val="AnnexNoTitle"/>
      </w:pPr>
      <w:r>
        <w:t xml:space="preserve">Annexe  </w:t>
      </w:r>
      <w:r w:rsidR="00112C03">
        <w:t>1</w:t>
      </w:r>
      <w:r>
        <w:br/>
      </w:r>
      <w:r>
        <w:br/>
      </w:r>
      <w:r w:rsidR="00112C03">
        <w:t>Utilisation de la diversité de codage</w:t>
      </w:r>
    </w:p>
    <w:p w:rsidR="00112C03" w:rsidRDefault="00112C03" w:rsidP="00112C03">
      <w:pPr>
        <w:pStyle w:val="Heading1"/>
      </w:pPr>
      <w:r>
        <w:t>1</w:t>
      </w:r>
      <w:r>
        <w:tab/>
        <w:t>Introduction</w:t>
      </w:r>
    </w:p>
    <w:p w:rsidR="00112C03" w:rsidRDefault="00112C03" w:rsidP="00405A5B">
      <w:r>
        <w:t>Il est nécessaire que les systèmes de transmission de données à ondes décamétriques fournissent un service fiable et efficace avec des modems multivoies à modulation par déplacement de fréquence (MDF), tels que décrits dans la présente Recommandation, ou des modems multivoies à modulation par déplacement de phase (MDP), tels que décrits dans la Recommandation UIT-R F.763. Pour compenser le phénomène d'évanouissement sélectif du support de transmission, qui est par nature défavorable, on utilise de manière généralisée la diversité de fréquence dans la bande ou sur d'autres fréquences.</w:t>
      </w:r>
    </w:p>
    <w:p w:rsidR="00112C03" w:rsidRDefault="00112C03" w:rsidP="00405A5B">
      <w:r>
        <w:t>La présente Annexe décrit une technique de codage qui permet d'améliorer le système avec diversité de fréquence dans la bande.</w:t>
      </w:r>
    </w:p>
    <w:p w:rsidR="00112C03" w:rsidRDefault="00112C03" w:rsidP="00112C03">
      <w:pPr>
        <w:pStyle w:val="Heading1"/>
      </w:pPr>
      <w:r>
        <w:t>2</w:t>
      </w:r>
      <w:r>
        <w:tab/>
        <w:t>Description du système</w:t>
      </w:r>
    </w:p>
    <w:p w:rsidR="00112C03" w:rsidRDefault="00112C03" w:rsidP="00112C03">
      <w:r>
        <w:t xml:space="preserve">Le schéma de transmission est indiqué sur la Fig. 1. Les données </w:t>
      </w:r>
      <w:r>
        <w:rPr>
          <w:i/>
        </w:rPr>
        <w:t>m</w:t>
      </w:r>
      <w:r>
        <w:t>(</w:t>
      </w:r>
      <w:r>
        <w:rPr>
          <w:i/>
        </w:rPr>
        <w:t>t</w:t>
      </w:r>
      <w:r>
        <w:t xml:space="preserve">) provenant d'une source d'information binaire sont appliquées dans l'enregistreur à décalage de longueur </w:t>
      </w:r>
      <w:r>
        <w:rPr>
          <w:i/>
        </w:rPr>
        <w:t>K</w:t>
      </w:r>
      <w:r>
        <w:t xml:space="preserve"> du codeur. Après chaque décalage du registre au débit de données de la source, le codeur produit deux bits de codage, </w:t>
      </w:r>
      <w:r>
        <w:rPr>
          <w:i/>
        </w:rPr>
        <w:t>c</w:t>
      </w:r>
      <w:r>
        <w:rPr>
          <w:iCs/>
          <w:position w:val="-4"/>
          <w:sz w:val="20"/>
        </w:rPr>
        <w:t>1</w:t>
      </w:r>
      <w:r>
        <w:t>(</w:t>
      </w:r>
      <w:r>
        <w:rPr>
          <w:i/>
        </w:rPr>
        <w:t>t</w:t>
      </w:r>
      <w:r>
        <w:t xml:space="preserve">) et </w:t>
      </w:r>
      <w:r>
        <w:rPr>
          <w:i/>
        </w:rPr>
        <w:t>c</w:t>
      </w:r>
      <w:r>
        <w:rPr>
          <w:iCs/>
          <w:position w:val="-4"/>
          <w:sz w:val="20"/>
        </w:rPr>
        <w:t>2</w:t>
      </w:r>
      <w:r>
        <w:t>(</w:t>
      </w:r>
      <w:r>
        <w:rPr>
          <w:i/>
        </w:rPr>
        <w:t>t</w:t>
      </w:r>
      <w:r>
        <w:t>), qui sont appliqués à leur tour aux modulateurs de données correspondants. Dans la pratique, la séparation de la fréquence centrale de ces modulateurs de données est habituellement de 1 kHz. Les données combinées provenant des modulateurs sont alors appliquées à un système de transmission BLU à ondes décamétriques.</w:t>
      </w:r>
    </w:p>
    <w:p w:rsidR="00112C03" w:rsidRDefault="00112C03" w:rsidP="00405A5B">
      <w:r>
        <w:t xml:space="preserve">Pour le fonctionnement avec diversité de fréquence, le système de la Fig. 1 est représenté sous sa forme la plus simple. Les bits de codage sont simplement des reproductions du bit d'information, c'est-à-dire </w:t>
      </w:r>
      <w:r>
        <w:rPr>
          <w:i/>
        </w:rPr>
        <w:t>c</w:t>
      </w:r>
      <w:r>
        <w:rPr>
          <w:iCs/>
          <w:position w:val="-4"/>
          <w:sz w:val="20"/>
        </w:rPr>
        <w:t>1</w:t>
      </w:r>
      <w:r>
        <w:t>(</w:t>
      </w:r>
      <w:r>
        <w:rPr>
          <w:i/>
        </w:rPr>
        <w:t>t</w:t>
      </w:r>
      <w:r>
        <w:t>) </w:t>
      </w:r>
      <w:r w:rsidR="00405A5B" w:rsidRPr="00405A5B">
        <w:t>=</w:t>
      </w:r>
      <w:r>
        <w:t> </w:t>
      </w:r>
      <w:r>
        <w:rPr>
          <w:i/>
        </w:rPr>
        <w:t>c</w:t>
      </w:r>
      <w:r>
        <w:rPr>
          <w:position w:val="-4"/>
          <w:sz w:val="20"/>
        </w:rPr>
        <w:t>2</w:t>
      </w:r>
      <w:r>
        <w:t>(</w:t>
      </w:r>
      <w:r>
        <w:rPr>
          <w:i/>
        </w:rPr>
        <w:t>t</w:t>
      </w:r>
      <w:r>
        <w:t>) </w:t>
      </w:r>
      <w:r w:rsidR="00405A5B" w:rsidRPr="00405A5B">
        <w:t>=</w:t>
      </w:r>
      <w:r>
        <w:t> </w:t>
      </w:r>
      <w:r>
        <w:rPr>
          <w:i/>
        </w:rPr>
        <w:t>m</w:t>
      </w:r>
      <w:r>
        <w:t>(</w:t>
      </w:r>
      <w:r>
        <w:rPr>
          <w:i/>
        </w:rPr>
        <w:t>t</w:t>
      </w:r>
      <w:r>
        <w:t>). La décision quant à la valeur d'un bit d'information donné dépend de la valeur combinée des données provenant des deux modulateurs. Dans un contexte de théorie de l'information, on peut décrire la diversité de fréquence comme étant une technique de codage à répétition et à demi-débit qui utilise des décisions douces.</w:t>
      </w:r>
    </w:p>
    <w:p w:rsidR="00112C03" w:rsidRDefault="00112C03" w:rsidP="00112C03">
      <w:r>
        <w:t>Dans la transmission avec diversité de fréquence, deux bits de codage seulement contiennent des informations sur un bit d'information quelconque. Avec une probabilité non nulle, ces deux bits peuvent être simultanément corrompus par un évanouissement, des brouillages ou du bruit, de sorte qu'une décision incorrecte est prise concernant le bit d'information. En pareil cas, il n'est pas possible de corriger l'erreur en utilisant les valeurs des autres bits de codage. Il semble donc souhaitable de coder la séquence d'information de façon que plus d'un couple de bits de codage ait un rapport avec un bit d'information quelconque. C'est ce qui permet le système de la Fig. 1 qui adapte la séquence d'information avant la transmission.</w:t>
      </w:r>
    </w:p>
    <w:p w:rsidR="00112C03" w:rsidRDefault="00112C03" w:rsidP="00112C03">
      <w:pPr>
        <w:pStyle w:val="FigureNo"/>
      </w:pPr>
      <w:r>
        <w:object w:dxaOrig="7210" w:dyaOrig="3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05pt;height:183.6pt" o:ole="">
            <v:imagedata r:id="rId13" o:title=""/>
          </v:shape>
          <o:OLEObject Type="Embed" ProgID="Word.Document.8" ShapeID="_x0000_i1025" DrawAspect="Content" ObjectID="_1357634538" r:id="rId14"/>
        </w:object>
      </w:r>
    </w:p>
    <w:p w:rsidR="00112C03" w:rsidRDefault="00112C03" w:rsidP="00405A5B">
      <w:pPr>
        <w:pStyle w:val="Normalaftertitle"/>
      </w:pPr>
      <w:r>
        <w:t>On pourrait utiliser n'importe quel code de correction des erreurs à demi-débit dans la transmission avec diversité de fréquence codée, mais les codes de convolution sont particulièrement appropriés car leur structure de codage s'adapte à celle des systèmes de transmission avec diversité de fréquence et l'on peut utiliser l'algorithme Viterbi pour réaliser efficacement un codage à décision douce. Les données provenant des démodulateurs sont appliquées à des convertisseurs analogique/numérique dans un décodeur Viterbi qui remplace le fonctionnement combiné du système avec diversité de fréquence.</w:t>
      </w:r>
    </w:p>
    <w:p w:rsidR="00112C03" w:rsidRDefault="00112C03" w:rsidP="00112C03">
      <w:pPr>
        <w:pStyle w:val="Heading1"/>
      </w:pPr>
      <w:r>
        <w:t>3</w:t>
      </w:r>
      <w:r>
        <w:tab/>
        <w:t>Résultats expérimentaux</w:t>
      </w:r>
    </w:p>
    <w:p w:rsidR="00112C03" w:rsidRDefault="00112C03" w:rsidP="00405A5B">
      <w:r>
        <w:t xml:space="preserve">On a comparé la diversité de fréquence et la diversité de codage d'après les résultats obtenus pendant une émission. On a choisi des codes de convolution de longueur imposée </w:t>
      </w:r>
      <w:r>
        <w:rPr>
          <w:i/>
        </w:rPr>
        <w:t>K</w:t>
      </w:r>
      <w:r>
        <w:t xml:space="preserve"> </w:t>
      </w:r>
      <w:r w:rsidR="00405A5B" w:rsidRPr="00405A5B">
        <w:t>=</w:t>
      </w:r>
      <w:r>
        <w:t xml:space="preserve"> 5 et 7 et les données provenant du codeur étaient appliquées à un modulateur multivoies MDF utilisant les fréquences centrales de 1</w:t>
      </w:r>
      <w:r>
        <w:rPr>
          <w:rFonts w:ascii="Tms Rmn" w:hAnsi="Tms Rmn"/>
          <w:sz w:val="12"/>
        </w:rPr>
        <w:t> </w:t>
      </w:r>
      <w:r>
        <w:t>105 et 2</w:t>
      </w:r>
      <w:r>
        <w:rPr>
          <w:rFonts w:ascii="Tms Rmn" w:hAnsi="Tms Rmn"/>
          <w:sz w:val="12"/>
        </w:rPr>
        <w:t> </w:t>
      </w:r>
      <w:r>
        <w:t xml:space="preserve">125 Hz avec une excursion de </w:t>
      </w:r>
      <w:r w:rsidR="00405A5B" w:rsidRPr="00405A5B">
        <w:sym w:font="Symbol" w:char="F0B1"/>
      </w:r>
      <w:r>
        <w:rPr>
          <w:rFonts w:ascii="Tms Rmn" w:hAnsi="Tms Rmn"/>
          <w:sz w:val="4"/>
        </w:rPr>
        <w:t> </w:t>
      </w:r>
      <w:r>
        <w:t xml:space="preserve">42,5 Hz. Le débit de données de chaque voie synchrone était de 75 bit/s. Le signal en </w:t>
      </w:r>
      <w:r>
        <w:rPr>
          <w:spacing w:val="-30"/>
        </w:rPr>
        <w:t>o</w:t>
      </w:r>
      <w:r>
        <w:t>eil à partir de chaque démodulateur a été numérisé à l'aide d'un échantillon provenant du centre de la période de l'</w:t>
      </w:r>
      <w:r>
        <w:rPr>
          <w:spacing w:val="-30"/>
        </w:rPr>
        <w:t>o</w:t>
      </w:r>
      <w:r>
        <w:t xml:space="preserve">eil. Les équipements radioélectriques à ondes décamétriques comprenaient un émetteur de 100 W, des antennes à large bande et un récepteur de communication synthétisé. On a utilisé une combinaison de taux maximum pour les expériences de réception avec diversité et un décodeur Viterbi en temps réel, mis en </w:t>
      </w:r>
      <w:r>
        <w:rPr>
          <w:spacing w:val="-30"/>
        </w:rPr>
        <w:t>o</w:t>
      </w:r>
      <w:r>
        <w:t>euvre sur un microprocesseur universel à 8 bits avec logiciel approprié pour les expériences de codage.</w:t>
      </w:r>
    </w:p>
    <w:p w:rsidR="00112C03" w:rsidRDefault="00112C03" w:rsidP="00112C03">
      <w:r>
        <w:t>Trois séries d'essais d'émission ont été effectuées à partir d'Ottawa, sur une courte distance de 60 km avec une onde de sol faible, sur une distance moyenne à 400 km de Toronto et à bord d'un navire se trouvant au large de la côte est du Canada. Le navire se déplaçait de la ville de Québec vers le Grand Nord, ce qui a permis d'effectuer des essais sur des distances comprises entre 400 et 2</w:t>
      </w:r>
      <w:r>
        <w:rPr>
          <w:rFonts w:ascii="Tms Rmn" w:hAnsi="Tms Rmn"/>
          <w:sz w:val="12"/>
        </w:rPr>
        <w:t> </w:t>
      </w:r>
      <w:r>
        <w:t>500 km. Vers la fin de la période d'essai, la liaison à ondes décamétriques a traversé la ceinture aurorale et un évanouissement rapide était souvent présent. On a effectué les expériences à courte et moyenne distances avec diverses fréquences de la gamme 3-9 MHz et les expériences à bord du navire dans les bandes de fréquences 5-15 MHz.</w:t>
      </w:r>
    </w:p>
    <w:p w:rsidR="00112C03" w:rsidRDefault="00112C03" w:rsidP="00112C03">
      <w:r>
        <w:t xml:space="preserve">On a analysé les schémas d'erreur dans le cas de la diversité de fréquence et dans celui de la diversité de codage. On a observé que les deux jeux de données présentaient les caractéristiques d'erreurs par paquets d'une voie à ondes décamétriques; toutefois, dans le cas de la diversité, la transition entre les paquets et les périodes de taux d'erreur plus faible était progressive. Les erreurs étaient aléatoires la plupart du temps, mais des erreurs isolées étaient fréquentes. Les données obtenues avec la diversité de codage présentaient des paquets denses ayant un début et une fin abruptes, des intervalles plus longs sans erreur et aucune erreur simple ou double. Les paquets étaient en général plus longs que ceux du système de diversité. Après un long paquet, le décodeur a besoin d'un certain délai pour se rétablir, ce qui explique que le taux d'erreur binaire (TEB) dans la séquence décodée peut être en fait plus élevé que celui que l'on obtient dans le système avec diversité de fréquence dans la bande. Tel n'est pas le cas en ce qui concerne le taux d'erreur sur les blocs (BLER, </w:t>
      </w:r>
      <w:r>
        <w:rPr>
          <w:i/>
        </w:rPr>
        <w:t>block error ratio</w:t>
      </w:r>
      <w:r>
        <w:t>).</w:t>
      </w:r>
    </w:p>
    <w:p w:rsidR="00112C03" w:rsidRDefault="00112C03" w:rsidP="00112C03">
      <w:r>
        <w:t xml:space="preserve">Il est prévu de se servir de ce système dans un environnement à protocole ARQ (demande de répétition automatique, </w:t>
      </w:r>
      <w:r>
        <w:rPr>
          <w:i/>
        </w:rPr>
        <w:t>automatic repeat request</w:t>
      </w:r>
      <w:r>
        <w:t>) qui exclut l'utilisation d'un système avec diversité dans le temps ou avec entrelacement. On a démontré que ces systèmes permettent d'améliorer le TEB mais qu'ils nécessitent des délais correspondant à la transmission de l'ordre de plusieurs centaines de bits. Dans les transmissions par bloc, les blocs sont refusés en raison des erreurs simples ou multiples, ce qui est le cas de la diversité de fréquence alors que dans la diversité de codage, le refus des blocs est moindre en raison du moindre nombre d'erreurs isolées. Les essais ont été effectués avec des blocs de 128 et 512 bits, ce qui est habituel pour un système destiné à la diversité de codage.</w:t>
      </w:r>
    </w:p>
    <w:p w:rsidR="00112C03" w:rsidRDefault="00112C03" w:rsidP="00112C03">
      <w:r>
        <w:t>Le Tableau 1 compare le taux BLER obtenu avec les deux techniques. Il indique l'augmentation en pourcentage de la probabilité de réception d'un bloc sans erreur avec la technique de codage par rapport à la technique avec diversité de fréquence. L'amélioration obtenue varie de satisfaisant à insignifiant et on observe une plus grande amélioration pour un bloc de 512 bits. Dans certains cas, la transmission avec diversité de fréquence dans la bande est quasiment exempte d'erreur et il y a donc peu de marge pour une amélioration; dans d'autres cas, la voie était si médiocre qu'aucun des systèmes n'a assuré un taux d'erreur utilisable. Il n'y a pas eu de cas où la qualité du codage avec convolution était nettement moins bonne que celle du système avec diversité de fréquence dans la bande.</w:t>
      </w:r>
    </w:p>
    <w:p w:rsidR="00112C03" w:rsidRDefault="00112C03" w:rsidP="00112C03">
      <w:pPr>
        <w:pStyle w:val="TableNo"/>
      </w:pPr>
      <w:r>
        <w:t>TABLEAU  1</w:t>
      </w:r>
    </w:p>
    <w:p w:rsidR="00112C03" w:rsidRDefault="00112C03" w:rsidP="00112C03">
      <w:pPr>
        <w:pStyle w:val="Tabletitle"/>
      </w:pPr>
      <w:r>
        <w:t>Résultats expérimentaux relatifs au BLER</w:t>
      </w:r>
    </w:p>
    <w:tbl>
      <w:tblPr>
        <w:tblW w:w="9639" w:type="dxa"/>
        <w:jc w:val="center"/>
        <w:tblLayout w:type="fixed"/>
        <w:tblLook w:val="0000"/>
      </w:tblPr>
      <w:tblGrid>
        <w:gridCol w:w="1606"/>
        <w:gridCol w:w="1605"/>
        <w:gridCol w:w="1605"/>
        <w:gridCol w:w="1605"/>
        <w:gridCol w:w="1605"/>
        <w:gridCol w:w="1605"/>
        <w:gridCol w:w="8"/>
      </w:tblGrid>
      <w:tr w:rsidR="00112C03" w:rsidTr="00405A5B">
        <w:trPr>
          <w:cantSplit/>
          <w:jc w:val="center"/>
        </w:trPr>
        <w:tc>
          <w:tcPr>
            <w:tcW w:w="9732" w:type="dxa"/>
            <w:gridSpan w:val="7"/>
            <w:tcBorders>
              <w:bottom w:val="single" w:sz="6" w:space="0" w:color="auto"/>
            </w:tcBorders>
          </w:tcPr>
          <w:p w:rsidR="00112C03" w:rsidRDefault="00112C03" w:rsidP="00405A5B">
            <w:pPr>
              <w:pStyle w:val="Tabletext"/>
              <w:jc w:val="center"/>
            </w:pPr>
            <w:r>
              <w:rPr>
                <w:i/>
              </w:rPr>
              <w:t>a)</w:t>
            </w:r>
            <w:r>
              <w:t xml:space="preserve">  Longueur des blocs = 128 bits</w:t>
            </w:r>
          </w:p>
        </w:tc>
      </w:tr>
      <w:tr w:rsidR="00112C03" w:rsidTr="00405A5B">
        <w:trPr>
          <w:gridAfter w:val="1"/>
          <w:wAfter w:w="8" w:type="dxa"/>
          <w:cantSplit/>
          <w:jc w:val="center"/>
        </w:trPr>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 xml:space="preserve">Numéro </w:t>
            </w:r>
            <w:r>
              <w:br/>
              <w:t>de l'essai</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 xml:space="preserve">Longueur </w:t>
            </w:r>
            <w:r>
              <w:br/>
              <w:t>imposée</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 xml:space="preserve">Technique avec </w:t>
            </w:r>
            <w:r>
              <w:br/>
              <w:t>diversité BLER</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Technique avec codage BLER</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 xml:space="preserve">Nombre total </w:t>
            </w:r>
            <w:r>
              <w:br/>
              <w:t>de bits</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Amélioration</w:t>
            </w:r>
            <w:r>
              <w:br/>
              <w:t>(%)</w:t>
            </w:r>
          </w:p>
        </w:tc>
      </w:tr>
      <w:tr w:rsidR="00112C03" w:rsidTr="00405A5B">
        <w:trPr>
          <w:gridAfter w:val="1"/>
          <w:wAfter w:w="8" w:type="dxa"/>
          <w:cantSplit/>
          <w:jc w:val="center"/>
        </w:trPr>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1</w:t>
            </w:r>
            <w:r>
              <w:br/>
              <w:t>2</w:t>
            </w:r>
            <w:r>
              <w:br/>
              <w:t>3</w:t>
            </w:r>
            <w:r>
              <w:br/>
              <w:t>4</w:t>
            </w:r>
            <w:r>
              <w:br/>
              <w:t>5</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rPr>
                <w:i/>
              </w:rPr>
              <w:t>K</w:t>
            </w:r>
            <w:r>
              <w:t xml:space="preserve"> </w:t>
            </w:r>
            <w:r w:rsidR="00405A5B" w:rsidRPr="00405A5B">
              <w:t>=</w:t>
            </w:r>
            <w:r>
              <w:t xml:space="preserve"> 7</w:t>
            </w:r>
            <w:r>
              <w:br/>
            </w:r>
            <w:r>
              <w:rPr>
                <w:i/>
              </w:rPr>
              <w:t>K</w:t>
            </w:r>
            <w:r>
              <w:t xml:space="preserve"> </w:t>
            </w:r>
            <w:r w:rsidR="00405A5B" w:rsidRPr="00405A5B">
              <w:t>=</w:t>
            </w:r>
            <w:r>
              <w:t xml:space="preserve"> 7</w:t>
            </w:r>
            <w:r>
              <w:br/>
            </w:r>
            <w:r>
              <w:rPr>
                <w:i/>
              </w:rPr>
              <w:t>K</w:t>
            </w:r>
            <w:r>
              <w:t xml:space="preserve"> </w:t>
            </w:r>
            <w:r w:rsidR="00405A5B" w:rsidRPr="00405A5B">
              <w:t>=</w:t>
            </w:r>
            <w:r>
              <w:t xml:space="preserve"> 5</w:t>
            </w:r>
            <w:r>
              <w:br/>
            </w:r>
            <w:r>
              <w:rPr>
                <w:i/>
              </w:rPr>
              <w:t>K</w:t>
            </w:r>
            <w:r>
              <w:t xml:space="preserve"> </w:t>
            </w:r>
            <w:r w:rsidR="00405A5B" w:rsidRPr="00405A5B">
              <w:t>=</w:t>
            </w:r>
            <w:r>
              <w:t xml:space="preserve"> 7</w:t>
            </w:r>
            <w:r>
              <w:br/>
            </w:r>
            <w:r>
              <w:rPr>
                <w:i/>
              </w:rPr>
              <w:t>K</w:t>
            </w:r>
            <w:r>
              <w:t xml:space="preserve"> </w:t>
            </w:r>
            <w:r w:rsidR="00405A5B" w:rsidRPr="00405A5B">
              <w:t>=</w:t>
            </w:r>
            <w:r>
              <w:t xml:space="preserve"> 7</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0,293</w:t>
            </w:r>
            <w:r>
              <w:br/>
              <w:t>0,217</w:t>
            </w:r>
            <w:r>
              <w:br/>
              <w:t>0,321</w:t>
            </w:r>
            <w:r>
              <w:br/>
              <w:t>0,084</w:t>
            </w:r>
            <w:r>
              <w:br/>
              <w:t>0,083</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0,201</w:t>
            </w:r>
            <w:r>
              <w:br/>
              <w:t>0,127</w:t>
            </w:r>
            <w:r>
              <w:br/>
              <w:t>0,227</w:t>
            </w:r>
            <w:r>
              <w:br/>
              <w:t>0,015</w:t>
            </w:r>
            <w:r>
              <w:br/>
              <w:t>0,019</w:t>
            </w:r>
          </w:p>
        </w:tc>
        <w:tc>
          <w:tcPr>
            <w:tcW w:w="1622" w:type="dxa"/>
            <w:tcBorders>
              <w:top w:val="single" w:sz="6" w:space="0" w:color="auto"/>
              <w:left w:val="single" w:sz="6" w:space="0" w:color="auto"/>
              <w:bottom w:val="single" w:sz="6" w:space="0" w:color="auto"/>
              <w:right w:val="single" w:sz="6" w:space="0" w:color="auto"/>
            </w:tcBorders>
          </w:tcPr>
          <w:p w:rsidR="00112C03" w:rsidRDefault="00600E89" w:rsidP="00600E89">
            <w:pPr>
              <w:pStyle w:val="Tabletext"/>
              <w:jc w:val="center"/>
            </w:pPr>
            <w:r>
              <w:t xml:space="preserve">  </w:t>
            </w:r>
            <w:r w:rsidR="00112C03">
              <w:t>1 430 000</w:t>
            </w:r>
            <w:r w:rsidR="00112C03">
              <w:br/>
            </w:r>
            <w:r>
              <w:tab/>
            </w:r>
            <w:r w:rsidR="00112C03">
              <w:t>506 000</w:t>
            </w:r>
            <w:r w:rsidR="00112C03">
              <w:br/>
            </w:r>
            <w:r w:rsidR="00112C03">
              <w:tab/>
              <w:t>352 000</w:t>
            </w:r>
            <w:r w:rsidR="00112C03">
              <w:br/>
            </w:r>
            <w:r w:rsidR="00112C03">
              <w:tab/>
              <w:t>217 000</w:t>
            </w:r>
            <w:r w:rsidR="00112C03">
              <w:br/>
            </w:r>
            <w:r w:rsidR="00112C03">
              <w:tab/>
              <w:t>217 000</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600E89">
            <w:pPr>
              <w:pStyle w:val="Tabletext"/>
              <w:jc w:val="center"/>
            </w:pPr>
            <w:r>
              <w:t>13,0</w:t>
            </w:r>
            <w:r>
              <w:br/>
            </w:r>
            <w:r w:rsidR="00600E89">
              <w:t>11,5</w:t>
            </w:r>
            <w:r w:rsidR="00600E89">
              <w:br/>
            </w:r>
            <w:r>
              <w:t>13,8</w:t>
            </w:r>
            <w:r>
              <w:br/>
            </w:r>
            <w:r w:rsidR="00600E89">
              <w:t>7,5</w:t>
            </w:r>
            <w:r w:rsidR="00600E89">
              <w:br/>
            </w:r>
            <w:r>
              <w:t>6,5</w:t>
            </w:r>
          </w:p>
        </w:tc>
      </w:tr>
      <w:tr w:rsidR="00112C03" w:rsidTr="00405A5B">
        <w:trPr>
          <w:gridAfter w:val="1"/>
          <w:wAfter w:w="8" w:type="dxa"/>
          <w:cantSplit/>
          <w:jc w:val="center"/>
        </w:trPr>
        <w:tc>
          <w:tcPr>
            <w:tcW w:w="9732" w:type="dxa"/>
            <w:gridSpan w:val="6"/>
            <w:tcBorders>
              <w:bottom w:val="single" w:sz="6" w:space="0" w:color="auto"/>
            </w:tcBorders>
          </w:tcPr>
          <w:p w:rsidR="00112C03" w:rsidRDefault="00112C03" w:rsidP="00405A5B">
            <w:pPr>
              <w:pStyle w:val="Tabletext"/>
              <w:jc w:val="center"/>
            </w:pPr>
            <w:r>
              <w:rPr>
                <w:i/>
              </w:rPr>
              <w:t>b)</w:t>
            </w:r>
            <w:r>
              <w:t xml:space="preserve">  Longueur des blocs </w:t>
            </w:r>
            <w:r w:rsidR="00405A5B" w:rsidRPr="00405A5B">
              <w:t>=</w:t>
            </w:r>
            <w:r>
              <w:t xml:space="preserve"> 512 bits</w:t>
            </w:r>
          </w:p>
        </w:tc>
      </w:tr>
      <w:tr w:rsidR="00112C03" w:rsidTr="00405A5B">
        <w:trPr>
          <w:gridAfter w:val="1"/>
          <w:wAfter w:w="8" w:type="dxa"/>
          <w:cantSplit/>
          <w:jc w:val="center"/>
        </w:trPr>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 xml:space="preserve">Numéro </w:t>
            </w:r>
            <w:r>
              <w:br/>
              <w:t>de l'essai</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 xml:space="preserve">Longueur </w:t>
            </w:r>
            <w:r>
              <w:br/>
              <w:t>imposée</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 xml:space="preserve">Technique avec </w:t>
            </w:r>
            <w:r>
              <w:br/>
              <w:t>diversité BLER</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 xml:space="preserve">Technique avec </w:t>
            </w:r>
            <w:r>
              <w:br/>
              <w:t>codage BLER</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 xml:space="preserve">Nombre total </w:t>
            </w:r>
            <w:r>
              <w:br/>
              <w:t>de bits</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Amélioration</w:t>
            </w:r>
            <w:r>
              <w:br/>
              <w:t>(%)</w:t>
            </w:r>
          </w:p>
        </w:tc>
      </w:tr>
      <w:tr w:rsidR="00112C03" w:rsidTr="00405A5B">
        <w:trPr>
          <w:gridAfter w:val="1"/>
          <w:wAfter w:w="8" w:type="dxa"/>
          <w:cantSplit/>
          <w:jc w:val="center"/>
        </w:trPr>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6</w:t>
            </w:r>
            <w:r>
              <w:br/>
              <w:t>7</w:t>
            </w:r>
            <w:r>
              <w:br/>
              <w:t>8</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rPr>
                <w:i/>
              </w:rPr>
              <w:t>K</w:t>
            </w:r>
            <w:r>
              <w:t xml:space="preserve"> </w:t>
            </w:r>
            <w:r w:rsidR="00405A5B" w:rsidRPr="00405A5B">
              <w:t>=</w:t>
            </w:r>
            <w:r>
              <w:t xml:space="preserve"> 7</w:t>
            </w:r>
            <w:r>
              <w:br/>
            </w:r>
            <w:r>
              <w:rPr>
                <w:i/>
              </w:rPr>
              <w:t>K</w:t>
            </w:r>
            <w:r>
              <w:t xml:space="preserve"> </w:t>
            </w:r>
            <w:r w:rsidR="00405A5B" w:rsidRPr="00405A5B">
              <w:t>=</w:t>
            </w:r>
            <w:r>
              <w:t xml:space="preserve"> 7</w:t>
            </w:r>
            <w:r>
              <w:br/>
            </w:r>
            <w:r>
              <w:rPr>
                <w:i/>
              </w:rPr>
              <w:t>K</w:t>
            </w:r>
            <w:r>
              <w:t xml:space="preserve"> </w:t>
            </w:r>
            <w:r w:rsidR="00405A5B" w:rsidRPr="00405A5B">
              <w:t>=</w:t>
            </w:r>
            <w:r>
              <w:t xml:space="preserve"> 5</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0,548</w:t>
            </w:r>
            <w:r>
              <w:br/>
              <w:t>0,378</w:t>
            </w:r>
            <w:r>
              <w:br/>
              <w:t>0,570</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405A5B">
            <w:pPr>
              <w:pStyle w:val="Tabletext"/>
              <w:jc w:val="center"/>
            </w:pPr>
            <w:r>
              <w:t>0,406</w:t>
            </w:r>
            <w:r>
              <w:br/>
              <w:t>0,223</w:t>
            </w:r>
            <w:r>
              <w:br/>
              <w:t>0,420</w:t>
            </w:r>
          </w:p>
        </w:tc>
        <w:tc>
          <w:tcPr>
            <w:tcW w:w="1622" w:type="dxa"/>
            <w:tcBorders>
              <w:top w:val="single" w:sz="6" w:space="0" w:color="auto"/>
              <w:left w:val="single" w:sz="6" w:space="0" w:color="auto"/>
              <w:bottom w:val="single" w:sz="6" w:space="0" w:color="auto"/>
              <w:right w:val="single" w:sz="6" w:space="0" w:color="auto"/>
            </w:tcBorders>
          </w:tcPr>
          <w:p w:rsidR="00112C03" w:rsidRDefault="00600E89" w:rsidP="00405A5B">
            <w:pPr>
              <w:pStyle w:val="Tabletext"/>
              <w:jc w:val="center"/>
            </w:pPr>
            <w:r>
              <w:t xml:space="preserve">  </w:t>
            </w:r>
            <w:r w:rsidR="00112C03">
              <w:t>1 430 000</w:t>
            </w:r>
            <w:r w:rsidR="00112C03">
              <w:br/>
            </w:r>
            <w:r w:rsidR="00112C03">
              <w:tab/>
              <w:t>506 000</w:t>
            </w:r>
            <w:r w:rsidR="00112C03">
              <w:br/>
            </w:r>
            <w:r w:rsidR="00112C03">
              <w:tab/>
              <w:t>352 000</w:t>
            </w:r>
          </w:p>
        </w:tc>
        <w:tc>
          <w:tcPr>
            <w:tcW w:w="1622" w:type="dxa"/>
            <w:tcBorders>
              <w:top w:val="single" w:sz="6" w:space="0" w:color="auto"/>
              <w:left w:val="single" w:sz="6" w:space="0" w:color="auto"/>
              <w:bottom w:val="single" w:sz="6" w:space="0" w:color="auto"/>
              <w:right w:val="single" w:sz="6" w:space="0" w:color="auto"/>
            </w:tcBorders>
          </w:tcPr>
          <w:p w:rsidR="00112C03" w:rsidRDefault="00112C03" w:rsidP="00600E89">
            <w:pPr>
              <w:pStyle w:val="Tabletext"/>
              <w:jc w:val="center"/>
            </w:pPr>
            <w:r>
              <w:t>31,4</w:t>
            </w:r>
            <w:r>
              <w:br/>
            </w:r>
            <w:r w:rsidR="00600E89">
              <w:t>24,9</w:t>
            </w:r>
            <w:r w:rsidR="00600E89">
              <w:br/>
            </w:r>
            <w:r>
              <w:t>34,9</w:t>
            </w:r>
          </w:p>
        </w:tc>
      </w:tr>
    </w:tbl>
    <w:p w:rsidR="00112C03" w:rsidRDefault="00112C03" w:rsidP="00405A5B">
      <w:pPr>
        <w:pStyle w:val="Tablefin"/>
      </w:pPr>
    </w:p>
    <w:p w:rsidR="00112C03" w:rsidRDefault="00112C03" w:rsidP="00112C03">
      <w:pPr>
        <w:pStyle w:val="Heading1"/>
      </w:pPr>
      <w:r>
        <w:t>4</w:t>
      </w:r>
      <w:r>
        <w:tab/>
        <w:t xml:space="preserve">Caractéristiques de la mise en </w:t>
      </w:r>
      <w:r>
        <w:rPr>
          <w:spacing w:val="-30"/>
        </w:rPr>
        <w:t>o</w:t>
      </w:r>
      <w:r>
        <w:t>euvre</w:t>
      </w:r>
    </w:p>
    <w:p w:rsidR="00112C03" w:rsidRDefault="00112C03" w:rsidP="00112C03">
      <w:r>
        <w:t>La technique de codage décrite dans la présente Annexe comporte un certain nombre de limitations pratiques et elle ne remplacera pas un combineur universel avec diversité de fréquence dans toutes les applications. Par exemple, elle est incompatible avec les systèmes de transmission de données asynchrone.</w:t>
      </w:r>
    </w:p>
    <w:p w:rsidR="00112C03" w:rsidRDefault="00112C03" w:rsidP="00112C03">
      <w:r>
        <w:t xml:space="preserve">Néanmoins, elle serait éventuellement utile avec des systèmes ARQ utilisant la transmission synchrone sous réserve que la transmission ne soit pas courte au point que l'amélioration du rendement soit annulée par l'augmentation des bits auxiliaires nécessaires pour un fonctionnement satisfaisant du décodeur Viterbi. Le «préambule» occupe 4 fois les </w:t>
      </w:r>
      <w:r>
        <w:rPr>
          <w:i/>
        </w:rPr>
        <w:t>K</w:t>
      </w:r>
      <w:r>
        <w:t xml:space="preserve"> bits (où </w:t>
      </w:r>
      <w:r>
        <w:rPr>
          <w:i/>
        </w:rPr>
        <w:t>K</w:t>
      </w:r>
      <w:r>
        <w:t xml:space="preserve"> est la longueur imposée) nécessaires au début de la transmission, plus un «postambule» de (</w:t>
      </w:r>
      <w:r>
        <w:rPr>
          <w:i/>
        </w:rPr>
        <w:t>K</w:t>
      </w:r>
      <w:r>
        <w:t> – 1) bits à la fin de la transmission.</w:t>
      </w:r>
    </w:p>
    <w:p w:rsidR="00112C03" w:rsidRDefault="00112C03" w:rsidP="00112C03">
      <w:pPr>
        <w:pStyle w:val="Heading1"/>
      </w:pPr>
      <w:r>
        <w:t>5</w:t>
      </w:r>
      <w:r>
        <w:tab/>
        <w:t>Conclusions</w:t>
      </w:r>
    </w:p>
    <w:p w:rsidR="00112C03" w:rsidRDefault="00112C03" w:rsidP="00112C03">
      <w:r>
        <w:t>Un système de contrôle des erreurs fondé sur la diversité de fréquence codée avec convolution a été mis à l'essai et comparé avec une transmission de données avec diversité de fréquence dans la bande. Les résultats expérimentaux montrent que ce système offre de meilleurs résultats que les systèmes avec diversité de fréquence dans la bande en ce qui concerne le taux BLER. La technique de codage convient aux systèmes qui utilisent actuellement la diversité de fréquence associée à un protocole ARQ synchrone.</w:t>
      </w:r>
    </w:p>
    <w:p w:rsidR="00A6617B" w:rsidRPr="00600E89" w:rsidRDefault="00A6617B" w:rsidP="00405A5B">
      <w:pPr>
        <w:pStyle w:val="Line"/>
        <w:rPr>
          <w:lang w:val="fr-CH"/>
        </w:rPr>
      </w:pPr>
    </w:p>
    <w:p w:rsidR="00112C03" w:rsidRPr="00112C03" w:rsidRDefault="00112C03" w:rsidP="00A6617B">
      <w:pPr>
        <w:rPr>
          <w:lang w:val="fr-CH"/>
        </w:rPr>
      </w:pPr>
    </w:p>
    <w:sectPr w:rsidR="00112C03" w:rsidRPr="00112C03" w:rsidSect="00405A5B">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C03" w:rsidRDefault="00112C03">
      <w:r>
        <w:separator/>
      </w:r>
    </w:p>
  </w:endnote>
  <w:endnote w:type="continuationSeparator" w:id="0">
    <w:p w:rsidR="00112C03" w:rsidRDefault="00112C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C03" w:rsidRDefault="00112C03">
      <w:r>
        <w:separator/>
      </w:r>
    </w:p>
  </w:footnote>
  <w:footnote w:type="continuationSeparator" w:id="0">
    <w:p w:rsidR="00112C03" w:rsidRDefault="00112C03">
      <w:r>
        <w:continuationSeparator/>
      </w:r>
    </w:p>
  </w:footnote>
  <w:footnote w:id="1">
    <w:p w:rsidR="00112C03" w:rsidRDefault="00112C03" w:rsidP="00D60560">
      <w:pPr>
        <w:pStyle w:val="FootnoteText"/>
      </w:pPr>
      <w:r>
        <w:rPr>
          <w:rStyle w:val="FootnoteReference"/>
        </w:rPr>
        <w:t>*</w:t>
      </w:r>
      <w:r>
        <w:tab/>
        <w:t xml:space="preserve">La Commission d'études </w:t>
      </w:r>
      <w:r w:rsidR="00D60560">
        <w:t>5</w:t>
      </w:r>
      <w:r>
        <w:t xml:space="preserve"> des radiocommunications a apporté des modifications rédactionnelles à cette Recommandation en décembre 2009 conformément aux dispositions de la Résolution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C03" w:rsidRDefault="00112C0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C03" w:rsidRDefault="00112C03" w:rsidP="00C668C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C03" w:rsidRPr="00837CB5" w:rsidRDefault="0089315D">
    <w:pPr>
      <w:pStyle w:val="Header"/>
      <w:jc w:val="left"/>
    </w:pPr>
    <w:r>
      <w:rPr>
        <w:rStyle w:val="PageNumber"/>
        <w:b/>
        <w:bCs/>
      </w:rPr>
      <w:fldChar w:fldCharType="begin"/>
    </w:r>
    <w:r w:rsidR="00112C03" w:rsidRPr="00837CB5">
      <w:rPr>
        <w:rStyle w:val="PageNumber"/>
        <w:b/>
        <w:bCs/>
      </w:rPr>
      <w:instrText xml:space="preserve"> PAGE </w:instrText>
    </w:r>
    <w:r>
      <w:rPr>
        <w:rStyle w:val="PageNumber"/>
        <w:b/>
        <w:bCs/>
      </w:rPr>
      <w:fldChar w:fldCharType="separate"/>
    </w:r>
    <w:r w:rsidR="00600E89">
      <w:rPr>
        <w:rStyle w:val="PageNumber"/>
        <w:b/>
        <w:bCs/>
        <w:noProof/>
      </w:rPr>
      <w:t>ii</w:t>
    </w:r>
    <w:r>
      <w:rPr>
        <w:rStyle w:val="PageNumber"/>
        <w:b/>
        <w:bCs/>
      </w:rPr>
      <w:fldChar w:fldCharType="end"/>
    </w:r>
    <w:r w:rsidR="00112C03" w:rsidRPr="00837CB5">
      <w:tab/>
    </w:r>
    <w:fldSimple w:instr=" DOCPROPERTY &quot;Header&quot; \* MERGEFORMAT ">
      <w:r w:rsidR="00600E89" w:rsidRPr="00600E89">
        <w:rPr>
          <w:b/>
          <w:bCs/>
        </w:rPr>
        <w:t xml:space="preserve">Rec. </w:t>
      </w:r>
    </w:fldSimple>
    <w:r w:rsidR="00112C03">
      <w:rPr>
        <w:b/>
        <w:bCs/>
      </w:rPr>
      <w:t xml:space="preserve"> </w:t>
    </w:r>
    <w:r>
      <w:rPr>
        <w:b/>
        <w:bCs/>
      </w:rPr>
      <w:fldChar w:fldCharType="begin"/>
    </w:r>
    <w:r w:rsidR="00112C03" w:rsidRPr="00837CB5">
      <w:rPr>
        <w:b/>
        <w:bCs/>
      </w:rPr>
      <w:instrText>styleref href</w:instrText>
    </w:r>
    <w:r>
      <w:rPr>
        <w:b/>
        <w:bCs/>
      </w:rPr>
      <w:fldChar w:fldCharType="separate"/>
    </w:r>
    <w:r w:rsidR="00600E89">
      <w:rPr>
        <w:b/>
        <w:bCs/>
        <w:noProof/>
      </w:rPr>
      <w:t>UIT-R  F.106-2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C03" w:rsidRDefault="00112C03">
    <w:pPr>
      <w:pStyle w:val="Header"/>
    </w:pPr>
    <w:r>
      <w:tab/>
    </w:r>
    <w:fldSimple w:instr=" DOCPROPERTY &quot;Header&quot; \* MERGEFORMAT ">
      <w:r w:rsidR="00600E89" w:rsidRPr="00600E89">
        <w:rPr>
          <w:b/>
          <w:bCs/>
        </w:rPr>
        <w:t xml:space="preserve">Rec. </w:t>
      </w:r>
    </w:fldSimple>
    <w:r>
      <w:rPr>
        <w:b/>
        <w:bCs/>
      </w:rPr>
      <w:t xml:space="preserve"> </w:t>
    </w:r>
    <w:r w:rsidR="0089315D">
      <w:rPr>
        <w:b/>
        <w:bCs/>
      </w:rPr>
      <w:fldChar w:fldCharType="begin"/>
    </w:r>
    <w:r>
      <w:rPr>
        <w:b/>
        <w:bCs/>
      </w:rPr>
      <w:instrText>styleref href</w:instrText>
    </w:r>
    <w:r w:rsidR="0089315D">
      <w:rPr>
        <w:b/>
        <w:bCs/>
      </w:rPr>
      <w:fldChar w:fldCharType="separate"/>
    </w:r>
    <w:r w:rsidR="00600E89">
      <w:rPr>
        <w:b/>
        <w:bCs/>
        <w:noProof/>
      </w:rPr>
      <w:t>UIT-R  F.106-2</w:t>
    </w:r>
    <w:r w:rsidR="0089315D">
      <w:rPr>
        <w:b/>
        <w:bCs/>
      </w:rPr>
      <w:fldChar w:fldCharType="end"/>
    </w:r>
    <w:r>
      <w:tab/>
    </w:r>
    <w:r w:rsidR="0089315D">
      <w:rPr>
        <w:rStyle w:val="PageNumber"/>
        <w:b/>
        <w:bCs/>
      </w:rPr>
      <w:fldChar w:fldCharType="begin"/>
    </w:r>
    <w:r>
      <w:rPr>
        <w:rStyle w:val="PageNumber"/>
        <w:b/>
        <w:bCs/>
      </w:rPr>
      <w:instrText xml:space="preserve"> PAGE </w:instrText>
    </w:r>
    <w:r w:rsidR="0089315D">
      <w:rPr>
        <w:rStyle w:val="PageNumber"/>
        <w:b/>
        <w:bCs/>
      </w:rPr>
      <w:fldChar w:fldCharType="separate"/>
    </w:r>
    <w:r>
      <w:rPr>
        <w:rStyle w:val="PageNumber"/>
        <w:b/>
        <w:bCs/>
        <w:noProof/>
      </w:rPr>
      <w:t>1</w:t>
    </w:r>
    <w:r w:rsidR="0089315D">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89315D">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600E89">
      <w:rPr>
        <w:rStyle w:val="PageNumber"/>
        <w:b/>
        <w:bCs/>
        <w:noProof/>
        <w:lang w:val="en-US"/>
      </w:rPr>
      <w:t>4</w:t>
    </w:r>
    <w:r>
      <w:rPr>
        <w:rStyle w:val="PageNumber"/>
        <w:b/>
        <w:bCs/>
      </w:rPr>
      <w:fldChar w:fldCharType="end"/>
    </w:r>
    <w:r w:rsidR="00607D68">
      <w:rPr>
        <w:lang w:val="en-US"/>
      </w:rPr>
      <w:tab/>
    </w:r>
    <w:fldSimple w:instr=" DOCPROPERTY &quot;Header&quot; \* MERGEFORMAT ">
      <w:r w:rsidR="00600E89" w:rsidRPr="00600E89">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600E89">
      <w:rPr>
        <w:b/>
        <w:bCs/>
        <w:noProof/>
      </w:rPr>
      <w:t>UIT-R  F.106-2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600E89" w:rsidRPr="00600E89">
        <w:rPr>
          <w:b/>
          <w:bCs/>
        </w:rPr>
        <w:t xml:space="preserve">Rec. </w:t>
      </w:r>
    </w:fldSimple>
    <w:r>
      <w:rPr>
        <w:b/>
        <w:bCs/>
      </w:rPr>
      <w:t xml:space="preserve"> </w:t>
    </w:r>
    <w:r w:rsidR="0089315D">
      <w:rPr>
        <w:b/>
        <w:bCs/>
      </w:rPr>
      <w:fldChar w:fldCharType="begin"/>
    </w:r>
    <w:r>
      <w:rPr>
        <w:b/>
        <w:bCs/>
      </w:rPr>
      <w:instrText>styleref href</w:instrText>
    </w:r>
    <w:r w:rsidR="0089315D">
      <w:rPr>
        <w:b/>
        <w:bCs/>
      </w:rPr>
      <w:fldChar w:fldCharType="separate"/>
    </w:r>
    <w:r w:rsidR="00600E89">
      <w:rPr>
        <w:b/>
        <w:bCs/>
        <w:noProof/>
      </w:rPr>
      <w:t>UIT-R  F.106-2</w:t>
    </w:r>
    <w:r w:rsidR="0089315D">
      <w:rPr>
        <w:b/>
        <w:bCs/>
      </w:rPr>
      <w:fldChar w:fldCharType="end"/>
    </w:r>
    <w:r>
      <w:tab/>
    </w:r>
    <w:r w:rsidR="0089315D">
      <w:rPr>
        <w:rStyle w:val="PageNumber"/>
        <w:b/>
        <w:bCs/>
      </w:rPr>
      <w:fldChar w:fldCharType="begin"/>
    </w:r>
    <w:r>
      <w:rPr>
        <w:rStyle w:val="PageNumber"/>
        <w:b/>
        <w:bCs/>
      </w:rPr>
      <w:instrText xml:space="preserve"> PAGE </w:instrText>
    </w:r>
    <w:r w:rsidR="0089315D">
      <w:rPr>
        <w:rStyle w:val="PageNumber"/>
        <w:b/>
        <w:bCs/>
      </w:rPr>
      <w:fldChar w:fldCharType="separate"/>
    </w:r>
    <w:r w:rsidR="00600E89">
      <w:rPr>
        <w:rStyle w:val="PageNumber"/>
        <w:b/>
        <w:bCs/>
        <w:noProof/>
      </w:rPr>
      <w:t>5</w:t>
    </w:r>
    <w:r w:rsidR="0089315D">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405A5B"/>
    <w:rsid w:val="00112C03"/>
    <w:rsid w:val="00217EBF"/>
    <w:rsid w:val="002D76C4"/>
    <w:rsid w:val="00405A5B"/>
    <w:rsid w:val="005B254B"/>
    <w:rsid w:val="00600E89"/>
    <w:rsid w:val="00607D68"/>
    <w:rsid w:val="007468DA"/>
    <w:rsid w:val="0089315D"/>
    <w:rsid w:val="00A6617B"/>
    <w:rsid w:val="00AB0DC8"/>
    <w:rsid w:val="00B44E24"/>
    <w:rsid w:val="00D60560"/>
    <w:rsid w:val="00DF417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254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B254B"/>
    <w:pPr>
      <w:keepNext/>
      <w:keepLines/>
      <w:spacing w:before="480"/>
      <w:ind w:left="794" w:hanging="794"/>
      <w:outlineLvl w:val="0"/>
    </w:pPr>
    <w:rPr>
      <w:b/>
    </w:rPr>
  </w:style>
  <w:style w:type="paragraph" w:styleId="Heading2">
    <w:name w:val="heading 2"/>
    <w:basedOn w:val="Heading1"/>
    <w:next w:val="Normal"/>
    <w:qFormat/>
    <w:rsid w:val="005B254B"/>
    <w:pPr>
      <w:spacing w:before="320"/>
      <w:outlineLvl w:val="1"/>
    </w:pPr>
  </w:style>
  <w:style w:type="paragraph" w:styleId="Heading3">
    <w:name w:val="heading 3"/>
    <w:basedOn w:val="Heading1"/>
    <w:next w:val="Normal"/>
    <w:qFormat/>
    <w:rsid w:val="005B254B"/>
    <w:pPr>
      <w:spacing w:before="200"/>
      <w:outlineLvl w:val="2"/>
    </w:pPr>
  </w:style>
  <w:style w:type="paragraph" w:styleId="Heading4">
    <w:name w:val="heading 4"/>
    <w:basedOn w:val="Heading3"/>
    <w:next w:val="Normal"/>
    <w:qFormat/>
    <w:rsid w:val="005B254B"/>
    <w:pPr>
      <w:tabs>
        <w:tab w:val="clear" w:pos="794"/>
        <w:tab w:val="left" w:pos="992"/>
      </w:tabs>
      <w:ind w:left="992" w:hanging="992"/>
      <w:outlineLvl w:val="3"/>
    </w:pPr>
  </w:style>
  <w:style w:type="paragraph" w:styleId="Heading5">
    <w:name w:val="heading 5"/>
    <w:basedOn w:val="Heading4"/>
    <w:next w:val="Normal"/>
    <w:qFormat/>
    <w:rsid w:val="005B254B"/>
    <w:pPr>
      <w:outlineLvl w:val="4"/>
    </w:pPr>
  </w:style>
  <w:style w:type="paragraph" w:styleId="Heading6">
    <w:name w:val="heading 6"/>
    <w:basedOn w:val="Heading4"/>
    <w:next w:val="Normal"/>
    <w:qFormat/>
    <w:rsid w:val="005B254B"/>
    <w:pPr>
      <w:tabs>
        <w:tab w:val="clear" w:pos="992"/>
        <w:tab w:val="clear" w:pos="1191"/>
      </w:tabs>
      <w:ind w:left="1588" w:hanging="1588"/>
      <w:outlineLvl w:val="5"/>
    </w:pPr>
  </w:style>
  <w:style w:type="paragraph" w:styleId="Heading7">
    <w:name w:val="heading 7"/>
    <w:basedOn w:val="Heading6"/>
    <w:next w:val="Normal"/>
    <w:qFormat/>
    <w:rsid w:val="005B254B"/>
    <w:pPr>
      <w:outlineLvl w:val="6"/>
    </w:pPr>
  </w:style>
  <w:style w:type="paragraph" w:styleId="Heading8">
    <w:name w:val="heading 8"/>
    <w:basedOn w:val="Heading6"/>
    <w:next w:val="Normal"/>
    <w:qFormat/>
    <w:rsid w:val="005B254B"/>
    <w:pPr>
      <w:outlineLvl w:val="7"/>
    </w:pPr>
  </w:style>
  <w:style w:type="paragraph" w:styleId="Heading9">
    <w:name w:val="heading 9"/>
    <w:basedOn w:val="Heading6"/>
    <w:next w:val="Normal"/>
    <w:qFormat/>
    <w:rsid w:val="005B254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254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B254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B254B"/>
  </w:style>
  <w:style w:type="paragraph" w:customStyle="1" w:styleId="Headingb">
    <w:name w:val="Heading_b"/>
    <w:basedOn w:val="Heading3"/>
    <w:next w:val="Normal"/>
    <w:rsid w:val="005B254B"/>
    <w:pPr>
      <w:spacing w:before="160"/>
      <w:ind w:left="0" w:firstLine="0"/>
      <w:outlineLvl w:val="9"/>
    </w:pPr>
  </w:style>
  <w:style w:type="paragraph" w:customStyle="1" w:styleId="Headingi">
    <w:name w:val="Heading_i"/>
    <w:basedOn w:val="Heading3"/>
    <w:next w:val="Normal"/>
    <w:rsid w:val="005B254B"/>
    <w:pPr>
      <w:spacing w:before="160"/>
      <w:ind w:left="0" w:firstLine="0"/>
    </w:pPr>
    <w:rPr>
      <w:b w:val="0"/>
      <w:i/>
    </w:rPr>
  </w:style>
  <w:style w:type="character" w:customStyle="1" w:styleId="href">
    <w:name w:val="href"/>
    <w:basedOn w:val="DefaultParagraphFont"/>
    <w:rsid w:val="005B254B"/>
  </w:style>
  <w:style w:type="paragraph" w:customStyle="1" w:styleId="enumlev1">
    <w:name w:val="enumlev1"/>
    <w:basedOn w:val="Normal"/>
    <w:rsid w:val="005B254B"/>
    <w:pPr>
      <w:spacing w:before="80"/>
      <w:ind w:left="794" w:hanging="794"/>
    </w:pPr>
  </w:style>
  <w:style w:type="paragraph" w:customStyle="1" w:styleId="enumlev2">
    <w:name w:val="enumlev2"/>
    <w:basedOn w:val="enumlev1"/>
    <w:rsid w:val="005B254B"/>
    <w:pPr>
      <w:ind w:left="1191" w:hanging="397"/>
    </w:pPr>
  </w:style>
  <w:style w:type="paragraph" w:customStyle="1" w:styleId="enumlev3">
    <w:name w:val="enumlev3"/>
    <w:basedOn w:val="enumlev2"/>
    <w:rsid w:val="005B254B"/>
    <w:pPr>
      <w:ind w:left="1588"/>
    </w:pPr>
  </w:style>
  <w:style w:type="paragraph" w:customStyle="1" w:styleId="Normalaftertitle">
    <w:name w:val="Normal_after_title"/>
    <w:basedOn w:val="Normal"/>
    <w:next w:val="Normal"/>
    <w:rsid w:val="005B254B"/>
    <w:pPr>
      <w:spacing w:before="320"/>
    </w:pPr>
  </w:style>
  <w:style w:type="paragraph" w:customStyle="1" w:styleId="Note">
    <w:name w:val="Note"/>
    <w:basedOn w:val="Normal"/>
    <w:rsid w:val="005B254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B254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5B254B"/>
    <w:pPr>
      <w:spacing w:before="240"/>
    </w:pPr>
    <w:rPr>
      <w:sz w:val="22"/>
      <w:lang w:val="es-ES_tradnl"/>
    </w:rPr>
  </w:style>
  <w:style w:type="paragraph" w:customStyle="1" w:styleId="Recref">
    <w:name w:val="Rec_ref"/>
    <w:basedOn w:val="Normal"/>
    <w:next w:val="Recdate"/>
    <w:rsid w:val="005B254B"/>
    <w:pPr>
      <w:jc w:val="center"/>
    </w:pPr>
  </w:style>
  <w:style w:type="paragraph" w:customStyle="1" w:styleId="Recdate">
    <w:name w:val="Rec_date"/>
    <w:basedOn w:val="Recref"/>
    <w:next w:val="Normalaftertitle"/>
    <w:rsid w:val="005B254B"/>
    <w:pPr>
      <w:jc w:val="right"/>
    </w:pPr>
  </w:style>
  <w:style w:type="paragraph" w:customStyle="1" w:styleId="AnnexNoTitle">
    <w:name w:val="Annex_NoTitle"/>
    <w:basedOn w:val="Normal"/>
    <w:next w:val="Normalaftertitle"/>
    <w:rsid w:val="005B254B"/>
    <w:pPr>
      <w:keepNext/>
      <w:keepLines/>
      <w:spacing w:before="480" w:after="80"/>
      <w:jc w:val="center"/>
    </w:pPr>
    <w:rPr>
      <w:b/>
      <w:sz w:val="28"/>
    </w:rPr>
  </w:style>
  <w:style w:type="paragraph" w:customStyle="1" w:styleId="AppendixNoTitle">
    <w:name w:val="Appendix_NoTitle"/>
    <w:basedOn w:val="AnnexNoTitle"/>
    <w:next w:val="Normal"/>
    <w:rsid w:val="005B254B"/>
  </w:style>
  <w:style w:type="paragraph" w:customStyle="1" w:styleId="Tablefin">
    <w:name w:val="Table_fin"/>
    <w:basedOn w:val="Normal"/>
    <w:next w:val="Normal"/>
    <w:rsid w:val="005B254B"/>
    <w:pPr>
      <w:spacing w:before="0"/>
    </w:pPr>
    <w:rPr>
      <w:sz w:val="20"/>
      <w:lang w:val="en-GB"/>
    </w:rPr>
  </w:style>
  <w:style w:type="paragraph" w:customStyle="1" w:styleId="Tablehead">
    <w:name w:val="Table_head"/>
    <w:basedOn w:val="Normal"/>
    <w:next w:val="Normal"/>
    <w:rsid w:val="005B254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B254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B254B"/>
    <w:pPr>
      <w:keepNext/>
      <w:spacing w:before="360" w:after="120"/>
      <w:jc w:val="center"/>
    </w:pPr>
  </w:style>
  <w:style w:type="paragraph" w:customStyle="1" w:styleId="Tabletext">
    <w:name w:val="Table_text"/>
    <w:basedOn w:val="Normal"/>
    <w:rsid w:val="005B254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B254B"/>
    <w:pPr>
      <w:tabs>
        <w:tab w:val="clear" w:pos="1191"/>
        <w:tab w:val="clear" w:pos="1588"/>
        <w:tab w:val="clear" w:pos="1985"/>
        <w:tab w:val="center" w:pos="4820"/>
        <w:tab w:val="right" w:pos="9639"/>
      </w:tabs>
    </w:pPr>
  </w:style>
  <w:style w:type="paragraph" w:customStyle="1" w:styleId="Equationlegend">
    <w:name w:val="Equation_legend"/>
    <w:basedOn w:val="NormalIndent"/>
    <w:rsid w:val="005B254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B254B"/>
    <w:pPr>
      <w:ind w:left="794"/>
    </w:pPr>
  </w:style>
  <w:style w:type="paragraph" w:customStyle="1" w:styleId="Figurelegend">
    <w:name w:val="Figure_legend"/>
    <w:basedOn w:val="Normal"/>
    <w:rsid w:val="005B254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5B254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B254B"/>
    <w:pPr>
      <w:keepNext/>
      <w:keepLines/>
      <w:spacing w:before="480"/>
      <w:jc w:val="center"/>
    </w:pPr>
    <w:rPr>
      <w:sz w:val="28"/>
    </w:rPr>
  </w:style>
  <w:style w:type="paragraph" w:customStyle="1" w:styleId="Arttitle">
    <w:name w:val="Art_title"/>
    <w:basedOn w:val="Normal"/>
    <w:next w:val="Normalaftertitle"/>
    <w:rsid w:val="005B254B"/>
    <w:pPr>
      <w:keepNext/>
      <w:keepLines/>
      <w:spacing w:before="240"/>
      <w:jc w:val="center"/>
    </w:pPr>
    <w:rPr>
      <w:b/>
      <w:sz w:val="28"/>
    </w:rPr>
  </w:style>
  <w:style w:type="paragraph" w:customStyle="1" w:styleId="Blanc">
    <w:name w:val="Blanc"/>
    <w:basedOn w:val="Normal"/>
    <w:next w:val="Tabletext"/>
    <w:rsid w:val="005B254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B254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B254B"/>
    <w:pPr>
      <w:keepNext/>
      <w:keepLines/>
      <w:spacing w:before="160"/>
      <w:ind w:left="794"/>
    </w:pPr>
    <w:rPr>
      <w:i/>
    </w:rPr>
  </w:style>
  <w:style w:type="paragraph" w:customStyle="1" w:styleId="ChapNo">
    <w:name w:val="Chap_No"/>
    <w:basedOn w:val="ArtNo"/>
    <w:next w:val="Chaptitle"/>
    <w:rsid w:val="005B254B"/>
    <w:rPr>
      <w:b/>
    </w:rPr>
  </w:style>
  <w:style w:type="paragraph" w:customStyle="1" w:styleId="Chaptitle">
    <w:name w:val="Chap_title"/>
    <w:basedOn w:val="Arttitle"/>
    <w:next w:val="Normalaftertitle"/>
    <w:rsid w:val="005B254B"/>
  </w:style>
  <w:style w:type="character" w:styleId="FootnoteReference">
    <w:name w:val="footnote reference"/>
    <w:basedOn w:val="DefaultParagraphFont"/>
    <w:rsid w:val="005B254B"/>
    <w:rPr>
      <w:position w:val="6"/>
      <w:sz w:val="18"/>
    </w:rPr>
  </w:style>
  <w:style w:type="paragraph" w:styleId="FootnoteText">
    <w:name w:val="footnote text"/>
    <w:basedOn w:val="Normal"/>
    <w:rsid w:val="005B254B"/>
    <w:pPr>
      <w:keepLines/>
      <w:tabs>
        <w:tab w:val="left" w:pos="255"/>
      </w:tabs>
      <w:ind w:left="255" w:hanging="255"/>
    </w:pPr>
    <w:rPr>
      <w:sz w:val="22"/>
    </w:rPr>
  </w:style>
  <w:style w:type="paragraph" w:styleId="Index1">
    <w:name w:val="index 1"/>
    <w:basedOn w:val="Normal"/>
    <w:next w:val="Normal"/>
    <w:semiHidden/>
    <w:rsid w:val="005B254B"/>
  </w:style>
  <w:style w:type="paragraph" w:styleId="Index2">
    <w:name w:val="index 2"/>
    <w:basedOn w:val="Normal"/>
    <w:next w:val="Normal"/>
    <w:semiHidden/>
    <w:rsid w:val="005B254B"/>
    <w:pPr>
      <w:ind w:left="283"/>
    </w:pPr>
  </w:style>
  <w:style w:type="paragraph" w:styleId="Index3">
    <w:name w:val="index 3"/>
    <w:basedOn w:val="Normal"/>
    <w:next w:val="Normal"/>
    <w:semiHidden/>
    <w:rsid w:val="005B254B"/>
    <w:pPr>
      <w:ind w:left="566"/>
    </w:pPr>
  </w:style>
  <w:style w:type="paragraph" w:styleId="IndexHeading">
    <w:name w:val="index heading"/>
    <w:basedOn w:val="Normal"/>
    <w:next w:val="Index1"/>
    <w:semiHidden/>
    <w:rsid w:val="005B254B"/>
  </w:style>
  <w:style w:type="paragraph" w:customStyle="1" w:styleId="Line">
    <w:name w:val="Line"/>
    <w:basedOn w:val="Normal"/>
    <w:next w:val="Normal"/>
    <w:rsid w:val="005B254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B254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B254B"/>
  </w:style>
  <w:style w:type="paragraph" w:customStyle="1" w:styleId="Partref">
    <w:name w:val="Part_ref"/>
    <w:basedOn w:val="Normal"/>
    <w:next w:val="Normal"/>
    <w:rsid w:val="005B254B"/>
    <w:pPr>
      <w:keepNext/>
      <w:keepLines/>
      <w:spacing w:after="280"/>
      <w:jc w:val="center"/>
    </w:pPr>
  </w:style>
  <w:style w:type="paragraph" w:customStyle="1" w:styleId="Parttitle">
    <w:name w:val="Part_title"/>
    <w:basedOn w:val="Normal"/>
    <w:next w:val="Normalaftertitle"/>
    <w:rsid w:val="005B254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B254B"/>
  </w:style>
  <w:style w:type="paragraph" w:customStyle="1" w:styleId="QuestionNo">
    <w:name w:val="Question_No"/>
    <w:basedOn w:val="RecNo"/>
    <w:next w:val="Normal"/>
    <w:rsid w:val="005B254B"/>
  </w:style>
  <w:style w:type="paragraph" w:customStyle="1" w:styleId="Questionref">
    <w:name w:val="Question_ref"/>
    <w:basedOn w:val="Recref"/>
    <w:next w:val="Questiondate"/>
    <w:rsid w:val="005B254B"/>
  </w:style>
  <w:style w:type="paragraph" w:customStyle="1" w:styleId="Questiontitle">
    <w:name w:val="Question_title"/>
    <w:basedOn w:val="Normal"/>
    <w:next w:val="Questionref"/>
    <w:rsid w:val="005B254B"/>
  </w:style>
  <w:style w:type="paragraph" w:customStyle="1" w:styleId="Reftext">
    <w:name w:val="Ref_text"/>
    <w:basedOn w:val="Normal"/>
    <w:rsid w:val="005B254B"/>
    <w:pPr>
      <w:ind w:left="794" w:hanging="794"/>
    </w:pPr>
    <w:rPr>
      <w:sz w:val="22"/>
    </w:rPr>
  </w:style>
  <w:style w:type="paragraph" w:customStyle="1" w:styleId="Reftitle">
    <w:name w:val="Ref_title"/>
    <w:basedOn w:val="Normal"/>
    <w:next w:val="Reftext"/>
    <w:rsid w:val="005B254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B254B"/>
  </w:style>
  <w:style w:type="paragraph" w:customStyle="1" w:styleId="RepNo">
    <w:name w:val="Rep_No"/>
    <w:basedOn w:val="RecNo"/>
    <w:next w:val="Reptitle"/>
    <w:rsid w:val="005B254B"/>
  </w:style>
  <w:style w:type="paragraph" w:customStyle="1" w:styleId="Repref">
    <w:name w:val="Rep_ref"/>
    <w:basedOn w:val="Recref"/>
    <w:next w:val="Repdate"/>
    <w:rsid w:val="005B254B"/>
  </w:style>
  <w:style w:type="paragraph" w:customStyle="1" w:styleId="Reptitle">
    <w:name w:val="Rep_title"/>
    <w:basedOn w:val="Rectitle"/>
    <w:next w:val="Repref"/>
    <w:rsid w:val="005B254B"/>
  </w:style>
  <w:style w:type="paragraph" w:customStyle="1" w:styleId="Resdate">
    <w:name w:val="Res_date"/>
    <w:basedOn w:val="Recdate"/>
    <w:next w:val="Normalaftertitle"/>
    <w:rsid w:val="005B254B"/>
  </w:style>
  <w:style w:type="paragraph" w:customStyle="1" w:styleId="ResNo">
    <w:name w:val="Res_No"/>
    <w:basedOn w:val="RecNo"/>
    <w:next w:val="Restitle"/>
    <w:rsid w:val="005B254B"/>
  </w:style>
  <w:style w:type="paragraph" w:customStyle="1" w:styleId="Resref">
    <w:name w:val="Res_ref"/>
    <w:basedOn w:val="Recref"/>
    <w:next w:val="Resdate"/>
    <w:rsid w:val="005B254B"/>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5B254B"/>
  </w:style>
  <w:style w:type="paragraph" w:customStyle="1" w:styleId="Sectiontitle">
    <w:name w:val="Section_title"/>
    <w:basedOn w:val="Normal"/>
    <w:next w:val="Normalaftertitle"/>
    <w:rsid w:val="005B254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B254B"/>
    <w:pPr>
      <w:tabs>
        <w:tab w:val="clear" w:pos="794"/>
        <w:tab w:val="clear" w:pos="1191"/>
        <w:tab w:val="clear" w:pos="1588"/>
        <w:tab w:val="clear" w:pos="1985"/>
        <w:tab w:val="right" w:pos="9611"/>
      </w:tabs>
    </w:pPr>
    <w:rPr>
      <w:i/>
    </w:rPr>
  </w:style>
  <w:style w:type="paragraph" w:styleId="TOC1">
    <w:name w:val="toc 1"/>
    <w:basedOn w:val="Normal"/>
    <w:semiHidden/>
    <w:rsid w:val="005B254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B254B"/>
    <w:pPr>
      <w:tabs>
        <w:tab w:val="clear" w:pos="567"/>
        <w:tab w:val="left" w:pos="1276"/>
      </w:tabs>
      <w:spacing w:before="160"/>
      <w:ind w:left="1276" w:hanging="709"/>
    </w:pPr>
  </w:style>
  <w:style w:type="paragraph" w:styleId="TOC3">
    <w:name w:val="toc 3"/>
    <w:basedOn w:val="TOC2"/>
    <w:semiHidden/>
    <w:rsid w:val="005B254B"/>
    <w:pPr>
      <w:tabs>
        <w:tab w:val="clear" w:pos="1276"/>
        <w:tab w:val="left" w:pos="2155"/>
      </w:tabs>
      <w:ind w:left="2155" w:hanging="879"/>
    </w:pPr>
  </w:style>
  <w:style w:type="paragraph" w:styleId="TOC4">
    <w:name w:val="toc 4"/>
    <w:basedOn w:val="TOC3"/>
    <w:semiHidden/>
    <w:rsid w:val="005B254B"/>
    <w:pPr>
      <w:tabs>
        <w:tab w:val="left" w:pos="3261"/>
      </w:tabs>
      <w:spacing w:before="80"/>
      <w:ind w:left="3261" w:hanging="993"/>
    </w:pPr>
  </w:style>
  <w:style w:type="paragraph" w:styleId="TOC5">
    <w:name w:val="toc 5"/>
    <w:basedOn w:val="TOC4"/>
    <w:semiHidden/>
    <w:rsid w:val="005B254B"/>
  </w:style>
  <w:style w:type="paragraph" w:styleId="TOC6">
    <w:name w:val="toc 6"/>
    <w:basedOn w:val="TOC4"/>
    <w:semiHidden/>
    <w:rsid w:val="005B254B"/>
  </w:style>
  <w:style w:type="paragraph" w:styleId="TOC7">
    <w:name w:val="toc 7"/>
    <w:basedOn w:val="TOC4"/>
    <w:semiHidden/>
    <w:rsid w:val="005B254B"/>
  </w:style>
  <w:style w:type="paragraph" w:styleId="TOC8">
    <w:name w:val="toc 8"/>
    <w:basedOn w:val="TOC4"/>
    <w:semiHidden/>
    <w:rsid w:val="005B254B"/>
  </w:style>
  <w:style w:type="paragraph" w:customStyle="1" w:styleId="Rectitle">
    <w:name w:val="Rec_title"/>
    <w:basedOn w:val="Normal"/>
    <w:next w:val="Recref"/>
    <w:rsid w:val="005B254B"/>
    <w:pPr>
      <w:keepNext/>
      <w:keepLines/>
      <w:spacing w:before="240"/>
      <w:jc w:val="center"/>
    </w:pPr>
    <w:rPr>
      <w:b/>
      <w:sz w:val="28"/>
    </w:rPr>
  </w:style>
  <w:style w:type="paragraph" w:customStyle="1" w:styleId="Annexref">
    <w:name w:val="Annex_ref"/>
    <w:basedOn w:val="Normal"/>
    <w:next w:val="Normalaftertitle"/>
    <w:rsid w:val="005B254B"/>
    <w:pPr>
      <w:keepNext/>
      <w:keepLines/>
      <w:spacing w:after="280"/>
      <w:jc w:val="center"/>
    </w:pPr>
  </w:style>
  <w:style w:type="paragraph" w:customStyle="1" w:styleId="Appendixref">
    <w:name w:val="Appendix_ref"/>
    <w:basedOn w:val="Annexref"/>
    <w:next w:val="Normalaftertitle"/>
    <w:rsid w:val="005B254B"/>
  </w:style>
  <w:style w:type="paragraph" w:customStyle="1" w:styleId="Figuretitle">
    <w:name w:val="Figure_title"/>
    <w:basedOn w:val="Normal"/>
    <w:next w:val="Figure"/>
    <w:rsid w:val="005B254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B254B"/>
    <w:pPr>
      <w:keepNext/>
      <w:spacing w:before="0" w:after="120"/>
      <w:jc w:val="center"/>
    </w:pPr>
    <w:rPr>
      <w:b/>
    </w:rPr>
  </w:style>
  <w:style w:type="paragraph" w:customStyle="1" w:styleId="Summary">
    <w:name w:val="Summary"/>
    <w:basedOn w:val="Normal"/>
    <w:next w:val="Normalaftertitle"/>
    <w:rsid w:val="005B254B"/>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12C0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DB9B4-368D-4127-B4D1-3D7E15F52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7</Pages>
  <Words>2306</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4</cp:revision>
  <cp:lastPrinted>2005-02-10T15:54:00Z</cp:lastPrinted>
  <dcterms:created xsi:type="dcterms:W3CDTF">2011-01-18T14:30:00Z</dcterms:created>
  <dcterms:modified xsi:type="dcterms:W3CDTF">2011-01-27T10:55:00Z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