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144A5C"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C202B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C202B3">
              <w:rPr>
                <w:rFonts w:ascii="Tahoma" w:hAnsi="Tahoma" w:cs="Tahoma"/>
                <w:b/>
                <w:bCs/>
                <w:iCs/>
                <w:color w:val="243285"/>
                <w:sz w:val="36"/>
                <w:szCs w:val="36"/>
                <w:lang w:val="es-ES_tradnl"/>
              </w:rPr>
              <w:t>814-3</w:t>
            </w:r>
          </w:p>
          <w:p w:rsidR="00227CED" w:rsidRPr="0010336F" w:rsidRDefault="00227CED" w:rsidP="004C359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C359E">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4C359E">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27CED" w:rsidRPr="00476917"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4C359E" w:rsidP="004C359E">
            <w:pPr>
              <w:spacing w:before="80" w:line="500" w:lineRule="exact"/>
              <w:jc w:val="right"/>
              <w:rPr>
                <w:rFonts w:ascii="Tahoma" w:hAnsi="Tahoma" w:cs="Tahoma"/>
                <w:b/>
                <w:bCs/>
                <w:color w:val="243285"/>
                <w:sz w:val="44"/>
                <w:szCs w:val="44"/>
                <w:lang w:val="es-ES_tradnl"/>
              </w:rPr>
            </w:pPr>
            <w:r w:rsidRPr="004C359E">
              <w:rPr>
                <w:rFonts w:ascii="Tahoma" w:hAnsi="Tahoma" w:cs="Tahoma"/>
                <w:b/>
                <w:bCs/>
                <w:color w:val="243285"/>
                <w:sz w:val="44"/>
                <w:szCs w:val="44"/>
                <w:lang w:val="es-ES_tradnl"/>
              </w:rPr>
              <w:t xml:space="preserve">Especificaciones de las señales de prueba </w:t>
            </w:r>
            <w:r>
              <w:rPr>
                <w:rFonts w:ascii="Tahoma" w:hAnsi="Tahoma" w:cs="Tahoma"/>
                <w:b/>
                <w:bCs/>
                <w:color w:val="243285"/>
                <w:sz w:val="44"/>
                <w:szCs w:val="44"/>
                <w:lang w:val="es-ES_tradnl"/>
              </w:rPr>
              <w:br/>
            </w:r>
            <w:r w:rsidRPr="004C359E">
              <w:rPr>
                <w:rFonts w:ascii="Tahoma" w:hAnsi="Tahoma" w:cs="Tahoma"/>
                <w:b/>
                <w:bCs/>
                <w:color w:val="243285"/>
                <w:sz w:val="44"/>
                <w:szCs w:val="44"/>
                <w:lang w:val="es-ES_tradnl"/>
              </w:rPr>
              <w:t xml:space="preserve">y procedimientos PLUGE de ajuste para establecer el brillo y el contraste </w:t>
            </w:r>
            <w:r>
              <w:rPr>
                <w:rFonts w:ascii="Tahoma" w:hAnsi="Tahoma" w:cs="Tahoma"/>
                <w:b/>
                <w:bCs/>
                <w:color w:val="243285"/>
                <w:sz w:val="44"/>
                <w:szCs w:val="44"/>
                <w:lang w:val="es-ES_tradnl"/>
              </w:rPr>
              <w:br/>
            </w:r>
            <w:r w:rsidRPr="004C359E">
              <w:rPr>
                <w:rFonts w:ascii="Tahoma" w:hAnsi="Tahoma" w:cs="Tahoma"/>
                <w:b/>
                <w:bCs/>
                <w:color w:val="243285"/>
                <w:sz w:val="44"/>
                <w:szCs w:val="44"/>
                <w:lang w:val="es-ES_tradnl"/>
              </w:rPr>
              <w:t>en las pantallas</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476917"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476917"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476917"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476917"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476917"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47691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47691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47691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476917"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C202B3" w:rsidRDefault="00C202B3" w:rsidP="004C359E">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4C359E">
        <w:rPr>
          <w:rStyle w:val="href"/>
          <w:lang w:val="es-ES_tradnl"/>
        </w:rPr>
        <w:t>814-3</w:t>
      </w:r>
    </w:p>
    <w:p w:rsidR="00C202B3" w:rsidRDefault="00C202B3" w:rsidP="00C202B3">
      <w:pPr>
        <w:pStyle w:val="Rectitle"/>
        <w:rPr>
          <w:lang w:val="es-ES"/>
        </w:rPr>
      </w:pPr>
      <w:r w:rsidRPr="00F5179D">
        <w:rPr>
          <w:lang w:val="es-ES"/>
        </w:rPr>
        <w:t>Especificaciones de las señales de prueba y procedimientos PLUGE de ajuste para establecer el brillo y el contraste en las pantallas</w:t>
      </w:r>
    </w:p>
    <w:p w:rsidR="00C202B3" w:rsidRPr="00F5179D" w:rsidRDefault="00C202B3" w:rsidP="00C202B3">
      <w:pPr>
        <w:pStyle w:val="Recdate"/>
        <w:rPr>
          <w:lang w:val="es-ES"/>
        </w:rPr>
      </w:pPr>
      <w:r w:rsidRPr="00F5179D">
        <w:rPr>
          <w:lang w:val="es-ES"/>
        </w:rPr>
        <w:t>(1992-1994-2007-2017)</w:t>
      </w:r>
    </w:p>
    <w:p w:rsidR="00C202B3" w:rsidRPr="00F5179D" w:rsidRDefault="00C202B3" w:rsidP="00C202B3">
      <w:pPr>
        <w:pStyle w:val="HeadingSum"/>
      </w:pPr>
      <w:r w:rsidRPr="00F5179D">
        <w:t>Cometido</w:t>
      </w:r>
    </w:p>
    <w:p w:rsidR="00C202B3" w:rsidRPr="00F5179D" w:rsidRDefault="00C202B3" w:rsidP="00C202B3">
      <w:pPr>
        <w:pStyle w:val="Summary"/>
      </w:pPr>
      <w:r w:rsidRPr="00F5179D">
        <w:t xml:space="preserve">En esta Recomendación se definen señales de prueba y procedimientos </w:t>
      </w:r>
      <w:r>
        <w:t>para el</w:t>
      </w:r>
      <w:r w:rsidRPr="00F5179D">
        <w:t xml:space="preserve"> ajuste de </w:t>
      </w:r>
      <w:r>
        <w:t xml:space="preserve">las </w:t>
      </w:r>
      <w:r w:rsidRPr="00F5179D">
        <w:t>pantallas utilizadas para la producción y el seguimiento de programas. La señal se puede utilizar para configurar valores de imágenes mostradas para la televisión de definición normal, de alta definición y de ultra alta definición, incluidos los sistemas de televisión d</w:t>
      </w:r>
      <w:r>
        <w:t>e alta gama dinámica PQ y HLG.</w:t>
      </w:r>
    </w:p>
    <w:p w:rsidR="00C202B3" w:rsidRPr="00F5179D" w:rsidRDefault="00C202B3" w:rsidP="00C202B3">
      <w:pPr>
        <w:pStyle w:val="Headingb"/>
        <w:rPr>
          <w:lang w:val="es-ES"/>
        </w:rPr>
      </w:pPr>
      <w:r w:rsidRPr="00F5179D">
        <w:rPr>
          <w:lang w:val="es-ES"/>
        </w:rPr>
        <w:t>Palabras clave</w:t>
      </w:r>
    </w:p>
    <w:p w:rsidR="00C202B3" w:rsidRPr="00F5179D" w:rsidRDefault="00C202B3" w:rsidP="00C202B3">
      <w:pPr>
        <w:rPr>
          <w:lang w:val="es-ES"/>
        </w:rPr>
      </w:pPr>
      <w:r w:rsidRPr="00F042BB">
        <w:rPr>
          <w:lang w:val="es-ES"/>
        </w:rPr>
        <w:t>PLUGE; ajuste</w:t>
      </w:r>
      <w:r w:rsidRPr="00F5179D">
        <w:rPr>
          <w:lang w:val="es-ES"/>
        </w:rPr>
        <w:t xml:space="preserve"> de pantalla; HDR; HDR-TV; brillo; contraste</w:t>
      </w:r>
    </w:p>
    <w:p w:rsidR="00C202B3" w:rsidRPr="00D01D0D" w:rsidRDefault="00C202B3" w:rsidP="00C202B3">
      <w:pPr>
        <w:pStyle w:val="Normalaftertitle"/>
        <w:rPr>
          <w:lang w:val="es-ES"/>
        </w:rPr>
      </w:pPr>
      <w:r w:rsidRPr="00D01D0D">
        <w:rPr>
          <w:lang w:val="es-ES"/>
        </w:rPr>
        <w:t>La Asamblea de Radiocomunicaciones de la UIT,</w:t>
      </w:r>
    </w:p>
    <w:p w:rsidR="00C202B3" w:rsidRPr="00F5179D" w:rsidRDefault="00C202B3" w:rsidP="00C202B3">
      <w:pPr>
        <w:pStyle w:val="Call"/>
        <w:rPr>
          <w:lang w:val="es-ES"/>
        </w:rPr>
      </w:pPr>
      <w:r w:rsidRPr="00F5179D">
        <w:rPr>
          <w:lang w:val="es-ES"/>
        </w:rPr>
        <w:t>considerando</w:t>
      </w:r>
    </w:p>
    <w:p w:rsidR="00C202B3" w:rsidRPr="00F5179D" w:rsidRDefault="00C202B3" w:rsidP="00C202B3">
      <w:pPr>
        <w:rPr>
          <w:lang w:val="es-ES"/>
        </w:rPr>
      </w:pPr>
      <w:r w:rsidRPr="00D01D0D">
        <w:rPr>
          <w:i/>
          <w:iCs/>
          <w:lang w:val="es-ES"/>
        </w:rPr>
        <w:t>a)</w:t>
      </w:r>
      <w:r w:rsidRPr="00F5179D">
        <w:rPr>
          <w:lang w:val="es-ES"/>
        </w:rPr>
        <w:tab/>
        <w:t>que las pantallas de imagen de precisión se utilizan en diversas aplicaciones que incluyen las pruebas subjetivas de laboratorio y la comprobación en sala de control de los sistemas operacionales;</w:t>
      </w:r>
    </w:p>
    <w:p w:rsidR="00C202B3" w:rsidRPr="00F5179D" w:rsidRDefault="00C202B3" w:rsidP="00C202B3">
      <w:pPr>
        <w:rPr>
          <w:lang w:val="es-ES"/>
        </w:rPr>
      </w:pPr>
      <w:r w:rsidRPr="00D01D0D">
        <w:rPr>
          <w:i/>
          <w:iCs/>
          <w:lang w:val="es-ES"/>
        </w:rPr>
        <w:t>b)</w:t>
      </w:r>
      <w:r w:rsidRPr="00F5179D">
        <w:rPr>
          <w:lang w:val="es-ES"/>
        </w:rPr>
        <w:tab/>
        <w:t>que las variaciones de la instalación y ajuste de las pantallas pueden dar lugar a variaciones de las imágenes visualizadas;</w:t>
      </w:r>
    </w:p>
    <w:p w:rsidR="00C202B3" w:rsidRPr="00F5179D" w:rsidRDefault="00C202B3" w:rsidP="00C202B3">
      <w:pPr>
        <w:rPr>
          <w:lang w:val="es-ES"/>
        </w:rPr>
      </w:pPr>
      <w:r w:rsidRPr="00D01D0D">
        <w:rPr>
          <w:i/>
          <w:iCs/>
          <w:lang w:val="es-ES"/>
        </w:rPr>
        <w:t>c)</w:t>
      </w:r>
      <w:r w:rsidRPr="00F5179D">
        <w:rPr>
          <w:lang w:val="es-ES"/>
        </w:rPr>
        <w:tab/>
        <w:t>que se han desarrollado señales especiales para ayudar a la instalación y ajuste de los monitores y que se están usando a nivel operativo desde hace muchos años,</w:t>
      </w:r>
    </w:p>
    <w:p w:rsidR="00C202B3" w:rsidRPr="00F5179D" w:rsidRDefault="00C202B3" w:rsidP="00C202B3">
      <w:pPr>
        <w:pStyle w:val="Call"/>
        <w:rPr>
          <w:lang w:val="es-ES"/>
        </w:rPr>
      </w:pPr>
      <w:r w:rsidRPr="00F5179D">
        <w:rPr>
          <w:lang w:val="es-ES"/>
        </w:rPr>
        <w:t>recomienda</w:t>
      </w:r>
    </w:p>
    <w:p w:rsidR="00C202B3" w:rsidRPr="00F5179D" w:rsidRDefault="00C202B3" w:rsidP="00C202B3">
      <w:pPr>
        <w:rPr>
          <w:lang w:val="es-ES"/>
        </w:rPr>
      </w:pPr>
      <w:r w:rsidRPr="00F5179D">
        <w:rPr>
          <w:b/>
          <w:lang w:val="es-ES"/>
        </w:rPr>
        <w:t>1</w:t>
      </w:r>
      <w:r w:rsidRPr="00F5179D">
        <w:rPr>
          <w:lang w:val="es-ES"/>
        </w:rPr>
        <w:tab/>
        <w:t>que se utilice la señal de prueba PLUGE (véase la Nota 1) descrita en el Anexo 1 para el ajuste de las pantallas utilizadas en las evaluaciones subjetivas y para la comprobación operativa de los sistemas descritos en las Recomendaciones UIT-R BT.1700</w:t>
      </w:r>
      <w:r w:rsidRPr="00F5179D">
        <w:rPr>
          <w:position w:val="6"/>
          <w:sz w:val="18"/>
          <w:lang w:val="es-ES"/>
        </w:rPr>
        <w:footnoteReference w:id="1"/>
      </w:r>
      <w:r w:rsidRPr="00F5179D">
        <w:rPr>
          <w:lang w:val="es-ES"/>
        </w:rPr>
        <w:t xml:space="preserve"> y UIT-R BT.601</w:t>
      </w:r>
      <w:r w:rsidRPr="00F5179D">
        <w:rPr>
          <w:position w:val="6"/>
          <w:sz w:val="18"/>
          <w:lang w:val="es-ES"/>
        </w:rPr>
        <w:footnoteReference w:id="2"/>
      </w:r>
      <w:r w:rsidRPr="00F5179D">
        <w:rPr>
          <w:lang w:val="es-ES"/>
        </w:rPr>
        <w:t>;</w:t>
      </w:r>
    </w:p>
    <w:p w:rsidR="00C202B3" w:rsidRPr="00F5179D" w:rsidRDefault="00C202B3" w:rsidP="00C202B3">
      <w:pPr>
        <w:rPr>
          <w:lang w:val="es-ES"/>
        </w:rPr>
      </w:pPr>
      <w:r w:rsidRPr="00F5179D">
        <w:rPr>
          <w:b/>
          <w:lang w:val="es-ES"/>
        </w:rPr>
        <w:t>2</w:t>
      </w:r>
      <w:r w:rsidRPr="00F5179D">
        <w:rPr>
          <w:lang w:val="es-ES"/>
        </w:rPr>
        <w:tab/>
        <w:t>que se utilice la señal de prueba PLUGE descrita en el Anexo 2 para el ajuste de las pantallas utilizadas en las evaluaciones subjetivas y para la comprobación operativa de los sistemas descritos en las Recomendaciones UIT-R BT.709</w:t>
      </w:r>
      <w:r w:rsidRPr="00F5179D">
        <w:rPr>
          <w:position w:val="6"/>
          <w:sz w:val="18"/>
          <w:lang w:val="es-ES"/>
        </w:rPr>
        <w:footnoteReference w:id="3"/>
      </w:r>
      <w:r w:rsidRPr="00F5179D">
        <w:rPr>
          <w:lang w:val="es-ES"/>
        </w:rPr>
        <w:t xml:space="preserve"> y UIT-R BT.2020</w:t>
      </w:r>
      <w:r w:rsidRPr="00F5179D">
        <w:rPr>
          <w:rStyle w:val="FootnoteReference"/>
          <w:lang w:val="es-ES"/>
        </w:rPr>
        <w:footnoteReference w:id="4"/>
      </w:r>
      <w:r w:rsidRPr="00F5179D">
        <w:rPr>
          <w:lang w:val="es-ES"/>
        </w:rPr>
        <w:t xml:space="preserve"> y UIT-R BT.2100</w:t>
      </w:r>
      <w:r>
        <w:rPr>
          <w:rStyle w:val="FootnoteReference"/>
          <w:lang w:val="es-ES"/>
        </w:rPr>
        <w:footnoteReference w:id="5"/>
      </w:r>
      <w:r w:rsidRPr="00F5179D">
        <w:rPr>
          <w:lang w:val="es-ES"/>
        </w:rPr>
        <w:t>;</w:t>
      </w:r>
    </w:p>
    <w:p w:rsidR="00C202B3" w:rsidRPr="00F5179D" w:rsidRDefault="00C202B3" w:rsidP="00D51F40">
      <w:pPr>
        <w:keepNext/>
        <w:keepLines/>
        <w:rPr>
          <w:lang w:val="es-ES"/>
        </w:rPr>
      </w:pPr>
      <w:r w:rsidRPr="00F5179D">
        <w:rPr>
          <w:b/>
          <w:lang w:val="es-ES"/>
        </w:rPr>
        <w:lastRenderedPageBreak/>
        <w:t>3</w:t>
      </w:r>
      <w:r w:rsidRPr="00F5179D">
        <w:rPr>
          <w:lang w:val="es-ES"/>
        </w:rPr>
        <w:tab/>
        <w:t>que el procedimiento que se apl</w:t>
      </w:r>
      <w:r>
        <w:rPr>
          <w:lang w:val="es-ES"/>
        </w:rPr>
        <w:t xml:space="preserve">ique para utilizar la señal de </w:t>
      </w:r>
      <w:r w:rsidRPr="00F5179D">
        <w:rPr>
          <w:lang w:val="es-ES"/>
        </w:rPr>
        <w:t>prueba PLUGE sea el descrito en el Anexo 3,</w:t>
      </w:r>
    </w:p>
    <w:p w:rsidR="00C202B3" w:rsidRPr="00F5179D" w:rsidRDefault="00C202B3" w:rsidP="00C202B3">
      <w:pPr>
        <w:pStyle w:val="Call"/>
        <w:rPr>
          <w:lang w:val="es-ES"/>
        </w:rPr>
      </w:pPr>
      <w:r w:rsidRPr="00F5179D">
        <w:rPr>
          <w:lang w:val="es-ES"/>
        </w:rPr>
        <w:t>recomienda además</w:t>
      </w:r>
    </w:p>
    <w:p w:rsidR="00C202B3" w:rsidRPr="00F5179D" w:rsidRDefault="00C202B3" w:rsidP="00C202B3">
      <w:pPr>
        <w:rPr>
          <w:lang w:val="es-ES"/>
        </w:rPr>
      </w:pPr>
      <w:r>
        <w:rPr>
          <w:lang w:val="es-ES"/>
        </w:rPr>
        <w:t>q</w:t>
      </w:r>
      <w:r w:rsidRPr="00F5179D">
        <w:rPr>
          <w:lang w:val="es-ES"/>
        </w:rPr>
        <w:t xml:space="preserve">ue se lleven a cabo nuevos estudios </w:t>
      </w:r>
      <w:r>
        <w:rPr>
          <w:lang w:val="es-ES"/>
        </w:rPr>
        <w:t>relativos</w:t>
      </w:r>
      <w:r w:rsidRPr="00F5179D">
        <w:rPr>
          <w:lang w:val="es-ES"/>
        </w:rPr>
        <w:t xml:space="preserve"> </w:t>
      </w:r>
      <w:r>
        <w:rPr>
          <w:lang w:val="es-ES"/>
        </w:rPr>
        <w:t>a</w:t>
      </w:r>
      <w:r w:rsidRPr="00F5179D">
        <w:rPr>
          <w:lang w:val="es-ES"/>
        </w:rPr>
        <w:t>l ajuste del nivel de negro de las pantallas HDR y que los Anexos informativos 4 y</w:t>
      </w:r>
      <w:r>
        <w:rPr>
          <w:lang w:val="es-ES"/>
        </w:rPr>
        <w:t xml:space="preserve"> </w:t>
      </w:r>
      <w:r w:rsidRPr="00F5179D">
        <w:rPr>
          <w:lang w:val="es-ES"/>
        </w:rPr>
        <w:t xml:space="preserve">5 </w:t>
      </w:r>
      <w:r>
        <w:rPr>
          <w:lang w:val="es-ES"/>
        </w:rPr>
        <w:t>de la presente Recomendación se adapten para incorporar los métodos mejorados.</w:t>
      </w:r>
    </w:p>
    <w:p w:rsidR="00C202B3" w:rsidRPr="00F5179D" w:rsidRDefault="00C202B3" w:rsidP="00D51F40">
      <w:pPr>
        <w:rPr>
          <w:lang w:val="es-ES"/>
        </w:rPr>
      </w:pPr>
      <w:r w:rsidRPr="00F5179D">
        <w:rPr>
          <w:iCs/>
          <w:lang w:val="es-ES"/>
        </w:rPr>
        <w:t>NOTA 1 </w:t>
      </w:r>
      <w:r w:rsidRPr="00F5179D">
        <w:rPr>
          <w:lang w:val="es-ES"/>
        </w:rPr>
        <w:t>– La sigla PLUGE corresponde a «Picture Line Up Generating Equipment» (equipo de generación de los ajustes de imagen).</w:t>
      </w:r>
    </w:p>
    <w:p w:rsidR="00C202B3" w:rsidRDefault="00C202B3" w:rsidP="00C202B3">
      <w:pPr>
        <w:rPr>
          <w:lang w:val="es-ES"/>
        </w:rPr>
      </w:pPr>
    </w:p>
    <w:p w:rsidR="00C202B3" w:rsidRDefault="00C202B3" w:rsidP="00C202B3">
      <w:pPr>
        <w:rPr>
          <w:lang w:val="es-ES"/>
        </w:rPr>
      </w:pPr>
    </w:p>
    <w:p w:rsidR="00C202B3" w:rsidRPr="00F5179D" w:rsidRDefault="00C202B3" w:rsidP="00C202B3">
      <w:pPr>
        <w:pStyle w:val="AnnexNoTitle"/>
        <w:rPr>
          <w:lang w:val="es-ES"/>
        </w:rPr>
      </w:pPr>
      <w:r w:rsidRPr="00F5179D">
        <w:rPr>
          <w:lang w:val="es-ES"/>
        </w:rPr>
        <w:t>Anexo 1 (Normativo)</w:t>
      </w:r>
      <w:r w:rsidRPr="00F5179D">
        <w:rPr>
          <w:lang w:val="es-ES"/>
        </w:rPr>
        <w:br/>
      </w:r>
      <w:r w:rsidRPr="00F5179D">
        <w:rPr>
          <w:lang w:val="es-ES"/>
        </w:rPr>
        <w:br/>
        <w:t>Especificaciones de las señales PLUGE para TV digital convencional</w:t>
      </w:r>
    </w:p>
    <w:p w:rsidR="00C202B3" w:rsidRPr="00D01D0D" w:rsidRDefault="00C202B3" w:rsidP="00C202B3">
      <w:pPr>
        <w:pStyle w:val="Normalaftertitle"/>
        <w:rPr>
          <w:lang w:val="es-ES"/>
        </w:rPr>
      </w:pPr>
      <w:r w:rsidRPr="00D01D0D">
        <w:rPr>
          <w:lang w:val="es-ES"/>
        </w:rPr>
        <w:t>La señal PLUGE (véase la Fig. 1) se compone de:</w:t>
      </w:r>
    </w:p>
    <w:p w:rsidR="00C202B3" w:rsidRPr="00F5179D" w:rsidRDefault="00C202B3" w:rsidP="00C202B3">
      <w:pPr>
        <w:pStyle w:val="enumlev1"/>
        <w:rPr>
          <w:lang w:val="es-ES"/>
        </w:rPr>
      </w:pPr>
      <w:r w:rsidRPr="00F5179D">
        <w:rPr>
          <w:lang w:val="es-ES"/>
        </w:rPr>
        <w:t>a)</w:t>
      </w:r>
      <w:r w:rsidRPr="00F5179D">
        <w:rPr>
          <w:lang w:val="es-ES"/>
        </w:rPr>
        <w:tab/>
        <w:t>tres barras verticales con una separación muy pequeña situadas en el lateral izquierdo de la imagen. Las barras se sitúan a la izquierda y a la derecha de una barra vertical que está al nivel de negro de la forma de onda. La barra de la izquierda es ligeramente más oscura y la de la derecha es ligeramente más clara que la central;</w:t>
      </w:r>
    </w:p>
    <w:p w:rsidR="00C202B3" w:rsidRPr="00F5179D" w:rsidRDefault="00C202B3" w:rsidP="00C202B3">
      <w:pPr>
        <w:pStyle w:val="enumlev1"/>
        <w:rPr>
          <w:lang w:val="es-ES"/>
        </w:rPr>
      </w:pPr>
      <w:r w:rsidRPr="00F5179D">
        <w:rPr>
          <w:lang w:val="es-ES"/>
        </w:rPr>
        <w:t>b)</w:t>
      </w:r>
      <w:r w:rsidRPr="00F5179D">
        <w:rPr>
          <w:lang w:val="es-ES"/>
        </w:rPr>
        <w:tab/>
        <w:t>una señal correspondiente a una barra ancha situada en el lateral derecho de la imagen. Se divide en cuatro zonas, una a nivel del blanco y las otras tres a niveles descendentes de gris. La escala de grises se divide en escalones aproximadamente iguales, en la observación por el ojo, con una gama de contraste de 30:1. La zona de cresta del blanco es suficientemente amplia para permitir fijar la luminancia de cresta mediante un instrumento de medida;</w:t>
      </w:r>
    </w:p>
    <w:p w:rsidR="00C202B3" w:rsidRPr="00F5179D" w:rsidRDefault="00C202B3" w:rsidP="00C202B3">
      <w:pPr>
        <w:pStyle w:val="enumlev1"/>
        <w:rPr>
          <w:lang w:val="es-ES"/>
        </w:rPr>
      </w:pPr>
      <w:r w:rsidRPr="00F5179D">
        <w:rPr>
          <w:lang w:val="es-ES"/>
        </w:rPr>
        <w:t>c)</w:t>
      </w:r>
      <w:r w:rsidRPr="00F5179D">
        <w:rPr>
          <w:lang w:val="es-ES"/>
        </w:rPr>
        <w:tab/>
        <w:t>un fondo uniforme rodeando las barras verticales estrechas y la barra ancha, que se han descrito antes. Según la aplicación de que se trate, se especifican dos niveles diferentes de fondo:</w:t>
      </w:r>
    </w:p>
    <w:p w:rsidR="00C202B3" w:rsidRPr="00F5179D" w:rsidRDefault="00C202B3" w:rsidP="00C202B3">
      <w:pPr>
        <w:pStyle w:val="enumlev2"/>
        <w:rPr>
          <w:lang w:val="es-ES"/>
        </w:rPr>
      </w:pPr>
      <w:r w:rsidRPr="00F5179D">
        <w:rPr>
          <w:lang w:val="es-ES"/>
        </w:rPr>
        <w:t>–</w:t>
      </w:r>
      <w:r w:rsidRPr="00F5179D">
        <w:rPr>
          <w:lang w:val="es-ES"/>
        </w:rPr>
        <w:tab/>
        <w:t>para la comprobación operacional, el nivel de fondo se fija al nivel del negro de la señal;</w:t>
      </w:r>
    </w:p>
    <w:p w:rsidR="00C202B3" w:rsidRDefault="00C202B3" w:rsidP="00C202B3">
      <w:pPr>
        <w:pStyle w:val="enumlev2"/>
        <w:rPr>
          <w:lang w:val="es-ES"/>
        </w:rPr>
      </w:pPr>
      <w:r w:rsidRPr="00F5179D">
        <w:rPr>
          <w:lang w:val="es-ES"/>
        </w:rPr>
        <w:t>–</w:t>
      </w:r>
      <w:r w:rsidRPr="00F5179D">
        <w:rPr>
          <w:lang w:val="es-ES"/>
        </w:rPr>
        <w:tab/>
        <w:t>para evaluaciones subjetivas, el nivel de fondo se fija al nivel del gris indicado en el Cuadro 1. Este nivel de fondo se ha optimizado para dar una calidad subjetiva de la imagen de la pantalla, similar a la utilizada en las secuencias de la evaluación subjetiva.</w:t>
      </w:r>
    </w:p>
    <w:p w:rsidR="00C202B3" w:rsidRDefault="00C202B3" w:rsidP="00C202B3">
      <w:pPr>
        <w:pStyle w:val="FigureNo"/>
        <w:rPr>
          <w:lang w:val="es-ES"/>
        </w:rPr>
      </w:pPr>
      <w:r>
        <w:rPr>
          <w:lang w:val="es-ES"/>
        </w:rPr>
        <w:lastRenderedPageBreak/>
        <w:t>Figura 1</w:t>
      </w:r>
    </w:p>
    <w:p w:rsidR="00C202B3" w:rsidRPr="00F5179D" w:rsidRDefault="00C202B3" w:rsidP="00C202B3">
      <w:pPr>
        <w:pStyle w:val="Figuretitle"/>
        <w:rPr>
          <w:lang w:val="es-ES"/>
        </w:rPr>
      </w:pPr>
      <w:r>
        <w:rPr>
          <w:lang w:val="es-ES"/>
        </w:rPr>
        <w:t>Campo activo y forma de onda PLUGE</w:t>
      </w:r>
    </w:p>
    <w:p w:rsidR="00C202B3" w:rsidRDefault="00C202B3" w:rsidP="00C202B3">
      <w:pPr>
        <w:pStyle w:val="Figure"/>
      </w:pPr>
      <w:r>
        <w:object w:dxaOrig="8628" w:dyaOrig="9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453.9pt" o:ole="">
            <v:imagedata r:id="rId14" o:title=""/>
          </v:shape>
          <o:OLEObject Type="Embed" ProgID="CorelDraw.Graphic.16" ShapeID="_x0000_i1025" DrawAspect="Content" ObjectID="_1597823962" r:id="rId15"/>
        </w:object>
      </w:r>
    </w:p>
    <w:p w:rsidR="00C202B3" w:rsidRPr="003A4E5B" w:rsidRDefault="00C202B3" w:rsidP="00C202B3">
      <w:pPr>
        <w:pStyle w:val="Normalaftertitle"/>
        <w:rPr>
          <w:lang w:val="es-ES"/>
        </w:rPr>
      </w:pPr>
      <w:r w:rsidRPr="003A4E5B">
        <w:rPr>
          <w:lang w:val="es-ES"/>
        </w:rPr>
        <w:t>Para tener en cuenta la característica del ojo humano, la luminancia de las barras verticales descritas en c) es ligeramente distinta en ambas aplicaciones (véase el Cuadro 1).</w:t>
      </w:r>
    </w:p>
    <w:p w:rsidR="00C202B3" w:rsidRPr="00F5179D" w:rsidRDefault="00C202B3" w:rsidP="00C202B3">
      <w:pPr>
        <w:tabs>
          <w:tab w:val="left" w:pos="1296"/>
          <w:tab w:val="left" w:pos="2160"/>
          <w:tab w:val="left" w:pos="3024"/>
          <w:tab w:val="left" w:pos="8496"/>
        </w:tabs>
        <w:rPr>
          <w:lang w:val="es-ES"/>
        </w:rPr>
      </w:pPr>
      <w:r w:rsidRPr="00F5179D">
        <w:rPr>
          <w:lang w:val="es-ES"/>
        </w:rPr>
        <w:t>A fin de asegurar que en sistemas compuestos analógicos el decodificador de color de una pantalla funciona en su modo de color, se recomienda incluir una ráfaga de color normalizada, en la forma de onda analógica.</w:t>
      </w:r>
    </w:p>
    <w:p w:rsidR="00C202B3" w:rsidRPr="00F5179D" w:rsidRDefault="00C202B3" w:rsidP="00C202B3">
      <w:pPr>
        <w:rPr>
          <w:lang w:val="es-ES"/>
        </w:rPr>
      </w:pPr>
      <w:r w:rsidRPr="00F5179D">
        <w:rPr>
          <w:lang w:val="es-ES"/>
        </w:rPr>
        <w:t>La cantidad de muestras horizontales es menor que las 720 definidas en la Recomendación UIT</w:t>
      </w:r>
      <w:r w:rsidRPr="00F5179D">
        <w:rPr>
          <w:lang w:val="es-ES"/>
        </w:rPr>
        <w:noBreakHyphen/>
        <w:t xml:space="preserve">R BT.601. Se debe centrar la señal de prueba PLUGE en la línea activa de los sistemas digitales y analógicos </w:t>
      </w:r>
      <w:r w:rsidRPr="00F5179D">
        <w:rPr>
          <w:color w:val="000000"/>
          <w:lang w:val="es-ES"/>
        </w:rPr>
        <w:t xml:space="preserve">±2 </w:t>
      </w:r>
      <w:r w:rsidRPr="00F5179D">
        <w:rPr>
          <w:lang w:val="es-ES"/>
        </w:rPr>
        <w:t>muestras.</w:t>
      </w:r>
    </w:p>
    <w:p w:rsidR="00C202B3" w:rsidRPr="00F5179D" w:rsidRDefault="00C202B3" w:rsidP="00C202B3">
      <w:pPr>
        <w:pStyle w:val="TableNo"/>
        <w:rPr>
          <w:lang w:val="es-ES"/>
        </w:rPr>
      </w:pPr>
      <w:r w:rsidRPr="00F5179D">
        <w:rPr>
          <w:lang w:val="es-ES"/>
        </w:rPr>
        <w:lastRenderedPageBreak/>
        <w:t>CUADRO 1</w:t>
      </w:r>
    </w:p>
    <w:p w:rsidR="00C202B3" w:rsidRPr="00F5179D" w:rsidRDefault="00C202B3" w:rsidP="00C202B3">
      <w:pPr>
        <w:pStyle w:val="Tabletitle"/>
        <w:rPr>
          <w:lang w:val="es-ES"/>
        </w:rPr>
      </w:pPr>
      <w:r w:rsidRPr="00F5179D">
        <w:rPr>
          <w:lang w:val="es-ES"/>
        </w:rPr>
        <w:t>Niveles de la forma de onda</w:t>
      </w:r>
    </w:p>
    <w:tbl>
      <w:tblPr>
        <w:tblW w:w="9639" w:type="dxa"/>
        <w:jc w:val="center"/>
        <w:tblLayout w:type="fixed"/>
        <w:tblLook w:val="0000" w:firstRow="0" w:lastRow="0" w:firstColumn="0" w:lastColumn="0" w:noHBand="0" w:noVBand="0"/>
      </w:tblPr>
      <w:tblGrid>
        <w:gridCol w:w="2474"/>
        <w:gridCol w:w="1172"/>
        <w:gridCol w:w="1201"/>
        <w:gridCol w:w="1081"/>
        <w:gridCol w:w="1406"/>
        <w:gridCol w:w="1138"/>
        <w:gridCol w:w="1167"/>
      </w:tblGrid>
      <w:tr w:rsidR="00C202B3" w:rsidRPr="00D51F40" w:rsidTr="00E327C6">
        <w:trPr>
          <w:cantSplit/>
          <w:jc w:val="center"/>
        </w:trPr>
        <w:tc>
          <w:tcPr>
            <w:tcW w:w="2381" w:type="dxa"/>
          </w:tcPr>
          <w:p w:rsidR="00C202B3" w:rsidRPr="00D51F40" w:rsidRDefault="00C202B3" w:rsidP="004C359E">
            <w:pPr>
              <w:pStyle w:val="Tablehead"/>
              <w:rPr>
                <w:b w:val="0"/>
                <w:bCs/>
                <w:sz w:val="20"/>
                <w:lang w:val="es-ES"/>
              </w:rPr>
            </w:pPr>
          </w:p>
        </w:tc>
        <w:tc>
          <w:tcPr>
            <w:tcW w:w="3325" w:type="dxa"/>
            <w:gridSpan w:val="3"/>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head"/>
              <w:rPr>
                <w:b w:val="0"/>
                <w:bCs/>
                <w:sz w:val="20"/>
                <w:lang w:val="es-ES"/>
              </w:rPr>
            </w:pPr>
            <w:r w:rsidRPr="00D51F40">
              <w:rPr>
                <w:b w:val="0"/>
                <w:bCs/>
                <w:sz w:val="20"/>
                <w:lang w:val="es-ES"/>
              </w:rPr>
              <w:t>Comprobación operacional</w:t>
            </w:r>
          </w:p>
        </w:tc>
        <w:tc>
          <w:tcPr>
            <w:tcW w:w="3574" w:type="dxa"/>
            <w:gridSpan w:val="3"/>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head"/>
              <w:rPr>
                <w:b w:val="0"/>
                <w:bCs/>
                <w:sz w:val="20"/>
                <w:lang w:val="es-ES"/>
              </w:rPr>
            </w:pPr>
            <w:r w:rsidRPr="00D51F40">
              <w:rPr>
                <w:b w:val="0"/>
                <w:bCs/>
                <w:sz w:val="20"/>
                <w:lang w:val="es-ES"/>
              </w:rPr>
              <w:t>Evaluación subjetiva</w:t>
            </w:r>
          </w:p>
        </w:tc>
      </w:tr>
      <w:tr w:rsidR="00C202B3" w:rsidRPr="00D51F40" w:rsidTr="00E327C6">
        <w:trPr>
          <w:cantSplit/>
          <w:jc w:val="center"/>
        </w:trPr>
        <w:tc>
          <w:tcPr>
            <w:tcW w:w="2381" w:type="dxa"/>
          </w:tcPr>
          <w:p w:rsidR="00C202B3" w:rsidRPr="00D51F40" w:rsidRDefault="00C202B3" w:rsidP="004C359E">
            <w:pPr>
              <w:pStyle w:val="Tabletext"/>
              <w:jc w:val="center"/>
              <w:rPr>
                <w:sz w:val="20"/>
                <w:lang w:val="es-ES"/>
              </w:rPr>
            </w:pPr>
          </w:p>
        </w:tc>
        <w:tc>
          <w:tcPr>
            <w:tcW w:w="3325" w:type="dxa"/>
            <w:gridSpan w:val="3"/>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tabs>
                <w:tab w:val="clear" w:pos="284"/>
                <w:tab w:val="clear" w:pos="567"/>
                <w:tab w:val="clear" w:pos="851"/>
                <w:tab w:val="clear" w:pos="1134"/>
                <w:tab w:val="clear" w:pos="1701"/>
                <w:tab w:val="clear" w:pos="2268"/>
                <w:tab w:val="clear" w:pos="2552"/>
                <w:tab w:val="clear" w:pos="2835"/>
                <w:tab w:val="clear" w:pos="3119"/>
                <w:tab w:val="clear" w:pos="3402"/>
                <w:tab w:val="clear" w:pos="3686"/>
                <w:tab w:val="clear" w:pos="3969"/>
                <w:tab w:val="left" w:pos="794"/>
                <w:tab w:val="left" w:pos="1191"/>
              </w:tabs>
              <w:jc w:val="center"/>
              <w:rPr>
                <w:sz w:val="20"/>
                <w:lang w:val="es-ES"/>
              </w:rPr>
            </w:pPr>
            <w:r w:rsidRPr="00D51F40">
              <w:rPr>
                <w:sz w:val="20"/>
                <w:lang w:val="es-ES"/>
              </w:rPr>
              <w:tab/>
              <w:t>%</w:t>
            </w:r>
            <w:r w:rsidRPr="00D51F40">
              <w:rPr>
                <w:sz w:val="20"/>
                <w:lang w:val="es-ES"/>
              </w:rPr>
              <w:br/>
              <w:t>Nivel</w:t>
            </w:r>
            <w:r w:rsidRPr="00D51F40">
              <w:rPr>
                <w:sz w:val="20"/>
                <w:lang w:val="es-ES"/>
              </w:rPr>
              <w:tab/>
              <w:t>mV</w:t>
            </w:r>
            <w:r w:rsidRPr="00D51F40">
              <w:rPr>
                <w:sz w:val="20"/>
                <w:lang w:val="es-ES"/>
              </w:rPr>
              <w:br/>
            </w:r>
            <w:r w:rsidRPr="00D51F40">
              <w:rPr>
                <w:sz w:val="20"/>
                <w:lang w:val="es-ES"/>
              </w:rPr>
              <w:tab/>
              <w:t>digital</w:t>
            </w:r>
          </w:p>
        </w:tc>
        <w:tc>
          <w:tcPr>
            <w:tcW w:w="3574" w:type="dxa"/>
            <w:gridSpan w:val="3"/>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tabs>
                <w:tab w:val="clear" w:pos="284"/>
                <w:tab w:val="clear" w:pos="567"/>
                <w:tab w:val="clear" w:pos="851"/>
                <w:tab w:val="clear" w:pos="1134"/>
                <w:tab w:val="clear" w:pos="1701"/>
                <w:tab w:val="clear" w:pos="2268"/>
                <w:tab w:val="clear" w:pos="2552"/>
                <w:tab w:val="clear" w:pos="2835"/>
                <w:tab w:val="clear" w:pos="3119"/>
                <w:tab w:val="clear" w:pos="3402"/>
                <w:tab w:val="clear" w:pos="3686"/>
                <w:tab w:val="clear" w:pos="3969"/>
                <w:tab w:val="left" w:pos="794"/>
                <w:tab w:val="left" w:pos="1191"/>
              </w:tabs>
              <w:jc w:val="center"/>
              <w:rPr>
                <w:sz w:val="20"/>
                <w:lang w:val="es-ES"/>
              </w:rPr>
            </w:pPr>
            <w:r w:rsidRPr="00D51F40">
              <w:rPr>
                <w:sz w:val="20"/>
                <w:lang w:val="es-ES"/>
              </w:rPr>
              <w:tab/>
              <w:t>%</w:t>
            </w:r>
            <w:r w:rsidRPr="00D51F40">
              <w:rPr>
                <w:sz w:val="20"/>
                <w:lang w:val="es-ES"/>
              </w:rPr>
              <w:br/>
              <w:t>Nivel</w:t>
            </w:r>
            <w:r w:rsidRPr="00D51F40">
              <w:rPr>
                <w:sz w:val="20"/>
                <w:lang w:val="es-ES"/>
              </w:rPr>
              <w:tab/>
              <w:t>mV</w:t>
            </w:r>
            <w:r w:rsidRPr="00D51F40">
              <w:rPr>
                <w:sz w:val="20"/>
                <w:lang w:val="es-ES"/>
              </w:rPr>
              <w:br/>
            </w:r>
            <w:r w:rsidRPr="00D51F40">
              <w:rPr>
                <w:sz w:val="20"/>
                <w:lang w:val="es-ES"/>
              </w:rPr>
              <w:tab/>
              <w:t>digital</w:t>
            </w:r>
          </w:p>
        </w:tc>
      </w:tr>
      <w:tr w:rsidR="00C202B3" w:rsidRPr="00D51F40" w:rsidTr="00E327C6">
        <w:trPr>
          <w:cantSplit/>
          <w:jc w:val="center"/>
        </w:trPr>
        <w:tc>
          <w:tcPr>
            <w:tcW w:w="2381" w:type="dxa"/>
            <w:tcBorders>
              <w:bottom w:val="single" w:sz="6" w:space="0" w:color="auto"/>
              <w:right w:val="single" w:sz="6" w:space="0" w:color="auto"/>
            </w:tcBorders>
          </w:tcPr>
          <w:p w:rsidR="00C202B3" w:rsidRPr="00D51F40" w:rsidRDefault="00C202B3" w:rsidP="004C359E">
            <w:pPr>
              <w:pStyle w:val="Tabletext"/>
              <w:jc w:val="left"/>
              <w:rPr>
                <w:sz w:val="20"/>
                <w:lang w:val="es-ES"/>
              </w:rPr>
            </w:pPr>
          </w:p>
        </w:tc>
        <w:tc>
          <w:tcPr>
            <w:tcW w:w="1128" w:type="dxa"/>
            <w:tcBorders>
              <w:top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625 líneas</w:t>
            </w:r>
          </w:p>
        </w:tc>
        <w:tc>
          <w:tcPr>
            <w:tcW w:w="2197" w:type="dxa"/>
            <w:gridSpan w:val="2"/>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525 líneas</w:t>
            </w:r>
          </w:p>
        </w:tc>
        <w:tc>
          <w:tcPr>
            <w:tcW w:w="1354" w:type="dxa"/>
            <w:tcBorders>
              <w:top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625 líneas</w:t>
            </w:r>
          </w:p>
        </w:tc>
        <w:tc>
          <w:tcPr>
            <w:tcW w:w="2220" w:type="dxa"/>
            <w:gridSpan w:val="2"/>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525 líneas</w:t>
            </w:r>
          </w:p>
        </w:tc>
      </w:tr>
      <w:tr w:rsidR="00C202B3" w:rsidRPr="00D51F40" w:rsidTr="00E327C6">
        <w:trPr>
          <w:cantSplit/>
          <w:jc w:val="center"/>
        </w:trPr>
        <w:tc>
          <w:tcPr>
            <w:tcW w:w="2381" w:type="dxa"/>
            <w:tcBorders>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A</w:t>
            </w:r>
            <w:r w:rsidRPr="00D51F40">
              <w:rPr>
                <w:sz w:val="20"/>
                <w:lang w:val="es-ES"/>
              </w:rPr>
              <w:tab/>
              <w:t>Nivel de negro de la</w:t>
            </w:r>
            <w:r w:rsidRPr="00D51F40">
              <w:rPr>
                <w:sz w:val="20"/>
                <w:lang w:val="es-ES"/>
              </w:rPr>
              <w:br/>
            </w:r>
            <w:r w:rsidRPr="00D51F40">
              <w:rPr>
                <w:sz w:val="20"/>
                <w:lang w:val="es-ES"/>
              </w:rPr>
              <w:tab/>
              <w:t>forma de onda</w:t>
            </w:r>
          </w:p>
        </w:tc>
        <w:tc>
          <w:tcPr>
            <w:tcW w:w="1128" w:type="dxa"/>
            <w:tcBorders>
              <w:right w:val="single" w:sz="6" w:space="0" w:color="auto"/>
            </w:tcBorders>
          </w:tcPr>
          <w:p w:rsidR="00C202B3" w:rsidRPr="00D51F40" w:rsidRDefault="00C202B3" w:rsidP="004C359E">
            <w:pPr>
              <w:pStyle w:val="Tabletext"/>
              <w:jc w:val="center"/>
              <w:rPr>
                <w:sz w:val="20"/>
                <w:lang w:val="es-ES"/>
              </w:rPr>
            </w:pPr>
            <w:r w:rsidRPr="00D51F40">
              <w:rPr>
                <w:sz w:val="20"/>
                <w:lang w:val="es-ES"/>
              </w:rPr>
              <w:t>0%</w:t>
            </w:r>
            <w:r w:rsidRPr="00D51F40">
              <w:rPr>
                <w:sz w:val="20"/>
                <w:lang w:val="es-ES"/>
              </w:rPr>
              <w:br/>
              <w:t>0 mV</w:t>
            </w:r>
            <w:r w:rsidRPr="00D51F40">
              <w:rPr>
                <w:sz w:val="20"/>
                <w:lang w:val="es-ES"/>
              </w:rPr>
              <w:br/>
              <w:t>(16)64</w:t>
            </w:r>
          </w:p>
        </w:tc>
        <w:tc>
          <w:tcPr>
            <w:tcW w:w="1156" w:type="dxa"/>
            <w:tcBorders>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0%</w:t>
            </w:r>
            <w:r w:rsidRPr="00D51F40">
              <w:rPr>
                <w:sz w:val="20"/>
                <w:lang w:val="es-ES"/>
              </w:rPr>
              <w:br/>
              <w:t>0 mV</w:t>
            </w:r>
            <w:r w:rsidRPr="00D51F40">
              <w:rPr>
                <w:sz w:val="20"/>
                <w:lang w:val="es-ES"/>
              </w:rPr>
              <w:br/>
              <w:t>(16)64</w:t>
            </w:r>
          </w:p>
        </w:tc>
        <w:tc>
          <w:tcPr>
            <w:tcW w:w="1041" w:type="dxa"/>
            <w:tcBorders>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7,5%</w:t>
            </w:r>
            <w:r w:rsidRPr="00D51F40">
              <w:rPr>
                <w:sz w:val="20"/>
                <w:lang w:val="es-ES"/>
              </w:rPr>
              <w:br/>
              <w:t>54 mV</w:t>
            </w:r>
            <w:r w:rsidRPr="00D51F40">
              <w:rPr>
                <w:sz w:val="20"/>
                <w:lang w:val="es-ES"/>
              </w:rPr>
              <w:br/>
              <w:t>(16)64</w:t>
            </w:r>
          </w:p>
        </w:tc>
        <w:tc>
          <w:tcPr>
            <w:tcW w:w="1354" w:type="dxa"/>
            <w:tcBorders>
              <w:right w:val="single" w:sz="6" w:space="0" w:color="auto"/>
            </w:tcBorders>
          </w:tcPr>
          <w:p w:rsidR="00C202B3" w:rsidRPr="00D51F40" w:rsidRDefault="00C202B3" w:rsidP="004C359E">
            <w:pPr>
              <w:pStyle w:val="Tabletext"/>
              <w:jc w:val="center"/>
              <w:rPr>
                <w:sz w:val="20"/>
                <w:lang w:val="es-ES"/>
              </w:rPr>
            </w:pPr>
            <w:r w:rsidRPr="00D51F40">
              <w:rPr>
                <w:sz w:val="20"/>
                <w:lang w:val="es-ES"/>
              </w:rPr>
              <w:t>0%</w:t>
            </w:r>
            <w:r w:rsidRPr="00D51F40">
              <w:rPr>
                <w:sz w:val="20"/>
                <w:lang w:val="es-ES"/>
              </w:rPr>
              <w:br/>
              <w:t>0 mV</w:t>
            </w:r>
            <w:r w:rsidRPr="00D51F40">
              <w:rPr>
                <w:sz w:val="20"/>
                <w:lang w:val="es-ES"/>
              </w:rPr>
              <w:br/>
              <w:t>(16)64</w:t>
            </w:r>
          </w:p>
        </w:tc>
        <w:tc>
          <w:tcPr>
            <w:tcW w:w="1096" w:type="dxa"/>
            <w:tcBorders>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0%</w:t>
            </w:r>
            <w:r w:rsidRPr="00D51F40">
              <w:rPr>
                <w:sz w:val="20"/>
                <w:lang w:val="es-ES"/>
              </w:rPr>
              <w:br/>
              <w:t>0 mV</w:t>
            </w:r>
            <w:r w:rsidRPr="00D51F40">
              <w:rPr>
                <w:sz w:val="20"/>
                <w:lang w:val="es-ES"/>
              </w:rPr>
              <w:br/>
              <w:t>(16)64</w:t>
            </w:r>
          </w:p>
        </w:tc>
        <w:tc>
          <w:tcPr>
            <w:tcW w:w="1124" w:type="dxa"/>
            <w:tcBorders>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7,5%</w:t>
            </w:r>
            <w:r w:rsidRPr="00D51F40">
              <w:rPr>
                <w:sz w:val="20"/>
                <w:lang w:val="es-ES"/>
              </w:rPr>
              <w:br/>
              <w:t>54 mV</w:t>
            </w:r>
            <w:r w:rsidRPr="00D51F40">
              <w:rPr>
                <w:sz w:val="20"/>
                <w:lang w:val="es-ES"/>
              </w:rPr>
              <w:br/>
              <w:t>(16)64</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B</w:t>
            </w:r>
            <w:r w:rsidRPr="00D51F40">
              <w:rPr>
                <w:sz w:val="20"/>
                <w:lang w:val="es-ES"/>
              </w:rPr>
              <w:tab/>
              <w:t>Nivel de blanco</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100%</w:t>
            </w:r>
            <w:r w:rsidRPr="00D51F40">
              <w:rPr>
                <w:sz w:val="20"/>
                <w:lang w:val="es-ES"/>
              </w:rPr>
              <w:br/>
              <w:t>700 mV</w:t>
            </w:r>
            <w:r w:rsidRPr="00D51F40">
              <w:rPr>
                <w:sz w:val="20"/>
                <w:lang w:val="es-ES"/>
              </w:rPr>
              <w:br/>
              <w:t>(235)940</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100%</w:t>
            </w:r>
            <w:r w:rsidRPr="00D51F40">
              <w:rPr>
                <w:sz w:val="20"/>
                <w:lang w:val="es-ES"/>
              </w:rPr>
              <w:br/>
              <w:t>714 mV</w:t>
            </w:r>
            <w:r w:rsidRPr="00D51F40">
              <w:rPr>
                <w:sz w:val="20"/>
                <w:lang w:val="es-ES"/>
              </w:rPr>
              <w:br/>
              <w:t>(235)940</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100%</w:t>
            </w:r>
            <w:r w:rsidRPr="00D51F40">
              <w:rPr>
                <w:sz w:val="20"/>
                <w:lang w:val="es-ES"/>
              </w:rPr>
              <w:br/>
              <w:t>714 mV</w:t>
            </w:r>
            <w:r w:rsidRPr="00D51F40">
              <w:rPr>
                <w:sz w:val="20"/>
                <w:lang w:val="es-ES"/>
              </w:rPr>
              <w:br/>
              <w:t>(235)940</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100%</w:t>
            </w:r>
            <w:r w:rsidRPr="00D51F40">
              <w:rPr>
                <w:sz w:val="20"/>
                <w:lang w:val="es-ES"/>
              </w:rPr>
              <w:br/>
              <w:t>700 mV</w:t>
            </w:r>
            <w:r w:rsidRPr="00D51F40">
              <w:rPr>
                <w:sz w:val="20"/>
                <w:lang w:val="es-ES"/>
              </w:rPr>
              <w:br/>
              <w:t>(235)940</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100%</w:t>
            </w:r>
            <w:r w:rsidRPr="00D51F40">
              <w:rPr>
                <w:sz w:val="20"/>
                <w:lang w:val="es-ES"/>
              </w:rPr>
              <w:br/>
              <w:t>714 mV</w:t>
            </w:r>
            <w:r w:rsidRPr="00D51F40">
              <w:rPr>
                <w:sz w:val="20"/>
                <w:lang w:val="es-ES"/>
              </w:rPr>
              <w:br/>
              <w:t>(235)940</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100%</w:t>
            </w:r>
            <w:r w:rsidRPr="00D51F40">
              <w:rPr>
                <w:sz w:val="20"/>
                <w:lang w:val="es-ES"/>
              </w:rPr>
              <w:br/>
              <w:t>714 mV</w:t>
            </w:r>
            <w:r w:rsidRPr="00D51F40">
              <w:rPr>
                <w:sz w:val="20"/>
                <w:lang w:val="es-ES"/>
              </w:rPr>
              <w:br/>
              <w:t>(235)940</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C</w:t>
            </w:r>
            <w:r w:rsidRPr="00D51F40">
              <w:rPr>
                <w:sz w:val="20"/>
                <w:lang w:val="es-ES"/>
              </w:rPr>
              <w:tab/>
              <w:t>Nivel de gris 3</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63,0%</w:t>
            </w:r>
            <w:r w:rsidRPr="00D51F40">
              <w:rPr>
                <w:sz w:val="20"/>
                <w:lang w:val="es-ES"/>
              </w:rPr>
              <w:br/>
              <w:t>441 mV</w:t>
            </w:r>
            <w:r w:rsidRPr="00D51F40">
              <w:rPr>
                <w:sz w:val="20"/>
                <w:lang w:val="es-ES"/>
              </w:rPr>
              <w:br/>
              <w:t>(154)616</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63,0%</w:t>
            </w:r>
            <w:r w:rsidRPr="00D51F40">
              <w:rPr>
                <w:sz w:val="20"/>
                <w:lang w:val="es-ES"/>
              </w:rPr>
              <w:br/>
              <w:t>450 mV</w:t>
            </w:r>
            <w:r w:rsidRPr="00D51F40">
              <w:rPr>
                <w:sz w:val="20"/>
                <w:lang w:val="es-ES"/>
              </w:rPr>
              <w:br/>
              <w:t>(154)616</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65,8%</w:t>
            </w:r>
            <w:r w:rsidRPr="00D51F40">
              <w:rPr>
                <w:sz w:val="20"/>
                <w:lang w:val="es-ES"/>
              </w:rPr>
              <w:br/>
              <w:t>470 mV</w:t>
            </w:r>
            <w:r w:rsidRPr="00D51F40">
              <w:rPr>
                <w:sz w:val="20"/>
                <w:lang w:val="es-ES"/>
              </w:rPr>
              <w:br/>
              <w:t>(154)616</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63,0%</w:t>
            </w:r>
            <w:r w:rsidRPr="00D51F40">
              <w:rPr>
                <w:sz w:val="20"/>
                <w:lang w:val="es-ES"/>
              </w:rPr>
              <w:br/>
              <w:t>441 mV</w:t>
            </w:r>
            <w:r w:rsidRPr="00D51F40">
              <w:rPr>
                <w:sz w:val="20"/>
                <w:lang w:val="es-ES"/>
              </w:rPr>
              <w:br/>
              <w:t>(154)616</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63,0%</w:t>
            </w:r>
            <w:r w:rsidRPr="00D51F40">
              <w:rPr>
                <w:sz w:val="20"/>
                <w:lang w:val="es-ES"/>
              </w:rPr>
              <w:br/>
              <w:t>450 mV</w:t>
            </w:r>
            <w:r w:rsidRPr="00D51F40">
              <w:rPr>
                <w:sz w:val="20"/>
                <w:lang w:val="es-ES"/>
              </w:rPr>
              <w:br/>
              <w:t>(154)616</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65,8%</w:t>
            </w:r>
            <w:r w:rsidRPr="00D51F40">
              <w:rPr>
                <w:sz w:val="20"/>
                <w:lang w:val="es-ES"/>
              </w:rPr>
              <w:br/>
              <w:t>470 mV</w:t>
            </w:r>
            <w:r w:rsidRPr="00D51F40">
              <w:rPr>
                <w:sz w:val="20"/>
                <w:lang w:val="es-ES"/>
              </w:rPr>
              <w:br/>
              <w:t>(154)616</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D</w:t>
            </w:r>
            <w:r w:rsidRPr="00D51F40">
              <w:rPr>
                <w:sz w:val="20"/>
                <w:lang w:val="es-ES"/>
              </w:rPr>
              <w:tab/>
              <w:t>Nivel de gris 2</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35,2%</w:t>
            </w:r>
            <w:r w:rsidRPr="00D51F40">
              <w:rPr>
                <w:sz w:val="20"/>
                <w:lang w:val="es-ES"/>
              </w:rPr>
              <w:br/>
              <w:t>246 mV</w:t>
            </w:r>
            <w:r w:rsidRPr="00D51F40">
              <w:rPr>
                <w:sz w:val="20"/>
                <w:lang w:val="es-ES"/>
              </w:rPr>
              <w:br/>
              <w:t>(93)372</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35,2%</w:t>
            </w:r>
            <w:r w:rsidRPr="00D51F40">
              <w:rPr>
                <w:sz w:val="20"/>
                <w:lang w:val="es-ES"/>
              </w:rPr>
              <w:br/>
              <w:t>251 mV</w:t>
            </w:r>
            <w:r w:rsidRPr="00D51F40">
              <w:rPr>
                <w:sz w:val="20"/>
                <w:lang w:val="es-ES"/>
              </w:rPr>
              <w:br/>
              <w:t>(93)372</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40,0%</w:t>
            </w:r>
            <w:r w:rsidRPr="00D51F40">
              <w:rPr>
                <w:sz w:val="20"/>
                <w:lang w:val="es-ES"/>
              </w:rPr>
              <w:br/>
              <w:t>286 mV</w:t>
            </w:r>
            <w:r w:rsidRPr="00D51F40">
              <w:rPr>
                <w:sz w:val="20"/>
                <w:lang w:val="es-ES"/>
              </w:rPr>
              <w:br/>
              <w:t>(93)372</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35,2%</w:t>
            </w:r>
            <w:r w:rsidRPr="00D51F40">
              <w:rPr>
                <w:sz w:val="20"/>
                <w:lang w:val="es-ES"/>
              </w:rPr>
              <w:br/>
              <w:t>246 mV</w:t>
            </w:r>
            <w:r w:rsidRPr="00D51F40">
              <w:rPr>
                <w:sz w:val="20"/>
                <w:lang w:val="es-ES"/>
              </w:rPr>
              <w:br/>
              <w:t>(93)372</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35,2%</w:t>
            </w:r>
            <w:r w:rsidRPr="00D51F40">
              <w:rPr>
                <w:sz w:val="20"/>
                <w:lang w:val="es-ES"/>
              </w:rPr>
              <w:br/>
              <w:t>251 mV</w:t>
            </w:r>
            <w:r w:rsidRPr="00D51F40">
              <w:rPr>
                <w:sz w:val="20"/>
                <w:lang w:val="es-ES"/>
              </w:rPr>
              <w:br/>
              <w:t>(93)372</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40,0%</w:t>
            </w:r>
            <w:r w:rsidRPr="00D51F40">
              <w:rPr>
                <w:sz w:val="20"/>
                <w:lang w:val="es-ES"/>
              </w:rPr>
              <w:br/>
              <w:t>286 mV</w:t>
            </w:r>
            <w:r w:rsidRPr="00D51F40">
              <w:rPr>
                <w:sz w:val="20"/>
                <w:lang w:val="es-ES"/>
              </w:rPr>
              <w:br/>
              <w:t>(93)372</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E</w:t>
            </w:r>
            <w:r w:rsidRPr="00D51F40">
              <w:rPr>
                <w:sz w:val="20"/>
                <w:lang w:val="es-ES"/>
              </w:rPr>
              <w:tab/>
              <w:t>Nivel de gris 1</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15,1%</w:t>
            </w:r>
            <w:r w:rsidRPr="00D51F40">
              <w:rPr>
                <w:sz w:val="20"/>
                <w:lang w:val="es-ES"/>
              </w:rPr>
              <w:br/>
              <w:t>105 mV</w:t>
            </w:r>
            <w:r w:rsidRPr="00D51F40">
              <w:rPr>
                <w:sz w:val="20"/>
                <w:lang w:val="es-ES"/>
              </w:rPr>
              <w:br/>
              <w:t>(49)196</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15,1%</w:t>
            </w:r>
            <w:r w:rsidRPr="00D51F40">
              <w:rPr>
                <w:sz w:val="20"/>
                <w:lang w:val="es-ES"/>
              </w:rPr>
              <w:br/>
              <w:t>108 mV</w:t>
            </w:r>
            <w:r w:rsidRPr="00D51F40">
              <w:rPr>
                <w:sz w:val="20"/>
                <w:lang w:val="es-ES"/>
              </w:rPr>
              <w:br/>
              <w:t>(49)196</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21,4%</w:t>
            </w:r>
            <w:r w:rsidRPr="00D51F40">
              <w:rPr>
                <w:sz w:val="20"/>
                <w:lang w:val="es-ES"/>
              </w:rPr>
              <w:br/>
              <w:t>153 mV</w:t>
            </w:r>
            <w:r w:rsidRPr="00D51F40">
              <w:rPr>
                <w:sz w:val="20"/>
                <w:lang w:val="es-ES"/>
              </w:rPr>
              <w:br/>
              <w:t>(49)196</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15,1%</w:t>
            </w:r>
            <w:r w:rsidRPr="00D51F40">
              <w:rPr>
                <w:sz w:val="20"/>
                <w:lang w:val="es-ES"/>
              </w:rPr>
              <w:br/>
              <w:t>105 mV</w:t>
            </w:r>
            <w:r w:rsidRPr="00D51F40">
              <w:rPr>
                <w:sz w:val="20"/>
                <w:lang w:val="es-ES"/>
              </w:rPr>
              <w:br/>
              <w:t>(49)196</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15,1%</w:t>
            </w:r>
            <w:r w:rsidRPr="00D51F40">
              <w:rPr>
                <w:sz w:val="20"/>
                <w:lang w:val="es-ES"/>
              </w:rPr>
              <w:br/>
              <w:t>108 mV</w:t>
            </w:r>
            <w:r w:rsidRPr="00D51F40">
              <w:rPr>
                <w:sz w:val="20"/>
                <w:lang w:val="es-ES"/>
              </w:rPr>
              <w:br/>
              <w:t>(49)196</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21,4%</w:t>
            </w:r>
            <w:r w:rsidRPr="00D51F40">
              <w:rPr>
                <w:sz w:val="20"/>
                <w:lang w:val="es-ES"/>
              </w:rPr>
              <w:br/>
              <w:t>153 mV</w:t>
            </w:r>
            <w:r w:rsidRPr="00D51F40">
              <w:rPr>
                <w:sz w:val="20"/>
                <w:lang w:val="es-ES"/>
              </w:rPr>
              <w:br/>
              <w:t>(49)196</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F</w:t>
            </w:r>
            <w:r w:rsidRPr="00D51F40">
              <w:rPr>
                <w:sz w:val="20"/>
                <w:lang w:val="es-ES"/>
              </w:rPr>
              <w:tab/>
              <w:t>Nivel de fondo</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0%</w:t>
            </w:r>
            <w:r w:rsidRPr="00D51F40">
              <w:rPr>
                <w:sz w:val="20"/>
                <w:lang w:val="es-ES"/>
              </w:rPr>
              <w:br/>
              <w:t>0 mV</w:t>
            </w:r>
            <w:r w:rsidRPr="00D51F40">
              <w:rPr>
                <w:sz w:val="20"/>
                <w:lang w:val="es-ES"/>
              </w:rPr>
              <w:br/>
              <w:t>(16)64</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0%</w:t>
            </w:r>
            <w:r w:rsidRPr="00D51F40">
              <w:rPr>
                <w:sz w:val="20"/>
                <w:lang w:val="es-ES"/>
              </w:rPr>
              <w:br/>
              <w:t>0 mV</w:t>
            </w:r>
            <w:r w:rsidRPr="00D51F40">
              <w:rPr>
                <w:sz w:val="20"/>
                <w:lang w:val="es-ES"/>
              </w:rPr>
              <w:br/>
              <w:t>(16)64</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7,5%</w:t>
            </w:r>
            <w:r w:rsidRPr="00D51F40">
              <w:rPr>
                <w:sz w:val="20"/>
                <w:lang w:val="es-ES"/>
              </w:rPr>
              <w:br/>
              <w:t>54 mV</w:t>
            </w:r>
            <w:r w:rsidRPr="00D51F40">
              <w:rPr>
                <w:sz w:val="20"/>
                <w:lang w:val="es-ES"/>
              </w:rPr>
              <w:br/>
              <w:t>(16)64</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70,3%</w:t>
            </w:r>
            <w:r w:rsidRPr="00D51F40">
              <w:rPr>
                <w:sz w:val="20"/>
                <w:lang w:val="es-ES"/>
              </w:rPr>
              <w:br/>
              <w:t>492 mV</w:t>
            </w:r>
            <w:r w:rsidRPr="00D51F40">
              <w:rPr>
                <w:sz w:val="20"/>
                <w:lang w:val="es-ES"/>
              </w:rPr>
              <w:br/>
              <w:t>(170)680</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70,3%</w:t>
            </w:r>
            <w:r w:rsidRPr="00D51F40">
              <w:rPr>
                <w:sz w:val="20"/>
                <w:lang w:val="es-ES"/>
              </w:rPr>
              <w:br/>
              <w:t>502 mV</w:t>
            </w:r>
            <w:r w:rsidRPr="00D51F40">
              <w:rPr>
                <w:sz w:val="20"/>
                <w:lang w:val="es-ES"/>
              </w:rPr>
              <w:br/>
              <w:t>(170)680</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72,5%</w:t>
            </w:r>
            <w:r w:rsidRPr="00D51F40">
              <w:rPr>
                <w:sz w:val="20"/>
                <w:lang w:val="es-ES"/>
              </w:rPr>
              <w:br/>
              <w:t>518 mV</w:t>
            </w:r>
            <w:r w:rsidRPr="00D51F40">
              <w:rPr>
                <w:sz w:val="20"/>
                <w:lang w:val="es-ES"/>
              </w:rPr>
              <w:br/>
              <w:t>(170)680</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G</w:t>
            </w:r>
            <w:r w:rsidRPr="00D51F40">
              <w:rPr>
                <w:sz w:val="20"/>
                <w:lang w:val="es-ES"/>
              </w:rPr>
              <w:tab/>
              <w:t>Nivel de la barra negra</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–1,8%</w:t>
            </w:r>
            <w:r w:rsidRPr="00D51F40">
              <w:rPr>
                <w:sz w:val="20"/>
                <w:lang w:val="es-ES"/>
              </w:rPr>
              <w:br/>
              <w:t>–13 mV</w:t>
            </w:r>
            <w:r w:rsidRPr="00D51F40">
              <w:rPr>
                <w:sz w:val="20"/>
                <w:lang w:val="es-ES"/>
              </w:rPr>
              <w:br/>
              <w:t>(12)48</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–1,8%</w:t>
            </w:r>
            <w:r w:rsidRPr="00D51F40">
              <w:rPr>
                <w:sz w:val="20"/>
                <w:lang w:val="es-ES"/>
              </w:rPr>
              <w:br/>
              <w:t>–13 mV</w:t>
            </w:r>
            <w:r w:rsidRPr="00D51F40">
              <w:rPr>
                <w:sz w:val="20"/>
                <w:lang w:val="es-ES"/>
              </w:rPr>
              <w:br/>
              <w:t>(12)48</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5,8%</w:t>
            </w:r>
            <w:r w:rsidRPr="00D51F40">
              <w:rPr>
                <w:sz w:val="20"/>
                <w:lang w:val="es-ES"/>
              </w:rPr>
              <w:br/>
              <w:t>42 mV</w:t>
            </w:r>
            <w:r w:rsidRPr="00D51F40">
              <w:rPr>
                <w:sz w:val="20"/>
                <w:lang w:val="es-ES"/>
              </w:rPr>
              <w:br/>
              <w:t>(12)48</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–2,7%</w:t>
            </w:r>
            <w:r w:rsidRPr="00D51F40">
              <w:rPr>
                <w:sz w:val="20"/>
                <w:lang w:val="es-ES"/>
              </w:rPr>
              <w:br/>
              <w:t>–19 mV</w:t>
            </w:r>
            <w:r w:rsidRPr="00D51F40">
              <w:rPr>
                <w:sz w:val="20"/>
                <w:lang w:val="es-ES"/>
              </w:rPr>
              <w:br/>
              <w:t>(10)40</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–2,7%</w:t>
            </w:r>
            <w:r w:rsidRPr="00D51F40">
              <w:rPr>
                <w:sz w:val="20"/>
                <w:lang w:val="es-ES"/>
              </w:rPr>
              <w:br/>
              <w:t>–20 mV</w:t>
            </w:r>
            <w:r w:rsidRPr="00D51F40">
              <w:rPr>
                <w:sz w:val="20"/>
                <w:lang w:val="es-ES"/>
              </w:rPr>
              <w:br/>
              <w:t>(10)40</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5,0%</w:t>
            </w:r>
            <w:r w:rsidRPr="00D51F40">
              <w:rPr>
                <w:sz w:val="20"/>
                <w:lang w:val="es-ES"/>
              </w:rPr>
              <w:br/>
              <w:t>35 mV</w:t>
            </w:r>
            <w:r w:rsidRPr="00D51F40">
              <w:rPr>
                <w:sz w:val="20"/>
                <w:lang w:val="es-ES"/>
              </w:rPr>
              <w:br/>
              <w:t>(10)40</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ab/>
              <w:t>Nivel a mitad entre</w:t>
            </w:r>
            <w:r w:rsidRPr="00D51F40">
              <w:rPr>
                <w:sz w:val="20"/>
                <w:lang w:val="es-ES"/>
              </w:rPr>
              <w:br/>
              <w:t>G</w:t>
            </w:r>
            <w:r w:rsidRPr="00D51F40">
              <w:rPr>
                <w:sz w:val="20"/>
                <w:lang w:val="es-ES"/>
              </w:rPr>
              <w:sym w:font="Symbol" w:char="F0A2"/>
            </w:r>
            <w:r w:rsidRPr="00D51F40">
              <w:rPr>
                <w:sz w:val="20"/>
                <w:lang w:val="es-ES"/>
              </w:rPr>
              <w:tab/>
              <w:t>el de barra negra y</w:t>
            </w:r>
            <w:r w:rsidRPr="00D51F40">
              <w:rPr>
                <w:sz w:val="20"/>
                <w:lang w:val="es-ES"/>
              </w:rPr>
              <w:br/>
            </w:r>
            <w:r w:rsidRPr="00D51F40">
              <w:rPr>
                <w:sz w:val="20"/>
                <w:lang w:val="es-ES"/>
              </w:rPr>
              <w:tab/>
              <w:t>el de fondo</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br/>
              <w:t>NA</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br/>
              <w:t>NA</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br/>
              <w:t>NA</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33,8%</w:t>
            </w:r>
            <w:r w:rsidRPr="00D51F40">
              <w:rPr>
                <w:sz w:val="20"/>
                <w:lang w:val="es-ES"/>
              </w:rPr>
              <w:br/>
              <w:t>237 mV</w:t>
            </w:r>
            <w:r w:rsidRPr="00D51F40">
              <w:rPr>
                <w:sz w:val="20"/>
                <w:lang w:val="es-ES"/>
              </w:rPr>
              <w:br/>
              <w:t>(90)360</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33,8%</w:t>
            </w:r>
            <w:r w:rsidRPr="00D51F40">
              <w:rPr>
                <w:sz w:val="20"/>
                <w:lang w:val="es-ES"/>
              </w:rPr>
              <w:br/>
              <w:t>237 mV</w:t>
            </w:r>
            <w:r w:rsidRPr="00D51F40">
              <w:rPr>
                <w:sz w:val="20"/>
                <w:lang w:val="es-ES"/>
              </w:rPr>
              <w:br/>
              <w:t>(90)360</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38,8%</w:t>
            </w:r>
            <w:r w:rsidRPr="00D51F40">
              <w:rPr>
                <w:sz w:val="20"/>
                <w:lang w:val="es-ES"/>
              </w:rPr>
              <w:br/>
              <w:t>277 mV</w:t>
            </w:r>
            <w:r w:rsidRPr="00D51F40">
              <w:rPr>
                <w:sz w:val="20"/>
                <w:lang w:val="es-ES"/>
              </w:rPr>
              <w:br/>
              <w:t>(90)360</w:t>
            </w:r>
          </w:p>
        </w:tc>
      </w:tr>
      <w:tr w:rsidR="00C202B3" w:rsidRPr="00D51F40" w:rsidTr="00E327C6">
        <w:trPr>
          <w:cantSplit/>
          <w:jc w:val="center"/>
        </w:trPr>
        <w:tc>
          <w:tcPr>
            <w:tcW w:w="2381" w:type="dxa"/>
            <w:tcBorders>
              <w:top w:val="single" w:sz="6" w:space="0" w:color="auto"/>
              <w:left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H</w:t>
            </w:r>
            <w:r w:rsidRPr="00D51F40">
              <w:rPr>
                <w:sz w:val="20"/>
                <w:lang w:val="es-ES"/>
              </w:rPr>
              <w:tab/>
              <w:t>Nivel de la barra gris</w:t>
            </w:r>
          </w:p>
        </w:tc>
        <w:tc>
          <w:tcPr>
            <w:tcW w:w="1128"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1,8%</w:t>
            </w:r>
            <w:r w:rsidRPr="00D51F40">
              <w:rPr>
                <w:sz w:val="20"/>
                <w:lang w:val="es-ES"/>
              </w:rPr>
              <w:br/>
              <w:t>13 mV</w:t>
            </w:r>
            <w:r w:rsidRPr="00D51F40">
              <w:rPr>
                <w:sz w:val="20"/>
                <w:lang w:val="es-ES"/>
              </w:rPr>
              <w:br/>
              <w:t>(20)80</w:t>
            </w:r>
          </w:p>
        </w:tc>
        <w:tc>
          <w:tcPr>
            <w:tcW w:w="115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1,8%</w:t>
            </w:r>
            <w:r w:rsidRPr="00D51F40">
              <w:rPr>
                <w:sz w:val="20"/>
                <w:lang w:val="es-ES"/>
              </w:rPr>
              <w:br/>
              <w:t>13 mV</w:t>
            </w:r>
            <w:r w:rsidRPr="00D51F40">
              <w:rPr>
                <w:sz w:val="20"/>
                <w:lang w:val="es-ES"/>
              </w:rPr>
              <w:br/>
              <w:t>(20)80</w:t>
            </w:r>
          </w:p>
        </w:tc>
        <w:tc>
          <w:tcPr>
            <w:tcW w:w="1041"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9,2%</w:t>
            </w:r>
            <w:r w:rsidRPr="00D51F40">
              <w:rPr>
                <w:sz w:val="20"/>
                <w:lang w:val="es-ES"/>
              </w:rPr>
              <w:br/>
              <w:t>66 mV</w:t>
            </w:r>
            <w:r w:rsidRPr="00D51F40">
              <w:rPr>
                <w:sz w:val="20"/>
                <w:lang w:val="es-ES"/>
              </w:rPr>
              <w:br/>
              <w:t>(20)80</w:t>
            </w:r>
          </w:p>
        </w:tc>
        <w:tc>
          <w:tcPr>
            <w:tcW w:w="1354" w:type="dxa"/>
            <w:tcBorders>
              <w:top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2,7%</w:t>
            </w:r>
            <w:r w:rsidRPr="00D51F40">
              <w:rPr>
                <w:sz w:val="20"/>
                <w:lang w:val="es-ES"/>
              </w:rPr>
              <w:br/>
              <w:t>19 mV</w:t>
            </w:r>
            <w:r w:rsidRPr="00D51F40">
              <w:rPr>
                <w:sz w:val="20"/>
                <w:lang w:val="es-ES"/>
              </w:rPr>
              <w:br/>
              <w:t>(22)88</w:t>
            </w:r>
          </w:p>
        </w:tc>
        <w:tc>
          <w:tcPr>
            <w:tcW w:w="1096"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2,7%</w:t>
            </w:r>
            <w:r w:rsidRPr="00D51F40">
              <w:rPr>
                <w:sz w:val="20"/>
                <w:lang w:val="es-ES"/>
              </w:rPr>
              <w:br/>
              <w:t>20 mV</w:t>
            </w:r>
            <w:r w:rsidRPr="00D51F40">
              <w:rPr>
                <w:sz w:val="20"/>
                <w:lang w:val="es-ES"/>
              </w:rPr>
              <w:br/>
              <w:t>(22)88</w:t>
            </w:r>
          </w:p>
        </w:tc>
        <w:tc>
          <w:tcPr>
            <w:tcW w:w="1124" w:type="dxa"/>
            <w:tcBorders>
              <w:top w:val="single" w:sz="6" w:space="0" w:color="auto"/>
              <w:left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10,0%</w:t>
            </w:r>
            <w:r w:rsidRPr="00D51F40">
              <w:rPr>
                <w:sz w:val="20"/>
                <w:lang w:val="es-ES"/>
              </w:rPr>
              <w:br/>
              <w:t>72 mV</w:t>
            </w:r>
            <w:r w:rsidRPr="00D51F40">
              <w:rPr>
                <w:sz w:val="20"/>
                <w:lang w:val="es-ES"/>
              </w:rPr>
              <w:br/>
              <w:t>(22)88</w:t>
            </w:r>
          </w:p>
        </w:tc>
      </w:tr>
      <w:tr w:rsidR="00C202B3" w:rsidRPr="00D51F40" w:rsidTr="00E327C6">
        <w:trPr>
          <w:cantSplit/>
          <w:jc w:val="center"/>
        </w:trPr>
        <w:tc>
          <w:tcPr>
            <w:tcW w:w="2381" w:type="dxa"/>
            <w:tcBorders>
              <w:top w:val="single" w:sz="6" w:space="0" w:color="auto"/>
              <w:left w:val="single" w:sz="6" w:space="0" w:color="auto"/>
              <w:bottom w:val="single" w:sz="6" w:space="0" w:color="auto"/>
              <w:right w:val="single" w:sz="6" w:space="0" w:color="auto"/>
            </w:tcBorders>
            <w:vAlign w:val="center"/>
          </w:tcPr>
          <w:p w:rsidR="00C202B3" w:rsidRPr="00D51F40" w:rsidRDefault="00C202B3" w:rsidP="004C359E">
            <w:pPr>
              <w:pStyle w:val="Tabletext"/>
              <w:jc w:val="left"/>
              <w:rPr>
                <w:sz w:val="20"/>
                <w:lang w:val="es-ES"/>
              </w:rPr>
            </w:pPr>
            <w:r w:rsidRPr="00D51F40">
              <w:rPr>
                <w:sz w:val="20"/>
                <w:lang w:val="es-ES"/>
              </w:rPr>
              <w:tab/>
              <w:t>Nivel a mitad entre</w:t>
            </w:r>
            <w:r w:rsidRPr="00D51F40">
              <w:rPr>
                <w:sz w:val="20"/>
                <w:lang w:val="es-ES"/>
              </w:rPr>
              <w:br/>
              <w:t>H</w:t>
            </w:r>
            <w:r w:rsidRPr="00D51F40">
              <w:rPr>
                <w:sz w:val="20"/>
                <w:lang w:val="es-ES"/>
              </w:rPr>
              <w:sym w:font="Symbol" w:char="F0A2"/>
            </w:r>
            <w:r w:rsidRPr="00D51F40">
              <w:rPr>
                <w:sz w:val="20"/>
                <w:lang w:val="es-ES"/>
              </w:rPr>
              <w:tab/>
              <w:t>el de barra gris y</w:t>
            </w:r>
            <w:r w:rsidRPr="00D51F40">
              <w:rPr>
                <w:sz w:val="20"/>
                <w:lang w:val="es-ES"/>
              </w:rPr>
              <w:br/>
            </w:r>
            <w:r w:rsidRPr="00D51F40">
              <w:rPr>
                <w:sz w:val="20"/>
                <w:lang w:val="es-ES"/>
              </w:rPr>
              <w:tab/>
              <w:t>el de fondo</w:t>
            </w:r>
          </w:p>
        </w:tc>
        <w:tc>
          <w:tcPr>
            <w:tcW w:w="1128" w:type="dxa"/>
            <w:tcBorders>
              <w:top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br/>
              <w:t>NA</w:t>
            </w:r>
          </w:p>
        </w:tc>
        <w:tc>
          <w:tcPr>
            <w:tcW w:w="1156" w:type="dxa"/>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br/>
              <w:t>NA</w:t>
            </w:r>
          </w:p>
        </w:tc>
        <w:tc>
          <w:tcPr>
            <w:tcW w:w="1041" w:type="dxa"/>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br/>
              <w:t>NA</w:t>
            </w:r>
          </w:p>
        </w:tc>
        <w:tc>
          <w:tcPr>
            <w:tcW w:w="1354" w:type="dxa"/>
            <w:tcBorders>
              <w:top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36,5%</w:t>
            </w:r>
            <w:r w:rsidRPr="00D51F40">
              <w:rPr>
                <w:sz w:val="20"/>
                <w:lang w:val="es-ES"/>
              </w:rPr>
              <w:br/>
              <w:t>256 mV</w:t>
            </w:r>
            <w:r w:rsidRPr="00D51F40">
              <w:rPr>
                <w:sz w:val="20"/>
                <w:lang w:val="es-ES"/>
              </w:rPr>
              <w:br/>
              <w:t>(96)384</w:t>
            </w:r>
          </w:p>
        </w:tc>
        <w:tc>
          <w:tcPr>
            <w:tcW w:w="1096" w:type="dxa"/>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36,5%</w:t>
            </w:r>
            <w:r w:rsidRPr="00D51F40">
              <w:rPr>
                <w:sz w:val="20"/>
                <w:lang w:val="es-ES"/>
              </w:rPr>
              <w:br/>
              <w:t>256 mV</w:t>
            </w:r>
            <w:r w:rsidRPr="00D51F40">
              <w:rPr>
                <w:sz w:val="20"/>
                <w:lang w:val="es-ES"/>
              </w:rPr>
              <w:br/>
              <w:t>(96)384</w:t>
            </w:r>
          </w:p>
        </w:tc>
        <w:tc>
          <w:tcPr>
            <w:tcW w:w="1124" w:type="dxa"/>
            <w:tcBorders>
              <w:top w:val="single" w:sz="6" w:space="0" w:color="auto"/>
              <w:left w:val="single" w:sz="6" w:space="0" w:color="auto"/>
              <w:bottom w:val="single" w:sz="6" w:space="0" w:color="auto"/>
              <w:right w:val="single" w:sz="6" w:space="0" w:color="auto"/>
            </w:tcBorders>
          </w:tcPr>
          <w:p w:rsidR="00C202B3" w:rsidRPr="00D51F40" w:rsidRDefault="00C202B3" w:rsidP="004C359E">
            <w:pPr>
              <w:pStyle w:val="Tabletext"/>
              <w:jc w:val="center"/>
              <w:rPr>
                <w:sz w:val="20"/>
                <w:lang w:val="es-ES"/>
              </w:rPr>
            </w:pPr>
            <w:r w:rsidRPr="00D51F40">
              <w:rPr>
                <w:sz w:val="20"/>
                <w:lang w:val="es-ES"/>
              </w:rPr>
              <w:t>41,3%</w:t>
            </w:r>
            <w:r w:rsidRPr="00D51F40">
              <w:rPr>
                <w:sz w:val="20"/>
                <w:lang w:val="es-ES"/>
              </w:rPr>
              <w:br/>
              <w:t>295 mV</w:t>
            </w:r>
            <w:r w:rsidRPr="00D51F40">
              <w:rPr>
                <w:sz w:val="20"/>
                <w:lang w:val="es-ES"/>
              </w:rPr>
              <w:br/>
              <w:t>(96)384</w:t>
            </w:r>
          </w:p>
        </w:tc>
      </w:tr>
      <w:tr w:rsidR="00C202B3" w:rsidRPr="00476917" w:rsidTr="00E327C6">
        <w:trPr>
          <w:cantSplit/>
          <w:jc w:val="center"/>
        </w:trPr>
        <w:tc>
          <w:tcPr>
            <w:tcW w:w="9280" w:type="dxa"/>
            <w:gridSpan w:val="7"/>
          </w:tcPr>
          <w:p w:rsidR="00C202B3" w:rsidRPr="00D51F40" w:rsidRDefault="00E327C6" w:rsidP="004C359E">
            <w:pPr>
              <w:pStyle w:val="TableLegend0"/>
              <w:ind w:left="0" w:right="0"/>
              <w:rPr>
                <w:sz w:val="20"/>
                <w:szCs w:val="20"/>
                <w:lang w:val="es-ES"/>
              </w:rPr>
            </w:pPr>
            <w:r w:rsidRPr="00E327C6">
              <w:rPr>
                <w:iCs/>
                <w:sz w:val="20"/>
                <w:szCs w:val="20"/>
                <w:lang w:val="es-ES"/>
              </w:rPr>
              <w:t>NOTA 1</w:t>
            </w:r>
            <w:r w:rsidR="00C202B3" w:rsidRPr="00D51F40">
              <w:rPr>
                <w:sz w:val="20"/>
                <w:szCs w:val="20"/>
                <w:lang w:val="es-ES"/>
              </w:rPr>
              <w:t> – Los niveles digitales de 10 bits se definen como valores primarios y el resto se deducen. Entre paréntesis se indican los niveles digitales de 8 bits.</w:t>
            </w:r>
          </w:p>
          <w:p w:rsidR="00C202B3" w:rsidRPr="00D51F40" w:rsidRDefault="00E327C6" w:rsidP="004C359E">
            <w:pPr>
              <w:pStyle w:val="TableLegend0"/>
              <w:ind w:left="0" w:right="0"/>
              <w:rPr>
                <w:sz w:val="20"/>
                <w:szCs w:val="20"/>
                <w:lang w:val="es-ES"/>
              </w:rPr>
            </w:pPr>
            <w:r w:rsidRPr="00E327C6">
              <w:rPr>
                <w:iCs/>
                <w:sz w:val="20"/>
                <w:szCs w:val="20"/>
                <w:lang w:val="es-ES"/>
              </w:rPr>
              <w:t>NOTA 2</w:t>
            </w:r>
            <w:r w:rsidR="00C202B3" w:rsidRPr="00D51F40">
              <w:rPr>
                <w:sz w:val="20"/>
                <w:szCs w:val="20"/>
                <w:lang w:val="es-ES"/>
              </w:rPr>
              <w:t> – Los niveles digitales se expresan de la misma forma que los descritos en la Recomendación UIT-R BT.601.</w:t>
            </w:r>
          </w:p>
          <w:p w:rsidR="00C202B3" w:rsidRPr="00D51F40" w:rsidRDefault="00E327C6" w:rsidP="004C359E">
            <w:pPr>
              <w:pStyle w:val="TableLegend0"/>
              <w:ind w:left="0" w:right="0"/>
              <w:rPr>
                <w:sz w:val="20"/>
                <w:szCs w:val="20"/>
                <w:lang w:val="es-ES"/>
              </w:rPr>
            </w:pPr>
            <w:r w:rsidRPr="00E327C6">
              <w:rPr>
                <w:iCs/>
                <w:sz w:val="20"/>
                <w:szCs w:val="20"/>
                <w:lang w:val="es-ES"/>
              </w:rPr>
              <w:t>NOTA 3</w:t>
            </w:r>
            <w:r w:rsidRPr="00D51F40">
              <w:rPr>
                <w:sz w:val="20"/>
                <w:szCs w:val="20"/>
                <w:lang w:val="es-ES"/>
              </w:rPr>
              <w:t> </w:t>
            </w:r>
            <w:r w:rsidR="00C202B3" w:rsidRPr="00D51F40">
              <w:rPr>
                <w:sz w:val="20"/>
                <w:szCs w:val="20"/>
                <w:lang w:val="es-ES"/>
              </w:rPr>
              <w:t>– En la evaluación subjetiva se introducen los niveles mitad entre los de barra y los de fondo en la forma de onda de comprobación para evitar oscilaciones debidas a la transición aguda de la onda.</w:t>
            </w:r>
          </w:p>
          <w:p w:rsidR="00C202B3" w:rsidRPr="00D51F40" w:rsidRDefault="00E327C6" w:rsidP="004C359E">
            <w:pPr>
              <w:pStyle w:val="TableLegend0"/>
              <w:ind w:left="0" w:right="0"/>
              <w:rPr>
                <w:sz w:val="20"/>
                <w:szCs w:val="20"/>
                <w:lang w:val="es-ES"/>
              </w:rPr>
            </w:pPr>
            <w:r w:rsidRPr="00E327C6">
              <w:rPr>
                <w:iCs/>
                <w:sz w:val="20"/>
                <w:szCs w:val="20"/>
                <w:lang w:val="es-ES"/>
              </w:rPr>
              <w:t>NOTA 4 –</w:t>
            </w:r>
            <w:r w:rsidRPr="00D51F40">
              <w:rPr>
                <w:sz w:val="20"/>
                <w:szCs w:val="20"/>
                <w:lang w:val="es-ES"/>
              </w:rPr>
              <w:t> </w:t>
            </w:r>
            <w:r w:rsidR="00C202B3" w:rsidRPr="00D51F40">
              <w:rPr>
                <w:sz w:val="20"/>
                <w:szCs w:val="20"/>
                <w:lang w:val="es-ES"/>
              </w:rPr>
              <w:t>NA: No se aplica el nivel mitad y el de esta zona es el mismo que el de fondo.</w:t>
            </w:r>
          </w:p>
        </w:tc>
      </w:tr>
    </w:tbl>
    <w:p w:rsidR="00C202B3" w:rsidRPr="00D01D0D" w:rsidRDefault="00C202B3" w:rsidP="00C202B3">
      <w:pPr>
        <w:pStyle w:val="Tablefin"/>
        <w:rPr>
          <w:lang w:val="es-ES"/>
        </w:rPr>
      </w:pPr>
    </w:p>
    <w:p w:rsidR="00C202B3" w:rsidRPr="00F5179D" w:rsidRDefault="00C202B3" w:rsidP="00C202B3">
      <w:pPr>
        <w:pStyle w:val="AnnexNoTitle"/>
        <w:rPr>
          <w:lang w:val="es-ES"/>
        </w:rPr>
      </w:pPr>
      <w:r w:rsidRPr="00F5179D">
        <w:rPr>
          <w:lang w:val="es-ES"/>
        </w:rPr>
        <w:lastRenderedPageBreak/>
        <w:t>Anexo 2</w:t>
      </w:r>
      <w:r>
        <w:rPr>
          <w:lang w:val="es-ES"/>
        </w:rPr>
        <w:t xml:space="preserve"> </w:t>
      </w:r>
      <w:r w:rsidRPr="006A3AE4">
        <w:rPr>
          <w:lang w:val="es-ES"/>
        </w:rPr>
        <w:t>(Normativo)</w:t>
      </w:r>
      <w:r w:rsidRPr="00F5179D">
        <w:rPr>
          <w:lang w:val="es-ES"/>
        </w:rPr>
        <w:br/>
      </w:r>
      <w:r w:rsidRPr="00F5179D">
        <w:rPr>
          <w:lang w:val="es-ES"/>
        </w:rPr>
        <w:br/>
        <w:t>Sistemas PLUGE para TVAD, TVUAD y HDR-TV</w:t>
      </w:r>
      <w:r w:rsidRPr="00F5179D">
        <w:rPr>
          <w:rStyle w:val="FootnoteReference"/>
          <w:lang w:val="es-ES"/>
        </w:rPr>
        <w:footnoteReference w:id="6"/>
      </w:r>
    </w:p>
    <w:p w:rsidR="00C202B3" w:rsidRPr="00D01D0D" w:rsidRDefault="00C202B3" w:rsidP="00C202B3">
      <w:pPr>
        <w:pStyle w:val="Normalaftertitle"/>
        <w:rPr>
          <w:lang w:val="es-ES"/>
        </w:rPr>
      </w:pPr>
      <w:r w:rsidRPr="00D01D0D">
        <w:rPr>
          <w:lang w:val="es-ES"/>
        </w:rPr>
        <w:t xml:space="preserve">En las Figs. 2 y 3 se representa una señal PLUGE para las pantallas TVAD, TVUAD y HDR-TV. En el Cuadro 4 se dan los números de muestras correspondientes (horizontales), mientras que en el Cuadro 5 se dan los números de líneas para los formatos de imagen TVAD, SDR y HDR, y en el Cuadro 6 se dan los números de muestras (verticales) para formatos de imagen TVUAD, SDR y HDR. Los valores de código de los niveles de señal se facilitan en el Cuadro 2 para </w:t>
      </w:r>
      <w:r>
        <w:rPr>
          <w:lang w:val="es-ES"/>
        </w:rPr>
        <w:t>SDR, y en el Cuadro 3 para HDR.</w:t>
      </w:r>
    </w:p>
    <w:p w:rsidR="00C202B3" w:rsidRPr="00F5179D" w:rsidRDefault="00C202B3" w:rsidP="00C202B3">
      <w:pPr>
        <w:rPr>
          <w:lang w:val="es-ES"/>
        </w:rPr>
      </w:pPr>
      <w:r w:rsidRPr="00F5179D">
        <w:rPr>
          <w:lang w:val="es-ES"/>
        </w:rPr>
        <w:t>El parche central de más alto nivel se utiliza para fijar el nivel de luminancia de la pantalla por medio del control de ganancia de usuario.</w:t>
      </w:r>
    </w:p>
    <w:p w:rsidR="00C202B3" w:rsidRPr="00F5179D" w:rsidRDefault="00C202B3" w:rsidP="00C202B3">
      <w:pPr>
        <w:rPr>
          <w:lang w:val="es-ES"/>
        </w:rPr>
      </w:pPr>
      <w:r w:rsidRPr="00F5179D">
        <w:rPr>
          <w:lang w:val="es-ES"/>
        </w:rPr>
        <w:t>En el caso de HDR, el valor de código del parche central de más alto nivel es idéntico tanto para PQ como para HLG. Este difiere del nivel de luminancia blanca de cresta</w:t>
      </w:r>
      <w:r>
        <w:rPr>
          <w:lang w:val="es-ES"/>
        </w:rPr>
        <w:t xml:space="preserve"> de las señales PLUGE para SDR.</w:t>
      </w:r>
    </w:p>
    <w:p w:rsidR="00C202B3" w:rsidRPr="00F5179D" w:rsidRDefault="00C202B3" w:rsidP="00C202B3">
      <w:pPr>
        <w:rPr>
          <w:lang w:val="es-ES"/>
        </w:rPr>
      </w:pPr>
      <w:r w:rsidRPr="00F5179D">
        <w:rPr>
          <w:lang w:val="es-ES"/>
        </w:rPr>
        <w:t>Pueden utilizarse dos tipos de señal para fijar el brillo del nivel de negro en la pantalla, por medio del control de elevación del nivel de negro de usuario.</w:t>
      </w:r>
    </w:p>
    <w:p w:rsidR="00C202B3" w:rsidRPr="00F5179D" w:rsidRDefault="00C202B3" w:rsidP="00C202B3">
      <w:pPr>
        <w:rPr>
          <w:lang w:val="es-ES"/>
        </w:rPr>
      </w:pPr>
      <w:r w:rsidRPr="00F5179D">
        <w:rPr>
          <w:lang w:val="es-ES"/>
        </w:rPr>
        <w:t xml:space="preserve">La señal del lado izquierdo de la imagen consiste en unas barras horizontales estrechas (con una anchura de 10 líneas de exploración). Las barras van desde el 2% aproximadamente por encima del nivel de negro de la forma de onda al 2%, aproximadamente, por debajo del nivel de negro. La señal del lado derecho de la imagen consta de dos barras anchas (con anchura de 138 líneas) y una barra está aproximadamente al 2% por encima del nivel de negro y la otra, aproximadamente al 2% por debajo del nivel de negro. Esta señal es adecuada para ajustar los valores de </w:t>
      </w:r>
      <w:r>
        <w:rPr>
          <w:lang w:val="es-ES"/>
        </w:rPr>
        <w:t>pantalla.</w:t>
      </w:r>
    </w:p>
    <w:p w:rsidR="00C202B3" w:rsidRPr="00F5179D" w:rsidRDefault="00C202B3" w:rsidP="00C202B3">
      <w:pPr>
        <w:pStyle w:val="TableNo"/>
        <w:rPr>
          <w:lang w:val="es-ES"/>
        </w:rPr>
      </w:pPr>
      <w:r w:rsidRPr="00F5179D">
        <w:rPr>
          <w:lang w:val="es-ES"/>
        </w:rPr>
        <w:t>CUADRO 2</w:t>
      </w:r>
    </w:p>
    <w:p w:rsidR="00C202B3" w:rsidRPr="00F5179D" w:rsidRDefault="00C202B3" w:rsidP="00C202B3">
      <w:pPr>
        <w:pStyle w:val="Tabletitle"/>
        <w:rPr>
          <w:lang w:val="es-ES"/>
        </w:rPr>
      </w:pPr>
      <w:r w:rsidRPr="00F5179D">
        <w:rPr>
          <w:lang w:val="es-ES"/>
        </w:rPr>
        <w:t>Valores de código para TVAD y TVUAD (SDR)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7"/>
        <w:gridCol w:w="2144"/>
        <w:gridCol w:w="2144"/>
        <w:gridCol w:w="2144"/>
      </w:tblGrid>
      <w:tr w:rsidR="00C202B3" w:rsidRPr="00F5179D" w:rsidTr="00E327C6">
        <w:trPr>
          <w:trHeight w:val="259"/>
          <w:jc w:val="center"/>
        </w:trPr>
        <w:tc>
          <w:tcPr>
            <w:tcW w:w="3402" w:type="dxa"/>
          </w:tcPr>
          <w:p w:rsidR="00C202B3" w:rsidRPr="00F5179D" w:rsidRDefault="00C202B3" w:rsidP="004C359E">
            <w:pPr>
              <w:pStyle w:val="Tablehead"/>
              <w:rPr>
                <w:lang w:val="es-ES"/>
              </w:rPr>
            </w:pPr>
            <w:r w:rsidRPr="00F5179D">
              <w:rPr>
                <w:lang w:val="es-ES"/>
              </w:rPr>
              <w:t xml:space="preserve">Valores de los parámetros, </w:t>
            </w:r>
            <w:r w:rsidRPr="00F5179D">
              <w:rPr>
                <w:lang w:val="es-ES"/>
              </w:rPr>
              <w:br/>
              <w:t>Figs. 2 y 3 para SDR</w:t>
            </w:r>
          </w:p>
        </w:tc>
        <w:tc>
          <w:tcPr>
            <w:tcW w:w="2268" w:type="dxa"/>
          </w:tcPr>
          <w:p w:rsidR="00C202B3" w:rsidRPr="00F5179D" w:rsidRDefault="00C202B3" w:rsidP="004C359E">
            <w:pPr>
              <w:pStyle w:val="Tablehead"/>
              <w:rPr>
                <w:lang w:val="es-ES"/>
              </w:rPr>
            </w:pPr>
            <w:r w:rsidRPr="00F5179D">
              <w:rPr>
                <w:lang w:val="es-ES"/>
              </w:rPr>
              <w:t xml:space="preserve">Valor digital </w:t>
            </w:r>
            <w:r w:rsidRPr="00F5179D">
              <w:rPr>
                <w:lang w:val="es-ES"/>
              </w:rPr>
              <w:br/>
              <w:t>de 8 bits</w:t>
            </w:r>
          </w:p>
        </w:tc>
        <w:tc>
          <w:tcPr>
            <w:tcW w:w="2268" w:type="dxa"/>
          </w:tcPr>
          <w:p w:rsidR="00C202B3" w:rsidRPr="00F5179D" w:rsidRDefault="00C202B3" w:rsidP="004C359E">
            <w:pPr>
              <w:pStyle w:val="Tablehead"/>
              <w:rPr>
                <w:lang w:val="es-ES"/>
              </w:rPr>
            </w:pPr>
            <w:r w:rsidRPr="00F5179D">
              <w:rPr>
                <w:lang w:val="es-ES"/>
              </w:rPr>
              <w:t xml:space="preserve">Valor digital </w:t>
            </w:r>
            <w:r w:rsidRPr="00F5179D">
              <w:rPr>
                <w:lang w:val="es-ES"/>
              </w:rPr>
              <w:br/>
              <w:t>de 10 bits</w:t>
            </w:r>
          </w:p>
        </w:tc>
        <w:tc>
          <w:tcPr>
            <w:tcW w:w="2268" w:type="dxa"/>
          </w:tcPr>
          <w:p w:rsidR="00C202B3" w:rsidRPr="00F5179D" w:rsidRDefault="00C202B3" w:rsidP="004C359E">
            <w:pPr>
              <w:pStyle w:val="Tablehead"/>
              <w:rPr>
                <w:lang w:val="es-ES"/>
              </w:rPr>
            </w:pPr>
            <w:r w:rsidRPr="00F5179D">
              <w:rPr>
                <w:lang w:val="es-ES"/>
              </w:rPr>
              <w:t xml:space="preserve">Valor digital </w:t>
            </w:r>
            <w:r w:rsidRPr="00F5179D">
              <w:rPr>
                <w:lang w:val="es-ES"/>
              </w:rPr>
              <w:br/>
              <w:t>de 12 bits</w:t>
            </w:r>
          </w:p>
        </w:tc>
      </w:tr>
      <w:tr w:rsidR="00C202B3" w:rsidRPr="00F5179D" w:rsidTr="00E327C6">
        <w:trPr>
          <w:jc w:val="center"/>
        </w:trPr>
        <w:tc>
          <w:tcPr>
            <w:tcW w:w="3402" w:type="dxa"/>
          </w:tcPr>
          <w:p w:rsidR="00C202B3" w:rsidRPr="00F5179D" w:rsidRDefault="00C202B3" w:rsidP="004C359E">
            <w:pPr>
              <w:pStyle w:val="Tabletext"/>
              <w:rPr>
                <w:lang w:val="es-ES"/>
              </w:rPr>
            </w:pPr>
            <w:r w:rsidRPr="00F5179D">
              <w:rPr>
                <w:lang w:val="es-ES"/>
              </w:rPr>
              <w:t>Nivel más alto</w:t>
            </w:r>
          </w:p>
        </w:tc>
        <w:tc>
          <w:tcPr>
            <w:tcW w:w="2268" w:type="dxa"/>
          </w:tcPr>
          <w:p w:rsidR="00C202B3" w:rsidRPr="00F5179D" w:rsidRDefault="00C202B3" w:rsidP="004C359E">
            <w:pPr>
              <w:pStyle w:val="Tabletext"/>
              <w:jc w:val="center"/>
              <w:rPr>
                <w:lang w:val="es-ES"/>
              </w:rPr>
            </w:pPr>
            <w:r w:rsidRPr="00F5179D">
              <w:rPr>
                <w:lang w:val="es-ES"/>
              </w:rPr>
              <w:t>235</w:t>
            </w:r>
          </w:p>
        </w:tc>
        <w:tc>
          <w:tcPr>
            <w:tcW w:w="2268" w:type="dxa"/>
          </w:tcPr>
          <w:p w:rsidR="00C202B3" w:rsidRPr="00F5179D" w:rsidRDefault="00C202B3" w:rsidP="004C359E">
            <w:pPr>
              <w:pStyle w:val="Tabletext"/>
              <w:jc w:val="center"/>
              <w:rPr>
                <w:lang w:val="es-ES"/>
              </w:rPr>
            </w:pPr>
            <w:r w:rsidRPr="00F5179D">
              <w:rPr>
                <w:lang w:val="es-ES"/>
              </w:rPr>
              <w:t>940</w:t>
            </w:r>
          </w:p>
        </w:tc>
        <w:tc>
          <w:tcPr>
            <w:tcW w:w="2268" w:type="dxa"/>
          </w:tcPr>
          <w:p w:rsidR="00C202B3" w:rsidRPr="00F5179D" w:rsidRDefault="00C202B3" w:rsidP="004C359E">
            <w:pPr>
              <w:pStyle w:val="Tabletext"/>
              <w:jc w:val="center"/>
              <w:rPr>
                <w:lang w:val="es-ES"/>
              </w:rPr>
            </w:pPr>
            <w:r w:rsidRPr="00F5179D">
              <w:rPr>
                <w:lang w:val="es-ES"/>
              </w:rPr>
              <w:t>3 760</w:t>
            </w:r>
          </w:p>
        </w:tc>
      </w:tr>
      <w:tr w:rsidR="00C202B3" w:rsidRPr="00F5179D" w:rsidTr="00E327C6">
        <w:trPr>
          <w:jc w:val="center"/>
        </w:trPr>
        <w:tc>
          <w:tcPr>
            <w:tcW w:w="3402" w:type="dxa"/>
          </w:tcPr>
          <w:p w:rsidR="00C202B3" w:rsidRPr="00F5179D" w:rsidRDefault="00C202B3" w:rsidP="004C359E">
            <w:pPr>
              <w:pStyle w:val="Tabletext"/>
              <w:rPr>
                <w:lang w:val="es-ES"/>
              </w:rPr>
            </w:pPr>
            <w:r w:rsidRPr="00F5179D">
              <w:rPr>
                <w:lang w:val="es-ES"/>
              </w:rPr>
              <w:t>Nivel de negro</w:t>
            </w:r>
          </w:p>
        </w:tc>
        <w:tc>
          <w:tcPr>
            <w:tcW w:w="2268" w:type="dxa"/>
          </w:tcPr>
          <w:p w:rsidR="00C202B3" w:rsidRPr="00F5179D" w:rsidRDefault="00C202B3" w:rsidP="004C359E">
            <w:pPr>
              <w:pStyle w:val="Tabletext"/>
              <w:jc w:val="center"/>
              <w:rPr>
                <w:lang w:val="es-ES"/>
              </w:rPr>
            </w:pPr>
            <w:r w:rsidRPr="00F5179D">
              <w:rPr>
                <w:lang w:val="es-ES"/>
              </w:rPr>
              <w:t>16</w:t>
            </w:r>
          </w:p>
        </w:tc>
        <w:tc>
          <w:tcPr>
            <w:tcW w:w="2268" w:type="dxa"/>
          </w:tcPr>
          <w:p w:rsidR="00C202B3" w:rsidRPr="00F5179D" w:rsidRDefault="00C202B3" w:rsidP="004C359E">
            <w:pPr>
              <w:pStyle w:val="Tabletext"/>
              <w:jc w:val="center"/>
              <w:rPr>
                <w:lang w:val="es-ES"/>
              </w:rPr>
            </w:pPr>
            <w:r w:rsidRPr="00F5179D">
              <w:rPr>
                <w:lang w:val="es-ES"/>
              </w:rPr>
              <w:t>64</w:t>
            </w:r>
          </w:p>
        </w:tc>
        <w:tc>
          <w:tcPr>
            <w:tcW w:w="2268" w:type="dxa"/>
          </w:tcPr>
          <w:p w:rsidR="00C202B3" w:rsidRPr="00F5179D" w:rsidRDefault="00C202B3" w:rsidP="004C359E">
            <w:pPr>
              <w:pStyle w:val="Tabletext"/>
              <w:jc w:val="center"/>
              <w:rPr>
                <w:lang w:val="es-ES"/>
              </w:rPr>
            </w:pPr>
            <w:r w:rsidRPr="00F5179D">
              <w:rPr>
                <w:lang w:val="es-ES"/>
              </w:rPr>
              <w:t>256</w:t>
            </w:r>
          </w:p>
        </w:tc>
      </w:tr>
      <w:tr w:rsidR="00C202B3" w:rsidRPr="00F5179D" w:rsidTr="00E327C6">
        <w:trPr>
          <w:jc w:val="center"/>
        </w:trPr>
        <w:tc>
          <w:tcPr>
            <w:tcW w:w="3402" w:type="dxa"/>
          </w:tcPr>
          <w:p w:rsidR="00C202B3" w:rsidRPr="00F5179D" w:rsidRDefault="00C202B3" w:rsidP="004C359E">
            <w:pPr>
              <w:pStyle w:val="Tabletext"/>
              <w:rPr>
                <w:lang w:val="es-ES"/>
              </w:rPr>
            </w:pPr>
            <w:r w:rsidRPr="00F5179D">
              <w:rPr>
                <w:lang w:val="es-ES"/>
              </w:rPr>
              <w:t>Nivel ligeramente más claro</w:t>
            </w:r>
          </w:p>
        </w:tc>
        <w:tc>
          <w:tcPr>
            <w:tcW w:w="2268" w:type="dxa"/>
          </w:tcPr>
          <w:p w:rsidR="00C202B3" w:rsidRPr="00F5179D" w:rsidRDefault="00C202B3" w:rsidP="004C359E">
            <w:pPr>
              <w:pStyle w:val="Tabletext"/>
              <w:jc w:val="center"/>
              <w:rPr>
                <w:lang w:val="es-ES"/>
              </w:rPr>
            </w:pPr>
            <w:r w:rsidRPr="00F5179D">
              <w:rPr>
                <w:lang w:val="es-ES"/>
              </w:rPr>
              <w:t>20</w:t>
            </w:r>
          </w:p>
        </w:tc>
        <w:tc>
          <w:tcPr>
            <w:tcW w:w="2268" w:type="dxa"/>
          </w:tcPr>
          <w:p w:rsidR="00C202B3" w:rsidRPr="00F5179D" w:rsidRDefault="00C202B3" w:rsidP="004C359E">
            <w:pPr>
              <w:pStyle w:val="Tabletext"/>
              <w:jc w:val="center"/>
              <w:rPr>
                <w:lang w:val="es-ES"/>
              </w:rPr>
            </w:pPr>
            <w:r w:rsidRPr="00F5179D">
              <w:rPr>
                <w:lang w:val="es-ES"/>
              </w:rPr>
              <w:t>80</w:t>
            </w:r>
          </w:p>
        </w:tc>
        <w:tc>
          <w:tcPr>
            <w:tcW w:w="2268" w:type="dxa"/>
          </w:tcPr>
          <w:p w:rsidR="00C202B3" w:rsidRPr="00F5179D" w:rsidRDefault="00C202B3" w:rsidP="004C359E">
            <w:pPr>
              <w:pStyle w:val="Tabletext"/>
              <w:jc w:val="center"/>
              <w:rPr>
                <w:lang w:val="es-ES"/>
              </w:rPr>
            </w:pPr>
            <w:r w:rsidRPr="00F5179D">
              <w:rPr>
                <w:lang w:val="es-ES"/>
              </w:rPr>
              <w:t>320</w:t>
            </w:r>
          </w:p>
        </w:tc>
      </w:tr>
      <w:tr w:rsidR="00C202B3" w:rsidRPr="00F5179D" w:rsidTr="00E327C6">
        <w:trPr>
          <w:jc w:val="center"/>
        </w:trPr>
        <w:tc>
          <w:tcPr>
            <w:tcW w:w="3402" w:type="dxa"/>
          </w:tcPr>
          <w:p w:rsidR="00C202B3" w:rsidRPr="00F5179D" w:rsidRDefault="00C202B3" w:rsidP="004C359E">
            <w:pPr>
              <w:pStyle w:val="Tabletext"/>
              <w:rPr>
                <w:lang w:val="es-ES"/>
              </w:rPr>
            </w:pPr>
            <w:r w:rsidRPr="00F5179D">
              <w:rPr>
                <w:lang w:val="es-ES"/>
              </w:rPr>
              <w:t>Nivel ligeramente más oscuro</w:t>
            </w:r>
          </w:p>
        </w:tc>
        <w:tc>
          <w:tcPr>
            <w:tcW w:w="2268" w:type="dxa"/>
          </w:tcPr>
          <w:p w:rsidR="00C202B3" w:rsidRPr="00F5179D" w:rsidRDefault="00C202B3" w:rsidP="004C359E">
            <w:pPr>
              <w:pStyle w:val="Tabletext"/>
              <w:jc w:val="center"/>
              <w:rPr>
                <w:lang w:val="es-ES"/>
              </w:rPr>
            </w:pPr>
            <w:r w:rsidRPr="00F5179D">
              <w:rPr>
                <w:lang w:val="es-ES"/>
              </w:rPr>
              <w:t>12</w:t>
            </w:r>
          </w:p>
        </w:tc>
        <w:tc>
          <w:tcPr>
            <w:tcW w:w="2268" w:type="dxa"/>
          </w:tcPr>
          <w:p w:rsidR="00C202B3" w:rsidRPr="00F5179D" w:rsidRDefault="00C202B3" w:rsidP="004C359E">
            <w:pPr>
              <w:pStyle w:val="Tabletext"/>
              <w:jc w:val="center"/>
              <w:rPr>
                <w:lang w:val="es-ES"/>
              </w:rPr>
            </w:pPr>
            <w:r w:rsidRPr="00F5179D">
              <w:rPr>
                <w:lang w:val="es-ES"/>
              </w:rPr>
              <w:t>48</w:t>
            </w:r>
          </w:p>
        </w:tc>
        <w:tc>
          <w:tcPr>
            <w:tcW w:w="2268" w:type="dxa"/>
          </w:tcPr>
          <w:p w:rsidR="00C202B3" w:rsidRPr="00F5179D" w:rsidRDefault="00C202B3" w:rsidP="004C359E">
            <w:pPr>
              <w:pStyle w:val="Tabletext"/>
              <w:jc w:val="center"/>
              <w:rPr>
                <w:lang w:val="es-ES"/>
              </w:rPr>
            </w:pPr>
            <w:r w:rsidRPr="00F5179D">
              <w:rPr>
                <w:lang w:val="es-ES"/>
              </w:rPr>
              <w:t>192</w:t>
            </w:r>
          </w:p>
        </w:tc>
      </w:tr>
    </w:tbl>
    <w:p w:rsidR="00C202B3" w:rsidRPr="00F5179D" w:rsidRDefault="00C202B3" w:rsidP="00C202B3">
      <w:pPr>
        <w:pStyle w:val="Tablefin"/>
      </w:pPr>
    </w:p>
    <w:p w:rsidR="00C202B3" w:rsidRPr="00F5179D" w:rsidRDefault="00C202B3" w:rsidP="00C202B3">
      <w:pPr>
        <w:pStyle w:val="TableNo"/>
        <w:rPr>
          <w:lang w:val="es-ES"/>
        </w:rPr>
      </w:pPr>
      <w:r w:rsidRPr="00F5179D">
        <w:rPr>
          <w:lang w:val="es-ES"/>
        </w:rPr>
        <w:lastRenderedPageBreak/>
        <w:t>CUADRO 3</w:t>
      </w:r>
    </w:p>
    <w:p w:rsidR="00C202B3" w:rsidRPr="00F5179D" w:rsidRDefault="00C202B3" w:rsidP="00C202B3">
      <w:pPr>
        <w:pStyle w:val="Tabletitle"/>
        <w:rPr>
          <w:lang w:val="es-ES"/>
        </w:rPr>
      </w:pPr>
      <w:r w:rsidRPr="00F5179D">
        <w:rPr>
          <w:lang w:val="es-ES"/>
        </w:rPr>
        <w:t>Valores de código de gama estrecha para HDR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C202B3" w:rsidRPr="00F5179D" w:rsidTr="004C359E">
        <w:trPr>
          <w:cantSplit/>
          <w:jc w:val="center"/>
        </w:trPr>
        <w:tc>
          <w:tcPr>
            <w:tcW w:w="3213" w:type="dxa"/>
            <w:shd w:val="clear" w:color="auto" w:fill="auto"/>
            <w:vAlign w:val="center"/>
          </w:tcPr>
          <w:p w:rsidR="00C202B3" w:rsidRPr="00F5179D" w:rsidRDefault="00C202B3" w:rsidP="004C359E">
            <w:pPr>
              <w:pStyle w:val="Tablehead"/>
              <w:rPr>
                <w:lang w:val="es-ES" w:eastAsia="zh-CN"/>
              </w:rPr>
            </w:pPr>
            <w:r w:rsidRPr="00F5179D">
              <w:rPr>
                <w:lang w:val="es-ES" w:eastAsia="zh-CN"/>
              </w:rPr>
              <w:t xml:space="preserve">Valores de los parámetros, </w:t>
            </w:r>
            <w:r>
              <w:rPr>
                <w:lang w:val="es-ES" w:eastAsia="zh-CN"/>
              </w:rPr>
              <w:br/>
            </w:r>
            <w:r w:rsidRPr="00F5179D">
              <w:rPr>
                <w:lang w:val="es-ES" w:eastAsia="zh-CN"/>
              </w:rPr>
              <w:t>Figs. 2 y 3 para HDR</w:t>
            </w:r>
          </w:p>
        </w:tc>
        <w:tc>
          <w:tcPr>
            <w:tcW w:w="3213" w:type="dxa"/>
          </w:tcPr>
          <w:p w:rsidR="00C202B3" w:rsidRPr="00F5179D" w:rsidRDefault="00C202B3" w:rsidP="004C359E">
            <w:pPr>
              <w:pStyle w:val="Tablehead"/>
              <w:rPr>
                <w:lang w:val="es-ES"/>
              </w:rPr>
            </w:pPr>
            <w:r w:rsidRPr="00F5179D">
              <w:rPr>
                <w:lang w:val="es-ES"/>
              </w:rPr>
              <w:t xml:space="preserve">Valor digital </w:t>
            </w:r>
            <w:r w:rsidRPr="00F5179D">
              <w:rPr>
                <w:lang w:val="es-ES"/>
              </w:rPr>
              <w:br/>
              <w:t>de 10 bits</w:t>
            </w:r>
          </w:p>
        </w:tc>
        <w:tc>
          <w:tcPr>
            <w:tcW w:w="3213" w:type="dxa"/>
          </w:tcPr>
          <w:p w:rsidR="00C202B3" w:rsidRPr="00F5179D" w:rsidRDefault="00C202B3" w:rsidP="004C359E">
            <w:pPr>
              <w:pStyle w:val="Tablehead"/>
              <w:rPr>
                <w:lang w:val="es-ES"/>
              </w:rPr>
            </w:pPr>
            <w:r w:rsidRPr="00F5179D">
              <w:rPr>
                <w:lang w:val="es-ES"/>
              </w:rPr>
              <w:t xml:space="preserve">Valor digital </w:t>
            </w:r>
            <w:r w:rsidRPr="00F5179D">
              <w:rPr>
                <w:lang w:val="es-ES"/>
              </w:rPr>
              <w:br/>
              <w:t>de 12 bits</w:t>
            </w:r>
          </w:p>
        </w:tc>
      </w:tr>
      <w:tr w:rsidR="00C202B3" w:rsidRPr="00F5179D" w:rsidTr="004C359E">
        <w:trPr>
          <w:cantSplit/>
          <w:jc w:val="center"/>
        </w:trPr>
        <w:tc>
          <w:tcPr>
            <w:tcW w:w="3213" w:type="dxa"/>
            <w:shd w:val="clear" w:color="auto" w:fill="auto"/>
          </w:tcPr>
          <w:p w:rsidR="00C202B3" w:rsidRPr="00F5179D" w:rsidRDefault="00C202B3" w:rsidP="004C359E">
            <w:pPr>
              <w:pStyle w:val="Tabletext"/>
              <w:keepNext/>
              <w:rPr>
                <w:lang w:val="es-ES"/>
              </w:rPr>
            </w:pPr>
            <w:r>
              <w:rPr>
                <w:lang w:val="es-ES"/>
              </w:rPr>
              <w:t>Nivel más alto</w:t>
            </w:r>
            <w:r w:rsidRPr="00F5179D">
              <w:rPr>
                <w:vertAlign w:val="superscript"/>
                <w:lang w:val="es-ES"/>
              </w:rPr>
              <w:t>1, 2</w:t>
            </w:r>
          </w:p>
        </w:tc>
        <w:tc>
          <w:tcPr>
            <w:tcW w:w="3213" w:type="dxa"/>
            <w:shd w:val="clear" w:color="auto" w:fill="auto"/>
          </w:tcPr>
          <w:p w:rsidR="00C202B3" w:rsidRPr="00F5179D" w:rsidRDefault="00C202B3" w:rsidP="004C359E">
            <w:pPr>
              <w:pStyle w:val="Tabletext"/>
              <w:keepNext/>
              <w:jc w:val="center"/>
              <w:rPr>
                <w:lang w:val="es-ES"/>
              </w:rPr>
            </w:pPr>
            <w:r w:rsidRPr="00F5179D">
              <w:rPr>
                <w:lang w:val="es-ES"/>
              </w:rPr>
              <w:t>399</w:t>
            </w:r>
          </w:p>
        </w:tc>
        <w:tc>
          <w:tcPr>
            <w:tcW w:w="3213" w:type="dxa"/>
            <w:shd w:val="clear" w:color="auto" w:fill="auto"/>
          </w:tcPr>
          <w:p w:rsidR="00C202B3" w:rsidRPr="00F5179D" w:rsidRDefault="00C202B3" w:rsidP="004C359E">
            <w:pPr>
              <w:pStyle w:val="Tabletext"/>
              <w:keepNext/>
              <w:jc w:val="center"/>
              <w:rPr>
                <w:lang w:val="es-ES"/>
              </w:rPr>
            </w:pPr>
            <w:r w:rsidRPr="00F5179D">
              <w:rPr>
                <w:lang w:val="es-ES"/>
              </w:rPr>
              <w:t>1 596</w:t>
            </w:r>
          </w:p>
        </w:tc>
      </w:tr>
      <w:tr w:rsidR="00C202B3" w:rsidRPr="00F5179D" w:rsidTr="004C359E">
        <w:trPr>
          <w:cantSplit/>
          <w:jc w:val="center"/>
        </w:trPr>
        <w:tc>
          <w:tcPr>
            <w:tcW w:w="3213" w:type="dxa"/>
            <w:shd w:val="clear" w:color="auto" w:fill="auto"/>
          </w:tcPr>
          <w:p w:rsidR="00C202B3" w:rsidRPr="00F5179D" w:rsidRDefault="00C202B3" w:rsidP="004C359E">
            <w:pPr>
              <w:pStyle w:val="Tabletext"/>
              <w:keepNext/>
              <w:keepLines/>
              <w:rPr>
                <w:lang w:val="es-ES"/>
              </w:rPr>
            </w:pPr>
            <w:r w:rsidRPr="00F5179D">
              <w:rPr>
                <w:lang w:val="es-ES"/>
              </w:rPr>
              <w:t>Nivel de negro</w:t>
            </w:r>
          </w:p>
        </w:tc>
        <w:tc>
          <w:tcPr>
            <w:tcW w:w="3213" w:type="dxa"/>
            <w:shd w:val="clear" w:color="auto" w:fill="auto"/>
          </w:tcPr>
          <w:p w:rsidR="00C202B3" w:rsidRPr="00F5179D" w:rsidRDefault="00C202B3" w:rsidP="004C359E">
            <w:pPr>
              <w:pStyle w:val="Tabletext"/>
              <w:keepNext/>
              <w:jc w:val="center"/>
              <w:rPr>
                <w:lang w:val="es-ES"/>
              </w:rPr>
            </w:pPr>
            <w:r w:rsidRPr="00F5179D">
              <w:rPr>
                <w:lang w:val="es-ES"/>
              </w:rPr>
              <w:t>64</w:t>
            </w:r>
          </w:p>
        </w:tc>
        <w:tc>
          <w:tcPr>
            <w:tcW w:w="3213" w:type="dxa"/>
            <w:shd w:val="clear" w:color="auto" w:fill="auto"/>
          </w:tcPr>
          <w:p w:rsidR="00C202B3" w:rsidRPr="00F5179D" w:rsidRDefault="00C202B3" w:rsidP="004C359E">
            <w:pPr>
              <w:pStyle w:val="Tabletext"/>
              <w:keepNext/>
              <w:jc w:val="center"/>
              <w:rPr>
                <w:lang w:val="es-ES"/>
              </w:rPr>
            </w:pPr>
            <w:r w:rsidRPr="00F5179D">
              <w:rPr>
                <w:lang w:val="es-ES"/>
              </w:rPr>
              <w:t>256</w:t>
            </w:r>
          </w:p>
        </w:tc>
      </w:tr>
      <w:tr w:rsidR="00C202B3" w:rsidRPr="00F5179D" w:rsidTr="004C359E">
        <w:trPr>
          <w:cantSplit/>
          <w:jc w:val="center"/>
        </w:trPr>
        <w:tc>
          <w:tcPr>
            <w:tcW w:w="3213" w:type="dxa"/>
            <w:shd w:val="clear" w:color="auto" w:fill="auto"/>
          </w:tcPr>
          <w:p w:rsidR="00C202B3" w:rsidRPr="00F5179D" w:rsidRDefault="00C202B3" w:rsidP="004C359E">
            <w:pPr>
              <w:pStyle w:val="Tabletext"/>
              <w:rPr>
                <w:lang w:val="es-ES"/>
              </w:rPr>
            </w:pPr>
            <w:r w:rsidRPr="00F5179D">
              <w:rPr>
                <w:lang w:val="es-ES"/>
              </w:rPr>
              <w:t>Nivel ligeramente más claro</w:t>
            </w:r>
          </w:p>
        </w:tc>
        <w:tc>
          <w:tcPr>
            <w:tcW w:w="3213" w:type="dxa"/>
            <w:shd w:val="clear" w:color="auto" w:fill="auto"/>
          </w:tcPr>
          <w:p w:rsidR="00C202B3" w:rsidRPr="00F5179D" w:rsidRDefault="00C202B3" w:rsidP="004C359E">
            <w:pPr>
              <w:pStyle w:val="Tabletext"/>
              <w:keepNext/>
              <w:jc w:val="center"/>
              <w:rPr>
                <w:lang w:val="es-ES"/>
              </w:rPr>
            </w:pPr>
            <w:r w:rsidRPr="00F5179D">
              <w:rPr>
                <w:lang w:val="es-ES"/>
              </w:rPr>
              <w:t>80</w:t>
            </w:r>
          </w:p>
        </w:tc>
        <w:tc>
          <w:tcPr>
            <w:tcW w:w="3213" w:type="dxa"/>
            <w:shd w:val="clear" w:color="auto" w:fill="auto"/>
          </w:tcPr>
          <w:p w:rsidR="00C202B3" w:rsidRPr="00F5179D" w:rsidRDefault="00C202B3" w:rsidP="004C359E">
            <w:pPr>
              <w:pStyle w:val="Tabletext"/>
              <w:keepNext/>
              <w:jc w:val="center"/>
              <w:rPr>
                <w:lang w:val="es-ES"/>
              </w:rPr>
            </w:pPr>
            <w:r w:rsidRPr="00F5179D">
              <w:rPr>
                <w:lang w:val="es-ES"/>
              </w:rPr>
              <w:t>320</w:t>
            </w:r>
          </w:p>
        </w:tc>
      </w:tr>
      <w:tr w:rsidR="00C202B3" w:rsidRPr="00F5179D" w:rsidTr="004C359E">
        <w:trPr>
          <w:cantSplit/>
          <w:jc w:val="center"/>
        </w:trPr>
        <w:tc>
          <w:tcPr>
            <w:tcW w:w="3213" w:type="dxa"/>
            <w:tcBorders>
              <w:bottom w:val="single" w:sz="4" w:space="0" w:color="auto"/>
            </w:tcBorders>
            <w:shd w:val="clear" w:color="auto" w:fill="auto"/>
          </w:tcPr>
          <w:p w:rsidR="00C202B3" w:rsidRPr="00F5179D" w:rsidRDefault="00C202B3" w:rsidP="004C359E">
            <w:pPr>
              <w:pStyle w:val="Tabletext"/>
              <w:rPr>
                <w:lang w:val="es-ES"/>
              </w:rPr>
            </w:pPr>
            <w:r w:rsidRPr="00F5179D">
              <w:rPr>
                <w:lang w:val="es-ES"/>
              </w:rPr>
              <w:t>Nivel ligeramente más oscuro</w:t>
            </w:r>
          </w:p>
        </w:tc>
        <w:tc>
          <w:tcPr>
            <w:tcW w:w="3213" w:type="dxa"/>
            <w:tcBorders>
              <w:bottom w:val="single" w:sz="4" w:space="0" w:color="auto"/>
            </w:tcBorders>
            <w:shd w:val="clear" w:color="auto" w:fill="auto"/>
          </w:tcPr>
          <w:p w:rsidR="00C202B3" w:rsidRPr="00F5179D" w:rsidRDefault="00C202B3" w:rsidP="004C359E">
            <w:pPr>
              <w:pStyle w:val="Tabletext"/>
              <w:keepNext/>
              <w:jc w:val="center"/>
              <w:rPr>
                <w:lang w:val="es-ES"/>
              </w:rPr>
            </w:pPr>
            <w:r w:rsidRPr="00F5179D">
              <w:rPr>
                <w:lang w:val="es-ES"/>
              </w:rPr>
              <w:t>48</w:t>
            </w:r>
          </w:p>
        </w:tc>
        <w:tc>
          <w:tcPr>
            <w:tcW w:w="3213" w:type="dxa"/>
            <w:tcBorders>
              <w:bottom w:val="single" w:sz="4" w:space="0" w:color="auto"/>
            </w:tcBorders>
            <w:shd w:val="clear" w:color="auto" w:fill="auto"/>
          </w:tcPr>
          <w:p w:rsidR="00C202B3" w:rsidRPr="00F5179D" w:rsidRDefault="00C202B3" w:rsidP="004C359E">
            <w:pPr>
              <w:pStyle w:val="Tabletext"/>
              <w:keepNext/>
              <w:jc w:val="center"/>
              <w:rPr>
                <w:lang w:val="es-ES"/>
              </w:rPr>
            </w:pPr>
            <w:r w:rsidRPr="00F5179D">
              <w:rPr>
                <w:lang w:val="es-ES"/>
              </w:rPr>
              <w:t>192</w:t>
            </w:r>
          </w:p>
        </w:tc>
      </w:tr>
      <w:tr w:rsidR="00C202B3" w:rsidRPr="00F5179D" w:rsidTr="004C359E">
        <w:trPr>
          <w:cantSplit/>
          <w:jc w:val="center"/>
        </w:trPr>
        <w:tc>
          <w:tcPr>
            <w:tcW w:w="9639" w:type="dxa"/>
            <w:gridSpan w:val="3"/>
            <w:tcBorders>
              <w:left w:val="nil"/>
              <w:bottom w:val="nil"/>
              <w:right w:val="nil"/>
            </w:tcBorders>
            <w:shd w:val="clear" w:color="auto" w:fill="auto"/>
          </w:tcPr>
          <w:p w:rsidR="00C202B3" w:rsidRPr="00F5179D" w:rsidRDefault="00C202B3" w:rsidP="004C359E">
            <w:pPr>
              <w:pStyle w:val="TableLegend0"/>
              <w:spacing w:before="40" w:after="40" w:line="240" w:lineRule="auto"/>
              <w:jc w:val="left"/>
              <w:rPr>
                <w:sz w:val="20"/>
                <w:szCs w:val="20"/>
                <w:lang w:val="es-ES"/>
              </w:rPr>
            </w:pPr>
            <w:r w:rsidRPr="00F5179D">
              <w:rPr>
                <w:sz w:val="20"/>
                <w:szCs w:val="20"/>
                <w:lang w:val="es-ES"/>
              </w:rPr>
              <w:t xml:space="preserve">NOTA 1 – </w:t>
            </w:r>
            <w:r>
              <w:rPr>
                <w:sz w:val="20"/>
                <w:szCs w:val="20"/>
                <w:lang w:val="es-ES"/>
              </w:rPr>
              <w:t xml:space="preserve">Este nivel corresponde a PQ y </w:t>
            </w:r>
            <w:r w:rsidRPr="00F5179D">
              <w:rPr>
                <w:sz w:val="20"/>
                <w:szCs w:val="20"/>
                <w:lang w:val="es-ES"/>
              </w:rPr>
              <w:t>HLG de 38,2% y resulta en la misma luminancia para las señales tanto PQ como HLG (aproximadamente 27 cd/m</w:t>
            </w:r>
            <w:r w:rsidRPr="00F5179D">
              <w:rPr>
                <w:sz w:val="20"/>
                <w:szCs w:val="20"/>
                <w:vertAlign w:val="superscript"/>
                <w:lang w:val="es-ES"/>
              </w:rPr>
              <w:t>2</w:t>
            </w:r>
            <w:r w:rsidRPr="00F5179D">
              <w:rPr>
                <w:sz w:val="20"/>
                <w:szCs w:val="20"/>
                <w:lang w:val="es-ES"/>
              </w:rPr>
              <w:t>) cuando se muestran en una pantalla PQ o una pantalla HLG con luminancia de cresta de 1 000 cd/m</w:t>
            </w:r>
            <w:r w:rsidRPr="00F5179D">
              <w:rPr>
                <w:sz w:val="20"/>
                <w:szCs w:val="20"/>
                <w:vertAlign w:val="superscript"/>
                <w:lang w:val="es-ES"/>
              </w:rPr>
              <w:t>2</w:t>
            </w:r>
            <w:r w:rsidRPr="00F5179D">
              <w:rPr>
                <w:sz w:val="20"/>
                <w:szCs w:val="20"/>
                <w:lang w:val="es-ES"/>
              </w:rPr>
              <w:t xml:space="preserve"> (una </w:t>
            </w:r>
            <w:r>
              <w:rPr>
                <w:sz w:val="20"/>
                <w:szCs w:val="20"/>
                <w:lang w:val="es-ES"/>
              </w:rPr>
              <w:t>«</w:t>
            </w:r>
            <w:r w:rsidRPr="00F5179D">
              <w:rPr>
                <w:sz w:val="20"/>
                <w:szCs w:val="20"/>
                <w:lang w:val="es-ES"/>
              </w:rPr>
              <w:t>pantalla de 1 000 cd/m</w:t>
            </w:r>
            <w:r w:rsidRPr="00F5179D">
              <w:rPr>
                <w:sz w:val="20"/>
                <w:szCs w:val="20"/>
                <w:vertAlign w:val="superscript"/>
                <w:lang w:val="es-ES"/>
              </w:rPr>
              <w:t>2</w:t>
            </w:r>
            <w:r>
              <w:rPr>
                <w:sz w:val="20"/>
                <w:szCs w:val="20"/>
                <w:lang w:val="es-ES"/>
              </w:rPr>
              <w:t>»).</w:t>
            </w:r>
          </w:p>
          <w:p w:rsidR="00C202B3" w:rsidRPr="00F5179D" w:rsidRDefault="00C202B3" w:rsidP="004C359E">
            <w:pPr>
              <w:pStyle w:val="TableLegend0"/>
              <w:spacing w:before="40" w:after="40" w:line="240" w:lineRule="auto"/>
              <w:jc w:val="left"/>
              <w:rPr>
                <w:sz w:val="20"/>
                <w:szCs w:val="20"/>
                <w:lang w:val="es-ES"/>
              </w:rPr>
            </w:pPr>
            <w:r w:rsidRPr="00F5179D">
              <w:rPr>
                <w:sz w:val="20"/>
                <w:szCs w:val="20"/>
                <w:lang w:val="es-ES"/>
              </w:rPr>
              <w:t>NOTA 2 – El valor de luminancia LH del nivel más elevado para una pantalla HLG de luminancia de cresta Lw se calcula utilizando el EOTF de HLG del Cuadro 5 de la Recomendación UIT-R BT.2100 de manera conjunta con el sistema gamma obtenido con arreglo a la Nota 5e de la Recomendación UIT-R BT.2100, y puede calcularse como sigue:</w:t>
            </w:r>
          </w:p>
          <w:p w:rsidR="00C202B3" w:rsidRPr="00F5179D" w:rsidRDefault="00C202B3" w:rsidP="004C359E">
            <w:pPr>
              <w:pStyle w:val="TableLegend0"/>
              <w:spacing w:before="40" w:after="40" w:line="240" w:lineRule="auto"/>
              <w:jc w:val="center"/>
              <w:rPr>
                <w:lang w:val="es-ES" w:eastAsia="ja-JP"/>
              </w:rPr>
            </w:pPr>
            <w:r w:rsidRPr="002D6290">
              <w:rPr>
                <w:position w:val="-12"/>
                <w:lang w:val="fr-FR"/>
              </w:rPr>
              <w:object w:dxaOrig="4660" w:dyaOrig="460">
                <v:shape id="_x0000_i1026" type="#_x0000_t75" style="width:233.3pt;height:22.45pt" o:ole="">
                  <v:imagedata r:id="rId16" o:title=""/>
                </v:shape>
                <o:OLEObject Type="Embed" ProgID="Equation.DSMT4" ShapeID="_x0000_i1026" DrawAspect="Content" ObjectID="_1597823963" r:id="rId17"/>
              </w:object>
            </w:r>
          </w:p>
        </w:tc>
      </w:tr>
    </w:tbl>
    <w:p w:rsidR="00C202B3" w:rsidRPr="00F5179D" w:rsidRDefault="00C202B3" w:rsidP="00C202B3">
      <w:pPr>
        <w:pStyle w:val="Tablefin"/>
      </w:pPr>
    </w:p>
    <w:p w:rsidR="00C202B3" w:rsidRPr="00F5179D" w:rsidRDefault="00C202B3" w:rsidP="00C202B3">
      <w:pPr>
        <w:pStyle w:val="FigureNo"/>
        <w:rPr>
          <w:lang w:val="es-ES"/>
        </w:rPr>
      </w:pPr>
      <w:r w:rsidRPr="00F5179D">
        <w:rPr>
          <w:lang w:val="es-ES"/>
        </w:rPr>
        <w:t>FIGURA 2</w:t>
      </w:r>
    </w:p>
    <w:p w:rsidR="00C202B3" w:rsidRPr="00F5179D" w:rsidRDefault="00C202B3" w:rsidP="00C202B3">
      <w:pPr>
        <w:pStyle w:val="Figuretitle"/>
        <w:rPr>
          <w:lang w:val="es-ES"/>
        </w:rPr>
      </w:pPr>
      <w:r w:rsidRPr="00F5179D">
        <w:rPr>
          <w:lang w:val="es-ES"/>
        </w:rPr>
        <w:t>Señal PLUGE para ajustar el nivel de negro</w:t>
      </w:r>
    </w:p>
    <w:p w:rsidR="00C202B3" w:rsidRPr="00F5179D" w:rsidRDefault="00C202B3" w:rsidP="00C202B3">
      <w:pPr>
        <w:pStyle w:val="Figure"/>
        <w:rPr>
          <w:lang w:val="es-ES"/>
        </w:rPr>
      </w:pPr>
      <w:r>
        <w:rPr>
          <w:lang w:val="es-ES"/>
        </w:rPr>
        <w:object w:dxaOrig="9143" w:dyaOrig="6420">
          <v:shape id="_x0000_i1027" type="#_x0000_t75" style="width:457.35pt;height:321.4pt" o:ole="">
            <v:imagedata r:id="rId18" o:title=""/>
          </v:shape>
          <o:OLEObject Type="Embed" ProgID="CorelDraw.Graphic.16" ShapeID="_x0000_i1027" DrawAspect="Content" ObjectID="_1597823964" r:id="rId19"/>
        </w:object>
      </w:r>
    </w:p>
    <w:p w:rsidR="00C202B3" w:rsidRPr="00F5179D" w:rsidRDefault="00C202B3" w:rsidP="00C202B3">
      <w:pPr>
        <w:pStyle w:val="TableNo"/>
        <w:rPr>
          <w:lang w:val="es-ES"/>
        </w:rPr>
      </w:pPr>
      <w:r>
        <w:rPr>
          <w:lang w:val="es-ES"/>
        </w:rPr>
        <w:lastRenderedPageBreak/>
        <w:t>CUADRO</w:t>
      </w:r>
      <w:r w:rsidRPr="00F5179D">
        <w:rPr>
          <w:lang w:val="es-ES"/>
        </w:rPr>
        <w:t xml:space="preserve"> 4</w:t>
      </w:r>
    </w:p>
    <w:p w:rsidR="00C202B3" w:rsidRPr="00F5179D" w:rsidRDefault="00C202B3" w:rsidP="00C202B3">
      <w:pPr>
        <w:pStyle w:val="Tabletitle"/>
        <w:rPr>
          <w:lang w:val="es-ES"/>
        </w:rPr>
      </w:pPr>
      <w:r>
        <w:rPr>
          <w:lang w:val="es-ES"/>
        </w:rPr>
        <w:t xml:space="preserve">Números de muestra (horizontal) para los formatos de imagen correspondientes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268"/>
        <w:gridCol w:w="2126"/>
        <w:gridCol w:w="2273"/>
      </w:tblGrid>
      <w:tr w:rsidR="00C202B3" w:rsidRPr="00F5179D" w:rsidTr="004C359E">
        <w:trPr>
          <w:cantSplit/>
          <w:jc w:val="center"/>
        </w:trPr>
        <w:tc>
          <w:tcPr>
            <w:tcW w:w="2972" w:type="dxa"/>
          </w:tcPr>
          <w:p w:rsidR="00C202B3" w:rsidRPr="00F5179D" w:rsidRDefault="00C202B3" w:rsidP="004C359E">
            <w:pPr>
              <w:pStyle w:val="Tablehead"/>
              <w:rPr>
                <w:lang w:val="es-ES" w:eastAsia="ja-JP"/>
              </w:rPr>
            </w:pPr>
            <w:r>
              <w:rPr>
                <w:lang w:val="es-ES" w:eastAsia="ja-JP"/>
              </w:rPr>
              <w:t>Número de muestra</w:t>
            </w:r>
            <w:r w:rsidRPr="00F5179D">
              <w:rPr>
                <w:lang w:val="es-ES" w:eastAsia="ja-JP"/>
              </w:rPr>
              <w:t xml:space="preserve"> (horizontal)</w:t>
            </w:r>
          </w:p>
        </w:tc>
        <w:tc>
          <w:tcPr>
            <w:tcW w:w="2268" w:type="dxa"/>
            <w:vAlign w:val="center"/>
          </w:tcPr>
          <w:p w:rsidR="00C202B3" w:rsidRPr="00F5179D" w:rsidRDefault="00C202B3" w:rsidP="004C359E">
            <w:pPr>
              <w:pStyle w:val="Tablehead"/>
              <w:rPr>
                <w:lang w:val="es-ES" w:eastAsia="ja-JP"/>
              </w:rPr>
            </w:pPr>
            <w:r>
              <w:rPr>
                <w:lang w:val="es-ES" w:eastAsia="ja-JP"/>
              </w:rPr>
              <w:t>TVAD</w:t>
            </w:r>
          </w:p>
        </w:tc>
        <w:tc>
          <w:tcPr>
            <w:tcW w:w="2126" w:type="dxa"/>
            <w:vAlign w:val="center"/>
          </w:tcPr>
          <w:p w:rsidR="00C202B3" w:rsidRPr="00F5179D" w:rsidRDefault="00C202B3" w:rsidP="004C359E">
            <w:pPr>
              <w:pStyle w:val="Tablehead"/>
              <w:rPr>
                <w:lang w:val="es-ES" w:eastAsia="ja-JP"/>
              </w:rPr>
            </w:pPr>
            <w:r>
              <w:rPr>
                <w:lang w:val="es-ES" w:eastAsia="ja-JP"/>
              </w:rPr>
              <w:t xml:space="preserve">TVUAD </w:t>
            </w:r>
            <w:r w:rsidRPr="00F5179D">
              <w:rPr>
                <w:lang w:val="es-ES" w:eastAsia="ja-JP"/>
              </w:rPr>
              <w:t xml:space="preserve">4K </w:t>
            </w:r>
          </w:p>
        </w:tc>
        <w:tc>
          <w:tcPr>
            <w:tcW w:w="2273" w:type="dxa"/>
            <w:vAlign w:val="center"/>
          </w:tcPr>
          <w:p w:rsidR="00C202B3" w:rsidRPr="00F5179D" w:rsidRDefault="00C202B3" w:rsidP="004C359E">
            <w:pPr>
              <w:pStyle w:val="Tablehead"/>
              <w:rPr>
                <w:lang w:val="es-ES" w:eastAsia="ja-JP"/>
              </w:rPr>
            </w:pPr>
            <w:r>
              <w:rPr>
                <w:lang w:val="es-ES" w:eastAsia="ja-JP"/>
              </w:rPr>
              <w:t xml:space="preserve">TVUAD </w:t>
            </w:r>
            <w:r w:rsidRPr="00F5179D">
              <w:rPr>
                <w:lang w:val="es-ES" w:eastAsia="ja-JP"/>
              </w:rPr>
              <w:t xml:space="preserve">8K </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Sa</w:t>
            </w:r>
          </w:p>
        </w:tc>
        <w:tc>
          <w:tcPr>
            <w:tcW w:w="2268" w:type="dxa"/>
          </w:tcPr>
          <w:p w:rsidR="00C202B3" w:rsidRPr="00F5179D" w:rsidRDefault="00C202B3" w:rsidP="004C359E">
            <w:pPr>
              <w:pStyle w:val="Tabletext"/>
              <w:jc w:val="center"/>
              <w:rPr>
                <w:lang w:val="es-ES"/>
              </w:rPr>
            </w:pPr>
            <w:r w:rsidRPr="00F5179D">
              <w:rPr>
                <w:lang w:val="es-ES"/>
              </w:rPr>
              <w:t>0</w:t>
            </w:r>
          </w:p>
        </w:tc>
        <w:tc>
          <w:tcPr>
            <w:tcW w:w="2126" w:type="dxa"/>
          </w:tcPr>
          <w:p w:rsidR="00C202B3" w:rsidRPr="00F5179D" w:rsidRDefault="00C202B3" w:rsidP="004C359E">
            <w:pPr>
              <w:pStyle w:val="Tabletext"/>
              <w:jc w:val="center"/>
              <w:rPr>
                <w:lang w:val="es-ES"/>
              </w:rPr>
            </w:pPr>
            <w:r w:rsidRPr="00F5179D">
              <w:rPr>
                <w:lang w:val="es-ES"/>
              </w:rPr>
              <w:t>0</w:t>
            </w:r>
          </w:p>
        </w:tc>
        <w:tc>
          <w:tcPr>
            <w:tcW w:w="2273" w:type="dxa"/>
          </w:tcPr>
          <w:p w:rsidR="00C202B3" w:rsidRPr="00F5179D" w:rsidRDefault="00C202B3" w:rsidP="004C359E">
            <w:pPr>
              <w:pStyle w:val="Tabletext"/>
              <w:jc w:val="center"/>
              <w:rPr>
                <w:lang w:val="es-ES"/>
              </w:rPr>
            </w:pPr>
            <w:r w:rsidRPr="00F5179D">
              <w:rPr>
                <w:lang w:val="es-ES"/>
              </w:rPr>
              <w:t>0</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Sb</w:t>
            </w:r>
          </w:p>
        </w:tc>
        <w:tc>
          <w:tcPr>
            <w:tcW w:w="2268" w:type="dxa"/>
          </w:tcPr>
          <w:p w:rsidR="00C202B3" w:rsidRPr="00F5179D" w:rsidRDefault="00C202B3" w:rsidP="004C359E">
            <w:pPr>
              <w:pStyle w:val="Tabletext"/>
              <w:jc w:val="center"/>
              <w:rPr>
                <w:lang w:val="es-ES"/>
              </w:rPr>
            </w:pPr>
            <w:r w:rsidRPr="00F5179D">
              <w:rPr>
                <w:lang w:val="es-ES"/>
              </w:rPr>
              <w:t>312</w:t>
            </w:r>
          </w:p>
        </w:tc>
        <w:tc>
          <w:tcPr>
            <w:tcW w:w="2126" w:type="dxa"/>
          </w:tcPr>
          <w:p w:rsidR="00C202B3" w:rsidRPr="00F5179D" w:rsidRDefault="00C202B3" w:rsidP="004C359E">
            <w:pPr>
              <w:pStyle w:val="Tabletext"/>
              <w:jc w:val="center"/>
              <w:rPr>
                <w:lang w:val="es-ES"/>
              </w:rPr>
            </w:pPr>
            <w:r w:rsidRPr="00F5179D">
              <w:rPr>
                <w:lang w:val="es-ES"/>
              </w:rPr>
              <w:t>624</w:t>
            </w:r>
          </w:p>
        </w:tc>
        <w:tc>
          <w:tcPr>
            <w:tcW w:w="2273" w:type="dxa"/>
          </w:tcPr>
          <w:p w:rsidR="00C202B3" w:rsidRPr="00F5179D" w:rsidRDefault="00C202B3" w:rsidP="004C359E">
            <w:pPr>
              <w:pStyle w:val="Tabletext"/>
              <w:jc w:val="center"/>
              <w:rPr>
                <w:lang w:val="es-ES"/>
              </w:rPr>
            </w:pPr>
            <w:r w:rsidRPr="00F5179D">
              <w:rPr>
                <w:lang w:val="es-ES"/>
              </w:rPr>
              <w:t>1 248</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Sc</w:t>
            </w:r>
          </w:p>
        </w:tc>
        <w:tc>
          <w:tcPr>
            <w:tcW w:w="2268" w:type="dxa"/>
          </w:tcPr>
          <w:p w:rsidR="00C202B3" w:rsidRPr="00F5179D" w:rsidRDefault="00C202B3" w:rsidP="004C359E">
            <w:pPr>
              <w:pStyle w:val="Tabletext"/>
              <w:jc w:val="center"/>
              <w:rPr>
                <w:lang w:val="es-ES"/>
              </w:rPr>
            </w:pPr>
            <w:r w:rsidRPr="00F5179D">
              <w:rPr>
                <w:lang w:val="es-ES"/>
              </w:rPr>
              <w:t>599</w:t>
            </w:r>
          </w:p>
        </w:tc>
        <w:tc>
          <w:tcPr>
            <w:tcW w:w="2126" w:type="dxa"/>
          </w:tcPr>
          <w:p w:rsidR="00C202B3" w:rsidRPr="00F5179D" w:rsidRDefault="00C202B3" w:rsidP="004C359E">
            <w:pPr>
              <w:pStyle w:val="Tabletext"/>
              <w:jc w:val="center"/>
              <w:rPr>
                <w:lang w:val="es-ES"/>
              </w:rPr>
            </w:pPr>
            <w:r w:rsidRPr="00F5179D">
              <w:rPr>
                <w:lang w:val="es-ES"/>
              </w:rPr>
              <w:t>1 199</w:t>
            </w:r>
          </w:p>
        </w:tc>
        <w:tc>
          <w:tcPr>
            <w:tcW w:w="2273" w:type="dxa"/>
          </w:tcPr>
          <w:p w:rsidR="00C202B3" w:rsidRPr="00F5179D" w:rsidRDefault="00C202B3" w:rsidP="004C359E">
            <w:pPr>
              <w:pStyle w:val="Tabletext"/>
              <w:jc w:val="center"/>
              <w:rPr>
                <w:lang w:val="es-ES"/>
              </w:rPr>
            </w:pPr>
            <w:r w:rsidRPr="00F5179D">
              <w:rPr>
                <w:lang w:val="es-ES"/>
              </w:rPr>
              <w:t>2 399</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Sd</w:t>
            </w:r>
          </w:p>
        </w:tc>
        <w:tc>
          <w:tcPr>
            <w:tcW w:w="2268" w:type="dxa"/>
          </w:tcPr>
          <w:p w:rsidR="00C202B3" w:rsidRPr="00F5179D" w:rsidRDefault="00C202B3" w:rsidP="004C359E">
            <w:pPr>
              <w:pStyle w:val="Tabletext"/>
              <w:jc w:val="center"/>
              <w:rPr>
                <w:lang w:val="es-ES"/>
              </w:rPr>
            </w:pPr>
            <w:r w:rsidRPr="00F5179D">
              <w:rPr>
                <w:lang w:val="es-ES"/>
              </w:rPr>
              <w:t>888</w:t>
            </w:r>
          </w:p>
        </w:tc>
        <w:tc>
          <w:tcPr>
            <w:tcW w:w="2126" w:type="dxa"/>
          </w:tcPr>
          <w:p w:rsidR="00C202B3" w:rsidRPr="00F5179D" w:rsidRDefault="00C202B3" w:rsidP="004C359E">
            <w:pPr>
              <w:pStyle w:val="Tabletext"/>
              <w:jc w:val="center"/>
              <w:rPr>
                <w:lang w:val="es-ES"/>
              </w:rPr>
            </w:pPr>
            <w:r w:rsidRPr="00F5179D">
              <w:rPr>
                <w:lang w:val="es-ES"/>
              </w:rPr>
              <w:t>1 776</w:t>
            </w:r>
          </w:p>
        </w:tc>
        <w:tc>
          <w:tcPr>
            <w:tcW w:w="2273" w:type="dxa"/>
          </w:tcPr>
          <w:p w:rsidR="00C202B3" w:rsidRPr="00F5179D" w:rsidRDefault="00C202B3" w:rsidP="004C359E">
            <w:pPr>
              <w:pStyle w:val="Tabletext"/>
              <w:jc w:val="center"/>
              <w:rPr>
                <w:lang w:val="es-ES"/>
              </w:rPr>
            </w:pPr>
            <w:r w:rsidRPr="00F5179D">
              <w:rPr>
                <w:lang w:val="es-ES"/>
              </w:rPr>
              <w:t>3 552</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Se</w:t>
            </w:r>
          </w:p>
        </w:tc>
        <w:tc>
          <w:tcPr>
            <w:tcW w:w="2268" w:type="dxa"/>
          </w:tcPr>
          <w:p w:rsidR="00C202B3" w:rsidRPr="00F5179D" w:rsidRDefault="00C202B3" w:rsidP="004C359E">
            <w:pPr>
              <w:pStyle w:val="Tabletext"/>
              <w:jc w:val="center"/>
              <w:rPr>
                <w:lang w:val="es-ES"/>
              </w:rPr>
            </w:pPr>
            <w:r w:rsidRPr="00F5179D">
              <w:rPr>
                <w:lang w:val="es-ES"/>
              </w:rPr>
              <w:t>1 031</w:t>
            </w:r>
          </w:p>
        </w:tc>
        <w:tc>
          <w:tcPr>
            <w:tcW w:w="2126" w:type="dxa"/>
          </w:tcPr>
          <w:p w:rsidR="00C202B3" w:rsidRPr="00F5179D" w:rsidRDefault="00C202B3" w:rsidP="004C359E">
            <w:pPr>
              <w:pStyle w:val="Tabletext"/>
              <w:jc w:val="center"/>
              <w:rPr>
                <w:lang w:val="es-ES"/>
              </w:rPr>
            </w:pPr>
            <w:r w:rsidRPr="00F5179D">
              <w:rPr>
                <w:lang w:val="es-ES"/>
              </w:rPr>
              <w:t>2 063</w:t>
            </w:r>
          </w:p>
        </w:tc>
        <w:tc>
          <w:tcPr>
            <w:tcW w:w="2273" w:type="dxa"/>
          </w:tcPr>
          <w:p w:rsidR="00C202B3" w:rsidRPr="00F5179D" w:rsidRDefault="00C202B3" w:rsidP="004C359E">
            <w:pPr>
              <w:pStyle w:val="Tabletext"/>
              <w:jc w:val="center"/>
              <w:rPr>
                <w:lang w:val="es-ES"/>
              </w:rPr>
            </w:pPr>
            <w:r w:rsidRPr="00F5179D">
              <w:rPr>
                <w:lang w:val="es-ES"/>
              </w:rPr>
              <w:t>4 127</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Sf</w:t>
            </w:r>
          </w:p>
        </w:tc>
        <w:tc>
          <w:tcPr>
            <w:tcW w:w="2268" w:type="dxa"/>
          </w:tcPr>
          <w:p w:rsidR="00C202B3" w:rsidRPr="00F5179D" w:rsidRDefault="00C202B3" w:rsidP="004C359E">
            <w:pPr>
              <w:pStyle w:val="Tabletext"/>
              <w:jc w:val="center"/>
              <w:rPr>
                <w:lang w:val="es-ES"/>
              </w:rPr>
            </w:pPr>
            <w:r w:rsidRPr="00F5179D">
              <w:rPr>
                <w:lang w:val="es-ES"/>
              </w:rPr>
              <w:t>1 320</w:t>
            </w:r>
          </w:p>
        </w:tc>
        <w:tc>
          <w:tcPr>
            <w:tcW w:w="2126" w:type="dxa"/>
          </w:tcPr>
          <w:p w:rsidR="00C202B3" w:rsidRPr="00F5179D" w:rsidRDefault="00C202B3" w:rsidP="004C359E">
            <w:pPr>
              <w:pStyle w:val="Tabletext"/>
              <w:jc w:val="center"/>
              <w:rPr>
                <w:lang w:val="es-ES"/>
              </w:rPr>
            </w:pPr>
            <w:r w:rsidRPr="00F5179D">
              <w:rPr>
                <w:lang w:val="es-ES"/>
              </w:rPr>
              <w:t>2 640</w:t>
            </w:r>
          </w:p>
        </w:tc>
        <w:tc>
          <w:tcPr>
            <w:tcW w:w="2273" w:type="dxa"/>
          </w:tcPr>
          <w:p w:rsidR="00C202B3" w:rsidRPr="00F5179D" w:rsidRDefault="00C202B3" w:rsidP="004C359E">
            <w:pPr>
              <w:pStyle w:val="Tabletext"/>
              <w:jc w:val="center"/>
              <w:rPr>
                <w:lang w:val="es-ES"/>
              </w:rPr>
            </w:pPr>
            <w:r w:rsidRPr="00F5179D">
              <w:rPr>
                <w:lang w:val="es-ES"/>
              </w:rPr>
              <w:t>5 280</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Sg</w:t>
            </w:r>
          </w:p>
        </w:tc>
        <w:tc>
          <w:tcPr>
            <w:tcW w:w="2268" w:type="dxa"/>
          </w:tcPr>
          <w:p w:rsidR="00C202B3" w:rsidRPr="00F5179D" w:rsidRDefault="00C202B3" w:rsidP="004C359E">
            <w:pPr>
              <w:pStyle w:val="Tabletext"/>
              <w:jc w:val="center"/>
              <w:rPr>
                <w:lang w:val="es-ES"/>
              </w:rPr>
            </w:pPr>
            <w:r w:rsidRPr="00F5179D">
              <w:rPr>
                <w:lang w:val="es-ES"/>
              </w:rPr>
              <w:t>1 607</w:t>
            </w:r>
          </w:p>
        </w:tc>
        <w:tc>
          <w:tcPr>
            <w:tcW w:w="2126" w:type="dxa"/>
          </w:tcPr>
          <w:p w:rsidR="00C202B3" w:rsidRPr="00F5179D" w:rsidRDefault="00C202B3" w:rsidP="004C359E">
            <w:pPr>
              <w:pStyle w:val="Tabletext"/>
              <w:jc w:val="center"/>
              <w:rPr>
                <w:lang w:val="es-ES"/>
              </w:rPr>
            </w:pPr>
            <w:r w:rsidRPr="00F5179D">
              <w:rPr>
                <w:lang w:val="es-ES"/>
              </w:rPr>
              <w:t>3 215</w:t>
            </w:r>
          </w:p>
        </w:tc>
        <w:tc>
          <w:tcPr>
            <w:tcW w:w="2273" w:type="dxa"/>
          </w:tcPr>
          <w:p w:rsidR="00C202B3" w:rsidRPr="00F5179D" w:rsidRDefault="00C202B3" w:rsidP="004C359E">
            <w:pPr>
              <w:pStyle w:val="Tabletext"/>
              <w:jc w:val="center"/>
              <w:rPr>
                <w:lang w:val="es-ES"/>
              </w:rPr>
            </w:pPr>
            <w:r w:rsidRPr="00F5179D">
              <w:rPr>
                <w:lang w:val="es-ES"/>
              </w:rPr>
              <w:t>6 431</w:t>
            </w:r>
          </w:p>
        </w:tc>
      </w:tr>
      <w:tr w:rsidR="00C202B3" w:rsidRPr="00F5179D" w:rsidTr="004C359E">
        <w:trPr>
          <w:cantSplit/>
          <w:jc w:val="center"/>
        </w:trPr>
        <w:tc>
          <w:tcPr>
            <w:tcW w:w="2972" w:type="dxa"/>
          </w:tcPr>
          <w:p w:rsidR="00C202B3" w:rsidRPr="00F5179D" w:rsidRDefault="00C202B3" w:rsidP="004C359E">
            <w:pPr>
              <w:pStyle w:val="Tabletext"/>
              <w:jc w:val="center"/>
              <w:rPr>
                <w:lang w:val="es-ES"/>
              </w:rPr>
            </w:pPr>
            <w:r w:rsidRPr="00F5179D">
              <w:rPr>
                <w:lang w:val="es-ES"/>
              </w:rPr>
              <w:t>Sh</w:t>
            </w:r>
          </w:p>
        </w:tc>
        <w:tc>
          <w:tcPr>
            <w:tcW w:w="2268" w:type="dxa"/>
          </w:tcPr>
          <w:p w:rsidR="00C202B3" w:rsidRPr="00F5179D" w:rsidRDefault="00C202B3" w:rsidP="004C359E">
            <w:pPr>
              <w:pStyle w:val="Tabletext"/>
              <w:jc w:val="center"/>
              <w:rPr>
                <w:lang w:val="es-ES"/>
              </w:rPr>
            </w:pPr>
            <w:r w:rsidRPr="00F5179D">
              <w:rPr>
                <w:lang w:val="es-ES"/>
              </w:rPr>
              <w:t>1 919</w:t>
            </w:r>
          </w:p>
        </w:tc>
        <w:tc>
          <w:tcPr>
            <w:tcW w:w="2126" w:type="dxa"/>
          </w:tcPr>
          <w:p w:rsidR="00C202B3" w:rsidRPr="00F5179D" w:rsidRDefault="00C202B3" w:rsidP="004C359E">
            <w:pPr>
              <w:pStyle w:val="Tabletext"/>
              <w:jc w:val="center"/>
              <w:rPr>
                <w:lang w:val="es-ES"/>
              </w:rPr>
            </w:pPr>
            <w:r w:rsidRPr="00F5179D">
              <w:rPr>
                <w:lang w:val="es-ES"/>
              </w:rPr>
              <w:t>3 839</w:t>
            </w:r>
          </w:p>
        </w:tc>
        <w:tc>
          <w:tcPr>
            <w:tcW w:w="2273" w:type="dxa"/>
          </w:tcPr>
          <w:p w:rsidR="00C202B3" w:rsidRPr="00F5179D" w:rsidRDefault="00C202B3" w:rsidP="004C359E">
            <w:pPr>
              <w:pStyle w:val="Tabletext"/>
              <w:jc w:val="center"/>
              <w:rPr>
                <w:lang w:val="es-ES"/>
              </w:rPr>
            </w:pPr>
            <w:r w:rsidRPr="00F5179D">
              <w:rPr>
                <w:lang w:val="es-ES"/>
              </w:rPr>
              <w:t>7 679</w:t>
            </w:r>
          </w:p>
        </w:tc>
      </w:tr>
    </w:tbl>
    <w:p w:rsidR="00C202B3" w:rsidRDefault="00C202B3" w:rsidP="00C202B3">
      <w:pPr>
        <w:pStyle w:val="Tablefin"/>
      </w:pPr>
    </w:p>
    <w:p w:rsidR="00C202B3" w:rsidRPr="00F5179D" w:rsidRDefault="00C202B3" w:rsidP="00C202B3">
      <w:pPr>
        <w:pStyle w:val="TableNo"/>
        <w:rPr>
          <w:lang w:val="es-ES"/>
        </w:rPr>
      </w:pPr>
      <w:r>
        <w:rPr>
          <w:lang w:val="es-ES"/>
        </w:rPr>
        <w:t>CUADRO</w:t>
      </w:r>
      <w:r w:rsidRPr="00F5179D">
        <w:rPr>
          <w:lang w:val="es-ES"/>
        </w:rPr>
        <w:t xml:space="preserve"> 5</w:t>
      </w:r>
    </w:p>
    <w:p w:rsidR="00C202B3" w:rsidRPr="00F5179D" w:rsidRDefault="00C202B3" w:rsidP="00C202B3">
      <w:pPr>
        <w:pStyle w:val="Tabletitle"/>
        <w:rPr>
          <w:lang w:val="es-ES"/>
        </w:rPr>
      </w:pPr>
      <w:r>
        <w:rPr>
          <w:lang w:val="es-ES"/>
        </w:rPr>
        <w:t xml:space="preserve">Números de línea para formatos de imagen de TVAD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977"/>
        <w:gridCol w:w="2556"/>
      </w:tblGrid>
      <w:tr w:rsidR="00C202B3" w:rsidRPr="00493EC0" w:rsidTr="004C359E">
        <w:trPr>
          <w:cantSplit/>
          <w:trHeight w:val="259"/>
          <w:jc w:val="center"/>
        </w:trPr>
        <w:tc>
          <w:tcPr>
            <w:tcW w:w="4106" w:type="dxa"/>
            <w:vAlign w:val="center"/>
          </w:tcPr>
          <w:p w:rsidR="00C202B3" w:rsidRPr="00F5179D" w:rsidRDefault="00C202B3" w:rsidP="004C359E">
            <w:pPr>
              <w:pStyle w:val="Tablehead"/>
              <w:rPr>
                <w:lang w:val="es-ES" w:eastAsia="ja-JP"/>
              </w:rPr>
            </w:pPr>
            <w:r>
              <w:rPr>
                <w:lang w:val="es-ES" w:eastAsia="ja-JP"/>
              </w:rPr>
              <w:t xml:space="preserve">Número de línea según </w:t>
            </w:r>
            <w:r>
              <w:rPr>
                <w:lang w:val="es-ES" w:eastAsia="ja-JP"/>
              </w:rPr>
              <w:br/>
              <w:t xml:space="preserve">la </w:t>
            </w:r>
            <w:r w:rsidRPr="00F5179D">
              <w:rPr>
                <w:lang w:val="es-ES" w:eastAsia="ja-JP"/>
              </w:rPr>
              <w:t>Rec. UIT-R BT.709</w:t>
            </w:r>
          </w:p>
        </w:tc>
        <w:tc>
          <w:tcPr>
            <w:tcW w:w="2977" w:type="dxa"/>
            <w:vAlign w:val="center"/>
          </w:tcPr>
          <w:p w:rsidR="00C202B3" w:rsidRPr="00F5179D" w:rsidRDefault="00C202B3" w:rsidP="004C359E">
            <w:pPr>
              <w:pStyle w:val="Tablehead"/>
              <w:rPr>
                <w:lang w:val="es-ES" w:eastAsia="ja-JP"/>
              </w:rPr>
            </w:pPr>
            <w:r>
              <w:rPr>
                <w:lang w:val="es-ES" w:eastAsia="ja-JP"/>
              </w:rPr>
              <w:t>TVAD</w:t>
            </w:r>
            <w:r w:rsidRPr="00F5179D">
              <w:rPr>
                <w:lang w:val="es-ES" w:eastAsia="ja-JP"/>
              </w:rPr>
              <w:t xml:space="preserve"> (</w:t>
            </w:r>
            <w:r>
              <w:rPr>
                <w:lang w:val="es-ES" w:eastAsia="ja-JP"/>
              </w:rPr>
              <w:t>entrelazado</w:t>
            </w:r>
            <w:r w:rsidRPr="00F5179D">
              <w:rPr>
                <w:lang w:val="es-ES" w:eastAsia="ja-JP"/>
              </w:rPr>
              <w:t>)</w:t>
            </w:r>
          </w:p>
        </w:tc>
        <w:tc>
          <w:tcPr>
            <w:tcW w:w="2556" w:type="dxa"/>
            <w:vAlign w:val="center"/>
          </w:tcPr>
          <w:p w:rsidR="00C202B3" w:rsidRPr="00F5179D" w:rsidRDefault="00C202B3" w:rsidP="004C359E">
            <w:pPr>
              <w:pStyle w:val="Tablehead"/>
              <w:rPr>
                <w:lang w:val="es-ES" w:eastAsia="ja-JP"/>
              </w:rPr>
            </w:pPr>
            <w:r>
              <w:rPr>
                <w:lang w:val="es-ES" w:eastAsia="ja-JP"/>
              </w:rPr>
              <w:t>TVAD</w:t>
            </w:r>
            <w:r w:rsidRPr="00F5179D">
              <w:rPr>
                <w:lang w:val="es-ES" w:eastAsia="ja-JP"/>
              </w:rPr>
              <w:t xml:space="preserve"> (progresiv</w:t>
            </w:r>
            <w:r>
              <w:rPr>
                <w:lang w:val="es-ES" w:eastAsia="ja-JP"/>
              </w:rPr>
              <w:t>o</w:t>
            </w:r>
            <w:r w:rsidRPr="00F5179D">
              <w:rPr>
                <w:lang w:val="es-ES" w:eastAsia="ja-JP"/>
              </w:rPr>
              <w:t>)</w:t>
            </w:r>
          </w:p>
        </w:tc>
      </w:tr>
      <w:tr w:rsidR="00C202B3" w:rsidRPr="00493EC0"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La</w:t>
            </w:r>
          </w:p>
        </w:tc>
        <w:tc>
          <w:tcPr>
            <w:tcW w:w="2977" w:type="dxa"/>
          </w:tcPr>
          <w:p w:rsidR="00C202B3" w:rsidRPr="00F5179D" w:rsidRDefault="00C202B3" w:rsidP="004C359E">
            <w:pPr>
              <w:pStyle w:val="Tabletext"/>
              <w:jc w:val="center"/>
              <w:rPr>
                <w:lang w:val="es-ES"/>
              </w:rPr>
            </w:pPr>
            <w:r w:rsidRPr="00F5179D">
              <w:rPr>
                <w:lang w:val="es-ES"/>
              </w:rPr>
              <w:t>21, 584</w:t>
            </w:r>
          </w:p>
        </w:tc>
        <w:tc>
          <w:tcPr>
            <w:tcW w:w="2556" w:type="dxa"/>
          </w:tcPr>
          <w:p w:rsidR="00C202B3" w:rsidRPr="00F5179D" w:rsidRDefault="00C202B3" w:rsidP="004C359E">
            <w:pPr>
              <w:pStyle w:val="Tabletext"/>
              <w:jc w:val="center"/>
              <w:rPr>
                <w:lang w:val="es-ES"/>
              </w:rPr>
            </w:pPr>
            <w:r w:rsidRPr="00F5179D">
              <w:rPr>
                <w:lang w:val="es-ES"/>
              </w:rPr>
              <w:t>42</w:t>
            </w:r>
          </w:p>
        </w:tc>
      </w:tr>
      <w:tr w:rsidR="00C202B3" w:rsidRPr="00493EC0"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Lb</w:t>
            </w:r>
          </w:p>
        </w:tc>
        <w:tc>
          <w:tcPr>
            <w:tcW w:w="2977" w:type="dxa"/>
          </w:tcPr>
          <w:p w:rsidR="00C202B3" w:rsidRPr="00F5179D" w:rsidRDefault="00C202B3" w:rsidP="004C359E">
            <w:pPr>
              <w:pStyle w:val="Tabletext"/>
              <w:jc w:val="center"/>
              <w:rPr>
                <w:lang w:val="es-ES"/>
              </w:rPr>
            </w:pPr>
            <w:r w:rsidRPr="00F5179D">
              <w:rPr>
                <w:lang w:val="es-ES"/>
              </w:rPr>
              <w:t>183, 746</w:t>
            </w:r>
          </w:p>
        </w:tc>
        <w:tc>
          <w:tcPr>
            <w:tcW w:w="2556" w:type="dxa"/>
          </w:tcPr>
          <w:p w:rsidR="00C202B3" w:rsidRPr="00F5179D" w:rsidRDefault="00C202B3" w:rsidP="004C359E">
            <w:pPr>
              <w:pStyle w:val="Tabletext"/>
              <w:jc w:val="center"/>
              <w:rPr>
                <w:lang w:val="es-ES"/>
              </w:rPr>
            </w:pPr>
            <w:r w:rsidRPr="00F5179D">
              <w:rPr>
                <w:lang w:val="es-ES"/>
              </w:rPr>
              <w:t>366</w:t>
            </w:r>
          </w:p>
        </w:tc>
      </w:tr>
      <w:tr w:rsidR="00C202B3" w:rsidRPr="00493EC0"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Lc</w:t>
            </w:r>
          </w:p>
        </w:tc>
        <w:tc>
          <w:tcPr>
            <w:tcW w:w="2977" w:type="dxa"/>
          </w:tcPr>
          <w:p w:rsidR="00C202B3" w:rsidRPr="00F5179D" w:rsidRDefault="00C202B3" w:rsidP="004C359E">
            <w:pPr>
              <w:pStyle w:val="Tabletext"/>
              <w:jc w:val="center"/>
              <w:rPr>
                <w:lang w:val="es-ES"/>
              </w:rPr>
            </w:pPr>
            <w:r w:rsidRPr="00F5179D">
              <w:rPr>
                <w:lang w:val="es-ES"/>
              </w:rPr>
              <w:t>194, 756</w:t>
            </w:r>
          </w:p>
        </w:tc>
        <w:tc>
          <w:tcPr>
            <w:tcW w:w="2556" w:type="dxa"/>
          </w:tcPr>
          <w:p w:rsidR="00C202B3" w:rsidRPr="00F5179D" w:rsidRDefault="00C202B3" w:rsidP="004C359E">
            <w:pPr>
              <w:pStyle w:val="Tabletext"/>
              <w:jc w:val="center"/>
              <w:rPr>
                <w:lang w:val="es-ES"/>
              </w:rPr>
            </w:pPr>
            <w:r w:rsidRPr="00F5179D">
              <w:rPr>
                <w:lang w:val="es-ES"/>
              </w:rPr>
              <w:t>387</w:t>
            </w:r>
          </w:p>
        </w:tc>
      </w:tr>
      <w:tr w:rsidR="00C202B3" w:rsidRPr="00493EC0"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Ld</w:t>
            </w:r>
          </w:p>
        </w:tc>
        <w:tc>
          <w:tcPr>
            <w:tcW w:w="2977" w:type="dxa"/>
          </w:tcPr>
          <w:p w:rsidR="00C202B3" w:rsidRPr="00F5179D" w:rsidRDefault="00C202B3" w:rsidP="004C359E">
            <w:pPr>
              <w:pStyle w:val="Tabletext"/>
              <w:jc w:val="center"/>
              <w:rPr>
                <w:lang w:val="es-ES"/>
              </w:rPr>
            </w:pPr>
            <w:r w:rsidRPr="00F5179D">
              <w:rPr>
                <w:lang w:val="es-ES"/>
              </w:rPr>
              <w:t>254, 817</w:t>
            </w:r>
          </w:p>
        </w:tc>
        <w:tc>
          <w:tcPr>
            <w:tcW w:w="2556" w:type="dxa"/>
          </w:tcPr>
          <w:p w:rsidR="00C202B3" w:rsidRPr="00F5179D" w:rsidRDefault="00C202B3" w:rsidP="004C359E">
            <w:pPr>
              <w:pStyle w:val="Tabletext"/>
              <w:jc w:val="center"/>
              <w:rPr>
                <w:lang w:val="es-ES"/>
              </w:rPr>
            </w:pPr>
            <w:r w:rsidRPr="00F5179D">
              <w:rPr>
                <w:lang w:val="es-ES"/>
              </w:rPr>
              <w:t>509</w:t>
            </w:r>
          </w:p>
        </w:tc>
      </w:tr>
      <w:tr w:rsidR="00C202B3" w:rsidRPr="00493EC0"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Le</w:t>
            </w:r>
          </w:p>
        </w:tc>
        <w:tc>
          <w:tcPr>
            <w:tcW w:w="2977" w:type="dxa"/>
          </w:tcPr>
          <w:p w:rsidR="00C202B3" w:rsidRPr="00F5179D" w:rsidRDefault="00C202B3" w:rsidP="004C359E">
            <w:pPr>
              <w:pStyle w:val="Tabletext"/>
              <w:jc w:val="center"/>
              <w:rPr>
                <w:lang w:val="es-ES"/>
              </w:rPr>
            </w:pPr>
            <w:r w:rsidRPr="00F5179D">
              <w:rPr>
                <w:lang w:val="es-ES"/>
              </w:rPr>
              <w:t>255, 818</w:t>
            </w:r>
          </w:p>
        </w:tc>
        <w:tc>
          <w:tcPr>
            <w:tcW w:w="2556" w:type="dxa"/>
          </w:tcPr>
          <w:p w:rsidR="00C202B3" w:rsidRPr="00F5179D" w:rsidRDefault="00C202B3" w:rsidP="004C359E">
            <w:pPr>
              <w:pStyle w:val="Tabletext"/>
              <w:jc w:val="center"/>
              <w:rPr>
                <w:lang w:val="es-ES"/>
              </w:rPr>
            </w:pPr>
            <w:r w:rsidRPr="00F5179D">
              <w:rPr>
                <w:lang w:val="es-ES"/>
              </w:rPr>
              <w:t>510</w:t>
            </w:r>
          </w:p>
        </w:tc>
      </w:tr>
      <w:tr w:rsidR="00C202B3" w:rsidRPr="00F5179D"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Lf</w:t>
            </w:r>
          </w:p>
        </w:tc>
        <w:tc>
          <w:tcPr>
            <w:tcW w:w="2977" w:type="dxa"/>
          </w:tcPr>
          <w:p w:rsidR="00C202B3" w:rsidRPr="00F5179D" w:rsidRDefault="00C202B3" w:rsidP="004C359E">
            <w:pPr>
              <w:pStyle w:val="Tabletext"/>
              <w:jc w:val="center"/>
              <w:rPr>
                <w:lang w:val="es-ES"/>
              </w:rPr>
            </w:pPr>
            <w:r w:rsidRPr="00F5179D">
              <w:rPr>
                <w:lang w:val="es-ES"/>
              </w:rPr>
              <w:t>326, 889</w:t>
            </w:r>
          </w:p>
        </w:tc>
        <w:tc>
          <w:tcPr>
            <w:tcW w:w="2556" w:type="dxa"/>
          </w:tcPr>
          <w:p w:rsidR="00C202B3" w:rsidRPr="00F5179D" w:rsidRDefault="00C202B3" w:rsidP="004C359E">
            <w:pPr>
              <w:pStyle w:val="Tabletext"/>
              <w:jc w:val="center"/>
              <w:rPr>
                <w:lang w:val="es-ES"/>
              </w:rPr>
            </w:pPr>
            <w:r w:rsidRPr="00F5179D">
              <w:rPr>
                <w:lang w:val="es-ES"/>
              </w:rPr>
              <w:t>653</w:t>
            </w:r>
          </w:p>
        </w:tc>
      </w:tr>
      <w:tr w:rsidR="00C202B3" w:rsidRPr="00F5179D"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Lg</w:t>
            </w:r>
          </w:p>
        </w:tc>
        <w:tc>
          <w:tcPr>
            <w:tcW w:w="2977" w:type="dxa"/>
          </w:tcPr>
          <w:p w:rsidR="00C202B3" w:rsidRPr="00F5179D" w:rsidRDefault="00C202B3" w:rsidP="004C359E">
            <w:pPr>
              <w:pStyle w:val="Tabletext"/>
              <w:jc w:val="center"/>
              <w:rPr>
                <w:lang w:val="es-ES"/>
              </w:rPr>
            </w:pPr>
            <w:r w:rsidRPr="00F5179D">
              <w:rPr>
                <w:lang w:val="es-ES"/>
              </w:rPr>
              <w:t>327, 890</w:t>
            </w:r>
          </w:p>
        </w:tc>
        <w:tc>
          <w:tcPr>
            <w:tcW w:w="2556" w:type="dxa"/>
          </w:tcPr>
          <w:p w:rsidR="00C202B3" w:rsidRPr="00F5179D" w:rsidRDefault="00C202B3" w:rsidP="004C359E">
            <w:pPr>
              <w:pStyle w:val="Tabletext"/>
              <w:jc w:val="center"/>
              <w:rPr>
                <w:lang w:val="es-ES"/>
              </w:rPr>
            </w:pPr>
            <w:r w:rsidRPr="00F5179D">
              <w:rPr>
                <w:lang w:val="es-ES"/>
              </w:rPr>
              <w:t>654</w:t>
            </w:r>
          </w:p>
        </w:tc>
      </w:tr>
      <w:tr w:rsidR="00C202B3" w:rsidRPr="00F5179D"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Lh</w:t>
            </w:r>
          </w:p>
        </w:tc>
        <w:tc>
          <w:tcPr>
            <w:tcW w:w="2977" w:type="dxa"/>
          </w:tcPr>
          <w:p w:rsidR="00C202B3" w:rsidRPr="00F5179D" w:rsidRDefault="00C202B3" w:rsidP="004C359E">
            <w:pPr>
              <w:pStyle w:val="Tabletext"/>
              <w:jc w:val="center"/>
              <w:rPr>
                <w:lang w:val="es-ES"/>
              </w:rPr>
            </w:pPr>
            <w:r w:rsidRPr="00F5179D">
              <w:rPr>
                <w:lang w:val="es-ES"/>
              </w:rPr>
              <w:t>388, 950</w:t>
            </w:r>
          </w:p>
        </w:tc>
        <w:tc>
          <w:tcPr>
            <w:tcW w:w="2556" w:type="dxa"/>
          </w:tcPr>
          <w:p w:rsidR="00C202B3" w:rsidRPr="00F5179D" w:rsidRDefault="00C202B3" w:rsidP="004C359E">
            <w:pPr>
              <w:pStyle w:val="Tabletext"/>
              <w:jc w:val="center"/>
              <w:rPr>
                <w:lang w:val="es-ES"/>
              </w:rPr>
            </w:pPr>
            <w:r w:rsidRPr="00F5179D">
              <w:rPr>
                <w:lang w:val="es-ES"/>
              </w:rPr>
              <w:t>776</w:t>
            </w:r>
          </w:p>
        </w:tc>
      </w:tr>
      <w:tr w:rsidR="00C202B3" w:rsidRPr="00F5179D"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Li</w:t>
            </w:r>
          </w:p>
        </w:tc>
        <w:tc>
          <w:tcPr>
            <w:tcW w:w="2977" w:type="dxa"/>
          </w:tcPr>
          <w:p w:rsidR="00C202B3" w:rsidRPr="00F5179D" w:rsidRDefault="00C202B3" w:rsidP="004C359E">
            <w:pPr>
              <w:pStyle w:val="Tabletext"/>
              <w:jc w:val="center"/>
              <w:rPr>
                <w:lang w:val="es-ES"/>
              </w:rPr>
            </w:pPr>
            <w:r w:rsidRPr="00F5179D">
              <w:rPr>
                <w:lang w:val="es-ES"/>
              </w:rPr>
              <w:t>398, 961</w:t>
            </w:r>
          </w:p>
        </w:tc>
        <w:tc>
          <w:tcPr>
            <w:tcW w:w="2556" w:type="dxa"/>
          </w:tcPr>
          <w:p w:rsidR="00C202B3" w:rsidRPr="00F5179D" w:rsidRDefault="00C202B3" w:rsidP="004C359E">
            <w:pPr>
              <w:pStyle w:val="Tabletext"/>
              <w:jc w:val="center"/>
              <w:rPr>
                <w:lang w:val="es-ES"/>
              </w:rPr>
            </w:pPr>
            <w:r w:rsidRPr="00F5179D">
              <w:rPr>
                <w:lang w:val="es-ES"/>
              </w:rPr>
              <w:t>797</w:t>
            </w:r>
          </w:p>
        </w:tc>
      </w:tr>
      <w:tr w:rsidR="00C202B3" w:rsidRPr="00F5179D" w:rsidTr="004C359E">
        <w:trPr>
          <w:cantSplit/>
          <w:jc w:val="center"/>
        </w:trPr>
        <w:tc>
          <w:tcPr>
            <w:tcW w:w="4106" w:type="dxa"/>
          </w:tcPr>
          <w:p w:rsidR="00C202B3" w:rsidRPr="00F5179D" w:rsidRDefault="00C202B3" w:rsidP="004C359E">
            <w:pPr>
              <w:pStyle w:val="Tabletext"/>
              <w:jc w:val="center"/>
              <w:rPr>
                <w:lang w:val="es-ES"/>
              </w:rPr>
            </w:pPr>
            <w:r w:rsidRPr="00F5179D">
              <w:rPr>
                <w:lang w:val="es-ES"/>
              </w:rPr>
              <w:t>Lj</w:t>
            </w:r>
          </w:p>
        </w:tc>
        <w:tc>
          <w:tcPr>
            <w:tcW w:w="2977" w:type="dxa"/>
          </w:tcPr>
          <w:p w:rsidR="00C202B3" w:rsidRPr="00F5179D" w:rsidRDefault="00C202B3" w:rsidP="004C359E">
            <w:pPr>
              <w:pStyle w:val="Tabletext"/>
              <w:jc w:val="center"/>
              <w:rPr>
                <w:lang w:val="es-ES"/>
              </w:rPr>
            </w:pPr>
            <w:r w:rsidRPr="00F5179D">
              <w:rPr>
                <w:lang w:val="es-ES"/>
              </w:rPr>
              <w:t>560, 1 123</w:t>
            </w:r>
          </w:p>
        </w:tc>
        <w:tc>
          <w:tcPr>
            <w:tcW w:w="2556" w:type="dxa"/>
          </w:tcPr>
          <w:p w:rsidR="00C202B3" w:rsidRPr="00F5179D" w:rsidRDefault="00C202B3" w:rsidP="004C359E">
            <w:pPr>
              <w:pStyle w:val="Tabletext"/>
              <w:jc w:val="center"/>
              <w:rPr>
                <w:lang w:val="es-ES"/>
              </w:rPr>
            </w:pPr>
            <w:r w:rsidRPr="00F5179D">
              <w:rPr>
                <w:lang w:val="es-ES"/>
              </w:rPr>
              <w:t>1 121</w:t>
            </w:r>
          </w:p>
        </w:tc>
      </w:tr>
    </w:tbl>
    <w:p w:rsidR="00C202B3" w:rsidRDefault="00C202B3" w:rsidP="00C202B3">
      <w:pPr>
        <w:pStyle w:val="Tablefin"/>
      </w:pPr>
    </w:p>
    <w:p w:rsidR="00C202B3" w:rsidRDefault="00C202B3" w:rsidP="00C202B3">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C202B3" w:rsidRPr="00F5179D" w:rsidRDefault="00C202B3" w:rsidP="00C202B3">
      <w:pPr>
        <w:pStyle w:val="TableNo"/>
        <w:rPr>
          <w:lang w:val="es-ES"/>
        </w:rPr>
      </w:pPr>
      <w:r>
        <w:rPr>
          <w:lang w:val="es-ES"/>
        </w:rPr>
        <w:lastRenderedPageBreak/>
        <w:t>CUADRO</w:t>
      </w:r>
      <w:r w:rsidRPr="00F5179D">
        <w:rPr>
          <w:lang w:val="es-ES"/>
        </w:rPr>
        <w:t xml:space="preserve"> 6</w:t>
      </w:r>
    </w:p>
    <w:p w:rsidR="00C202B3" w:rsidRPr="00F5179D" w:rsidRDefault="00C202B3" w:rsidP="00C202B3">
      <w:pPr>
        <w:pStyle w:val="Tabletitle"/>
        <w:rPr>
          <w:lang w:val="es-ES"/>
        </w:rPr>
      </w:pPr>
      <w:r>
        <w:rPr>
          <w:lang w:val="es-ES"/>
        </w:rPr>
        <w:t xml:space="preserve">Números de muestra </w:t>
      </w:r>
      <w:r w:rsidRPr="00F5179D">
        <w:rPr>
          <w:lang w:val="es-ES"/>
        </w:rPr>
        <w:t xml:space="preserve">(vertical) </w:t>
      </w:r>
      <w:r>
        <w:rPr>
          <w:lang w:val="es-ES"/>
        </w:rPr>
        <w:t>para formatos de imagen TVUAD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C202B3" w:rsidRPr="00F5179D" w:rsidTr="004C359E">
        <w:trPr>
          <w:jc w:val="center"/>
        </w:trPr>
        <w:tc>
          <w:tcPr>
            <w:tcW w:w="2268" w:type="dxa"/>
          </w:tcPr>
          <w:p w:rsidR="00C202B3" w:rsidRPr="00F5179D" w:rsidRDefault="00C202B3" w:rsidP="004C359E">
            <w:pPr>
              <w:pStyle w:val="Tablehead"/>
              <w:rPr>
                <w:lang w:val="es-ES" w:eastAsia="ja-JP"/>
              </w:rPr>
            </w:pPr>
            <w:r w:rsidRPr="00F5179D">
              <w:rPr>
                <w:lang w:val="es-ES" w:eastAsia="ja-JP"/>
              </w:rPr>
              <w:t xml:space="preserve">Número de </w:t>
            </w:r>
            <w:r>
              <w:rPr>
                <w:lang w:val="es-ES" w:eastAsia="ja-JP"/>
              </w:rPr>
              <w:t>muestra (vertical)</w:t>
            </w:r>
            <w:r w:rsidRPr="00F5179D">
              <w:rPr>
                <w:lang w:val="es-ES" w:eastAsia="ja-JP"/>
              </w:rPr>
              <w:t xml:space="preserve"> según la Rec. UIT-R BT.2020</w:t>
            </w:r>
          </w:p>
        </w:tc>
        <w:tc>
          <w:tcPr>
            <w:tcW w:w="2268" w:type="dxa"/>
            <w:vAlign w:val="center"/>
          </w:tcPr>
          <w:p w:rsidR="00C202B3" w:rsidRPr="00F5179D" w:rsidRDefault="00C202B3" w:rsidP="004C359E">
            <w:pPr>
              <w:pStyle w:val="Tablehead"/>
              <w:rPr>
                <w:lang w:val="es-ES" w:eastAsia="ja-JP"/>
              </w:rPr>
            </w:pPr>
            <w:r>
              <w:rPr>
                <w:lang w:val="es-ES"/>
              </w:rPr>
              <w:t>TVUAD</w:t>
            </w:r>
            <w:r w:rsidRPr="00F5179D">
              <w:rPr>
                <w:lang w:val="es-ES" w:eastAsia="ja-JP"/>
              </w:rPr>
              <w:t xml:space="preserve"> 4K </w:t>
            </w:r>
          </w:p>
        </w:tc>
        <w:tc>
          <w:tcPr>
            <w:tcW w:w="2268" w:type="dxa"/>
            <w:vAlign w:val="center"/>
          </w:tcPr>
          <w:p w:rsidR="00C202B3" w:rsidRPr="00F5179D" w:rsidRDefault="00C202B3" w:rsidP="004C359E">
            <w:pPr>
              <w:pStyle w:val="Tablehead"/>
              <w:rPr>
                <w:lang w:val="es-ES" w:eastAsia="ja-JP"/>
              </w:rPr>
            </w:pPr>
            <w:r>
              <w:rPr>
                <w:lang w:val="es-ES"/>
              </w:rPr>
              <w:t>TVUAD</w:t>
            </w:r>
            <w:r w:rsidRPr="00F5179D">
              <w:rPr>
                <w:lang w:val="es-ES" w:eastAsia="ja-JP"/>
              </w:rPr>
              <w:t xml:space="preserve"> 8K </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La</w:t>
            </w:r>
          </w:p>
        </w:tc>
        <w:tc>
          <w:tcPr>
            <w:tcW w:w="2268" w:type="dxa"/>
          </w:tcPr>
          <w:p w:rsidR="00C202B3" w:rsidRPr="00F5179D" w:rsidRDefault="00C202B3" w:rsidP="004C359E">
            <w:pPr>
              <w:pStyle w:val="Tabletext"/>
              <w:jc w:val="center"/>
              <w:rPr>
                <w:lang w:val="es-ES"/>
              </w:rPr>
            </w:pPr>
            <w:r w:rsidRPr="00F5179D">
              <w:rPr>
                <w:lang w:val="es-ES"/>
              </w:rPr>
              <w:t>0</w:t>
            </w:r>
          </w:p>
        </w:tc>
        <w:tc>
          <w:tcPr>
            <w:tcW w:w="2268" w:type="dxa"/>
          </w:tcPr>
          <w:p w:rsidR="00C202B3" w:rsidRPr="00F5179D" w:rsidRDefault="00C202B3" w:rsidP="004C359E">
            <w:pPr>
              <w:pStyle w:val="Tabletext"/>
              <w:jc w:val="center"/>
              <w:rPr>
                <w:lang w:val="es-ES"/>
              </w:rPr>
            </w:pPr>
            <w:r w:rsidRPr="00F5179D">
              <w:rPr>
                <w:lang w:val="es-ES"/>
              </w:rPr>
              <w:t>0</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Lb</w:t>
            </w:r>
          </w:p>
        </w:tc>
        <w:tc>
          <w:tcPr>
            <w:tcW w:w="2268" w:type="dxa"/>
          </w:tcPr>
          <w:p w:rsidR="00C202B3" w:rsidRPr="00F5179D" w:rsidRDefault="00C202B3" w:rsidP="004C359E">
            <w:pPr>
              <w:pStyle w:val="Tabletext"/>
              <w:jc w:val="center"/>
              <w:rPr>
                <w:lang w:val="es-ES"/>
              </w:rPr>
            </w:pPr>
            <w:r w:rsidRPr="00F5179D">
              <w:rPr>
                <w:lang w:val="es-ES"/>
              </w:rPr>
              <w:t>648</w:t>
            </w:r>
          </w:p>
        </w:tc>
        <w:tc>
          <w:tcPr>
            <w:tcW w:w="2268" w:type="dxa"/>
          </w:tcPr>
          <w:p w:rsidR="00C202B3" w:rsidRPr="00F5179D" w:rsidRDefault="00C202B3" w:rsidP="004C359E">
            <w:pPr>
              <w:pStyle w:val="Tabletext"/>
              <w:jc w:val="center"/>
              <w:rPr>
                <w:lang w:val="es-ES"/>
              </w:rPr>
            </w:pPr>
            <w:r w:rsidRPr="00F5179D">
              <w:rPr>
                <w:lang w:val="es-ES"/>
              </w:rPr>
              <w:t>1 296</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Lc</w:t>
            </w:r>
          </w:p>
        </w:tc>
        <w:tc>
          <w:tcPr>
            <w:tcW w:w="2268" w:type="dxa"/>
          </w:tcPr>
          <w:p w:rsidR="00C202B3" w:rsidRPr="00F5179D" w:rsidRDefault="00C202B3" w:rsidP="004C359E">
            <w:pPr>
              <w:pStyle w:val="Tabletext"/>
              <w:jc w:val="center"/>
              <w:rPr>
                <w:lang w:val="es-ES"/>
              </w:rPr>
            </w:pPr>
            <w:r w:rsidRPr="00F5179D">
              <w:rPr>
                <w:lang w:val="es-ES"/>
              </w:rPr>
              <w:t>690</w:t>
            </w:r>
          </w:p>
        </w:tc>
        <w:tc>
          <w:tcPr>
            <w:tcW w:w="2268" w:type="dxa"/>
          </w:tcPr>
          <w:p w:rsidR="00C202B3" w:rsidRPr="00F5179D" w:rsidRDefault="00C202B3" w:rsidP="004C359E">
            <w:pPr>
              <w:pStyle w:val="Tabletext"/>
              <w:jc w:val="center"/>
              <w:rPr>
                <w:lang w:val="es-ES"/>
              </w:rPr>
            </w:pPr>
            <w:r w:rsidRPr="00F5179D">
              <w:rPr>
                <w:lang w:val="es-ES"/>
              </w:rPr>
              <w:t>1 380</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Ld</w:t>
            </w:r>
          </w:p>
        </w:tc>
        <w:tc>
          <w:tcPr>
            <w:tcW w:w="2268" w:type="dxa"/>
          </w:tcPr>
          <w:p w:rsidR="00C202B3" w:rsidRPr="00F5179D" w:rsidRDefault="00C202B3" w:rsidP="004C359E">
            <w:pPr>
              <w:pStyle w:val="Tabletext"/>
              <w:jc w:val="center"/>
              <w:rPr>
                <w:lang w:val="es-ES"/>
              </w:rPr>
            </w:pPr>
            <w:r w:rsidRPr="00F5179D">
              <w:rPr>
                <w:lang w:val="es-ES"/>
              </w:rPr>
              <w:t>935</w:t>
            </w:r>
          </w:p>
        </w:tc>
        <w:tc>
          <w:tcPr>
            <w:tcW w:w="2268" w:type="dxa"/>
          </w:tcPr>
          <w:p w:rsidR="00C202B3" w:rsidRPr="00F5179D" w:rsidRDefault="00C202B3" w:rsidP="004C359E">
            <w:pPr>
              <w:pStyle w:val="Tabletext"/>
              <w:jc w:val="center"/>
              <w:rPr>
                <w:lang w:val="es-ES"/>
              </w:rPr>
            </w:pPr>
            <w:r w:rsidRPr="00F5179D">
              <w:rPr>
                <w:lang w:val="es-ES"/>
              </w:rPr>
              <w:t>1 871</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Le</w:t>
            </w:r>
          </w:p>
        </w:tc>
        <w:tc>
          <w:tcPr>
            <w:tcW w:w="2268" w:type="dxa"/>
          </w:tcPr>
          <w:p w:rsidR="00C202B3" w:rsidRPr="00F5179D" w:rsidRDefault="00C202B3" w:rsidP="004C359E">
            <w:pPr>
              <w:pStyle w:val="Tabletext"/>
              <w:jc w:val="center"/>
              <w:rPr>
                <w:lang w:val="es-ES"/>
              </w:rPr>
            </w:pPr>
            <w:r w:rsidRPr="00F5179D">
              <w:rPr>
                <w:lang w:val="es-ES"/>
              </w:rPr>
              <w:t>936</w:t>
            </w:r>
          </w:p>
        </w:tc>
        <w:tc>
          <w:tcPr>
            <w:tcW w:w="2268" w:type="dxa"/>
          </w:tcPr>
          <w:p w:rsidR="00C202B3" w:rsidRPr="00F5179D" w:rsidRDefault="00C202B3" w:rsidP="004C359E">
            <w:pPr>
              <w:pStyle w:val="Tabletext"/>
              <w:jc w:val="center"/>
              <w:rPr>
                <w:lang w:val="es-ES"/>
              </w:rPr>
            </w:pPr>
            <w:r w:rsidRPr="00F5179D">
              <w:rPr>
                <w:lang w:val="es-ES"/>
              </w:rPr>
              <w:t>1 872</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Lf</w:t>
            </w:r>
          </w:p>
        </w:tc>
        <w:tc>
          <w:tcPr>
            <w:tcW w:w="2268" w:type="dxa"/>
          </w:tcPr>
          <w:p w:rsidR="00C202B3" w:rsidRPr="00F5179D" w:rsidRDefault="00C202B3" w:rsidP="004C359E">
            <w:pPr>
              <w:pStyle w:val="Tabletext"/>
              <w:jc w:val="center"/>
              <w:rPr>
                <w:lang w:val="es-ES"/>
              </w:rPr>
            </w:pPr>
            <w:r w:rsidRPr="00F5179D">
              <w:rPr>
                <w:lang w:val="es-ES"/>
              </w:rPr>
              <w:t>1 223</w:t>
            </w:r>
          </w:p>
        </w:tc>
        <w:tc>
          <w:tcPr>
            <w:tcW w:w="2268" w:type="dxa"/>
          </w:tcPr>
          <w:p w:rsidR="00C202B3" w:rsidRPr="00F5179D" w:rsidRDefault="00C202B3" w:rsidP="004C359E">
            <w:pPr>
              <w:pStyle w:val="Tabletext"/>
              <w:jc w:val="center"/>
              <w:rPr>
                <w:lang w:val="es-ES"/>
              </w:rPr>
            </w:pPr>
            <w:r w:rsidRPr="00F5179D">
              <w:rPr>
                <w:lang w:val="es-ES"/>
              </w:rPr>
              <w:t>2 447</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Lg</w:t>
            </w:r>
          </w:p>
        </w:tc>
        <w:tc>
          <w:tcPr>
            <w:tcW w:w="2268" w:type="dxa"/>
          </w:tcPr>
          <w:p w:rsidR="00C202B3" w:rsidRPr="00F5179D" w:rsidRDefault="00C202B3" w:rsidP="004C359E">
            <w:pPr>
              <w:pStyle w:val="Tabletext"/>
              <w:jc w:val="center"/>
              <w:rPr>
                <w:lang w:val="es-ES"/>
              </w:rPr>
            </w:pPr>
            <w:r w:rsidRPr="00F5179D">
              <w:rPr>
                <w:lang w:val="es-ES"/>
              </w:rPr>
              <w:t>1 224</w:t>
            </w:r>
          </w:p>
        </w:tc>
        <w:tc>
          <w:tcPr>
            <w:tcW w:w="2268" w:type="dxa"/>
          </w:tcPr>
          <w:p w:rsidR="00C202B3" w:rsidRPr="00F5179D" w:rsidRDefault="00C202B3" w:rsidP="004C359E">
            <w:pPr>
              <w:pStyle w:val="Tabletext"/>
              <w:jc w:val="center"/>
              <w:rPr>
                <w:lang w:val="es-ES"/>
              </w:rPr>
            </w:pPr>
            <w:r w:rsidRPr="00F5179D">
              <w:rPr>
                <w:lang w:val="es-ES"/>
              </w:rPr>
              <w:t>2 448</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Lh</w:t>
            </w:r>
          </w:p>
        </w:tc>
        <w:tc>
          <w:tcPr>
            <w:tcW w:w="2268" w:type="dxa"/>
          </w:tcPr>
          <w:p w:rsidR="00C202B3" w:rsidRPr="00F5179D" w:rsidRDefault="00C202B3" w:rsidP="004C359E">
            <w:pPr>
              <w:pStyle w:val="Tabletext"/>
              <w:jc w:val="center"/>
              <w:rPr>
                <w:lang w:val="es-ES"/>
              </w:rPr>
            </w:pPr>
            <w:r w:rsidRPr="00F5179D">
              <w:rPr>
                <w:lang w:val="es-ES"/>
              </w:rPr>
              <w:t>1 469</w:t>
            </w:r>
          </w:p>
        </w:tc>
        <w:tc>
          <w:tcPr>
            <w:tcW w:w="2268" w:type="dxa"/>
          </w:tcPr>
          <w:p w:rsidR="00C202B3" w:rsidRPr="00F5179D" w:rsidRDefault="00C202B3" w:rsidP="004C359E">
            <w:pPr>
              <w:pStyle w:val="Tabletext"/>
              <w:jc w:val="center"/>
              <w:rPr>
                <w:lang w:val="es-ES"/>
              </w:rPr>
            </w:pPr>
            <w:r w:rsidRPr="00F5179D">
              <w:rPr>
                <w:lang w:val="es-ES"/>
              </w:rPr>
              <w:t>2 939</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Li</w:t>
            </w:r>
          </w:p>
        </w:tc>
        <w:tc>
          <w:tcPr>
            <w:tcW w:w="2268" w:type="dxa"/>
          </w:tcPr>
          <w:p w:rsidR="00C202B3" w:rsidRPr="00F5179D" w:rsidRDefault="00C202B3" w:rsidP="004C359E">
            <w:pPr>
              <w:pStyle w:val="Tabletext"/>
              <w:jc w:val="center"/>
              <w:rPr>
                <w:lang w:val="es-ES"/>
              </w:rPr>
            </w:pPr>
            <w:r w:rsidRPr="00F5179D">
              <w:rPr>
                <w:lang w:val="es-ES"/>
              </w:rPr>
              <w:t>1 511</w:t>
            </w:r>
          </w:p>
        </w:tc>
        <w:tc>
          <w:tcPr>
            <w:tcW w:w="2268" w:type="dxa"/>
          </w:tcPr>
          <w:p w:rsidR="00C202B3" w:rsidRPr="00F5179D" w:rsidRDefault="00C202B3" w:rsidP="004C359E">
            <w:pPr>
              <w:pStyle w:val="Tabletext"/>
              <w:jc w:val="center"/>
              <w:rPr>
                <w:lang w:val="es-ES"/>
              </w:rPr>
            </w:pPr>
            <w:r w:rsidRPr="00F5179D">
              <w:rPr>
                <w:lang w:val="es-ES"/>
              </w:rPr>
              <w:t>3 023</w:t>
            </w:r>
          </w:p>
        </w:tc>
      </w:tr>
      <w:tr w:rsidR="00C202B3" w:rsidRPr="00F5179D" w:rsidTr="004C359E">
        <w:trPr>
          <w:jc w:val="center"/>
        </w:trPr>
        <w:tc>
          <w:tcPr>
            <w:tcW w:w="2268" w:type="dxa"/>
          </w:tcPr>
          <w:p w:rsidR="00C202B3" w:rsidRPr="00F5179D" w:rsidRDefault="00C202B3" w:rsidP="004C359E">
            <w:pPr>
              <w:pStyle w:val="Tabletext"/>
              <w:jc w:val="center"/>
              <w:rPr>
                <w:lang w:val="es-ES"/>
              </w:rPr>
            </w:pPr>
            <w:r w:rsidRPr="00F5179D">
              <w:rPr>
                <w:lang w:val="es-ES"/>
              </w:rPr>
              <w:t>Lj</w:t>
            </w:r>
          </w:p>
        </w:tc>
        <w:tc>
          <w:tcPr>
            <w:tcW w:w="2268" w:type="dxa"/>
          </w:tcPr>
          <w:p w:rsidR="00C202B3" w:rsidRPr="00F5179D" w:rsidRDefault="00C202B3" w:rsidP="004C359E">
            <w:pPr>
              <w:pStyle w:val="Tabletext"/>
              <w:jc w:val="center"/>
              <w:rPr>
                <w:lang w:val="es-ES"/>
              </w:rPr>
            </w:pPr>
            <w:r w:rsidRPr="00F5179D">
              <w:rPr>
                <w:lang w:val="es-ES"/>
              </w:rPr>
              <w:t>2 159</w:t>
            </w:r>
          </w:p>
        </w:tc>
        <w:tc>
          <w:tcPr>
            <w:tcW w:w="2268" w:type="dxa"/>
          </w:tcPr>
          <w:p w:rsidR="00C202B3" w:rsidRPr="00F5179D" w:rsidRDefault="00C202B3" w:rsidP="004C359E">
            <w:pPr>
              <w:pStyle w:val="Tabletext"/>
              <w:jc w:val="center"/>
              <w:rPr>
                <w:lang w:val="es-ES"/>
              </w:rPr>
            </w:pPr>
            <w:r w:rsidRPr="00F5179D">
              <w:rPr>
                <w:lang w:val="es-ES"/>
              </w:rPr>
              <w:t>4 319</w:t>
            </w:r>
          </w:p>
        </w:tc>
      </w:tr>
    </w:tbl>
    <w:p w:rsidR="00C202B3" w:rsidRDefault="00C202B3" w:rsidP="00C202B3">
      <w:pPr>
        <w:pStyle w:val="Tablefin"/>
      </w:pPr>
    </w:p>
    <w:p w:rsidR="00C202B3" w:rsidRPr="00F5179D" w:rsidRDefault="00C202B3" w:rsidP="00C202B3">
      <w:pPr>
        <w:pStyle w:val="FigureNo"/>
        <w:rPr>
          <w:lang w:val="es-ES"/>
        </w:rPr>
      </w:pPr>
      <w:r w:rsidRPr="00F5179D">
        <w:rPr>
          <w:lang w:val="es-ES"/>
        </w:rPr>
        <w:t>FIGUR</w:t>
      </w:r>
      <w:r>
        <w:rPr>
          <w:lang w:val="es-ES"/>
        </w:rPr>
        <w:t>A</w:t>
      </w:r>
      <w:r w:rsidRPr="00F5179D">
        <w:rPr>
          <w:lang w:val="es-ES"/>
        </w:rPr>
        <w:t xml:space="preserve"> 3</w:t>
      </w:r>
    </w:p>
    <w:p w:rsidR="00C202B3" w:rsidRPr="00F5179D" w:rsidRDefault="00C202B3" w:rsidP="00C202B3">
      <w:pPr>
        <w:pStyle w:val="Figuretitle"/>
        <w:rPr>
          <w:lang w:val="es-ES"/>
        </w:rPr>
      </w:pPr>
      <w:r>
        <w:rPr>
          <w:lang w:val="es-ES"/>
        </w:rPr>
        <w:t>Onda analógica de la señal para ajustar el nivel de negro</w:t>
      </w:r>
    </w:p>
    <w:p w:rsidR="00C202B3" w:rsidRDefault="00C202B3" w:rsidP="00C202B3">
      <w:pPr>
        <w:pStyle w:val="Figure"/>
        <w:rPr>
          <w:lang w:val="es-ES"/>
        </w:rPr>
      </w:pPr>
      <w:r>
        <w:rPr>
          <w:lang w:val="es-ES"/>
        </w:rPr>
        <w:object w:dxaOrig="8726" w:dyaOrig="4357">
          <v:shape id="_x0000_i1028" type="#_x0000_t75" style="width:436.05pt;height:217.75pt" o:ole="">
            <v:imagedata r:id="rId20" o:title=""/>
          </v:shape>
          <o:OLEObject Type="Embed" ProgID="CorelDraw.Graphic.16" ShapeID="_x0000_i1028" DrawAspect="Content" ObjectID="_1597823965" r:id="rId21"/>
        </w:object>
      </w:r>
    </w:p>
    <w:p w:rsidR="00C202B3" w:rsidRDefault="00C202B3" w:rsidP="00C202B3">
      <w:pPr>
        <w:rPr>
          <w:lang w:val="es-ES"/>
        </w:rPr>
      </w:pPr>
    </w:p>
    <w:p w:rsidR="00C202B3" w:rsidRDefault="00C202B3" w:rsidP="00C202B3">
      <w:pPr>
        <w:rPr>
          <w:lang w:val="es-ES"/>
        </w:rPr>
      </w:pPr>
    </w:p>
    <w:p w:rsidR="00C202B3" w:rsidRPr="00F5179D" w:rsidRDefault="00C202B3" w:rsidP="00C202B3">
      <w:pPr>
        <w:pStyle w:val="AnnexNoTitle"/>
        <w:rPr>
          <w:lang w:val="es-ES"/>
        </w:rPr>
      </w:pPr>
      <w:r w:rsidRPr="00F5179D">
        <w:rPr>
          <w:lang w:val="es-ES"/>
        </w:rPr>
        <w:lastRenderedPageBreak/>
        <w:t>Anex</w:t>
      </w:r>
      <w:r>
        <w:rPr>
          <w:lang w:val="es-ES"/>
        </w:rPr>
        <w:t>o</w:t>
      </w:r>
      <w:r w:rsidRPr="00F5179D">
        <w:rPr>
          <w:lang w:val="es-ES"/>
        </w:rPr>
        <w:t xml:space="preserve"> 3 (Normativ</w:t>
      </w:r>
      <w:r>
        <w:rPr>
          <w:lang w:val="es-ES"/>
        </w:rPr>
        <w:t>o</w:t>
      </w:r>
      <w:r w:rsidRPr="00F5179D">
        <w:rPr>
          <w:lang w:val="es-ES"/>
        </w:rPr>
        <w:t>)</w:t>
      </w:r>
      <w:r w:rsidRPr="00F5179D">
        <w:rPr>
          <w:lang w:val="es-ES"/>
        </w:rPr>
        <w:br/>
      </w:r>
      <w:r w:rsidRPr="00F5179D">
        <w:rPr>
          <w:lang w:val="es-ES"/>
        </w:rPr>
        <w:br/>
        <w:t>Proced</w:t>
      </w:r>
      <w:r>
        <w:rPr>
          <w:lang w:val="es-ES"/>
        </w:rPr>
        <w:t>imiento para la utilización de las señales de prueba PLUGE</w:t>
      </w:r>
    </w:p>
    <w:p w:rsidR="00C202B3" w:rsidRPr="00F5179D" w:rsidRDefault="00C202B3" w:rsidP="00C202B3">
      <w:pPr>
        <w:pStyle w:val="Heading1"/>
        <w:rPr>
          <w:lang w:val="es-ES"/>
        </w:rPr>
      </w:pPr>
      <w:r w:rsidRPr="00F5179D">
        <w:rPr>
          <w:lang w:val="es-ES"/>
        </w:rPr>
        <w:t>1</w:t>
      </w:r>
      <w:r w:rsidRPr="00F5179D">
        <w:rPr>
          <w:lang w:val="es-ES"/>
        </w:rPr>
        <w:tab/>
      </w:r>
      <w:r>
        <w:rPr>
          <w:lang w:val="es-ES"/>
        </w:rPr>
        <w:t>T</w:t>
      </w:r>
      <w:r w:rsidRPr="008A3B61">
        <w:rPr>
          <w:lang w:val="es-ES"/>
        </w:rPr>
        <w:t>elevisión con g</w:t>
      </w:r>
      <w:r>
        <w:rPr>
          <w:lang w:val="es-ES"/>
        </w:rPr>
        <w:t>ama dinámica convencional (SDR)</w:t>
      </w:r>
    </w:p>
    <w:p w:rsidR="00C202B3" w:rsidRPr="00F5179D" w:rsidRDefault="00C202B3" w:rsidP="00C202B3">
      <w:pPr>
        <w:rPr>
          <w:lang w:val="es-ES"/>
        </w:rPr>
      </w:pPr>
      <w:r>
        <w:rPr>
          <w:lang w:val="es-ES"/>
        </w:rPr>
        <w:t xml:space="preserve">Los ajustes abajo descritos dependen en gran medida de las </w:t>
      </w:r>
      <w:r w:rsidRPr="008A3B61">
        <w:rPr>
          <w:lang w:val="es-ES"/>
        </w:rPr>
        <w:t xml:space="preserve">condiciones de observación y es preferible ceñirse a las condiciones sobre distancia de observación e iluminación del ambiente que figuran </w:t>
      </w:r>
      <w:r>
        <w:rPr>
          <w:lang w:val="es-ES"/>
        </w:rPr>
        <w:t xml:space="preserve">en las Recomendaciones UIT-R </w:t>
      </w:r>
      <w:r w:rsidRPr="00F5179D">
        <w:rPr>
          <w:lang w:val="es-ES"/>
        </w:rPr>
        <w:t xml:space="preserve">BT.2022 </w:t>
      </w:r>
      <w:r>
        <w:rPr>
          <w:lang w:val="es-ES"/>
        </w:rPr>
        <w:t>y UIT-R</w:t>
      </w:r>
      <w:r w:rsidRPr="00F5179D">
        <w:rPr>
          <w:lang w:val="es-ES"/>
        </w:rPr>
        <w:t xml:space="preserve"> BT.2035:</w:t>
      </w:r>
    </w:p>
    <w:p w:rsidR="00C202B3" w:rsidRPr="00F5179D" w:rsidRDefault="00C202B3" w:rsidP="00C202B3">
      <w:pPr>
        <w:pStyle w:val="enumlev1"/>
        <w:rPr>
          <w:lang w:val="es-ES"/>
        </w:rPr>
      </w:pPr>
      <w:r w:rsidRPr="00F5179D">
        <w:rPr>
          <w:lang w:val="es-ES"/>
        </w:rPr>
        <w:t>–</w:t>
      </w:r>
      <w:r w:rsidRPr="00F5179D">
        <w:rPr>
          <w:lang w:val="es-ES"/>
        </w:rPr>
        <w:tab/>
      </w:r>
      <w:r>
        <w:rPr>
          <w:lang w:val="es-ES"/>
        </w:rPr>
        <w:t>utilizando un fotómetro, se ajusta el control de ganancia de usuario (el antiguo control de «contraste») de manera que el centro de la zona blanca (nivel de vídeo 100%) alcance la luminancia de pantalla deseada;</w:t>
      </w:r>
    </w:p>
    <w:p w:rsidR="00C202B3" w:rsidRPr="00F5179D" w:rsidRDefault="00C202B3" w:rsidP="00C202B3">
      <w:pPr>
        <w:pStyle w:val="enumlev1"/>
        <w:rPr>
          <w:lang w:val="es-ES"/>
        </w:rPr>
      </w:pPr>
      <w:r w:rsidRPr="00F5179D">
        <w:rPr>
          <w:lang w:val="es-ES"/>
        </w:rPr>
        <w:t>–</w:t>
      </w:r>
      <w:r w:rsidRPr="00F5179D">
        <w:rPr>
          <w:lang w:val="es-ES"/>
        </w:rPr>
        <w:tab/>
      </w:r>
      <w:r>
        <w:rPr>
          <w:lang w:val="es-ES"/>
        </w:rPr>
        <w:t xml:space="preserve">se ajusta el control de elevación de negro (antiguo control de «brillo») de manera que la </w:t>
      </w:r>
      <w:r w:rsidRPr="00165AF2">
        <w:rPr>
          <w:lang w:val="es-ES"/>
        </w:rPr>
        <w:t>barra más oscura desaparezca y la barra más clara permanezca visible</w:t>
      </w:r>
      <w:r w:rsidRPr="00F5179D">
        <w:rPr>
          <w:lang w:val="es-ES"/>
        </w:rPr>
        <w:t>.</w:t>
      </w:r>
    </w:p>
    <w:p w:rsidR="00C202B3" w:rsidRPr="00F5179D" w:rsidRDefault="00C202B3" w:rsidP="00C202B3">
      <w:pPr>
        <w:pStyle w:val="Heading1"/>
        <w:rPr>
          <w:lang w:val="es-ES"/>
        </w:rPr>
      </w:pPr>
      <w:r w:rsidRPr="00F5179D">
        <w:rPr>
          <w:lang w:val="es-ES"/>
        </w:rPr>
        <w:t>2</w:t>
      </w:r>
      <w:r w:rsidRPr="00F5179D">
        <w:rPr>
          <w:lang w:val="es-ES"/>
        </w:rPr>
        <w:tab/>
      </w:r>
      <w:r>
        <w:rPr>
          <w:lang w:val="es-ES"/>
        </w:rPr>
        <w:t>T</w:t>
      </w:r>
      <w:r w:rsidRPr="008A3B61">
        <w:rPr>
          <w:lang w:val="es-ES"/>
        </w:rPr>
        <w:t>elevisión de elevada gama dinámica (HDR</w:t>
      </w:r>
      <w:r>
        <w:rPr>
          <w:lang w:val="es-ES"/>
        </w:rPr>
        <w:t>)</w:t>
      </w:r>
    </w:p>
    <w:p w:rsidR="00C202B3" w:rsidRPr="00F5179D" w:rsidRDefault="00C202B3" w:rsidP="00C202B3">
      <w:pPr>
        <w:rPr>
          <w:lang w:val="es-ES"/>
        </w:rPr>
      </w:pPr>
      <w:r>
        <w:rPr>
          <w:lang w:val="es-ES"/>
        </w:rPr>
        <w:t xml:space="preserve">Los ajustes abajo descritos deben efectuarse en el siguiente orden, y dependen en gran medida de las </w:t>
      </w:r>
      <w:r w:rsidRPr="008A3B61">
        <w:rPr>
          <w:lang w:val="es-ES"/>
        </w:rPr>
        <w:t>condiciones de observación</w:t>
      </w:r>
      <w:r w:rsidRPr="00F5179D">
        <w:rPr>
          <w:lang w:val="es-ES"/>
        </w:rPr>
        <w:t xml:space="preserve">. </w:t>
      </w:r>
      <w:r>
        <w:rPr>
          <w:lang w:val="es-ES"/>
        </w:rPr>
        <w:t xml:space="preserve">Es preferible atenerse a las condiciones para el entorno de observación recogidas en la Recomendación UIT-R </w:t>
      </w:r>
      <w:r w:rsidRPr="00F5179D">
        <w:rPr>
          <w:lang w:val="es-ES"/>
        </w:rPr>
        <w:t>BT.2100:</w:t>
      </w:r>
    </w:p>
    <w:p w:rsidR="00C202B3" w:rsidRPr="00F5179D" w:rsidRDefault="00C202B3" w:rsidP="00C202B3">
      <w:pPr>
        <w:pStyle w:val="enumlev1"/>
        <w:rPr>
          <w:lang w:val="es-ES"/>
        </w:rPr>
      </w:pPr>
      <w:r w:rsidRPr="00F5179D">
        <w:rPr>
          <w:lang w:val="es-ES"/>
        </w:rPr>
        <w:t>1</w:t>
      </w:r>
      <w:r>
        <w:rPr>
          <w:lang w:val="es-ES"/>
        </w:rPr>
        <w:t>)</w:t>
      </w:r>
      <w:r w:rsidRPr="00F5179D">
        <w:rPr>
          <w:lang w:val="es-ES"/>
        </w:rPr>
        <w:tab/>
      </w:r>
      <w:r>
        <w:rPr>
          <w:lang w:val="es-ES"/>
        </w:rPr>
        <w:t>Sólo en el caso de HLG, el control de sistema gamma de la pantalla se ajusta de acuerdo con la cresta de luminancia nominal objetivo de la pantalla, apropiado para el entorno de observación, de acuerdo con la Nota 5e de la Recomendación UIT-R BT.2100.</w:t>
      </w:r>
    </w:p>
    <w:p w:rsidR="00C202B3" w:rsidRPr="00F5179D" w:rsidRDefault="00C202B3" w:rsidP="00C202B3">
      <w:pPr>
        <w:pStyle w:val="enumlev1"/>
        <w:rPr>
          <w:lang w:val="es-ES"/>
        </w:rPr>
      </w:pPr>
      <w:r w:rsidRPr="00F5179D">
        <w:rPr>
          <w:lang w:val="es-ES"/>
        </w:rPr>
        <w:t>2</w:t>
      </w:r>
      <w:r>
        <w:rPr>
          <w:lang w:val="es-ES"/>
        </w:rPr>
        <w:t>)</w:t>
      </w:r>
      <w:r w:rsidRPr="00F5179D">
        <w:rPr>
          <w:lang w:val="es-ES"/>
        </w:rPr>
        <w:tab/>
      </w:r>
      <w:r>
        <w:rPr>
          <w:lang w:val="es-ES"/>
        </w:rPr>
        <w:t xml:space="preserve">Para PQ y HLG, </w:t>
      </w:r>
      <w:r w:rsidRPr="00165AF2">
        <w:rPr>
          <w:lang w:val="es-ES"/>
        </w:rPr>
        <w:t xml:space="preserve">utilizando un fotómetro, se ajusta el control de ganancia de usuario de manera que el centro de la zona </w:t>
      </w:r>
      <w:r>
        <w:rPr>
          <w:lang w:val="es-ES"/>
        </w:rPr>
        <w:t>de más alto nivel tenga</w:t>
      </w:r>
      <w:r w:rsidRPr="00165AF2">
        <w:rPr>
          <w:lang w:val="es-ES"/>
        </w:rPr>
        <w:t xml:space="preserve"> la luminancia de pantalla </w:t>
      </w:r>
      <w:r>
        <w:rPr>
          <w:lang w:val="es-ES"/>
        </w:rPr>
        <w:t>correspondiente al valor de código especificado en el Cuadro 3.</w:t>
      </w:r>
    </w:p>
    <w:p w:rsidR="00C202B3" w:rsidRPr="00F5179D" w:rsidRDefault="00C202B3" w:rsidP="00C202B3">
      <w:pPr>
        <w:pStyle w:val="enumlev1"/>
        <w:rPr>
          <w:lang w:val="es-ES"/>
        </w:rPr>
      </w:pPr>
      <w:r w:rsidRPr="00F5179D">
        <w:rPr>
          <w:lang w:val="es-ES"/>
        </w:rPr>
        <w:t>3</w:t>
      </w:r>
      <w:r>
        <w:rPr>
          <w:lang w:val="es-ES"/>
        </w:rPr>
        <w:t>)</w:t>
      </w:r>
      <w:r w:rsidRPr="00F5179D">
        <w:rPr>
          <w:lang w:val="es-ES"/>
        </w:rPr>
        <w:tab/>
      </w:r>
      <w:r>
        <w:rPr>
          <w:lang w:val="es-ES"/>
        </w:rPr>
        <w:t>S</w:t>
      </w:r>
      <w:r w:rsidRPr="00165AF2">
        <w:rPr>
          <w:lang w:val="es-ES"/>
        </w:rPr>
        <w:t>ólo en el caso de HLG</w:t>
      </w:r>
      <w:r w:rsidRPr="00F5179D">
        <w:rPr>
          <w:lang w:val="es-ES"/>
        </w:rPr>
        <w:t xml:space="preserve">, </w:t>
      </w:r>
      <w:r>
        <w:rPr>
          <w:lang w:val="es-ES"/>
        </w:rPr>
        <w:t xml:space="preserve">puede efectuarse un ajuste adicional al valor gamma del sistema para compensar los entornos de observación distintos de los de referencia. Véanse la Nota 5f de la </w:t>
      </w:r>
      <w:r w:rsidRPr="009C29F3">
        <w:rPr>
          <w:lang w:val="es-ES"/>
        </w:rPr>
        <w:t>Recomendación UIT-R BT.2100</w:t>
      </w:r>
      <w:r>
        <w:rPr>
          <w:lang w:val="es-ES"/>
        </w:rPr>
        <w:t xml:space="preserve"> y el Anexo 5.</w:t>
      </w:r>
    </w:p>
    <w:p w:rsidR="00C202B3" w:rsidRPr="00F5179D" w:rsidRDefault="00C202B3" w:rsidP="00C202B3">
      <w:pPr>
        <w:pStyle w:val="enumlev1"/>
        <w:rPr>
          <w:lang w:val="es-ES"/>
        </w:rPr>
      </w:pPr>
      <w:r w:rsidRPr="00F5179D">
        <w:rPr>
          <w:lang w:val="es-ES"/>
        </w:rPr>
        <w:t>4</w:t>
      </w:r>
      <w:r>
        <w:rPr>
          <w:lang w:val="es-ES"/>
        </w:rPr>
        <w:t>)</w:t>
      </w:r>
      <w:r w:rsidRPr="00F5179D">
        <w:rPr>
          <w:lang w:val="es-ES"/>
        </w:rPr>
        <w:tab/>
      </w:r>
      <w:r>
        <w:rPr>
          <w:lang w:val="es-ES"/>
        </w:rPr>
        <w:t>Para PQ y HLG</w:t>
      </w:r>
      <w:r w:rsidRPr="00F5179D">
        <w:rPr>
          <w:lang w:val="es-ES"/>
        </w:rPr>
        <w:t xml:space="preserve">, </w:t>
      </w:r>
      <w:r w:rsidRPr="009C29F3">
        <w:rPr>
          <w:lang w:val="es-ES"/>
        </w:rPr>
        <w:t>el</w:t>
      </w:r>
      <w:r>
        <w:rPr>
          <w:lang w:val="es-ES"/>
        </w:rPr>
        <w:t xml:space="preserve"> control de usuario de elevación de negro </w:t>
      </w:r>
      <w:r w:rsidRPr="009C29F3">
        <w:rPr>
          <w:lang w:val="es-ES"/>
        </w:rPr>
        <w:t>se ajusta de manera que la barra más oscura desaparezca y la barra más clara permanezca visible</w:t>
      </w:r>
      <w:r>
        <w:rPr>
          <w:lang w:val="es-ES"/>
        </w:rPr>
        <w:t xml:space="preserve">. En un </w:t>
      </w:r>
      <w:r w:rsidRPr="009C29F3">
        <w:rPr>
          <w:lang w:val="es-ES"/>
        </w:rPr>
        <w:t xml:space="preserve">entorno de observación distinto </w:t>
      </w:r>
      <w:r>
        <w:rPr>
          <w:lang w:val="es-ES"/>
        </w:rPr>
        <w:t>del</w:t>
      </w:r>
      <w:r w:rsidRPr="009C29F3">
        <w:rPr>
          <w:lang w:val="es-ES"/>
        </w:rPr>
        <w:t xml:space="preserve"> de referencia</w:t>
      </w:r>
      <w:r>
        <w:rPr>
          <w:lang w:val="es-ES"/>
        </w:rPr>
        <w:t>, puede aplicarse un control de nivel de negro para pantalla PQ según se describe en el Anexo 4 respecto del</w:t>
      </w:r>
      <w:r w:rsidRPr="009C29F3">
        <w:rPr>
          <w:lang w:val="es-ES"/>
        </w:rPr>
        <w:t xml:space="preserve"> </w:t>
      </w:r>
      <w:r w:rsidRPr="00F5179D">
        <w:rPr>
          <w:lang w:val="es-ES"/>
        </w:rPr>
        <w:t xml:space="preserve">PQ EOTF </w:t>
      </w:r>
      <w:r>
        <w:rPr>
          <w:lang w:val="es-ES"/>
        </w:rPr>
        <w:t xml:space="preserve">especificado en la Recomendación UIT-R </w:t>
      </w:r>
      <w:r w:rsidRPr="00F5179D">
        <w:rPr>
          <w:lang w:val="es-ES"/>
        </w:rPr>
        <w:t>BT.2100.</w:t>
      </w:r>
    </w:p>
    <w:p w:rsidR="00C202B3" w:rsidRPr="00F5179D" w:rsidRDefault="00C202B3" w:rsidP="00C202B3">
      <w:pPr>
        <w:rPr>
          <w:lang w:val="es-ES"/>
        </w:rPr>
      </w:pPr>
    </w:p>
    <w:p w:rsidR="00C202B3" w:rsidRPr="00F5179D" w:rsidRDefault="00C202B3" w:rsidP="00C202B3">
      <w:pPr>
        <w:rPr>
          <w:lang w:val="es-ES"/>
        </w:rPr>
      </w:pPr>
    </w:p>
    <w:p w:rsidR="00C202B3" w:rsidRPr="00F5179D" w:rsidRDefault="00C202B3" w:rsidP="00C202B3">
      <w:pPr>
        <w:pStyle w:val="AnnexNoTitle"/>
        <w:rPr>
          <w:lang w:val="es-ES"/>
        </w:rPr>
      </w:pPr>
      <w:r>
        <w:rPr>
          <w:lang w:val="es-ES"/>
        </w:rPr>
        <w:lastRenderedPageBreak/>
        <w:t>An</w:t>
      </w:r>
      <w:r w:rsidRPr="00F5179D">
        <w:rPr>
          <w:lang w:val="es-ES"/>
        </w:rPr>
        <w:t>ex</w:t>
      </w:r>
      <w:r>
        <w:rPr>
          <w:lang w:val="es-ES"/>
        </w:rPr>
        <w:t>o</w:t>
      </w:r>
      <w:r w:rsidRPr="00F5179D">
        <w:rPr>
          <w:lang w:val="es-ES"/>
        </w:rPr>
        <w:t xml:space="preserve"> 4 (Informativ</w:t>
      </w:r>
      <w:r>
        <w:rPr>
          <w:lang w:val="es-ES"/>
        </w:rPr>
        <w:t>o</w:t>
      </w:r>
      <w:r w:rsidRPr="00F5179D">
        <w:rPr>
          <w:lang w:val="es-ES"/>
        </w:rPr>
        <w:t>)</w:t>
      </w:r>
      <w:r w:rsidRPr="00F5179D">
        <w:rPr>
          <w:lang w:val="es-ES"/>
        </w:rPr>
        <w:br/>
      </w:r>
      <w:r w:rsidRPr="00F5179D">
        <w:rPr>
          <w:lang w:val="es-ES"/>
        </w:rPr>
        <w:br/>
      </w:r>
      <w:r>
        <w:rPr>
          <w:lang w:val="es-ES"/>
        </w:rPr>
        <w:t>Control de nivel de negro para pantallas PQ</w:t>
      </w:r>
    </w:p>
    <w:p w:rsidR="00C202B3" w:rsidRPr="00D01D0D" w:rsidRDefault="00C202B3" w:rsidP="00C202B3">
      <w:pPr>
        <w:pStyle w:val="Normalaftertitle0"/>
        <w:keepNext/>
        <w:keepLines/>
        <w:rPr>
          <w:lang w:val="es-ES"/>
        </w:rPr>
      </w:pPr>
      <w:r w:rsidRPr="00D01D0D">
        <w:rPr>
          <w:lang w:val="es-ES"/>
        </w:rPr>
        <w:t xml:space="preserve">Para permitir el ajuste PLUGE de PQ, la señal </w:t>
      </w:r>
      <w:r w:rsidRPr="00F5179D">
        <w:rPr>
          <w:position w:val="-4"/>
        </w:rPr>
        <w:object w:dxaOrig="300" w:dyaOrig="260">
          <v:shape id="_x0000_i1029" type="#_x0000_t75" style="width:16.15pt;height:12.65pt" o:ole="">
            <v:imagedata r:id="rId22" o:title=""/>
          </v:shape>
          <o:OLEObject Type="Embed" ProgID="Equation.3" ShapeID="_x0000_i1029" DrawAspect="Content" ObjectID="_1597823966" r:id="rId23"/>
        </w:object>
      </w:r>
      <w:r w:rsidRPr="00D01D0D">
        <w:rPr>
          <w:lang w:val="es-ES"/>
        </w:rPr>
        <w:t>que se aplica en el PQ EOTF</w:t>
      </w:r>
      <w:r w:rsidRPr="00F5179D">
        <w:rPr>
          <w:position w:val="6"/>
          <w:sz w:val="18"/>
        </w:rPr>
        <w:footnoteReference w:id="7"/>
      </w:r>
      <w:r w:rsidRPr="00D01D0D">
        <w:rPr>
          <w:lang w:val="es-ES"/>
        </w:rPr>
        <w:t xml:space="preserve"> se sustituye por la señal </w:t>
      </w:r>
      <w:r w:rsidRPr="00F5179D">
        <w:rPr>
          <w:position w:val="-10"/>
        </w:rPr>
        <w:object w:dxaOrig="1520" w:dyaOrig="320">
          <v:shape id="_x0000_i1030" type="#_x0000_t75" style="width:76.05pt;height:16.15pt" o:ole="">
            <v:imagedata r:id="rId24" o:title=""/>
          </v:shape>
          <o:OLEObject Type="Embed" ProgID="Equation.3" ShapeID="_x0000_i1030" DrawAspect="Content" ObjectID="_1597823967" r:id="rId25"/>
        </w:object>
      </w:r>
      <w:r w:rsidRPr="00D01D0D">
        <w:rPr>
          <w:lang w:val="es-ES"/>
        </w:rPr>
        <w:t>:</w:t>
      </w:r>
    </w:p>
    <w:p w:rsidR="00C202B3" w:rsidRPr="00F5179D" w:rsidRDefault="00C202B3" w:rsidP="00C202B3">
      <w:pPr>
        <w:tabs>
          <w:tab w:val="clear" w:pos="1191"/>
          <w:tab w:val="clear" w:pos="1588"/>
          <w:tab w:val="clear" w:pos="1985"/>
          <w:tab w:val="center" w:pos="4820"/>
          <w:tab w:val="right" w:pos="9639"/>
        </w:tabs>
        <w:rPr>
          <w:lang w:val="es-ES"/>
        </w:rPr>
      </w:pPr>
      <w:r w:rsidRPr="00F5179D">
        <w:rPr>
          <w:lang w:val="es-ES"/>
        </w:rPr>
        <w:tab/>
      </w:r>
      <w:r w:rsidRPr="00F5179D">
        <w:rPr>
          <w:lang w:val="es-ES"/>
        </w:rPr>
        <w:tab/>
      </w:r>
      <w:r w:rsidRPr="00F5179D">
        <w:rPr>
          <w:lang w:val="es-ES"/>
        </w:rPr>
        <w:object w:dxaOrig="2760" w:dyaOrig="340">
          <v:shape id="_x0000_i1031" type="#_x0000_t75" style="width:137.1pt;height:16.15pt" o:ole="">
            <v:imagedata r:id="rId26" o:title=""/>
          </v:shape>
          <o:OLEObject Type="Embed" ProgID="Equation.3" ShapeID="_x0000_i1031" DrawAspect="Content" ObjectID="_1597823968" r:id="rId27"/>
        </w:object>
      </w:r>
    </w:p>
    <w:p w:rsidR="00C202B3" w:rsidRPr="00F5179D" w:rsidRDefault="00C202B3" w:rsidP="00C202B3">
      <w:pPr>
        <w:rPr>
          <w:lang w:val="es-ES"/>
        </w:rPr>
      </w:pPr>
      <w:r>
        <w:rPr>
          <w:lang w:val="es-ES"/>
        </w:rPr>
        <w:t>donde</w:t>
      </w:r>
      <w:r w:rsidRPr="00F5179D">
        <w:rPr>
          <w:lang w:val="es-ES"/>
        </w:rPr>
        <w:t>:</w:t>
      </w:r>
    </w:p>
    <w:p w:rsidR="00C202B3" w:rsidRPr="00F5179D" w:rsidRDefault="00C202B3" w:rsidP="00823495">
      <w:pPr>
        <w:pStyle w:val="Equationlegend"/>
        <w:rPr>
          <w:lang w:val="es-ES"/>
        </w:rPr>
      </w:pPr>
      <w:r w:rsidRPr="00F5179D">
        <w:rPr>
          <w:i/>
          <w:lang w:val="es-ES"/>
        </w:rPr>
        <w:tab/>
        <w:t>E'</w:t>
      </w:r>
      <w:r w:rsidRPr="00F5179D">
        <w:rPr>
          <w:lang w:val="es-ES"/>
        </w:rPr>
        <w:t xml:space="preserve"> </w:t>
      </w:r>
      <w:r w:rsidRPr="00F5179D">
        <w:rPr>
          <w:lang w:val="es-ES"/>
        </w:rPr>
        <w:tab/>
      </w:r>
      <w:r w:rsidRPr="009C29F3">
        <w:rPr>
          <w:lang w:val="es-ES"/>
        </w:rPr>
        <w:t xml:space="preserve">indica un valor de color no lineal </w:t>
      </w:r>
      <w:r w:rsidRPr="00F5179D">
        <w:rPr>
          <w:lang w:val="es-ES"/>
        </w:rPr>
        <w:t>PQ {</w:t>
      </w:r>
      <w:r w:rsidRPr="00F5179D">
        <w:rPr>
          <w:i/>
          <w:lang w:val="es-ES"/>
        </w:rPr>
        <w:t>R', G', B'</w:t>
      </w:r>
      <w:r w:rsidRPr="00F5179D">
        <w:rPr>
          <w:lang w:val="es-ES"/>
        </w:rPr>
        <w:t>}</w:t>
      </w:r>
    </w:p>
    <w:p w:rsidR="00C202B3" w:rsidRPr="00F5179D" w:rsidRDefault="00C202B3" w:rsidP="00823495">
      <w:pPr>
        <w:pStyle w:val="Equationlegend"/>
        <w:rPr>
          <w:lang w:val="es-ES"/>
        </w:rPr>
      </w:pPr>
      <w:r w:rsidRPr="00F5179D">
        <w:rPr>
          <w:i/>
          <w:lang w:val="es-ES"/>
        </w:rPr>
        <w:tab/>
        <w:t>F</w:t>
      </w:r>
      <w:r w:rsidRPr="00F5179D">
        <w:rPr>
          <w:i/>
          <w:vertAlign w:val="subscript"/>
          <w:lang w:val="es-ES"/>
        </w:rPr>
        <w:t>D</w:t>
      </w:r>
      <w:r w:rsidRPr="00F5179D">
        <w:rPr>
          <w:lang w:val="es-ES"/>
        </w:rPr>
        <w:t> </w:t>
      </w:r>
      <w:r w:rsidRPr="00F5179D">
        <w:rPr>
          <w:lang w:val="es-ES"/>
        </w:rPr>
        <w:tab/>
      </w:r>
      <w:r>
        <w:rPr>
          <w:lang w:val="es-ES"/>
        </w:rPr>
        <w:t xml:space="preserve">es la luminancia </w:t>
      </w:r>
      <w:r w:rsidRPr="009C29F3">
        <w:rPr>
          <w:lang w:val="es-ES"/>
        </w:rPr>
        <w:t>de un componente lineal presentado</w:t>
      </w:r>
      <w:r>
        <w:rPr>
          <w:lang w:val="es-ES"/>
        </w:rPr>
        <w:t xml:space="preserve"> </w:t>
      </w:r>
      <w:r w:rsidRPr="00F5179D">
        <w:rPr>
          <w:lang w:val="es-ES"/>
        </w:rPr>
        <w:t>{</w:t>
      </w:r>
      <w:r w:rsidRPr="00F5179D">
        <w:rPr>
          <w:i/>
          <w:lang w:val="es-ES"/>
        </w:rPr>
        <w:t>R</w:t>
      </w:r>
      <w:r w:rsidRPr="00F5179D">
        <w:rPr>
          <w:i/>
          <w:vertAlign w:val="subscript"/>
          <w:lang w:val="es-ES"/>
        </w:rPr>
        <w:t>D</w:t>
      </w:r>
      <w:r w:rsidRPr="00F5179D">
        <w:rPr>
          <w:i/>
          <w:lang w:val="es-ES"/>
        </w:rPr>
        <w:t>, G</w:t>
      </w:r>
      <w:r w:rsidRPr="00F5179D">
        <w:rPr>
          <w:i/>
          <w:vertAlign w:val="subscript"/>
          <w:lang w:val="es-ES"/>
        </w:rPr>
        <w:t>D</w:t>
      </w:r>
      <w:r w:rsidRPr="00F5179D">
        <w:rPr>
          <w:i/>
          <w:lang w:val="es-ES"/>
        </w:rPr>
        <w:t>, B</w:t>
      </w:r>
      <w:r w:rsidRPr="00F5179D">
        <w:rPr>
          <w:i/>
          <w:vertAlign w:val="subscript"/>
          <w:lang w:val="es-ES"/>
        </w:rPr>
        <w:t>D</w:t>
      </w:r>
      <w:r w:rsidRPr="00F5179D">
        <w:rPr>
          <w:lang w:val="es-ES"/>
        </w:rPr>
        <w:t xml:space="preserve">} </w:t>
      </w:r>
      <w:r>
        <w:rPr>
          <w:lang w:val="es-ES"/>
        </w:rPr>
        <w:t>en</w:t>
      </w:r>
      <w:r w:rsidRPr="00F5179D">
        <w:rPr>
          <w:lang w:val="es-ES"/>
        </w:rPr>
        <w:t xml:space="preserve"> cd/m</w:t>
      </w:r>
      <w:r w:rsidRPr="00F5179D">
        <w:rPr>
          <w:vertAlign w:val="superscript"/>
          <w:lang w:val="es-ES"/>
        </w:rPr>
        <w:t>2</w:t>
      </w:r>
    </w:p>
    <w:p w:rsidR="00C202B3" w:rsidRPr="00F5179D" w:rsidRDefault="00C202B3" w:rsidP="00823495">
      <w:pPr>
        <w:pStyle w:val="Equationlegend"/>
        <w:rPr>
          <w:lang w:val="es-ES"/>
        </w:rPr>
      </w:pPr>
      <w:r w:rsidRPr="00F5179D">
        <w:rPr>
          <w:lang w:val="es-ES"/>
        </w:rPr>
        <w:tab/>
      </w:r>
      <w:r w:rsidRPr="00F5179D">
        <w:rPr>
          <w:position w:val="-6"/>
          <w:lang w:val="es-ES"/>
        </w:rPr>
        <w:object w:dxaOrig="200" w:dyaOrig="279">
          <v:shape id="_x0000_i1032" type="#_x0000_t75" style="width:8.65pt;height:12.65pt" o:ole="">
            <v:imagedata r:id="rId28" o:title=""/>
          </v:shape>
          <o:OLEObject Type="Embed" ProgID="Equation.3" ShapeID="_x0000_i1032" DrawAspect="Content" ObjectID="_1597823969" r:id="rId29"/>
        </w:object>
      </w:r>
      <w:r w:rsidRPr="00F5179D">
        <w:rPr>
          <w:lang w:val="es-ES"/>
        </w:rPr>
        <w:tab/>
      </w:r>
      <w:r>
        <w:rPr>
          <w:lang w:val="es-ES"/>
        </w:rPr>
        <w:t>es la</w:t>
      </w:r>
      <w:r w:rsidRPr="00F5179D">
        <w:rPr>
          <w:lang w:val="es-ES"/>
        </w:rPr>
        <w:t xml:space="preserve"> variable </w:t>
      </w:r>
      <w:r>
        <w:rPr>
          <w:lang w:val="es-ES"/>
        </w:rPr>
        <w:t>para</w:t>
      </w:r>
      <w:r w:rsidRPr="00F5179D">
        <w:rPr>
          <w:lang w:val="es-ES"/>
        </w:rPr>
        <w:t xml:space="preserve"> </w:t>
      </w:r>
      <w:r w:rsidRPr="009C29F3">
        <w:rPr>
          <w:lang w:val="es-ES"/>
        </w:rPr>
        <w:t xml:space="preserve">el control </w:t>
      </w:r>
      <w:r>
        <w:rPr>
          <w:lang w:val="es-ES"/>
        </w:rPr>
        <w:t xml:space="preserve">de usuario </w:t>
      </w:r>
      <w:r w:rsidRPr="009C29F3">
        <w:rPr>
          <w:lang w:val="es-ES"/>
        </w:rPr>
        <w:t>de elevación de negro</w:t>
      </w:r>
    </w:p>
    <w:p w:rsidR="00C202B3" w:rsidRPr="00F5179D" w:rsidRDefault="00C202B3" w:rsidP="00823495">
      <w:pPr>
        <w:pStyle w:val="Equationlegend"/>
        <w:rPr>
          <w:lang w:val="es-ES"/>
        </w:rPr>
      </w:pPr>
      <w:r w:rsidRPr="00F5179D">
        <w:rPr>
          <w:lang w:val="es-ES"/>
        </w:rPr>
        <w:tab/>
      </w:r>
      <w:r w:rsidRPr="00F5179D">
        <w:rPr>
          <w:position w:val="-12"/>
          <w:lang w:val="es-ES"/>
        </w:rPr>
        <w:object w:dxaOrig="2100" w:dyaOrig="380">
          <v:shape id="_x0000_i1033" type="#_x0000_t75" style="width:115.2pt;height:19.6pt" o:ole="">
            <v:imagedata r:id="rId30" o:title=""/>
          </v:shape>
          <o:OLEObject Type="Embed" ProgID="Equation.3" ShapeID="_x0000_i1033" DrawAspect="Content" ObjectID="_1597823970" r:id="rId31"/>
        </w:object>
      </w:r>
      <w:r w:rsidRPr="00F5179D">
        <w:rPr>
          <w:lang w:val="es-ES"/>
        </w:rPr>
        <w:t xml:space="preserve"> </w:t>
      </w:r>
      <w:r>
        <w:rPr>
          <w:lang w:val="es-ES"/>
        </w:rPr>
        <w:t xml:space="preserve">es una ganancia para mantener la luminancia de cresta de la pantalla </w:t>
      </w:r>
      <w:r w:rsidRPr="00F5179D">
        <w:rPr>
          <w:i/>
          <w:lang w:val="es-ES"/>
        </w:rPr>
        <w:t>L</w:t>
      </w:r>
      <w:r w:rsidRPr="00F5179D">
        <w:rPr>
          <w:i/>
          <w:vertAlign w:val="subscript"/>
          <w:lang w:val="es-ES"/>
        </w:rPr>
        <w:t xml:space="preserve">w </w:t>
      </w:r>
      <w:r>
        <w:rPr>
          <w:lang w:val="es-ES"/>
        </w:rPr>
        <w:t>cuando se cambia</w:t>
      </w:r>
      <w:r w:rsidRPr="00F5179D">
        <w:rPr>
          <w:lang w:val="es-ES"/>
        </w:rPr>
        <w:t xml:space="preserve"> </w:t>
      </w:r>
      <w:r w:rsidRPr="00F5179D">
        <w:rPr>
          <w:position w:val="-6"/>
          <w:lang w:val="es-ES"/>
        </w:rPr>
        <w:object w:dxaOrig="200" w:dyaOrig="279">
          <v:shape id="_x0000_i1034" type="#_x0000_t75" style="width:8.65pt;height:12.65pt" o:ole="">
            <v:imagedata r:id="rId32" o:title=""/>
          </v:shape>
          <o:OLEObject Type="Embed" ProgID="Equation.3" ShapeID="_x0000_i1034" DrawAspect="Content" ObjectID="_1597823971" r:id="rId33"/>
        </w:object>
      </w:r>
    </w:p>
    <w:p w:rsidR="00C202B3" w:rsidRPr="00F5179D" w:rsidRDefault="00C202B3" w:rsidP="00823495">
      <w:pPr>
        <w:pStyle w:val="Equationlegend"/>
        <w:rPr>
          <w:lang w:val="es-ES"/>
        </w:rPr>
      </w:pPr>
      <w:r w:rsidRPr="00F5179D">
        <w:rPr>
          <w:i/>
          <w:lang w:val="es-ES"/>
        </w:rPr>
        <w:tab/>
        <w:t>L</w:t>
      </w:r>
      <w:r w:rsidRPr="00F5179D">
        <w:rPr>
          <w:i/>
          <w:vertAlign w:val="subscript"/>
          <w:lang w:val="es-ES"/>
        </w:rPr>
        <w:t>w</w:t>
      </w:r>
      <w:r w:rsidRPr="00F5179D">
        <w:rPr>
          <w:vertAlign w:val="subscript"/>
          <w:lang w:val="es-ES"/>
        </w:rPr>
        <w:t xml:space="preserve"> </w:t>
      </w:r>
      <w:r w:rsidRPr="00F5179D">
        <w:rPr>
          <w:vertAlign w:val="subscript"/>
          <w:lang w:val="es-ES"/>
        </w:rPr>
        <w:tab/>
      </w:r>
      <w:r>
        <w:rPr>
          <w:lang w:val="es-ES"/>
        </w:rPr>
        <w:t>es</w:t>
      </w:r>
      <w:r w:rsidRPr="002A4490">
        <w:rPr>
          <w:lang w:val="es-ES"/>
        </w:rPr>
        <w:t xml:space="preserve"> la luminancia de cresta de la pantalla</w:t>
      </w:r>
      <w:r w:rsidRPr="00F5179D">
        <w:rPr>
          <w:lang w:val="es-ES"/>
        </w:rPr>
        <w:t>, a</w:t>
      </w:r>
      <w:r>
        <w:rPr>
          <w:lang w:val="es-ES"/>
        </w:rPr>
        <w:t>justada por medio del control de ganancia del usuario</w:t>
      </w:r>
      <w:r w:rsidRPr="00F5179D">
        <w:rPr>
          <w:lang w:val="es-ES"/>
        </w:rPr>
        <w:t>.</w:t>
      </w:r>
    </w:p>
    <w:p w:rsidR="00C202B3" w:rsidRPr="00F5179D" w:rsidRDefault="00C202B3" w:rsidP="00C202B3">
      <w:pPr>
        <w:rPr>
          <w:lang w:val="es-ES"/>
        </w:rPr>
      </w:pPr>
    </w:p>
    <w:p w:rsidR="00C202B3" w:rsidRPr="00F5179D" w:rsidRDefault="00C202B3" w:rsidP="00C202B3">
      <w:pPr>
        <w:rPr>
          <w:lang w:val="es-ES"/>
        </w:rPr>
      </w:pPr>
    </w:p>
    <w:p w:rsidR="00C202B3" w:rsidRPr="00F5179D" w:rsidRDefault="00C202B3" w:rsidP="00C202B3">
      <w:pPr>
        <w:pStyle w:val="AnnexNoTitle"/>
        <w:rPr>
          <w:lang w:val="es-ES"/>
        </w:rPr>
      </w:pPr>
      <w:r w:rsidRPr="00F5179D">
        <w:rPr>
          <w:lang w:val="es-ES"/>
        </w:rPr>
        <w:t>Anex</w:t>
      </w:r>
      <w:r>
        <w:rPr>
          <w:lang w:val="es-ES"/>
        </w:rPr>
        <w:t>o</w:t>
      </w:r>
      <w:r w:rsidRPr="00F5179D">
        <w:rPr>
          <w:lang w:val="es-ES"/>
        </w:rPr>
        <w:t xml:space="preserve"> 5 (Informativ</w:t>
      </w:r>
      <w:r>
        <w:rPr>
          <w:lang w:val="es-ES"/>
        </w:rPr>
        <w:t>o</w:t>
      </w:r>
      <w:r w:rsidRPr="00F5179D">
        <w:rPr>
          <w:lang w:val="es-ES"/>
        </w:rPr>
        <w:t>)</w:t>
      </w:r>
      <w:r w:rsidRPr="00F5179D">
        <w:rPr>
          <w:lang w:val="es-ES"/>
        </w:rPr>
        <w:br/>
      </w:r>
      <w:r w:rsidRPr="00F5179D">
        <w:rPr>
          <w:lang w:val="es-ES"/>
        </w:rPr>
        <w:br/>
      </w:r>
      <w:r>
        <w:rPr>
          <w:lang w:val="es-ES"/>
        </w:rPr>
        <w:t xml:space="preserve">Ajuste del valor gamma de pantalla HLG en un entorno </w:t>
      </w:r>
      <w:r>
        <w:rPr>
          <w:lang w:val="es-ES"/>
        </w:rPr>
        <w:br/>
        <w:t xml:space="preserve">de observación distinto del de referencia </w:t>
      </w:r>
    </w:p>
    <w:p w:rsidR="00C202B3" w:rsidRPr="00F5179D" w:rsidRDefault="00C202B3" w:rsidP="00C202B3">
      <w:pPr>
        <w:pStyle w:val="Normalaftertitle"/>
        <w:rPr>
          <w:lang w:val="es-ES"/>
        </w:rPr>
      </w:pPr>
      <w:r>
        <w:rPr>
          <w:lang w:val="es-ES"/>
        </w:rPr>
        <w:t xml:space="preserve">En la </w:t>
      </w:r>
      <w:r w:rsidRPr="00F5179D">
        <w:rPr>
          <w:lang w:val="es-ES"/>
        </w:rPr>
        <w:t>Not</w:t>
      </w:r>
      <w:r>
        <w:rPr>
          <w:lang w:val="es-ES"/>
        </w:rPr>
        <w:t>a</w:t>
      </w:r>
      <w:r w:rsidRPr="00F5179D">
        <w:rPr>
          <w:lang w:val="es-ES"/>
        </w:rPr>
        <w:t xml:space="preserve"> 5f </w:t>
      </w:r>
      <w:r>
        <w:rPr>
          <w:lang w:val="es-ES"/>
        </w:rPr>
        <w:t>de la Recomendación UIT-R</w:t>
      </w:r>
      <w:r w:rsidRPr="00F5179D">
        <w:rPr>
          <w:lang w:val="es-ES"/>
        </w:rPr>
        <w:t xml:space="preserve"> BT.2100 </w:t>
      </w:r>
      <w:r>
        <w:rPr>
          <w:lang w:val="es-ES"/>
        </w:rPr>
        <w:t>se reconoce que puede ser necesario reducir el valor gamma de la pantalla HLG en entornos de observación más luminosos, para compensar las diferencias en el estado de adaptación del ojo. Puede utilizarse la siguiente ecuación para determinar la manera en que puede ajustarse el valor gamma de la pantalla en entornos de observación distintos de los de referencia:</w:t>
      </w:r>
    </w:p>
    <w:p w:rsidR="00C202B3" w:rsidRPr="00F5179D" w:rsidRDefault="00476917" w:rsidP="00C202B3">
      <w:pPr>
        <w:pStyle w:val="Equation"/>
        <w:rPr>
          <w:lang w:val="es-ES"/>
        </w:rPr>
      </w:pPr>
      <m:oMathPara>
        <m:oMath>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bright</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ref</m:t>
              </m:r>
            </m:sub>
          </m:sSub>
          <m:r>
            <m:rPr>
              <m:sty m:val="p"/>
            </m:rPr>
            <w:rPr>
              <w:rFonts w:ascii="Cambria Math" w:hAnsi="Cambria Math"/>
              <w:lang w:val="es-ES"/>
            </w:rPr>
            <m:t>-0,076</m:t>
          </m:r>
          <m:func>
            <m:funcPr>
              <m:ctrlPr>
                <w:rPr>
                  <w:rFonts w:ascii="Cambria Math" w:hAnsi="Cambria Math"/>
                  <w:lang w:val="es-ES"/>
                </w:rPr>
              </m:ctrlPr>
            </m:funcPr>
            <m:fName>
              <m:sSub>
                <m:sSubPr>
                  <m:ctrlPr>
                    <w:rPr>
                      <w:rFonts w:ascii="Cambria Math" w:hAnsi="Cambria Math"/>
                      <w:lang w:val="es-ES"/>
                    </w:rPr>
                  </m:ctrlPr>
                </m:sSubPr>
                <m:e>
                  <m:r>
                    <m:rPr>
                      <m:sty m:val="p"/>
                    </m:rPr>
                    <w:rPr>
                      <w:rFonts w:ascii="Cambria Math" w:hAnsi="Cambria Math"/>
                      <w:lang w:val="es-ES"/>
                    </w:rPr>
                    <m:t>log</m:t>
                  </m:r>
                </m:e>
                <m:sub>
                  <m:r>
                    <m:rPr>
                      <m:sty m:val="p"/>
                    </m:rPr>
                    <w:rPr>
                      <w:rFonts w:ascii="Cambria Math" w:hAnsi="Cambria Math"/>
                      <w:lang w:val="es-ES"/>
                    </w:rPr>
                    <m:t>10</m:t>
                  </m:r>
                </m:sub>
              </m:sSub>
            </m:fName>
            <m:e>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amb</m:t>
                      </m:r>
                    </m:sub>
                  </m:sSub>
                </m:num>
                <m:den>
                  <m:r>
                    <m:rPr>
                      <m:sty m:val="p"/>
                    </m:rPr>
                    <w:rPr>
                      <w:rFonts w:ascii="Cambria Math" w:hAnsi="Cambria Math"/>
                      <w:lang w:val="es-ES"/>
                    </w:rPr>
                    <m:t>5</m:t>
                  </m:r>
                </m:den>
              </m:f>
              <m:r>
                <m:rPr>
                  <m:sty m:val="p"/>
                </m:rPr>
                <w:rPr>
                  <w:rFonts w:ascii="Cambria Math" w:hAnsi="Cambria Math"/>
                  <w:lang w:val="es-ES"/>
                </w:rPr>
                <m:t>)</m:t>
              </m:r>
            </m:e>
          </m:func>
        </m:oMath>
      </m:oMathPara>
    </w:p>
    <w:p w:rsidR="00C202B3" w:rsidRPr="00F5179D" w:rsidRDefault="00C202B3" w:rsidP="00C202B3">
      <w:pPr>
        <w:rPr>
          <w:lang w:val="es-ES"/>
        </w:rPr>
      </w:pPr>
      <w:r>
        <w:rPr>
          <w:lang w:val="es-ES"/>
        </w:rPr>
        <w:t>donde</w:t>
      </w:r>
      <w:r w:rsidRPr="00F5179D">
        <w:rPr>
          <w:lang w:val="es-ES"/>
        </w:rPr>
        <w:t>:</w:t>
      </w:r>
    </w:p>
    <w:p w:rsidR="00C202B3" w:rsidRPr="00C202B3" w:rsidRDefault="00C202B3" w:rsidP="00C202B3">
      <w:pPr>
        <w:pStyle w:val="Equationlegend"/>
        <w:rPr>
          <w:lang w:val="es-ES_tradnl"/>
        </w:rPr>
      </w:pPr>
      <w:r w:rsidRPr="00C202B3">
        <w:rPr>
          <w:lang w:val="es-ES_tradnl"/>
        </w:rPr>
        <w:tab/>
      </w:r>
      <w:r w:rsidRPr="00F5179D">
        <w:t>γ</w:t>
      </w:r>
      <w:r w:rsidRPr="00C202B3">
        <w:rPr>
          <w:vertAlign w:val="subscript"/>
          <w:lang w:val="es-ES_tradnl"/>
        </w:rPr>
        <w:t xml:space="preserve">bright </w:t>
      </w:r>
      <w:r w:rsidRPr="00C202B3">
        <w:rPr>
          <w:lang w:val="es-ES_tradnl"/>
        </w:rPr>
        <w:t>=</w:t>
      </w:r>
      <w:r w:rsidRPr="00C202B3">
        <w:rPr>
          <w:lang w:val="es-ES_tradnl"/>
        </w:rPr>
        <w:tab/>
        <w:t>valor gamma de sistema para entornos de pantalla mayores que 5 cd/m</w:t>
      </w:r>
      <w:r w:rsidRPr="00C202B3">
        <w:rPr>
          <w:vertAlign w:val="superscript"/>
          <w:lang w:val="es-ES_tradnl"/>
        </w:rPr>
        <w:t>2</w:t>
      </w:r>
    </w:p>
    <w:p w:rsidR="00C202B3" w:rsidRPr="00C202B3" w:rsidRDefault="00C202B3" w:rsidP="00C202B3">
      <w:pPr>
        <w:pStyle w:val="Equationlegend"/>
        <w:rPr>
          <w:lang w:val="es-ES_tradnl"/>
        </w:rPr>
      </w:pPr>
      <w:r w:rsidRPr="00C202B3">
        <w:rPr>
          <w:lang w:val="es-ES_tradnl"/>
        </w:rPr>
        <w:tab/>
      </w:r>
      <w:r w:rsidRPr="00F5179D">
        <w:t>γ</w:t>
      </w:r>
      <w:r w:rsidRPr="00C202B3">
        <w:rPr>
          <w:vertAlign w:val="subscript"/>
          <w:lang w:val="es-ES_tradnl"/>
        </w:rPr>
        <w:t xml:space="preserve">ref </w:t>
      </w:r>
      <w:r w:rsidRPr="00C202B3">
        <w:rPr>
          <w:lang w:val="es-ES_tradnl"/>
        </w:rPr>
        <w:t>=</w:t>
      </w:r>
      <w:r w:rsidRPr="00C202B3">
        <w:rPr>
          <w:lang w:val="es-ES_tradnl"/>
        </w:rPr>
        <w:tab/>
        <w:t xml:space="preserve">valor gamma de sistema para el entorno de referencia, calculada con arreglo a la Nota 5e de la Recomendación UIT-R BT.2100-1 </w:t>
      </w:r>
    </w:p>
    <w:p w:rsidR="00C202B3" w:rsidRPr="00C202B3" w:rsidRDefault="00C202B3" w:rsidP="00C202B3">
      <w:pPr>
        <w:pStyle w:val="Equationlegend"/>
        <w:rPr>
          <w:lang w:val="es-ES_tradnl"/>
        </w:rPr>
      </w:pPr>
      <w:r w:rsidRPr="00C202B3">
        <w:rPr>
          <w:i/>
          <w:iCs/>
          <w:lang w:val="es-ES_tradnl"/>
        </w:rPr>
        <w:tab/>
        <w:t>L</w:t>
      </w:r>
      <w:r w:rsidRPr="00C202B3">
        <w:rPr>
          <w:i/>
          <w:iCs/>
          <w:vertAlign w:val="subscript"/>
          <w:lang w:val="es-ES_tradnl"/>
        </w:rPr>
        <w:t>amb</w:t>
      </w:r>
      <w:r w:rsidRPr="00C202B3">
        <w:rPr>
          <w:lang w:val="es-ES_tradnl"/>
        </w:rPr>
        <w:t xml:space="preserve"> =</w:t>
      </w:r>
      <w:r w:rsidRPr="00C202B3">
        <w:rPr>
          <w:lang w:val="es-ES_tradnl"/>
        </w:rPr>
        <w:tab/>
        <w:t>nivel de luminancia ambiental en cd/m</w:t>
      </w:r>
      <w:r w:rsidRPr="00C202B3">
        <w:rPr>
          <w:vertAlign w:val="superscript"/>
          <w:lang w:val="es-ES_tradnl"/>
        </w:rPr>
        <w:t>2</w:t>
      </w:r>
      <w:r w:rsidRPr="00C202B3">
        <w:rPr>
          <w:lang w:val="es-ES_tradnl"/>
        </w:rPr>
        <w:t>.</w:t>
      </w:r>
    </w:p>
    <w:p w:rsidR="00C202B3" w:rsidRPr="00F5179D" w:rsidRDefault="00C202B3" w:rsidP="00C202B3">
      <w:pPr>
        <w:tabs>
          <w:tab w:val="right" w:pos="1871"/>
          <w:tab w:val="left" w:pos="2041"/>
        </w:tabs>
        <w:rPr>
          <w:lang w:val="es-ES"/>
        </w:rPr>
      </w:pPr>
      <w:r>
        <w:rPr>
          <w:lang w:val="es-ES"/>
        </w:rPr>
        <w:t>Al ajustar el valor gamma de pantalla para compensar los entornos de observación distintos de los de referencia de esta manera, pueden lograrse resultados más coherentes en una amplia gama de entornos de producción.</w:t>
      </w:r>
    </w:p>
    <w:p w:rsidR="00C202B3" w:rsidRPr="00F042BB" w:rsidRDefault="00C202B3" w:rsidP="00C202B3">
      <w:pPr>
        <w:pStyle w:val="Reasons"/>
        <w:rPr>
          <w:lang w:val="es-ES"/>
        </w:rPr>
      </w:pPr>
    </w:p>
    <w:p w:rsidR="00F77F28" w:rsidRPr="00C202B3" w:rsidRDefault="00C202B3" w:rsidP="00C202B3">
      <w:pPr>
        <w:jc w:val="center"/>
      </w:pPr>
      <w:r>
        <w:t>______________</w:t>
      </w:r>
      <w:bookmarkStart w:id="4" w:name="_GoBack"/>
      <w:bookmarkEnd w:id="4"/>
    </w:p>
    <w:sectPr w:rsidR="00F77F28" w:rsidRPr="00C202B3" w:rsidSect="00344123">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59E" w:rsidRDefault="004C359E">
      <w:r>
        <w:separator/>
      </w:r>
    </w:p>
  </w:endnote>
  <w:endnote w:type="continuationSeparator" w:id="0">
    <w:p w:rsidR="004C359E" w:rsidRDefault="004C3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59E" w:rsidRDefault="004C359E">
      <w:r>
        <w:separator/>
      </w:r>
    </w:p>
  </w:footnote>
  <w:footnote w:type="continuationSeparator" w:id="0">
    <w:p w:rsidR="004C359E" w:rsidRDefault="004C359E">
      <w:r>
        <w:continuationSeparator/>
      </w:r>
    </w:p>
  </w:footnote>
  <w:footnote w:id="1">
    <w:p w:rsidR="004C359E" w:rsidRPr="005E31D0" w:rsidRDefault="004C359E" w:rsidP="00C202B3">
      <w:pPr>
        <w:pStyle w:val="FootnoteText"/>
        <w:rPr>
          <w:lang w:val="es-ES"/>
        </w:rPr>
      </w:pPr>
      <w:r>
        <w:rPr>
          <w:rStyle w:val="FootnoteReference"/>
        </w:rPr>
        <w:footnoteRef/>
      </w:r>
      <w:r w:rsidRPr="002A2DEF">
        <w:rPr>
          <w:lang w:val="es-ES_tradnl"/>
        </w:rPr>
        <w:tab/>
        <w:t>Recomendación</w:t>
      </w:r>
      <w:r w:rsidRPr="00A45320">
        <w:rPr>
          <w:lang w:val="es-ES_tradnl"/>
        </w:rPr>
        <w:t xml:space="preserve"> </w:t>
      </w:r>
      <w:r w:rsidRPr="002A2DEF">
        <w:rPr>
          <w:lang w:val="es-ES_tradnl"/>
        </w:rPr>
        <w:t>UIT-R BT.1700</w:t>
      </w:r>
      <w:r w:rsidRPr="002A2DEF">
        <w:rPr>
          <w:sz w:val="20"/>
          <w:lang w:val="es-ES_tradnl"/>
        </w:rPr>
        <w:t xml:space="preserve"> – </w:t>
      </w:r>
      <w:r w:rsidRPr="00095A30">
        <w:rPr>
          <w:i/>
          <w:iCs/>
          <w:lang w:val="es-ES"/>
        </w:rPr>
        <w:t>Características de las señales de vídeo compuestas para los sistemas de televisión analógica convencional</w:t>
      </w:r>
      <w:r>
        <w:rPr>
          <w:lang w:val="es-ES"/>
        </w:rPr>
        <w:t>.</w:t>
      </w:r>
    </w:p>
  </w:footnote>
  <w:footnote w:id="2">
    <w:p w:rsidR="004C359E" w:rsidRPr="002A2DEF" w:rsidRDefault="004C359E" w:rsidP="00C202B3">
      <w:pPr>
        <w:pStyle w:val="FootnoteText"/>
        <w:rPr>
          <w:lang w:val="es-ES_tradnl"/>
        </w:rPr>
      </w:pPr>
      <w:r>
        <w:rPr>
          <w:rStyle w:val="FootnoteReference"/>
        </w:rPr>
        <w:footnoteRef/>
      </w:r>
      <w:r w:rsidRPr="002A2DEF">
        <w:rPr>
          <w:lang w:val="es-ES_tradnl"/>
        </w:rPr>
        <w:tab/>
        <w:t xml:space="preserve">Recomendación UIT-R BT.601 – </w:t>
      </w:r>
      <w:r w:rsidRPr="00095A30">
        <w:rPr>
          <w:i/>
          <w:iCs/>
          <w:lang w:val="es-ES_tradnl"/>
        </w:rPr>
        <w:t>Parámetros de codificación de televisión digital para estudios con formatos de imagen normal 4:3 y de pantalla ancha 16:9</w:t>
      </w:r>
      <w:r>
        <w:rPr>
          <w:lang w:val="es-ES_tradnl"/>
        </w:rPr>
        <w:t>.</w:t>
      </w:r>
    </w:p>
  </w:footnote>
  <w:footnote w:id="3">
    <w:p w:rsidR="004C359E" w:rsidRPr="005E31D0" w:rsidRDefault="004C359E" w:rsidP="00C202B3">
      <w:pPr>
        <w:pStyle w:val="FootnoteText"/>
        <w:rPr>
          <w:lang w:val="es-ES"/>
        </w:rPr>
      </w:pPr>
      <w:r>
        <w:rPr>
          <w:rStyle w:val="FootnoteReference"/>
        </w:rPr>
        <w:footnoteRef/>
      </w:r>
      <w:r w:rsidRPr="002A2DEF">
        <w:rPr>
          <w:lang w:val="es-ES_tradnl"/>
        </w:rPr>
        <w:tab/>
        <w:t>Recomendación</w:t>
      </w:r>
      <w:r w:rsidRPr="00A45320">
        <w:rPr>
          <w:lang w:val="es-ES_tradnl"/>
        </w:rPr>
        <w:t xml:space="preserve"> </w:t>
      </w:r>
      <w:r w:rsidRPr="002A2DEF">
        <w:rPr>
          <w:lang w:val="es-ES_tradnl"/>
        </w:rPr>
        <w:t>UIT-R BT.</w:t>
      </w:r>
      <w:r>
        <w:rPr>
          <w:lang w:val="es-ES_tradnl"/>
        </w:rPr>
        <w:t>709</w:t>
      </w:r>
      <w:r w:rsidRPr="002A2DEF">
        <w:rPr>
          <w:sz w:val="20"/>
          <w:lang w:val="es-ES_tradnl"/>
        </w:rPr>
        <w:t xml:space="preserve"> – </w:t>
      </w:r>
      <w:r w:rsidRPr="00095A30">
        <w:rPr>
          <w:i/>
          <w:iCs/>
          <w:lang w:val="es-ES"/>
        </w:rPr>
        <w:t>Valores de los parámetros de la norma de TVAD para la producción y el intercambio internacional de programas</w:t>
      </w:r>
      <w:r>
        <w:rPr>
          <w:lang w:val="es-ES"/>
        </w:rPr>
        <w:t>.</w:t>
      </w:r>
    </w:p>
  </w:footnote>
  <w:footnote w:id="4">
    <w:p w:rsidR="004C359E" w:rsidRPr="00095A30" w:rsidRDefault="004C359E" w:rsidP="00C202B3">
      <w:pPr>
        <w:pStyle w:val="FootnoteText"/>
        <w:rPr>
          <w:lang w:val="es-ES"/>
        </w:rPr>
      </w:pPr>
      <w:r>
        <w:rPr>
          <w:rStyle w:val="FootnoteReference"/>
        </w:rPr>
        <w:footnoteRef/>
      </w:r>
      <w:r>
        <w:rPr>
          <w:lang w:val="es-ES"/>
        </w:rPr>
        <w:tab/>
      </w:r>
      <w:r w:rsidRPr="002A2DEF">
        <w:rPr>
          <w:lang w:val="es-ES_tradnl"/>
        </w:rPr>
        <w:t>Recomendación</w:t>
      </w:r>
      <w:r w:rsidRPr="00A45320">
        <w:rPr>
          <w:lang w:val="es-ES_tradnl"/>
        </w:rPr>
        <w:t xml:space="preserve"> </w:t>
      </w:r>
      <w:r w:rsidRPr="002A2DEF">
        <w:rPr>
          <w:lang w:val="es-ES_tradnl"/>
        </w:rPr>
        <w:t>UIT-R BT.</w:t>
      </w:r>
      <w:r>
        <w:rPr>
          <w:lang w:val="es-ES_tradnl"/>
        </w:rPr>
        <w:t>2020</w:t>
      </w:r>
      <w:r w:rsidRPr="002A2DEF">
        <w:rPr>
          <w:sz w:val="20"/>
          <w:lang w:val="es-ES_tradnl"/>
        </w:rPr>
        <w:t xml:space="preserve"> –</w:t>
      </w:r>
      <w:r>
        <w:rPr>
          <w:sz w:val="20"/>
          <w:lang w:val="es-ES_tradnl"/>
        </w:rPr>
        <w:t xml:space="preserve"> </w:t>
      </w:r>
      <w:r w:rsidRPr="00095A30">
        <w:rPr>
          <w:i/>
          <w:iCs/>
          <w:lang w:val="es-ES"/>
        </w:rPr>
        <w:t>Valores de los parámetros de los sistemas de TVEAD para la producción y el intercambio internacional de programas</w:t>
      </w:r>
      <w:r>
        <w:rPr>
          <w:lang w:val="es-ES"/>
        </w:rPr>
        <w:t>.</w:t>
      </w:r>
    </w:p>
  </w:footnote>
  <w:footnote w:id="5">
    <w:p w:rsidR="004C359E" w:rsidRPr="00F042BB" w:rsidRDefault="004C359E" w:rsidP="00C202B3">
      <w:pPr>
        <w:pStyle w:val="FootnoteText"/>
        <w:rPr>
          <w:lang w:val="es-ES"/>
        </w:rPr>
      </w:pPr>
      <w:r>
        <w:rPr>
          <w:rStyle w:val="FootnoteReference"/>
        </w:rPr>
        <w:footnoteRef/>
      </w:r>
      <w:r w:rsidRPr="00F042BB">
        <w:rPr>
          <w:lang w:val="es-ES"/>
        </w:rPr>
        <w:tab/>
        <w:t xml:space="preserve">Recomendación UIT-R BT.2100 – </w:t>
      </w:r>
      <w:r w:rsidRPr="00F042BB">
        <w:rPr>
          <w:i/>
          <w:iCs/>
          <w:lang w:val="es-ES"/>
        </w:rPr>
        <w:t>Valores de los parámetros de imagen de los sistemas de televisión de elevada gama dinámica para la producción y el intercambio internacional de programas</w:t>
      </w:r>
      <w:r w:rsidRPr="00F042BB">
        <w:rPr>
          <w:lang w:val="es-ES"/>
        </w:rPr>
        <w:t>.</w:t>
      </w:r>
    </w:p>
  </w:footnote>
  <w:footnote w:id="6">
    <w:p w:rsidR="004C359E" w:rsidRPr="009D6B63" w:rsidRDefault="004C359E" w:rsidP="00C202B3">
      <w:pPr>
        <w:pStyle w:val="FootnoteText"/>
        <w:rPr>
          <w:lang w:val="es-ES"/>
        </w:rPr>
      </w:pPr>
      <w:r>
        <w:rPr>
          <w:rStyle w:val="FootnoteReference"/>
        </w:rPr>
        <w:footnoteRef/>
      </w:r>
      <w:r>
        <w:rPr>
          <w:lang w:val="es-ES"/>
        </w:rPr>
        <w:tab/>
        <w:t>Los números de muestras y líneas son los recogidos en la Recomendación UIT-R BT.709 para TVAD, y en la Recomendación UIT-R BT.2020 para TVUAD.</w:t>
      </w:r>
    </w:p>
  </w:footnote>
  <w:footnote w:id="7">
    <w:p w:rsidR="004C359E" w:rsidRPr="007C429A" w:rsidRDefault="004C359E" w:rsidP="00C202B3">
      <w:pPr>
        <w:pStyle w:val="FootnoteText"/>
        <w:rPr>
          <w:lang w:val="es-ES"/>
        </w:rPr>
      </w:pPr>
      <w:r w:rsidRPr="007C429A">
        <w:rPr>
          <w:rStyle w:val="FootnoteReference"/>
          <w:lang w:val="es-ES"/>
        </w:rPr>
        <w:footnoteRef/>
      </w:r>
      <w:r w:rsidRPr="007C429A">
        <w:rPr>
          <w:lang w:val="es-ES"/>
        </w:rPr>
        <w:tab/>
        <w:t>El PQ EOTF se especifica en la Recomendación UIT-R BT.2100.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9E" w:rsidRDefault="004C359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9E" w:rsidRDefault="004C359E" w:rsidP="009E1F8B">
    <w:pPr>
      <w:pStyle w:val="Header"/>
      <w:ind w:right="360" w:firstLine="360"/>
    </w:pPr>
    <w:r>
      <w:rPr>
        <w:noProof/>
        <w:lang w:val="en-GB" w:eastAsia="en-GB"/>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9E" w:rsidRDefault="004C359E"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76917">
      <w:rPr>
        <w:rStyle w:val="PageNumber"/>
        <w:b/>
        <w:bCs/>
        <w:noProof/>
      </w:rPr>
      <w:t>ii</w:t>
    </w:r>
    <w:r>
      <w:rPr>
        <w:rStyle w:val="PageNumber"/>
        <w:b/>
        <w:bCs/>
      </w:rPr>
      <w:fldChar w:fldCharType="end"/>
    </w:r>
    <w:r>
      <w:tab/>
    </w:r>
    <w:r w:rsidR="00476917">
      <w:rPr>
        <w:b/>
        <w:bCs/>
      </w:rPr>
      <w:fldChar w:fldCharType="begin"/>
    </w:r>
    <w:r w:rsidR="00476917">
      <w:rPr>
        <w:b/>
        <w:bCs/>
      </w:rPr>
      <w:instrText xml:space="preserve"> DOCPROPERTY "Header" \* MERGEFORMAT </w:instrText>
    </w:r>
    <w:r w:rsidR="00476917">
      <w:rPr>
        <w:b/>
        <w:bCs/>
      </w:rPr>
      <w:fldChar w:fldCharType="separate"/>
    </w:r>
    <w:r w:rsidR="00C81D0D" w:rsidRPr="00C81D0D">
      <w:rPr>
        <w:b/>
        <w:bCs/>
      </w:rPr>
      <w:t xml:space="preserve">Rec. </w:t>
    </w:r>
    <w:r w:rsidR="00476917">
      <w:rPr>
        <w:b/>
        <w:bCs/>
      </w:rPr>
      <w:fldChar w:fldCharType="end"/>
    </w:r>
    <w:r>
      <w:rPr>
        <w:b/>
        <w:bCs/>
      </w:rPr>
      <w:t xml:space="preserve"> </w:t>
    </w:r>
    <w:r>
      <w:rPr>
        <w:b/>
        <w:bCs/>
      </w:rPr>
      <w:fldChar w:fldCharType="begin"/>
    </w:r>
    <w:r>
      <w:rPr>
        <w:b/>
        <w:bCs/>
      </w:rPr>
      <w:instrText>styleref href</w:instrText>
    </w:r>
    <w:r>
      <w:rPr>
        <w:b/>
        <w:bCs/>
      </w:rPr>
      <w:fldChar w:fldCharType="separate"/>
    </w:r>
    <w:r w:rsidR="00476917">
      <w:rPr>
        <w:b/>
        <w:bCs/>
        <w:noProof/>
      </w:rPr>
      <w:t>UIT-R  BT.814-3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9E" w:rsidRDefault="004C359E">
    <w:pPr>
      <w:pStyle w:val="Header"/>
    </w:pPr>
    <w:r>
      <w:tab/>
    </w:r>
    <w:r w:rsidR="00476917">
      <w:rPr>
        <w:b/>
        <w:bCs/>
      </w:rPr>
      <w:fldChar w:fldCharType="begin"/>
    </w:r>
    <w:r w:rsidR="00476917">
      <w:rPr>
        <w:b/>
        <w:bCs/>
      </w:rPr>
      <w:instrText xml:space="preserve"> DOCPROPERTY "Header" \* MERGEFORMAT </w:instrText>
    </w:r>
    <w:r w:rsidR="00476917">
      <w:rPr>
        <w:b/>
        <w:bCs/>
      </w:rPr>
      <w:fldChar w:fldCharType="separate"/>
    </w:r>
    <w:r w:rsidR="00C81D0D" w:rsidRPr="00C81D0D">
      <w:rPr>
        <w:b/>
        <w:bCs/>
      </w:rPr>
      <w:t xml:space="preserve">Rec. </w:t>
    </w:r>
    <w:r w:rsidR="00476917">
      <w:rPr>
        <w:b/>
        <w:bCs/>
      </w:rPr>
      <w:fldChar w:fldCharType="end"/>
    </w:r>
    <w:r>
      <w:rPr>
        <w:b/>
        <w:bCs/>
      </w:rPr>
      <w:t xml:space="preserve"> </w:t>
    </w:r>
    <w:r>
      <w:rPr>
        <w:b/>
        <w:bCs/>
      </w:rPr>
      <w:fldChar w:fldCharType="begin"/>
    </w:r>
    <w:r>
      <w:rPr>
        <w:b/>
        <w:bCs/>
      </w:rPr>
      <w:instrText>styleref href</w:instrText>
    </w:r>
    <w:r>
      <w:rPr>
        <w:b/>
        <w:bCs/>
      </w:rPr>
      <w:fldChar w:fldCharType="separate"/>
    </w:r>
    <w:r w:rsidR="00C81D0D">
      <w:rPr>
        <w:b/>
        <w:bCs/>
        <w:noProof/>
      </w:rPr>
      <w:t>UIT-R  BT.814-3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9E" w:rsidRDefault="004C35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6917">
      <w:rPr>
        <w:rStyle w:val="PageNumber"/>
        <w:b/>
        <w:bCs/>
        <w:noProof/>
        <w:lang w:val="en-US"/>
      </w:rPr>
      <w:t>10</w:t>
    </w:r>
    <w:r>
      <w:rPr>
        <w:rStyle w:val="PageNumber"/>
        <w:b/>
        <w:bCs/>
      </w:rPr>
      <w:fldChar w:fldCharType="end"/>
    </w:r>
    <w:r>
      <w:rPr>
        <w:lang w:val="en-US"/>
      </w:rPr>
      <w:tab/>
    </w:r>
    <w:r w:rsidR="00476917">
      <w:rPr>
        <w:b/>
        <w:bCs/>
        <w:lang w:val="en-US"/>
      </w:rPr>
      <w:fldChar w:fldCharType="begin"/>
    </w:r>
    <w:r w:rsidR="00476917">
      <w:rPr>
        <w:b/>
        <w:bCs/>
        <w:lang w:val="en-US"/>
      </w:rPr>
      <w:instrText xml:space="preserve"> DOCPROPER</w:instrText>
    </w:r>
    <w:r w:rsidR="00476917">
      <w:rPr>
        <w:b/>
        <w:bCs/>
        <w:lang w:val="en-US"/>
      </w:rPr>
      <w:instrText xml:space="preserve">TY "Header" \* MERGEFORMAT </w:instrText>
    </w:r>
    <w:r w:rsidR="00476917">
      <w:rPr>
        <w:b/>
        <w:bCs/>
        <w:lang w:val="en-US"/>
      </w:rPr>
      <w:fldChar w:fldCharType="separate"/>
    </w:r>
    <w:r w:rsidR="00C81D0D" w:rsidRPr="00C81D0D">
      <w:rPr>
        <w:b/>
        <w:bCs/>
        <w:lang w:val="en-US"/>
      </w:rPr>
      <w:t xml:space="preserve">Rec. </w:t>
    </w:r>
    <w:r w:rsidR="0047691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76917">
      <w:rPr>
        <w:b/>
        <w:bCs/>
        <w:noProof/>
      </w:rPr>
      <w:t>UIT-R  BT.814-3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59E" w:rsidRDefault="004C359E">
    <w:pPr>
      <w:pStyle w:val="Header"/>
    </w:pPr>
    <w:r>
      <w:tab/>
    </w:r>
    <w:r w:rsidR="00476917">
      <w:rPr>
        <w:b/>
        <w:bCs/>
      </w:rPr>
      <w:fldChar w:fldCharType="begin"/>
    </w:r>
    <w:r w:rsidR="00476917">
      <w:rPr>
        <w:b/>
        <w:bCs/>
      </w:rPr>
      <w:instrText xml:space="preserve"> DOCPROPERTY "Header" \* MERGEFORMAT </w:instrText>
    </w:r>
    <w:r w:rsidR="00476917">
      <w:rPr>
        <w:b/>
        <w:bCs/>
      </w:rPr>
      <w:fldChar w:fldCharType="separate"/>
    </w:r>
    <w:r w:rsidR="00C81D0D" w:rsidRPr="00C81D0D">
      <w:rPr>
        <w:b/>
        <w:bCs/>
      </w:rPr>
      <w:t xml:space="preserve">Rec. </w:t>
    </w:r>
    <w:r w:rsidR="00476917">
      <w:rPr>
        <w:b/>
        <w:bCs/>
      </w:rPr>
      <w:fldChar w:fldCharType="end"/>
    </w:r>
    <w:r>
      <w:rPr>
        <w:b/>
        <w:bCs/>
      </w:rPr>
      <w:t xml:space="preserve"> </w:t>
    </w:r>
    <w:r>
      <w:rPr>
        <w:b/>
        <w:bCs/>
      </w:rPr>
      <w:fldChar w:fldCharType="begin"/>
    </w:r>
    <w:r>
      <w:rPr>
        <w:b/>
        <w:bCs/>
      </w:rPr>
      <w:instrText>styleref href</w:instrText>
    </w:r>
    <w:r>
      <w:rPr>
        <w:b/>
        <w:bCs/>
      </w:rPr>
      <w:fldChar w:fldCharType="separate"/>
    </w:r>
    <w:r w:rsidR="00476917">
      <w:rPr>
        <w:b/>
        <w:bCs/>
        <w:noProof/>
      </w:rPr>
      <w:t>UIT-R  BT.814-3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6917">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44A5C"/>
    <w:rsid w:val="001B3F9D"/>
    <w:rsid w:val="001E29DB"/>
    <w:rsid w:val="00227CED"/>
    <w:rsid w:val="0025326C"/>
    <w:rsid w:val="00284AF8"/>
    <w:rsid w:val="002D76C4"/>
    <w:rsid w:val="0032222F"/>
    <w:rsid w:val="00344123"/>
    <w:rsid w:val="00360BEA"/>
    <w:rsid w:val="00363854"/>
    <w:rsid w:val="00364BE9"/>
    <w:rsid w:val="003829F0"/>
    <w:rsid w:val="004156D2"/>
    <w:rsid w:val="004452A9"/>
    <w:rsid w:val="00474E13"/>
    <w:rsid w:val="00476917"/>
    <w:rsid w:val="004B5CC6"/>
    <w:rsid w:val="004C359E"/>
    <w:rsid w:val="005726A7"/>
    <w:rsid w:val="005777F3"/>
    <w:rsid w:val="005F43D1"/>
    <w:rsid w:val="00607D68"/>
    <w:rsid w:val="00633625"/>
    <w:rsid w:val="006553B9"/>
    <w:rsid w:val="006818DE"/>
    <w:rsid w:val="00684CC5"/>
    <w:rsid w:val="006C7692"/>
    <w:rsid w:val="00721270"/>
    <w:rsid w:val="00734800"/>
    <w:rsid w:val="007A0B78"/>
    <w:rsid w:val="00823495"/>
    <w:rsid w:val="008376E4"/>
    <w:rsid w:val="00841C89"/>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798C"/>
    <w:rsid w:val="00AF6707"/>
    <w:rsid w:val="00B01B1A"/>
    <w:rsid w:val="00B17542"/>
    <w:rsid w:val="00B2456C"/>
    <w:rsid w:val="00B37FDF"/>
    <w:rsid w:val="00B44E24"/>
    <w:rsid w:val="00B4535E"/>
    <w:rsid w:val="00C058C9"/>
    <w:rsid w:val="00C07F9D"/>
    <w:rsid w:val="00C202B3"/>
    <w:rsid w:val="00C225E7"/>
    <w:rsid w:val="00C23DBD"/>
    <w:rsid w:val="00C81D0D"/>
    <w:rsid w:val="00C86E03"/>
    <w:rsid w:val="00CC6858"/>
    <w:rsid w:val="00CD276D"/>
    <w:rsid w:val="00D11785"/>
    <w:rsid w:val="00D51F40"/>
    <w:rsid w:val="00DF4176"/>
    <w:rsid w:val="00E327C6"/>
    <w:rsid w:val="00E35FD1"/>
    <w:rsid w:val="00E40FF2"/>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9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07F9D"/>
    <w:pPr>
      <w:keepNext/>
      <w:keepLines/>
      <w:spacing w:before="480"/>
      <w:ind w:left="794" w:hanging="794"/>
      <w:outlineLvl w:val="0"/>
    </w:pPr>
    <w:rPr>
      <w:b/>
    </w:rPr>
  </w:style>
  <w:style w:type="paragraph" w:styleId="Heading2">
    <w:name w:val="heading 2"/>
    <w:basedOn w:val="Heading1"/>
    <w:next w:val="Normal"/>
    <w:qFormat/>
    <w:rsid w:val="00C07F9D"/>
    <w:pPr>
      <w:spacing w:before="320"/>
      <w:outlineLvl w:val="1"/>
    </w:pPr>
  </w:style>
  <w:style w:type="paragraph" w:styleId="Heading3">
    <w:name w:val="heading 3"/>
    <w:basedOn w:val="Heading1"/>
    <w:next w:val="Normal"/>
    <w:qFormat/>
    <w:rsid w:val="00C07F9D"/>
    <w:pPr>
      <w:spacing w:before="200"/>
      <w:outlineLvl w:val="2"/>
    </w:pPr>
  </w:style>
  <w:style w:type="paragraph" w:styleId="Heading4">
    <w:name w:val="heading 4"/>
    <w:basedOn w:val="Heading3"/>
    <w:next w:val="Normal"/>
    <w:qFormat/>
    <w:rsid w:val="00C07F9D"/>
    <w:pPr>
      <w:tabs>
        <w:tab w:val="clear" w:pos="794"/>
        <w:tab w:val="left" w:pos="992"/>
      </w:tabs>
      <w:ind w:left="992" w:hanging="992"/>
      <w:outlineLvl w:val="3"/>
    </w:pPr>
  </w:style>
  <w:style w:type="paragraph" w:styleId="Heading5">
    <w:name w:val="heading 5"/>
    <w:basedOn w:val="Heading4"/>
    <w:next w:val="Normal"/>
    <w:qFormat/>
    <w:rsid w:val="00C07F9D"/>
    <w:pPr>
      <w:outlineLvl w:val="4"/>
    </w:pPr>
  </w:style>
  <w:style w:type="paragraph" w:styleId="Heading6">
    <w:name w:val="heading 6"/>
    <w:basedOn w:val="Heading4"/>
    <w:next w:val="Normal"/>
    <w:qFormat/>
    <w:rsid w:val="00C07F9D"/>
    <w:pPr>
      <w:tabs>
        <w:tab w:val="clear" w:pos="992"/>
        <w:tab w:val="clear" w:pos="1191"/>
      </w:tabs>
      <w:ind w:left="1588" w:hanging="1588"/>
      <w:outlineLvl w:val="5"/>
    </w:pPr>
  </w:style>
  <w:style w:type="paragraph" w:styleId="Heading7">
    <w:name w:val="heading 7"/>
    <w:basedOn w:val="Heading6"/>
    <w:next w:val="Normal"/>
    <w:qFormat/>
    <w:rsid w:val="00C07F9D"/>
    <w:pPr>
      <w:outlineLvl w:val="6"/>
    </w:pPr>
  </w:style>
  <w:style w:type="paragraph" w:styleId="Heading8">
    <w:name w:val="heading 8"/>
    <w:basedOn w:val="Heading6"/>
    <w:next w:val="Normal"/>
    <w:qFormat/>
    <w:rsid w:val="00C07F9D"/>
    <w:pPr>
      <w:outlineLvl w:val="7"/>
    </w:pPr>
  </w:style>
  <w:style w:type="paragraph" w:styleId="Heading9">
    <w:name w:val="heading 9"/>
    <w:basedOn w:val="Heading6"/>
    <w:next w:val="Normal"/>
    <w:qFormat/>
    <w:rsid w:val="00C07F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7F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07F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07F9D"/>
  </w:style>
  <w:style w:type="paragraph" w:customStyle="1" w:styleId="Headingb">
    <w:name w:val="Heading_b"/>
    <w:basedOn w:val="Heading3"/>
    <w:next w:val="Normal"/>
    <w:rsid w:val="00C07F9D"/>
    <w:pPr>
      <w:spacing w:before="160"/>
      <w:ind w:left="0" w:firstLine="0"/>
      <w:outlineLvl w:val="9"/>
    </w:pPr>
  </w:style>
  <w:style w:type="paragraph" w:customStyle="1" w:styleId="Headingi">
    <w:name w:val="Heading_i"/>
    <w:basedOn w:val="Heading3"/>
    <w:next w:val="Normal"/>
    <w:rsid w:val="00C07F9D"/>
    <w:pPr>
      <w:spacing w:before="160"/>
      <w:ind w:left="0" w:firstLine="0"/>
    </w:pPr>
    <w:rPr>
      <w:b w:val="0"/>
      <w:i/>
    </w:rPr>
  </w:style>
  <w:style w:type="character" w:customStyle="1" w:styleId="href">
    <w:name w:val="href"/>
    <w:basedOn w:val="DefaultParagraphFont"/>
    <w:rsid w:val="00C07F9D"/>
  </w:style>
  <w:style w:type="paragraph" w:customStyle="1" w:styleId="enumlev1">
    <w:name w:val="enumlev1"/>
    <w:basedOn w:val="Normal"/>
    <w:rsid w:val="00C07F9D"/>
    <w:pPr>
      <w:spacing w:before="80"/>
      <w:ind w:left="794" w:hanging="794"/>
    </w:pPr>
  </w:style>
  <w:style w:type="paragraph" w:customStyle="1" w:styleId="enumlev2">
    <w:name w:val="enumlev2"/>
    <w:basedOn w:val="enumlev1"/>
    <w:rsid w:val="00C07F9D"/>
    <w:pPr>
      <w:ind w:left="1191" w:hanging="397"/>
    </w:pPr>
  </w:style>
  <w:style w:type="paragraph" w:customStyle="1" w:styleId="enumlev3">
    <w:name w:val="enumlev3"/>
    <w:basedOn w:val="enumlev2"/>
    <w:rsid w:val="00C07F9D"/>
    <w:pPr>
      <w:ind w:left="1588"/>
    </w:pPr>
  </w:style>
  <w:style w:type="paragraph" w:customStyle="1" w:styleId="Normalaftertitle">
    <w:name w:val="Normal_after_title"/>
    <w:basedOn w:val="Normal"/>
    <w:next w:val="Normal"/>
    <w:rsid w:val="00C07F9D"/>
    <w:pPr>
      <w:spacing w:before="320"/>
    </w:pPr>
  </w:style>
  <w:style w:type="paragraph" w:customStyle="1" w:styleId="Note">
    <w:name w:val="Note"/>
    <w:basedOn w:val="Normal"/>
    <w:rsid w:val="00C07F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07F9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07F9D"/>
    <w:pPr>
      <w:keepNext/>
      <w:keepLines/>
      <w:spacing w:before="240"/>
      <w:jc w:val="center"/>
    </w:pPr>
    <w:rPr>
      <w:b/>
      <w:sz w:val="28"/>
    </w:rPr>
  </w:style>
  <w:style w:type="paragraph" w:customStyle="1" w:styleId="Recref">
    <w:name w:val="Rec_ref"/>
    <w:basedOn w:val="Normal"/>
    <w:next w:val="Recdate"/>
    <w:rsid w:val="00C07F9D"/>
    <w:pPr>
      <w:jc w:val="center"/>
    </w:pPr>
  </w:style>
  <w:style w:type="paragraph" w:customStyle="1" w:styleId="Recdate">
    <w:name w:val="Rec_date"/>
    <w:basedOn w:val="Recref"/>
    <w:next w:val="Normalaftertitle"/>
    <w:rsid w:val="00C07F9D"/>
    <w:pPr>
      <w:jc w:val="right"/>
    </w:pPr>
  </w:style>
  <w:style w:type="paragraph" w:customStyle="1" w:styleId="HeadingSum">
    <w:name w:val="Heading_Sum"/>
    <w:basedOn w:val="Headingb"/>
    <w:next w:val="Normal"/>
    <w:autoRedefine/>
    <w:rsid w:val="00C07F9D"/>
    <w:pPr>
      <w:spacing w:before="240"/>
    </w:pPr>
    <w:rPr>
      <w:sz w:val="22"/>
      <w:lang w:val="es-ES_tradnl"/>
    </w:rPr>
  </w:style>
  <w:style w:type="paragraph" w:customStyle="1" w:styleId="AnnexNoTitle">
    <w:name w:val="Annex_NoTitle"/>
    <w:basedOn w:val="Normal"/>
    <w:next w:val="Normalaftertitle"/>
    <w:rsid w:val="00476917"/>
    <w:pPr>
      <w:keepNext/>
      <w:keepLines/>
      <w:spacing w:before="480" w:after="80"/>
      <w:jc w:val="center"/>
      <w:outlineLvl w:val="0"/>
    </w:pPr>
    <w:rPr>
      <w:b/>
      <w:sz w:val="28"/>
    </w:rPr>
  </w:style>
  <w:style w:type="paragraph" w:customStyle="1" w:styleId="AppendixNoTitle">
    <w:name w:val="Appendix_NoTitle"/>
    <w:basedOn w:val="AnnexNoTitle"/>
    <w:next w:val="Normal"/>
    <w:rsid w:val="00C07F9D"/>
  </w:style>
  <w:style w:type="paragraph" w:customStyle="1" w:styleId="Tablefin">
    <w:name w:val="Table_fin"/>
    <w:basedOn w:val="Normal"/>
    <w:next w:val="Normal"/>
    <w:rsid w:val="00C07F9D"/>
    <w:pPr>
      <w:spacing w:before="0"/>
    </w:pPr>
    <w:rPr>
      <w:sz w:val="20"/>
      <w:lang w:val="en-GB"/>
    </w:rPr>
  </w:style>
  <w:style w:type="paragraph" w:customStyle="1" w:styleId="Tablehead">
    <w:name w:val="Table_head"/>
    <w:basedOn w:val="Normal"/>
    <w:next w:val="Normal"/>
    <w:rsid w:val="00C07F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07F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07F9D"/>
    <w:pPr>
      <w:keepNext/>
      <w:spacing w:before="360" w:after="120"/>
      <w:jc w:val="center"/>
    </w:pPr>
  </w:style>
  <w:style w:type="paragraph" w:customStyle="1" w:styleId="Tabletext">
    <w:name w:val="Table_text"/>
    <w:basedOn w:val="Normal"/>
    <w:link w:val="TabletextChar"/>
    <w:rsid w:val="00C07F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07F9D"/>
    <w:pPr>
      <w:tabs>
        <w:tab w:val="clear" w:pos="1191"/>
        <w:tab w:val="clear" w:pos="1588"/>
        <w:tab w:val="clear" w:pos="1985"/>
        <w:tab w:val="center" w:pos="4820"/>
        <w:tab w:val="right" w:pos="9639"/>
      </w:tabs>
    </w:pPr>
  </w:style>
  <w:style w:type="paragraph" w:customStyle="1" w:styleId="Equationlegend">
    <w:name w:val="Equation_legend"/>
    <w:basedOn w:val="NormalIndent"/>
    <w:rsid w:val="00C07F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07F9D"/>
    <w:pPr>
      <w:ind w:left="794"/>
    </w:pPr>
  </w:style>
  <w:style w:type="paragraph" w:customStyle="1" w:styleId="Figurelegend">
    <w:name w:val="Figure_legend"/>
    <w:basedOn w:val="Normal"/>
    <w:rsid w:val="00C07F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07F9D"/>
    <w:pPr>
      <w:keepNext/>
      <w:keepLines/>
      <w:spacing w:before="480" w:after="80"/>
      <w:jc w:val="center"/>
    </w:pPr>
    <w:rPr>
      <w:caps/>
      <w:sz w:val="18"/>
    </w:rPr>
  </w:style>
  <w:style w:type="paragraph" w:customStyle="1" w:styleId="Figuretitle">
    <w:name w:val="Figure_title"/>
    <w:basedOn w:val="Normal"/>
    <w:next w:val="Figure"/>
    <w:rsid w:val="00C07F9D"/>
    <w:pPr>
      <w:keepNext/>
      <w:spacing w:before="0" w:after="120"/>
      <w:jc w:val="center"/>
    </w:pPr>
    <w:rPr>
      <w:rFonts w:ascii="Times New Roman Bold" w:hAnsi="Times New Roman Bold"/>
      <w:b/>
      <w:sz w:val="18"/>
    </w:rPr>
  </w:style>
  <w:style w:type="paragraph" w:customStyle="1" w:styleId="Figure">
    <w:name w:val="Figure"/>
    <w:basedOn w:val="FigureNo"/>
    <w:next w:val="Normal"/>
    <w:rsid w:val="00C07F9D"/>
    <w:pPr>
      <w:keepNext w:val="0"/>
      <w:spacing w:before="0" w:after="240"/>
    </w:pPr>
  </w:style>
  <w:style w:type="paragraph" w:customStyle="1" w:styleId="tocpart">
    <w:name w:val="tocpart"/>
    <w:basedOn w:val="Normal"/>
    <w:rsid w:val="00C07F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07F9D"/>
    <w:pPr>
      <w:keepNext/>
      <w:keepLines/>
      <w:spacing w:before="480"/>
      <w:jc w:val="center"/>
    </w:pPr>
    <w:rPr>
      <w:sz w:val="28"/>
    </w:rPr>
  </w:style>
  <w:style w:type="paragraph" w:customStyle="1" w:styleId="Arttitle">
    <w:name w:val="Art_title"/>
    <w:basedOn w:val="Normal"/>
    <w:next w:val="Normalaftertitle"/>
    <w:rsid w:val="00C07F9D"/>
    <w:pPr>
      <w:keepNext/>
      <w:keepLines/>
      <w:spacing w:before="240"/>
      <w:jc w:val="center"/>
    </w:pPr>
    <w:rPr>
      <w:b/>
      <w:sz w:val="28"/>
    </w:rPr>
  </w:style>
  <w:style w:type="paragraph" w:customStyle="1" w:styleId="Blanc">
    <w:name w:val="Blanc"/>
    <w:basedOn w:val="Normal"/>
    <w:next w:val="Tabletext"/>
    <w:rsid w:val="00C07F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07F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07F9D"/>
    <w:pPr>
      <w:keepNext/>
      <w:keepLines/>
      <w:spacing w:before="160"/>
      <w:ind w:left="794"/>
    </w:pPr>
    <w:rPr>
      <w:i/>
    </w:rPr>
  </w:style>
  <w:style w:type="paragraph" w:customStyle="1" w:styleId="ChapNo">
    <w:name w:val="Chap_No"/>
    <w:basedOn w:val="ArtNo"/>
    <w:next w:val="Chaptitle"/>
    <w:rsid w:val="00C07F9D"/>
    <w:rPr>
      <w:b/>
    </w:rPr>
  </w:style>
  <w:style w:type="paragraph" w:customStyle="1" w:styleId="Chaptitle">
    <w:name w:val="Chap_title"/>
    <w:basedOn w:val="Arttitle"/>
    <w:next w:val="Normalaftertitle"/>
    <w:rsid w:val="00C07F9D"/>
  </w:style>
  <w:style w:type="character" w:styleId="FootnoteReference">
    <w:name w:val="footnote reference"/>
    <w:basedOn w:val="DefaultParagraphFont"/>
    <w:rsid w:val="00C07F9D"/>
    <w:rPr>
      <w:position w:val="6"/>
      <w:sz w:val="18"/>
    </w:rPr>
  </w:style>
  <w:style w:type="paragraph" w:styleId="FootnoteText">
    <w:name w:val="footnote text"/>
    <w:basedOn w:val="Normal"/>
    <w:link w:val="FootnoteTextChar"/>
    <w:rsid w:val="00C07F9D"/>
    <w:pPr>
      <w:keepLines/>
      <w:tabs>
        <w:tab w:val="left" w:pos="255"/>
      </w:tabs>
      <w:ind w:left="255" w:hanging="255"/>
    </w:pPr>
    <w:rPr>
      <w:sz w:val="22"/>
    </w:rPr>
  </w:style>
  <w:style w:type="paragraph" w:styleId="Index1">
    <w:name w:val="index 1"/>
    <w:basedOn w:val="Normal"/>
    <w:next w:val="Normal"/>
    <w:semiHidden/>
    <w:rsid w:val="00C07F9D"/>
  </w:style>
  <w:style w:type="paragraph" w:styleId="Index2">
    <w:name w:val="index 2"/>
    <w:basedOn w:val="Normal"/>
    <w:next w:val="Normal"/>
    <w:semiHidden/>
    <w:rsid w:val="00C07F9D"/>
    <w:pPr>
      <w:ind w:left="283"/>
    </w:pPr>
  </w:style>
  <w:style w:type="paragraph" w:styleId="Index3">
    <w:name w:val="index 3"/>
    <w:basedOn w:val="Normal"/>
    <w:next w:val="Normal"/>
    <w:semiHidden/>
    <w:rsid w:val="00C07F9D"/>
    <w:pPr>
      <w:ind w:left="566"/>
    </w:pPr>
  </w:style>
  <w:style w:type="paragraph" w:styleId="IndexHeading">
    <w:name w:val="index heading"/>
    <w:basedOn w:val="Normal"/>
    <w:next w:val="Index1"/>
    <w:semiHidden/>
    <w:rsid w:val="00C07F9D"/>
  </w:style>
  <w:style w:type="paragraph" w:customStyle="1" w:styleId="Line">
    <w:name w:val="Line"/>
    <w:basedOn w:val="Normal"/>
    <w:next w:val="Normal"/>
    <w:rsid w:val="00C07F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07F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07F9D"/>
  </w:style>
  <w:style w:type="paragraph" w:customStyle="1" w:styleId="Partref">
    <w:name w:val="Part_ref"/>
    <w:basedOn w:val="Normal"/>
    <w:next w:val="Normal"/>
    <w:rsid w:val="00C07F9D"/>
    <w:pPr>
      <w:keepNext/>
      <w:keepLines/>
      <w:spacing w:after="280"/>
      <w:jc w:val="center"/>
    </w:pPr>
  </w:style>
  <w:style w:type="paragraph" w:customStyle="1" w:styleId="Parttitle">
    <w:name w:val="Part_title"/>
    <w:basedOn w:val="Normal"/>
    <w:next w:val="Normalaftertitle"/>
    <w:rsid w:val="00C07F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07F9D"/>
  </w:style>
  <w:style w:type="paragraph" w:customStyle="1" w:styleId="QuestionNo">
    <w:name w:val="Question_No"/>
    <w:basedOn w:val="RecNo"/>
    <w:next w:val="Normal"/>
    <w:rsid w:val="00C07F9D"/>
  </w:style>
  <w:style w:type="paragraph" w:customStyle="1" w:styleId="Questionref">
    <w:name w:val="Question_ref"/>
    <w:basedOn w:val="Recref"/>
    <w:next w:val="Questiondate"/>
    <w:rsid w:val="00C07F9D"/>
  </w:style>
  <w:style w:type="paragraph" w:customStyle="1" w:styleId="Questiontitle">
    <w:name w:val="Question_title"/>
    <w:basedOn w:val="Normal"/>
    <w:next w:val="Questionref"/>
    <w:rsid w:val="00C07F9D"/>
  </w:style>
  <w:style w:type="paragraph" w:customStyle="1" w:styleId="Reftext">
    <w:name w:val="Ref_text"/>
    <w:basedOn w:val="Normal"/>
    <w:rsid w:val="00C07F9D"/>
    <w:pPr>
      <w:ind w:left="794" w:hanging="794"/>
    </w:pPr>
    <w:rPr>
      <w:sz w:val="22"/>
    </w:rPr>
  </w:style>
  <w:style w:type="paragraph" w:customStyle="1" w:styleId="Reftitle">
    <w:name w:val="Ref_title"/>
    <w:basedOn w:val="Normal"/>
    <w:next w:val="Reftext"/>
    <w:rsid w:val="00C07F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07F9D"/>
  </w:style>
  <w:style w:type="paragraph" w:customStyle="1" w:styleId="RepNo">
    <w:name w:val="Rep_No"/>
    <w:basedOn w:val="RecNo"/>
    <w:next w:val="Reptitle"/>
    <w:rsid w:val="00C07F9D"/>
  </w:style>
  <w:style w:type="paragraph" w:customStyle="1" w:styleId="Reptitle">
    <w:name w:val="Rep_title"/>
    <w:basedOn w:val="Rectitle"/>
    <w:next w:val="Repref"/>
    <w:rsid w:val="00C07F9D"/>
  </w:style>
  <w:style w:type="paragraph" w:customStyle="1" w:styleId="Repref">
    <w:name w:val="Rep_ref"/>
    <w:basedOn w:val="Recref"/>
    <w:next w:val="Repdate"/>
    <w:rsid w:val="00C07F9D"/>
  </w:style>
  <w:style w:type="paragraph" w:customStyle="1" w:styleId="Resdate">
    <w:name w:val="Res_date"/>
    <w:basedOn w:val="Recdate"/>
    <w:next w:val="Normalaftertitle"/>
    <w:rsid w:val="00C07F9D"/>
  </w:style>
  <w:style w:type="paragraph" w:customStyle="1" w:styleId="ResNo">
    <w:name w:val="Res_No"/>
    <w:basedOn w:val="RecNo"/>
    <w:next w:val="Restitle"/>
    <w:rsid w:val="00C07F9D"/>
  </w:style>
  <w:style w:type="paragraph" w:customStyle="1" w:styleId="Restitle">
    <w:name w:val="Res_title"/>
    <w:basedOn w:val="Normal"/>
    <w:next w:val="Resref"/>
    <w:rsid w:val="00C07F9D"/>
    <w:pPr>
      <w:spacing w:before="240"/>
      <w:jc w:val="center"/>
    </w:pPr>
    <w:rPr>
      <w:b/>
      <w:sz w:val="28"/>
    </w:rPr>
  </w:style>
  <w:style w:type="paragraph" w:customStyle="1" w:styleId="Resref">
    <w:name w:val="Res_ref"/>
    <w:basedOn w:val="Recref"/>
    <w:next w:val="Resdate"/>
    <w:rsid w:val="00C07F9D"/>
  </w:style>
  <w:style w:type="paragraph" w:customStyle="1" w:styleId="SectionNo">
    <w:name w:val="Section_No"/>
    <w:basedOn w:val="Normal"/>
    <w:next w:val="Normal"/>
    <w:rsid w:val="00C07F9D"/>
  </w:style>
  <w:style w:type="paragraph" w:customStyle="1" w:styleId="Sectiontitle">
    <w:name w:val="Section_title"/>
    <w:basedOn w:val="Normal"/>
    <w:next w:val="Normalaftertitle"/>
    <w:rsid w:val="00C07F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07F9D"/>
    <w:pPr>
      <w:tabs>
        <w:tab w:val="clear" w:pos="794"/>
        <w:tab w:val="clear" w:pos="1191"/>
        <w:tab w:val="clear" w:pos="1588"/>
        <w:tab w:val="clear" w:pos="1985"/>
        <w:tab w:val="right" w:pos="9611"/>
      </w:tabs>
    </w:pPr>
    <w:rPr>
      <w:i/>
    </w:rPr>
  </w:style>
  <w:style w:type="paragraph" w:styleId="TOC1">
    <w:name w:val="toc 1"/>
    <w:basedOn w:val="Normal"/>
    <w:semiHidden/>
    <w:rsid w:val="00C07F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07F9D"/>
    <w:pPr>
      <w:tabs>
        <w:tab w:val="clear" w:pos="567"/>
        <w:tab w:val="left" w:pos="1276"/>
      </w:tabs>
      <w:spacing w:before="160"/>
      <w:ind w:left="1276" w:hanging="709"/>
    </w:pPr>
  </w:style>
  <w:style w:type="paragraph" w:styleId="TOC3">
    <w:name w:val="toc 3"/>
    <w:basedOn w:val="TOC2"/>
    <w:semiHidden/>
    <w:rsid w:val="00C07F9D"/>
    <w:pPr>
      <w:tabs>
        <w:tab w:val="clear" w:pos="1276"/>
        <w:tab w:val="left" w:pos="2155"/>
      </w:tabs>
      <w:ind w:left="2155" w:hanging="879"/>
    </w:pPr>
  </w:style>
  <w:style w:type="paragraph" w:styleId="TOC4">
    <w:name w:val="toc 4"/>
    <w:basedOn w:val="TOC3"/>
    <w:semiHidden/>
    <w:rsid w:val="00C07F9D"/>
    <w:pPr>
      <w:tabs>
        <w:tab w:val="left" w:pos="3261"/>
      </w:tabs>
      <w:spacing w:before="80"/>
      <w:ind w:left="3261" w:hanging="993"/>
    </w:pPr>
  </w:style>
  <w:style w:type="paragraph" w:styleId="TOC5">
    <w:name w:val="toc 5"/>
    <w:basedOn w:val="TOC4"/>
    <w:semiHidden/>
    <w:rsid w:val="00C07F9D"/>
  </w:style>
  <w:style w:type="paragraph" w:styleId="TOC6">
    <w:name w:val="toc 6"/>
    <w:basedOn w:val="TOC4"/>
    <w:semiHidden/>
    <w:rsid w:val="00C07F9D"/>
  </w:style>
  <w:style w:type="paragraph" w:styleId="TOC7">
    <w:name w:val="toc 7"/>
    <w:basedOn w:val="TOC4"/>
    <w:semiHidden/>
    <w:rsid w:val="00C07F9D"/>
  </w:style>
  <w:style w:type="paragraph" w:styleId="TOC8">
    <w:name w:val="toc 8"/>
    <w:basedOn w:val="TOC4"/>
    <w:semiHidden/>
    <w:rsid w:val="00C07F9D"/>
  </w:style>
  <w:style w:type="paragraph" w:customStyle="1" w:styleId="Annexref">
    <w:name w:val="Annex_ref"/>
    <w:basedOn w:val="Normal"/>
    <w:next w:val="Normalaftertitle"/>
    <w:rsid w:val="00C07F9D"/>
    <w:pPr>
      <w:keepNext/>
      <w:keepLines/>
      <w:spacing w:after="280"/>
      <w:jc w:val="center"/>
    </w:pPr>
  </w:style>
  <w:style w:type="paragraph" w:customStyle="1" w:styleId="Appendixref">
    <w:name w:val="Appendix_ref"/>
    <w:basedOn w:val="Annexref"/>
    <w:next w:val="Normalaftertitle"/>
    <w:rsid w:val="00C07F9D"/>
  </w:style>
  <w:style w:type="paragraph" w:customStyle="1" w:styleId="Tabletitle">
    <w:name w:val="Table_title"/>
    <w:basedOn w:val="Normal"/>
    <w:next w:val="Tablehead"/>
    <w:link w:val="TabletitleChar"/>
    <w:rsid w:val="00C07F9D"/>
    <w:pPr>
      <w:keepNext/>
      <w:spacing w:before="0" w:after="120"/>
      <w:jc w:val="center"/>
    </w:pPr>
    <w:rPr>
      <w:b/>
    </w:rPr>
  </w:style>
  <w:style w:type="paragraph" w:customStyle="1" w:styleId="Summary">
    <w:name w:val="Summary"/>
    <w:basedOn w:val="Normal"/>
    <w:next w:val="Normalaftertitle"/>
    <w:autoRedefine/>
    <w:rsid w:val="00C07F9D"/>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07F9D"/>
    <w:pPr>
      <w:ind w:left="-85" w:firstLine="0"/>
    </w:pPr>
    <w:rPr>
      <w:lang w:val="en-US"/>
    </w:rPr>
  </w:style>
  <w:style w:type="character" w:customStyle="1" w:styleId="Heading1Char">
    <w:name w:val="Heading 1 Char"/>
    <w:basedOn w:val="DefaultParagraphFont"/>
    <w:link w:val="Heading1"/>
    <w:rsid w:val="00C202B3"/>
    <w:rPr>
      <w:b/>
      <w:sz w:val="24"/>
      <w:lang w:val="fr-FR" w:eastAsia="en-US"/>
    </w:rPr>
  </w:style>
  <w:style w:type="character" w:customStyle="1" w:styleId="FootnoteTextChar">
    <w:name w:val="Footnote Text Char"/>
    <w:basedOn w:val="DefaultParagraphFont"/>
    <w:link w:val="FootnoteText"/>
    <w:rsid w:val="00C202B3"/>
    <w:rPr>
      <w:sz w:val="22"/>
      <w:lang w:val="fr-FR" w:eastAsia="en-US"/>
    </w:rPr>
  </w:style>
  <w:style w:type="paragraph" w:customStyle="1" w:styleId="Normalaftertitle0">
    <w:name w:val="Normal after title"/>
    <w:basedOn w:val="Normal"/>
    <w:next w:val="Normal"/>
    <w:link w:val="NormalaftertitleChar"/>
    <w:rsid w:val="00C202B3"/>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NormalaftertitleChar">
    <w:name w:val="Normal after title Char"/>
    <w:link w:val="Normalaftertitle0"/>
    <w:locked/>
    <w:rsid w:val="00C202B3"/>
    <w:rPr>
      <w:rFonts w:eastAsia="MS Mincho"/>
      <w:sz w:val="24"/>
      <w:lang w:val="en-GB" w:eastAsia="en-US"/>
    </w:rPr>
  </w:style>
  <w:style w:type="paragraph" w:customStyle="1" w:styleId="Reasons">
    <w:name w:val="Reasons"/>
    <w:basedOn w:val="Normal"/>
    <w:qFormat/>
    <w:rsid w:val="00C202B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link w:val="Tabletext"/>
    <w:locked/>
    <w:rsid w:val="00C202B3"/>
    <w:rPr>
      <w:sz w:val="22"/>
      <w:lang w:val="fr-FR" w:eastAsia="en-US"/>
    </w:rPr>
  </w:style>
  <w:style w:type="character" w:customStyle="1" w:styleId="TableNoChar">
    <w:name w:val="Table_No Char"/>
    <w:basedOn w:val="DefaultParagraphFont"/>
    <w:link w:val="TableNo"/>
    <w:locked/>
    <w:rsid w:val="00C202B3"/>
    <w:rPr>
      <w:sz w:val="24"/>
      <w:lang w:val="fr-FR" w:eastAsia="en-US"/>
    </w:rPr>
  </w:style>
  <w:style w:type="character" w:customStyle="1" w:styleId="TabletitleChar">
    <w:name w:val="Table_title Char"/>
    <w:basedOn w:val="DefaultParagraphFont"/>
    <w:link w:val="Tabletitle"/>
    <w:locked/>
    <w:rsid w:val="00C202B3"/>
    <w:rPr>
      <w:b/>
      <w:sz w:val="24"/>
      <w:lang w:val="fr-FR" w:eastAsia="en-US"/>
    </w:rPr>
  </w:style>
  <w:style w:type="paragraph" w:customStyle="1" w:styleId="TableLegend0">
    <w:name w:val="Table_Legend"/>
    <w:basedOn w:val="Normal"/>
    <w:next w:val="Normal"/>
    <w:rsid w:val="00C202B3"/>
    <w:pPr>
      <w:keepNext/>
      <w:spacing w:before="86" w:line="199" w:lineRule="exact"/>
      <w:ind w:left="-85" w:right="-85"/>
    </w:pPr>
    <w:rPr>
      <w:rFonts w:eastAsiaTheme="minorEastAsia"/>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TotalTime>
  <Pages>12</Pages>
  <Words>2918</Words>
  <Characters>14403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17287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Gachet, Christelle</cp:lastModifiedBy>
  <cp:revision>12</cp:revision>
  <cp:lastPrinted>2018-09-07T08:55:00Z</cp:lastPrinted>
  <dcterms:created xsi:type="dcterms:W3CDTF">2018-09-07T08:11:00Z</dcterms:created>
  <dcterms:modified xsi:type="dcterms:W3CDTF">2018-09-07T09:10:00Z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