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661E" w:rsidRPr="006B55A9" w:rsidRDefault="0014322C" w:rsidP="0014661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14661E">
              <w:rPr>
                <w:rFonts w:ascii="Tahoma" w:hAnsi="Tahoma" w:cs="Tahoma"/>
                <w:b/>
                <w:bCs/>
                <w:iCs/>
                <w:color w:val="243285"/>
                <w:sz w:val="36"/>
                <w:szCs w:val="36"/>
              </w:rPr>
              <w:t>2072-0</w:t>
            </w:r>
          </w:p>
          <w:p w:rsidR="00DA2EA9" w:rsidRPr="00A443C2" w:rsidRDefault="0014661E" w:rsidP="0014661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02</w:t>
            </w:r>
            <w:r w:rsidRPr="006B55A9">
              <w:rPr>
                <w:rFonts w:ascii="Tahoma" w:hAnsi="Tahoma" w:cs="Tahoma"/>
                <w:b/>
                <w:bCs/>
                <w:iCs/>
                <w:color w:val="243285"/>
                <w:szCs w:val="24"/>
              </w:rPr>
              <w:t>/</w:t>
            </w:r>
            <w:r>
              <w:rPr>
                <w:rFonts w:ascii="Tahoma" w:hAnsi="Tahoma" w:cs="Tahoma"/>
                <w:b/>
                <w:bCs/>
                <w:iCs/>
                <w:color w:val="243285"/>
                <w:szCs w:val="24"/>
              </w:rPr>
              <w:t>2015</w:t>
            </w:r>
            <w:r w:rsidRPr="006B55A9">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5D75C3" w:rsidP="005D75C3">
            <w:pPr>
              <w:spacing w:before="80" w:line="500" w:lineRule="exact"/>
              <w:jc w:val="right"/>
              <w:rPr>
                <w:rFonts w:ascii="Tahoma" w:hAnsi="Tahoma" w:cs="Tahoma"/>
                <w:b/>
                <w:bCs/>
                <w:color w:val="243285"/>
                <w:sz w:val="44"/>
                <w:szCs w:val="44"/>
              </w:rPr>
            </w:pPr>
            <w:r w:rsidRPr="005D75C3">
              <w:rPr>
                <w:rFonts w:ascii="Tahoma" w:hAnsi="Tahoma" w:cs="Tahoma"/>
                <w:b/>
                <w:bCs/>
                <w:color w:val="243285"/>
                <w:sz w:val="44"/>
                <w:szCs w:val="44"/>
              </w:rPr>
              <w:t xml:space="preserve">Principales fonctionnalités des récepteurs </w:t>
            </w:r>
            <w:r>
              <w:rPr>
                <w:rFonts w:ascii="Tahoma" w:hAnsi="Tahoma" w:cs="Tahoma"/>
                <w:b/>
                <w:bCs/>
                <w:color w:val="243285"/>
                <w:sz w:val="44"/>
                <w:szCs w:val="44"/>
              </w:rPr>
              <w:br/>
            </w:r>
            <w:r w:rsidR="00D61CFE">
              <w:rPr>
                <w:rFonts w:ascii="Tahoma" w:hAnsi="Tahoma" w:cs="Tahoma"/>
                <w:b/>
                <w:bCs/>
                <w:color w:val="243285"/>
                <w:sz w:val="44"/>
                <w:szCs w:val="44"/>
              </w:rPr>
              <w:t xml:space="preserve">grand public </w:t>
            </w:r>
            <w:r w:rsidRPr="005D75C3">
              <w:rPr>
                <w:rFonts w:ascii="Tahoma" w:hAnsi="Tahoma" w:cs="Tahoma"/>
                <w:b/>
                <w:bCs/>
                <w:color w:val="243285"/>
                <w:sz w:val="44"/>
                <w:szCs w:val="44"/>
              </w:rPr>
              <w:t xml:space="preserve">pour l'itinérance mondiale </w:t>
            </w:r>
            <w:r w:rsidR="00D61CFE">
              <w:rPr>
                <w:rFonts w:ascii="Tahoma" w:hAnsi="Tahoma" w:cs="Tahoma"/>
                <w:b/>
                <w:bCs/>
                <w:color w:val="243285"/>
                <w:sz w:val="44"/>
                <w:szCs w:val="44"/>
              </w:rPr>
              <w:br/>
            </w:r>
            <w:r w:rsidRPr="005D75C3">
              <w:rPr>
                <w:rFonts w:ascii="Tahoma" w:hAnsi="Tahoma" w:cs="Tahoma"/>
                <w:b/>
                <w:bCs/>
                <w:color w:val="243285"/>
                <w:sz w:val="44"/>
                <w:szCs w:val="44"/>
              </w:rPr>
              <w:t>pour la radiodiffusion</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885781">
          <w:headerReference w:type="even" r:id="rId6"/>
          <w:headerReference w:type="default" r:id="rId7"/>
          <w:pgSz w:w="11907" w:h="16834" w:code="9"/>
          <w:pgMar w:top="1089" w:right="1089" w:bottom="284" w:left="1089" w:header="567" w:footer="284" w:gutter="0"/>
          <w:paperSrc w:first="15" w:other="15"/>
          <w:cols w:space="720"/>
        </w:sectPr>
      </w:pPr>
      <w:bookmarkStart w:id="1" w:name="_GoBack"/>
      <w:bookmarkEnd w:id="1"/>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852084">
      <w:pPr>
        <w:spacing w:before="0"/>
        <w:jc w:val="right"/>
        <w:rPr>
          <w:sz w:val="20"/>
        </w:rPr>
      </w:pPr>
      <w:r w:rsidRPr="00614CC6">
        <w:rPr>
          <w:sz w:val="20"/>
        </w:rPr>
        <w:t>Genève, 20</w:t>
      </w:r>
      <w:r w:rsidR="009D3E41">
        <w:rPr>
          <w:sz w:val="20"/>
        </w:rPr>
        <w:t>1</w:t>
      </w:r>
      <w:r w:rsidR="00D61CFE">
        <w:rPr>
          <w:sz w:val="20"/>
        </w:rPr>
        <w:t>6</w:t>
      </w:r>
    </w:p>
    <w:p w:rsidR="0014322C" w:rsidRPr="00614CC6" w:rsidRDefault="0014322C" w:rsidP="00D61CFE">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3E41">
        <w:rPr>
          <w:sz w:val="20"/>
        </w:rPr>
        <w:t>1</w:t>
      </w:r>
      <w:r w:rsidR="00D61CFE">
        <w:rPr>
          <w:sz w:val="20"/>
        </w:rPr>
        <w:t>6</w:t>
      </w:r>
    </w:p>
    <w:p w:rsidR="0014322C" w:rsidRDefault="0014322C" w:rsidP="0016718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825F8" w:rsidRPr="0016718A" w:rsidRDefault="000825F8" w:rsidP="0016718A">
      <w:pPr>
        <w:rPr>
          <w:sz w:val="18"/>
          <w:szCs w:val="18"/>
        </w:rPr>
        <w:sectPr w:rsidR="000825F8" w:rsidRPr="0016718A" w:rsidSect="00852084">
          <w:headerReference w:type="even" r:id="rId10"/>
          <w:headerReference w:type="default" r:id="rId11"/>
          <w:pgSz w:w="11907" w:h="16834" w:code="9"/>
          <w:pgMar w:top="1418" w:right="1134" w:bottom="1134" w:left="1134" w:header="720" w:footer="482" w:gutter="0"/>
          <w:pgNumType w:fmt="lowerRoman" w:start="2"/>
          <w:cols w:space="720"/>
        </w:sectPr>
      </w:pPr>
    </w:p>
    <w:p w:rsidR="007A71D2" w:rsidRPr="00514FB5" w:rsidRDefault="007A71D2" w:rsidP="00D61CFE">
      <w:pPr>
        <w:pStyle w:val="RecNo"/>
      </w:pPr>
      <w:bookmarkStart w:id="4" w:name="irecnoe"/>
      <w:bookmarkStart w:id="5" w:name="dbreak"/>
      <w:bookmarkEnd w:id="0"/>
      <w:bookmarkEnd w:id="4"/>
      <w:bookmarkEnd w:id="5"/>
      <w:r w:rsidRPr="00514FB5">
        <w:lastRenderedPageBreak/>
        <w:t xml:space="preserve">RECOMMANDATION </w:t>
      </w:r>
      <w:r w:rsidR="0016718A">
        <w:t xml:space="preserve"> </w:t>
      </w:r>
      <w:r w:rsidRPr="0016718A">
        <w:rPr>
          <w:rStyle w:val="href"/>
        </w:rPr>
        <w:t xml:space="preserve">UIT-R </w:t>
      </w:r>
      <w:r w:rsidR="0016718A">
        <w:rPr>
          <w:rStyle w:val="href"/>
        </w:rPr>
        <w:t xml:space="preserve"> </w:t>
      </w:r>
      <w:r w:rsidRPr="0016718A">
        <w:rPr>
          <w:rStyle w:val="href"/>
        </w:rPr>
        <w:t>BT.2072</w:t>
      </w:r>
      <w:r w:rsidR="00D61CFE">
        <w:rPr>
          <w:rStyle w:val="href"/>
        </w:rPr>
        <w:t>-</w:t>
      </w:r>
      <w:r w:rsidRPr="0016718A">
        <w:rPr>
          <w:rStyle w:val="href"/>
        </w:rPr>
        <w:t>0</w:t>
      </w:r>
      <w:r>
        <w:rPr>
          <w:rStyle w:val="FootnoteReference"/>
        </w:rPr>
        <w:footnoteReference w:customMarkFollows="1" w:id="1"/>
        <w:t>*</w:t>
      </w:r>
    </w:p>
    <w:p w:rsidR="007A71D2" w:rsidRPr="00514FB5" w:rsidRDefault="007A71D2" w:rsidP="007A71D2">
      <w:pPr>
        <w:pStyle w:val="Rectitle"/>
      </w:pPr>
      <w:r w:rsidRPr="00514FB5">
        <w:t xml:space="preserve">Principales fonctionnalités des récepteurs grand public </w:t>
      </w:r>
      <w:r w:rsidRPr="00514FB5">
        <w:br/>
        <w:t>pour l'itinérance mondiale pour la radiodiffusion</w:t>
      </w:r>
    </w:p>
    <w:p w:rsidR="007A71D2" w:rsidRDefault="007A71D2" w:rsidP="00852084">
      <w:pPr>
        <w:pStyle w:val="Recdate"/>
      </w:pPr>
      <w:r w:rsidRPr="00514FB5">
        <w:t>(2015)</w:t>
      </w:r>
    </w:p>
    <w:p w:rsidR="007A71D2" w:rsidRPr="00D61CFE" w:rsidRDefault="007A71D2" w:rsidP="00465904">
      <w:pPr>
        <w:pStyle w:val="HeadingSum"/>
        <w:rPr>
          <w:lang w:val="fr-CH"/>
        </w:rPr>
      </w:pPr>
      <w:r w:rsidRPr="00D61CFE">
        <w:rPr>
          <w:lang w:val="fr-CH"/>
        </w:rPr>
        <w:t>Domaine d'application</w:t>
      </w:r>
    </w:p>
    <w:p w:rsidR="007A71D2" w:rsidRPr="00D61CFE" w:rsidRDefault="007A71D2" w:rsidP="00465904">
      <w:pPr>
        <w:pStyle w:val="Summary"/>
        <w:rPr>
          <w:lang w:val="fr-CH"/>
        </w:rPr>
      </w:pPr>
      <w:r w:rsidRPr="00D61CFE">
        <w:rPr>
          <w:lang w:val="fr-CH"/>
        </w:rPr>
        <w:t>La présente Recommandation définit les principales fonctionnalités des récepteurs grand public pour l'itinérance mondiale pour la radiodiffusion. Il convient de tenir compte de la liste des fonctionnalités figurant dans la Recommandation pour la mise au point et la production des futurs récepteurs grand public modernes pour la radiodiffusion télévisuelle, multimédia et sonore.</w:t>
      </w:r>
    </w:p>
    <w:p w:rsidR="007A71D2" w:rsidRPr="00413880" w:rsidRDefault="007A71D2" w:rsidP="00465904">
      <w:pPr>
        <w:pStyle w:val="Headingb"/>
      </w:pPr>
      <w:r w:rsidRPr="00465904">
        <w:t>Mots</w:t>
      </w:r>
      <w:r w:rsidRPr="00413880">
        <w:t xml:space="preserve"> clés</w:t>
      </w:r>
    </w:p>
    <w:p w:rsidR="007A71D2" w:rsidRPr="00413880" w:rsidRDefault="007A71D2" w:rsidP="00465904">
      <w:r w:rsidRPr="00413880">
        <w:t>Récepteur grand public, fonctionnalité, itinérance mondiale pour la radiodiffusion</w:t>
      </w:r>
    </w:p>
    <w:p w:rsidR="007A71D2" w:rsidRPr="00413880" w:rsidRDefault="007A71D2" w:rsidP="00465904">
      <w:pPr>
        <w:pStyle w:val="Normalaftertitle0"/>
      </w:pPr>
      <w:r w:rsidRPr="00413880">
        <w:t>L</w:t>
      </w:r>
      <w:r>
        <w:t>'</w:t>
      </w:r>
      <w:r w:rsidRPr="00413880">
        <w:t>Assemblée des radiocommunications de l</w:t>
      </w:r>
      <w:r>
        <w:t>'</w:t>
      </w:r>
      <w:r w:rsidRPr="00413880">
        <w:t>UIT,</w:t>
      </w:r>
    </w:p>
    <w:p w:rsidR="007A71D2" w:rsidRPr="00413880" w:rsidRDefault="007A71D2" w:rsidP="007A71D2">
      <w:pPr>
        <w:pStyle w:val="Call"/>
      </w:pPr>
      <w:r w:rsidRPr="00413880">
        <w:t>considérant</w:t>
      </w:r>
    </w:p>
    <w:p w:rsidR="007A71D2" w:rsidRDefault="007A71D2" w:rsidP="00585444">
      <w:r w:rsidRPr="00413880">
        <w:rPr>
          <w:i/>
          <w:iCs/>
        </w:rPr>
        <w:t>a)</w:t>
      </w:r>
      <w:r w:rsidRPr="00413880">
        <w:tab/>
        <w:t>qu</w:t>
      </w:r>
      <w:r>
        <w:t>'</w:t>
      </w:r>
      <w:r w:rsidRPr="00413880">
        <w:t xml:space="preserve">il existe une demande croissante </w:t>
      </w:r>
      <w:r>
        <w:t>concernant</w:t>
      </w:r>
      <w:r w:rsidRPr="00413880">
        <w:t xml:space="preserve"> l'utilisation de récepteurs de radiodiffusion portables dans le monde entier</w:t>
      </w:r>
      <w:r>
        <w:t xml:space="preserve"> et qu'un consommateur peut utiliser son récepteur lors d'un déplacement;</w:t>
      </w:r>
    </w:p>
    <w:p w:rsidR="007A71D2" w:rsidRDefault="007A71D2" w:rsidP="00585444">
      <w:r>
        <w:rPr>
          <w:i/>
          <w:iCs/>
        </w:rPr>
        <w:t>b)</w:t>
      </w:r>
      <w:r>
        <w:tab/>
      </w:r>
      <w:r w:rsidRPr="002433E1">
        <w:t>que divers systèmes de radiodiffusion télévisuelle, multimédia et sonore numérique pour la réception fixe, portable et mobile, ainsi que leurs paramètres, sont décrits dans des Recommandations et des Rapports de l'UIT-R</w:t>
      </w:r>
      <w:r>
        <w:t>;</w:t>
      </w:r>
    </w:p>
    <w:p w:rsidR="007A71D2" w:rsidRDefault="007A71D2" w:rsidP="00585444">
      <w:r>
        <w:rPr>
          <w:i/>
          <w:iCs/>
        </w:rPr>
        <w:t>c)</w:t>
      </w:r>
      <w:r>
        <w:rPr>
          <w:i/>
          <w:iCs/>
        </w:rPr>
        <w:tab/>
      </w:r>
      <w:r>
        <w:t>que le Rapport UIT-R BT.2295 donne les caractéristiques des systèmes de radiodiffusion sonore, multimédia et télévisuelle numérique</w:t>
      </w:r>
      <w:r w:rsidRPr="00DC184D">
        <w:t xml:space="preserve"> </w:t>
      </w:r>
      <w:r>
        <w:t xml:space="preserve">de Terre </w:t>
      </w:r>
      <w:r w:rsidRPr="002433E1">
        <w:t>pour la réception fixe, portable et mobile</w:t>
      </w:r>
      <w:r>
        <w:t>;</w:t>
      </w:r>
    </w:p>
    <w:p w:rsidR="007A71D2" w:rsidRDefault="007A71D2" w:rsidP="00585444">
      <w:r>
        <w:rPr>
          <w:i/>
          <w:iCs/>
        </w:rPr>
        <w:t>d)</w:t>
      </w:r>
      <w:r>
        <w:rPr>
          <w:i/>
          <w:iCs/>
        </w:rPr>
        <w:tab/>
      </w:r>
      <w:r>
        <w:t>que la radiodiffusion télévisuelle, multimédia et sonore fonctionne dans différentes bandes de fréquences dans différentes parties du monde;</w:t>
      </w:r>
    </w:p>
    <w:p w:rsidR="007A71D2" w:rsidRDefault="007A71D2" w:rsidP="00D61CFE">
      <w:r>
        <w:rPr>
          <w:i/>
          <w:iCs/>
        </w:rPr>
        <w:t>e)</w:t>
      </w:r>
      <w:r>
        <w:rPr>
          <w:i/>
          <w:iCs/>
        </w:rPr>
        <w:tab/>
      </w:r>
      <w:r>
        <w:t xml:space="preserve">qu'il existe de nombreux systèmes de codage de source et systèmes de codage de canal pour la radiodiffusion télévisuelle, multimédia et sonore, dont certains sont actuellement très largement utilisés, d'autres sont utilisés dans certains pays seulement et d'autres </w:t>
      </w:r>
      <w:r w:rsidR="0046350D">
        <w:t xml:space="preserve">ont </w:t>
      </w:r>
      <w:r>
        <w:t>déjà été décrits et testés mais ne sont pas encore couramment utilisés;</w:t>
      </w:r>
    </w:p>
    <w:p w:rsidR="007A71D2" w:rsidRDefault="007A71D2" w:rsidP="00585444">
      <w:r>
        <w:rPr>
          <w:i/>
          <w:iCs/>
        </w:rPr>
        <w:t>f)</w:t>
      </w:r>
      <w:r>
        <w:rPr>
          <w:i/>
          <w:iCs/>
        </w:rPr>
        <w:tab/>
      </w:r>
      <w:r>
        <w:t xml:space="preserve">que dans la Question UIT-R 136-2/6, l'itinérance mondiale pour la radiodiffusion est définie comme étant «la </w:t>
      </w:r>
      <w:r w:rsidRPr="005674D6">
        <w:t>possibilité offerte à un consommateur de recevoir les programmes de radiodiffusion sonore, multimédia ou télévisuelle de son choix, en n'importe quel endroit du monde où ils sont disponibles, à l'aide d'un même récepteur, quelle que soit la plate</w:t>
      </w:r>
      <w:r w:rsidRPr="005674D6">
        <w:noBreakHyphen/>
        <w:t>forme de radiodiffusion sur laquelle ces programmes sont distribués en cet endroit</w:t>
      </w:r>
      <w:r>
        <w:t>»;</w:t>
      </w:r>
    </w:p>
    <w:p w:rsidR="007A71D2" w:rsidRDefault="007A71D2" w:rsidP="00A913E1">
      <w:r>
        <w:rPr>
          <w:i/>
          <w:iCs/>
        </w:rPr>
        <w:t>g)</w:t>
      </w:r>
      <w:r>
        <w:rPr>
          <w:i/>
          <w:iCs/>
        </w:rPr>
        <w:tab/>
      </w:r>
      <w:r>
        <w:t>que plusieurs des fonctionnalités des récepteurs grand public pour l'itinérance mondiale pour la radiodiffusion sont déjà indiquées dans les Recommandations UIT-R BS.774, UIT</w:t>
      </w:r>
      <w:r w:rsidR="00A913E1">
        <w:noBreakHyphen/>
      </w:r>
      <w:r>
        <w:t>R</w:t>
      </w:r>
      <w:r w:rsidR="00A913E1">
        <w:t> </w:t>
      </w:r>
      <w:r>
        <w:t>BS.1114 et UIT-R BS.1348;</w:t>
      </w:r>
    </w:p>
    <w:p w:rsidR="007A71D2" w:rsidRDefault="007A71D2" w:rsidP="00F74DEA">
      <w:r>
        <w:rPr>
          <w:i/>
          <w:iCs/>
        </w:rPr>
        <w:lastRenderedPageBreak/>
        <w:t>h)</w:t>
      </w:r>
      <w:r>
        <w:rPr>
          <w:i/>
          <w:iCs/>
        </w:rPr>
        <w:tab/>
      </w:r>
      <w:r>
        <w:t xml:space="preserve">que le Rapport UIT-R BT.2267 donne des informations sur les </w:t>
      </w:r>
      <w:r w:rsidRPr="00224DDC">
        <w:t>systèmes radiodiffusion</w:t>
      </w:r>
      <w:r>
        <w:noBreakHyphen/>
      </w:r>
      <w:r w:rsidRPr="00224DDC">
        <w:t>large bande intégrés</w:t>
      </w:r>
      <w:r>
        <w:t xml:space="preserve"> dont il pourrait être tenu compte dans l'itinérance mondiale pour la radiodiffusion, à savoir concernant l'alerte au public en cas de crise et la conduite à adopter en cas d'urgence;</w:t>
      </w:r>
    </w:p>
    <w:p w:rsidR="007A71D2" w:rsidRDefault="007A71D2" w:rsidP="00DA2811">
      <w:r>
        <w:rPr>
          <w:i/>
          <w:iCs/>
        </w:rPr>
        <w:t>i)</w:t>
      </w:r>
      <w:r>
        <w:tab/>
        <w:t>qu'une nouvelle p</w:t>
      </w:r>
      <w:r w:rsidRPr="004C06EA">
        <w:t>late-forme mondiale pour le service de radiodiffusion</w:t>
      </w:r>
      <w:r>
        <w:t xml:space="preserve"> est à l'étude à l'UIT</w:t>
      </w:r>
      <w:r w:rsidR="00DA2811">
        <w:noBreakHyphen/>
      </w:r>
      <w:r>
        <w:t>R,</w:t>
      </w:r>
    </w:p>
    <w:p w:rsidR="007A71D2" w:rsidRDefault="007A71D2" w:rsidP="007A71D2">
      <w:pPr>
        <w:pStyle w:val="Call"/>
      </w:pPr>
      <w:r>
        <w:t>recommande</w:t>
      </w:r>
    </w:p>
    <w:p w:rsidR="007A71D2" w:rsidRDefault="007A71D2" w:rsidP="007A71D2">
      <w:r>
        <w:t>que, pour recevoir, démoduler et décoder les signaux de radiodiffusion partout dans le monde, les récepteurs grand public pour l'itinérance mondiale pour la radiodiffusion prennent en charge les principales fonctionnalités énumérées à l'Annexe 1.</w:t>
      </w:r>
    </w:p>
    <w:p w:rsidR="005B1AC5" w:rsidRDefault="005B1AC5" w:rsidP="007A71D2"/>
    <w:p w:rsidR="005B1AC5" w:rsidRDefault="005B1AC5" w:rsidP="007A71D2"/>
    <w:p w:rsidR="007A71D2" w:rsidRDefault="007A71D2" w:rsidP="00D61CFE">
      <w:pPr>
        <w:pStyle w:val="AnnexNoTitle"/>
      </w:pPr>
      <w:r w:rsidRPr="000A13AD">
        <w:t>Annexe 1</w:t>
      </w:r>
      <w:r w:rsidR="00D61CFE">
        <w:br/>
      </w:r>
      <w:r w:rsidR="00D61CFE">
        <w:br/>
      </w:r>
      <w:r w:rsidRPr="00F57518">
        <w:t xml:space="preserve">Principales fonctionnalités des récepteurs grand public </w:t>
      </w:r>
      <w:r w:rsidRPr="00F57518">
        <w:br/>
        <w:t>pour l'itinérance mondiale pour la radiodiffusion</w:t>
      </w:r>
    </w:p>
    <w:p w:rsidR="007A71D2" w:rsidRDefault="007A71D2" w:rsidP="005B1AC5">
      <w:pPr>
        <w:pStyle w:val="Normalaftertitle"/>
      </w:pPr>
      <w:r>
        <w:t xml:space="preserve">Les principales fonctionnalités des récepteurs grand public pour l'itinérance mondiale pour la radiodiffusion devraient remplir leurs fonctions conformément à la définition donnée au point </w:t>
      </w:r>
      <w:r>
        <w:rPr>
          <w:i/>
          <w:iCs/>
        </w:rPr>
        <w:t>f)</w:t>
      </w:r>
      <w:r>
        <w:t xml:space="preserve"> du </w:t>
      </w:r>
      <w:r>
        <w:rPr>
          <w:i/>
          <w:iCs/>
        </w:rPr>
        <w:t>considérant</w:t>
      </w:r>
      <w:r>
        <w:t>.</w:t>
      </w:r>
    </w:p>
    <w:p w:rsidR="007A71D2" w:rsidRDefault="007A71D2" w:rsidP="005B1AC5">
      <w:r>
        <w:t>Ces fonctionnalités pourraient être divisées en plusieurs groupes.</w:t>
      </w:r>
    </w:p>
    <w:p w:rsidR="007A71D2" w:rsidRPr="00E65BDA" w:rsidRDefault="007A71D2" w:rsidP="00D2590F">
      <w:pPr>
        <w:pStyle w:val="Heading1"/>
      </w:pPr>
      <w:r w:rsidRPr="00E65BDA">
        <w:t>1</w:t>
      </w:r>
      <w:r w:rsidRPr="00E65BDA">
        <w:tab/>
        <w:t>Principales fonctionnalités associée aux déplacements</w:t>
      </w:r>
    </w:p>
    <w:p w:rsidR="007A71D2" w:rsidRDefault="007A71D2" w:rsidP="00D2590F">
      <w:r>
        <w:t>La notion même d'itinérance mondiale pour la radiodiffusion suppose qu'un consommateur puisse également utiliser son récepteur lorsqu'il est en déplacement. Par conséquent, un récepteur prenant en charge l'itinérance mondiale pour la radiodiffusion:</w:t>
      </w:r>
    </w:p>
    <w:p w:rsidR="007A71D2" w:rsidRPr="00D2590F" w:rsidRDefault="007A71D2" w:rsidP="00D2590F">
      <w:pPr>
        <w:pStyle w:val="enumlev1"/>
      </w:pPr>
      <w:r>
        <w:t>–</w:t>
      </w:r>
      <w:r w:rsidRPr="00D2590F">
        <w:tab/>
        <w:t>devrait être raisonnablement compact et léger;</w:t>
      </w:r>
    </w:p>
    <w:p w:rsidR="007A71D2" w:rsidRPr="00D2590F" w:rsidRDefault="007A71D2" w:rsidP="00D2590F">
      <w:pPr>
        <w:pStyle w:val="enumlev1"/>
      </w:pPr>
      <w:r w:rsidRPr="00D2590F">
        <w:t>–</w:t>
      </w:r>
      <w:r w:rsidRPr="00D2590F">
        <w:tab/>
        <w:t>devrait fonctionner sur batteries (possiblement rechargeables) et sur secteur;</w:t>
      </w:r>
    </w:p>
    <w:p w:rsidR="007A71D2" w:rsidRPr="00D2590F" w:rsidRDefault="007A71D2" w:rsidP="00D2590F">
      <w:pPr>
        <w:pStyle w:val="enumlev1"/>
      </w:pPr>
      <w:r w:rsidRPr="00D2590F">
        <w:t>–</w:t>
      </w:r>
      <w:r w:rsidRPr="00D2590F">
        <w:tab/>
        <w:t>devrait pouvoir fonctionner sur batteries pendant plusieurs heures;</w:t>
      </w:r>
    </w:p>
    <w:p w:rsidR="007A71D2" w:rsidRPr="00D2590F" w:rsidRDefault="007A71D2" w:rsidP="00D2590F">
      <w:pPr>
        <w:pStyle w:val="enumlev1"/>
      </w:pPr>
      <w:r w:rsidRPr="00D2590F">
        <w:t>–</w:t>
      </w:r>
      <w:r w:rsidRPr="00D2590F">
        <w:tab/>
        <w:t>devrait être conçu pour pouvoir recevoir et présenter des contenus de radiodiffusion télévisuelle, multimédia et sonore avec un niveau raisonnable de qualité d'image/sonore perceptuelle;</w:t>
      </w:r>
    </w:p>
    <w:p w:rsidR="007A71D2" w:rsidRPr="00D2590F" w:rsidRDefault="007A71D2" w:rsidP="00D2590F">
      <w:pPr>
        <w:pStyle w:val="enumlev1"/>
      </w:pPr>
      <w:r w:rsidRPr="00D2590F">
        <w:t>–</w:t>
      </w:r>
      <w:r w:rsidRPr="00D2590F">
        <w:tab/>
        <w:t>devrait assurer la réception prioritaire de messages d'alerte destinés au public et d'autres informations appropriées en cas d'urgence transmis grâce à la radiodiffusion;</w:t>
      </w:r>
    </w:p>
    <w:p w:rsidR="007A71D2" w:rsidRDefault="007A71D2" w:rsidP="00D2590F">
      <w:pPr>
        <w:pStyle w:val="enumlev1"/>
      </w:pPr>
      <w:r w:rsidRPr="00D2590F">
        <w:t>–</w:t>
      </w:r>
      <w:r w:rsidRPr="00D2590F">
        <w:tab/>
        <w:t>devrait de préférence être fourni avec un indicateur simple du niveau de champ RF reçu et du taux d'erreurs sur les bits.</w:t>
      </w:r>
    </w:p>
    <w:p w:rsidR="007A71D2" w:rsidRPr="00DF3FA1" w:rsidRDefault="007A71D2" w:rsidP="0046350D">
      <w:pPr>
        <w:pStyle w:val="Heading1"/>
      </w:pPr>
      <w:r w:rsidRPr="00DF3FA1">
        <w:lastRenderedPageBreak/>
        <w:t>2</w:t>
      </w:r>
      <w:r w:rsidRPr="00DF3FA1">
        <w:tab/>
        <w:t>Principales fonctionnalités associées à la prise en charge de divers systèmes de radiodiffusion</w:t>
      </w:r>
    </w:p>
    <w:p w:rsidR="007A71D2" w:rsidRDefault="007A71D2" w:rsidP="0046350D">
      <w:pPr>
        <w:keepNext/>
        <w:keepLines/>
      </w:pPr>
      <w:r>
        <w:t>La radiodiffusion télévisuelle, multimédia et sonore fonctionne sur différentes bandes de fréquences dans différentes parties du monde et il existe de nombreux systèmes de codage de source et de canal. Par conséquent, un récepteur multimodes grand public prenant en charge l'itinérance mondiale pour la radiodiffusion devrait être capable:</w:t>
      </w:r>
    </w:p>
    <w:p w:rsidR="007A71D2" w:rsidRPr="00A65209" w:rsidRDefault="007A71D2" w:rsidP="00A65209">
      <w:pPr>
        <w:pStyle w:val="enumlev1"/>
      </w:pPr>
      <w:r>
        <w:t>–</w:t>
      </w:r>
      <w:r w:rsidRPr="00A65209">
        <w:tab/>
        <w:t>de se caler sur toutes les bandes de fréquences utilisées pour la radiodiffusion télévisuelle, multimédia et sonore qui est très répandue dans le monde;</w:t>
      </w:r>
    </w:p>
    <w:p w:rsidR="007A71D2" w:rsidRPr="00A65209" w:rsidRDefault="007A71D2" w:rsidP="00A65209">
      <w:pPr>
        <w:pStyle w:val="enumlev1"/>
      </w:pPr>
      <w:r w:rsidRPr="00A65209">
        <w:t>–</w:t>
      </w:r>
      <w:r w:rsidRPr="00A65209">
        <w:tab/>
        <w:t xml:space="preserve">d'effectuer la démodulation et le décodage du canal </w:t>
      </w:r>
      <w:r w:rsidR="00D61CFE">
        <w:t xml:space="preserve">et </w:t>
      </w:r>
      <w:r w:rsidRPr="00A65209">
        <w:t>de la source pour des signaux de radiodiffusion sonore, multimédia et télévisuelle qui sont modulés et codés selon l'un quelconque des différents systèmes couramment utilisés dans le monde, en basculant automatiquement vers le démodulateur et le décodeur appropriés stockés dans sa mémoire;</w:t>
      </w:r>
    </w:p>
    <w:p w:rsidR="007A71D2" w:rsidRPr="00A65209" w:rsidRDefault="007A71D2" w:rsidP="00A65209">
      <w:pPr>
        <w:pStyle w:val="enumlev1"/>
      </w:pPr>
      <w:r w:rsidRPr="00A65209">
        <w:t>–</w:t>
      </w:r>
      <w:r w:rsidRPr="00A65209">
        <w:tab/>
        <w:t>de stocker des décodeurs logiciels pour des systèmes de codage de canal ou de source nouveaux ou peu utilisés qui ne sont pas encore disponibles dans sa mémoire numérique et que le propriétaire du récepteur pourra télécharger sur le web;</w:t>
      </w:r>
    </w:p>
    <w:p w:rsidR="007A71D2" w:rsidRPr="00A65209" w:rsidRDefault="007A71D2" w:rsidP="00A65209">
      <w:pPr>
        <w:pStyle w:val="enumlev1"/>
      </w:pPr>
      <w:r w:rsidRPr="00A65209">
        <w:t>–</w:t>
      </w:r>
      <w:r w:rsidRPr="00A65209">
        <w:tab/>
        <w:t>de permettre un réglage automatique et manuel (facultatif); cela comprend le basculement automatique vers le démodulateur, le décodeur de canal et le décodeur de source utilisés sur le canal syntonisé;</w:t>
      </w:r>
    </w:p>
    <w:p w:rsidR="007A71D2" w:rsidRPr="00A65209" w:rsidRDefault="007A71D2" w:rsidP="00A65209">
      <w:pPr>
        <w:pStyle w:val="enumlev1"/>
      </w:pPr>
      <w:r w:rsidRPr="00A65209">
        <w:t>–</w:t>
      </w:r>
      <w:r w:rsidRPr="00A65209">
        <w:tab/>
        <w:t>de recevoir du contenu de radiodiffusion qui est fourni via des moyens autres que des moyens de radiodiffusion, par exemple des réseaux de télécommunication fixes ou mobiles large bande;</w:t>
      </w:r>
    </w:p>
    <w:p w:rsidR="007A71D2" w:rsidRDefault="007A71D2" w:rsidP="00A65209">
      <w:pPr>
        <w:pStyle w:val="enumlev1"/>
      </w:pPr>
      <w:r w:rsidRPr="00A65209">
        <w:t>–</w:t>
      </w:r>
      <w:r w:rsidRPr="00A65209">
        <w:tab/>
        <w:t>d'empêcher la réception de communications non destinées au public, qui est limitée sur le plan légal par plusieurs administrations.</w:t>
      </w:r>
    </w:p>
    <w:p w:rsidR="007A71D2" w:rsidRPr="00E65BDA" w:rsidRDefault="007A71D2" w:rsidP="00C1165B">
      <w:pPr>
        <w:pStyle w:val="Heading1"/>
      </w:pPr>
      <w:r w:rsidRPr="00E65BDA">
        <w:t>3</w:t>
      </w:r>
      <w:r w:rsidRPr="00E65BDA">
        <w:tab/>
        <w:t>Principales fonctionnalités associées à la prise en charge des informations sur les programmes</w:t>
      </w:r>
    </w:p>
    <w:p w:rsidR="007A71D2" w:rsidRDefault="007A71D2" w:rsidP="00C1165B">
      <w:r>
        <w:t>Un récepteur grand public prenant en charge l'itinérance mondiale pour la radiodiffusion devrait être «convivial», c'est-à-dire qu'il devrait aider l'utilisateur à trouver rapidement les programmes sonores, multimédia ou télévisuels qui l'intéressent. Ainsi, le réglage automatique d'un récepteur grand public prenant en charge l'itinérance mondiale pour la radiodiffusion entraînera généralement l'affichage de la liste des canaux sur lesquels le récepteur peut se caler et qu'il peut démoduler et décoder. Toutefois, pour que le récepteur soit véritablement convivial, cette liste devrait en outre fournir des informations sur le contenu transmis sur les canaux, notamment:</w:t>
      </w:r>
    </w:p>
    <w:p w:rsidR="007A71D2" w:rsidRPr="00C1165B" w:rsidRDefault="007A71D2" w:rsidP="00C1165B">
      <w:pPr>
        <w:pStyle w:val="enumlev1"/>
      </w:pPr>
      <w:r>
        <w:t>–</w:t>
      </w:r>
      <w:r w:rsidRPr="00C1165B">
        <w:tab/>
        <w:t>le nom de la station et la qualité de réception;</w:t>
      </w:r>
    </w:p>
    <w:p w:rsidR="007A71D2" w:rsidRPr="00C1165B" w:rsidRDefault="007A71D2" w:rsidP="00C1165B">
      <w:pPr>
        <w:pStyle w:val="enumlev1"/>
      </w:pPr>
      <w:r w:rsidRPr="00C1165B">
        <w:t>–</w:t>
      </w:r>
      <w:r w:rsidRPr="00C1165B">
        <w:tab/>
        <w:t>le titre du programme, qui, en général, aide à se faire une idée du contenu;</w:t>
      </w:r>
    </w:p>
    <w:p w:rsidR="007A71D2" w:rsidRPr="00C1165B" w:rsidRDefault="007A71D2" w:rsidP="00C1165B">
      <w:pPr>
        <w:pStyle w:val="enumlev1"/>
      </w:pPr>
      <w:r w:rsidRPr="00C1165B">
        <w:t>–</w:t>
      </w:r>
      <w:r w:rsidRPr="00C1165B">
        <w:tab/>
        <w:t>le type de programme (par exemple sport, actualités, musique, etc.) et le sous</w:t>
      </w:r>
      <w:r w:rsidRPr="00C1165B">
        <w:noBreakHyphen/>
        <w:t>type (par exemple tennis, football, etc., dans le cas d'un programme sur le sport);</w:t>
      </w:r>
    </w:p>
    <w:p w:rsidR="007A71D2" w:rsidRDefault="007A71D2" w:rsidP="00C1165B">
      <w:pPr>
        <w:pStyle w:val="enumlev1"/>
      </w:pPr>
      <w:r w:rsidRPr="00C1165B">
        <w:t>–</w:t>
      </w:r>
      <w:r w:rsidRPr="00C1165B">
        <w:tab/>
        <w:t>la langue du programme, pour les programmes avec du contenu vocal, etc.</w:t>
      </w:r>
    </w:p>
    <w:p w:rsidR="007A71D2" w:rsidRDefault="007A71D2" w:rsidP="008B4CF0">
      <w:r>
        <w:t>Ces informations, à l'exception de celle relative à la qualité de réception qui est générée à l'intérieur du récepteur, devraient être présentées à l'utilisateur dans la langue de son choix. Par conséquent, elles devraient être fournies aux récepteurs dans une forme normalisée, c'est-à-dire au moyen de métadonnées normalisées multiplexées sur le flux du programme.</w:t>
      </w:r>
    </w:p>
    <w:p w:rsidR="007A71D2" w:rsidRDefault="007A71D2" w:rsidP="007A71D2"/>
    <w:p w:rsidR="007A71D2" w:rsidRPr="00D61CFE" w:rsidRDefault="007A71D2" w:rsidP="008B4CF0">
      <w:pPr>
        <w:pStyle w:val="Line"/>
        <w:rPr>
          <w:lang w:val="fr-CH"/>
        </w:rPr>
      </w:pPr>
    </w:p>
    <w:sectPr w:rsidR="007A71D2" w:rsidRPr="00D61CFE" w:rsidSect="00852084">
      <w:headerReference w:type="even" r:id="rId12"/>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F51" w:rsidRDefault="001E7F51">
      <w:r>
        <w:separator/>
      </w:r>
    </w:p>
  </w:endnote>
  <w:endnote w:type="continuationSeparator" w:id="0">
    <w:p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F51" w:rsidRDefault="001E7F51">
      <w:r>
        <w:separator/>
      </w:r>
    </w:p>
  </w:footnote>
  <w:footnote w:type="continuationSeparator" w:id="0">
    <w:p w:rsidR="001E7F51" w:rsidRDefault="001E7F51">
      <w:r>
        <w:continuationSeparator/>
      </w:r>
    </w:p>
  </w:footnote>
  <w:footnote w:id="1">
    <w:p w:rsidR="007A71D2" w:rsidRPr="00DF3FA1" w:rsidRDefault="007A71D2" w:rsidP="007A71D2">
      <w:pPr>
        <w:pStyle w:val="FootnoteText"/>
        <w:rPr>
          <w:lang w:val="fr-CH"/>
        </w:rPr>
      </w:pPr>
      <w:r>
        <w:rPr>
          <w:rStyle w:val="FootnoteReference"/>
        </w:rPr>
        <w:t>*</w:t>
      </w:r>
      <w:r>
        <w:tab/>
      </w:r>
      <w:r w:rsidRPr="00DF3FA1">
        <w:rPr>
          <w:rStyle w:val="FootnoteTextChar"/>
        </w:rPr>
        <w:t>La Commission d'études 6 des radiocommunications a apporté des modifications rédactionnelles à la présente Recommandation en juillet 2015,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7B518B" w:rsidP="0014322C">
    <w:pPr>
      <w:pStyle w:val="Header"/>
      <w:ind w:right="360" w:firstLine="360"/>
    </w:pPr>
    <w:r>
      <w:rPr>
        <w:noProof/>
        <w:lang w:val="en-US" w:eastAsia="zh-CN"/>
      </w:rPr>
      <w:drawing>
        <wp:anchor distT="0" distB="0" distL="114300" distR="114300" simplePos="0" relativeHeight="251658752" behindDoc="1" locked="0" layoutInCell="1" allowOverlap="1" wp14:anchorId="67746182" wp14:editId="76CD9D60">
          <wp:simplePos x="0" y="0"/>
          <wp:positionH relativeFrom="page">
            <wp:posOffset>0</wp:posOffset>
          </wp:positionH>
          <wp:positionV relativeFrom="page">
            <wp:posOffset>0</wp:posOffset>
          </wp:positionV>
          <wp:extent cx="7592060" cy="10760075"/>
          <wp:effectExtent l="19050" t="0" r="8890" b="0"/>
          <wp:wrapNone/>
          <wp:docPr id="7" name="Picture 7"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Pr="00DC03C4" w:rsidRDefault="00E4537B">
    <w:pPr>
      <w:pStyle w:val="Header"/>
      <w:jc w:val="left"/>
      <w:rPr>
        <w:lang w:val="fr-CH"/>
      </w:rPr>
    </w:pPr>
    <w:r>
      <w:rPr>
        <w:rStyle w:val="PageNumber"/>
        <w:b/>
        <w:bCs/>
      </w:rPr>
      <w:fldChar w:fldCharType="begin"/>
    </w:r>
    <w:r w:rsidR="0043089F" w:rsidRPr="00DC03C4">
      <w:rPr>
        <w:rStyle w:val="PageNumber"/>
        <w:b/>
        <w:bCs/>
        <w:lang w:val="fr-CH"/>
      </w:rPr>
      <w:instrText xml:space="preserve"> PAGE </w:instrText>
    </w:r>
    <w:r>
      <w:rPr>
        <w:rStyle w:val="PageNumber"/>
        <w:b/>
        <w:bCs/>
      </w:rPr>
      <w:fldChar w:fldCharType="separate"/>
    </w:r>
    <w:r w:rsidR="00790701">
      <w:rPr>
        <w:rStyle w:val="PageNumber"/>
        <w:b/>
        <w:bCs/>
        <w:noProof/>
        <w:lang w:val="fr-CH"/>
      </w:rPr>
      <w:t>ii</w:t>
    </w:r>
    <w:r>
      <w:rPr>
        <w:rStyle w:val="PageNumber"/>
        <w:b/>
        <w:bCs/>
      </w:rPr>
      <w:fldChar w:fldCharType="end"/>
    </w:r>
    <w:r w:rsidR="0043089F" w:rsidRPr="00DC03C4">
      <w:rPr>
        <w:lang w:val="fr-CH"/>
      </w:rPr>
      <w:tab/>
    </w:r>
    <w:r w:rsidR="00790701">
      <w:fldChar w:fldCharType="begin"/>
    </w:r>
    <w:r w:rsidR="00790701">
      <w:instrText xml:space="preserve"> DOCPROPERTY "Header" \* MERGEFORMAT </w:instrText>
    </w:r>
    <w:r w:rsidR="00790701">
      <w:fldChar w:fldCharType="separate"/>
    </w:r>
    <w:r w:rsidR="00790701" w:rsidRPr="00790701">
      <w:rPr>
        <w:b/>
        <w:bCs/>
        <w:lang w:val="fr-CH"/>
      </w:rPr>
      <w:t xml:space="preserve">Rec. </w:t>
    </w:r>
    <w:r w:rsidR="00790701">
      <w:rPr>
        <w:b/>
        <w:bCs/>
        <w:lang w:val="fr-CH"/>
      </w:rPr>
      <w:fldChar w:fldCharType="end"/>
    </w:r>
    <w:r w:rsidR="0043089F">
      <w:rPr>
        <w:b/>
        <w:bCs/>
      </w:rPr>
      <w:t xml:space="preserve"> </w:t>
    </w:r>
    <w:r>
      <w:rPr>
        <w:b/>
        <w:bCs/>
      </w:rPr>
      <w:fldChar w:fldCharType="begin"/>
    </w:r>
    <w:r w:rsidR="0043089F" w:rsidRPr="00DC03C4">
      <w:rPr>
        <w:b/>
        <w:bCs/>
        <w:lang w:val="fr-CH"/>
      </w:rPr>
      <w:instrText>styleref href</w:instrText>
    </w:r>
    <w:r>
      <w:rPr>
        <w:b/>
        <w:bCs/>
      </w:rPr>
      <w:fldChar w:fldCharType="separate"/>
    </w:r>
    <w:r w:rsidR="00790701">
      <w:rPr>
        <w:b/>
        <w:bCs/>
        <w:noProof/>
      </w:rPr>
      <w:t>UIT-R  BT.2072-0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pPr>
    <w:r>
      <w:tab/>
    </w:r>
    <w:r w:rsidR="00790701">
      <w:fldChar w:fldCharType="begin"/>
    </w:r>
    <w:r w:rsidR="00790701">
      <w:instrText xml:space="preserve"> DOCPROPERTY "Header" \* MERGEFORMAT </w:instrText>
    </w:r>
    <w:r w:rsidR="00790701">
      <w:fldChar w:fldCharType="separate"/>
    </w:r>
    <w:r w:rsidR="00790701" w:rsidRPr="00790701">
      <w:rPr>
        <w:b/>
        <w:bCs/>
      </w:rPr>
      <w:t xml:space="preserve">Rec. </w:t>
    </w:r>
    <w:r w:rsidR="00790701">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790701">
      <w:rPr>
        <w:b/>
        <w:bCs/>
        <w:noProof/>
      </w:rPr>
      <w:t>UIT-R  BT.2072-0</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sidR="00790701">
      <w:rPr>
        <w:rStyle w:val="PageNumber"/>
        <w:b/>
        <w:bCs/>
        <w:noProof/>
      </w:rPr>
      <w:t>3</w:t>
    </w:r>
    <w:r w:rsidR="00E4537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790701">
      <w:rPr>
        <w:rStyle w:val="PageNumber"/>
        <w:b/>
        <w:bCs/>
        <w:noProof/>
        <w:lang w:val="en-US"/>
      </w:rPr>
      <w:t>2</w:t>
    </w:r>
    <w:r>
      <w:rPr>
        <w:rStyle w:val="PageNumber"/>
        <w:b/>
        <w:bCs/>
      </w:rPr>
      <w:fldChar w:fldCharType="end"/>
    </w:r>
    <w:r w:rsidR="0043089F">
      <w:rPr>
        <w:lang w:val="en-US"/>
      </w:rPr>
      <w:tab/>
    </w:r>
    <w:r w:rsidR="00790701">
      <w:fldChar w:fldCharType="begin"/>
    </w:r>
    <w:r w:rsidR="00790701">
      <w:instrText xml:space="preserve"> DOCPROPERTY "Header" \* MERGEFORMAT </w:instrText>
    </w:r>
    <w:r w:rsidR="00790701">
      <w:fldChar w:fldCharType="separate"/>
    </w:r>
    <w:r w:rsidR="00790701" w:rsidRPr="00790701">
      <w:rPr>
        <w:b/>
        <w:bCs/>
        <w:lang w:val="en-US"/>
      </w:rPr>
      <w:t xml:space="preserve">Rec. </w:t>
    </w:r>
    <w:r w:rsidR="00790701">
      <w:rPr>
        <w:b/>
        <w:bCs/>
        <w:lang w:val="en-US"/>
      </w:rPr>
      <w:fldChar w:fldCharType="end"/>
    </w:r>
    <w:r w:rsidR="0043089F">
      <w:rPr>
        <w:b/>
        <w:bCs/>
      </w:rPr>
      <w:t xml:space="preserve"> </w:t>
    </w:r>
    <w:r>
      <w:rPr>
        <w:b/>
        <w:bCs/>
      </w:rPr>
      <w:fldChar w:fldCharType="begin"/>
    </w:r>
    <w:r w:rsidR="0043089F">
      <w:rPr>
        <w:b/>
        <w:bCs/>
        <w:lang w:val="en-US"/>
      </w:rPr>
      <w:instrText>styleref href</w:instrText>
    </w:r>
    <w:r>
      <w:rPr>
        <w:b/>
        <w:bCs/>
      </w:rPr>
      <w:fldChar w:fldCharType="separate"/>
    </w:r>
    <w:r w:rsidR="00790701">
      <w:rPr>
        <w:b/>
        <w:bCs/>
        <w:noProof/>
      </w:rPr>
      <w:t>UIT-R  BT.2072-0</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0825F8"/>
    <w:rsid w:val="000D46BB"/>
    <w:rsid w:val="001031B5"/>
    <w:rsid w:val="00124F3A"/>
    <w:rsid w:val="0014322C"/>
    <w:rsid w:val="0014661E"/>
    <w:rsid w:val="0016718A"/>
    <w:rsid w:val="001A56CF"/>
    <w:rsid w:val="001D1994"/>
    <w:rsid w:val="001E7F51"/>
    <w:rsid w:val="002651E4"/>
    <w:rsid w:val="002843E4"/>
    <w:rsid w:val="002A0BA7"/>
    <w:rsid w:val="002D19BC"/>
    <w:rsid w:val="002D569C"/>
    <w:rsid w:val="002D76C4"/>
    <w:rsid w:val="00346E26"/>
    <w:rsid w:val="00394B4A"/>
    <w:rsid w:val="003A2FB9"/>
    <w:rsid w:val="003B0FEF"/>
    <w:rsid w:val="003C0395"/>
    <w:rsid w:val="003C075D"/>
    <w:rsid w:val="00403476"/>
    <w:rsid w:val="0043089F"/>
    <w:rsid w:val="0046350D"/>
    <w:rsid w:val="00465904"/>
    <w:rsid w:val="005121ED"/>
    <w:rsid w:val="00585444"/>
    <w:rsid w:val="00586BCF"/>
    <w:rsid w:val="00595B2F"/>
    <w:rsid w:val="005A1642"/>
    <w:rsid w:val="005B1AC5"/>
    <w:rsid w:val="005C33C3"/>
    <w:rsid w:val="005D2095"/>
    <w:rsid w:val="005D3E9E"/>
    <w:rsid w:val="005D75C3"/>
    <w:rsid w:val="00607D68"/>
    <w:rsid w:val="00613D63"/>
    <w:rsid w:val="006A55A8"/>
    <w:rsid w:val="0071229D"/>
    <w:rsid w:val="007468DA"/>
    <w:rsid w:val="00753F1E"/>
    <w:rsid w:val="00790701"/>
    <w:rsid w:val="007A71D2"/>
    <w:rsid w:val="007B518B"/>
    <w:rsid w:val="007E51DC"/>
    <w:rsid w:val="00852084"/>
    <w:rsid w:val="00885781"/>
    <w:rsid w:val="008B4CF0"/>
    <w:rsid w:val="00910201"/>
    <w:rsid w:val="0091075F"/>
    <w:rsid w:val="00972400"/>
    <w:rsid w:val="009D01CC"/>
    <w:rsid w:val="009D10A1"/>
    <w:rsid w:val="009D3E41"/>
    <w:rsid w:val="00A65209"/>
    <w:rsid w:val="00A6617B"/>
    <w:rsid w:val="00A913E1"/>
    <w:rsid w:val="00AB0DC8"/>
    <w:rsid w:val="00B2211C"/>
    <w:rsid w:val="00B23B3C"/>
    <w:rsid w:val="00B44E24"/>
    <w:rsid w:val="00B80E94"/>
    <w:rsid w:val="00B818CF"/>
    <w:rsid w:val="00BC0065"/>
    <w:rsid w:val="00C1165B"/>
    <w:rsid w:val="00C57597"/>
    <w:rsid w:val="00C803DC"/>
    <w:rsid w:val="00CC490A"/>
    <w:rsid w:val="00CF56FE"/>
    <w:rsid w:val="00D2590F"/>
    <w:rsid w:val="00D61CFE"/>
    <w:rsid w:val="00DA2811"/>
    <w:rsid w:val="00DA2EA9"/>
    <w:rsid w:val="00DC03C4"/>
    <w:rsid w:val="00DD35F8"/>
    <w:rsid w:val="00DF4176"/>
    <w:rsid w:val="00E4537B"/>
    <w:rsid w:val="00F74DEA"/>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paragraph" w:customStyle="1" w:styleId="AnnexNo">
    <w:name w:val="Annex_No"/>
    <w:basedOn w:val="Normal"/>
    <w:next w:val="Normal"/>
    <w:rsid w:val="007A71D2"/>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7A71D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7A71D2"/>
    <w:pPr>
      <w:tabs>
        <w:tab w:val="clear" w:pos="794"/>
        <w:tab w:val="clear" w:pos="1191"/>
        <w:tab w:val="clear" w:pos="1588"/>
        <w:tab w:val="clear" w:pos="1985"/>
        <w:tab w:val="left" w:pos="1134"/>
        <w:tab w:val="left" w:pos="1871"/>
        <w:tab w:val="left" w:pos="2268"/>
      </w:tabs>
      <w:spacing w:before="280"/>
      <w:jc w:val="left"/>
    </w:pPr>
  </w:style>
  <w:style w:type="paragraph" w:customStyle="1" w:styleId="Reasons">
    <w:name w:val="Reasons"/>
    <w:basedOn w:val="Normal"/>
    <w:qFormat/>
    <w:rsid w:val="007A71D2"/>
    <w:pPr>
      <w:tabs>
        <w:tab w:val="clear" w:pos="794"/>
        <w:tab w:val="clear" w:pos="1191"/>
        <w:tab w:val="left" w:pos="1134"/>
      </w:tabs>
      <w:jc w:val="left"/>
    </w:pPr>
  </w:style>
  <w:style w:type="character" w:customStyle="1" w:styleId="FootnoteTextChar">
    <w:name w:val="Footnote Text Char"/>
    <w:basedOn w:val="DefaultParagraphFont"/>
    <w:link w:val="FootnoteText"/>
    <w:rsid w:val="007A71D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105</TotalTime>
  <Pages>1</Pages>
  <Words>1408</Words>
  <Characters>9159</Characters>
  <Application>Microsoft Office Word</Application>
  <DocSecurity>0</DocSecurity>
  <Lines>234</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10514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57</cp:revision>
  <cp:lastPrinted>2016-05-09T13:57:00Z</cp:lastPrinted>
  <dcterms:created xsi:type="dcterms:W3CDTF">2012-07-03T09:01:00Z</dcterms:created>
  <dcterms:modified xsi:type="dcterms:W3CDTF">2016-05-09T13:58:00Z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