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p w:rsidR="004D45A2" w:rsidRDefault="004D45A2" w:rsidP="004D45A2"/>
    <w:tbl>
      <w:tblPr>
        <w:tblW w:w="10089" w:type="dxa"/>
        <w:tblLook w:val="01E0" w:firstRow="1" w:lastRow="1" w:firstColumn="1" w:lastColumn="1" w:noHBand="0" w:noVBand="0"/>
      </w:tblPr>
      <w:tblGrid>
        <w:gridCol w:w="10089"/>
      </w:tblGrid>
      <w:tr w:rsidR="004D45A2" w:rsidRPr="006B55A9" w:rsidTr="00426EE4">
        <w:tc>
          <w:tcPr>
            <w:tcW w:w="10089" w:type="dxa"/>
          </w:tcPr>
          <w:p w:rsidR="004D45A2" w:rsidRPr="006B55A9" w:rsidRDefault="004D45A2" w:rsidP="00426EE4">
            <w:pPr>
              <w:spacing w:before="380" w:line="280" w:lineRule="exact"/>
              <w:jc w:val="right"/>
              <w:rPr>
                <w:rFonts w:ascii="Tahoma" w:hAnsi="Tahoma" w:cs="Tahoma"/>
                <w:b/>
                <w:bCs/>
                <w:iCs/>
                <w:color w:val="243285"/>
                <w:sz w:val="32"/>
                <w:szCs w:val="32"/>
                <w:lang w:val="en-US"/>
              </w:rPr>
            </w:pPr>
          </w:p>
          <w:p w:rsidR="004D45A2" w:rsidRPr="006B55A9" w:rsidRDefault="004D45A2" w:rsidP="004D45A2">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2056</w:t>
            </w:r>
            <w:r w:rsidR="005728D1">
              <w:rPr>
                <w:rFonts w:ascii="Tahoma" w:hAnsi="Tahoma" w:cs="Tahoma"/>
                <w:b/>
                <w:bCs/>
                <w:iCs/>
                <w:color w:val="243285"/>
                <w:sz w:val="36"/>
                <w:szCs w:val="36"/>
              </w:rPr>
              <w:t>-0</w:t>
            </w:r>
          </w:p>
          <w:p w:rsidR="004D45A2" w:rsidRPr="006B55A9" w:rsidRDefault="004D45A2" w:rsidP="004D45A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02</w:t>
            </w:r>
            <w:r w:rsidRPr="006B55A9">
              <w:rPr>
                <w:rFonts w:ascii="Tahoma" w:hAnsi="Tahoma" w:cs="Tahoma"/>
                <w:b/>
                <w:bCs/>
                <w:iCs/>
                <w:color w:val="243285"/>
                <w:szCs w:val="24"/>
              </w:rPr>
              <w:t>/</w:t>
            </w:r>
            <w:r>
              <w:rPr>
                <w:rFonts w:ascii="Tahoma" w:hAnsi="Tahoma" w:cs="Tahoma"/>
                <w:b/>
                <w:bCs/>
                <w:iCs/>
                <w:color w:val="243285"/>
                <w:szCs w:val="24"/>
              </w:rPr>
              <w:t>2014</w:t>
            </w:r>
            <w:r w:rsidRPr="006B55A9">
              <w:rPr>
                <w:rFonts w:ascii="Tahoma" w:hAnsi="Tahoma" w:cs="Tahoma"/>
                <w:b/>
                <w:bCs/>
                <w:iCs/>
                <w:color w:val="243285"/>
                <w:szCs w:val="24"/>
              </w:rPr>
              <w:t>)</w:t>
            </w:r>
          </w:p>
        </w:tc>
      </w:tr>
      <w:tr w:rsidR="004D45A2" w:rsidRPr="005728D1" w:rsidTr="00426EE4">
        <w:tc>
          <w:tcPr>
            <w:tcW w:w="10089" w:type="dxa"/>
          </w:tcPr>
          <w:p w:rsidR="004D45A2" w:rsidRPr="004D45A2" w:rsidRDefault="004D45A2" w:rsidP="00426EE4">
            <w:pPr>
              <w:spacing w:before="80" w:line="500" w:lineRule="exact"/>
              <w:jc w:val="right"/>
              <w:rPr>
                <w:rFonts w:ascii="Tahoma" w:hAnsi="Tahoma" w:cs="Tahoma"/>
                <w:b/>
                <w:bCs/>
                <w:iCs/>
                <w:color w:val="243285"/>
                <w:sz w:val="44"/>
                <w:szCs w:val="44"/>
                <w:lang w:val="en-US"/>
              </w:rPr>
            </w:pPr>
          </w:p>
          <w:p w:rsidR="004D45A2" w:rsidRPr="006B55A9" w:rsidRDefault="004D45A2" w:rsidP="004D45A2">
            <w:pPr>
              <w:spacing w:before="80" w:line="500" w:lineRule="exact"/>
              <w:jc w:val="right"/>
              <w:rPr>
                <w:rFonts w:ascii="Tahoma" w:hAnsi="Tahoma" w:cs="Tahoma"/>
                <w:b/>
                <w:bCs/>
                <w:color w:val="243285"/>
                <w:sz w:val="44"/>
                <w:szCs w:val="44"/>
                <w:lang w:val="en-US"/>
              </w:rPr>
            </w:pPr>
            <w:r w:rsidRPr="004D45A2">
              <w:rPr>
                <w:rFonts w:ascii="Tahoma" w:hAnsi="Tahoma" w:cs="Tahoma"/>
                <w:b/>
                <w:bCs/>
                <w:color w:val="243285"/>
                <w:sz w:val="44"/>
                <w:szCs w:val="44"/>
                <w:lang w:val="en-GB"/>
              </w:rPr>
              <w:t>High-level guidelines for the international exchange of HDTV programmes</w:t>
            </w:r>
            <w:r>
              <w:rPr>
                <w:rFonts w:ascii="Tahoma" w:hAnsi="Tahoma" w:cs="Tahoma"/>
                <w:b/>
                <w:bCs/>
                <w:color w:val="243285"/>
                <w:sz w:val="44"/>
                <w:szCs w:val="44"/>
                <w:lang w:val="en-GB"/>
              </w:rPr>
              <w:t xml:space="preserve"> </w:t>
            </w:r>
            <w:r w:rsidRPr="004D45A2">
              <w:rPr>
                <w:rFonts w:ascii="Tahoma" w:hAnsi="Tahoma" w:cs="Tahoma"/>
                <w:b/>
                <w:bCs/>
                <w:color w:val="243285"/>
                <w:sz w:val="44"/>
                <w:szCs w:val="44"/>
                <w:lang w:val="en-GB"/>
              </w:rPr>
              <w:t>over IP connections for contribution purposes</w:t>
            </w:r>
          </w:p>
          <w:p w:rsidR="004D45A2" w:rsidRPr="006B55A9" w:rsidRDefault="004D45A2" w:rsidP="00426EE4">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D45A2" w:rsidRPr="005728D1" w:rsidTr="00426EE4">
        <w:tc>
          <w:tcPr>
            <w:tcW w:w="10089" w:type="dxa"/>
          </w:tcPr>
          <w:p w:rsidR="004D45A2" w:rsidRPr="00BA7614" w:rsidRDefault="004D45A2" w:rsidP="00426EE4">
            <w:pPr>
              <w:spacing w:before="80" w:line="280" w:lineRule="exact"/>
              <w:ind w:right="640"/>
              <w:rPr>
                <w:rFonts w:ascii="Tahoma" w:hAnsi="Tahoma" w:cs="Tahoma"/>
                <w:b/>
                <w:bCs/>
                <w:iCs/>
                <w:color w:val="243285"/>
                <w:sz w:val="32"/>
                <w:szCs w:val="32"/>
                <w:lang w:val="en-US"/>
              </w:rPr>
            </w:pPr>
          </w:p>
          <w:p w:rsidR="004D45A2" w:rsidRPr="00BA7614" w:rsidRDefault="004D45A2" w:rsidP="00426EE4">
            <w:pPr>
              <w:spacing w:before="80" w:line="280" w:lineRule="exact"/>
              <w:ind w:right="640"/>
              <w:rPr>
                <w:rFonts w:ascii="Tahoma" w:hAnsi="Tahoma" w:cs="Tahoma"/>
                <w:b/>
                <w:bCs/>
                <w:iCs/>
                <w:color w:val="243285"/>
                <w:sz w:val="32"/>
                <w:szCs w:val="32"/>
                <w:lang w:val="en-US"/>
              </w:rPr>
            </w:pPr>
          </w:p>
          <w:p w:rsidR="004D45A2" w:rsidRPr="00BA7614" w:rsidRDefault="004D45A2" w:rsidP="00426EE4">
            <w:pPr>
              <w:spacing w:before="80" w:after="180" w:line="360" w:lineRule="exact"/>
              <w:ind w:right="720"/>
              <w:rPr>
                <w:rFonts w:ascii="Tahoma" w:hAnsi="Tahoma" w:cs="Tahoma"/>
                <w:b/>
                <w:bCs/>
                <w:iCs/>
                <w:color w:val="243285"/>
                <w:sz w:val="36"/>
                <w:szCs w:val="36"/>
                <w:lang w:val="en-US"/>
              </w:rPr>
            </w:pPr>
          </w:p>
          <w:p w:rsidR="004D45A2" w:rsidRPr="006B55A9" w:rsidRDefault="004D45A2" w:rsidP="00426EE4">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D45A2" w:rsidRPr="006B55A9" w:rsidRDefault="004D45A2" w:rsidP="00426E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D45A2" w:rsidRPr="006B55A9" w:rsidRDefault="004D45A2" w:rsidP="00426E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D45A2" w:rsidRPr="006B55A9" w:rsidRDefault="004D45A2" w:rsidP="00426EE4">
            <w:pPr>
              <w:spacing w:before="80" w:line="360" w:lineRule="exact"/>
              <w:jc w:val="right"/>
              <w:rPr>
                <w:rFonts w:ascii="Tahoma" w:hAnsi="Tahoma" w:cs="Tahoma"/>
                <w:b/>
                <w:bCs/>
                <w:iCs/>
                <w:color w:val="243285"/>
                <w:sz w:val="32"/>
                <w:szCs w:val="32"/>
                <w:lang w:val="en-US"/>
              </w:rPr>
            </w:pPr>
          </w:p>
        </w:tc>
      </w:tr>
    </w:tbl>
    <w:p w:rsidR="004D45A2" w:rsidRDefault="004D45A2" w:rsidP="004D45A2">
      <w:pPr>
        <w:spacing w:before="80"/>
        <w:rPr>
          <w:i/>
          <w:sz w:val="22"/>
          <w:lang w:val="en-US"/>
        </w:rPr>
      </w:pPr>
    </w:p>
    <w:p w:rsidR="004D45A2" w:rsidRDefault="004D45A2" w:rsidP="004D45A2">
      <w:pPr>
        <w:spacing w:before="80"/>
        <w:rPr>
          <w:i/>
          <w:sz w:val="22"/>
          <w:lang w:val="en-US"/>
        </w:rPr>
      </w:pPr>
    </w:p>
    <w:p w:rsidR="004D45A2" w:rsidRDefault="004D45A2" w:rsidP="004D45A2">
      <w:pPr>
        <w:spacing w:before="80"/>
        <w:rPr>
          <w:i/>
          <w:sz w:val="22"/>
          <w:lang w:val="en-US"/>
        </w:rPr>
      </w:pPr>
    </w:p>
    <w:p w:rsidR="004D45A2" w:rsidRDefault="004D45A2" w:rsidP="004D45A2">
      <w:pPr>
        <w:spacing w:before="80"/>
        <w:rPr>
          <w:i/>
          <w:sz w:val="22"/>
          <w:lang w:val="en-US"/>
        </w:rPr>
      </w:pPr>
    </w:p>
    <w:p w:rsidR="004D45A2" w:rsidRDefault="004D45A2" w:rsidP="004D45A2">
      <w:pPr>
        <w:spacing w:before="80"/>
        <w:rPr>
          <w:i/>
          <w:sz w:val="22"/>
          <w:lang w:val="en-US"/>
        </w:rPr>
      </w:pPr>
    </w:p>
    <w:p w:rsidR="004D45A2" w:rsidRDefault="004D45A2" w:rsidP="004D45A2">
      <w:pPr>
        <w:spacing w:before="80"/>
        <w:rPr>
          <w:i/>
          <w:sz w:val="22"/>
          <w:lang w:val="en-US"/>
        </w:rPr>
      </w:pPr>
    </w:p>
    <w:p w:rsidR="004D45A2" w:rsidRDefault="004D45A2" w:rsidP="004D45A2">
      <w:pPr>
        <w:pStyle w:val="Equation"/>
        <w:tabs>
          <w:tab w:val="clear" w:pos="4820"/>
          <w:tab w:val="clear" w:pos="9639"/>
          <w:tab w:val="left" w:pos="1191"/>
          <w:tab w:val="left" w:pos="1588"/>
          <w:tab w:val="left" w:pos="1985"/>
        </w:tabs>
        <w:rPr>
          <w:rFonts w:ascii="Palatino Linotype" w:hAnsi="Palatino Linotype"/>
          <w:lang w:val="en-US"/>
        </w:rPr>
        <w:sectPr w:rsidR="004D45A2">
          <w:headerReference w:type="even" r:id="rId7"/>
          <w:headerReference w:type="default" r:id="rId8"/>
          <w:pgSz w:w="11907" w:h="16840" w:code="9"/>
          <w:pgMar w:top="1089" w:right="1089" w:bottom="284" w:left="1089" w:header="567" w:footer="284" w:gutter="0"/>
          <w:pgNumType w:start="1"/>
          <w:cols w:space="720"/>
        </w:sectPr>
      </w:pPr>
    </w:p>
    <w:p w:rsidR="004D45A2" w:rsidRPr="00586EF8" w:rsidRDefault="004D45A2" w:rsidP="004D45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D45A2" w:rsidRDefault="004D45A2" w:rsidP="004D45A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D45A2" w:rsidRDefault="004D45A2" w:rsidP="004D45A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D45A2" w:rsidRPr="00B714F3" w:rsidRDefault="004D45A2" w:rsidP="004D45A2">
      <w:pPr>
        <w:pStyle w:val="Heading1"/>
        <w:spacing w:before="680"/>
        <w:jc w:val="center"/>
        <w:rPr>
          <w:szCs w:val="24"/>
          <w:lang w:val="en-US"/>
        </w:rPr>
      </w:pPr>
      <w:r w:rsidRPr="00B714F3">
        <w:rPr>
          <w:szCs w:val="24"/>
          <w:lang w:val="en-US"/>
        </w:rPr>
        <w:t>Policy on Intellectual Property Right (IPR)</w:t>
      </w:r>
    </w:p>
    <w:p w:rsidR="004D45A2" w:rsidRPr="00B714F3" w:rsidRDefault="004D45A2" w:rsidP="004D45A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D45A2" w:rsidRDefault="004D45A2" w:rsidP="004D45A2">
      <w:pPr>
        <w:jc w:val="center"/>
        <w:rPr>
          <w:sz w:val="22"/>
          <w:lang w:val="en-US"/>
        </w:rPr>
      </w:pPr>
    </w:p>
    <w:p w:rsidR="004D45A2" w:rsidRDefault="004D45A2" w:rsidP="004D45A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D45A2" w:rsidRPr="005728D1" w:rsidTr="00426EE4">
        <w:tc>
          <w:tcPr>
            <w:tcW w:w="9360" w:type="dxa"/>
            <w:gridSpan w:val="2"/>
          </w:tcPr>
          <w:p w:rsidR="004D45A2" w:rsidRPr="00036EE3" w:rsidRDefault="004D45A2" w:rsidP="00426EE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D45A2" w:rsidRPr="00036EE3"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4D45A2" w:rsidRPr="00036EE3" w:rsidTr="00426EE4">
        <w:tc>
          <w:tcPr>
            <w:tcW w:w="1140" w:type="dxa"/>
          </w:tcPr>
          <w:p w:rsidR="004D45A2" w:rsidRPr="00036EE3" w:rsidRDefault="004D45A2" w:rsidP="00426EE4">
            <w:pPr>
              <w:spacing w:before="200" w:after="100"/>
              <w:ind w:left="57"/>
              <w:rPr>
                <w:b/>
                <w:bCs/>
                <w:sz w:val="20"/>
                <w:lang w:val="en-US"/>
              </w:rPr>
            </w:pPr>
            <w:r w:rsidRPr="00036EE3">
              <w:rPr>
                <w:b/>
                <w:bCs/>
                <w:sz w:val="20"/>
                <w:lang w:val="en-US"/>
              </w:rPr>
              <w:t>Series</w:t>
            </w:r>
          </w:p>
        </w:tc>
        <w:tc>
          <w:tcPr>
            <w:tcW w:w="8220" w:type="dxa"/>
          </w:tcPr>
          <w:p w:rsidR="004D45A2" w:rsidRPr="00036EE3"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BO</w:t>
            </w:r>
          </w:p>
        </w:tc>
        <w:tc>
          <w:tcPr>
            <w:tcW w:w="8220" w:type="dxa"/>
          </w:tcPr>
          <w:p w:rsidR="004D45A2" w:rsidRPr="00036EE3"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D45A2" w:rsidRPr="005728D1"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BR</w:t>
            </w:r>
          </w:p>
        </w:tc>
        <w:tc>
          <w:tcPr>
            <w:tcW w:w="8220" w:type="dxa"/>
          </w:tcPr>
          <w:p w:rsidR="004D45A2" w:rsidRPr="00036EE3"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D45A2" w:rsidRPr="00036EE3" w:rsidTr="00426EE4">
        <w:tc>
          <w:tcPr>
            <w:tcW w:w="1140" w:type="dxa"/>
            <w:tcBorders>
              <w:bottom w:val="nil"/>
            </w:tcBorders>
          </w:tcPr>
          <w:p w:rsidR="004D45A2" w:rsidRPr="00036EE3" w:rsidRDefault="004D45A2" w:rsidP="00426EE4">
            <w:pPr>
              <w:spacing w:before="30" w:after="30"/>
              <w:ind w:left="57"/>
              <w:jc w:val="left"/>
              <w:rPr>
                <w:b/>
                <w:bCs/>
                <w:sz w:val="20"/>
                <w:lang w:val="en-US"/>
              </w:rPr>
            </w:pPr>
            <w:r w:rsidRPr="00036EE3">
              <w:rPr>
                <w:b/>
                <w:bCs/>
                <w:sz w:val="20"/>
                <w:lang w:val="en-US"/>
              </w:rPr>
              <w:t>BS</w:t>
            </w:r>
          </w:p>
        </w:tc>
        <w:tc>
          <w:tcPr>
            <w:tcW w:w="8220" w:type="dxa"/>
            <w:tcBorders>
              <w:bottom w:val="nil"/>
            </w:tcBorders>
          </w:tcPr>
          <w:p w:rsidR="004D45A2" w:rsidRPr="00036EE3"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D45A2" w:rsidRPr="00ED2695" w:rsidTr="00426EE4">
        <w:tc>
          <w:tcPr>
            <w:tcW w:w="1140" w:type="dxa"/>
            <w:tcBorders>
              <w:top w:val="nil"/>
              <w:bottom w:val="nil"/>
            </w:tcBorders>
            <w:shd w:val="clear" w:color="auto" w:fill="F3F3F3"/>
          </w:tcPr>
          <w:p w:rsidR="004D45A2" w:rsidRPr="000F6905" w:rsidRDefault="004D45A2" w:rsidP="00426EE4">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D45A2" w:rsidRPr="000F6905"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D45A2" w:rsidRPr="00036EE3" w:rsidTr="00426EE4">
        <w:tc>
          <w:tcPr>
            <w:tcW w:w="1140" w:type="dxa"/>
            <w:tcBorders>
              <w:top w:val="nil"/>
              <w:bottom w:val="nil"/>
            </w:tcBorders>
            <w:shd w:val="clear" w:color="auto" w:fill="auto"/>
          </w:tcPr>
          <w:p w:rsidR="004D45A2" w:rsidRPr="00036EE3" w:rsidRDefault="004D45A2" w:rsidP="00426EE4">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D45A2" w:rsidRPr="00036EE3" w:rsidRDefault="004D45A2" w:rsidP="00426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D45A2" w:rsidRPr="005E02E1" w:rsidTr="00426EE4">
        <w:tc>
          <w:tcPr>
            <w:tcW w:w="1140" w:type="dxa"/>
            <w:tcBorders>
              <w:top w:val="nil"/>
              <w:bottom w:val="nil"/>
            </w:tcBorders>
            <w:shd w:val="clear" w:color="auto" w:fill="auto"/>
          </w:tcPr>
          <w:p w:rsidR="004D45A2" w:rsidRPr="007D3B79" w:rsidRDefault="004D45A2" w:rsidP="00426EE4">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D45A2" w:rsidRPr="00220899" w:rsidRDefault="004D45A2" w:rsidP="00426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D45A2" w:rsidRPr="00036EE3" w:rsidTr="00426EE4">
        <w:tc>
          <w:tcPr>
            <w:tcW w:w="1140" w:type="dxa"/>
            <w:tcBorders>
              <w:top w:val="nil"/>
            </w:tcBorders>
          </w:tcPr>
          <w:p w:rsidR="004D45A2" w:rsidRPr="00036EE3" w:rsidRDefault="004D45A2" w:rsidP="00426EE4">
            <w:pPr>
              <w:spacing w:before="30" w:after="30"/>
              <w:ind w:left="57"/>
              <w:jc w:val="left"/>
              <w:rPr>
                <w:b/>
                <w:bCs/>
                <w:sz w:val="20"/>
                <w:lang w:val="fr-CH"/>
              </w:rPr>
            </w:pPr>
            <w:r w:rsidRPr="00036EE3">
              <w:rPr>
                <w:b/>
                <w:bCs/>
                <w:sz w:val="20"/>
                <w:lang w:val="fr-CH"/>
              </w:rPr>
              <w:t>P</w:t>
            </w:r>
          </w:p>
        </w:tc>
        <w:tc>
          <w:tcPr>
            <w:tcW w:w="8220" w:type="dxa"/>
            <w:tcBorders>
              <w:top w:val="nil"/>
            </w:tcBorders>
          </w:tcPr>
          <w:p w:rsidR="004D45A2" w:rsidRPr="00036EE3" w:rsidRDefault="004D45A2" w:rsidP="00426EE4">
            <w:pPr>
              <w:spacing w:before="30" w:after="30"/>
              <w:jc w:val="left"/>
              <w:rPr>
                <w:sz w:val="20"/>
                <w:lang w:val="fr-CH"/>
              </w:rPr>
            </w:pPr>
            <w:r w:rsidRPr="00036EE3">
              <w:rPr>
                <w:sz w:val="20"/>
                <w:lang w:val="fr-CH"/>
              </w:rPr>
              <w:t>Radiowave propagation</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RA</w:t>
            </w:r>
          </w:p>
        </w:tc>
        <w:tc>
          <w:tcPr>
            <w:tcW w:w="8220" w:type="dxa"/>
          </w:tcPr>
          <w:p w:rsidR="004D45A2" w:rsidRPr="00036EE3" w:rsidRDefault="004D45A2" w:rsidP="00426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RS</w:t>
            </w:r>
          </w:p>
        </w:tc>
        <w:tc>
          <w:tcPr>
            <w:tcW w:w="8220" w:type="dxa"/>
          </w:tcPr>
          <w:p w:rsidR="004D45A2" w:rsidRPr="00036EE3" w:rsidRDefault="004D45A2" w:rsidP="00426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S</w:t>
            </w:r>
          </w:p>
        </w:tc>
        <w:tc>
          <w:tcPr>
            <w:tcW w:w="8220" w:type="dxa"/>
          </w:tcPr>
          <w:p w:rsidR="004D45A2" w:rsidRPr="00036EE3" w:rsidRDefault="004D45A2" w:rsidP="00426EE4">
            <w:pPr>
              <w:spacing w:before="30" w:after="30"/>
              <w:jc w:val="left"/>
              <w:rPr>
                <w:sz w:val="20"/>
                <w:lang w:val="en-US"/>
              </w:rPr>
            </w:pPr>
            <w:r w:rsidRPr="00036EE3">
              <w:rPr>
                <w:sz w:val="20"/>
                <w:lang w:val="en-US"/>
              </w:rPr>
              <w:t>Fixed-satellite service</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SA</w:t>
            </w:r>
          </w:p>
        </w:tc>
        <w:tc>
          <w:tcPr>
            <w:tcW w:w="8220" w:type="dxa"/>
          </w:tcPr>
          <w:p w:rsidR="004D45A2" w:rsidRPr="00036EE3" w:rsidRDefault="004D45A2" w:rsidP="00426EE4">
            <w:pPr>
              <w:spacing w:before="30" w:after="30"/>
              <w:jc w:val="left"/>
              <w:rPr>
                <w:sz w:val="20"/>
                <w:lang w:val="en-US"/>
              </w:rPr>
            </w:pPr>
            <w:r w:rsidRPr="00036EE3">
              <w:rPr>
                <w:sz w:val="20"/>
                <w:lang w:val="en-US"/>
              </w:rPr>
              <w:t>Space applications and meteorology</w:t>
            </w:r>
          </w:p>
        </w:tc>
      </w:tr>
      <w:tr w:rsidR="004D45A2" w:rsidRPr="005728D1"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SF</w:t>
            </w:r>
          </w:p>
        </w:tc>
        <w:tc>
          <w:tcPr>
            <w:tcW w:w="8220" w:type="dxa"/>
          </w:tcPr>
          <w:p w:rsidR="004D45A2" w:rsidRPr="00036EE3" w:rsidRDefault="004D45A2" w:rsidP="00426EE4">
            <w:pPr>
              <w:spacing w:before="30" w:after="30"/>
              <w:jc w:val="left"/>
              <w:rPr>
                <w:sz w:val="20"/>
                <w:lang w:val="en-US"/>
              </w:rPr>
            </w:pPr>
            <w:r w:rsidRPr="00036EE3">
              <w:rPr>
                <w:sz w:val="20"/>
                <w:lang w:val="en-US"/>
              </w:rPr>
              <w:t>Frequency sharing and coordination between fixed-satellite and fixed service systems</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Pr>
                <w:b/>
                <w:bCs/>
                <w:sz w:val="20"/>
                <w:lang w:val="en-US"/>
              </w:rPr>
              <w:t>SM</w:t>
            </w:r>
          </w:p>
        </w:tc>
        <w:tc>
          <w:tcPr>
            <w:tcW w:w="8220" w:type="dxa"/>
          </w:tcPr>
          <w:p w:rsidR="004D45A2" w:rsidRPr="00036EE3" w:rsidRDefault="004D45A2" w:rsidP="00426EE4">
            <w:pPr>
              <w:spacing w:before="30" w:after="30"/>
              <w:jc w:val="left"/>
              <w:rPr>
                <w:sz w:val="20"/>
                <w:lang w:val="en-US"/>
              </w:rPr>
            </w:pPr>
            <w:r>
              <w:rPr>
                <w:sz w:val="20"/>
                <w:lang w:val="en-US"/>
              </w:rPr>
              <w:t>Spectrum management</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SNG</w:t>
            </w:r>
          </w:p>
        </w:tc>
        <w:tc>
          <w:tcPr>
            <w:tcW w:w="8220" w:type="dxa"/>
          </w:tcPr>
          <w:p w:rsidR="004D45A2" w:rsidRPr="00036EE3" w:rsidRDefault="004D45A2" w:rsidP="00426EE4">
            <w:pPr>
              <w:spacing w:before="30" w:after="30"/>
              <w:jc w:val="left"/>
              <w:rPr>
                <w:sz w:val="20"/>
                <w:lang w:val="en-US"/>
              </w:rPr>
            </w:pPr>
            <w:r w:rsidRPr="00036EE3">
              <w:rPr>
                <w:sz w:val="20"/>
                <w:lang w:val="en-US"/>
              </w:rPr>
              <w:t>Satellite news gathering</w:t>
            </w:r>
          </w:p>
        </w:tc>
      </w:tr>
      <w:tr w:rsidR="004D45A2" w:rsidRPr="005728D1"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TF</w:t>
            </w:r>
          </w:p>
        </w:tc>
        <w:tc>
          <w:tcPr>
            <w:tcW w:w="8220" w:type="dxa"/>
          </w:tcPr>
          <w:p w:rsidR="004D45A2" w:rsidRPr="00036EE3" w:rsidRDefault="004D45A2" w:rsidP="00426EE4">
            <w:pPr>
              <w:spacing w:before="30" w:after="30"/>
              <w:jc w:val="left"/>
              <w:rPr>
                <w:sz w:val="20"/>
                <w:lang w:val="en-US"/>
              </w:rPr>
            </w:pPr>
            <w:r w:rsidRPr="00036EE3">
              <w:rPr>
                <w:sz w:val="20"/>
                <w:lang w:val="en-US"/>
              </w:rPr>
              <w:t>Time signals and frequency standards emissions</w:t>
            </w:r>
          </w:p>
        </w:tc>
      </w:tr>
      <w:tr w:rsidR="004D45A2" w:rsidRPr="00036EE3" w:rsidTr="00426EE4">
        <w:tc>
          <w:tcPr>
            <w:tcW w:w="1140" w:type="dxa"/>
          </w:tcPr>
          <w:p w:rsidR="004D45A2" w:rsidRPr="00036EE3" w:rsidRDefault="004D45A2" w:rsidP="00426EE4">
            <w:pPr>
              <w:spacing w:before="30" w:after="30"/>
              <w:ind w:left="57"/>
              <w:jc w:val="left"/>
              <w:rPr>
                <w:b/>
                <w:bCs/>
                <w:sz w:val="20"/>
                <w:lang w:val="en-US"/>
              </w:rPr>
            </w:pPr>
            <w:r w:rsidRPr="00036EE3">
              <w:rPr>
                <w:b/>
                <w:bCs/>
                <w:sz w:val="20"/>
                <w:lang w:val="en-US"/>
              </w:rPr>
              <w:t>V</w:t>
            </w:r>
          </w:p>
        </w:tc>
        <w:tc>
          <w:tcPr>
            <w:tcW w:w="8220" w:type="dxa"/>
          </w:tcPr>
          <w:p w:rsidR="004D45A2" w:rsidRPr="00036EE3" w:rsidRDefault="004D45A2" w:rsidP="00426EE4">
            <w:pPr>
              <w:spacing w:before="30" w:after="180"/>
              <w:jc w:val="left"/>
              <w:rPr>
                <w:sz w:val="20"/>
                <w:lang w:val="en-US"/>
              </w:rPr>
            </w:pPr>
            <w:r w:rsidRPr="00036EE3">
              <w:rPr>
                <w:sz w:val="20"/>
                <w:lang w:val="en-US"/>
              </w:rPr>
              <w:t>Vocabulary and related subjects</w:t>
            </w:r>
          </w:p>
        </w:tc>
      </w:tr>
    </w:tbl>
    <w:p w:rsidR="004D45A2" w:rsidRPr="00036EE3" w:rsidRDefault="004D45A2" w:rsidP="004D45A2">
      <w:pPr>
        <w:spacing w:before="30" w:after="30"/>
        <w:jc w:val="center"/>
        <w:rPr>
          <w:sz w:val="20"/>
          <w:lang w:val="en-US"/>
        </w:rPr>
      </w:pPr>
    </w:p>
    <w:p w:rsidR="004D45A2" w:rsidRDefault="004D45A2" w:rsidP="004D45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D45A2" w:rsidRPr="005728D1" w:rsidTr="00426EE4">
        <w:tc>
          <w:tcPr>
            <w:tcW w:w="9360" w:type="dxa"/>
          </w:tcPr>
          <w:p w:rsidR="004D45A2" w:rsidRPr="006B55A9" w:rsidRDefault="004D45A2" w:rsidP="00426EE4">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D45A2" w:rsidRDefault="004D45A2" w:rsidP="004D45A2">
      <w:pPr>
        <w:spacing w:before="0"/>
        <w:jc w:val="center"/>
        <w:rPr>
          <w:sz w:val="22"/>
          <w:lang w:val="en-US"/>
        </w:rPr>
      </w:pPr>
    </w:p>
    <w:p w:rsidR="004D45A2" w:rsidRDefault="004D45A2" w:rsidP="004D45A2">
      <w:pPr>
        <w:spacing w:before="0"/>
        <w:jc w:val="center"/>
        <w:rPr>
          <w:sz w:val="22"/>
          <w:lang w:val="en-US"/>
        </w:rPr>
      </w:pPr>
    </w:p>
    <w:p w:rsidR="004D45A2" w:rsidRPr="002F5199" w:rsidRDefault="004D45A2" w:rsidP="004D45A2">
      <w:pPr>
        <w:spacing w:before="0"/>
        <w:jc w:val="right"/>
        <w:rPr>
          <w:i/>
          <w:iCs/>
          <w:sz w:val="20"/>
          <w:lang w:val="en-US"/>
        </w:rPr>
      </w:pPr>
      <w:r w:rsidRPr="002F5199">
        <w:rPr>
          <w:i/>
          <w:iCs/>
          <w:sz w:val="20"/>
          <w:lang w:val="en-US"/>
        </w:rPr>
        <w:t>Electronic Publication</w:t>
      </w:r>
    </w:p>
    <w:p w:rsidR="004D45A2" w:rsidRPr="002F5199" w:rsidRDefault="004D45A2" w:rsidP="004D45A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4D45A2" w:rsidRDefault="004D45A2" w:rsidP="004D45A2">
      <w:pPr>
        <w:jc w:val="center"/>
        <w:rPr>
          <w:sz w:val="22"/>
          <w:lang w:val="en-US"/>
        </w:rPr>
      </w:pPr>
    </w:p>
    <w:p w:rsidR="004D45A2" w:rsidRPr="00470E28" w:rsidRDefault="004D45A2" w:rsidP="004D45A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4D45A2" w:rsidRPr="00470E28" w:rsidRDefault="004D45A2" w:rsidP="004D45A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D45A2" w:rsidRDefault="004D45A2" w:rsidP="004D45A2">
      <w:pPr>
        <w:spacing w:before="160"/>
        <w:rPr>
          <w:i/>
          <w:sz w:val="20"/>
          <w:lang w:val="en-US"/>
        </w:rPr>
        <w:sectPr w:rsidR="004D45A2"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D45A2" w:rsidRPr="00BF487A" w:rsidRDefault="004D45A2" w:rsidP="004D45A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2056</w:t>
      </w:r>
      <w:r w:rsidR="005728D1">
        <w:rPr>
          <w:rStyle w:val="href"/>
          <w:lang w:val="en-US"/>
        </w:rPr>
        <w:t>-0</w:t>
      </w:r>
    </w:p>
    <w:p w:rsidR="00A6617B" w:rsidRDefault="004D45A2" w:rsidP="004D45A2">
      <w:pPr>
        <w:pStyle w:val="Rectitle"/>
        <w:rPr>
          <w:lang w:val="en-US" w:eastAsia="zh-CN"/>
        </w:rPr>
      </w:pPr>
      <w:r w:rsidRPr="004D45A2">
        <w:rPr>
          <w:lang w:val="en-US" w:eastAsia="zh-CN"/>
        </w:rPr>
        <w:t>High-level guidelines for the international exchange of HDTV programmes</w:t>
      </w:r>
      <w:r w:rsidRPr="004D45A2">
        <w:rPr>
          <w:lang w:val="en-US" w:eastAsia="zh-CN"/>
        </w:rPr>
        <w:br/>
        <w:t>over IP connections for contribution purposes</w:t>
      </w:r>
      <w:r>
        <w:rPr>
          <w:rStyle w:val="FootnoteReference"/>
          <w:lang w:eastAsia="zh-CN"/>
        </w:rPr>
        <w:footnoteReference w:id="1"/>
      </w:r>
    </w:p>
    <w:p w:rsidR="004E7A3E" w:rsidRPr="004E7A3E" w:rsidRDefault="004E7A3E" w:rsidP="002717D6">
      <w:pPr>
        <w:pStyle w:val="Recdate"/>
        <w:rPr>
          <w:lang w:val="en-US" w:eastAsia="zh-CN"/>
        </w:rPr>
      </w:pPr>
      <w:r>
        <w:rPr>
          <w:lang w:val="en-US" w:eastAsia="zh-CN"/>
        </w:rPr>
        <w:t>(201</w:t>
      </w:r>
      <w:r w:rsidR="004C079D">
        <w:rPr>
          <w:lang w:val="en-US" w:eastAsia="zh-CN"/>
        </w:rPr>
        <w:t>4</w:t>
      </w:r>
      <w:r>
        <w:rPr>
          <w:lang w:val="en-US" w:eastAsia="zh-CN"/>
        </w:rPr>
        <w:t>)</w:t>
      </w:r>
    </w:p>
    <w:p w:rsidR="004D45A2" w:rsidRPr="00C722DC" w:rsidRDefault="004D45A2" w:rsidP="002715FE">
      <w:pPr>
        <w:pStyle w:val="HeadingSum"/>
        <w:rPr>
          <w:lang w:val="en-US"/>
        </w:rPr>
      </w:pPr>
      <w:r w:rsidRPr="00C722DC">
        <w:rPr>
          <w:lang w:val="en-US"/>
        </w:rPr>
        <w:t>Scope</w:t>
      </w:r>
    </w:p>
    <w:p w:rsidR="004D45A2" w:rsidRPr="00C722DC" w:rsidRDefault="004D45A2" w:rsidP="002715FE">
      <w:pPr>
        <w:pStyle w:val="Summary"/>
        <w:rPr>
          <w:lang w:val="en-US"/>
        </w:rPr>
      </w:pPr>
      <w:r w:rsidRPr="00C722DC">
        <w:rPr>
          <w:lang w:val="en-US"/>
        </w:rPr>
        <w:t>This Recommendation specifies some high-level guidelines applicable to IP-based connections used for the international exchange of sound and television programmes for contribution purposes. It is expected when dealing with IP service providers, the specified requirements will help in selecting source-coding, multiplexing and IP-based transport methods to be used for such programme exchanges, and to standardization of appropriate metadata, used to describe the programme content and the IP-based transport parameters.</w:t>
      </w:r>
    </w:p>
    <w:p w:rsidR="004D45A2" w:rsidRPr="004E7A3E" w:rsidRDefault="004D45A2" w:rsidP="00C722DC">
      <w:pPr>
        <w:pStyle w:val="Normalaftertitle"/>
        <w:rPr>
          <w:lang w:val="en-US"/>
        </w:rPr>
      </w:pPr>
      <w:r w:rsidRPr="004E7A3E">
        <w:rPr>
          <w:lang w:val="en-US"/>
        </w:rPr>
        <w:t xml:space="preserve">The </w:t>
      </w:r>
      <w:r w:rsidR="00C722DC" w:rsidRPr="004E7A3E">
        <w:rPr>
          <w:lang w:val="en-US"/>
        </w:rPr>
        <w:t xml:space="preserve">ITU </w:t>
      </w:r>
      <w:r w:rsidRPr="004E7A3E">
        <w:rPr>
          <w:lang w:val="en-US"/>
        </w:rPr>
        <w:t>Radiocommunication Assembly,</w:t>
      </w:r>
    </w:p>
    <w:p w:rsidR="004D45A2" w:rsidRPr="004D45A2" w:rsidRDefault="004D45A2" w:rsidP="004D45A2">
      <w:pPr>
        <w:pStyle w:val="Call"/>
        <w:rPr>
          <w:lang w:val="en-US"/>
        </w:rPr>
      </w:pPr>
      <w:r w:rsidRPr="004D45A2">
        <w:rPr>
          <w:lang w:val="en-US"/>
        </w:rPr>
        <w:t>considering</w:t>
      </w:r>
    </w:p>
    <w:p w:rsidR="004D45A2" w:rsidRPr="004D45A2" w:rsidRDefault="004D45A2" w:rsidP="00C722DC">
      <w:pPr>
        <w:rPr>
          <w:lang w:val="en-US"/>
        </w:rPr>
      </w:pPr>
      <w:r w:rsidRPr="00043C49">
        <w:rPr>
          <w:i/>
          <w:iCs/>
          <w:lang w:val="en-US"/>
        </w:rPr>
        <w:t>a)</w:t>
      </w:r>
      <w:r w:rsidRPr="004D45A2">
        <w:rPr>
          <w:lang w:val="en-US"/>
        </w:rPr>
        <w:tab/>
      </w:r>
      <w:r w:rsidRPr="00C722DC">
        <w:rPr>
          <w:bCs/>
          <w:lang w:val="en-US"/>
        </w:rPr>
        <w:t>that</w:t>
      </w:r>
      <w:r w:rsidRPr="004D45A2">
        <w:rPr>
          <w:lang w:val="en-US"/>
        </w:rPr>
        <w:t xml:space="preserve"> broadcasters and companies involved in television programme production and postproduction are beginning to use IP-based connections to transport HDTV programmes among studios and for international programme exchange;</w:t>
      </w:r>
    </w:p>
    <w:p w:rsidR="004D45A2" w:rsidRPr="004D45A2" w:rsidRDefault="004D45A2" w:rsidP="00C722DC">
      <w:pPr>
        <w:rPr>
          <w:lang w:val="en-US"/>
        </w:rPr>
      </w:pPr>
      <w:r w:rsidRPr="00043C49">
        <w:rPr>
          <w:i/>
          <w:iCs/>
          <w:lang w:val="en-US"/>
        </w:rPr>
        <w:t>b)</w:t>
      </w:r>
      <w:r w:rsidRPr="004D45A2">
        <w:rPr>
          <w:lang w:val="en-US"/>
        </w:rPr>
        <w:tab/>
        <w:t>that such transports would be facilitated if a single method or a small number of alternative methods were specified to implement them;</w:t>
      </w:r>
    </w:p>
    <w:p w:rsidR="004D45A2" w:rsidRPr="004D45A2" w:rsidRDefault="004D45A2" w:rsidP="00C722DC">
      <w:pPr>
        <w:rPr>
          <w:lang w:val="en-US"/>
        </w:rPr>
      </w:pPr>
      <w:r w:rsidRPr="00043C49">
        <w:rPr>
          <w:i/>
          <w:iCs/>
          <w:lang w:val="en-US"/>
        </w:rPr>
        <w:t>c)</w:t>
      </w:r>
      <w:r w:rsidRPr="004D45A2">
        <w:rPr>
          <w:lang w:val="en-US"/>
        </w:rPr>
        <w:tab/>
        <w:t>that the choice of the encoding, multiplexing and transport methods to be used for such exchanges should be based on the knowledge of the performance requirements that they should meet in order to respond to the needs of IP-based international sound and television programme exchange,</w:t>
      </w:r>
    </w:p>
    <w:p w:rsidR="004D45A2" w:rsidRPr="004D45A2" w:rsidRDefault="004D45A2" w:rsidP="00C722DC">
      <w:pPr>
        <w:pStyle w:val="Call"/>
        <w:rPr>
          <w:lang w:val="en-US"/>
        </w:rPr>
      </w:pPr>
      <w:r w:rsidRPr="004D45A2">
        <w:rPr>
          <w:lang w:val="en-US"/>
        </w:rPr>
        <w:t>recogni</w:t>
      </w:r>
      <w:r w:rsidR="00C722DC">
        <w:rPr>
          <w:lang w:val="en-US"/>
        </w:rPr>
        <w:t>z</w:t>
      </w:r>
      <w:r w:rsidRPr="004D45A2">
        <w:rPr>
          <w:lang w:val="en-US"/>
        </w:rPr>
        <w:t>ing</w:t>
      </w:r>
    </w:p>
    <w:p w:rsidR="004D45A2" w:rsidRPr="004D45A2" w:rsidRDefault="004D45A2" w:rsidP="00C722DC">
      <w:pPr>
        <w:rPr>
          <w:lang w:val="en-US"/>
        </w:rPr>
      </w:pPr>
      <w:r w:rsidRPr="004D45A2">
        <w:rPr>
          <w:lang w:val="en-US"/>
        </w:rPr>
        <w:t>that the specifications of performance requirements for the transport of sound and television programmes for intern</w:t>
      </w:r>
      <w:r w:rsidR="00C722DC">
        <w:rPr>
          <w:lang w:val="en-US"/>
        </w:rPr>
        <w:t xml:space="preserve">ational programme exchange are </w:t>
      </w:r>
      <w:r w:rsidRPr="004D45A2">
        <w:rPr>
          <w:lang w:val="en-US"/>
        </w:rPr>
        <w:t xml:space="preserve">in the purview of ITU-R Study Group 6, </w:t>
      </w:r>
    </w:p>
    <w:p w:rsidR="004D45A2" w:rsidRPr="004D45A2" w:rsidRDefault="004D45A2" w:rsidP="004D45A2">
      <w:pPr>
        <w:pStyle w:val="Call"/>
        <w:rPr>
          <w:lang w:val="en-US"/>
        </w:rPr>
      </w:pPr>
      <w:r w:rsidRPr="004D45A2">
        <w:rPr>
          <w:lang w:val="en-US"/>
        </w:rPr>
        <w:t>noting</w:t>
      </w:r>
    </w:p>
    <w:p w:rsidR="004D45A2" w:rsidRPr="004D45A2" w:rsidRDefault="004D45A2" w:rsidP="00C722DC">
      <w:pPr>
        <w:rPr>
          <w:color w:val="000000"/>
          <w:lang w:val="en-US"/>
        </w:rPr>
      </w:pPr>
      <w:r w:rsidRPr="004D45A2">
        <w:rPr>
          <w:lang w:val="en-US"/>
        </w:rPr>
        <w:t xml:space="preserve">that </w:t>
      </w:r>
      <w:r w:rsidRPr="004D45A2">
        <w:rPr>
          <w:color w:val="000000"/>
          <w:lang w:val="en-US"/>
        </w:rPr>
        <w:t>the guidelines outlined in this Recommendation are intended to assist those considering the use of IP</w:t>
      </w:r>
      <w:r w:rsidR="00C722DC">
        <w:rPr>
          <w:color w:val="000000"/>
          <w:lang w:val="en-US"/>
        </w:rPr>
        <w:t>-</w:t>
      </w:r>
      <w:r w:rsidRPr="004D45A2">
        <w:rPr>
          <w:color w:val="000000"/>
          <w:lang w:val="en-US"/>
        </w:rPr>
        <w:t>based networks for programme contribution,</w:t>
      </w:r>
    </w:p>
    <w:p w:rsidR="004D45A2" w:rsidRPr="004D45A2" w:rsidRDefault="004D45A2" w:rsidP="004D45A2">
      <w:pPr>
        <w:pStyle w:val="Call"/>
        <w:rPr>
          <w:lang w:val="en-US"/>
        </w:rPr>
      </w:pPr>
      <w:r w:rsidRPr="004D45A2">
        <w:rPr>
          <w:lang w:val="en-US"/>
        </w:rPr>
        <w:t xml:space="preserve">further noting </w:t>
      </w:r>
    </w:p>
    <w:p w:rsidR="004D45A2" w:rsidRPr="004D45A2" w:rsidRDefault="004D45A2" w:rsidP="00C722DC">
      <w:pPr>
        <w:rPr>
          <w:lang w:val="en-US"/>
        </w:rPr>
      </w:pPr>
      <w:r w:rsidRPr="004D45A2">
        <w:rPr>
          <w:lang w:val="en-US"/>
        </w:rPr>
        <w:t>that ITU-R Recommendations will be developed providing more detail on parameters such as the use of data rate conversion, multiplexing, the “wrapper” and any necessary programme related data,</w:t>
      </w:r>
    </w:p>
    <w:p w:rsidR="004D45A2" w:rsidRPr="004D45A2" w:rsidRDefault="004D45A2" w:rsidP="00020E00">
      <w:pPr>
        <w:pStyle w:val="Call"/>
        <w:rPr>
          <w:lang w:val="en-US"/>
        </w:rPr>
      </w:pPr>
      <w:r w:rsidRPr="004D45A2">
        <w:rPr>
          <w:lang w:val="en-US"/>
        </w:rPr>
        <w:lastRenderedPageBreak/>
        <w:t>recommends</w:t>
      </w:r>
    </w:p>
    <w:p w:rsidR="004D45A2" w:rsidRPr="004D45A2" w:rsidRDefault="004D45A2" w:rsidP="00020E00">
      <w:pPr>
        <w:keepNext/>
        <w:keepLines/>
        <w:rPr>
          <w:lang w:val="en-US"/>
        </w:rPr>
      </w:pPr>
      <w:r w:rsidRPr="004D45A2">
        <w:rPr>
          <w:lang w:val="en-US"/>
        </w:rPr>
        <w:t xml:space="preserve">that in the choice of methods to encode, multiplex and transport HDTV programmes over IP-based networks for international exchange, the guidelines listed in the Annex </w:t>
      </w:r>
      <w:r w:rsidR="00020E00">
        <w:rPr>
          <w:lang w:val="en-US"/>
        </w:rPr>
        <w:t xml:space="preserve">to this Recommendation </w:t>
      </w:r>
      <w:r w:rsidRPr="004D45A2">
        <w:rPr>
          <w:lang w:val="en-US"/>
        </w:rPr>
        <w:t>should be considered, together with any further requirements that may apply due to programme-specific circumstances (e.g. contractual requirements specific to the transport of a particular programme), in order that the IP network service provider clearly understands the requirements of the broadcaster.</w:t>
      </w:r>
    </w:p>
    <w:p w:rsidR="004D45A2" w:rsidRDefault="004D45A2" w:rsidP="004D45A2">
      <w:pPr>
        <w:rPr>
          <w:lang w:val="en-US"/>
        </w:rPr>
      </w:pPr>
    </w:p>
    <w:p w:rsidR="00020E00" w:rsidRPr="004D45A2" w:rsidRDefault="00020E00" w:rsidP="004D45A2">
      <w:pPr>
        <w:rPr>
          <w:lang w:val="en-US"/>
        </w:rPr>
      </w:pPr>
    </w:p>
    <w:p w:rsidR="004D45A2" w:rsidRPr="00C722DC" w:rsidRDefault="004D45A2" w:rsidP="00C722DC">
      <w:pPr>
        <w:pStyle w:val="AnnexNoTitle"/>
        <w:rPr>
          <w:lang w:val="en-US"/>
        </w:rPr>
      </w:pPr>
      <w:r w:rsidRPr="00C722DC">
        <w:rPr>
          <w:lang w:val="en-US"/>
        </w:rPr>
        <w:t>A</w:t>
      </w:r>
      <w:r w:rsidR="00C722DC" w:rsidRPr="00C722DC">
        <w:rPr>
          <w:lang w:val="en-US"/>
        </w:rPr>
        <w:t xml:space="preserve">nnex </w:t>
      </w:r>
      <w:r w:rsidR="00C722DC">
        <w:rPr>
          <w:lang w:val="en-US"/>
        </w:rPr>
        <w:br/>
      </w:r>
      <w:r w:rsidRPr="00C722DC">
        <w:rPr>
          <w:lang w:val="en-US"/>
        </w:rPr>
        <w:t>(normative)</w:t>
      </w:r>
      <w:r w:rsidR="00C722DC">
        <w:rPr>
          <w:lang w:val="en-US"/>
        </w:rPr>
        <w:br/>
      </w:r>
      <w:r w:rsidR="00C722DC">
        <w:rPr>
          <w:lang w:val="en-US"/>
        </w:rPr>
        <w:br/>
      </w:r>
      <w:r w:rsidRPr="00C722DC">
        <w:rPr>
          <w:lang w:val="en-US" w:eastAsia="zh-CN"/>
        </w:rPr>
        <w:t xml:space="preserve">High-level guidelines for </w:t>
      </w:r>
      <w:r w:rsidRPr="00C722DC">
        <w:rPr>
          <w:lang w:val="en-US"/>
        </w:rPr>
        <w:t>the international exchange of HDTV programmes</w:t>
      </w:r>
      <w:r w:rsidRPr="00C722DC">
        <w:rPr>
          <w:lang w:val="en-US"/>
        </w:rPr>
        <w:br/>
        <w:t>over IP-based networks for contribution purposes</w:t>
      </w:r>
    </w:p>
    <w:p w:rsidR="004D45A2" w:rsidRPr="00C722DC" w:rsidRDefault="004D45A2" w:rsidP="00C722DC">
      <w:pPr>
        <w:pStyle w:val="Normalaftertitle"/>
        <w:rPr>
          <w:lang w:val="en-US"/>
        </w:rPr>
      </w:pPr>
      <w:r w:rsidRPr="00C722DC">
        <w:rPr>
          <w:lang w:val="en-US"/>
        </w:rPr>
        <w:t>It is common practice in international programme exchange that the programme provider (e.g. the programme producer or the distributor) and the programme recipient (e.g. the broadcaster) mutually agree on the choice of the source-coding, wrapper and transport method within a reasonably small range of options. Typically, the programme recipient will indicate the performance requirements for the programme’s delivery, and the programme provider will indicate the cost to abide by those performance requirements.</w:t>
      </w:r>
    </w:p>
    <w:p w:rsidR="004D45A2" w:rsidRPr="004D45A2" w:rsidRDefault="004D45A2" w:rsidP="004D45A2">
      <w:pPr>
        <w:rPr>
          <w:lang w:val="en-US"/>
        </w:rPr>
      </w:pPr>
      <w:r w:rsidRPr="004D45A2">
        <w:rPr>
          <w:lang w:val="en-US"/>
        </w:rPr>
        <w:t>Within this framework, this Annex specifies some guidance applicable to the international exchange of HDTV programmes over IP-based networks for contribution purposes where the programme provider may be negotiating with IP network service providers unfamiliar with traditional broadcast infrastructure parameters.</w:t>
      </w:r>
    </w:p>
    <w:p w:rsidR="004D45A2" w:rsidRPr="004D45A2" w:rsidRDefault="004D45A2" w:rsidP="002713E6">
      <w:pPr>
        <w:rPr>
          <w:lang w:val="en-US"/>
        </w:rPr>
      </w:pPr>
      <w:r w:rsidRPr="004D45A2">
        <w:rPr>
          <w:lang w:val="en-US"/>
        </w:rPr>
        <w:t>1</w:t>
      </w:r>
      <w:r w:rsidRPr="004D45A2">
        <w:rPr>
          <w:lang w:val="en-US"/>
        </w:rPr>
        <w:tab/>
        <w:t>The baseband specifications of each individual component (video, audio, ancillary data) of an internationally exchanged HDTV programme should always comply with the relevant ITU Recommendations.</w:t>
      </w:r>
    </w:p>
    <w:p w:rsidR="004D45A2" w:rsidRPr="004D45A2" w:rsidRDefault="004D45A2" w:rsidP="002713E6">
      <w:pPr>
        <w:rPr>
          <w:lang w:val="en-US"/>
        </w:rPr>
      </w:pPr>
      <w:r w:rsidRPr="004D45A2">
        <w:rPr>
          <w:lang w:val="en-US"/>
        </w:rPr>
        <w:t>2</w:t>
      </w:r>
      <w:r w:rsidRPr="004D45A2">
        <w:rPr>
          <w:lang w:val="en-US"/>
        </w:rPr>
        <w:tab/>
        <w:t>Each individual baseband component of the programme should normally be internationally exchanged after transparent or quasi transparent</w:t>
      </w:r>
      <w:r>
        <w:rPr>
          <w:rStyle w:val="FootnoteReference"/>
        </w:rPr>
        <w:footnoteReference w:id="2"/>
      </w:r>
      <w:r w:rsidRPr="004D45A2">
        <w:rPr>
          <w:lang w:val="en-US"/>
        </w:rPr>
        <w:t xml:space="preserve"> source-coding, unless there is a requirement to transfer it in </w:t>
      </w:r>
      <w:r w:rsidR="002713E6">
        <w:rPr>
          <w:lang w:val="en-US"/>
        </w:rPr>
        <w:t xml:space="preserve">an </w:t>
      </w:r>
      <w:r w:rsidRPr="004D45A2">
        <w:rPr>
          <w:lang w:val="en-US"/>
        </w:rPr>
        <w:t>uncompressed form, e.g. when it is envisaged that it will undergo very complex post-processing at the receiving facility.</w:t>
      </w:r>
    </w:p>
    <w:p w:rsidR="004D45A2" w:rsidRPr="004D45A2" w:rsidRDefault="004D45A2" w:rsidP="002713E6">
      <w:pPr>
        <w:rPr>
          <w:lang w:val="en-US"/>
        </w:rPr>
      </w:pPr>
      <w:r w:rsidRPr="004D45A2">
        <w:rPr>
          <w:lang w:val="en-US"/>
        </w:rPr>
        <w:t>3</w:t>
      </w:r>
      <w:r w:rsidRPr="004D45A2">
        <w:rPr>
          <w:lang w:val="en-US"/>
        </w:rPr>
        <w:tab/>
        <w:t>All the source-coded components of the programme should be internationally exchanged after they have been multiplexed into a “wrapper” designed to transport them all in a single data stream, keeping them synchroni</w:t>
      </w:r>
      <w:r w:rsidR="002713E6">
        <w:rPr>
          <w:lang w:val="en-US"/>
        </w:rPr>
        <w:t>z</w:t>
      </w:r>
      <w:r w:rsidRPr="004D45A2">
        <w:rPr>
          <w:lang w:val="en-US"/>
        </w:rPr>
        <w:t>ed with each other.</w:t>
      </w:r>
    </w:p>
    <w:p w:rsidR="004D45A2" w:rsidRPr="004D45A2" w:rsidRDefault="004D45A2" w:rsidP="002713E6">
      <w:pPr>
        <w:rPr>
          <w:lang w:val="en-US"/>
        </w:rPr>
      </w:pPr>
      <w:r w:rsidRPr="004D45A2">
        <w:rPr>
          <w:lang w:val="en-US"/>
        </w:rPr>
        <w:t>4</w:t>
      </w:r>
      <w:r w:rsidRPr="004D45A2">
        <w:rPr>
          <w:lang w:val="en-US"/>
        </w:rPr>
        <w:tab/>
        <w:t>Since sound and television programmes represent a valuable intellectual property, they should be protected against piracy or unauthori</w:t>
      </w:r>
      <w:r w:rsidR="002713E6">
        <w:rPr>
          <w:lang w:val="en-US"/>
        </w:rPr>
        <w:t>z</w:t>
      </w:r>
      <w:r w:rsidRPr="004D45A2">
        <w:rPr>
          <w:lang w:val="en-US"/>
        </w:rPr>
        <w:t>ed access during their transport</w:t>
      </w:r>
      <w:r>
        <w:rPr>
          <w:rStyle w:val="FootnoteReference"/>
        </w:rPr>
        <w:footnoteReference w:id="3"/>
      </w:r>
      <w:r w:rsidRPr="004D45A2">
        <w:rPr>
          <w:lang w:val="en-US"/>
        </w:rPr>
        <w:t>.</w:t>
      </w:r>
    </w:p>
    <w:p w:rsidR="004D45A2" w:rsidRPr="004D45A2" w:rsidRDefault="004D45A2" w:rsidP="002713E6">
      <w:pPr>
        <w:rPr>
          <w:lang w:val="en-US"/>
        </w:rPr>
      </w:pPr>
      <w:r w:rsidRPr="004D45A2">
        <w:rPr>
          <w:lang w:val="en-US"/>
        </w:rPr>
        <w:lastRenderedPageBreak/>
        <w:t>5</w:t>
      </w:r>
      <w:r w:rsidRPr="004D45A2">
        <w:rPr>
          <w:lang w:val="en-US"/>
        </w:rPr>
        <w:tab/>
        <w:t>The IP-based transport mechanism should transparently transport the programme data stream, including the programme-related metadata that accompanies the programme, without applying transcoding or new source coding.</w:t>
      </w:r>
    </w:p>
    <w:p w:rsidR="004D45A2" w:rsidRPr="004D45A2" w:rsidRDefault="004D45A2" w:rsidP="002713E6">
      <w:pPr>
        <w:rPr>
          <w:lang w:val="en-US"/>
        </w:rPr>
      </w:pPr>
      <w:r w:rsidRPr="004D45A2">
        <w:rPr>
          <w:lang w:val="en-US"/>
        </w:rPr>
        <w:t>6</w:t>
      </w:r>
      <w:r w:rsidRPr="004D45A2">
        <w:rPr>
          <w:lang w:val="en-US"/>
        </w:rPr>
        <w:tab/>
        <w:t xml:space="preserve">The metadata that accompanies the programme should convey encoded information that allows </w:t>
      </w:r>
      <w:r w:rsidR="002713E6">
        <w:rPr>
          <w:lang w:val="en-US"/>
        </w:rPr>
        <w:t>decoding</w:t>
      </w:r>
      <w:r w:rsidRPr="004D45A2">
        <w:rPr>
          <w:lang w:val="en-US"/>
        </w:rPr>
        <w:t xml:space="preserve"> at least the following information:</w:t>
      </w:r>
    </w:p>
    <w:p w:rsidR="004D45A2" w:rsidRPr="004D45A2" w:rsidRDefault="004D45A2" w:rsidP="004D45A2">
      <w:pPr>
        <w:pStyle w:val="enumlev1"/>
        <w:rPr>
          <w:lang w:val="en-US"/>
        </w:rPr>
      </w:pPr>
      <w:r w:rsidRPr="004D45A2">
        <w:rPr>
          <w:lang w:val="en-US"/>
        </w:rPr>
        <w:t>–</w:t>
      </w:r>
      <w:r w:rsidRPr="004D45A2">
        <w:rPr>
          <w:lang w:val="en-US"/>
        </w:rPr>
        <w:tab/>
        <w:t>the programme content (e.g. the title, subtitle, and episode of the programme and its playing time);</w:t>
      </w:r>
    </w:p>
    <w:p w:rsidR="004D45A2" w:rsidRPr="004D45A2" w:rsidRDefault="004D45A2" w:rsidP="004D45A2">
      <w:pPr>
        <w:pStyle w:val="enumlev1"/>
        <w:rPr>
          <w:lang w:val="en-US"/>
        </w:rPr>
      </w:pPr>
      <w:r w:rsidRPr="004D45A2">
        <w:rPr>
          <w:lang w:val="en-US"/>
        </w:rPr>
        <w:t>–</w:t>
      </w:r>
      <w:r w:rsidRPr="004D45A2">
        <w:rPr>
          <w:lang w:val="en-US"/>
        </w:rPr>
        <w:tab/>
        <w:t>the video and the audio baseband system;</w:t>
      </w:r>
    </w:p>
    <w:p w:rsidR="004D45A2" w:rsidRPr="004D45A2" w:rsidRDefault="004D45A2" w:rsidP="004D45A2">
      <w:pPr>
        <w:pStyle w:val="enumlev1"/>
        <w:rPr>
          <w:lang w:val="en-US"/>
        </w:rPr>
      </w:pPr>
      <w:r w:rsidRPr="004D45A2">
        <w:rPr>
          <w:lang w:val="en-US"/>
        </w:rPr>
        <w:t>–</w:t>
      </w:r>
      <w:r w:rsidRPr="004D45A2">
        <w:rPr>
          <w:lang w:val="en-US"/>
        </w:rPr>
        <w:tab/>
        <w:t>the source-coding;</w:t>
      </w:r>
    </w:p>
    <w:p w:rsidR="004D45A2" w:rsidRPr="004D45A2" w:rsidRDefault="004D45A2" w:rsidP="004D45A2">
      <w:pPr>
        <w:pStyle w:val="enumlev1"/>
        <w:rPr>
          <w:lang w:val="en-US"/>
        </w:rPr>
      </w:pPr>
      <w:r w:rsidRPr="004D45A2">
        <w:rPr>
          <w:lang w:val="en-US"/>
        </w:rPr>
        <w:t>–</w:t>
      </w:r>
      <w:r w:rsidRPr="004D45A2">
        <w:rPr>
          <w:lang w:val="en-US"/>
        </w:rPr>
        <w:tab/>
        <w:t>the wrapper;</w:t>
      </w:r>
    </w:p>
    <w:p w:rsidR="004D45A2" w:rsidRPr="004D45A2" w:rsidRDefault="004D45A2" w:rsidP="004D45A2">
      <w:pPr>
        <w:pStyle w:val="enumlev1"/>
        <w:rPr>
          <w:lang w:val="en-US"/>
        </w:rPr>
      </w:pPr>
      <w:r w:rsidRPr="004D45A2">
        <w:rPr>
          <w:lang w:val="en-US"/>
        </w:rPr>
        <w:t>–</w:t>
      </w:r>
      <w:r w:rsidRPr="004D45A2">
        <w:rPr>
          <w:lang w:val="en-US"/>
        </w:rPr>
        <w:tab/>
        <w:t>the data required to securely protect the intellectual property rights to the programme, etc.</w:t>
      </w:r>
    </w:p>
    <w:p w:rsidR="004D45A2" w:rsidRPr="004D45A2" w:rsidRDefault="004D45A2" w:rsidP="002713E6">
      <w:pPr>
        <w:rPr>
          <w:lang w:val="en-US"/>
        </w:rPr>
      </w:pPr>
      <w:r w:rsidRPr="004D45A2">
        <w:rPr>
          <w:lang w:val="en-US"/>
        </w:rPr>
        <w:t>7</w:t>
      </w:r>
      <w:r w:rsidRPr="004D45A2">
        <w:rPr>
          <w:lang w:val="en-US"/>
        </w:rPr>
        <w:tab/>
        <w:t>The IP operator charged with the transport of an internationally exchanged programme should engage to comply with the modalities for the IP-based transport of the programme, as agreed between the programme provider and the programme recipient; those modalities typically include the required transfer data rate, the maximum permitted data-error rate, the availability ratio of the connection</w:t>
      </w:r>
      <w:r>
        <w:rPr>
          <w:rStyle w:val="FootnoteReference"/>
        </w:rPr>
        <w:footnoteReference w:id="4"/>
      </w:r>
      <w:r w:rsidRPr="004D45A2">
        <w:rPr>
          <w:lang w:val="en-US"/>
        </w:rPr>
        <w:t xml:space="preserve"> and other performance aspects such as the maximum permitted latency of the connection in the case of real-time programme streaming.</w:t>
      </w:r>
    </w:p>
    <w:p w:rsidR="004D45A2" w:rsidRDefault="004D45A2" w:rsidP="004D45A2">
      <w:pPr>
        <w:rPr>
          <w:lang w:val="en-US" w:eastAsia="zh-CN"/>
        </w:rPr>
      </w:pPr>
    </w:p>
    <w:p w:rsidR="004D45A2" w:rsidRDefault="004D45A2" w:rsidP="004D45A2">
      <w:pPr>
        <w:rPr>
          <w:lang w:val="en-US" w:eastAsia="zh-CN"/>
        </w:rPr>
      </w:pPr>
    </w:p>
    <w:p w:rsidR="004D45A2" w:rsidRPr="004D45A2" w:rsidRDefault="004D45A2" w:rsidP="004D45A2">
      <w:pPr>
        <w:pStyle w:val="Line"/>
        <w:rPr>
          <w:lang w:eastAsia="zh-CN"/>
        </w:rPr>
      </w:pPr>
      <w:bookmarkStart w:id="3" w:name="_GoBack"/>
      <w:bookmarkEnd w:id="3"/>
    </w:p>
    <w:sectPr w:rsidR="004D45A2" w:rsidRPr="004D45A2" w:rsidSect="00AB6883">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5A2" w:rsidRDefault="004D45A2">
      <w:r>
        <w:separator/>
      </w:r>
    </w:p>
  </w:endnote>
  <w:endnote w:type="continuationSeparator" w:id="0">
    <w:p w:rsidR="004D45A2" w:rsidRDefault="004D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5A2" w:rsidRDefault="004D45A2">
      <w:r>
        <w:separator/>
      </w:r>
    </w:p>
  </w:footnote>
  <w:footnote w:type="continuationSeparator" w:id="0">
    <w:p w:rsidR="004D45A2" w:rsidRDefault="004D45A2">
      <w:r>
        <w:continuationSeparator/>
      </w:r>
    </w:p>
  </w:footnote>
  <w:footnote w:id="1">
    <w:p w:rsidR="004D45A2" w:rsidRPr="004D45A2" w:rsidRDefault="004D45A2" w:rsidP="004D45A2">
      <w:pPr>
        <w:pStyle w:val="FootnoteText"/>
        <w:rPr>
          <w:lang w:val="en-US"/>
        </w:rPr>
      </w:pPr>
      <w:r>
        <w:rPr>
          <w:rStyle w:val="FootnoteReference"/>
        </w:rPr>
        <w:footnoteRef/>
      </w:r>
      <w:r w:rsidRPr="004D45A2">
        <w:rPr>
          <w:lang w:val="en-US"/>
        </w:rPr>
        <w:tab/>
        <w:t>The ITU Terminology Database defines a contribution link as “a link for the transmission of sound or television broadcasting signals to a programme production centre”.</w:t>
      </w:r>
    </w:p>
  </w:footnote>
  <w:footnote w:id="2">
    <w:p w:rsidR="004D45A2" w:rsidRPr="004D45A2" w:rsidRDefault="004D45A2" w:rsidP="004D45A2">
      <w:pPr>
        <w:pStyle w:val="FootnoteText"/>
        <w:rPr>
          <w:rStyle w:val="FootnoteReference"/>
          <w:sz w:val="24"/>
          <w:szCs w:val="24"/>
          <w:lang w:val="en-US"/>
        </w:rPr>
      </w:pPr>
      <w:r w:rsidRPr="00B467AD">
        <w:rPr>
          <w:rStyle w:val="FootnoteReference"/>
          <w:sz w:val="16"/>
          <w:szCs w:val="16"/>
        </w:rPr>
        <w:footnoteRef/>
      </w:r>
      <w:r w:rsidRPr="004D45A2">
        <w:rPr>
          <w:szCs w:val="22"/>
          <w:lang w:val="en-US"/>
        </w:rPr>
        <w:tab/>
      </w:r>
      <w:r w:rsidRPr="004D45A2">
        <w:rPr>
          <w:szCs w:val="24"/>
          <w:lang w:val="en-US"/>
        </w:rPr>
        <w:t>A “transparent” bit rate reduction method is one that does not affect the subjective quality of sound or picture sequences.</w:t>
      </w:r>
      <w:r w:rsidRPr="004D45A2">
        <w:rPr>
          <w:rStyle w:val="FootnoteReference"/>
          <w:sz w:val="24"/>
          <w:szCs w:val="24"/>
          <w:lang w:val="en-US"/>
        </w:rPr>
        <w:t xml:space="preserve"> </w:t>
      </w:r>
    </w:p>
  </w:footnote>
  <w:footnote w:id="3">
    <w:p w:rsidR="004D45A2" w:rsidRPr="004D45A2" w:rsidRDefault="004D45A2" w:rsidP="004D45A2">
      <w:pPr>
        <w:pStyle w:val="FootnoteText"/>
        <w:rPr>
          <w:lang w:val="en-US"/>
        </w:rPr>
      </w:pPr>
      <w:r w:rsidRPr="00B467AD">
        <w:rPr>
          <w:rStyle w:val="FootnoteReference"/>
          <w:sz w:val="16"/>
          <w:szCs w:val="16"/>
        </w:rPr>
        <w:footnoteRef/>
      </w:r>
      <w:r w:rsidRPr="004D45A2">
        <w:rPr>
          <w:szCs w:val="24"/>
          <w:lang w:val="en-US"/>
        </w:rPr>
        <w:tab/>
        <w:t>This can be accomplished, for instance, through provisions such as password access with frequent password changes, certification of IP source and destination addresses, and content watermarking to ease identification of illegal copies.</w:t>
      </w:r>
    </w:p>
  </w:footnote>
  <w:footnote w:id="4">
    <w:p w:rsidR="004D45A2" w:rsidRPr="00364EC6" w:rsidRDefault="004D45A2" w:rsidP="004D45A2">
      <w:pPr>
        <w:pStyle w:val="FootnoteText"/>
        <w:rPr>
          <w:lang w:val="en-US"/>
        </w:rPr>
      </w:pPr>
      <w:r>
        <w:rPr>
          <w:rStyle w:val="FootnoteReference"/>
        </w:rPr>
        <w:footnoteRef/>
      </w:r>
      <w:r w:rsidRPr="004D45A2">
        <w:rPr>
          <w:lang w:val="en-US"/>
        </w:rPr>
        <w:tab/>
        <w:t>The ITU Terminology Database defines the availability ratio of a connection as the proportion of time that the connection is in the available state during a given observation period; it is calculated by dividing the total available time during the observation period by the duration of the observation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A2" w:rsidRDefault="004D45A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A2" w:rsidRDefault="004D45A2" w:rsidP="00B033C8">
    <w:pPr>
      <w:pStyle w:val="Header"/>
      <w:ind w:right="360" w:firstLine="360"/>
    </w:pPr>
    <w:r>
      <w:rPr>
        <w:noProof/>
        <w:lang w:val="en-US" w:eastAsia="zh-CN"/>
      </w:rPr>
      <w:drawing>
        <wp:anchor distT="0" distB="0" distL="114300" distR="114300" simplePos="0" relativeHeight="251659264" behindDoc="1" locked="0" layoutInCell="1" allowOverlap="1" wp14:anchorId="455B3921" wp14:editId="57AB79B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A2" w:rsidRPr="000F6905" w:rsidRDefault="004D45A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728D1">
      <w:rPr>
        <w:rStyle w:val="PageNumber"/>
        <w:b/>
        <w:bCs/>
        <w:noProof/>
      </w:rPr>
      <w:t>ii</w:t>
    </w:r>
    <w:r>
      <w:rPr>
        <w:rStyle w:val="PageNumber"/>
        <w:b/>
        <w:bCs/>
      </w:rPr>
      <w:fldChar w:fldCharType="end"/>
    </w:r>
    <w:r w:rsidRPr="000F6905">
      <w:tab/>
    </w:r>
    <w:r w:rsidR="005728D1">
      <w:fldChar w:fldCharType="begin"/>
    </w:r>
    <w:r w:rsidR="005728D1">
      <w:instrText xml:space="preserve"> DOCPROPERTY "Header" \* MERGEFORMAT </w:instrText>
    </w:r>
    <w:r w:rsidR="005728D1">
      <w:fldChar w:fldCharType="separate"/>
    </w:r>
    <w:r w:rsidR="002713E6" w:rsidRPr="002713E6">
      <w:rPr>
        <w:b/>
        <w:bCs/>
      </w:rPr>
      <w:t xml:space="preserve">Rec. </w:t>
    </w:r>
    <w:r w:rsidR="005728D1">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728D1">
      <w:rPr>
        <w:b/>
        <w:bCs/>
        <w:noProof/>
      </w:rPr>
      <w:t>ITU-R  BT.2056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A2" w:rsidRDefault="004D45A2">
    <w:pPr>
      <w:pStyle w:val="Header"/>
    </w:pPr>
    <w:r>
      <w:tab/>
    </w:r>
    <w:r w:rsidR="005728D1">
      <w:fldChar w:fldCharType="begin"/>
    </w:r>
    <w:r w:rsidR="005728D1">
      <w:instrText xml:space="preserve"> DOCPROPERTY "Header" \* MERGEFORMAT </w:instrText>
    </w:r>
    <w:r w:rsidR="005728D1">
      <w:fldChar w:fldCharType="separate"/>
    </w:r>
    <w:r w:rsidR="002713E6" w:rsidRPr="002713E6">
      <w:rPr>
        <w:b/>
        <w:bCs/>
      </w:rPr>
      <w:t xml:space="preserve">Rec. </w:t>
    </w:r>
    <w:r w:rsidR="005728D1">
      <w:rPr>
        <w:b/>
        <w:bCs/>
      </w:rPr>
      <w:fldChar w:fldCharType="end"/>
    </w:r>
    <w:r>
      <w:rPr>
        <w:b/>
        <w:bCs/>
      </w:rPr>
      <w:t xml:space="preserve"> </w:t>
    </w:r>
    <w:r>
      <w:rPr>
        <w:b/>
        <w:bCs/>
      </w:rPr>
      <w:fldChar w:fldCharType="begin"/>
    </w:r>
    <w:r>
      <w:rPr>
        <w:b/>
        <w:bCs/>
      </w:rPr>
      <w:instrText>styleref href</w:instrText>
    </w:r>
    <w:r>
      <w:rPr>
        <w:b/>
        <w:bCs/>
      </w:rPr>
      <w:fldChar w:fldCharType="separate"/>
    </w:r>
    <w:r w:rsidR="002713E6">
      <w:rPr>
        <w:b/>
        <w:bCs/>
        <w:noProof/>
      </w:rPr>
      <w:t>ITU-R  BT.2056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28D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713E6" w:rsidRPr="002713E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28D1">
      <w:rPr>
        <w:b/>
        <w:bCs/>
        <w:noProof/>
      </w:rPr>
      <w:t>ITU-R  BT.2056-0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5728D1">
      <w:fldChar w:fldCharType="begin"/>
    </w:r>
    <w:r w:rsidR="005728D1">
      <w:instrText xml:space="preserve"> DOCPROPERTY "Header" \* MERGEFORMAT </w:instrText>
    </w:r>
    <w:r w:rsidR="005728D1">
      <w:fldChar w:fldCharType="separate"/>
    </w:r>
    <w:r w:rsidR="002713E6" w:rsidRPr="002713E6">
      <w:rPr>
        <w:b/>
        <w:bCs/>
      </w:rPr>
      <w:t xml:space="preserve">Rec. </w:t>
    </w:r>
    <w:r w:rsidR="005728D1">
      <w:rPr>
        <w:b/>
        <w:bCs/>
      </w:rPr>
      <w:fldChar w:fldCharType="end"/>
    </w:r>
    <w:r>
      <w:rPr>
        <w:b/>
        <w:bCs/>
      </w:rPr>
      <w:t xml:space="preserve"> </w:t>
    </w:r>
    <w:r>
      <w:rPr>
        <w:b/>
        <w:bCs/>
      </w:rPr>
      <w:fldChar w:fldCharType="begin"/>
    </w:r>
    <w:r>
      <w:rPr>
        <w:b/>
        <w:bCs/>
      </w:rPr>
      <w:instrText>styleref href</w:instrText>
    </w:r>
    <w:r>
      <w:rPr>
        <w:b/>
        <w:bCs/>
      </w:rPr>
      <w:fldChar w:fldCharType="separate"/>
    </w:r>
    <w:r w:rsidR="005728D1">
      <w:rPr>
        <w:b/>
        <w:bCs/>
        <w:noProof/>
      </w:rPr>
      <w:t>ITU-R  BT.2056-0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8D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5A2"/>
    <w:rsid w:val="00020E00"/>
    <w:rsid w:val="00043C49"/>
    <w:rsid w:val="00217EBF"/>
    <w:rsid w:val="00242AEE"/>
    <w:rsid w:val="002713E6"/>
    <w:rsid w:val="002715FE"/>
    <w:rsid w:val="002717D6"/>
    <w:rsid w:val="00282751"/>
    <w:rsid w:val="002D76C4"/>
    <w:rsid w:val="004C079D"/>
    <w:rsid w:val="004D45A2"/>
    <w:rsid w:val="004E7A3E"/>
    <w:rsid w:val="0052529D"/>
    <w:rsid w:val="005728D1"/>
    <w:rsid w:val="00607D68"/>
    <w:rsid w:val="007468DA"/>
    <w:rsid w:val="009B47D9"/>
    <w:rsid w:val="009E00A8"/>
    <w:rsid w:val="00A6617B"/>
    <w:rsid w:val="00AB0DC8"/>
    <w:rsid w:val="00AB6883"/>
    <w:rsid w:val="00B44E24"/>
    <w:rsid w:val="00C722DC"/>
    <w:rsid w:val="00DF4176"/>
    <w:rsid w:val="00E14E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5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D45A2"/>
    <w:rPr>
      <w:b/>
      <w:sz w:val="24"/>
      <w:lang w:val="fr-FR" w:eastAsia="en-US"/>
    </w:rPr>
  </w:style>
  <w:style w:type="character" w:customStyle="1" w:styleId="HeaderChar">
    <w:name w:val="Header Char"/>
    <w:basedOn w:val="DefaultParagraphFont"/>
    <w:link w:val="Header"/>
    <w:rsid w:val="004D45A2"/>
    <w:rPr>
      <w:sz w:val="24"/>
      <w:lang w:val="fr-FR" w:eastAsia="en-US"/>
    </w:rPr>
  </w:style>
  <w:style w:type="character" w:styleId="Hyperlink">
    <w:name w:val="Hyperlink"/>
    <w:basedOn w:val="DefaultParagraphFont"/>
    <w:rsid w:val="004D45A2"/>
    <w:rPr>
      <w:color w:val="0000FF"/>
      <w:u w:val="single"/>
    </w:rPr>
  </w:style>
  <w:style w:type="character" w:customStyle="1" w:styleId="FootnoteTextChar">
    <w:name w:val="Footnote Text Char"/>
    <w:link w:val="FootnoteText"/>
    <w:uiPriority w:val="99"/>
    <w:rsid w:val="004D45A2"/>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5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D45A2"/>
    <w:rPr>
      <w:b/>
      <w:sz w:val="24"/>
      <w:lang w:val="fr-FR" w:eastAsia="en-US"/>
    </w:rPr>
  </w:style>
  <w:style w:type="character" w:customStyle="1" w:styleId="HeaderChar">
    <w:name w:val="Header Char"/>
    <w:basedOn w:val="DefaultParagraphFont"/>
    <w:link w:val="Header"/>
    <w:rsid w:val="004D45A2"/>
    <w:rPr>
      <w:sz w:val="24"/>
      <w:lang w:val="fr-FR" w:eastAsia="en-US"/>
    </w:rPr>
  </w:style>
  <w:style w:type="character" w:styleId="Hyperlink">
    <w:name w:val="Hyperlink"/>
    <w:basedOn w:val="DefaultParagraphFont"/>
    <w:rsid w:val="004D45A2"/>
    <w:rPr>
      <w:color w:val="0000FF"/>
      <w:u w:val="single"/>
    </w:rPr>
  </w:style>
  <w:style w:type="character" w:customStyle="1" w:styleId="FootnoteTextChar">
    <w:name w:val="Footnote Text Char"/>
    <w:link w:val="FootnoteText"/>
    <w:uiPriority w:val="99"/>
    <w:rsid w:val="004D45A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5</Pages>
  <Words>1064</Words>
  <Characters>6821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13</cp:revision>
  <cp:lastPrinted>2005-02-10T15:54:00Z</cp:lastPrinted>
  <dcterms:created xsi:type="dcterms:W3CDTF">2014-01-23T10:48:00Z</dcterms:created>
  <dcterms:modified xsi:type="dcterms:W3CDTF">2014-02-27T09:44:00Z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