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27343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155BD7C" wp14:editId="7152FCFC">
                <wp:simplePos x="0" y="0"/>
                <wp:positionH relativeFrom="column">
                  <wp:posOffset>383758</wp:posOffset>
                </wp:positionH>
                <wp:positionV relativeFrom="paragraph">
                  <wp:posOffset>4329553</wp:posOffset>
                </wp:positionV>
                <wp:extent cx="6578221" cy="2115403"/>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221" cy="2115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273431"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مبادئ توجيهية رفيعة المستوى من أجل </w:t>
                            </w:r>
                            <w:r w:rsidR="006F0631">
                              <w:rPr>
                                <w:rFonts w:ascii="Tahoma" w:hAnsi="Tahoma"/>
                                <w:b/>
                                <w:bCs/>
                                <w:color w:val="000068"/>
                                <w:sz w:val="40"/>
                                <w:szCs w:val="72"/>
                                <w:rtl/>
                                <w:lang w:bidi="ar-EG"/>
                              </w:rPr>
                              <w:br/>
                            </w:r>
                            <w:r>
                              <w:rPr>
                                <w:rFonts w:ascii="Tahoma" w:hAnsi="Tahoma" w:hint="cs"/>
                                <w:b/>
                                <w:bCs/>
                                <w:color w:val="000068"/>
                                <w:sz w:val="40"/>
                                <w:szCs w:val="72"/>
                                <w:rtl/>
                                <w:lang w:bidi="ar-EG"/>
                              </w:rPr>
                              <w:t xml:space="preserve">التبادل الدولي لبرامج التلفزيون عالي الوضوح </w:t>
                            </w:r>
                            <w:r w:rsidR="006F0631">
                              <w:rPr>
                                <w:rFonts w:ascii="Tahoma" w:hAnsi="Tahoma"/>
                                <w:b/>
                                <w:bCs/>
                                <w:color w:val="000068"/>
                                <w:sz w:val="40"/>
                                <w:szCs w:val="72"/>
                                <w:rtl/>
                                <w:lang w:bidi="ar-EG"/>
                              </w:rPr>
                              <w:br/>
                            </w:r>
                            <w:r>
                              <w:rPr>
                                <w:rFonts w:ascii="Tahoma" w:hAnsi="Tahoma" w:hint="cs"/>
                                <w:b/>
                                <w:bCs/>
                                <w:color w:val="000068"/>
                                <w:sz w:val="40"/>
                                <w:szCs w:val="72"/>
                                <w:rtl/>
                                <w:lang w:bidi="ar-EG"/>
                              </w:rPr>
                              <w:t xml:space="preserve">عبر توصيلات قائمة على بروتوكول الإنترنت </w:t>
                            </w:r>
                            <w:r w:rsidR="006F0631">
                              <w:rPr>
                                <w:rFonts w:ascii="Tahoma" w:hAnsi="Tahoma"/>
                                <w:b/>
                                <w:bCs/>
                                <w:color w:val="000068"/>
                                <w:sz w:val="40"/>
                                <w:szCs w:val="72"/>
                                <w:rtl/>
                                <w:lang w:bidi="ar-EG"/>
                              </w:rPr>
                              <w:br/>
                            </w:r>
                            <w:r>
                              <w:rPr>
                                <w:rFonts w:ascii="Tahoma" w:hAnsi="Tahoma" w:hint="cs"/>
                                <w:b/>
                                <w:bCs/>
                                <w:color w:val="000068"/>
                                <w:sz w:val="40"/>
                                <w:szCs w:val="72"/>
                                <w:rtl/>
                                <w:lang w:bidi="ar-EG"/>
                              </w:rPr>
                              <w:t>لأغراض المساهمة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5BD7C" id="_x0000_t202" coordsize="21600,21600" o:spt="202" path="m,l,21600r21600,l21600,xe">
                <v:stroke joinstyle="miter"/>
                <v:path gradientshapeok="t" o:connecttype="rect"/>
              </v:shapetype>
              <v:shape id="Text Box 2859" o:spid="_x0000_s1026" type="#_x0000_t202" style="position:absolute;left:0;text-align:left;margin-left:30.2pt;margin-top:340.9pt;width:517.95pt;height:16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om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" filled="f" stroked="f">
                <v:textbox>
                  <w:txbxContent>
                    <w:p w:rsidR="000B4F10" w:rsidRPr="005F01A2" w:rsidRDefault="00273431"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مبادئ توجيهية رفيعة المستوى من أجل </w:t>
                      </w:r>
                      <w:r w:rsidR="006F0631">
                        <w:rPr>
                          <w:rFonts w:ascii="Tahoma" w:hAnsi="Tahoma"/>
                          <w:b/>
                          <w:bCs/>
                          <w:color w:val="000068"/>
                          <w:sz w:val="40"/>
                          <w:szCs w:val="72"/>
                          <w:rtl/>
                          <w:lang w:bidi="ar-EG"/>
                        </w:rPr>
                        <w:br/>
                      </w:r>
                      <w:r>
                        <w:rPr>
                          <w:rFonts w:ascii="Tahoma" w:hAnsi="Tahoma" w:hint="cs"/>
                          <w:b/>
                          <w:bCs/>
                          <w:color w:val="000068"/>
                          <w:sz w:val="40"/>
                          <w:szCs w:val="72"/>
                          <w:rtl/>
                          <w:lang w:bidi="ar-EG"/>
                        </w:rPr>
                        <w:t xml:space="preserve">التبادل الدولي لبرامج التلفزيون عالي الوضوح </w:t>
                      </w:r>
                      <w:r w:rsidR="006F0631">
                        <w:rPr>
                          <w:rFonts w:ascii="Tahoma" w:hAnsi="Tahoma"/>
                          <w:b/>
                          <w:bCs/>
                          <w:color w:val="000068"/>
                          <w:sz w:val="40"/>
                          <w:szCs w:val="72"/>
                          <w:rtl/>
                          <w:lang w:bidi="ar-EG"/>
                        </w:rPr>
                        <w:br/>
                      </w:r>
                      <w:r>
                        <w:rPr>
                          <w:rFonts w:ascii="Tahoma" w:hAnsi="Tahoma" w:hint="cs"/>
                          <w:b/>
                          <w:bCs/>
                          <w:color w:val="000068"/>
                          <w:sz w:val="40"/>
                          <w:szCs w:val="72"/>
                          <w:rtl/>
                          <w:lang w:bidi="ar-EG"/>
                        </w:rPr>
                        <w:t xml:space="preserve">عبر توصيلات قائمة على بروتوكول الإنترنت </w:t>
                      </w:r>
                      <w:r w:rsidR="006F0631">
                        <w:rPr>
                          <w:rFonts w:ascii="Tahoma" w:hAnsi="Tahoma"/>
                          <w:b/>
                          <w:bCs/>
                          <w:color w:val="000068"/>
                          <w:sz w:val="40"/>
                          <w:szCs w:val="72"/>
                          <w:rtl/>
                          <w:lang w:bidi="ar-EG"/>
                        </w:rPr>
                        <w:br/>
                      </w:r>
                      <w:r>
                        <w:rPr>
                          <w:rFonts w:ascii="Tahoma" w:hAnsi="Tahoma" w:hint="cs"/>
                          <w:b/>
                          <w:bCs/>
                          <w:color w:val="000068"/>
                          <w:sz w:val="40"/>
                          <w:szCs w:val="72"/>
                          <w:rtl/>
                          <w:lang w:bidi="ar-EG"/>
                        </w:rPr>
                        <w:t>لأغراض المساهمة</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1D5D1933" wp14:editId="179C87A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27343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73431">
                              <w:rPr>
                                <w:rFonts w:ascii="Tahoma" w:hAnsi="Tahoma"/>
                                <w:b/>
                                <w:bCs/>
                                <w:color w:val="000068"/>
                                <w:sz w:val="36"/>
                                <w:szCs w:val="56"/>
                                <w:lang w:bidi="ar-EG"/>
                              </w:rPr>
                              <w:t>BT</w:t>
                            </w:r>
                            <w:r w:rsidRPr="005F01A2">
                              <w:rPr>
                                <w:rFonts w:ascii="Tahoma" w:hAnsi="Tahoma"/>
                                <w:b/>
                                <w:bCs/>
                                <w:color w:val="000068"/>
                                <w:sz w:val="36"/>
                                <w:szCs w:val="56"/>
                                <w:lang w:bidi="ar-EG"/>
                              </w:rPr>
                              <w:t>.</w:t>
                            </w:r>
                            <w:r w:rsidR="00273431">
                              <w:rPr>
                                <w:rFonts w:ascii="Tahoma" w:hAnsi="Tahoma"/>
                                <w:b/>
                                <w:bCs/>
                                <w:color w:val="000068"/>
                                <w:sz w:val="36"/>
                                <w:szCs w:val="56"/>
                                <w:lang w:bidi="ar-EG"/>
                              </w:rPr>
                              <w:t>2056-0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273431">
                              <w:rPr>
                                <w:rFonts w:ascii="Tahoma" w:hAnsi="Tahoma" w:cs="Tahoma"/>
                                <w:b/>
                                <w:bCs/>
                                <w:color w:val="000068"/>
                                <w:sz w:val="24"/>
                                <w:szCs w:val="24"/>
                                <w:lang w:bidi="ar-EG"/>
                              </w:rPr>
                              <w:t>4</w:t>
                            </w:r>
                            <w:r>
                              <w:rPr>
                                <w:rFonts w:ascii="Tahoma" w:hAnsi="Tahoma" w:cs="Tahoma"/>
                                <w:b/>
                                <w:bCs/>
                                <w:color w:val="000068"/>
                                <w:sz w:val="24"/>
                                <w:szCs w:val="24"/>
                                <w:lang w:bidi="ar-EG"/>
                              </w:rPr>
                              <w:t>/</w:t>
                            </w:r>
                            <w:r w:rsidR="00273431">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193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27343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73431">
                        <w:rPr>
                          <w:rFonts w:ascii="Tahoma" w:hAnsi="Tahoma"/>
                          <w:b/>
                          <w:bCs/>
                          <w:color w:val="000068"/>
                          <w:sz w:val="36"/>
                          <w:szCs w:val="56"/>
                          <w:lang w:bidi="ar-EG"/>
                        </w:rPr>
                        <w:t>BT</w:t>
                      </w:r>
                      <w:r w:rsidRPr="005F01A2">
                        <w:rPr>
                          <w:rFonts w:ascii="Tahoma" w:hAnsi="Tahoma"/>
                          <w:b/>
                          <w:bCs/>
                          <w:color w:val="000068"/>
                          <w:sz w:val="36"/>
                          <w:szCs w:val="56"/>
                          <w:lang w:bidi="ar-EG"/>
                        </w:rPr>
                        <w:t>.</w:t>
                      </w:r>
                      <w:r w:rsidR="00273431">
                        <w:rPr>
                          <w:rFonts w:ascii="Tahoma" w:hAnsi="Tahoma"/>
                          <w:b/>
                          <w:bCs/>
                          <w:color w:val="000068"/>
                          <w:sz w:val="36"/>
                          <w:szCs w:val="56"/>
                          <w:lang w:bidi="ar-EG"/>
                        </w:rPr>
                        <w:t>2056-0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273431">
                        <w:rPr>
                          <w:rFonts w:ascii="Tahoma" w:hAnsi="Tahoma" w:cs="Tahoma"/>
                          <w:b/>
                          <w:bCs/>
                          <w:color w:val="000068"/>
                          <w:sz w:val="24"/>
                          <w:szCs w:val="24"/>
                          <w:lang w:bidi="ar-EG"/>
                        </w:rPr>
                        <w:t>4</w:t>
                      </w:r>
                      <w:r>
                        <w:rPr>
                          <w:rFonts w:ascii="Tahoma" w:hAnsi="Tahoma" w:cs="Tahoma"/>
                          <w:b/>
                          <w:bCs/>
                          <w:color w:val="000068"/>
                          <w:sz w:val="24"/>
                          <w:szCs w:val="24"/>
                          <w:lang w:bidi="ar-EG"/>
                        </w:rPr>
                        <w:t>/</w:t>
                      </w:r>
                      <w:r w:rsidR="00273431">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27343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73431">
                              <w:rPr>
                                <w:rFonts w:ascii="Tahoma" w:hAnsi="Tahoma"/>
                                <w:b/>
                                <w:bCs/>
                                <w:color w:val="000068"/>
                                <w:sz w:val="34"/>
                                <w:szCs w:val="54"/>
                                <w:lang w:bidi="ar-EG"/>
                              </w:rPr>
                              <w:t>BT</w:t>
                            </w:r>
                          </w:p>
                          <w:p w:rsidR="000B4F10" w:rsidRPr="005F01A2" w:rsidRDefault="0027343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27343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73431">
                        <w:rPr>
                          <w:rFonts w:ascii="Tahoma" w:hAnsi="Tahoma"/>
                          <w:b/>
                          <w:bCs/>
                          <w:color w:val="000068"/>
                          <w:sz w:val="34"/>
                          <w:szCs w:val="54"/>
                          <w:lang w:bidi="ar-EG"/>
                        </w:rPr>
                        <w:t>BT</w:t>
                      </w:r>
                    </w:p>
                    <w:p w:rsidR="000B4F10" w:rsidRPr="005F01A2" w:rsidRDefault="0027343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F322C9">
              <w:fldChar w:fldCharType="begin"/>
            </w:r>
            <w:r w:rsidR="00F322C9">
              <w:instrText xml:space="preserve"> HYPERLINK "http://www.itu.int/publ/R-REC/en" </w:instrText>
            </w:r>
            <w:r w:rsidR="00F322C9">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F322C9">
              <w:rPr>
                <w:rStyle w:val="Hyperlink"/>
                <w:sz w:val="18"/>
                <w:szCs w:val="24"/>
              </w:rPr>
              <w:fldChar w:fldCharType="end"/>
            </w:r>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2734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r>
            <w:r w:rsidRPr="00CB216D">
              <w:rPr>
                <w:rFonts w:ascii="Times New Roman Bold" w:hAnsi="Times New Roman Bold" w:hint="cs"/>
                <w:color w:val="000000" w:themeColor="text1"/>
                <w:sz w:val="20"/>
                <w:szCs w:val="26"/>
                <w:rtl/>
              </w:rPr>
              <w:t>الخدمة الإذاعية (الصوتية</w:t>
            </w:r>
            <w:r w:rsidRPr="002E6ECC">
              <w:rPr>
                <w:rFonts w:hint="cs"/>
                <w:b/>
                <w:bCs/>
                <w:color w:val="000080"/>
                <w:sz w:val="20"/>
                <w:szCs w:val="26"/>
                <w:rtl/>
              </w:rPr>
              <w:t>)</w:t>
            </w:r>
          </w:p>
        </w:tc>
      </w:tr>
      <w:tr w:rsidR="00E964C9" w:rsidRPr="00440F51" w:rsidTr="00273431">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E964C9" w:rsidRPr="00273431" w:rsidRDefault="00E964C9" w:rsidP="00E964C9">
            <w:pPr>
              <w:tabs>
                <w:tab w:val="left" w:pos="1471"/>
              </w:tabs>
              <w:spacing w:before="20" w:after="40" w:line="240" w:lineRule="exact"/>
              <w:rPr>
                <w:rFonts w:ascii="Times New Roman Bold" w:hAnsi="Times New Roman Bold"/>
                <w:b/>
                <w:bCs/>
                <w:color w:val="002060"/>
                <w:sz w:val="20"/>
                <w:szCs w:val="26"/>
                <w:lang w:val="ru-RU"/>
              </w:rPr>
            </w:pPr>
            <w:r w:rsidRPr="00CB216D">
              <w:rPr>
                <w:rFonts w:ascii="Times New Roman Bold" w:hAnsi="Times New Roman Bold"/>
                <w:b/>
                <w:bCs/>
                <w:color w:val="244061" w:themeColor="accent1" w:themeShade="80"/>
                <w:sz w:val="20"/>
                <w:szCs w:val="26"/>
              </w:rPr>
              <w:t>BT</w:t>
            </w:r>
            <w:r w:rsidRPr="00CB216D">
              <w:rPr>
                <w:rFonts w:ascii="Times New Roman Bold" w:hAnsi="Times New Roman Bold" w:hint="cs"/>
                <w:b/>
                <w:bCs/>
                <w:color w:val="244061" w:themeColor="accent1" w:themeShade="80"/>
                <w:sz w:val="20"/>
                <w:szCs w:val="26"/>
                <w:rtl/>
              </w:rPr>
              <w:tab/>
            </w:r>
            <w:r w:rsidRPr="00CB216D">
              <w:rPr>
                <w:rFonts w:ascii="Times New Roman Bold" w:hAnsi="Times New Roman Bold" w:hint="cs"/>
                <w:b/>
                <w:bCs/>
                <w:color w:val="244061" w:themeColor="accent1" w:themeShade="80"/>
                <w:sz w:val="20"/>
                <w:szCs w:val="26"/>
                <w:rtl/>
                <w:lang w:val="ru-RU"/>
              </w:rPr>
              <w:t>الخدمة الإذاعية (</w:t>
            </w:r>
            <w:r w:rsidRPr="00CB216D">
              <w:rPr>
                <w:rFonts w:ascii="Times New Roman Bold" w:hAnsi="Times New Roman Bold" w:hint="cs"/>
                <w:b/>
                <w:bCs/>
                <w:color w:val="0F243E" w:themeColor="text2" w:themeShade="80"/>
                <w:sz w:val="20"/>
                <w:szCs w:val="26"/>
                <w:rtl/>
                <w:lang w:val="ru-RU"/>
              </w:rPr>
              <w:t>التلفزيونية</w:t>
            </w:r>
            <w:r w:rsidRPr="00CB216D">
              <w:rPr>
                <w:rFonts w:ascii="Times New Roman Bold" w:hAnsi="Times New Roman Bold" w:hint="cs"/>
                <w:b/>
                <w:bCs/>
                <w:color w:val="244061" w:themeColor="accent1" w:themeShade="80"/>
                <w:sz w:val="20"/>
                <w:szCs w:val="26"/>
                <w:rtl/>
                <w:lang w:val="ru-RU"/>
              </w:rPr>
              <w:t>)</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B3553">
            <w:pPr>
              <w:ind w:left="5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B6D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B6D8D">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B6D8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B6D8D">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24E4B">
      <w:pPr>
        <w:pStyle w:val="RecNo"/>
        <w:rPr>
          <w:rtl/>
        </w:rPr>
      </w:pPr>
      <w:r w:rsidRPr="006E3D0D">
        <w:rPr>
          <w:rtl/>
        </w:rPr>
        <w:lastRenderedPageBreak/>
        <w:t>التوصيـة</w:t>
      </w:r>
      <w:r w:rsidR="00393745">
        <w:rPr>
          <w:rFonts w:hint="cs"/>
          <w:rtl/>
        </w:rPr>
        <w:t xml:space="preserve"> </w:t>
      </w:r>
      <w:r w:rsidRPr="006E3D0D">
        <w:rPr>
          <w:rtl/>
        </w:rPr>
        <w:t xml:space="preserve"> </w:t>
      </w:r>
      <w:r w:rsidR="00CB216D">
        <w:t>ITU-R</w:t>
      </w:r>
      <w:r w:rsidR="00660D2F">
        <w:t xml:space="preserve"> </w:t>
      </w:r>
      <w:bookmarkStart w:id="0" w:name="_GoBack"/>
      <w:bookmarkEnd w:id="0"/>
      <w:r w:rsidR="00CB216D">
        <w:t xml:space="preserve"> BT.2056-0</w:t>
      </w:r>
    </w:p>
    <w:p w:rsidR="002E6ECC" w:rsidRPr="00580DFE" w:rsidRDefault="00CB216D" w:rsidP="003A7650">
      <w:pPr>
        <w:pStyle w:val="Rectitle"/>
        <w:rPr>
          <w:rtl/>
        </w:rPr>
      </w:pPr>
      <w:r w:rsidRPr="00580DFE">
        <w:rPr>
          <w:rFonts w:hint="cs"/>
          <w:rtl/>
        </w:rPr>
        <w:t>مبادئ توجيهية رفيعة المستوى من أجل الت</w:t>
      </w:r>
      <w:r w:rsidR="003A7650">
        <w:rPr>
          <w:rFonts w:hint="cs"/>
          <w:rtl/>
        </w:rPr>
        <w:t>بادل الدولي لبر</w:t>
      </w:r>
      <w:r w:rsidR="00724E4B">
        <w:rPr>
          <w:rFonts w:hint="cs"/>
          <w:rtl/>
        </w:rPr>
        <w:t>ا</w:t>
      </w:r>
      <w:r w:rsidR="003A7650">
        <w:rPr>
          <w:rFonts w:hint="cs"/>
          <w:rtl/>
        </w:rPr>
        <w:t>مج التلفزيون عالي الو</w:t>
      </w:r>
      <w:r w:rsidRPr="00580DFE">
        <w:rPr>
          <w:rFonts w:hint="cs"/>
          <w:rtl/>
        </w:rPr>
        <w:t xml:space="preserve">ضوح </w:t>
      </w:r>
      <w:r w:rsidR="00724E4B">
        <w:rPr>
          <w:rtl/>
        </w:rPr>
        <w:br/>
      </w:r>
      <w:r w:rsidRPr="00580DFE">
        <w:rPr>
          <w:rFonts w:hint="cs"/>
          <w:rtl/>
        </w:rPr>
        <w:t>عبر</w:t>
      </w:r>
      <w:r w:rsidR="003A7650">
        <w:rPr>
          <w:rFonts w:hint="cs"/>
          <w:rtl/>
        </w:rPr>
        <w:t xml:space="preserve"> ت</w:t>
      </w:r>
      <w:r w:rsidRPr="00580DFE">
        <w:rPr>
          <w:rFonts w:hint="cs"/>
          <w:rtl/>
        </w:rPr>
        <w:t>وصيلات قائمة على بروتوكول الإنترنت لأغراض المساهمة</w:t>
      </w:r>
      <w:r w:rsidR="00D97B0B" w:rsidRPr="00724E4B">
        <w:rPr>
          <w:rStyle w:val="FootnoteReference"/>
          <w:rFonts w:cs="Traditional Arabic"/>
          <w:position w:val="0"/>
          <w:sz w:val="28"/>
          <w:szCs w:val="28"/>
          <w:rtl/>
        </w:rPr>
        <w:footnoteReference w:id="1"/>
      </w:r>
    </w:p>
    <w:p w:rsidR="002E6ECC" w:rsidRPr="006E3D0D" w:rsidRDefault="002E6ECC" w:rsidP="00A92E4D">
      <w:pPr>
        <w:pStyle w:val="Recdate"/>
        <w:spacing w:before="240"/>
        <w:rPr>
          <w:rtl/>
        </w:rPr>
      </w:pPr>
      <w:r w:rsidRPr="006E3D0D">
        <w:t>(</w:t>
      </w:r>
      <w:r w:rsidR="00CB216D">
        <w:t>2014</w:t>
      </w:r>
      <w:r w:rsidRPr="006E3D0D">
        <w:t>)</w:t>
      </w:r>
    </w:p>
    <w:p w:rsidR="002E6ECC" w:rsidRDefault="00CB216D" w:rsidP="00A92E4D">
      <w:pPr>
        <w:pStyle w:val="HeadingSum"/>
        <w:rPr>
          <w:rtl/>
        </w:rPr>
      </w:pPr>
      <w:r>
        <w:rPr>
          <w:rFonts w:hint="cs"/>
          <w:rtl/>
        </w:rPr>
        <w:t>مجال التطبيق</w:t>
      </w:r>
    </w:p>
    <w:p w:rsidR="00CB216D" w:rsidRDefault="00CB216D" w:rsidP="00A92E4D">
      <w:pPr>
        <w:pStyle w:val="Summary"/>
        <w:rPr>
          <w:rtl/>
        </w:rPr>
      </w:pPr>
      <w:r>
        <w:rPr>
          <w:rFonts w:hint="cs"/>
          <w:rtl/>
        </w:rPr>
        <w:t>توصف هذه التوصية بعض المبادئ التوجيهية رفيعة المستوى المطبقة على الوصلات القائمة على بروتوكول الإنترنت المستعملة من</w:t>
      </w:r>
      <w:r>
        <w:rPr>
          <w:rFonts w:hint="eastAsia"/>
          <w:rtl/>
        </w:rPr>
        <w:t> </w:t>
      </w:r>
      <w:r>
        <w:rPr>
          <w:rFonts w:hint="cs"/>
          <w:rtl/>
        </w:rPr>
        <w:t xml:space="preserve">أجل التبادل الدولي لبرامج الإذاعة والتلفزيون لأغراض المساهمة. ويتوقع عند التعامل مع موردي </w:t>
      </w:r>
      <w:r w:rsidR="00580DFE">
        <w:rPr>
          <w:rFonts w:hint="cs"/>
          <w:rtl/>
        </w:rPr>
        <w:t>الخدمات القائمة على بروتوكول الإ</w:t>
      </w:r>
      <w:r>
        <w:rPr>
          <w:rFonts w:hint="cs"/>
          <w:rtl/>
        </w:rPr>
        <w:t>نترنت، أن تساعد المتطلبات المحددة في اختيار طرائق تشفير المصدر وتعدد الإرسال والنقل القائم على بروتوكول الإنترنت التي</w:t>
      </w:r>
      <w:r w:rsidR="00D97B0B">
        <w:rPr>
          <w:rFonts w:hint="eastAsia"/>
          <w:rtl/>
        </w:rPr>
        <w:t> </w:t>
      </w:r>
      <w:r>
        <w:rPr>
          <w:rFonts w:hint="cs"/>
          <w:rtl/>
        </w:rPr>
        <w:t>يتعيّن استعمالها في عمليات تبادل البرامج هذه وفي تقييس البيانات الشرحية المناسبة في وصف محتويات البرامج ومعلمات النقل القائم على بروتوكول الإنترنت.</w:t>
      </w:r>
    </w:p>
    <w:p w:rsidR="00D97B0B" w:rsidRDefault="00D97B0B" w:rsidP="00724E4B">
      <w:pPr>
        <w:rPr>
          <w:rtl/>
          <w:lang w:bidi="ar-EG"/>
        </w:rPr>
      </w:pPr>
      <w:r>
        <w:rPr>
          <w:rFonts w:hint="cs"/>
          <w:rtl/>
          <w:lang w:bidi="ar-EG"/>
        </w:rPr>
        <w:t xml:space="preserve">إن </w:t>
      </w:r>
      <w:r w:rsidR="00724E4B">
        <w:rPr>
          <w:rFonts w:hint="cs"/>
          <w:rtl/>
          <w:lang w:bidi="ar-EG"/>
        </w:rPr>
        <w:t>جمعية</w:t>
      </w:r>
      <w:r>
        <w:rPr>
          <w:rFonts w:hint="cs"/>
          <w:rtl/>
          <w:lang w:bidi="ar-EG"/>
        </w:rPr>
        <w:t xml:space="preserve"> الاتصالات الراديوية للاتحاد الدولي للاتصالات،</w:t>
      </w:r>
    </w:p>
    <w:p w:rsidR="00D97B0B" w:rsidRDefault="00D97B0B" w:rsidP="00D97B0B">
      <w:pPr>
        <w:pStyle w:val="Call"/>
        <w:rPr>
          <w:rtl/>
        </w:rPr>
      </w:pPr>
      <w:r>
        <w:rPr>
          <w:rFonts w:hint="cs"/>
          <w:rtl/>
        </w:rPr>
        <w:t>إذ تضع في اعتبارها</w:t>
      </w:r>
    </w:p>
    <w:p w:rsidR="00D97B0B" w:rsidRDefault="00D97B0B" w:rsidP="00CB216D">
      <w:pPr>
        <w:rPr>
          <w:rtl/>
          <w:lang w:bidi="ar-EG"/>
        </w:rPr>
      </w:pPr>
      <w:r w:rsidRPr="00D97B0B">
        <w:rPr>
          <w:rFonts w:hint="cs"/>
          <w:i/>
          <w:iCs/>
          <w:rtl/>
          <w:lang w:bidi="ar-EG"/>
        </w:rPr>
        <w:t>أ )</w:t>
      </w:r>
      <w:r>
        <w:rPr>
          <w:rFonts w:hint="cs"/>
          <w:rtl/>
          <w:lang w:bidi="ar-EG"/>
        </w:rPr>
        <w:tab/>
        <w:t>أن الهيئات الإذاعية والشركات الضالعة في عمليات الإنتاج وما بعد الإنتاج للبرامج التلفزيونية تبدأ في استعمال توصيلات قائمة على بروتوكول الإنترنت لنقل برامج التلفزيون عالي الوضوح بين الاستديوهات ولأغراض التبادل الدولي للبرامج؛</w:t>
      </w:r>
    </w:p>
    <w:p w:rsidR="00D97B0B" w:rsidRDefault="00D97B0B" w:rsidP="00CB216D">
      <w:pPr>
        <w:rPr>
          <w:rtl/>
          <w:lang w:bidi="ar-EG"/>
        </w:rPr>
      </w:pPr>
      <w:r w:rsidRPr="00D97B0B">
        <w:rPr>
          <w:rFonts w:hint="cs"/>
          <w:i/>
          <w:iCs/>
          <w:rtl/>
          <w:lang w:bidi="ar-EG"/>
        </w:rPr>
        <w:t>ب)</w:t>
      </w:r>
      <w:r>
        <w:rPr>
          <w:rFonts w:hint="cs"/>
          <w:rtl/>
          <w:lang w:bidi="ar-EG"/>
        </w:rPr>
        <w:tab/>
        <w:t>أن عمليات النقل هذه ستكون أسهل لو تم تحديد طريقة واحدة أو عدد قليل من الطرائق البديلة لتنفيذها؛</w:t>
      </w:r>
    </w:p>
    <w:p w:rsidR="00D97B0B" w:rsidRDefault="00D97B0B" w:rsidP="00D97B0B">
      <w:pPr>
        <w:rPr>
          <w:rtl/>
          <w:lang w:bidi="ar-EG"/>
        </w:rPr>
      </w:pPr>
      <w:r w:rsidRPr="00D97B0B">
        <w:rPr>
          <w:rFonts w:hint="cs"/>
          <w:i/>
          <w:iCs/>
          <w:rtl/>
          <w:lang w:bidi="ar-EG"/>
        </w:rPr>
        <w:t>ج)</w:t>
      </w:r>
      <w:r>
        <w:rPr>
          <w:rFonts w:hint="cs"/>
          <w:rtl/>
          <w:lang w:bidi="ar-EG"/>
        </w:rPr>
        <w:tab/>
        <w:t>أن اختيار طرائق التشفير وتعدد الإرسال والنقل التي يتعين استخدامها في عمليات التبادل هذه ينبغي له أن يستند إلى</w:t>
      </w:r>
      <w:r>
        <w:rPr>
          <w:rFonts w:hint="eastAsia"/>
          <w:rtl/>
          <w:lang w:bidi="ar-EG"/>
        </w:rPr>
        <w:t> </w:t>
      </w:r>
      <w:r>
        <w:rPr>
          <w:rFonts w:hint="cs"/>
          <w:rtl/>
          <w:lang w:bidi="ar-EG"/>
        </w:rPr>
        <w:t>معرفة متطلبات الأداء التي ينبغي الوفاء بها من أجل تلبية احتياجات عملية التبادل الدولي القائم على بروتوكول الإنترنت للبرامج الصوتية والتلفزيونية،</w:t>
      </w:r>
    </w:p>
    <w:p w:rsidR="00D97B0B" w:rsidRDefault="00D97B0B" w:rsidP="00D97B0B">
      <w:pPr>
        <w:pStyle w:val="Call"/>
        <w:rPr>
          <w:rtl/>
        </w:rPr>
      </w:pPr>
      <w:r>
        <w:rPr>
          <w:rFonts w:hint="cs"/>
          <w:rtl/>
        </w:rPr>
        <w:t>وإذ تدرك</w:t>
      </w:r>
    </w:p>
    <w:p w:rsidR="00D97B0B" w:rsidRDefault="00D97B0B" w:rsidP="00D97B0B">
      <w:pPr>
        <w:rPr>
          <w:rtl/>
          <w:lang w:bidi="ar-EG"/>
        </w:rPr>
      </w:pPr>
      <w:r>
        <w:rPr>
          <w:rFonts w:hint="cs"/>
          <w:rtl/>
          <w:lang w:bidi="ar-EG"/>
        </w:rPr>
        <w:t>أن مواصفات متطلبات الأداء بالنسبة لنقل البرامج الصوتية والتلفزيونية لأغراض التبادل الدولي للبرامج تقع ضمن اختصاصات لجنة</w:t>
      </w:r>
      <w:r>
        <w:rPr>
          <w:rFonts w:hint="eastAsia"/>
          <w:rtl/>
          <w:lang w:bidi="ar-EG"/>
        </w:rPr>
        <w:t> </w:t>
      </w:r>
      <w:r w:rsidR="00724E4B">
        <w:rPr>
          <w:rFonts w:hint="cs"/>
          <w:rtl/>
          <w:lang w:bidi="ar-EG"/>
        </w:rPr>
        <w:t xml:space="preserve">الدراسات </w:t>
      </w:r>
      <w:r w:rsidR="00724E4B">
        <w:rPr>
          <w:lang w:bidi="ar-EG"/>
        </w:rPr>
        <w:t>6</w:t>
      </w:r>
      <w:r w:rsidR="00724E4B">
        <w:rPr>
          <w:rFonts w:hint="cs"/>
          <w:rtl/>
          <w:lang w:bidi="ar-EG"/>
        </w:rPr>
        <w:t xml:space="preserve"> ب</w:t>
      </w:r>
      <w:r>
        <w:rPr>
          <w:rFonts w:hint="cs"/>
          <w:rtl/>
          <w:lang w:bidi="ar-EG"/>
        </w:rPr>
        <w:t>قطاع الاتصالات الراديوية،</w:t>
      </w:r>
    </w:p>
    <w:p w:rsidR="00D97B0B" w:rsidRDefault="00D97B0B" w:rsidP="00D97B0B">
      <w:pPr>
        <w:pStyle w:val="Call"/>
        <w:rPr>
          <w:rtl/>
        </w:rPr>
      </w:pPr>
      <w:r>
        <w:rPr>
          <w:rFonts w:hint="cs"/>
          <w:rtl/>
        </w:rPr>
        <w:t>وإذ تشير</w:t>
      </w:r>
    </w:p>
    <w:p w:rsidR="00D97B0B" w:rsidRDefault="00D97B0B" w:rsidP="00724E4B">
      <w:pPr>
        <w:rPr>
          <w:rtl/>
          <w:lang w:bidi="ar-EG"/>
        </w:rPr>
      </w:pPr>
      <w:r>
        <w:rPr>
          <w:rFonts w:hint="cs"/>
          <w:rtl/>
          <w:lang w:bidi="ar-EG"/>
        </w:rPr>
        <w:t>إلى أن الغرض من المباد</w:t>
      </w:r>
      <w:r w:rsidR="00724E4B">
        <w:rPr>
          <w:rFonts w:hint="cs"/>
          <w:rtl/>
          <w:lang w:bidi="ar-EG"/>
        </w:rPr>
        <w:t>ئ</w:t>
      </w:r>
      <w:r>
        <w:rPr>
          <w:rFonts w:hint="cs"/>
          <w:rtl/>
          <w:lang w:bidi="ar-EG"/>
        </w:rPr>
        <w:t xml:space="preserve"> التوجيهية الواردة في هذه التوصية هو مساعدة الجهات التي تنظر في استخدام الشبكات القائمة على</w:t>
      </w:r>
      <w:r w:rsidR="00051CCE">
        <w:rPr>
          <w:rFonts w:hint="eastAsia"/>
          <w:rtl/>
          <w:lang w:bidi="ar-EG"/>
        </w:rPr>
        <w:t> </w:t>
      </w:r>
      <w:r>
        <w:rPr>
          <w:rFonts w:hint="cs"/>
          <w:rtl/>
          <w:lang w:bidi="ar-EG"/>
        </w:rPr>
        <w:t>بروتوكول الإنترنت من أجل توصيل البرامج،</w:t>
      </w:r>
    </w:p>
    <w:p w:rsidR="00D97B0B" w:rsidRDefault="00D97B0B" w:rsidP="00D97B0B">
      <w:pPr>
        <w:pStyle w:val="Call"/>
        <w:rPr>
          <w:rtl/>
        </w:rPr>
      </w:pPr>
      <w:r>
        <w:rPr>
          <w:rFonts w:hint="cs"/>
          <w:rtl/>
        </w:rPr>
        <w:t>وإذ تشير كذلك</w:t>
      </w:r>
    </w:p>
    <w:p w:rsidR="00D97B0B" w:rsidRDefault="00D97B0B" w:rsidP="00724E4B">
      <w:pPr>
        <w:rPr>
          <w:rtl/>
          <w:lang w:bidi="ar-EG"/>
        </w:rPr>
      </w:pPr>
      <w:r>
        <w:rPr>
          <w:rFonts w:hint="cs"/>
          <w:rtl/>
          <w:lang w:bidi="ar-EG"/>
        </w:rPr>
        <w:t>إلى أنه سيتم</w:t>
      </w:r>
      <w:r w:rsidR="00051CCE">
        <w:rPr>
          <w:rFonts w:hint="cs"/>
          <w:rtl/>
          <w:lang w:bidi="ar-EG"/>
        </w:rPr>
        <w:t xml:space="preserve"> إعداد توصيات لقطاع الاتصالات الراديوية لتوفير مزيد من التفاصيل بشأن معلمات مثل استعمال تحويل معدل البيانات وتعدد الإرسال و"الغلاف" وأي بيانات ضرورية تتعلق بالبرنامج،</w:t>
      </w:r>
    </w:p>
    <w:p w:rsidR="00051CCE" w:rsidRDefault="00051CCE" w:rsidP="00051CCE">
      <w:pPr>
        <w:pStyle w:val="Call"/>
        <w:rPr>
          <w:rtl/>
        </w:rPr>
      </w:pPr>
      <w:r>
        <w:rPr>
          <w:rFonts w:hint="cs"/>
          <w:rtl/>
        </w:rPr>
        <w:lastRenderedPageBreak/>
        <w:t>توصي</w:t>
      </w:r>
    </w:p>
    <w:p w:rsidR="00051CCE" w:rsidRDefault="00051CCE" w:rsidP="00CB216D">
      <w:pPr>
        <w:rPr>
          <w:lang w:bidi="ar-EG"/>
        </w:rPr>
      </w:pPr>
      <w:r>
        <w:rPr>
          <w:rFonts w:hint="cs"/>
          <w:rtl/>
          <w:lang w:bidi="ar-EG"/>
        </w:rPr>
        <w:t>بأن تراعى، عند اختيار طرائق التشفير وتعدد الإرسال والنقل لبرامج التلفزيون عالي الوضوح عبر شبكات قائمة على بروتوكول الإنترنت لأغراض التبادل الدولي، المبادئ التوجيهية الواردة في الملحق بهذه التوصية، إلى جانب أي متطلبات أخرى قد يتعين تطبيقها طبقاً للظروف المحددة للبرامج (مثل متطلبات تعاقدية خاصة بنقل برنامج معين)، وذلك لكي يفهم مورد خدمة شبكات بروتوكول الإنترنت بوضوح احتياجات الجهة القائمة بالبث.</w:t>
      </w:r>
    </w:p>
    <w:p w:rsidR="00A92E4D" w:rsidRDefault="00A92E4D" w:rsidP="00A92E4D">
      <w:pPr>
        <w:spacing w:before="0"/>
        <w:rPr>
          <w:lang w:bidi="ar-EG"/>
        </w:rPr>
      </w:pPr>
    </w:p>
    <w:p w:rsidR="00A92E4D" w:rsidRDefault="00A92E4D" w:rsidP="00A92E4D">
      <w:pPr>
        <w:spacing w:before="0"/>
        <w:rPr>
          <w:rtl/>
          <w:lang w:bidi="ar-EG"/>
        </w:rPr>
      </w:pPr>
    </w:p>
    <w:p w:rsidR="00051CCE" w:rsidRDefault="00051CCE" w:rsidP="00A92E4D">
      <w:pPr>
        <w:pStyle w:val="AnnexNotitle"/>
        <w:rPr>
          <w:rtl/>
          <w:lang w:bidi="ar-EG"/>
        </w:rPr>
      </w:pPr>
      <w:r>
        <w:rPr>
          <w:rFonts w:hint="cs"/>
          <w:rtl/>
          <w:lang w:bidi="ar-EG"/>
        </w:rPr>
        <w:t>الملحق</w:t>
      </w:r>
      <w:r w:rsidR="003A7650">
        <w:rPr>
          <w:rtl/>
          <w:lang w:bidi="ar-EG"/>
        </w:rPr>
        <w:br/>
      </w:r>
      <w:r>
        <w:rPr>
          <w:rFonts w:hint="cs"/>
          <w:rtl/>
          <w:lang w:bidi="ar-EG"/>
        </w:rPr>
        <w:t>(معياري)</w:t>
      </w:r>
      <w:r w:rsidR="00A92E4D">
        <w:rPr>
          <w:lang w:bidi="ar-EG"/>
        </w:rPr>
        <w:br/>
      </w:r>
      <w:r w:rsidR="00A92E4D">
        <w:rPr>
          <w:lang w:bidi="ar-EG"/>
        </w:rPr>
        <w:br/>
      </w:r>
      <w:r>
        <w:rPr>
          <w:rFonts w:hint="cs"/>
          <w:rtl/>
          <w:lang w:bidi="ar-EG"/>
        </w:rPr>
        <w:t>مبادئ توجيهية رفيعة المستوى من أجل التبادل الدولي لبرامج التلفزيون عالي الوضوح عبر</w:t>
      </w:r>
      <w:r>
        <w:rPr>
          <w:rFonts w:hint="eastAsia"/>
          <w:rtl/>
          <w:lang w:bidi="ar-EG"/>
        </w:rPr>
        <w:t> </w:t>
      </w:r>
      <w:r>
        <w:rPr>
          <w:rFonts w:hint="cs"/>
          <w:rtl/>
          <w:lang w:bidi="ar-EG"/>
        </w:rPr>
        <w:t>توصيلات قائمة على بروتوكول الإنترنت لأغراض المساهمة</w:t>
      </w:r>
    </w:p>
    <w:p w:rsidR="00051CCE" w:rsidRDefault="00051CCE" w:rsidP="00FD43E9">
      <w:pPr>
        <w:pStyle w:val="Normalaftertitle"/>
        <w:rPr>
          <w:rtl/>
          <w:lang w:bidi="ar-EG"/>
        </w:rPr>
      </w:pPr>
      <w:r>
        <w:rPr>
          <w:rFonts w:hint="cs"/>
          <w:rtl/>
          <w:lang w:bidi="ar-EG"/>
        </w:rPr>
        <w:t>من الممارسات</w:t>
      </w:r>
      <w:r w:rsidR="00BC362A">
        <w:rPr>
          <w:rFonts w:hint="cs"/>
          <w:rtl/>
          <w:lang w:bidi="ar-EG"/>
        </w:rPr>
        <w:t xml:space="preserve"> الشائعة في التبادل الدولي للبرامج أن يتم الاتفاق بين مورد البرنامج (مثل منتج أو موزع البرنامج) ومستقبل البرنامج (مثل الهيئة الإذاعية) على اختيار طريقة تشفير المصدر والغلاف</w:t>
      </w:r>
      <w:r w:rsidR="004B086B">
        <w:rPr>
          <w:rFonts w:hint="cs"/>
          <w:rtl/>
          <w:lang w:bidi="ar-EG"/>
        </w:rPr>
        <w:t xml:space="preserve"> والنقل ضمن إطار محدود نوعاً ما من الخيارات. وعادة ما يطرح مستقبل البرنامج متطلبات الأداء بالنسبة لتوصيل البرنامج، فيما يبين مورد البرنامج التكلفة المت</w:t>
      </w:r>
      <w:r w:rsidR="00724E4B">
        <w:rPr>
          <w:rFonts w:hint="cs"/>
          <w:rtl/>
          <w:lang w:bidi="ar-EG"/>
        </w:rPr>
        <w:t>ح</w:t>
      </w:r>
      <w:r w:rsidR="004B086B">
        <w:rPr>
          <w:rFonts w:hint="cs"/>
          <w:rtl/>
          <w:lang w:bidi="ar-EG"/>
        </w:rPr>
        <w:t>ملة من متطلبات الأداء هذه.</w:t>
      </w:r>
    </w:p>
    <w:p w:rsidR="004B086B" w:rsidRDefault="004B086B" w:rsidP="00CB216D">
      <w:pPr>
        <w:rPr>
          <w:rtl/>
          <w:lang w:bidi="ar-EG"/>
        </w:rPr>
      </w:pPr>
      <w:r>
        <w:rPr>
          <w:rFonts w:hint="cs"/>
          <w:rtl/>
          <w:lang w:bidi="ar-EG"/>
        </w:rPr>
        <w:t xml:space="preserve">وضمن هذا الإطار، يوصف هذا الملحق بعض التوجيهات التي يمكن تطبيقها على التبادل الدولي لبرامج التلفزيون عالي الوضوح عبر شبكات قائمة على بروتوكول الإنترنت لأغراض المساهمة حيث يجوز لمورد البرنامج التفاوض مع موردي خدمات </w:t>
      </w:r>
      <w:r w:rsidR="004408D3">
        <w:rPr>
          <w:rFonts w:hint="cs"/>
          <w:rtl/>
          <w:lang w:bidi="ar-EG"/>
        </w:rPr>
        <w:t>الشبكات القائمة على بروتوكول الإ</w:t>
      </w:r>
      <w:r>
        <w:rPr>
          <w:rFonts w:hint="cs"/>
          <w:rtl/>
          <w:lang w:bidi="ar-EG"/>
        </w:rPr>
        <w:t>نترنت غير المعتادين على معلمات البنى التحتية الإذاعية التقليدية.</w:t>
      </w:r>
    </w:p>
    <w:p w:rsidR="004B086B" w:rsidRDefault="004B086B" w:rsidP="00CB216D">
      <w:pPr>
        <w:rPr>
          <w:rtl/>
          <w:lang w:bidi="ar-EG"/>
        </w:rPr>
      </w:pPr>
      <w:r w:rsidRPr="004B086B">
        <w:rPr>
          <w:b/>
          <w:bCs/>
          <w:lang w:bidi="ar-EG"/>
        </w:rPr>
        <w:t>1</w:t>
      </w:r>
      <w:r>
        <w:rPr>
          <w:lang w:bidi="ar-EG"/>
        </w:rPr>
        <w:tab/>
      </w:r>
      <w:r>
        <w:rPr>
          <w:rFonts w:hint="cs"/>
          <w:rtl/>
          <w:lang w:bidi="ar-EG"/>
        </w:rPr>
        <w:t>مواصفات النطاق ا</w:t>
      </w:r>
      <w:r w:rsidR="004408D3">
        <w:rPr>
          <w:rFonts w:hint="cs"/>
          <w:rtl/>
          <w:lang w:bidi="ar-EG"/>
        </w:rPr>
        <w:t>لأساسي لكل مكون فردي (فيديو، صوت، بيانات</w:t>
      </w:r>
      <w:r>
        <w:rPr>
          <w:rFonts w:hint="cs"/>
          <w:rtl/>
          <w:lang w:bidi="ar-EG"/>
        </w:rPr>
        <w:t xml:space="preserve"> مساعدة) لبرنامج التلفزيون عالي الوضوح الجاري تبادله دولياً، ينبغي لها أن تمتثل دائما لتوصيات الاتحاد ذات الصلة.</w:t>
      </w:r>
    </w:p>
    <w:p w:rsidR="004B086B" w:rsidRDefault="004B086B" w:rsidP="004408D3">
      <w:pPr>
        <w:rPr>
          <w:rtl/>
          <w:lang w:bidi="ar-EG"/>
        </w:rPr>
      </w:pPr>
      <w:r w:rsidRPr="004B086B">
        <w:rPr>
          <w:b/>
          <w:bCs/>
          <w:lang w:bidi="ar-EG"/>
        </w:rPr>
        <w:t>2</w:t>
      </w:r>
      <w:r>
        <w:rPr>
          <w:lang w:bidi="ar-EG"/>
        </w:rPr>
        <w:tab/>
      </w:r>
      <w:r>
        <w:rPr>
          <w:rFonts w:hint="cs"/>
          <w:rtl/>
          <w:lang w:bidi="ar-EG"/>
        </w:rPr>
        <w:t>ينبغي لكل مكون فردي للنطاق الأ</w:t>
      </w:r>
      <w:r w:rsidR="004408D3">
        <w:rPr>
          <w:rFonts w:hint="cs"/>
          <w:rtl/>
          <w:lang w:bidi="ar-EG"/>
        </w:rPr>
        <w:t>ساسي من البرنامج أن يتسنى تبادله</w:t>
      </w:r>
      <w:r>
        <w:rPr>
          <w:rFonts w:hint="cs"/>
          <w:rtl/>
          <w:lang w:bidi="ar-EG"/>
        </w:rPr>
        <w:t xml:space="preserve"> دولياً عادة بعد عملية شفافة أو شبه شفافة</w:t>
      </w:r>
      <w:r>
        <w:rPr>
          <w:rStyle w:val="FootnoteReference"/>
          <w:rtl/>
          <w:lang w:bidi="ar-EG"/>
        </w:rPr>
        <w:footnoteReference w:id="2"/>
      </w:r>
      <w:r>
        <w:rPr>
          <w:rFonts w:hint="cs"/>
          <w:rtl/>
          <w:lang w:bidi="ar-EG"/>
        </w:rPr>
        <w:t xml:space="preserve"> لتشفير المصدر إلا إذا كان هناك شرط لنقل البرنامج في نسق مضغوط، عندما يتصور مثلاً خضوعه لمعالجة لاحقة بالغة التعقيد في</w:t>
      </w:r>
      <w:r w:rsidR="00F363D4">
        <w:rPr>
          <w:rFonts w:hint="eastAsia"/>
          <w:rtl/>
          <w:lang w:bidi="ar-EG"/>
        </w:rPr>
        <w:t> </w:t>
      </w:r>
      <w:r>
        <w:rPr>
          <w:rFonts w:hint="cs"/>
          <w:rtl/>
          <w:lang w:bidi="ar-EG"/>
        </w:rPr>
        <w:t>مكان الاستقبال.</w:t>
      </w:r>
    </w:p>
    <w:p w:rsidR="004B086B" w:rsidRDefault="004B086B" w:rsidP="00CB216D">
      <w:pPr>
        <w:rPr>
          <w:rtl/>
          <w:lang w:bidi="ar-EG"/>
        </w:rPr>
      </w:pPr>
      <w:r w:rsidRPr="004B086B">
        <w:rPr>
          <w:b/>
          <w:bCs/>
          <w:lang w:bidi="ar-EG"/>
        </w:rPr>
        <w:t>3</w:t>
      </w:r>
      <w:r>
        <w:rPr>
          <w:rtl/>
          <w:lang w:bidi="ar-EG"/>
        </w:rPr>
        <w:tab/>
      </w:r>
      <w:r>
        <w:rPr>
          <w:rFonts w:hint="cs"/>
          <w:rtl/>
          <w:lang w:bidi="ar-EG"/>
        </w:rPr>
        <w:t>ينبغي لجميع مكونات البرنامج مشفرة المصدر أن يتسنى تبادلها دولياً بعد تعدد إرسالها إلى "غلاف" مصمم لنقلها جميعاً من قطار بيانات واحد، مع الحفاظ على تزامنها فيما بينها.</w:t>
      </w:r>
    </w:p>
    <w:p w:rsidR="00F363D4" w:rsidRDefault="00F363D4" w:rsidP="00CB216D">
      <w:pPr>
        <w:rPr>
          <w:rtl/>
          <w:lang w:bidi="ar-EG"/>
        </w:rPr>
      </w:pPr>
      <w:r w:rsidRPr="00F363D4">
        <w:rPr>
          <w:b/>
          <w:bCs/>
          <w:lang w:bidi="ar-EG"/>
        </w:rPr>
        <w:t>4</w:t>
      </w:r>
      <w:r>
        <w:rPr>
          <w:lang w:bidi="ar-EG"/>
        </w:rPr>
        <w:tab/>
      </w:r>
      <w:r>
        <w:rPr>
          <w:rFonts w:hint="cs"/>
          <w:rtl/>
          <w:lang w:bidi="ar-EG"/>
        </w:rPr>
        <w:t>نظراً إلى أن البرامج الصوتية والتلفزيونية تمثل ملكية فكرية قيمة، تنبغي حمايتها من القرصنة أو النفاذ غير المخول أثناء نقلها</w:t>
      </w:r>
      <w:r>
        <w:rPr>
          <w:rStyle w:val="FootnoteReference"/>
          <w:rtl/>
          <w:lang w:bidi="ar-EG"/>
        </w:rPr>
        <w:footnoteReference w:id="3"/>
      </w:r>
      <w:r w:rsidR="004408D3">
        <w:rPr>
          <w:rFonts w:hint="cs"/>
          <w:rtl/>
          <w:lang w:bidi="ar-EG"/>
        </w:rPr>
        <w:t>.</w:t>
      </w:r>
    </w:p>
    <w:p w:rsidR="00F363D4" w:rsidRDefault="00F363D4" w:rsidP="00CB216D">
      <w:pPr>
        <w:rPr>
          <w:rtl/>
          <w:lang w:bidi="ar-EG"/>
        </w:rPr>
      </w:pPr>
      <w:r w:rsidRPr="00F363D4">
        <w:rPr>
          <w:b/>
          <w:bCs/>
          <w:lang w:bidi="ar-EG"/>
        </w:rPr>
        <w:t>5</w:t>
      </w:r>
      <w:r>
        <w:rPr>
          <w:lang w:bidi="ar-EG"/>
        </w:rPr>
        <w:tab/>
      </w:r>
      <w:r>
        <w:rPr>
          <w:rFonts w:hint="cs"/>
          <w:rtl/>
          <w:lang w:bidi="ar-EG"/>
        </w:rPr>
        <w:t>ينبغي لآلية النقل القائمة على بروتوكول الإنترنت أن تنقل قطار بيانات البرنامج بطريقة شفافة، تشمل البيانات الشرحية المتعلقة بالبرنامج والمصاحبة له دون تطبيق تشفير عرضي أو تشفير جديد للمصدر.</w:t>
      </w:r>
    </w:p>
    <w:p w:rsidR="00F363D4" w:rsidRDefault="00F363D4" w:rsidP="00F363D4">
      <w:pPr>
        <w:rPr>
          <w:rtl/>
          <w:lang w:bidi="ar-EG"/>
        </w:rPr>
      </w:pPr>
      <w:r w:rsidRPr="00F363D4">
        <w:rPr>
          <w:b/>
          <w:bCs/>
          <w:lang w:bidi="ar-EG"/>
        </w:rPr>
        <w:t>6</w:t>
      </w:r>
      <w:r>
        <w:rPr>
          <w:lang w:bidi="ar-EG"/>
        </w:rPr>
        <w:tab/>
      </w:r>
      <w:r>
        <w:rPr>
          <w:rFonts w:hint="cs"/>
          <w:rtl/>
          <w:lang w:bidi="ar-EG"/>
        </w:rPr>
        <w:t>ينبغي للبيانات الشرحية المصاحبة للبرنامج أن تنقل معلومات مشفرة تسمح بفك تشفير المعلومات التالية على أقل</w:t>
      </w:r>
      <w:r>
        <w:rPr>
          <w:rFonts w:hint="eastAsia"/>
          <w:rtl/>
          <w:lang w:bidi="ar-EG"/>
        </w:rPr>
        <w:t> </w:t>
      </w:r>
      <w:r>
        <w:rPr>
          <w:rFonts w:hint="cs"/>
          <w:rtl/>
          <w:lang w:bidi="ar-EG"/>
        </w:rPr>
        <w:t>تقدير:</w:t>
      </w:r>
    </w:p>
    <w:p w:rsidR="00F363D4" w:rsidRDefault="00A92E4D" w:rsidP="00A92E4D">
      <w:pPr>
        <w:pStyle w:val="enumlev1"/>
        <w:rPr>
          <w:rtl/>
        </w:rPr>
      </w:pPr>
      <w:r w:rsidRPr="00A92E4D">
        <w:rPr>
          <w:rFonts w:ascii="Traditional Arabic" w:hAnsi="Traditional Arabic"/>
          <w:sz w:val="30"/>
        </w:rPr>
        <w:lastRenderedPageBreak/>
        <w:t>–</w:t>
      </w:r>
      <w:r w:rsidR="00F363D4">
        <w:rPr>
          <w:rFonts w:hint="cs"/>
          <w:rtl/>
        </w:rPr>
        <w:tab/>
        <w:t>محتوى البرنامج (مثل العنوان والعنوان الفرعي وحلقة البرنامج ومدة التشغيل)؛</w:t>
      </w:r>
    </w:p>
    <w:p w:rsidR="00F363D4" w:rsidRDefault="00A92E4D" w:rsidP="00A92E4D">
      <w:pPr>
        <w:pStyle w:val="enumlev1"/>
        <w:rPr>
          <w:rtl/>
        </w:rPr>
      </w:pPr>
      <w:r w:rsidRPr="00A92E4D">
        <w:rPr>
          <w:rFonts w:ascii="Traditional Arabic" w:hAnsi="Traditional Arabic"/>
          <w:sz w:val="30"/>
        </w:rPr>
        <w:t>–</w:t>
      </w:r>
      <w:r w:rsidR="00F363D4">
        <w:rPr>
          <w:rFonts w:hint="cs"/>
          <w:rtl/>
        </w:rPr>
        <w:tab/>
        <w:t>نظام النطاق الأساسي الفيديوي والسمعي؛</w:t>
      </w:r>
    </w:p>
    <w:p w:rsidR="004408D3" w:rsidRDefault="00A92E4D" w:rsidP="00A92E4D">
      <w:pPr>
        <w:pStyle w:val="enumlev1"/>
        <w:rPr>
          <w:rtl/>
        </w:rPr>
      </w:pPr>
      <w:r w:rsidRPr="00A92E4D">
        <w:rPr>
          <w:rFonts w:ascii="Traditional Arabic" w:hAnsi="Traditional Arabic"/>
          <w:sz w:val="30"/>
        </w:rPr>
        <w:t>–</w:t>
      </w:r>
      <w:r w:rsidR="004408D3">
        <w:rPr>
          <w:rtl/>
        </w:rPr>
        <w:tab/>
      </w:r>
      <w:r w:rsidR="004408D3">
        <w:rPr>
          <w:rFonts w:hint="cs"/>
          <w:rtl/>
        </w:rPr>
        <w:t>تشفير المصدر؛</w:t>
      </w:r>
    </w:p>
    <w:p w:rsidR="00F363D4" w:rsidRDefault="00A92E4D" w:rsidP="00A92E4D">
      <w:pPr>
        <w:pStyle w:val="enumlev1"/>
        <w:rPr>
          <w:rtl/>
        </w:rPr>
      </w:pPr>
      <w:r w:rsidRPr="00A92E4D">
        <w:rPr>
          <w:rFonts w:ascii="Traditional Arabic" w:hAnsi="Traditional Arabic"/>
          <w:sz w:val="30"/>
        </w:rPr>
        <w:t>–</w:t>
      </w:r>
      <w:r w:rsidR="00F363D4">
        <w:rPr>
          <w:rFonts w:hint="cs"/>
          <w:rtl/>
        </w:rPr>
        <w:tab/>
        <w:t>الغلاف؛</w:t>
      </w:r>
    </w:p>
    <w:p w:rsidR="00F363D4" w:rsidRDefault="00A92E4D" w:rsidP="00A92E4D">
      <w:pPr>
        <w:pStyle w:val="enumlev1"/>
        <w:rPr>
          <w:rtl/>
        </w:rPr>
      </w:pPr>
      <w:r w:rsidRPr="00A92E4D">
        <w:rPr>
          <w:rFonts w:ascii="Traditional Arabic" w:hAnsi="Traditional Arabic"/>
          <w:sz w:val="30"/>
        </w:rPr>
        <w:t>–</w:t>
      </w:r>
      <w:r w:rsidR="00F363D4">
        <w:rPr>
          <w:rFonts w:hint="cs"/>
          <w:rtl/>
        </w:rPr>
        <w:tab/>
        <w:t>البيانات اللازمة لضمان حماية حقوق الملكية الفكرية للبرنامج، وما إلى ذلك.</w:t>
      </w:r>
    </w:p>
    <w:p w:rsidR="00F363D4" w:rsidRDefault="00F363D4" w:rsidP="00FD43E9">
      <w:pPr>
        <w:rPr>
          <w:rtl/>
          <w:lang w:bidi="ar-EG"/>
        </w:rPr>
      </w:pPr>
      <w:r w:rsidRPr="00F363D4">
        <w:rPr>
          <w:b/>
          <w:bCs/>
          <w:lang w:bidi="ar-EG"/>
        </w:rPr>
        <w:t>7</w:t>
      </w:r>
      <w:r>
        <w:rPr>
          <w:lang w:bidi="ar-EG"/>
        </w:rPr>
        <w:tab/>
      </w:r>
      <w:r>
        <w:rPr>
          <w:rFonts w:hint="cs"/>
          <w:rtl/>
          <w:lang w:bidi="ar-EG"/>
        </w:rPr>
        <w:t xml:space="preserve">ينبغي للمشغل </w:t>
      </w:r>
      <w:r>
        <w:rPr>
          <w:lang w:bidi="ar-EG"/>
        </w:rPr>
        <w:t>IP</w:t>
      </w:r>
      <w:r>
        <w:rPr>
          <w:rFonts w:hint="cs"/>
          <w:rtl/>
          <w:lang w:bidi="ar-EG"/>
        </w:rPr>
        <w:t xml:space="preserve"> المسؤول عن نقل برنامج يتم تبادله دولياً أن يعمل على الامتثال لشروط النقل القائم على بروتوكول الإنترنت للبرنامج، كما تم الاتفاق عليها بين مورد البرنامج ومستقبله؛ وعادة ما تشمل هذه الشروط المعدل اللازم لنقل </w:t>
      </w:r>
      <w:r w:rsidR="00E16F2E">
        <w:rPr>
          <w:rFonts w:hint="cs"/>
          <w:rtl/>
          <w:lang w:bidi="ar-EG"/>
        </w:rPr>
        <w:t>البيانات والمعدل الأقصى المسموح به للأخطاء في البيانات ونسبة تيسر التوصيلة</w:t>
      </w:r>
      <w:r w:rsidR="00E16F2E">
        <w:rPr>
          <w:rStyle w:val="FootnoteReference"/>
          <w:rtl/>
          <w:lang w:bidi="ar-EG"/>
        </w:rPr>
        <w:footnoteReference w:id="4"/>
      </w:r>
      <w:r w:rsidR="00E16F2E">
        <w:rPr>
          <w:rFonts w:hint="cs"/>
          <w:rtl/>
          <w:lang w:bidi="ar-EG"/>
        </w:rPr>
        <w:t xml:space="preserve"> وجوانب الأداء الأخرى مثل الكمون الأقصى المسموح به للتوصيلة في حالة بث البرنامج في الوقت الفعلي</w:t>
      </w:r>
      <w:r w:rsidR="00FD43E9">
        <w:rPr>
          <w:rFonts w:hint="cs"/>
          <w:rtl/>
          <w:lang w:bidi="ar-EG"/>
        </w:rPr>
        <w:t>.</w:t>
      </w:r>
    </w:p>
    <w:p w:rsidR="002E6ECC" w:rsidRDefault="002E6ECC" w:rsidP="002E6ECC">
      <w:pPr>
        <w:rPr>
          <w:rtl/>
        </w:rPr>
      </w:pPr>
    </w:p>
    <w:p w:rsidR="00E726E9" w:rsidRDefault="00E726E9" w:rsidP="00E726E9">
      <w:pPr>
        <w:pStyle w:val="Line"/>
        <w:rPr>
          <w:lang w:val="en-US"/>
        </w:rPr>
      </w:pPr>
    </w:p>
    <w:sectPr w:rsidR="00E726E9" w:rsidSect="000F312E">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E9F" w:rsidRDefault="00CF6E9F">
      <w:r>
        <w:separator/>
      </w:r>
    </w:p>
  </w:endnote>
  <w:endnote w:type="continuationSeparator" w:id="0">
    <w:p w:rsidR="00CF6E9F" w:rsidRDefault="00CF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F322C9" w:rsidRDefault="000B4F10">
    <w:pPr>
      <w:pStyle w:val="Footer"/>
    </w:pPr>
    <w:r>
      <w:fldChar w:fldCharType="begin"/>
    </w:r>
    <w:r w:rsidRPr="00F322C9">
      <w:instrText xml:space="preserve"> FILENAME \p \* MERGEFORMAT </w:instrText>
    </w:r>
    <w:r>
      <w:fldChar w:fldCharType="separate"/>
    </w:r>
    <w:r w:rsidR="00F322C9" w:rsidRPr="00F322C9">
      <w:t>P:\QPUB\BR\REC\BT\2056-0\BT2056-0A.docx</w:t>
    </w:r>
    <w:r>
      <w:fldChar w:fldCharType="end"/>
    </w:r>
    <w:r w:rsidRPr="00F322C9">
      <w:tab/>
    </w:r>
    <w:r>
      <w:fldChar w:fldCharType="begin"/>
    </w:r>
    <w:r>
      <w:instrText xml:space="preserve"> savedate \@ dd.MM.yy </w:instrText>
    </w:r>
    <w:r>
      <w:fldChar w:fldCharType="separate"/>
    </w:r>
    <w:r w:rsidR="00F322C9">
      <w:t>24.10.14</w:t>
    </w:r>
    <w:r>
      <w:fldChar w:fldCharType="end"/>
    </w:r>
    <w:r w:rsidRPr="00F322C9">
      <w:tab/>
    </w:r>
    <w:r>
      <w:fldChar w:fldCharType="begin"/>
    </w:r>
    <w:r>
      <w:instrText xml:space="preserve"> printdate \@ dd.MM.yy </w:instrText>
    </w:r>
    <w:r>
      <w:fldChar w:fldCharType="separate"/>
    </w:r>
    <w:r w:rsidR="00F322C9">
      <w:t>24.10.14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E9F" w:rsidRDefault="00CF6E9F" w:rsidP="00E1601B">
      <w:pPr>
        <w:spacing w:line="240" w:lineRule="auto"/>
      </w:pPr>
      <w:r>
        <w:t>____________________</w:t>
      </w:r>
    </w:p>
  </w:footnote>
  <w:footnote w:type="continuationSeparator" w:id="0">
    <w:p w:rsidR="00CF6E9F" w:rsidRDefault="00CF6E9F">
      <w:r>
        <w:continuationSeparator/>
      </w:r>
    </w:p>
  </w:footnote>
  <w:footnote w:id="1">
    <w:p w:rsidR="00D97B0B" w:rsidRDefault="00D97B0B" w:rsidP="00A92E4D">
      <w:pPr>
        <w:pStyle w:val="FootnoteText"/>
        <w:rPr>
          <w:lang w:bidi="ar-EG"/>
        </w:rPr>
      </w:pPr>
      <w:r>
        <w:rPr>
          <w:rStyle w:val="FootnoteReference"/>
        </w:rPr>
        <w:footnoteRef/>
      </w:r>
      <w:r>
        <w:rPr>
          <w:rFonts w:hint="cs"/>
          <w:rtl/>
          <w:lang w:bidi="ar-EG"/>
        </w:rPr>
        <w:tab/>
        <w:t>تعرف قاعدة بيانات مصطلحات الاتحاد وصلة المساهمة على أنها "وصلة إرسال الإشارات الصوتية والتلفزيونية إلى مركز إنتاج البرامج".</w:t>
      </w:r>
    </w:p>
  </w:footnote>
  <w:footnote w:id="2">
    <w:p w:rsidR="004B086B" w:rsidRDefault="004B086B" w:rsidP="00A92E4D">
      <w:pPr>
        <w:pStyle w:val="FootnoteText"/>
        <w:rPr>
          <w:lang w:bidi="ar-EG"/>
        </w:rPr>
      </w:pPr>
      <w:r>
        <w:rPr>
          <w:rStyle w:val="FootnoteReference"/>
        </w:rPr>
        <w:footnoteRef/>
      </w:r>
      <w:r>
        <w:rPr>
          <w:rtl/>
        </w:rPr>
        <w:tab/>
      </w:r>
      <w:r>
        <w:rPr>
          <w:rFonts w:hint="cs"/>
          <w:rtl/>
        </w:rPr>
        <w:t xml:space="preserve">طريقة خفض معدل البيانات "الشفافة" هي طريقة لا تؤثر </w:t>
      </w:r>
      <w:r>
        <w:rPr>
          <w:rFonts w:hint="cs"/>
          <w:rtl/>
        </w:rPr>
        <w:t>على الجودة الذاتية لتتابعات الصوت والصورة.</w:t>
      </w:r>
    </w:p>
  </w:footnote>
  <w:footnote w:id="3">
    <w:p w:rsidR="00F363D4" w:rsidRDefault="00F363D4" w:rsidP="00A92E4D">
      <w:pPr>
        <w:pStyle w:val="FootnoteText"/>
        <w:ind w:left="425" w:hanging="425"/>
        <w:rPr>
          <w:rtl/>
          <w:lang w:bidi="ar-EG"/>
        </w:rPr>
      </w:pPr>
      <w:r>
        <w:rPr>
          <w:rStyle w:val="FootnoteReference"/>
        </w:rPr>
        <w:footnoteRef/>
      </w:r>
      <w:r>
        <w:rPr>
          <w:rtl/>
          <w:lang w:bidi="ar-EG"/>
        </w:rPr>
        <w:tab/>
      </w:r>
      <w:r>
        <w:rPr>
          <w:rFonts w:hint="cs"/>
          <w:rtl/>
          <w:lang w:bidi="ar-EG"/>
        </w:rPr>
        <w:t>يمكن تحقيق ذلك على سبيل المثال، من خلال إجراءات مثل النفاذ بكلمات سر مع تغيير كلمات السر من وقت لآخر وشهادات توثيق العناوين</w:t>
      </w:r>
      <w:r w:rsidR="00FD43E9">
        <w:rPr>
          <w:rFonts w:hint="eastAsia"/>
          <w:rtl/>
          <w:lang w:bidi="ar-EG"/>
        </w:rPr>
        <w:t> </w:t>
      </w:r>
      <w:r>
        <w:rPr>
          <w:lang w:bidi="ar-EG"/>
        </w:rPr>
        <w:t>IP</w:t>
      </w:r>
      <w:r>
        <w:rPr>
          <w:rFonts w:hint="cs"/>
          <w:rtl/>
          <w:lang w:bidi="ar-EG"/>
        </w:rPr>
        <w:t xml:space="preserve"> للمصدر والمقصد وختم المحتوى بعلامة مائية لسهولة التعرف على النسخ المزورة.</w:t>
      </w:r>
    </w:p>
  </w:footnote>
  <w:footnote w:id="4">
    <w:p w:rsidR="00E16F2E" w:rsidRDefault="00E16F2E" w:rsidP="00A92E4D">
      <w:pPr>
        <w:pStyle w:val="FootnoteText"/>
        <w:ind w:left="425" w:hanging="425"/>
        <w:rPr>
          <w:lang w:bidi="ar-EG"/>
        </w:rPr>
      </w:pPr>
      <w:r>
        <w:rPr>
          <w:rStyle w:val="FootnoteReference"/>
        </w:rPr>
        <w:footnoteRef/>
      </w:r>
      <w:r>
        <w:rPr>
          <w:rtl/>
        </w:rPr>
        <w:tab/>
      </w:r>
      <w:r>
        <w:rPr>
          <w:rFonts w:hint="cs"/>
          <w:rtl/>
        </w:rPr>
        <w:t xml:space="preserve">تعرف قاعدة بيانات </w:t>
      </w:r>
      <w:r>
        <w:rPr>
          <w:rFonts w:hint="cs"/>
          <w:rtl/>
        </w:rPr>
        <w:t>مصطلحات الاتحاد ونسبة التيسر على أنها النسبة من الزمن</w:t>
      </w:r>
      <w:r w:rsidR="004408D3">
        <w:rPr>
          <w:rFonts w:hint="cs"/>
          <w:rtl/>
        </w:rPr>
        <w:t xml:space="preserve"> التي تكون فيها الوصلة في حالة </w:t>
      </w:r>
      <w:r>
        <w:rPr>
          <w:rFonts w:hint="cs"/>
          <w:rtl/>
        </w:rPr>
        <w:t>ت</w:t>
      </w:r>
      <w:r w:rsidR="004408D3">
        <w:rPr>
          <w:rFonts w:hint="cs"/>
          <w:rtl/>
        </w:rPr>
        <w:t>ي</w:t>
      </w:r>
      <w:r>
        <w:rPr>
          <w:rFonts w:hint="cs"/>
          <w:rtl/>
        </w:rPr>
        <w:t>سر أثناء فترة رصد معينة؛ وتحسب بقسمة مجموع زمن اليسر أثناء فترة الرصد على مددة فترة الرصد.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273431">
    <w:pPr>
      <w:pStyle w:val="Header"/>
      <w:tabs>
        <w:tab w:val="center" w:pos="4819"/>
      </w:tabs>
      <w:jc w:val="both"/>
      <w:rPr>
        <w:b w:val="0"/>
        <w:bCs w:val="0"/>
        <w:lang w:bidi="ar-EG"/>
      </w:rPr>
    </w:pPr>
    <w:r>
      <w:fldChar w:fldCharType="begin"/>
    </w:r>
    <w:r>
      <w:instrText xml:space="preserve"> PAGE   \* MERGEFORMAT </w:instrText>
    </w:r>
    <w:r>
      <w:fldChar w:fldCharType="separate"/>
    </w:r>
    <w:r w:rsidR="00F322C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273431">
      <w:rPr>
        <w:b w:val="0"/>
        <w:bCs w:val="0"/>
      </w:rPr>
      <w:t>BT</w:t>
    </w:r>
    <w:r>
      <w:rPr>
        <w:b w:val="0"/>
        <w:bCs w:val="0"/>
      </w:rPr>
      <w:t>.</w:t>
    </w:r>
    <w:r w:rsidR="00273431">
      <w:rPr>
        <w:b w:val="0"/>
        <w:bCs w:val="0"/>
      </w:rPr>
      <w:t>5056-0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322C9">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0B4F10" w:rsidRPr="002C0F17" w:rsidRDefault="000B4F10" w:rsidP="00CB216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CB216D">
      <w:rPr>
        <w:b w:val="0"/>
        <w:bCs w:val="0"/>
      </w:rPr>
      <w:t>BT</w:t>
    </w:r>
    <w:r w:rsidR="00E16062">
      <w:rPr>
        <w:b w:val="0"/>
        <w:bCs w:val="0"/>
      </w:rPr>
      <w:t>.</w:t>
    </w:r>
    <w:r w:rsidR="00CB216D">
      <w:rPr>
        <w:b w:val="0"/>
        <w:bCs w:val="0"/>
      </w:rPr>
      <w:t>2056-0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E9F"/>
    <w:rsid w:val="00002849"/>
    <w:rsid w:val="00004474"/>
    <w:rsid w:val="00027907"/>
    <w:rsid w:val="000473FF"/>
    <w:rsid w:val="00051CCE"/>
    <w:rsid w:val="000522D1"/>
    <w:rsid w:val="00067954"/>
    <w:rsid w:val="00081122"/>
    <w:rsid w:val="00096F01"/>
    <w:rsid w:val="000A079C"/>
    <w:rsid w:val="000B30D7"/>
    <w:rsid w:val="000B4F10"/>
    <w:rsid w:val="000F312E"/>
    <w:rsid w:val="000F6D38"/>
    <w:rsid w:val="00100796"/>
    <w:rsid w:val="001048FC"/>
    <w:rsid w:val="00113EE4"/>
    <w:rsid w:val="001231D6"/>
    <w:rsid w:val="00132731"/>
    <w:rsid w:val="00140B98"/>
    <w:rsid w:val="001568ED"/>
    <w:rsid w:val="0017413D"/>
    <w:rsid w:val="00174247"/>
    <w:rsid w:val="00182385"/>
    <w:rsid w:val="00183CAB"/>
    <w:rsid w:val="00196389"/>
    <w:rsid w:val="00197749"/>
    <w:rsid w:val="001B03B8"/>
    <w:rsid w:val="001B6D8D"/>
    <w:rsid w:val="001D2146"/>
    <w:rsid w:val="001E0B6B"/>
    <w:rsid w:val="001F23C7"/>
    <w:rsid w:val="00201143"/>
    <w:rsid w:val="002137FD"/>
    <w:rsid w:val="002144CB"/>
    <w:rsid w:val="00230502"/>
    <w:rsid w:val="002434E6"/>
    <w:rsid w:val="00271843"/>
    <w:rsid w:val="00273431"/>
    <w:rsid w:val="002971E7"/>
    <w:rsid w:val="002B261D"/>
    <w:rsid w:val="002B3553"/>
    <w:rsid w:val="002C0F17"/>
    <w:rsid w:val="002C1FE8"/>
    <w:rsid w:val="002C48E2"/>
    <w:rsid w:val="002D3483"/>
    <w:rsid w:val="002E6ECC"/>
    <w:rsid w:val="002E7058"/>
    <w:rsid w:val="00303491"/>
    <w:rsid w:val="00304728"/>
    <w:rsid w:val="0030719D"/>
    <w:rsid w:val="00314E5F"/>
    <w:rsid w:val="00340205"/>
    <w:rsid w:val="00380511"/>
    <w:rsid w:val="00393745"/>
    <w:rsid w:val="003A7650"/>
    <w:rsid w:val="003D017C"/>
    <w:rsid w:val="003D307E"/>
    <w:rsid w:val="003D40E1"/>
    <w:rsid w:val="003F15D8"/>
    <w:rsid w:val="00402F6B"/>
    <w:rsid w:val="00422D17"/>
    <w:rsid w:val="0042647B"/>
    <w:rsid w:val="004408D3"/>
    <w:rsid w:val="0044201D"/>
    <w:rsid w:val="0048331E"/>
    <w:rsid w:val="004910A2"/>
    <w:rsid w:val="00492AF3"/>
    <w:rsid w:val="004B086B"/>
    <w:rsid w:val="004B094A"/>
    <w:rsid w:val="004D79B4"/>
    <w:rsid w:val="004E1620"/>
    <w:rsid w:val="004E7D1E"/>
    <w:rsid w:val="00506547"/>
    <w:rsid w:val="00511801"/>
    <w:rsid w:val="00527EAF"/>
    <w:rsid w:val="00535121"/>
    <w:rsid w:val="005514CA"/>
    <w:rsid w:val="005570BF"/>
    <w:rsid w:val="0056060A"/>
    <w:rsid w:val="00577803"/>
    <w:rsid w:val="00580DFE"/>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0D2F"/>
    <w:rsid w:val="00667C08"/>
    <w:rsid w:val="00680CA6"/>
    <w:rsid w:val="00686ACA"/>
    <w:rsid w:val="006F0631"/>
    <w:rsid w:val="006F0DD4"/>
    <w:rsid w:val="00724E4B"/>
    <w:rsid w:val="007362CE"/>
    <w:rsid w:val="00794E1C"/>
    <w:rsid w:val="00796F0C"/>
    <w:rsid w:val="007B1739"/>
    <w:rsid w:val="007C58FE"/>
    <w:rsid w:val="007D7E68"/>
    <w:rsid w:val="00802B34"/>
    <w:rsid w:val="00806A59"/>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2E4D"/>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C362A"/>
    <w:rsid w:val="00BE0D0E"/>
    <w:rsid w:val="00BE5AAE"/>
    <w:rsid w:val="00BF3DD6"/>
    <w:rsid w:val="00BF5EA9"/>
    <w:rsid w:val="00C04244"/>
    <w:rsid w:val="00C1100F"/>
    <w:rsid w:val="00C46925"/>
    <w:rsid w:val="00C50B28"/>
    <w:rsid w:val="00C53F27"/>
    <w:rsid w:val="00C71576"/>
    <w:rsid w:val="00C93F89"/>
    <w:rsid w:val="00C94B6E"/>
    <w:rsid w:val="00CB216D"/>
    <w:rsid w:val="00CB4BE8"/>
    <w:rsid w:val="00CC48AA"/>
    <w:rsid w:val="00CC6EA6"/>
    <w:rsid w:val="00CD71D4"/>
    <w:rsid w:val="00CF545E"/>
    <w:rsid w:val="00CF6E9F"/>
    <w:rsid w:val="00CF73A8"/>
    <w:rsid w:val="00D2107D"/>
    <w:rsid w:val="00D23D39"/>
    <w:rsid w:val="00D27AAA"/>
    <w:rsid w:val="00D30FE6"/>
    <w:rsid w:val="00D34703"/>
    <w:rsid w:val="00D85FA6"/>
    <w:rsid w:val="00D97B0B"/>
    <w:rsid w:val="00DA348F"/>
    <w:rsid w:val="00DB3D2A"/>
    <w:rsid w:val="00DC7E91"/>
    <w:rsid w:val="00DD670F"/>
    <w:rsid w:val="00DF4E37"/>
    <w:rsid w:val="00E103BB"/>
    <w:rsid w:val="00E12EB0"/>
    <w:rsid w:val="00E1601B"/>
    <w:rsid w:val="00E16062"/>
    <w:rsid w:val="00E16F2E"/>
    <w:rsid w:val="00E3032C"/>
    <w:rsid w:val="00E45AFF"/>
    <w:rsid w:val="00E577A6"/>
    <w:rsid w:val="00E6418C"/>
    <w:rsid w:val="00E650A3"/>
    <w:rsid w:val="00E726E9"/>
    <w:rsid w:val="00E736B4"/>
    <w:rsid w:val="00E9048A"/>
    <w:rsid w:val="00E964C9"/>
    <w:rsid w:val="00EA20E1"/>
    <w:rsid w:val="00EC2BCA"/>
    <w:rsid w:val="00EF0744"/>
    <w:rsid w:val="00EF327F"/>
    <w:rsid w:val="00EF7CB5"/>
    <w:rsid w:val="00F1320B"/>
    <w:rsid w:val="00F22C87"/>
    <w:rsid w:val="00F322C9"/>
    <w:rsid w:val="00F3359B"/>
    <w:rsid w:val="00F363D4"/>
    <w:rsid w:val="00F40BC5"/>
    <w:rsid w:val="00F615CE"/>
    <w:rsid w:val="00F82FD6"/>
    <w:rsid w:val="00F939BC"/>
    <w:rsid w:val="00F95755"/>
    <w:rsid w:val="00FA34F7"/>
    <w:rsid w:val="00FA3938"/>
    <w:rsid w:val="00FD43E9"/>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C2A7FBA-16BB-4CF0-B432-BE2DBA2F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HeadingSum">
    <w:name w:val="Heading_Sum"/>
    <w:basedOn w:val="Heading1"/>
    <w:rsid w:val="00A92E4D"/>
    <w:rPr>
      <w:lang w:bidi="ar-EG"/>
    </w:rPr>
  </w:style>
  <w:style w:type="paragraph" w:customStyle="1" w:styleId="Summ">
    <w:name w:val="Summ"/>
    <w:basedOn w:val="Normal"/>
    <w:rsid w:val="00A92E4D"/>
    <w:rPr>
      <w:lang w:bidi="ar-EG"/>
    </w:rPr>
  </w:style>
  <w:style w:type="paragraph" w:customStyle="1" w:styleId="Summary">
    <w:name w:val="Summary"/>
    <w:basedOn w:val="Summ"/>
    <w:rsid w:val="00A92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AFEB6-F8C4-4373-A07A-499617938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11</TotalTime>
  <Pages>5</Pages>
  <Words>1042</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6979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Aouji, Anware</cp:lastModifiedBy>
  <cp:revision>6</cp:revision>
  <cp:lastPrinted>2014-10-24T07:40:00Z</cp:lastPrinted>
  <dcterms:created xsi:type="dcterms:W3CDTF">2014-10-24T07:27:00Z</dcterms:created>
  <dcterms:modified xsi:type="dcterms:W3CDTF">2014-10-24T07:41:00Z</dcterms:modified>
</cp:coreProperties>
</file>