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514F95"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4219B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219BD">
              <w:rPr>
                <w:rFonts w:ascii="Tahoma" w:hAnsi="Tahoma" w:cs="Tahoma"/>
                <w:b/>
                <w:bCs/>
                <w:iCs/>
                <w:color w:val="243285"/>
                <w:sz w:val="36"/>
                <w:szCs w:val="36"/>
                <w:lang w:val="es-ES_tradnl"/>
              </w:rPr>
              <w:t>2054-1</w:t>
            </w:r>
          </w:p>
          <w:p w:rsidR="00227CED" w:rsidRPr="0010336F" w:rsidRDefault="00227CED" w:rsidP="004219B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219BD">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4219BD">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227CED" w:rsidRPr="00D6504B"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D6504B" w:rsidP="00D6504B">
            <w:pPr>
              <w:spacing w:before="80" w:line="500" w:lineRule="exact"/>
              <w:jc w:val="right"/>
              <w:rPr>
                <w:rFonts w:ascii="Tahoma" w:hAnsi="Tahoma" w:cs="Tahoma"/>
                <w:b/>
                <w:bCs/>
                <w:color w:val="243285"/>
                <w:sz w:val="44"/>
                <w:szCs w:val="44"/>
                <w:lang w:val="es-ES_tradnl"/>
              </w:rPr>
            </w:pPr>
            <w:r w:rsidRPr="00D6504B">
              <w:rPr>
                <w:rFonts w:ascii="Tahoma" w:hAnsi="Tahoma" w:cs="Tahoma"/>
                <w:b/>
                <w:bCs/>
                <w:color w:val="243285"/>
                <w:sz w:val="44"/>
                <w:szCs w:val="44"/>
                <w:lang w:val="es-ES_tradnl"/>
              </w:rPr>
              <w:t xml:space="preserve">Esquemas de multiplexación y transporte </w:t>
            </w:r>
            <w:r>
              <w:rPr>
                <w:rFonts w:ascii="Tahoma" w:hAnsi="Tahoma" w:cs="Tahoma"/>
                <w:b/>
                <w:bCs/>
                <w:color w:val="243285"/>
                <w:sz w:val="44"/>
                <w:szCs w:val="44"/>
                <w:lang w:val="es-ES_tradnl"/>
              </w:rPr>
              <w:br/>
            </w:r>
            <w:r w:rsidRPr="00D6504B">
              <w:rPr>
                <w:rFonts w:ascii="Tahoma" w:hAnsi="Tahoma" w:cs="Tahoma"/>
                <w:b/>
                <w:bCs/>
                <w:color w:val="243285"/>
                <w:sz w:val="44"/>
                <w:szCs w:val="44"/>
                <w:lang w:val="es-ES_tradnl"/>
              </w:rPr>
              <w:t>en los sistemas</w:t>
            </w:r>
            <w:r>
              <w:rPr>
                <w:rFonts w:ascii="Tahoma" w:hAnsi="Tahoma" w:cs="Tahoma"/>
                <w:b/>
                <w:bCs/>
                <w:color w:val="243285"/>
                <w:sz w:val="44"/>
                <w:szCs w:val="44"/>
                <w:lang w:val="es-ES_tradnl"/>
              </w:rPr>
              <w:t xml:space="preserve"> </w:t>
            </w:r>
            <w:r w:rsidRPr="00D6504B">
              <w:rPr>
                <w:rFonts w:ascii="Tahoma" w:hAnsi="Tahoma" w:cs="Tahoma"/>
                <w:b/>
                <w:bCs/>
                <w:color w:val="243285"/>
                <w:sz w:val="44"/>
                <w:szCs w:val="44"/>
                <w:lang w:val="es-ES_tradnl"/>
              </w:rPr>
              <w:t>de radiodifusión de multimedios para recepción móvil</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514F95"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514F95"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514F95"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514F95"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514F95"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514F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514F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514F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514F95"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4219BD" w:rsidRDefault="004219BD" w:rsidP="00D6504B">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D6504B">
        <w:rPr>
          <w:rStyle w:val="href"/>
          <w:lang w:val="es-ES_tradnl"/>
        </w:rPr>
        <w:t>2054-1</w:t>
      </w:r>
    </w:p>
    <w:p w:rsidR="004219BD" w:rsidRPr="0091453B" w:rsidRDefault="004219BD" w:rsidP="004219BD">
      <w:pPr>
        <w:pStyle w:val="Rectitle"/>
        <w:rPr>
          <w:lang w:val="es-ES_tradnl"/>
        </w:rPr>
      </w:pPr>
      <w:r w:rsidRPr="0091453B">
        <w:rPr>
          <w:lang w:val="es-ES_tradnl"/>
        </w:rPr>
        <w:t xml:space="preserve">Esquemas de multiplexación y transporte en los sistemas </w:t>
      </w:r>
      <w:r w:rsidRPr="0091453B">
        <w:rPr>
          <w:lang w:val="es-ES_tradnl"/>
        </w:rPr>
        <w:br/>
        <w:t>de radiodifusión de multimedios para recepción móvil</w:t>
      </w:r>
    </w:p>
    <w:p w:rsidR="004219BD" w:rsidRPr="0091453B" w:rsidRDefault="004219BD" w:rsidP="004219BD">
      <w:pPr>
        <w:pStyle w:val="Recref"/>
        <w:rPr>
          <w:lang w:val="es-ES_tradnl"/>
        </w:rPr>
      </w:pPr>
      <w:r w:rsidRPr="0091453B">
        <w:rPr>
          <w:lang w:val="es-ES_tradnl"/>
        </w:rPr>
        <w:t>(Cuestión UIT-R 45-</w:t>
      </w:r>
      <w:r>
        <w:rPr>
          <w:lang w:val="es-ES_tradnl"/>
        </w:rPr>
        <w:t>5</w:t>
      </w:r>
      <w:r w:rsidRPr="0091453B">
        <w:rPr>
          <w:lang w:val="es-ES_tradnl"/>
        </w:rPr>
        <w:t>/6)</w:t>
      </w:r>
    </w:p>
    <w:p w:rsidR="004219BD" w:rsidRPr="0091453B" w:rsidRDefault="004219BD" w:rsidP="004219BD">
      <w:pPr>
        <w:pStyle w:val="Recdate"/>
        <w:rPr>
          <w:lang w:val="es-ES_tradnl"/>
        </w:rPr>
      </w:pPr>
      <w:r w:rsidRPr="0091453B">
        <w:rPr>
          <w:lang w:val="es-ES_tradnl"/>
        </w:rPr>
        <w:t>(2014</w:t>
      </w:r>
      <w:r>
        <w:rPr>
          <w:lang w:val="es-ES_tradnl"/>
        </w:rPr>
        <w:t>-2018</w:t>
      </w:r>
      <w:r w:rsidRPr="0091453B">
        <w:rPr>
          <w:lang w:val="es-ES_tradnl"/>
        </w:rPr>
        <w:t>)</w:t>
      </w:r>
    </w:p>
    <w:p w:rsidR="004219BD" w:rsidRPr="004219BD" w:rsidRDefault="004219BD" w:rsidP="00267BDC">
      <w:pPr>
        <w:pStyle w:val="HeadingSum"/>
      </w:pPr>
      <w:r w:rsidRPr="004219BD">
        <w:t>Cometido</w:t>
      </w:r>
    </w:p>
    <w:p w:rsidR="004219BD" w:rsidRPr="004219BD" w:rsidRDefault="004219BD" w:rsidP="00267BDC">
      <w:pPr>
        <w:pStyle w:val="Summary"/>
      </w:pPr>
      <w:r w:rsidRPr="004219BD">
        <w:t>La presente Recomendación trata de las tecnologías de multiplexación y transporte en los sistemas de radiodifusión de multimedios para recepción móvil. Describe los esquemas para el transporte de medios, la protección del servicio/contenido y el suministro fiable.</w:t>
      </w:r>
    </w:p>
    <w:p w:rsidR="004219BD" w:rsidRPr="0091453B" w:rsidRDefault="004219BD" w:rsidP="00267BDC">
      <w:pPr>
        <w:pStyle w:val="Normalaftertitle"/>
        <w:rPr>
          <w:lang w:val="es-ES_tradnl"/>
        </w:rPr>
      </w:pPr>
      <w:r w:rsidRPr="0091453B">
        <w:rPr>
          <w:lang w:val="es-ES_tradnl"/>
        </w:rPr>
        <w:t>La Asamblea de Radiocomunicaciones de la UIT,</w:t>
      </w:r>
    </w:p>
    <w:p w:rsidR="004219BD" w:rsidRPr="0091453B" w:rsidRDefault="004219BD" w:rsidP="004219BD">
      <w:pPr>
        <w:pStyle w:val="Call"/>
        <w:rPr>
          <w:lang w:val="es-ES_tradnl" w:eastAsia="ja-JP"/>
        </w:rPr>
      </w:pPr>
      <w:proofErr w:type="gramStart"/>
      <w:r w:rsidRPr="0091453B">
        <w:rPr>
          <w:lang w:val="es-ES_tradnl" w:eastAsia="ja-JP"/>
        </w:rPr>
        <w:t>considerando</w:t>
      </w:r>
      <w:proofErr w:type="gramEnd"/>
    </w:p>
    <w:p w:rsidR="004219BD" w:rsidRPr="0091453B" w:rsidRDefault="004219BD" w:rsidP="004219BD">
      <w:pPr>
        <w:rPr>
          <w:lang w:val="es-ES_tradnl"/>
        </w:rPr>
      </w:pPr>
      <w:r w:rsidRPr="0091453B">
        <w:rPr>
          <w:i/>
          <w:iCs/>
          <w:lang w:val="es-ES_tradnl"/>
        </w:rPr>
        <w:t>a)</w:t>
      </w:r>
      <w:r w:rsidRPr="0091453B">
        <w:rPr>
          <w:lang w:val="es-ES_tradnl"/>
        </w:rPr>
        <w:tab/>
        <w:t>que se han implantado en muchos países sistemas de radiodifusión sonora y de televisión;</w:t>
      </w:r>
    </w:p>
    <w:p w:rsidR="004219BD" w:rsidRPr="0091453B" w:rsidRDefault="004219BD" w:rsidP="004219BD">
      <w:pPr>
        <w:rPr>
          <w:lang w:val="es-ES_tradnl"/>
        </w:rPr>
      </w:pPr>
      <w:r w:rsidRPr="0091453B">
        <w:rPr>
          <w:i/>
          <w:iCs/>
          <w:lang w:val="es-ES_tradnl"/>
        </w:rPr>
        <w:t>b)</w:t>
      </w:r>
      <w:r w:rsidRPr="0091453B">
        <w:rPr>
          <w:lang w:val="es-ES_tradnl"/>
        </w:rPr>
        <w:tab/>
        <w:t>que se espera que los servicios de radiodifusión digital se ofrezcan en diversos entornos de recepción, incluidos los receptores en interiores, portátiles, de bolsillo y en vehículos;</w:t>
      </w:r>
    </w:p>
    <w:p w:rsidR="004219BD" w:rsidRPr="0091453B" w:rsidRDefault="004219BD" w:rsidP="004219BD">
      <w:pPr>
        <w:rPr>
          <w:lang w:val="es-ES_tradnl"/>
        </w:rPr>
      </w:pPr>
      <w:r w:rsidRPr="0091453B">
        <w:rPr>
          <w:i/>
          <w:iCs/>
          <w:lang w:val="es-ES_tradnl"/>
        </w:rPr>
        <w:t>c)</w:t>
      </w:r>
      <w:r w:rsidRPr="0091453B">
        <w:rPr>
          <w:lang w:val="es-ES_tradnl"/>
        </w:rPr>
        <w:tab/>
        <w:t>que se han introducido servicios de radiodifusión de multimedios para recepción móvil aprovechando las capacidades propias de los sistemas de radiodifusión digital;</w:t>
      </w:r>
    </w:p>
    <w:p w:rsidR="004219BD" w:rsidRPr="0091453B" w:rsidRDefault="004219BD" w:rsidP="004219BD">
      <w:pPr>
        <w:rPr>
          <w:lang w:val="es-ES_tradnl"/>
        </w:rPr>
      </w:pPr>
      <w:r w:rsidRPr="0091453B">
        <w:rPr>
          <w:i/>
          <w:iCs/>
          <w:lang w:val="es-ES_tradnl"/>
        </w:rPr>
        <w:t>d)</w:t>
      </w:r>
      <w:r w:rsidRPr="0091453B">
        <w:rPr>
          <w:lang w:val="es-ES_tradnl"/>
        </w:rPr>
        <w:tab/>
        <w:t>que la recepción móvil y la recepción fija tienen características muy diferentes;</w:t>
      </w:r>
    </w:p>
    <w:p w:rsidR="004219BD" w:rsidRPr="0091453B" w:rsidRDefault="004219BD" w:rsidP="004219BD">
      <w:pPr>
        <w:rPr>
          <w:lang w:val="es-ES_tradnl"/>
        </w:rPr>
      </w:pPr>
      <w:r w:rsidRPr="0091453B">
        <w:rPr>
          <w:i/>
          <w:iCs/>
          <w:lang w:val="es-ES_tradnl"/>
        </w:rPr>
        <w:t>e)</w:t>
      </w:r>
      <w:r w:rsidRPr="0091453B">
        <w:rPr>
          <w:lang w:val="es-ES_tradnl"/>
        </w:rPr>
        <w:tab/>
        <w:t>que en muchos países se han introducido sistemas de radiocomunicaciones móviles con tecnologías de la información avanzadas;</w:t>
      </w:r>
    </w:p>
    <w:p w:rsidR="004219BD" w:rsidRPr="0091453B" w:rsidRDefault="004219BD" w:rsidP="004219BD">
      <w:pPr>
        <w:rPr>
          <w:lang w:val="es-ES_tradnl"/>
        </w:rPr>
      </w:pPr>
      <w:r w:rsidRPr="0091453B">
        <w:rPr>
          <w:i/>
          <w:iCs/>
          <w:lang w:val="es-ES_tradnl"/>
        </w:rPr>
        <w:t>f)</w:t>
      </w:r>
      <w:r w:rsidRPr="0091453B">
        <w:rPr>
          <w:lang w:val="es-ES_tradnl"/>
        </w:rPr>
        <w:tab/>
        <w:t>que los servicios de telecomunicaciones móviles y los servicios de radiodifusión deben ser compatibles;</w:t>
      </w:r>
    </w:p>
    <w:p w:rsidR="004219BD" w:rsidRPr="0091453B" w:rsidRDefault="004219BD" w:rsidP="004219BD">
      <w:pPr>
        <w:rPr>
          <w:lang w:val="es-ES_tradnl"/>
        </w:rPr>
      </w:pPr>
      <w:r w:rsidRPr="0091453B">
        <w:rPr>
          <w:i/>
          <w:iCs/>
          <w:lang w:val="es-ES_tradnl"/>
        </w:rPr>
        <w:t>g)</w:t>
      </w:r>
      <w:r w:rsidRPr="0091453B">
        <w:rPr>
          <w:lang w:val="es-ES_tradnl"/>
        </w:rPr>
        <w:tab/>
        <w:t>que es necesaria la configuración flexible de una gran cantidad de servicios;</w:t>
      </w:r>
    </w:p>
    <w:p w:rsidR="004219BD" w:rsidRPr="0091453B" w:rsidRDefault="004219BD" w:rsidP="004219BD">
      <w:pPr>
        <w:rPr>
          <w:lang w:val="es-ES_tradnl"/>
        </w:rPr>
      </w:pPr>
      <w:r w:rsidRPr="0091453B">
        <w:rPr>
          <w:i/>
          <w:iCs/>
          <w:lang w:val="es-ES_tradnl"/>
        </w:rPr>
        <w:t>h)</w:t>
      </w:r>
      <w:r w:rsidRPr="0091453B">
        <w:rPr>
          <w:lang w:val="es-ES_tradnl"/>
        </w:rPr>
        <w:tab/>
        <w:t>que es necesario controlar el acceso al contenido y/o los servicios;</w:t>
      </w:r>
    </w:p>
    <w:p w:rsidR="004219BD" w:rsidRPr="0091453B" w:rsidRDefault="004219BD" w:rsidP="004219BD">
      <w:pPr>
        <w:rPr>
          <w:lang w:val="es-ES_tradnl"/>
        </w:rPr>
      </w:pPr>
      <w:r w:rsidRPr="0091453B">
        <w:rPr>
          <w:i/>
          <w:iCs/>
          <w:lang w:val="es-ES_tradnl"/>
        </w:rPr>
        <w:t>i)</w:t>
      </w:r>
      <w:r w:rsidRPr="0091453B">
        <w:rPr>
          <w:lang w:val="es-ES_tradnl"/>
        </w:rPr>
        <w:tab/>
        <w:t>que se requieren técnicas eficaces y fiables de suministro de contenido,</w:t>
      </w:r>
    </w:p>
    <w:p w:rsidR="004219BD" w:rsidRPr="0091453B" w:rsidRDefault="004219BD" w:rsidP="004219BD">
      <w:pPr>
        <w:pStyle w:val="Call"/>
        <w:rPr>
          <w:lang w:val="es-ES_tradnl" w:eastAsia="ja-JP"/>
        </w:rPr>
      </w:pPr>
      <w:proofErr w:type="gramStart"/>
      <w:r w:rsidRPr="0091453B">
        <w:rPr>
          <w:lang w:val="es-ES_tradnl" w:eastAsia="ja-JP"/>
        </w:rPr>
        <w:t>recomienda</w:t>
      </w:r>
      <w:proofErr w:type="gramEnd"/>
    </w:p>
    <w:p w:rsidR="004219BD" w:rsidRPr="0091453B" w:rsidRDefault="004219BD" w:rsidP="004219BD">
      <w:pPr>
        <w:rPr>
          <w:lang w:val="es-ES_tradnl" w:eastAsia="ja-JP"/>
        </w:rPr>
      </w:pPr>
      <w:r w:rsidRPr="0091453B">
        <w:rPr>
          <w:b/>
          <w:bCs/>
          <w:lang w:val="es-ES_tradnl" w:eastAsia="ja-JP"/>
        </w:rPr>
        <w:t>1</w:t>
      </w:r>
      <w:r w:rsidRPr="0091453B">
        <w:rPr>
          <w:lang w:val="es-ES_tradnl" w:eastAsia="ja-JP"/>
        </w:rPr>
        <w:tab/>
        <w:t>que se utilicen los esquemas descritos en el Anexo 1 relativos a las técnicas de multiplexación y transporte en los sistemas de radiodifusión de multimedios para recepción móvil;</w:t>
      </w:r>
    </w:p>
    <w:p w:rsidR="004219BD" w:rsidRPr="0091453B" w:rsidRDefault="004219BD" w:rsidP="004219BD">
      <w:pPr>
        <w:rPr>
          <w:lang w:val="es-ES_tradnl" w:eastAsia="ja-JP"/>
        </w:rPr>
      </w:pPr>
      <w:r w:rsidRPr="0091453B">
        <w:rPr>
          <w:b/>
          <w:bCs/>
          <w:lang w:val="es-ES_tradnl" w:eastAsia="ja-JP"/>
        </w:rPr>
        <w:t>2</w:t>
      </w:r>
      <w:r w:rsidRPr="0091453B">
        <w:rPr>
          <w:lang w:val="es-ES_tradnl" w:eastAsia="ja-JP"/>
        </w:rPr>
        <w:tab/>
        <w:t>que la observancia de esta Recomendación sea voluntaria. Ahora bien, la Recomendación puede contener ciertas disposiciones obligatorias (para garantizar, por ejemplo, la aplicabilidad o el interfuncionamiento), por lo que la observancia se consigue con el cumplimiento exacto y puntual de todas las disposiciones obligatorias. El término «deberá» o cualquier otra palabra que conlleve la idea de obligatoriedad, como «tendrá que», así como los equivalentes correspondientes de negación se emplean para formular los requisitos. El hecho de que se utilice esta formulación no entraña la observancia parcial o total de la presente Recomend</w:t>
      </w:r>
      <w:bookmarkStart w:id="4" w:name="_GoBack"/>
      <w:bookmarkEnd w:id="4"/>
      <w:r w:rsidRPr="0091453B">
        <w:rPr>
          <w:lang w:val="es-ES_tradnl" w:eastAsia="ja-JP"/>
        </w:rPr>
        <w:t>ación.</w:t>
      </w:r>
    </w:p>
    <w:p w:rsidR="004219BD" w:rsidRPr="0091453B" w:rsidRDefault="004219BD" w:rsidP="004219BD">
      <w:pPr>
        <w:pStyle w:val="AnnexNoTitle"/>
        <w:rPr>
          <w:lang w:val="es-ES_tradnl"/>
        </w:rPr>
      </w:pPr>
      <w:r w:rsidRPr="0091453B">
        <w:rPr>
          <w:lang w:val="es-ES_tradnl"/>
        </w:rPr>
        <w:lastRenderedPageBreak/>
        <w:t>Anexo 1</w:t>
      </w:r>
      <w:r w:rsidRPr="0091453B">
        <w:rPr>
          <w:lang w:val="es-ES_tradnl"/>
        </w:rPr>
        <w:br/>
      </w:r>
      <w:r w:rsidRPr="0091453B">
        <w:rPr>
          <w:lang w:val="es-ES_tradnl"/>
        </w:rPr>
        <w:br/>
        <w:t xml:space="preserve">Esquemas de multiplexación y transporte en los sistemas </w:t>
      </w:r>
      <w:r w:rsidRPr="0091453B">
        <w:rPr>
          <w:lang w:val="es-ES_tradnl"/>
        </w:rPr>
        <w:br/>
        <w:t>de radiodifusión de multimedios para recepción móvil</w:t>
      </w:r>
    </w:p>
    <w:p w:rsidR="004219BD" w:rsidRPr="0091453B" w:rsidRDefault="004219BD" w:rsidP="004219BD">
      <w:pPr>
        <w:pStyle w:val="Heading1"/>
        <w:rPr>
          <w:lang w:val="es-ES_tradnl"/>
        </w:rPr>
      </w:pPr>
      <w:r w:rsidRPr="0091453B">
        <w:rPr>
          <w:lang w:val="es-ES_tradnl"/>
        </w:rPr>
        <w:t>1</w:t>
      </w:r>
      <w:r w:rsidRPr="0091453B">
        <w:rPr>
          <w:lang w:val="es-ES_tradnl"/>
        </w:rPr>
        <w:tab/>
        <w:t>Introducción</w:t>
      </w:r>
    </w:p>
    <w:p w:rsidR="004219BD" w:rsidRDefault="004219BD" w:rsidP="004219BD">
      <w:pPr>
        <w:rPr>
          <w:lang w:val="es-ES_tradnl"/>
        </w:rPr>
      </w:pPr>
      <w:r w:rsidRPr="0091453B">
        <w:rPr>
          <w:lang w:val="es-ES_tradnl"/>
        </w:rPr>
        <w:t xml:space="preserve">Los sistemas de radiodifusión de multimedios para la recepción móvil pueden emplear los mismos esquemas de multiplexación y transporte que los utilizados en la recepción fija. La radiodifusión y las telecomunicaciones podrían armonizarse si algunas de las técnicas utilizadas en los sistemas de telecomunicaciones móviles </w:t>
      </w:r>
      <w:r>
        <w:rPr>
          <w:lang w:val="es-ES_tradnl"/>
        </w:rPr>
        <w:t xml:space="preserve">(en particular, las basadas en Protocolo de Internet (IP)) </w:t>
      </w:r>
      <w:r w:rsidRPr="0091453B">
        <w:rPr>
          <w:lang w:val="es-ES_tradnl"/>
        </w:rPr>
        <w:t xml:space="preserve">también se utilizaran en los sistemas de radiodifusión de multimedios para recepción móvil. El contenido se ha suministrar de manera fiable aun cuando se produzcan errores irrecuperables en la capa de codificación canal, que es inevitable en la recepción móvil. </w:t>
      </w:r>
      <w:r>
        <w:rPr>
          <w:lang w:val="es-ES_tradnl"/>
        </w:rPr>
        <w:t xml:space="preserve">Una de las opciones para mejorar la fiabilidad del suministro del contenido IP es utilizar una </w:t>
      </w:r>
      <w:r w:rsidRPr="009D474A">
        <w:rPr>
          <w:lang w:val="es-ES_tradnl"/>
        </w:rPr>
        <w:t>emisión de secuencias de descarga progresiva</w:t>
      </w:r>
      <w:r>
        <w:rPr>
          <w:lang w:val="es-ES_tradnl"/>
        </w:rPr>
        <w:t xml:space="preserve"> adaptativa.</w:t>
      </w:r>
    </w:p>
    <w:p w:rsidR="004219BD" w:rsidRPr="0091453B" w:rsidRDefault="004219BD" w:rsidP="004219BD">
      <w:pPr>
        <w:rPr>
          <w:lang w:val="es-ES_tradnl"/>
        </w:rPr>
      </w:pPr>
      <w:r w:rsidRPr="0091453B">
        <w:rPr>
          <w:lang w:val="es-ES_tradnl"/>
        </w:rPr>
        <w:t xml:space="preserve">Desde el punto de vista del proveedor de contenido, es </w:t>
      </w:r>
      <w:r>
        <w:rPr>
          <w:lang w:val="es-ES_tradnl"/>
        </w:rPr>
        <w:t>importante</w:t>
      </w:r>
      <w:r w:rsidRPr="0091453B">
        <w:rPr>
          <w:lang w:val="es-ES_tradnl"/>
        </w:rPr>
        <w:t xml:space="preserve"> proteger el contenido contra la recepción y utilización no autorizadas.</w:t>
      </w:r>
    </w:p>
    <w:p w:rsidR="004219BD" w:rsidRPr="0091453B" w:rsidRDefault="004219BD" w:rsidP="004219BD">
      <w:pPr>
        <w:rPr>
          <w:lang w:val="es-ES_tradnl"/>
        </w:rPr>
      </w:pPr>
      <w:r w:rsidRPr="0091453B">
        <w:rPr>
          <w:lang w:val="es-ES_tradnl"/>
        </w:rPr>
        <w:t>En la presente Recomendación se describen esquemas de multiplexación y transporte adecuados para los sistemas de radiodifusión de multimedios para recepción móvil.</w:t>
      </w:r>
    </w:p>
    <w:p w:rsidR="004219BD" w:rsidRPr="0091453B" w:rsidRDefault="004219BD" w:rsidP="004219BD">
      <w:pPr>
        <w:pStyle w:val="Heading1"/>
        <w:rPr>
          <w:lang w:val="es-ES_tradnl"/>
        </w:rPr>
      </w:pPr>
      <w:r w:rsidRPr="0091453B">
        <w:rPr>
          <w:lang w:val="es-ES_tradnl"/>
        </w:rPr>
        <w:t>2</w:t>
      </w:r>
      <w:r w:rsidRPr="0091453B">
        <w:rPr>
          <w:lang w:val="es-ES_tradnl"/>
        </w:rPr>
        <w:tab/>
        <w:t>Referencias</w:t>
      </w:r>
    </w:p>
    <w:p w:rsidR="004219BD" w:rsidRPr="004D759E" w:rsidRDefault="004219BD" w:rsidP="00267BDC">
      <w:pPr>
        <w:pStyle w:val="Reftext"/>
        <w:rPr>
          <w:lang w:val="es-ES_tradnl"/>
        </w:rPr>
      </w:pPr>
      <w:r w:rsidRPr="004D759E">
        <w:rPr>
          <w:lang w:val="es-ES_tradnl"/>
        </w:rPr>
        <w:t>Recomendación UIT-T H.222.0 | ISO/CEI 13818-1: Tecnología de la información – Codificación genérica de imágenes en movimiento e información de audio asociada – Parte 1: Sistemas</w:t>
      </w:r>
      <w:r w:rsidRPr="004D759E">
        <w:rPr>
          <w:lang w:val="es-ES_tradnl" w:eastAsia="ja-JP"/>
        </w:rPr>
        <w:t>.</w:t>
      </w:r>
    </w:p>
    <w:p w:rsidR="004219BD" w:rsidRPr="004D759E" w:rsidRDefault="004219BD" w:rsidP="00267BDC">
      <w:pPr>
        <w:pStyle w:val="Reftext"/>
        <w:rPr>
          <w:lang w:val="es-ES_tradnl"/>
        </w:rPr>
      </w:pPr>
      <w:r w:rsidRPr="004D759E">
        <w:rPr>
          <w:lang w:val="es-ES_tradnl"/>
        </w:rPr>
        <w:t xml:space="preserve">ISO/CEI 14496-1: </w:t>
      </w:r>
      <w:r w:rsidRPr="004D759E">
        <w:rPr>
          <w:color w:val="000000"/>
          <w:lang w:val="es-ES_tradnl"/>
        </w:rPr>
        <w:t xml:space="preserve">Tecnología de la información </w:t>
      </w:r>
      <w:r w:rsidRPr="004D759E">
        <w:rPr>
          <w:lang w:val="es-ES_tradnl"/>
        </w:rPr>
        <w:t xml:space="preserve">– Coding of audio-visual objects – </w:t>
      </w:r>
      <w:r w:rsidRPr="004D759E">
        <w:rPr>
          <w:color w:val="000000"/>
          <w:lang w:val="es-ES_tradnl"/>
        </w:rPr>
        <w:t>Parte 1</w:t>
      </w:r>
      <w:r w:rsidRPr="004D759E">
        <w:rPr>
          <w:lang w:val="es-ES_tradnl"/>
        </w:rPr>
        <w:t>: Sistemas.</w:t>
      </w:r>
    </w:p>
    <w:p w:rsidR="004219BD" w:rsidRPr="004D759E" w:rsidRDefault="004219BD" w:rsidP="00267BDC">
      <w:pPr>
        <w:pStyle w:val="Reftext"/>
        <w:rPr>
          <w:lang w:val="fr-CH"/>
          <w:rPrChange w:id="5" w:author="Nino Carnero, Alicia" w:date="2018-10-11T11:16:00Z">
            <w:rPr>
              <w:sz w:val="24"/>
              <w:szCs w:val="22"/>
              <w:lang w:val="en-GB"/>
            </w:rPr>
          </w:rPrChange>
        </w:rPr>
      </w:pPr>
      <w:r w:rsidRPr="004D759E">
        <w:rPr>
          <w:lang w:val="fr-CH"/>
          <w:rPrChange w:id="6" w:author="Nino Carnero, Alicia" w:date="2018-10-11T11:16:00Z">
            <w:rPr>
              <w:sz w:val="24"/>
              <w:szCs w:val="22"/>
              <w:lang w:val="en-GB"/>
            </w:rPr>
          </w:rPrChange>
        </w:rPr>
        <w:t>IETF RFC 791: Internet Protocol.</w:t>
      </w:r>
    </w:p>
    <w:p w:rsidR="004219BD" w:rsidRPr="006B6905" w:rsidRDefault="004219BD" w:rsidP="00EC3793">
      <w:pPr>
        <w:pStyle w:val="Reftext"/>
        <w:spacing w:before="60"/>
        <w:rPr>
          <w:szCs w:val="22"/>
          <w:lang w:val="fr-CH"/>
          <w:rPrChange w:id="7" w:author="Nino Carnero, Alicia" w:date="2018-10-11T11:16:00Z">
            <w:rPr>
              <w:sz w:val="24"/>
              <w:szCs w:val="22"/>
              <w:lang w:val="en-GB"/>
            </w:rPr>
          </w:rPrChange>
        </w:rPr>
      </w:pPr>
      <w:r w:rsidRPr="004D759E">
        <w:rPr>
          <w:lang w:val="fr-CH"/>
          <w:rPrChange w:id="8" w:author="Nino Carnero, Alicia" w:date="2018-10-11T11:16:00Z">
            <w:rPr>
              <w:sz w:val="24"/>
              <w:szCs w:val="22"/>
              <w:lang w:val="en-GB"/>
            </w:rPr>
          </w:rPrChange>
        </w:rPr>
        <w:tab/>
      </w:r>
      <w:r w:rsidRPr="006B6905">
        <w:rPr>
          <w:szCs w:val="22"/>
          <w:lang w:val="fr-CH"/>
          <w:rPrChange w:id="9" w:author="Nino Carnero, Alicia" w:date="2018-10-11T11:16:00Z">
            <w:rPr>
              <w:sz w:val="24"/>
              <w:szCs w:val="22"/>
              <w:lang w:val="en-GB"/>
            </w:rPr>
          </w:rPrChange>
        </w:rPr>
        <w:t xml:space="preserve">Disponible en: </w:t>
      </w:r>
      <w:r w:rsidRPr="006B6905">
        <w:rPr>
          <w:rStyle w:val="Hyperlink"/>
          <w:szCs w:val="22"/>
          <w:lang w:val="en-GB"/>
        </w:rPr>
        <w:fldChar w:fldCharType="begin"/>
      </w:r>
      <w:r w:rsidRPr="006B6905">
        <w:rPr>
          <w:rStyle w:val="Hyperlink"/>
          <w:szCs w:val="22"/>
          <w:lang w:val="fr-CH"/>
          <w:rPrChange w:id="10" w:author="Nino Carnero, Alicia" w:date="2018-10-11T11:16:00Z">
            <w:rPr>
              <w:rStyle w:val="Hyperlink"/>
              <w:sz w:val="24"/>
              <w:szCs w:val="22"/>
              <w:lang w:val="en-GB"/>
            </w:rPr>
          </w:rPrChange>
        </w:rPr>
        <w:instrText xml:space="preserve"> HYPERLINK "http://www.ietf.org/rfc/rfc791.txt" </w:instrText>
      </w:r>
      <w:r w:rsidRPr="006B6905">
        <w:rPr>
          <w:rStyle w:val="Hyperlink"/>
          <w:szCs w:val="22"/>
          <w:lang w:val="en-GB"/>
        </w:rPr>
        <w:fldChar w:fldCharType="separate"/>
      </w:r>
      <w:r w:rsidRPr="006B6905">
        <w:rPr>
          <w:rStyle w:val="Hyperlink"/>
          <w:szCs w:val="22"/>
          <w:lang w:val="fr-CH"/>
          <w:rPrChange w:id="11" w:author="Nino Carnero, Alicia" w:date="2018-10-11T11:16:00Z">
            <w:rPr>
              <w:rStyle w:val="Hyperlink"/>
              <w:sz w:val="24"/>
              <w:szCs w:val="22"/>
              <w:lang w:val="en-GB"/>
            </w:rPr>
          </w:rPrChange>
        </w:rPr>
        <w:t>http://www.ietf.org/rfc/rfc791.txt</w:t>
      </w:r>
      <w:r w:rsidRPr="006B6905">
        <w:rPr>
          <w:rStyle w:val="Hyperlink"/>
          <w:szCs w:val="22"/>
          <w:lang w:val="en-GB"/>
        </w:rPr>
        <w:fldChar w:fldCharType="end"/>
      </w:r>
    </w:p>
    <w:p w:rsidR="004219BD" w:rsidRPr="004D759E" w:rsidRDefault="004219BD" w:rsidP="00267BDC">
      <w:pPr>
        <w:pStyle w:val="Reftext"/>
        <w:rPr>
          <w:lang w:val="fr-CH"/>
          <w:rPrChange w:id="12" w:author="Nino Carnero, Alicia" w:date="2018-10-11T11:16:00Z">
            <w:rPr>
              <w:sz w:val="24"/>
              <w:szCs w:val="22"/>
              <w:lang w:val="en-GB"/>
            </w:rPr>
          </w:rPrChange>
        </w:rPr>
      </w:pPr>
      <w:r w:rsidRPr="004D759E">
        <w:rPr>
          <w:lang w:val="fr-CH"/>
          <w:rPrChange w:id="13" w:author="Nino Carnero, Alicia" w:date="2018-10-11T11:16:00Z">
            <w:rPr>
              <w:sz w:val="24"/>
              <w:szCs w:val="22"/>
              <w:lang w:val="en-GB"/>
            </w:rPr>
          </w:rPrChange>
        </w:rPr>
        <w:t>IETF RFC 2460: Internet Protocol, Version 6 (IPv6) Specification.</w:t>
      </w:r>
    </w:p>
    <w:p w:rsidR="004219BD" w:rsidRPr="006B6905" w:rsidRDefault="004219BD" w:rsidP="00EC3793">
      <w:pPr>
        <w:pStyle w:val="Reftext"/>
        <w:spacing w:before="60"/>
        <w:rPr>
          <w:szCs w:val="22"/>
          <w:lang w:val="fr-CH"/>
          <w:rPrChange w:id="14" w:author="Nino Carnero, Alicia" w:date="2018-10-11T11:16:00Z">
            <w:rPr>
              <w:sz w:val="24"/>
              <w:szCs w:val="22"/>
              <w:lang w:val="en-GB"/>
            </w:rPr>
          </w:rPrChange>
        </w:rPr>
      </w:pPr>
      <w:r w:rsidRPr="004D759E">
        <w:rPr>
          <w:lang w:val="fr-CH"/>
          <w:rPrChange w:id="15" w:author="Nino Carnero, Alicia" w:date="2018-10-11T11:16:00Z">
            <w:rPr>
              <w:sz w:val="24"/>
              <w:szCs w:val="22"/>
              <w:lang w:val="en-GB"/>
            </w:rPr>
          </w:rPrChange>
        </w:rPr>
        <w:tab/>
      </w:r>
      <w:r w:rsidRPr="006B6905">
        <w:rPr>
          <w:szCs w:val="22"/>
          <w:lang w:val="fr-CH"/>
          <w:rPrChange w:id="16" w:author="Nino Carnero, Alicia" w:date="2018-10-11T11:16:00Z">
            <w:rPr>
              <w:sz w:val="24"/>
              <w:szCs w:val="22"/>
              <w:lang w:val="en-GB"/>
            </w:rPr>
          </w:rPrChange>
        </w:rPr>
        <w:t xml:space="preserve">Disponible en: </w:t>
      </w:r>
      <w:r w:rsidRPr="006B6905">
        <w:rPr>
          <w:rStyle w:val="Hyperlink"/>
          <w:szCs w:val="22"/>
          <w:lang w:val="en-GB"/>
        </w:rPr>
        <w:fldChar w:fldCharType="begin"/>
      </w:r>
      <w:r w:rsidRPr="006B6905">
        <w:rPr>
          <w:rStyle w:val="Hyperlink"/>
          <w:szCs w:val="22"/>
          <w:lang w:val="fr-CH"/>
          <w:rPrChange w:id="17" w:author="Nino Carnero, Alicia" w:date="2018-10-11T11:16:00Z">
            <w:rPr>
              <w:rStyle w:val="Hyperlink"/>
              <w:sz w:val="24"/>
              <w:szCs w:val="22"/>
              <w:lang w:val="en-GB"/>
            </w:rPr>
          </w:rPrChange>
        </w:rPr>
        <w:instrText xml:space="preserve"> HYPERLINK "http://www.ietf.org/rfc/rfc2460.txt" </w:instrText>
      </w:r>
      <w:r w:rsidRPr="006B6905">
        <w:rPr>
          <w:rStyle w:val="Hyperlink"/>
          <w:szCs w:val="22"/>
          <w:lang w:val="en-GB"/>
        </w:rPr>
        <w:fldChar w:fldCharType="separate"/>
      </w:r>
      <w:r w:rsidRPr="006B6905">
        <w:rPr>
          <w:rStyle w:val="Hyperlink"/>
          <w:szCs w:val="22"/>
          <w:lang w:val="fr-CH"/>
          <w:rPrChange w:id="18" w:author="Nino Carnero, Alicia" w:date="2018-10-11T11:16:00Z">
            <w:rPr>
              <w:rStyle w:val="Hyperlink"/>
              <w:sz w:val="24"/>
              <w:szCs w:val="22"/>
              <w:lang w:val="en-GB"/>
            </w:rPr>
          </w:rPrChange>
        </w:rPr>
        <w:t>http://www.ietf.org/rfc/rfc2460.txt</w:t>
      </w:r>
      <w:r w:rsidRPr="006B6905">
        <w:rPr>
          <w:rStyle w:val="Hyperlink"/>
          <w:szCs w:val="22"/>
          <w:lang w:val="en-GB"/>
        </w:rPr>
        <w:fldChar w:fldCharType="end"/>
      </w:r>
      <w:r w:rsidRPr="006B6905">
        <w:rPr>
          <w:szCs w:val="22"/>
          <w:lang w:val="fr-CH"/>
          <w:rPrChange w:id="19" w:author="Nino Carnero, Alicia" w:date="2018-10-11T11:16:00Z">
            <w:rPr>
              <w:sz w:val="24"/>
              <w:szCs w:val="22"/>
              <w:lang w:val="en-GB"/>
            </w:rPr>
          </w:rPrChange>
        </w:rPr>
        <w:t xml:space="preserve"> </w:t>
      </w:r>
    </w:p>
    <w:p w:rsidR="004219BD" w:rsidRPr="004219BD" w:rsidRDefault="004219BD" w:rsidP="00267BDC">
      <w:pPr>
        <w:pStyle w:val="Reftext"/>
        <w:rPr>
          <w:lang w:val="en-GB"/>
          <w:rPrChange w:id="20" w:author="Nino Carnero, Alicia" w:date="2018-10-11T11:16:00Z">
            <w:rPr>
              <w:sz w:val="24"/>
              <w:szCs w:val="22"/>
              <w:lang w:val="en-GB"/>
            </w:rPr>
          </w:rPrChange>
        </w:rPr>
      </w:pPr>
      <w:r w:rsidRPr="004219BD">
        <w:rPr>
          <w:lang w:val="en-GB"/>
          <w:rPrChange w:id="21" w:author="Nino Carnero, Alicia" w:date="2018-10-11T11:16:00Z">
            <w:rPr>
              <w:sz w:val="24"/>
              <w:szCs w:val="22"/>
              <w:lang w:val="en-GB"/>
            </w:rPr>
          </w:rPrChange>
        </w:rPr>
        <w:t>ETSI TS 102 606: Digital Video Broadcasting (DVB); Generic Stream Encapsulation (GSE) Protocol.</w:t>
      </w:r>
    </w:p>
    <w:p w:rsidR="004219BD" w:rsidRPr="004D759E" w:rsidRDefault="004219BD" w:rsidP="00267BDC">
      <w:pPr>
        <w:pStyle w:val="Reftext"/>
        <w:rPr>
          <w:lang w:val="en-GB"/>
        </w:rPr>
      </w:pPr>
      <w:r w:rsidRPr="004D759E">
        <w:rPr>
          <w:lang w:val="en-GB"/>
        </w:rPr>
        <w:t>IETF RFC 3550: RTP: A Transport Protocol for Real-Time Applications.</w:t>
      </w:r>
    </w:p>
    <w:p w:rsidR="004219BD" w:rsidRPr="004D759E" w:rsidRDefault="004219BD" w:rsidP="00267BDC">
      <w:pPr>
        <w:pStyle w:val="Reftext"/>
        <w:rPr>
          <w:lang w:val="en-GB" w:eastAsia="ja-JP"/>
        </w:rPr>
      </w:pPr>
      <w:r w:rsidRPr="004D759E">
        <w:rPr>
          <w:lang w:val="en-GB"/>
        </w:rPr>
        <w:tab/>
        <w:t>Disponible en</w:t>
      </w:r>
      <w:r w:rsidRPr="006B6905">
        <w:rPr>
          <w:szCs w:val="22"/>
          <w:lang w:val="en-GB"/>
        </w:rPr>
        <w:t xml:space="preserve">: </w:t>
      </w:r>
      <w:hyperlink r:id="rId14" w:history="1">
        <w:r w:rsidRPr="006B6905">
          <w:rPr>
            <w:rStyle w:val="Hyperlink"/>
            <w:szCs w:val="22"/>
            <w:lang w:val="en-GB"/>
          </w:rPr>
          <w:t>http://www.ietf.org/rfc/rfc3550.txt</w:t>
        </w:r>
      </w:hyperlink>
      <w:r w:rsidRPr="004D759E">
        <w:rPr>
          <w:lang w:val="en-GB"/>
        </w:rPr>
        <w:t xml:space="preserve"> </w:t>
      </w:r>
    </w:p>
    <w:p w:rsidR="004219BD" w:rsidRPr="004D759E" w:rsidRDefault="004219BD" w:rsidP="00267BDC">
      <w:pPr>
        <w:pStyle w:val="Reftext"/>
        <w:rPr>
          <w:lang w:val="en-GB"/>
        </w:rPr>
      </w:pPr>
      <w:r w:rsidRPr="004D759E">
        <w:rPr>
          <w:lang w:val="en-GB"/>
        </w:rPr>
        <w:t>IETF RFC 3926: FLUTE – File Delivery over Unidirectional Transport.</w:t>
      </w:r>
    </w:p>
    <w:p w:rsidR="004219BD" w:rsidRPr="006B6905" w:rsidRDefault="004219BD" w:rsidP="00EC3793">
      <w:pPr>
        <w:pStyle w:val="Reftext"/>
        <w:spacing w:before="60"/>
        <w:rPr>
          <w:szCs w:val="22"/>
          <w:lang w:val="en-GB" w:eastAsia="ja-JP"/>
        </w:rPr>
      </w:pPr>
      <w:r w:rsidRPr="004D759E">
        <w:rPr>
          <w:lang w:val="en-GB"/>
        </w:rPr>
        <w:tab/>
        <w:t xml:space="preserve">Disponible en: </w:t>
      </w:r>
      <w:hyperlink r:id="rId15" w:history="1">
        <w:r w:rsidRPr="006B6905">
          <w:rPr>
            <w:rStyle w:val="Hyperlink"/>
            <w:szCs w:val="22"/>
            <w:lang w:val="en-GB"/>
          </w:rPr>
          <w:t>http://www.ietf.org/rfc/rfc3926.txt</w:t>
        </w:r>
      </w:hyperlink>
      <w:r w:rsidRPr="006B6905">
        <w:rPr>
          <w:szCs w:val="22"/>
          <w:lang w:val="en-GB"/>
        </w:rPr>
        <w:t xml:space="preserve"> </w:t>
      </w:r>
    </w:p>
    <w:p w:rsidR="004219BD" w:rsidRPr="004D759E" w:rsidRDefault="004219BD" w:rsidP="00267BDC">
      <w:pPr>
        <w:pStyle w:val="Reftext"/>
        <w:rPr>
          <w:lang w:val="en-GB"/>
        </w:rPr>
      </w:pPr>
      <w:r w:rsidRPr="004D759E">
        <w:rPr>
          <w:lang w:val="en-GB" w:eastAsia="ja-JP"/>
        </w:rPr>
        <w:t xml:space="preserve">ISO/IEC 13818-6: </w:t>
      </w:r>
      <w:r w:rsidRPr="004D759E">
        <w:rPr>
          <w:lang w:val="en-GB"/>
        </w:rPr>
        <w:t>Information technology – Generic coding of moving pictures and associated audio information – Part 6: Extensions for DSM-CC</w:t>
      </w:r>
      <w:r w:rsidRPr="004D759E">
        <w:rPr>
          <w:lang w:val="en-GB" w:eastAsia="ja-JP"/>
        </w:rPr>
        <w:t>.</w:t>
      </w:r>
    </w:p>
    <w:p w:rsidR="004219BD" w:rsidRPr="004D759E" w:rsidRDefault="004219BD" w:rsidP="00267BDC">
      <w:pPr>
        <w:pStyle w:val="Reftext"/>
        <w:rPr>
          <w:lang w:val="en-GB" w:eastAsia="ja-JP"/>
        </w:rPr>
      </w:pPr>
      <w:r w:rsidRPr="004D759E">
        <w:rPr>
          <w:lang w:val="en-GB"/>
        </w:rPr>
        <w:t>ARIB STD-B24 Volume 3: Data Coding and Transmission Specification for Digital Broadcasting.</w:t>
      </w:r>
    </w:p>
    <w:p w:rsidR="004219BD" w:rsidRDefault="004219BD" w:rsidP="00267BDC">
      <w:pPr>
        <w:pStyle w:val="Reftext"/>
        <w:rPr>
          <w:szCs w:val="22"/>
          <w:lang w:val="en-GB"/>
        </w:rPr>
      </w:pPr>
      <w:r w:rsidRPr="004D759E">
        <w:rPr>
          <w:lang w:val="en-GB"/>
        </w:rPr>
        <w:t>Open Mobile Alliance, OMA-TS-DRM_XBS-V1_0</w:t>
      </w:r>
      <w:r w:rsidRPr="004D759E">
        <w:rPr>
          <w:lang w:val="en-GB" w:eastAsia="ja-JP"/>
        </w:rPr>
        <w:t xml:space="preserve">: </w:t>
      </w:r>
      <w:r w:rsidRPr="004D759E">
        <w:rPr>
          <w:lang w:val="en-GB"/>
        </w:rPr>
        <w:t>OMA DRM v2.0 Extensions for Broadcast</w:t>
      </w:r>
      <w:r w:rsidRPr="00110817">
        <w:rPr>
          <w:szCs w:val="22"/>
          <w:lang w:val="en-GB"/>
        </w:rPr>
        <w:t xml:space="preserve"> Support.</w:t>
      </w:r>
    </w:p>
    <w:p w:rsidR="004219BD" w:rsidRPr="004D759E" w:rsidRDefault="004219BD" w:rsidP="00EC3793">
      <w:pPr>
        <w:pStyle w:val="Reftext"/>
        <w:rPr>
          <w:lang w:val="en-US"/>
          <w:rPrChange w:id="22" w:author="Nino Carnero, Alicia" w:date="2018-10-11T11:16:00Z">
            <w:rPr>
              <w:lang w:val="es-ES"/>
            </w:rPr>
          </w:rPrChange>
        </w:rPr>
      </w:pPr>
      <w:bookmarkStart w:id="23" w:name="lt_pId116"/>
      <w:r w:rsidRPr="004D759E">
        <w:rPr>
          <w:lang w:val="en-US"/>
          <w:rPrChange w:id="24" w:author="Nino Carnero, Alicia" w:date="2018-10-11T11:16:00Z">
            <w:rPr>
              <w:lang w:val="es-ES"/>
            </w:rPr>
          </w:rPrChange>
        </w:rPr>
        <w:t xml:space="preserve">ISO/CEI 23009-1:2014: </w:t>
      </w:r>
      <w:r w:rsidRPr="00DF2A35">
        <w:rPr>
          <w:lang w:val="en-US"/>
        </w:rPr>
        <w:t>«</w:t>
      </w:r>
      <w:r w:rsidRPr="004D759E">
        <w:rPr>
          <w:lang w:val="en-GB"/>
          <w:rPrChange w:id="25" w:author="Nino Carnero, Alicia" w:date="2018-10-11T11:16:00Z">
            <w:rPr>
              <w:lang w:val="es-ES"/>
            </w:rPr>
          </w:rPrChange>
        </w:rPr>
        <w:t>Information</w:t>
      </w:r>
      <w:r w:rsidRPr="004D759E">
        <w:rPr>
          <w:lang w:val="en-US"/>
          <w:rPrChange w:id="26" w:author="Nino Carnero, Alicia" w:date="2018-10-11T11:16:00Z">
            <w:rPr>
              <w:lang w:val="es-ES"/>
            </w:rPr>
          </w:rPrChange>
        </w:rPr>
        <w:t xml:space="preserve"> technology </w:t>
      </w:r>
      <w:r w:rsidR="00EC3793">
        <w:rPr>
          <w:lang w:val="en-US"/>
        </w:rPr>
        <w:t>–</w:t>
      </w:r>
      <w:r w:rsidRPr="004D759E">
        <w:rPr>
          <w:lang w:val="en-US"/>
          <w:rPrChange w:id="27" w:author="Nino Carnero, Alicia" w:date="2018-10-11T11:16:00Z">
            <w:rPr>
              <w:lang w:val="es-ES"/>
            </w:rPr>
          </w:rPrChange>
        </w:rPr>
        <w:t xml:space="preserve"> Dynamic adaptive streaming over HTTP (DASH) </w:t>
      </w:r>
      <w:r w:rsidR="00EC3793">
        <w:rPr>
          <w:lang w:val="en-US"/>
        </w:rPr>
        <w:t>–</w:t>
      </w:r>
      <w:r w:rsidRPr="004D759E">
        <w:rPr>
          <w:lang w:val="en-US"/>
          <w:rPrChange w:id="28" w:author="Nino Carnero, Alicia" w:date="2018-10-11T11:16:00Z">
            <w:rPr>
              <w:lang w:val="es-ES"/>
            </w:rPr>
          </w:rPrChange>
        </w:rPr>
        <w:t xml:space="preserve"> Part 1: Media presentation description and segment formats</w:t>
      </w:r>
      <w:r w:rsidRPr="000C0634">
        <w:rPr>
          <w:lang w:val="en-US"/>
        </w:rPr>
        <w:t>»</w:t>
      </w:r>
      <w:r w:rsidRPr="004D759E">
        <w:rPr>
          <w:lang w:val="en-US"/>
          <w:rPrChange w:id="29" w:author="Nino Carnero, Alicia" w:date="2018-10-11T11:16:00Z">
            <w:rPr>
              <w:lang w:val="es-ES"/>
            </w:rPr>
          </w:rPrChange>
        </w:rPr>
        <w:t>.</w:t>
      </w:r>
      <w:bookmarkEnd w:id="23"/>
    </w:p>
    <w:p w:rsidR="004219BD" w:rsidRPr="004219BD" w:rsidRDefault="004219BD" w:rsidP="00EC3793">
      <w:pPr>
        <w:pStyle w:val="Reftext"/>
        <w:rPr>
          <w:lang w:val="es-ES_tradnl"/>
        </w:rPr>
      </w:pPr>
      <w:r w:rsidRPr="004D759E">
        <w:rPr>
          <w:lang w:val="en-GB"/>
        </w:rPr>
        <w:t xml:space="preserve">ETSI TS 102 542-3-3 Guidelines for the implementation of DVB-IP Phase 1 specifications. </w:t>
      </w:r>
      <w:r w:rsidRPr="004219BD">
        <w:rPr>
          <w:lang w:val="es-ES_tradnl"/>
        </w:rPr>
        <w:t>Part 3: Error Recovery. Subpart 2: Application Layer FEC.</w:t>
      </w:r>
    </w:p>
    <w:p w:rsidR="004219BD" w:rsidRPr="00EC3793" w:rsidRDefault="004219BD" w:rsidP="00EC3793">
      <w:pPr>
        <w:pStyle w:val="Reftext"/>
        <w:spacing w:before="80"/>
        <w:rPr>
          <w:lang w:val="en-GB"/>
        </w:rPr>
      </w:pPr>
      <w:r w:rsidRPr="00EC3793">
        <w:rPr>
          <w:lang w:val="en-GB"/>
        </w:rPr>
        <w:t>En la norma ETSI se presentan ejemplos de esquemas AL-FEC y su rendimiento en diferentes</w:t>
      </w:r>
      <w:r w:rsidRPr="004D759E">
        <w:rPr>
          <w:sz w:val="24"/>
          <w:szCs w:val="24"/>
          <w:lang w:val="es-ES_tradnl"/>
        </w:rPr>
        <w:t xml:space="preserve"> condiciones </w:t>
      </w:r>
      <w:r w:rsidRPr="00EC3793">
        <w:rPr>
          <w:lang w:val="en-GB"/>
        </w:rPr>
        <w:t>de canal.</w:t>
      </w:r>
    </w:p>
    <w:p w:rsidR="004219BD" w:rsidRPr="0091453B" w:rsidRDefault="004219BD" w:rsidP="004219BD">
      <w:pPr>
        <w:pStyle w:val="Heading1"/>
        <w:rPr>
          <w:lang w:val="es-ES_tradnl" w:eastAsia="ja-JP"/>
        </w:rPr>
      </w:pPr>
      <w:r w:rsidRPr="0091453B">
        <w:rPr>
          <w:lang w:val="es-ES_tradnl" w:eastAsia="ja-JP"/>
        </w:rPr>
        <w:lastRenderedPageBreak/>
        <w:t>3</w:t>
      </w:r>
      <w:r w:rsidRPr="0091453B">
        <w:rPr>
          <w:lang w:val="es-ES_tradnl" w:eastAsia="ja-JP"/>
        </w:rPr>
        <w:tab/>
        <w:t xml:space="preserve">Esquemas de </w:t>
      </w:r>
      <w:r w:rsidRPr="004219BD">
        <w:rPr>
          <w:lang w:val="es-ES_tradnl"/>
        </w:rPr>
        <w:t>multiplexación</w:t>
      </w:r>
      <w:r w:rsidRPr="0091453B">
        <w:rPr>
          <w:lang w:val="es-ES_tradnl" w:eastAsia="ja-JP"/>
        </w:rPr>
        <w:t xml:space="preserve"> y transporte</w:t>
      </w:r>
    </w:p>
    <w:p w:rsidR="004219BD" w:rsidRPr="0091453B" w:rsidRDefault="004219BD" w:rsidP="004219BD">
      <w:pPr>
        <w:rPr>
          <w:lang w:val="es-ES_tradnl" w:eastAsia="ja-JP"/>
        </w:rPr>
      </w:pPr>
      <w:r w:rsidRPr="0091453B">
        <w:rPr>
          <w:lang w:val="es-ES_tradnl" w:eastAsia="ja-JP"/>
        </w:rPr>
        <w:t>Las señales multimedios, como las de audio, vídeo y otros tipos de datos, se transmiten al receptor y luego se presentan en el instante oportuno y de manera adecuada. A fin de transmitir y presentar el contenido son necesarias las siguientes funciones:</w:t>
      </w:r>
    </w:p>
    <w:p w:rsidR="0023632D" w:rsidRDefault="004219BD" w:rsidP="0023632D">
      <w:pPr>
        <w:pStyle w:val="enumlev1"/>
        <w:rPr>
          <w:lang w:val="es-ES_tradnl"/>
        </w:rPr>
      </w:pPr>
      <w:r w:rsidRPr="0091453B">
        <w:rPr>
          <w:lang w:val="es-ES_tradnl" w:eastAsia="ja-JP"/>
        </w:rPr>
        <w:t>–</w:t>
      </w:r>
      <w:r w:rsidRPr="0091453B">
        <w:rPr>
          <w:lang w:val="es-ES_tradnl" w:eastAsia="ja-JP"/>
        </w:rPr>
        <w:tab/>
      </w:r>
      <w:r w:rsidRPr="000C0634">
        <w:rPr>
          <w:lang w:val="es-ES_tradnl"/>
        </w:rPr>
        <w:t>Encapsulado</w:t>
      </w:r>
    </w:p>
    <w:p w:rsidR="004219BD" w:rsidRPr="000C0634" w:rsidRDefault="0023632D" w:rsidP="0023632D">
      <w:pPr>
        <w:pStyle w:val="enumlev1"/>
        <w:rPr>
          <w:lang w:val="es-ES_tradnl"/>
        </w:rPr>
      </w:pPr>
      <w:r>
        <w:rPr>
          <w:lang w:val="es-ES_tradnl"/>
        </w:rPr>
        <w:tab/>
      </w:r>
      <w:r w:rsidR="004219BD" w:rsidRPr="000C0634">
        <w:rPr>
          <w:lang w:val="es-ES_tradnl"/>
        </w:rPr>
        <w:t>Las señales multimedios se encapsulan en formatos adecuados con información de temporización para su presentación.</w:t>
      </w:r>
    </w:p>
    <w:p w:rsidR="0023632D" w:rsidRDefault="004219BD" w:rsidP="0023632D">
      <w:pPr>
        <w:pStyle w:val="enumlev1"/>
        <w:rPr>
          <w:lang w:val="es-ES_tradnl"/>
        </w:rPr>
      </w:pPr>
      <w:r w:rsidRPr="000C0634">
        <w:rPr>
          <w:lang w:val="es-ES_tradnl"/>
        </w:rPr>
        <w:t>–</w:t>
      </w:r>
      <w:r w:rsidRPr="000C0634">
        <w:rPr>
          <w:lang w:val="es-ES_tradnl"/>
        </w:rPr>
        <w:tab/>
        <w:t>Suministro</w:t>
      </w:r>
    </w:p>
    <w:p w:rsidR="004219BD" w:rsidRPr="004219BD" w:rsidRDefault="0023632D" w:rsidP="0023632D">
      <w:pPr>
        <w:pStyle w:val="enumlev1"/>
        <w:rPr>
          <w:lang w:val="es-ES_tradnl"/>
        </w:rPr>
      </w:pPr>
      <w:r>
        <w:rPr>
          <w:lang w:val="es-ES_tradnl"/>
        </w:rPr>
        <w:tab/>
      </w:r>
      <w:r w:rsidR="004219BD" w:rsidRPr="000C0634">
        <w:rPr>
          <w:lang w:val="es-ES_tradnl"/>
        </w:rPr>
        <w:t xml:space="preserve">Las señales multimedios se formatean adecuadamente para su suministro. </w:t>
      </w:r>
      <w:r w:rsidR="004219BD" w:rsidRPr="004219BD">
        <w:rPr>
          <w:lang w:val="es-ES_tradnl"/>
        </w:rPr>
        <w:t>Dicho formateo incluye la agregación, multiplexación y fragmentación de señales multimedios encapsuladas.</w:t>
      </w:r>
    </w:p>
    <w:p w:rsidR="0023632D" w:rsidRDefault="004219BD" w:rsidP="0023632D">
      <w:pPr>
        <w:pStyle w:val="enumlev1"/>
        <w:rPr>
          <w:lang w:val="es-ES_tradnl"/>
        </w:rPr>
      </w:pPr>
      <w:r w:rsidRPr="000C0634">
        <w:rPr>
          <w:lang w:val="es-ES_tradnl"/>
        </w:rPr>
        <w:t>–</w:t>
      </w:r>
      <w:r w:rsidRPr="000C0634">
        <w:rPr>
          <w:lang w:val="es-ES_tradnl"/>
        </w:rPr>
        <w:tab/>
        <w:t>Control</w:t>
      </w:r>
    </w:p>
    <w:p w:rsidR="004219BD" w:rsidRPr="0091453B" w:rsidRDefault="0023632D" w:rsidP="0023632D">
      <w:pPr>
        <w:pStyle w:val="enumlev1"/>
        <w:rPr>
          <w:lang w:val="es-ES_tradnl" w:eastAsia="ja-JP"/>
        </w:rPr>
      </w:pPr>
      <w:r>
        <w:rPr>
          <w:lang w:val="es-ES_tradnl"/>
        </w:rPr>
        <w:tab/>
      </w:r>
      <w:r w:rsidR="004219BD" w:rsidRPr="000C0634">
        <w:rPr>
          <w:lang w:val="es-ES_tradnl"/>
        </w:rPr>
        <w:t>Se debe</w:t>
      </w:r>
      <w:r w:rsidR="004219BD" w:rsidRPr="0091453B">
        <w:rPr>
          <w:lang w:val="es-ES_tradnl" w:eastAsia="ja-JP"/>
        </w:rPr>
        <w:t xml:space="preserve"> proporcionar al receptor información sobre el encapsulado, </w:t>
      </w:r>
      <w:r w:rsidR="004219BD">
        <w:rPr>
          <w:lang w:val="es-ES_tradnl" w:eastAsia="ja-JP"/>
        </w:rPr>
        <w:t xml:space="preserve">el suministro </w:t>
      </w:r>
      <w:r w:rsidR="004219BD" w:rsidRPr="0091453B">
        <w:rPr>
          <w:lang w:val="es-ES_tradnl" w:eastAsia="ja-JP"/>
        </w:rPr>
        <w:t>y la presentación.</w:t>
      </w:r>
    </w:p>
    <w:p w:rsidR="004219BD" w:rsidRPr="0091453B" w:rsidRDefault="004219BD" w:rsidP="004219BD">
      <w:pPr>
        <w:rPr>
          <w:lang w:val="es-ES_tradnl" w:eastAsia="ja-JP"/>
        </w:rPr>
      </w:pPr>
      <w:r w:rsidRPr="0091453B">
        <w:rPr>
          <w:lang w:val="es-ES_tradnl" w:eastAsia="ja-JP"/>
        </w:rPr>
        <w:t>Estas funciones se facilitan mediantes esquemas de transporte. En el Cuadro 1 se enumeran los esquemas de transporte adecuados en los sistemas de radiodifusión de multimedios para recepción móvil.</w:t>
      </w:r>
    </w:p>
    <w:p w:rsidR="004219BD" w:rsidRPr="0091453B" w:rsidRDefault="004219BD" w:rsidP="004219BD">
      <w:pPr>
        <w:pStyle w:val="TableNo"/>
        <w:rPr>
          <w:lang w:val="es-ES_tradnl" w:eastAsia="ja-JP"/>
        </w:rPr>
      </w:pPr>
      <w:r w:rsidRPr="0091453B">
        <w:rPr>
          <w:lang w:val="es-ES_tradnl" w:eastAsia="ja-JP"/>
        </w:rPr>
        <w:t>CUADRO 1</w:t>
      </w:r>
    </w:p>
    <w:p w:rsidR="004219BD" w:rsidRPr="0091453B" w:rsidRDefault="004219BD" w:rsidP="004219BD">
      <w:pPr>
        <w:pStyle w:val="Tabletitle"/>
        <w:rPr>
          <w:lang w:val="es-ES_tradnl" w:eastAsia="ja-JP"/>
        </w:rPr>
      </w:pPr>
      <w:r w:rsidRPr="0091453B">
        <w:rPr>
          <w:lang w:val="es-ES_tradnl" w:eastAsia="ja-JP"/>
        </w:rPr>
        <w:t>Esquemas de transporte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16"/>
      </w:tblGrid>
      <w:tr w:rsidR="004219BD" w:rsidRPr="0091453B" w:rsidTr="0023632D">
        <w:trPr>
          <w:tblHeader/>
          <w:jc w:val="center"/>
        </w:trPr>
        <w:tc>
          <w:tcPr>
            <w:tcW w:w="3823" w:type="dxa"/>
          </w:tcPr>
          <w:p w:rsidR="004219BD" w:rsidRPr="0091453B" w:rsidRDefault="004219BD" w:rsidP="0076174D">
            <w:pPr>
              <w:pStyle w:val="Tablehead"/>
              <w:rPr>
                <w:lang w:val="es-ES_tradnl"/>
              </w:rPr>
            </w:pPr>
            <w:r w:rsidRPr="0091453B">
              <w:rPr>
                <w:lang w:val="es-ES_tradnl"/>
              </w:rPr>
              <w:t>Esquema</w:t>
            </w:r>
          </w:p>
        </w:tc>
        <w:tc>
          <w:tcPr>
            <w:tcW w:w="5816" w:type="dxa"/>
          </w:tcPr>
          <w:p w:rsidR="004219BD" w:rsidRPr="0091453B" w:rsidRDefault="004219BD" w:rsidP="0076174D">
            <w:pPr>
              <w:pStyle w:val="Tablehead"/>
              <w:rPr>
                <w:lang w:val="es-ES_tradnl"/>
              </w:rPr>
            </w:pPr>
            <w:r w:rsidRPr="0091453B">
              <w:rPr>
                <w:lang w:val="es-ES_tradnl"/>
              </w:rPr>
              <w:t>Descripción</w:t>
            </w:r>
          </w:p>
        </w:tc>
      </w:tr>
      <w:tr w:rsidR="004219BD" w:rsidRPr="004219BD" w:rsidTr="0023632D">
        <w:trPr>
          <w:jc w:val="center"/>
        </w:trPr>
        <w:tc>
          <w:tcPr>
            <w:tcW w:w="3823" w:type="dxa"/>
            <w:vAlign w:val="center"/>
          </w:tcPr>
          <w:p w:rsidR="004219BD" w:rsidRPr="0091453B" w:rsidRDefault="004219BD" w:rsidP="0076174D">
            <w:pPr>
              <w:pStyle w:val="Tabletext"/>
              <w:jc w:val="left"/>
              <w:rPr>
                <w:lang w:val="es-ES_tradnl" w:eastAsia="ja-JP"/>
              </w:rPr>
            </w:pPr>
            <w:r w:rsidRPr="0091453B">
              <w:rPr>
                <w:lang w:val="es-ES_tradnl" w:eastAsia="ja-JP"/>
              </w:rPr>
              <w:t>MPEG-2 TS (tren de transporte)</w:t>
            </w:r>
          </w:p>
        </w:tc>
        <w:tc>
          <w:tcPr>
            <w:tcW w:w="5816" w:type="dxa"/>
          </w:tcPr>
          <w:p w:rsidR="004219BD" w:rsidRPr="0091453B" w:rsidRDefault="004219BD" w:rsidP="0076174D">
            <w:pPr>
              <w:pStyle w:val="Tabletext"/>
              <w:jc w:val="left"/>
              <w:rPr>
                <w:lang w:val="es-ES_tradnl" w:eastAsia="ja-JP"/>
              </w:rPr>
            </w:pPr>
            <w:r w:rsidRPr="0091453B">
              <w:rPr>
                <w:lang w:val="es-ES_tradnl" w:eastAsia="ja-JP"/>
              </w:rPr>
              <w:t xml:space="preserve">Ampliamente utilizado en sistemas de radiodifusión para recepción fija. Facilita información de temporización para la sincronización en la capa de trenes elementales empaquetados (PES) y un paquete de longitud fija para </w:t>
            </w:r>
            <w:r>
              <w:rPr>
                <w:lang w:val="es-ES_tradnl" w:eastAsia="ja-JP"/>
              </w:rPr>
              <w:t>el suministro.</w:t>
            </w:r>
          </w:p>
        </w:tc>
      </w:tr>
      <w:tr w:rsidR="004219BD" w:rsidRPr="004219BD" w:rsidTr="0023632D">
        <w:trPr>
          <w:jc w:val="center"/>
        </w:trPr>
        <w:tc>
          <w:tcPr>
            <w:tcW w:w="3823" w:type="dxa"/>
            <w:vAlign w:val="center"/>
          </w:tcPr>
          <w:p w:rsidR="004219BD" w:rsidRPr="0091453B" w:rsidRDefault="004219BD" w:rsidP="0076174D">
            <w:pPr>
              <w:pStyle w:val="Tabletext"/>
              <w:jc w:val="left"/>
              <w:rPr>
                <w:lang w:val="es-ES_tradnl" w:eastAsia="ja-JP"/>
              </w:rPr>
            </w:pPr>
            <w:r w:rsidRPr="0091453B">
              <w:rPr>
                <w:lang w:val="es-ES_tradnl" w:eastAsia="ja-JP"/>
              </w:rPr>
              <w:t>MPEG-4 SL (capa de sincronización)</w:t>
            </w:r>
          </w:p>
        </w:tc>
        <w:tc>
          <w:tcPr>
            <w:tcW w:w="5816" w:type="dxa"/>
          </w:tcPr>
          <w:p w:rsidR="004219BD" w:rsidRPr="0091453B" w:rsidRDefault="004219BD" w:rsidP="0076174D">
            <w:pPr>
              <w:pStyle w:val="Tabletext"/>
              <w:jc w:val="left"/>
              <w:rPr>
                <w:lang w:val="es-ES_tradnl" w:eastAsia="ja-JP"/>
              </w:rPr>
            </w:pPr>
            <w:r w:rsidRPr="0091453B">
              <w:rPr>
                <w:lang w:val="es-ES_tradnl" w:eastAsia="ja-JP"/>
              </w:rPr>
              <w:t>SE utiliza en la capa de sincronización para sincronizar contenido audiovisual tanto temporal como espacialmente. Puede incluirse en paquetes MPEG-2 TS o en paquetes del protocolo de transporte en tiempo real (RTP)</w:t>
            </w:r>
            <w:r>
              <w:rPr>
                <w:lang w:val="es-ES_tradnl" w:eastAsia="ja-JP"/>
              </w:rPr>
              <w:t>.</w:t>
            </w:r>
          </w:p>
        </w:tc>
      </w:tr>
      <w:tr w:rsidR="004219BD" w:rsidRPr="004219BD" w:rsidTr="0023632D">
        <w:trPr>
          <w:jc w:val="center"/>
        </w:trPr>
        <w:tc>
          <w:tcPr>
            <w:tcW w:w="3823" w:type="dxa"/>
            <w:vAlign w:val="center"/>
          </w:tcPr>
          <w:p w:rsidR="004219BD" w:rsidRPr="0091453B" w:rsidRDefault="004219BD" w:rsidP="0076174D">
            <w:pPr>
              <w:pStyle w:val="Tabletext"/>
              <w:jc w:val="left"/>
              <w:rPr>
                <w:lang w:val="es-ES_tradnl" w:eastAsia="ja-JP"/>
              </w:rPr>
            </w:pPr>
            <w:r w:rsidRPr="0091453B">
              <w:rPr>
                <w:lang w:val="es-ES_tradnl" w:eastAsia="ja-JP"/>
              </w:rPr>
              <w:t>IP (Protocolo Internet)</w:t>
            </w:r>
          </w:p>
        </w:tc>
        <w:tc>
          <w:tcPr>
            <w:tcW w:w="5816" w:type="dxa"/>
          </w:tcPr>
          <w:p w:rsidR="004219BD" w:rsidRPr="0091453B" w:rsidRDefault="004219BD" w:rsidP="0076174D">
            <w:pPr>
              <w:pStyle w:val="Tabletext"/>
              <w:jc w:val="left"/>
              <w:rPr>
                <w:lang w:val="es-ES_tradnl" w:eastAsia="ja-JP"/>
              </w:rPr>
            </w:pPr>
            <w:r w:rsidRPr="0091453B">
              <w:rPr>
                <w:lang w:val="es-ES_tradnl" w:eastAsia="ja-JP"/>
              </w:rPr>
              <w:t>Protocolo intermediario para el transporte de medios. Funciona con el protocolo de capa superior para el transporte de medios y puede incluirse en paquetes MPEG-2 TS</w:t>
            </w:r>
            <w:r w:rsidRPr="0091453B">
              <w:rPr>
                <w:rStyle w:val="FootnoteReference"/>
                <w:lang w:val="es-ES_tradnl" w:eastAsia="ja-JP"/>
              </w:rPr>
              <w:footnoteReference w:id="1"/>
            </w:r>
            <w:r>
              <w:rPr>
                <w:lang w:val="es-ES_tradnl" w:eastAsia="ja-JP"/>
              </w:rPr>
              <w:t>.</w:t>
            </w:r>
          </w:p>
        </w:tc>
      </w:tr>
      <w:tr w:rsidR="004219BD" w:rsidRPr="004219BD" w:rsidTr="0023632D">
        <w:trPr>
          <w:jc w:val="center"/>
        </w:trPr>
        <w:tc>
          <w:tcPr>
            <w:tcW w:w="3823" w:type="dxa"/>
            <w:vAlign w:val="center"/>
          </w:tcPr>
          <w:p w:rsidR="004219BD" w:rsidRPr="0091453B" w:rsidRDefault="004219BD" w:rsidP="0076174D">
            <w:pPr>
              <w:pStyle w:val="Tabletext"/>
              <w:jc w:val="left"/>
              <w:rPr>
                <w:lang w:val="es-ES_tradnl" w:eastAsia="ja-JP"/>
              </w:rPr>
            </w:pPr>
            <w:r w:rsidRPr="0091453B">
              <w:rPr>
                <w:lang w:val="es-ES_tradnl" w:eastAsia="ja-JP"/>
              </w:rPr>
              <w:t>GSE (encapsulado de trenes genérico)</w:t>
            </w:r>
            <w:r w:rsidRPr="000C0634">
              <w:rPr>
                <w:rStyle w:val="FootnoteReference"/>
                <w:lang w:val="es-ES_tradnl" w:eastAsia="ja-JP"/>
              </w:rPr>
              <w:footnoteReference w:id="2"/>
            </w:r>
          </w:p>
        </w:tc>
        <w:tc>
          <w:tcPr>
            <w:tcW w:w="5816" w:type="dxa"/>
          </w:tcPr>
          <w:p w:rsidR="004219BD" w:rsidRPr="0091453B" w:rsidRDefault="004219BD" w:rsidP="0023632D">
            <w:pPr>
              <w:pStyle w:val="Tabletext"/>
              <w:jc w:val="left"/>
              <w:rPr>
                <w:lang w:val="es-ES_tradnl" w:eastAsia="ja-JP"/>
              </w:rPr>
            </w:pPr>
            <w:r w:rsidRPr="0091453B">
              <w:rPr>
                <w:lang w:val="es-ES_tradnl" w:eastAsia="ja-JP"/>
              </w:rPr>
              <w:t>Técnicas de encapsulado para diversos tipos de paquetes, los IP inclusive. Se requiere un protocolo de transporte de medios por</w:t>
            </w:r>
            <w:r w:rsidR="0023632D">
              <w:rPr>
                <w:lang w:val="es-ES_tradnl" w:eastAsia="ja-JP"/>
              </w:rPr>
              <w:t> </w:t>
            </w:r>
            <w:r w:rsidRPr="0091453B">
              <w:rPr>
                <w:lang w:val="es-ES_tradnl" w:eastAsia="ja-JP"/>
              </w:rPr>
              <w:t>IP</w:t>
            </w:r>
            <w:r>
              <w:rPr>
                <w:lang w:val="es-ES_tradnl" w:eastAsia="ja-JP"/>
              </w:rPr>
              <w:t>.</w:t>
            </w:r>
          </w:p>
        </w:tc>
      </w:tr>
      <w:tr w:rsidR="004219BD" w:rsidRPr="004219BD" w:rsidTr="0023632D">
        <w:trPr>
          <w:jc w:val="center"/>
        </w:trPr>
        <w:tc>
          <w:tcPr>
            <w:tcW w:w="3823" w:type="dxa"/>
            <w:vAlign w:val="center"/>
          </w:tcPr>
          <w:p w:rsidR="004219BD" w:rsidRPr="0091453B" w:rsidRDefault="004219BD" w:rsidP="0076174D">
            <w:pPr>
              <w:pStyle w:val="Tabletext"/>
              <w:jc w:val="left"/>
              <w:rPr>
                <w:lang w:val="es-ES_tradnl" w:eastAsia="ja-JP"/>
              </w:rPr>
            </w:pPr>
            <w:r w:rsidRPr="00AF4488">
              <w:rPr>
                <w:lang w:val="es-ES_tradnl" w:eastAsia="ja-JP"/>
                <w:rPrChange w:id="30" w:author="Nino Carnero, Alicia" w:date="2018-10-11T11:16:00Z">
                  <w:rPr>
                    <w:lang w:val="en-GB" w:eastAsia="ja-JP"/>
                  </w:rPr>
                </w:rPrChange>
              </w:rPr>
              <w:t xml:space="preserve">MPEG-DASH </w:t>
            </w:r>
            <w:r>
              <w:rPr>
                <w:lang w:val="es-ES_tradnl" w:eastAsia="ja-JP"/>
              </w:rPr>
              <w:t>(E</w:t>
            </w:r>
            <w:r w:rsidRPr="009D474A">
              <w:rPr>
                <w:iCs/>
                <w:lang w:val="es-ES_tradnl"/>
              </w:rPr>
              <w:t>misión de secuencias de descarga progresiva</w:t>
            </w:r>
            <w:r>
              <w:rPr>
                <w:iCs/>
                <w:lang w:val="es-ES_tradnl"/>
              </w:rPr>
              <w:t xml:space="preserve"> </w:t>
            </w:r>
            <w:r>
              <w:rPr>
                <w:lang w:val="es-ES_tradnl" w:eastAsia="ja-JP"/>
              </w:rPr>
              <w:t>adaptativa dinámica</w:t>
            </w:r>
            <w:r w:rsidRPr="001B3B96">
              <w:rPr>
                <w:lang w:val="es-ES_tradnl" w:eastAsia="ja-JP"/>
              </w:rPr>
              <w:t xml:space="preserve"> sobre HTTP</w:t>
            </w:r>
            <w:r>
              <w:rPr>
                <w:lang w:val="es-ES_tradnl" w:eastAsia="ja-JP"/>
              </w:rPr>
              <w:t>)</w:t>
            </w:r>
          </w:p>
        </w:tc>
        <w:tc>
          <w:tcPr>
            <w:tcW w:w="5816" w:type="dxa"/>
          </w:tcPr>
          <w:p w:rsidR="004219BD" w:rsidRPr="0091453B" w:rsidRDefault="004219BD" w:rsidP="0076174D">
            <w:pPr>
              <w:pStyle w:val="Tabletext"/>
              <w:jc w:val="left"/>
              <w:rPr>
                <w:lang w:val="es-ES_tradnl" w:eastAsia="ja-JP"/>
              </w:rPr>
            </w:pPr>
            <w:r>
              <w:rPr>
                <w:lang w:val="es-ES_tradnl" w:eastAsia="ja-JP"/>
              </w:rPr>
              <w:t>Es el protocolo MPEG utilizado para el suministro fiable de señal de vídeo con adaptación de los parámetros de esa señal (por ejemplo, resolución) a las condiciones de canal del momento para, por ejemplo, transmitir menos o más paridad o con uso de otro mecanismo de adaptación.</w:t>
            </w:r>
          </w:p>
        </w:tc>
      </w:tr>
    </w:tbl>
    <w:p w:rsidR="0023632D" w:rsidRDefault="0023632D" w:rsidP="0023632D">
      <w:pPr>
        <w:pStyle w:val="Tablefin"/>
      </w:pPr>
    </w:p>
    <w:p w:rsidR="004219BD" w:rsidRPr="0091453B" w:rsidRDefault="004219BD" w:rsidP="004219BD">
      <w:pPr>
        <w:rPr>
          <w:lang w:val="es-ES_tradnl" w:eastAsia="ja-JP"/>
        </w:rPr>
      </w:pPr>
      <w:r w:rsidRPr="0091453B">
        <w:rPr>
          <w:lang w:val="es-ES_tradnl" w:eastAsia="ja-JP"/>
        </w:rPr>
        <w:lastRenderedPageBreak/>
        <w:t>En el Cuadro 2 se indican los protocolos de transporte de medios por IP que son adecuados para la recepción móvil.</w:t>
      </w:r>
    </w:p>
    <w:p w:rsidR="004219BD" w:rsidRPr="0091453B" w:rsidRDefault="004219BD" w:rsidP="004219BD">
      <w:pPr>
        <w:pStyle w:val="TableNo"/>
        <w:rPr>
          <w:lang w:val="es-ES_tradnl" w:eastAsia="ja-JP"/>
        </w:rPr>
      </w:pPr>
      <w:r w:rsidRPr="0091453B">
        <w:rPr>
          <w:lang w:val="es-ES_tradnl" w:eastAsia="ja-JP"/>
        </w:rPr>
        <w:t>CUADRO 2</w:t>
      </w:r>
    </w:p>
    <w:p w:rsidR="004219BD" w:rsidRPr="0091453B" w:rsidRDefault="004219BD" w:rsidP="004219BD">
      <w:pPr>
        <w:pStyle w:val="Tabletitle"/>
        <w:rPr>
          <w:lang w:val="es-ES_tradnl" w:eastAsia="ja-JP"/>
        </w:rPr>
      </w:pPr>
      <w:r w:rsidRPr="0091453B">
        <w:rPr>
          <w:lang w:val="es-ES_tradnl" w:eastAsia="ja-JP"/>
        </w:rPr>
        <w:t>Protocolos de transporte de medios por IP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4219BD" w:rsidRPr="0091453B" w:rsidTr="0076174D">
        <w:trPr>
          <w:jc w:val="center"/>
        </w:trPr>
        <w:tc>
          <w:tcPr>
            <w:tcW w:w="4274" w:type="dxa"/>
          </w:tcPr>
          <w:p w:rsidR="004219BD" w:rsidRPr="0091453B" w:rsidRDefault="004219BD" w:rsidP="0076174D">
            <w:pPr>
              <w:pStyle w:val="Tablehead"/>
              <w:widowControl w:val="0"/>
              <w:rPr>
                <w:bCs/>
                <w:lang w:val="es-ES_tradnl" w:eastAsia="ja-JP"/>
              </w:rPr>
            </w:pPr>
            <w:r w:rsidRPr="0091453B">
              <w:rPr>
                <w:bCs/>
                <w:lang w:val="es-ES_tradnl" w:eastAsia="ja-JP"/>
              </w:rPr>
              <w:t>Protocolo</w:t>
            </w:r>
          </w:p>
        </w:tc>
        <w:tc>
          <w:tcPr>
            <w:tcW w:w="5365" w:type="dxa"/>
          </w:tcPr>
          <w:p w:rsidR="004219BD" w:rsidRPr="0091453B" w:rsidRDefault="004219BD" w:rsidP="0076174D">
            <w:pPr>
              <w:pStyle w:val="Tablehead"/>
              <w:widowControl w:val="0"/>
              <w:rPr>
                <w:bCs/>
                <w:lang w:val="es-ES_tradnl"/>
              </w:rPr>
            </w:pPr>
            <w:r w:rsidRPr="0091453B">
              <w:rPr>
                <w:bCs/>
                <w:lang w:val="es-ES_tradnl"/>
              </w:rPr>
              <w:t>Descripción</w:t>
            </w:r>
          </w:p>
        </w:tc>
      </w:tr>
      <w:tr w:rsidR="004219BD" w:rsidRPr="004219BD" w:rsidTr="0076174D">
        <w:trPr>
          <w:jc w:val="center"/>
        </w:trPr>
        <w:tc>
          <w:tcPr>
            <w:tcW w:w="4274" w:type="dxa"/>
          </w:tcPr>
          <w:p w:rsidR="004219BD" w:rsidRPr="004219BD" w:rsidRDefault="004219BD" w:rsidP="0023632D">
            <w:pPr>
              <w:pStyle w:val="Tabletext"/>
              <w:jc w:val="left"/>
              <w:rPr>
                <w:lang w:val="es-ES_tradnl"/>
              </w:rPr>
            </w:pPr>
            <w:r w:rsidRPr="004219BD">
              <w:rPr>
                <w:lang w:val="es-ES_tradnl"/>
              </w:rPr>
              <w:t>RTP (Protocolo de transporte en tiempo real)</w:t>
            </w:r>
          </w:p>
        </w:tc>
        <w:tc>
          <w:tcPr>
            <w:tcW w:w="5365" w:type="dxa"/>
          </w:tcPr>
          <w:p w:rsidR="004219BD" w:rsidRPr="004219BD" w:rsidRDefault="004219BD" w:rsidP="0023632D">
            <w:pPr>
              <w:pStyle w:val="Tabletext"/>
              <w:jc w:val="left"/>
              <w:rPr>
                <w:lang w:val="es-ES_tradnl"/>
              </w:rPr>
            </w:pPr>
            <w:r w:rsidRPr="004219BD">
              <w:rPr>
                <w:lang w:val="es-ES_tradnl"/>
              </w:rPr>
              <w:t>Protocolo del Internet Engineering Task Force (IETF) utilizado para servicios de secuenciación.</w:t>
            </w:r>
          </w:p>
        </w:tc>
      </w:tr>
      <w:tr w:rsidR="004219BD" w:rsidRPr="004219BD" w:rsidTr="0076174D">
        <w:trPr>
          <w:jc w:val="center"/>
        </w:trPr>
        <w:tc>
          <w:tcPr>
            <w:tcW w:w="4274" w:type="dxa"/>
          </w:tcPr>
          <w:p w:rsidR="004219BD" w:rsidRPr="004219BD" w:rsidRDefault="004219BD" w:rsidP="0023632D">
            <w:pPr>
              <w:pStyle w:val="Tabletext"/>
              <w:jc w:val="left"/>
              <w:rPr>
                <w:lang w:val="es-ES_tradnl"/>
              </w:rPr>
            </w:pPr>
            <w:r w:rsidRPr="004219BD">
              <w:rPr>
                <w:lang w:val="es-ES_tradnl"/>
              </w:rPr>
              <w:t>FLUTE (Suministro de ficheros por transporte unidireccional)</w:t>
            </w:r>
          </w:p>
        </w:tc>
        <w:tc>
          <w:tcPr>
            <w:tcW w:w="5365" w:type="dxa"/>
          </w:tcPr>
          <w:p w:rsidR="004219BD" w:rsidRPr="004219BD" w:rsidRDefault="004219BD" w:rsidP="0023632D">
            <w:pPr>
              <w:pStyle w:val="Tabletext"/>
              <w:jc w:val="left"/>
              <w:rPr>
                <w:lang w:val="es-ES_tradnl"/>
              </w:rPr>
            </w:pPr>
            <w:r w:rsidRPr="004219BD">
              <w:rPr>
                <w:lang w:val="es-ES_tradnl"/>
              </w:rPr>
              <w:t>Protocolo del IETF utilizado para el suministro de cualquier tipo de ficheros.</w:t>
            </w:r>
          </w:p>
        </w:tc>
      </w:tr>
    </w:tbl>
    <w:p w:rsidR="0023632D" w:rsidRDefault="0023632D" w:rsidP="0023632D">
      <w:pPr>
        <w:pStyle w:val="Tablefin"/>
      </w:pPr>
    </w:p>
    <w:p w:rsidR="004219BD" w:rsidRPr="0091453B" w:rsidRDefault="004219BD" w:rsidP="004219BD">
      <w:pPr>
        <w:pStyle w:val="Heading1"/>
        <w:rPr>
          <w:lang w:val="es-ES_tradnl"/>
        </w:rPr>
      </w:pPr>
      <w:r w:rsidRPr="0091453B">
        <w:rPr>
          <w:lang w:val="es-ES_tradnl"/>
        </w:rPr>
        <w:t>4</w:t>
      </w:r>
      <w:r w:rsidRPr="0091453B">
        <w:rPr>
          <w:lang w:val="es-ES_tradnl"/>
        </w:rPr>
        <w:tab/>
        <w:t>Mecanismos de protección del servicio/contenido</w:t>
      </w:r>
    </w:p>
    <w:p w:rsidR="004219BD" w:rsidRPr="0091453B" w:rsidRDefault="004219BD" w:rsidP="004219BD">
      <w:pPr>
        <w:rPr>
          <w:lang w:val="es-ES_tradnl" w:eastAsia="ja-JP"/>
        </w:rPr>
      </w:pPr>
      <w:r w:rsidRPr="0091453B">
        <w:rPr>
          <w:lang w:val="es-ES_tradnl" w:eastAsia="ja-JP"/>
        </w:rPr>
        <w:t>El acceso a los servicios y al contenido debe protegerse, de ser necesario, mediante varios mecanismos. Los mecanismos de protección del servicio protegen el contenido durante su suministro al receptor y los mecanismos de protección del contenido lo protegen después de haberlo suministrado.</w:t>
      </w:r>
    </w:p>
    <w:p w:rsidR="004219BD" w:rsidRPr="0091453B" w:rsidRDefault="004219BD" w:rsidP="004219BD">
      <w:pPr>
        <w:rPr>
          <w:lang w:val="es-ES_tradnl" w:eastAsia="ja-JP"/>
        </w:rPr>
      </w:pPr>
      <w:r w:rsidRPr="0091453B">
        <w:rPr>
          <w:lang w:val="es-ES_tradnl" w:eastAsia="ja-JP"/>
        </w:rPr>
        <w:t>En el Cuadro 3 se enumeran los mecanismos de protección del servicio/contenido adecuados en los sistemas de radiodifusión de multimedios para recepción móvil.</w:t>
      </w:r>
    </w:p>
    <w:p w:rsidR="004219BD" w:rsidRPr="0091453B" w:rsidRDefault="004219BD" w:rsidP="004219BD">
      <w:pPr>
        <w:pStyle w:val="TableNo"/>
        <w:rPr>
          <w:lang w:val="es-ES_tradnl" w:eastAsia="ja-JP"/>
        </w:rPr>
      </w:pPr>
      <w:r w:rsidRPr="0091453B">
        <w:rPr>
          <w:lang w:val="es-ES_tradnl" w:eastAsia="ja-JP"/>
        </w:rPr>
        <w:t>CUADRO 3</w:t>
      </w:r>
    </w:p>
    <w:p w:rsidR="004219BD" w:rsidRPr="0091453B" w:rsidRDefault="004219BD" w:rsidP="004219BD">
      <w:pPr>
        <w:pStyle w:val="Tabletitle"/>
        <w:rPr>
          <w:lang w:val="es-ES_tradnl" w:eastAsia="ja-JP"/>
        </w:rPr>
      </w:pPr>
      <w:r w:rsidRPr="0091453B">
        <w:rPr>
          <w:lang w:val="es-ES_tradnl" w:eastAsia="ja-JP"/>
        </w:rPr>
        <w:t>Mecanismos de protección del servicio/contenido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5052"/>
      </w:tblGrid>
      <w:tr w:rsidR="004219BD" w:rsidRPr="0091453B" w:rsidTr="0076174D">
        <w:trPr>
          <w:jc w:val="center"/>
        </w:trPr>
        <w:tc>
          <w:tcPr>
            <w:tcW w:w="4587" w:type="dxa"/>
          </w:tcPr>
          <w:p w:rsidR="004219BD" w:rsidRPr="0091453B" w:rsidRDefault="004219BD" w:rsidP="0076174D">
            <w:pPr>
              <w:pStyle w:val="Tablehead"/>
              <w:widowControl w:val="0"/>
              <w:rPr>
                <w:bCs/>
                <w:lang w:val="es-ES_tradnl" w:eastAsia="ja-JP"/>
              </w:rPr>
            </w:pPr>
            <w:r w:rsidRPr="0091453B">
              <w:rPr>
                <w:bCs/>
                <w:lang w:val="es-ES_tradnl" w:eastAsia="ja-JP"/>
              </w:rPr>
              <w:t>Mecanismo</w:t>
            </w:r>
          </w:p>
        </w:tc>
        <w:tc>
          <w:tcPr>
            <w:tcW w:w="5052" w:type="dxa"/>
          </w:tcPr>
          <w:p w:rsidR="004219BD" w:rsidRPr="0091453B" w:rsidRDefault="004219BD" w:rsidP="0076174D">
            <w:pPr>
              <w:pStyle w:val="Tablehead"/>
              <w:widowControl w:val="0"/>
              <w:rPr>
                <w:bCs/>
                <w:lang w:val="es-ES_tradnl" w:eastAsia="ja-JP"/>
              </w:rPr>
            </w:pPr>
            <w:r w:rsidRPr="0091453B">
              <w:rPr>
                <w:bCs/>
                <w:lang w:val="es-ES_tradnl" w:eastAsia="ja-JP"/>
              </w:rPr>
              <w:t>Descripción</w:t>
            </w:r>
          </w:p>
        </w:tc>
      </w:tr>
      <w:tr w:rsidR="004219BD" w:rsidRPr="004219BD" w:rsidTr="0076174D">
        <w:trPr>
          <w:jc w:val="center"/>
        </w:trPr>
        <w:tc>
          <w:tcPr>
            <w:tcW w:w="4587" w:type="dxa"/>
          </w:tcPr>
          <w:p w:rsidR="004219BD" w:rsidRPr="0091453B" w:rsidRDefault="004219BD" w:rsidP="0076174D">
            <w:pPr>
              <w:pStyle w:val="Tabletext"/>
              <w:widowControl w:val="0"/>
              <w:jc w:val="left"/>
              <w:rPr>
                <w:lang w:val="es-ES_tradnl" w:eastAsia="ja-JP"/>
              </w:rPr>
            </w:pPr>
            <w:r w:rsidRPr="0091453B">
              <w:rPr>
                <w:lang w:val="es-ES_tradnl" w:eastAsia="ja-JP"/>
              </w:rPr>
              <w:t>Sistema de acceso condicional (CAS) especificado en los sistemas MPEG-2</w:t>
            </w:r>
            <w:r w:rsidRPr="0091453B">
              <w:rPr>
                <w:rStyle w:val="FootnoteReference"/>
                <w:lang w:val="es-ES_tradnl" w:eastAsia="ja-JP"/>
              </w:rPr>
              <w:footnoteReference w:id="3"/>
            </w:r>
          </w:p>
        </w:tc>
        <w:tc>
          <w:tcPr>
            <w:tcW w:w="5052" w:type="dxa"/>
          </w:tcPr>
          <w:p w:rsidR="004219BD" w:rsidRPr="0091453B" w:rsidRDefault="004219BD" w:rsidP="0076174D">
            <w:pPr>
              <w:pStyle w:val="Tabletext"/>
              <w:widowControl w:val="0"/>
              <w:jc w:val="left"/>
              <w:rPr>
                <w:lang w:val="es-ES_tradnl" w:eastAsia="ja-JP"/>
              </w:rPr>
            </w:pPr>
            <w:r w:rsidRPr="0091453B">
              <w:rPr>
                <w:lang w:val="es-ES_tradnl" w:eastAsia="ja-JP"/>
              </w:rPr>
              <w:t>Ampliamente adoptado en sistemas de radiodifusión para recepción fija. El acceso condicional se consigue mediante información específica del programa (PSI)</w:t>
            </w:r>
            <w:r>
              <w:rPr>
                <w:lang w:val="es-ES_tradnl" w:eastAsia="ja-JP"/>
              </w:rPr>
              <w:t>.</w:t>
            </w:r>
          </w:p>
        </w:tc>
      </w:tr>
      <w:tr w:rsidR="004219BD" w:rsidRPr="0091453B" w:rsidTr="0076174D">
        <w:trPr>
          <w:jc w:val="center"/>
        </w:trPr>
        <w:tc>
          <w:tcPr>
            <w:tcW w:w="4587" w:type="dxa"/>
          </w:tcPr>
          <w:p w:rsidR="004219BD" w:rsidRPr="0091453B" w:rsidRDefault="004219BD" w:rsidP="0076174D">
            <w:pPr>
              <w:pStyle w:val="Tabletext"/>
              <w:widowControl w:val="0"/>
              <w:jc w:val="left"/>
              <w:rPr>
                <w:lang w:val="es-ES_tradnl" w:eastAsia="ja-JP"/>
              </w:rPr>
            </w:pPr>
            <w:r w:rsidRPr="0091453B">
              <w:rPr>
                <w:lang w:val="es-ES_tradnl" w:eastAsia="ja-JP"/>
              </w:rPr>
              <w:t>Gestión de derechos digitales Digital (DRM) 2.0 de la Open mobile alliance (OMA)</w:t>
            </w:r>
          </w:p>
        </w:tc>
        <w:tc>
          <w:tcPr>
            <w:tcW w:w="5052" w:type="dxa"/>
          </w:tcPr>
          <w:p w:rsidR="004219BD" w:rsidRPr="0091453B" w:rsidRDefault="004219BD" w:rsidP="0076174D">
            <w:pPr>
              <w:pStyle w:val="Tabletext"/>
              <w:widowControl w:val="0"/>
              <w:jc w:val="left"/>
              <w:rPr>
                <w:lang w:val="es-ES_tradnl" w:eastAsia="ja-JP"/>
              </w:rPr>
            </w:pPr>
            <w:r w:rsidRPr="0091453B">
              <w:rPr>
                <w:lang w:val="es-ES_tradnl" w:eastAsia="ja-JP"/>
              </w:rPr>
              <w:t>Especificado por la OMA</w:t>
            </w:r>
            <w:r>
              <w:rPr>
                <w:lang w:val="es-ES_tradnl" w:eastAsia="ja-JP"/>
              </w:rPr>
              <w:t>.</w:t>
            </w:r>
          </w:p>
        </w:tc>
      </w:tr>
    </w:tbl>
    <w:p w:rsidR="0023632D" w:rsidRDefault="0023632D" w:rsidP="0023632D">
      <w:pPr>
        <w:pStyle w:val="Tablefin"/>
      </w:pPr>
    </w:p>
    <w:p w:rsidR="004219BD" w:rsidRPr="0091453B" w:rsidRDefault="004219BD" w:rsidP="004219BD">
      <w:pPr>
        <w:pStyle w:val="Heading1"/>
        <w:rPr>
          <w:lang w:val="es-ES_tradnl"/>
        </w:rPr>
      </w:pPr>
      <w:r w:rsidRPr="0091453B">
        <w:rPr>
          <w:lang w:val="es-ES_tradnl"/>
        </w:rPr>
        <w:t>5</w:t>
      </w:r>
      <w:r w:rsidRPr="0091453B">
        <w:rPr>
          <w:lang w:val="es-ES_tradnl"/>
        </w:rPr>
        <w:tab/>
        <w:t>Mecanismos para el suministro fiable</w:t>
      </w:r>
    </w:p>
    <w:p w:rsidR="004219BD" w:rsidRPr="0091453B" w:rsidRDefault="004219BD" w:rsidP="004219BD">
      <w:pPr>
        <w:rPr>
          <w:lang w:val="es-ES_tradnl" w:eastAsia="ja-JP"/>
        </w:rPr>
      </w:pPr>
      <w:r w:rsidRPr="0091453B">
        <w:rPr>
          <w:lang w:val="es-ES_tradnl" w:eastAsia="ja-JP"/>
        </w:rPr>
        <w:t>Las características de error del canal son diferentes en la recepción fija y en la móvil, debido a que las condiciones de recepción pueden variar cuando el receptor se desplaza. En tales condiciones, el suministro fiable se garantizar añadiendo datos adicional</w:t>
      </w:r>
      <w:r>
        <w:rPr>
          <w:lang w:val="es-ES_tradnl" w:eastAsia="ja-JP"/>
        </w:rPr>
        <w:t xml:space="preserve"> o utilizando mecanismos especiales como la </w:t>
      </w:r>
      <w:r w:rsidRPr="009D474A">
        <w:rPr>
          <w:iCs/>
          <w:lang w:val="es-ES_tradnl"/>
        </w:rPr>
        <w:t>emisión de secuencias de descarga progresiva</w:t>
      </w:r>
      <w:r>
        <w:rPr>
          <w:iCs/>
          <w:lang w:val="es-ES_tradnl"/>
        </w:rPr>
        <w:t xml:space="preserve"> adaptativa</w:t>
      </w:r>
      <w:r w:rsidRPr="0091453B">
        <w:rPr>
          <w:lang w:val="es-ES_tradnl" w:eastAsia="ja-JP"/>
        </w:rPr>
        <w:t>.</w:t>
      </w:r>
    </w:p>
    <w:p w:rsidR="004219BD" w:rsidRPr="0091453B" w:rsidRDefault="004219BD" w:rsidP="004219BD">
      <w:pPr>
        <w:rPr>
          <w:lang w:val="es-ES_tradnl" w:eastAsia="ja-JP"/>
        </w:rPr>
      </w:pPr>
      <w:r w:rsidRPr="0091453B">
        <w:rPr>
          <w:lang w:val="es-ES_tradnl" w:eastAsia="ja-JP"/>
        </w:rPr>
        <w:t>En el Cuadro 4 se indican los mecanismos adecuados para garantizar un suministro fiable en los sistemas de radiodifusión de multimedios para recepción móvil.</w:t>
      </w:r>
    </w:p>
    <w:p w:rsidR="004219BD" w:rsidRPr="0091453B" w:rsidRDefault="004219BD" w:rsidP="004219BD">
      <w:pPr>
        <w:pStyle w:val="TableNo"/>
        <w:rPr>
          <w:lang w:val="es-ES_tradnl" w:eastAsia="ja-JP"/>
        </w:rPr>
      </w:pPr>
      <w:r w:rsidRPr="0091453B">
        <w:rPr>
          <w:lang w:val="es-ES_tradnl" w:eastAsia="ja-JP"/>
        </w:rPr>
        <w:lastRenderedPageBreak/>
        <w:t>CUADRO 4</w:t>
      </w:r>
    </w:p>
    <w:p w:rsidR="004219BD" w:rsidRPr="0091453B" w:rsidRDefault="004219BD" w:rsidP="004219BD">
      <w:pPr>
        <w:pStyle w:val="Tabletitle"/>
        <w:rPr>
          <w:lang w:val="es-ES_tradnl" w:eastAsia="ja-JP"/>
        </w:rPr>
      </w:pPr>
      <w:r w:rsidRPr="0091453B">
        <w:rPr>
          <w:lang w:val="es-ES_tradnl" w:eastAsia="ja-JP"/>
        </w:rPr>
        <w:t>Mecanismos para el suministro fiable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5"/>
        <w:gridCol w:w="6074"/>
      </w:tblGrid>
      <w:tr w:rsidR="004219BD" w:rsidRPr="009316CA" w:rsidTr="0076174D">
        <w:trPr>
          <w:jc w:val="center"/>
        </w:trPr>
        <w:tc>
          <w:tcPr>
            <w:tcW w:w="3565" w:type="dxa"/>
            <w:shd w:val="clear" w:color="auto" w:fill="auto"/>
            <w:vAlign w:val="center"/>
          </w:tcPr>
          <w:p w:rsidR="004219BD" w:rsidRPr="009316CA" w:rsidRDefault="004219BD" w:rsidP="0076174D">
            <w:pPr>
              <w:pStyle w:val="Tablehead"/>
              <w:widowControl w:val="0"/>
              <w:rPr>
                <w:bCs/>
                <w:lang w:val="es-ES_tradnl" w:eastAsia="ja-JP"/>
              </w:rPr>
            </w:pPr>
            <w:r w:rsidRPr="009316CA">
              <w:rPr>
                <w:bCs/>
                <w:lang w:val="es-ES_tradnl" w:eastAsia="ja-JP"/>
              </w:rPr>
              <w:t>Mecanismo</w:t>
            </w:r>
          </w:p>
        </w:tc>
        <w:tc>
          <w:tcPr>
            <w:tcW w:w="6074" w:type="dxa"/>
            <w:shd w:val="clear" w:color="auto" w:fill="auto"/>
            <w:vAlign w:val="center"/>
          </w:tcPr>
          <w:p w:rsidR="004219BD" w:rsidRPr="009316CA" w:rsidRDefault="004219BD" w:rsidP="0076174D">
            <w:pPr>
              <w:pStyle w:val="Tablehead"/>
              <w:widowControl w:val="0"/>
              <w:rPr>
                <w:bCs/>
                <w:lang w:val="es-ES_tradnl" w:eastAsia="ja-JP"/>
              </w:rPr>
            </w:pPr>
            <w:r w:rsidRPr="009316CA">
              <w:rPr>
                <w:bCs/>
                <w:lang w:val="es-ES_tradnl" w:eastAsia="ja-JP"/>
              </w:rPr>
              <w:t>Descripción</w:t>
            </w:r>
          </w:p>
        </w:tc>
      </w:tr>
      <w:tr w:rsidR="004219BD" w:rsidRPr="004219BD" w:rsidTr="0076174D">
        <w:trPr>
          <w:jc w:val="center"/>
        </w:trPr>
        <w:tc>
          <w:tcPr>
            <w:tcW w:w="3565" w:type="dxa"/>
          </w:tcPr>
          <w:p w:rsidR="004219BD" w:rsidRPr="0091453B" w:rsidRDefault="004219BD" w:rsidP="0076174D">
            <w:pPr>
              <w:pStyle w:val="Tabletext"/>
              <w:widowControl w:val="0"/>
              <w:jc w:val="left"/>
              <w:rPr>
                <w:lang w:val="es-ES_tradnl" w:eastAsia="ja-JP"/>
              </w:rPr>
            </w:pPr>
            <w:r w:rsidRPr="0091453B">
              <w:rPr>
                <w:lang w:val="es-ES_tradnl" w:eastAsia="ja-JP"/>
              </w:rPr>
              <w:t>Carrusel de datos</w:t>
            </w:r>
          </w:p>
        </w:tc>
        <w:tc>
          <w:tcPr>
            <w:tcW w:w="6074" w:type="dxa"/>
          </w:tcPr>
          <w:p w:rsidR="004219BD" w:rsidRPr="0091453B" w:rsidRDefault="004219BD" w:rsidP="0076174D">
            <w:pPr>
              <w:pStyle w:val="Tabletext"/>
              <w:widowControl w:val="0"/>
              <w:jc w:val="left"/>
              <w:rPr>
                <w:lang w:val="es-ES_tradnl" w:eastAsia="ja-JP"/>
              </w:rPr>
            </w:pPr>
            <w:r w:rsidRPr="0091453B">
              <w:rPr>
                <w:lang w:val="es-ES_tradnl" w:eastAsia="ja-JP"/>
              </w:rPr>
              <w:t>Los datos se transmiten repetidamente, de modo que las partes que falten se pueden recibir en los ulteriores ciclos de transmisión.</w:t>
            </w:r>
          </w:p>
        </w:tc>
      </w:tr>
      <w:tr w:rsidR="004219BD" w:rsidRPr="004219BD" w:rsidTr="0076174D">
        <w:trPr>
          <w:jc w:val="center"/>
        </w:trPr>
        <w:tc>
          <w:tcPr>
            <w:tcW w:w="3565" w:type="dxa"/>
          </w:tcPr>
          <w:p w:rsidR="004219BD" w:rsidRPr="0091453B" w:rsidRDefault="004219BD" w:rsidP="0076174D">
            <w:pPr>
              <w:pStyle w:val="Tabletext"/>
              <w:widowControl w:val="0"/>
              <w:jc w:val="left"/>
              <w:rPr>
                <w:lang w:val="es-ES_tradnl" w:eastAsia="ja-JP"/>
              </w:rPr>
            </w:pPr>
            <w:r w:rsidRPr="0091453B">
              <w:rPr>
                <w:lang w:val="es-ES_tradnl" w:eastAsia="ja-JP"/>
              </w:rPr>
              <w:t>Corrección de errores en recepción en la capa de aplicación (AL-FEC)</w:t>
            </w:r>
          </w:p>
        </w:tc>
        <w:tc>
          <w:tcPr>
            <w:tcW w:w="6074" w:type="dxa"/>
          </w:tcPr>
          <w:p w:rsidR="004219BD" w:rsidRPr="0091453B" w:rsidRDefault="004219BD" w:rsidP="0076174D">
            <w:pPr>
              <w:pStyle w:val="Tabletext"/>
              <w:widowControl w:val="0"/>
              <w:jc w:val="left"/>
              <w:rPr>
                <w:lang w:val="es-ES_tradnl" w:eastAsia="ja-JP"/>
              </w:rPr>
            </w:pPr>
            <w:r w:rsidRPr="0091453B">
              <w:rPr>
                <w:lang w:val="es-ES_tradnl" w:eastAsia="ja-JP"/>
              </w:rPr>
              <w:t>Método para generar datos redundantes a partir de los datos originales. Las partes que faltan se pueden reconstruir a partir de los datos redundantes mediante la operación FEC.</w:t>
            </w:r>
          </w:p>
        </w:tc>
      </w:tr>
      <w:tr w:rsidR="004219BD" w:rsidRPr="004219BD" w:rsidTr="0076174D">
        <w:trPr>
          <w:jc w:val="center"/>
        </w:trPr>
        <w:tc>
          <w:tcPr>
            <w:tcW w:w="3565" w:type="dxa"/>
          </w:tcPr>
          <w:p w:rsidR="004219BD" w:rsidRPr="0091453B" w:rsidRDefault="004219BD" w:rsidP="0076174D">
            <w:pPr>
              <w:pStyle w:val="Tabletext"/>
              <w:widowControl w:val="0"/>
              <w:jc w:val="left"/>
              <w:rPr>
                <w:lang w:val="es-ES_tradnl" w:eastAsia="ja-JP"/>
              </w:rPr>
            </w:pPr>
            <w:r>
              <w:rPr>
                <w:iCs/>
                <w:lang w:val="es-ES_tradnl"/>
              </w:rPr>
              <w:t>E</w:t>
            </w:r>
            <w:r w:rsidRPr="009D474A">
              <w:rPr>
                <w:iCs/>
                <w:lang w:val="es-ES_tradnl"/>
              </w:rPr>
              <w:t>misión de secuencias de descarga progresiva</w:t>
            </w:r>
            <w:r>
              <w:rPr>
                <w:iCs/>
                <w:lang w:val="es-ES_tradnl"/>
              </w:rPr>
              <w:t xml:space="preserve"> adaptativa por HTTP (Aplicación/adaptación de capa TCP)</w:t>
            </w:r>
          </w:p>
        </w:tc>
        <w:tc>
          <w:tcPr>
            <w:tcW w:w="6074" w:type="dxa"/>
          </w:tcPr>
          <w:p w:rsidR="004219BD" w:rsidRPr="0091453B" w:rsidRDefault="004219BD" w:rsidP="0076174D">
            <w:pPr>
              <w:pStyle w:val="Tabletext"/>
              <w:widowControl w:val="0"/>
              <w:jc w:val="left"/>
              <w:rPr>
                <w:lang w:val="es-ES_tradnl" w:eastAsia="ja-JP"/>
              </w:rPr>
            </w:pPr>
            <w:r>
              <w:rPr>
                <w:lang w:val="es-ES_tradnl" w:eastAsia="ja-JP"/>
              </w:rPr>
              <w:t xml:space="preserve">Una técnica de </w:t>
            </w:r>
            <w:r w:rsidRPr="009D474A">
              <w:rPr>
                <w:iCs/>
                <w:lang w:val="es-ES_tradnl"/>
              </w:rPr>
              <w:t>emisión de secuencias de descarga progresiva</w:t>
            </w:r>
            <w:r>
              <w:rPr>
                <w:iCs/>
                <w:lang w:val="es-ES_tradnl"/>
              </w:rPr>
              <w:t xml:space="preserve"> adaptativa utilizada para el suministro fiable de flujos de vídeo por redes basado en transmisión multidistribución y pila IP. El soporte de MPEG-DASH figura en las especificaciones HbbTV y en otras normas de suministro para aplicaciones multimedia.</w:t>
            </w:r>
          </w:p>
        </w:tc>
      </w:tr>
    </w:tbl>
    <w:p w:rsidR="004219BD" w:rsidRPr="004219BD" w:rsidRDefault="004219BD" w:rsidP="0023632D">
      <w:pPr>
        <w:pStyle w:val="Tablefin"/>
      </w:pPr>
    </w:p>
    <w:p w:rsidR="004219BD" w:rsidRDefault="004219BD" w:rsidP="004219BD">
      <w:pPr>
        <w:jc w:val="center"/>
      </w:pPr>
      <w:r>
        <w:t>______________</w:t>
      </w:r>
    </w:p>
    <w:p w:rsidR="004219BD" w:rsidRPr="0091453B" w:rsidRDefault="004219BD" w:rsidP="004219BD">
      <w:pPr>
        <w:rPr>
          <w:lang w:val="es-ES_tradnl"/>
        </w:rPr>
      </w:pPr>
    </w:p>
    <w:p w:rsidR="00F77F28" w:rsidRDefault="00F77F28" w:rsidP="00344123">
      <w:pPr>
        <w:pStyle w:val="RecNo"/>
        <w:spacing w:before="0"/>
        <w:rPr>
          <w:lang w:val="es-ES_tradnl"/>
        </w:rPr>
      </w:pPr>
    </w:p>
    <w:sectPr w:rsidR="00F77F28" w:rsidSect="0034412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 w:id="1">
    <w:p w:rsidR="004219BD" w:rsidRPr="00110817" w:rsidRDefault="004219BD" w:rsidP="004219BD">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BT.1887</w:t>
      </w:r>
      <w:r w:rsidRPr="00110817">
        <w:rPr>
          <w:szCs w:val="24"/>
          <w:lang w:val="es-ES_tradnl"/>
        </w:rPr>
        <w:t xml:space="preserve"> –</w:t>
      </w:r>
      <w:r w:rsidRPr="00110817">
        <w:rPr>
          <w:rFonts w:hint="eastAsia"/>
          <w:szCs w:val="24"/>
          <w:lang w:val="es-ES_tradnl"/>
        </w:rPr>
        <w:t xml:space="preserve"> </w:t>
      </w:r>
      <w:r w:rsidRPr="00110817">
        <w:rPr>
          <w:szCs w:val="24"/>
          <w:lang w:val="es-ES_tradnl"/>
        </w:rPr>
        <w:t>Transporte de paquetes IP en los trenes de transporte MPEG-2 en la radiodifusión multimedios.</w:t>
      </w:r>
    </w:p>
  </w:footnote>
  <w:footnote w:id="2">
    <w:p w:rsidR="004219BD" w:rsidRPr="00110817" w:rsidRDefault="004219BD" w:rsidP="004219BD">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BT.1869</w:t>
      </w:r>
      <w:r w:rsidRPr="00110817">
        <w:rPr>
          <w:szCs w:val="24"/>
          <w:lang w:val="es-ES_tradnl"/>
        </w:rPr>
        <w:t xml:space="preserve"> –</w:t>
      </w:r>
      <w:r w:rsidRPr="00110817">
        <w:rPr>
          <w:rFonts w:hint="eastAsia"/>
          <w:szCs w:val="24"/>
          <w:lang w:val="es-ES_tradnl"/>
        </w:rPr>
        <w:t xml:space="preserve"> </w:t>
      </w:r>
      <w:r w:rsidRPr="00110817">
        <w:rPr>
          <w:szCs w:val="24"/>
          <w:lang w:val="es-ES_tradnl"/>
        </w:rPr>
        <w:t>Esquema de multiplexación de paquetes de longitud variable en los sistemas de radiodifusión de multimedios digitales.</w:t>
      </w:r>
    </w:p>
  </w:footnote>
  <w:footnote w:id="3">
    <w:p w:rsidR="004219BD" w:rsidRPr="00110817" w:rsidRDefault="004219BD" w:rsidP="004219BD">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BT.1852</w:t>
      </w:r>
      <w:r w:rsidRPr="00110817">
        <w:rPr>
          <w:szCs w:val="24"/>
          <w:lang w:val="es-ES_tradnl"/>
        </w:rPr>
        <w:t xml:space="preserve"> –</w:t>
      </w:r>
      <w:r w:rsidRPr="00110817">
        <w:rPr>
          <w:rFonts w:hint="eastAsia"/>
          <w:szCs w:val="24"/>
          <w:lang w:val="es-ES_tradnl"/>
        </w:rPr>
        <w:t xml:space="preserve"> </w:t>
      </w:r>
      <w:r w:rsidRPr="00110817">
        <w:rPr>
          <w:szCs w:val="24"/>
          <w:lang w:val="es-ES_tradnl"/>
        </w:rPr>
        <w:t>Sistemas de acceso condicional para la radiodifusión digital</w:t>
      </w:r>
      <w:r w:rsidRPr="00110817">
        <w:rPr>
          <w:rFonts w:hint="eastAsia"/>
          <w:szCs w:val="24"/>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C45456">
      <w:rPr>
        <w:rStyle w:val="PageNumber"/>
        <w:b/>
        <w:bCs/>
        <w:noProof/>
      </w:rPr>
      <w:t>ii</w:t>
    </w:r>
    <w:r>
      <w:rPr>
        <w:rStyle w:val="PageNumber"/>
        <w:b/>
        <w:bCs/>
      </w:rPr>
      <w:fldChar w:fldCharType="end"/>
    </w:r>
    <w:r w:rsidR="00987473">
      <w:tab/>
    </w:r>
    <w:fldSimple w:instr=" DOCPROPERTY &quot;Header&quot; \* MERGEFORMAT ">
      <w:r w:rsidR="00C45456" w:rsidRPr="00C45456">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C45456">
      <w:rPr>
        <w:b/>
        <w:bCs/>
        <w:noProof/>
      </w:rPr>
      <w:t>UIT-R  BT.2054-1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C45456" w:rsidRPr="00C45456">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C45456">
      <w:rPr>
        <w:b/>
        <w:bCs/>
        <w:noProof/>
      </w:rPr>
      <w:t>UIT-R  BT.2054-1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80713F">
      <w:rPr>
        <w:rStyle w:val="PageNumber"/>
        <w:b/>
        <w:bCs/>
        <w:noProof/>
        <w:lang w:val="en-US"/>
      </w:rPr>
      <w:t>4</w:t>
    </w:r>
    <w:r>
      <w:rPr>
        <w:rStyle w:val="PageNumber"/>
        <w:b/>
        <w:bCs/>
      </w:rPr>
      <w:fldChar w:fldCharType="end"/>
    </w:r>
    <w:r w:rsidR="00987473">
      <w:rPr>
        <w:lang w:val="en-US"/>
      </w:rPr>
      <w:tab/>
    </w:r>
    <w:fldSimple w:instr=" DOCPROPERTY &quot;Header&quot; \* MERGEFORMAT ">
      <w:r w:rsidR="00C45456" w:rsidRPr="00C45456">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80713F">
      <w:rPr>
        <w:b/>
        <w:bCs/>
        <w:noProof/>
      </w:rPr>
      <w:t>UIT-R  BT.2054-1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C45456" w:rsidRPr="00C45456">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80713F">
      <w:rPr>
        <w:b/>
        <w:bCs/>
        <w:noProof/>
      </w:rPr>
      <w:t>UIT-R  BT.2054-1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80713F">
      <w:rPr>
        <w:rStyle w:val="PageNumber"/>
        <w:b/>
        <w:bCs/>
        <w:noProof/>
      </w:rPr>
      <w:t>5</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no Carnero, Alicia">
    <w15:presenceInfo w15:providerId="AD" w15:userId="S-1-5-21-8740799-900759487-1415713722-6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1295B"/>
    <w:rsid w:val="000878FF"/>
    <w:rsid w:val="00091138"/>
    <w:rsid w:val="001B3F9D"/>
    <w:rsid w:val="001E29DB"/>
    <w:rsid w:val="00227CED"/>
    <w:rsid w:val="0023632D"/>
    <w:rsid w:val="0025326C"/>
    <w:rsid w:val="00267BDC"/>
    <w:rsid w:val="00284AF8"/>
    <w:rsid w:val="002D76C4"/>
    <w:rsid w:val="0032222F"/>
    <w:rsid w:val="00344123"/>
    <w:rsid w:val="00360BEA"/>
    <w:rsid w:val="00363854"/>
    <w:rsid w:val="00364BE9"/>
    <w:rsid w:val="003829F0"/>
    <w:rsid w:val="004156D2"/>
    <w:rsid w:val="004219BD"/>
    <w:rsid w:val="004452A9"/>
    <w:rsid w:val="00474E13"/>
    <w:rsid w:val="004B5CC6"/>
    <w:rsid w:val="00514F95"/>
    <w:rsid w:val="005726A7"/>
    <w:rsid w:val="005777F3"/>
    <w:rsid w:val="005F43D1"/>
    <w:rsid w:val="00607D68"/>
    <w:rsid w:val="00633625"/>
    <w:rsid w:val="006553B9"/>
    <w:rsid w:val="006818DE"/>
    <w:rsid w:val="00684CC5"/>
    <w:rsid w:val="006B6905"/>
    <w:rsid w:val="006C7692"/>
    <w:rsid w:val="00721270"/>
    <w:rsid w:val="007A0B78"/>
    <w:rsid w:val="007B39B3"/>
    <w:rsid w:val="0080713F"/>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7FDF"/>
    <w:rsid w:val="00B44E24"/>
    <w:rsid w:val="00B4535E"/>
    <w:rsid w:val="00C058C9"/>
    <w:rsid w:val="00C225E7"/>
    <w:rsid w:val="00C23DBD"/>
    <w:rsid w:val="00C45456"/>
    <w:rsid w:val="00C86E03"/>
    <w:rsid w:val="00CC6858"/>
    <w:rsid w:val="00CD276D"/>
    <w:rsid w:val="00D6504B"/>
    <w:rsid w:val="00DF4176"/>
    <w:rsid w:val="00E35FD1"/>
    <w:rsid w:val="00E40FF2"/>
    <w:rsid w:val="00EB1B24"/>
    <w:rsid w:val="00EC3793"/>
    <w:rsid w:val="00F16D82"/>
    <w:rsid w:val="00F35BEB"/>
    <w:rsid w:val="00F77F28"/>
    <w:rsid w:val="00F8434A"/>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B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67BDC"/>
    <w:pPr>
      <w:keepNext/>
      <w:keepLines/>
      <w:spacing w:before="480"/>
      <w:ind w:left="794" w:hanging="794"/>
      <w:outlineLvl w:val="0"/>
    </w:pPr>
    <w:rPr>
      <w:b/>
    </w:rPr>
  </w:style>
  <w:style w:type="paragraph" w:styleId="Heading2">
    <w:name w:val="heading 2"/>
    <w:basedOn w:val="Heading1"/>
    <w:next w:val="Normal"/>
    <w:qFormat/>
    <w:rsid w:val="00267BDC"/>
    <w:pPr>
      <w:spacing w:before="320"/>
      <w:outlineLvl w:val="1"/>
    </w:pPr>
  </w:style>
  <w:style w:type="paragraph" w:styleId="Heading3">
    <w:name w:val="heading 3"/>
    <w:basedOn w:val="Heading1"/>
    <w:next w:val="Normal"/>
    <w:qFormat/>
    <w:rsid w:val="00267BDC"/>
    <w:pPr>
      <w:spacing w:before="200"/>
      <w:outlineLvl w:val="2"/>
    </w:pPr>
  </w:style>
  <w:style w:type="paragraph" w:styleId="Heading4">
    <w:name w:val="heading 4"/>
    <w:basedOn w:val="Heading3"/>
    <w:next w:val="Normal"/>
    <w:qFormat/>
    <w:rsid w:val="00267BDC"/>
    <w:pPr>
      <w:tabs>
        <w:tab w:val="clear" w:pos="794"/>
        <w:tab w:val="left" w:pos="992"/>
      </w:tabs>
      <w:ind w:left="992" w:hanging="992"/>
      <w:outlineLvl w:val="3"/>
    </w:pPr>
  </w:style>
  <w:style w:type="paragraph" w:styleId="Heading5">
    <w:name w:val="heading 5"/>
    <w:basedOn w:val="Heading4"/>
    <w:next w:val="Normal"/>
    <w:qFormat/>
    <w:rsid w:val="00267BDC"/>
    <w:pPr>
      <w:outlineLvl w:val="4"/>
    </w:pPr>
  </w:style>
  <w:style w:type="paragraph" w:styleId="Heading6">
    <w:name w:val="heading 6"/>
    <w:basedOn w:val="Heading4"/>
    <w:next w:val="Normal"/>
    <w:qFormat/>
    <w:rsid w:val="00267BDC"/>
    <w:pPr>
      <w:tabs>
        <w:tab w:val="clear" w:pos="992"/>
        <w:tab w:val="clear" w:pos="1191"/>
      </w:tabs>
      <w:ind w:left="1588" w:hanging="1588"/>
      <w:outlineLvl w:val="5"/>
    </w:pPr>
  </w:style>
  <w:style w:type="paragraph" w:styleId="Heading7">
    <w:name w:val="heading 7"/>
    <w:basedOn w:val="Heading6"/>
    <w:next w:val="Normal"/>
    <w:qFormat/>
    <w:rsid w:val="00267BDC"/>
    <w:pPr>
      <w:outlineLvl w:val="6"/>
    </w:pPr>
  </w:style>
  <w:style w:type="paragraph" w:styleId="Heading8">
    <w:name w:val="heading 8"/>
    <w:basedOn w:val="Heading6"/>
    <w:next w:val="Normal"/>
    <w:qFormat/>
    <w:rsid w:val="00267BDC"/>
    <w:pPr>
      <w:outlineLvl w:val="7"/>
    </w:pPr>
  </w:style>
  <w:style w:type="paragraph" w:styleId="Heading9">
    <w:name w:val="heading 9"/>
    <w:basedOn w:val="Heading6"/>
    <w:next w:val="Normal"/>
    <w:qFormat/>
    <w:rsid w:val="00267BDC"/>
    <w:pPr>
      <w:jc w:val="left"/>
      <w:outlineLvl w:val="8"/>
    </w:pPr>
  </w:style>
  <w:style w:type="character" w:default="1" w:styleId="DefaultParagraphFont">
    <w:name w:val="Default Paragraph Font"/>
    <w:uiPriority w:val="1"/>
    <w:semiHidden/>
    <w:unhideWhenUsed/>
    <w:rsid w:val="00267B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67BDC"/>
  </w:style>
  <w:style w:type="paragraph" w:styleId="Header">
    <w:name w:val="header"/>
    <w:basedOn w:val="Normal"/>
    <w:rsid w:val="00267BD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67BD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7BDC"/>
  </w:style>
  <w:style w:type="paragraph" w:customStyle="1" w:styleId="Headingb">
    <w:name w:val="Heading_b"/>
    <w:basedOn w:val="Heading3"/>
    <w:next w:val="Normal"/>
    <w:rsid w:val="00267BDC"/>
    <w:pPr>
      <w:spacing w:before="160"/>
      <w:ind w:left="0" w:firstLine="0"/>
      <w:outlineLvl w:val="9"/>
    </w:pPr>
  </w:style>
  <w:style w:type="paragraph" w:customStyle="1" w:styleId="Headingi">
    <w:name w:val="Heading_i"/>
    <w:basedOn w:val="Heading3"/>
    <w:next w:val="Normal"/>
    <w:rsid w:val="00267BDC"/>
    <w:pPr>
      <w:spacing w:before="160"/>
      <w:ind w:left="0" w:firstLine="0"/>
    </w:pPr>
    <w:rPr>
      <w:b w:val="0"/>
      <w:i/>
    </w:rPr>
  </w:style>
  <w:style w:type="character" w:customStyle="1" w:styleId="href">
    <w:name w:val="href"/>
    <w:basedOn w:val="DefaultParagraphFont"/>
    <w:rsid w:val="00267BDC"/>
  </w:style>
  <w:style w:type="paragraph" w:customStyle="1" w:styleId="enumlev1">
    <w:name w:val="enumlev1"/>
    <w:basedOn w:val="Normal"/>
    <w:link w:val="enumlev1Char"/>
    <w:rsid w:val="00267BDC"/>
    <w:pPr>
      <w:spacing w:before="80"/>
      <w:ind w:left="794" w:hanging="794"/>
    </w:pPr>
  </w:style>
  <w:style w:type="paragraph" w:customStyle="1" w:styleId="enumlev2">
    <w:name w:val="enumlev2"/>
    <w:basedOn w:val="enumlev1"/>
    <w:rsid w:val="00267BDC"/>
    <w:pPr>
      <w:ind w:left="1191" w:hanging="397"/>
    </w:pPr>
  </w:style>
  <w:style w:type="paragraph" w:customStyle="1" w:styleId="enumlev3">
    <w:name w:val="enumlev3"/>
    <w:basedOn w:val="enumlev2"/>
    <w:rsid w:val="00267BDC"/>
    <w:pPr>
      <w:ind w:left="1588"/>
    </w:pPr>
  </w:style>
  <w:style w:type="paragraph" w:customStyle="1" w:styleId="Normalaftertitle">
    <w:name w:val="Normal_after_title"/>
    <w:basedOn w:val="Normal"/>
    <w:next w:val="Normal"/>
    <w:rsid w:val="00267BDC"/>
    <w:pPr>
      <w:spacing w:before="320"/>
    </w:pPr>
  </w:style>
  <w:style w:type="paragraph" w:customStyle="1" w:styleId="Note">
    <w:name w:val="Note"/>
    <w:basedOn w:val="Normal"/>
    <w:rsid w:val="00267BD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7BD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67BDC"/>
    <w:pPr>
      <w:keepNext/>
      <w:keepLines/>
      <w:spacing w:before="240"/>
      <w:jc w:val="center"/>
    </w:pPr>
    <w:rPr>
      <w:b/>
      <w:sz w:val="28"/>
    </w:rPr>
  </w:style>
  <w:style w:type="paragraph" w:customStyle="1" w:styleId="Recref">
    <w:name w:val="Rec_ref"/>
    <w:basedOn w:val="Normal"/>
    <w:next w:val="Recdate"/>
    <w:rsid w:val="00267BDC"/>
    <w:pPr>
      <w:jc w:val="center"/>
    </w:pPr>
  </w:style>
  <w:style w:type="paragraph" w:customStyle="1" w:styleId="Recdate">
    <w:name w:val="Rec_date"/>
    <w:basedOn w:val="Recref"/>
    <w:next w:val="Normalaftertitle"/>
    <w:rsid w:val="00267BDC"/>
    <w:pPr>
      <w:jc w:val="right"/>
    </w:pPr>
  </w:style>
  <w:style w:type="paragraph" w:customStyle="1" w:styleId="HeadingSum">
    <w:name w:val="Heading_Sum"/>
    <w:basedOn w:val="Headingb"/>
    <w:next w:val="Normal"/>
    <w:autoRedefine/>
    <w:rsid w:val="00267BDC"/>
    <w:pPr>
      <w:spacing w:before="240"/>
    </w:pPr>
    <w:rPr>
      <w:sz w:val="22"/>
      <w:lang w:val="es-ES_tradnl"/>
    </w:rPr>
  </w:style>
  <w:style w:type="paragraph" w:customStyle="1" w:styleId="AnnexNoTitle">
    <w:name w:val="Annex_NoTitle"/>
    <w:basedOn w:val="Normal"/>
    <w:next w:val="Normalaftertitle"/>
    <w:link w:val="AnnexNoTitle0"/>
    <w:rsid w:val="00267BDC"/>
    <w:pPr>
      <w:keepNext/>
      <w:keepLines/>
      <w:spacing w:before="480" w:after="80"/>
      <w:jc w:val="center"/>
    </w:pPr>
    <w:rPr>
      <w:b/>
      <w:sz w:val="28"/>
    </w:rPr>
  </w:style>
  <w:style w:type="paragraph" w:customStyle="1" w:styleId="AppendixNoTitle">
    <w:name w:val="Appendix_NoTitle"/>
    <w:basedOn w:val="AnnexNoTitle"/>
    <w:next w:val="Normal"/>
    <w:rsid w:val="00267BDC"/>
  </w:style>
  <w:style w:type="paragraph" w:customStyle="1" w:styleId="Tablefin">
    <w:name w:val="Table_fin"/>
    <w:basedOn w:val="Normal"/>
    <w:next w:val="Normal"/>
    <w:rsid w:val="00267BDC"/>
    <w:pPr>
      <w:spacing w:before="0"/>
    </w:pPr>
    <w:rPr>
      <w:sz w:val="20"/>
      <w:lang w:val="en-GB"/>
    </w:rPr>
  </w:style>
  <w:style w:type="paragraph" w:customStyle="1" w:styleId="Tablehead">
    <w:name w:val="Table_head"/>
    <w:basedOn w:val="Normal"/>
    <w:next w:val="Normal"/>
    <w:link w:val="TableheadChar"/>
    <w:rsid w:val="00267B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7B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67BDC"/>
    <w:pPr>
      <w:keepNext/>
      <w:spacing w:before="360" w:after="120"/>
      <w:jc w:val="center"/>
    </w:pPr>
  </w:style>
  <w:style w:type="paragraph" w:customStyle="1" w:styleId="Tabletext">
    <w:name w:val="Table_text"/>
    <w:basedOn w:val="Normal"/>
    <w:link w:val="TabletextChar"/>
    <w:rsid w:val="00267B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7BDC"/>
    <w:pPr>
      <w:tabs>
        <w:tab w:val="clear" w:pos="1191"/>
        <w:tab w:val="clear" w:pos="1588"/>
        <w:tab w:val="clear" w:pos="1985"/>
        <w:tab w:val="center" w:pos="4820"/>
        <w:tab w:val="right" w:pos="9639"/>
      </w:tabs>
    </w:pPr>
  </w:style>
  <w:style w:type="paragraph" w:customStyle="1" w:styleId="Equationlegend">
    <w:name w:val="Equation_legend"/>
    <w:basedOn w:val="NormalIndent"/>
    <w:rsid w:val="00267BD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7BDC"/>
    <w:pPr>
      <w:ind w:left="794"/>
    </w:pPr>
  </w:style>
  <w:style w:type="paragraph" w:customStyle="1" w:styleId="Figurelegend">
    <w:name w:val="Figure_legend"/>
    <w:basedOn w:val="Normal"/>
    <w:rsid w:val="00267B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67BDC"/>
    <w:pPr>
      <w:keepNext/>
      <w:keepLines/>
      <w:spacing w:before="480" w:after="80"/>
      <w:jc w:val="center"/>
    </w:pPr>
    <w:rPr>
      <w:caps/>
      <w:sz w:val="18"/>
    </w:rPr>
  </w:style>
  <w:style w:type="paragraph" w:customStyle="1" w:styleId="Figuretitle">
    <w:name w:val="Figure_title"/>
    <w:basedOn w:val="Normal"/>
    <w:next w:val="Figure"/>
    <w:rsid w:val="00267BDC"/>
    <w:pPr>
      <w:keepNext/>
      <w:spacing w:before="0" w:after="120"/>
      <w:jc w:val="center"/>
    </w:pPr>
    <w:rPr>
      <w:rFonts w:ascii="Times New Roman Bold" w:hAnsi="Times New Roman Bold"/>
      <w:b/>
      <w:sz w:val="18"/>
    </w:rPr>
  </w:style>
  <w:style w:type="paragraph" w:customStyle="1" w:styleId="Figure">
    <w:name w:val="Figure"/>
    <w:basedOn w:val="FigureNo"/>
    <w:next w:val="Normal"/>
    <w:rsid w:val="00267BDC"/>
    <w:pPr>
      <w:keepNext w:val="0"/>
      <w:spacing w:before="0" w:after="240"/>
    </w:pPr>
  </w:style>
  <w:style w:type="paragraph" w:customStyle="1" w:styleId="tocpart">
    <w:name w:val="tocpart"/>
    <w:basedOn w:val="Normal"/>
    <w:rsid w:val="00267B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7BDC"/>
    <w:pPr>
      <w:keepNext/>
      <w:keepLines/>
      <w:spacing w:before="480"/>
      <w:jc w:val="center"/>
    </w:pPr>
    <w:rPr>
      <w:sz w:val="28"/>
    </w:rPr>
  </w:style>
  <w:style w:type="paragraph" w:customStyle="1" w:styleId="Arttitle">
    <w:name w:val="Art_title"/>
    <w:basedOn w:val="Normal"/>
    <w:next w:val="Normalaftertitle"/>
    <w:rsid w:val="00267BDC"/>
    <w:pPr>
      <w:keepNext/>
      <w:keepLines/>
      <w:spacing w:before="240"/>
      <w:jc w:val="center"/>
    </w:pPr>
    <w:rPr>
      <w:b/>
      <w:sz w:val="28"/>
    </w:rPr>
  </w:style>
  <w:style w:type="paragraph" w:customStyle="1" w:styleId="Blanc">
    <w:name w:val="Blanc"/>
    <w:basedOn w:val="Normal"/>
    <w:next w:val="Tabletext"/>
    <w:rsid w:val="00267B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7B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67BDC"/>
    <w:pPr>
      <w:keepNext/>
      <w:keepLines/>
      <w:spacing w:before="160"/>
      <w:ind w:left="794"/>
    </w:pPr>
    <w:rPr>
      <w:i/>
    </w:rPr>
  </w:style>
  <w:style w:type="paragraph" w:customStyle="1" w:styleId="ChapNo">
    <w:name w:val="Chap_No"/>
    <w:basedOn w:val="ArtNo"/>
    <w:next w:val="Chaptitle"/>
    <w:rsid w:val="00267BDC"/>
    <w:rPr>
      <w:b/>
    </w:rPr>
  </w:style>
  <w:style w:type="paragraph" w:customStyle="1" w:styleId="Chaptitle">
    <w:name w:val="Chap_title"/>
    <w:basedOn w:val="Arttitle"/>
    <w:next w:val="Normalaftertitle"/>
    <w:rsid w:val="00267BDC"/>
  </w:style>
  <w:style w:type="character" w:styleId="FootnoteReference">
    <w:name w:val="footnote reference"/>
    <w:basedOn w:val="DefaultParagraphFont"/>
    <w:rsid w:val="00267BDC"/>
    <w:rPr>
      <w:position w:val="6"/>
      <w:sz w:val="18"/>
    </w:rPr>
  </w:style>
  <w:style w:type="paragraph" w:styleId="FootnoteText">
    <w:name w:val="footnote text"/>
    <w:basedOn w:val="Normal"/>
    <w:link w:val="FootnoteTextChar"/>
    <w:rsid w:val="00267BDC"/>
    <w:pPr>
      <w:keepLines/>
      <w:tabs>
        <w:tab w:val="left" w:pos="255"/>
      </w:tabs>
      <w:ind w:left="255" w:hanging="255"/>
    </w:pPr>
    <w:rPr>
      <w:sz w:val="22"/>
    </w:rPr>
  </w:style>
  <w:style w:type="paragraph" w:styleId="Index1">
    <w:name w:val="index 1"/>
    <w:basedOn w:val="Normal"/>
    <w:next w:val="Normal"/>
    <w:semiHidden/>
    <w:rsid w:val="00267BDC"/>
  </w:style>
  <w:style w:type="paragraph" w:styleId="Index2">
    <w:name w:val="index 2"/>
    <w:basedOn w:val="Normal"/>
    <w:next w:val="Normal"/>
    <w:semiHidden/>
    <w:rsid w:val="00267BDC"/>
    <w:pPr>
      <w:ind w:left="283"/>
    </w:pPr>
  </w:style>
  <w:style w:type="paragraph" w:styleId="Index3">
    <w:name w:val="index 3"/>
    <w:basedOn w:val="Normal"/>
    <w:next w:val="Normal"/>
    <w:semiHidden/>
    <w:rsid w:val="00267BDC"/>
    <w:pPr>
      <w:ind w:left="566"/>
    </w:pPr>
  </w:style>
  <w:style w:type="paragraph" w:styleId="IndexHeading">
    <w:name w:val="index heading"/>
    <w:basedOn w:val="Normal"/>
    <w:next w:val="Index1"/>
    <w:semiHidden/>
    <w:rsid w:val="00267BDC"/>
  </w:style>
  <w:style w:type="paragraph" w:customStyle="1" w:styleId="Line">
    <w:name w:val="Line"/>
    <w:basedOn w:val="Normal"/>
    <w:next w:val="Normal"/>
    <w:rsid w:val="00267B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7B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7BDC"/>
  </w:style>
  <w:style w:type="paragraph" w:customStyle="1" w:styleId="Partref">
    <w:name w:val="Part_ref"/>
    <w:basedOn w:val="Normal"/>
    <w:next w:val="Normal"/>
    <w:rsid w:val="00267BDC"/>
    <w:pPr>
      <w:keepNext/>
      <w:keepLines/>
      <w:spacing w:after="280"/>
      <w:jc w:val="center"/>
    </w:pPr>
  </w:style>
  <w:style w:type="paragraph" w:customStyle="1" w:styleId="Parttitle">
    <w:name w:val="Part_title"/>
    <w:basedOn w:val="Normal"/>
    <w:next w:val="Normalaftertitle"/>
    <w:rsid w:val="00267B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7BDC"/>
  </w:style>
  <w:style w:type="paragraph" w:customStyle="1" w:styleId="QuestionNo">
    <w:name w:val="Question_No"/>
    <w:basedOn w:val="RecNo"/>
    <w:next w:val="Normal"/>
    <w:rsid w:val="00267BDC"/>
  </w:style>
  <w:style w:type="paragraph" w:customStyle="1" w:styleId="Questionref">
    <w:name w:val="Question_ref"/>
    <w:basedOn w:val="Recref"/>
    <w:next w:val="Questiondate"/>
    <w:rsid w:val="00267BDC"/>
  </w:style>
  <w:style w:type="paragraph" w:customStyle="1" w:styleId="Questiontitle">
    <w:name w:val="Question_title"/>
    <w:basedOn w:val="Normal"/>
    <w:next w:val="Questionref"/>
    <w:rsid w:val="00267BDC"/>
  </w:style>
  <w:style w:type="paragraph" w:customStyle="1" w:styleId="Reftext">
    <w:name w:val="Ref_text"/>
    <w:basedOn w:val="Normal"/>
    <w:rsid w:val="00267BDC"/>
    <w:pPr>
      <w:ind w:left="794" w:hanging="794"/>
    </w:pPr>
    <w:rPr>
      <w:sz w:val="22"/>
    </w:rPr>
  </w:style>
  <w:style w:type="paragraph" w:customStyle="1" w:styleId="Reftitle">
    <w:name w:val="Ref_title"/>
    <w:basedOn w:val="Normal"/>
    <w:next w:val="Reftext"/>
    <w:rsid w:val="00267B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7BDC"/>
  </w:style>
  <w:style w:type="paragraph" w:customStyle="1" w:styleId="RepNo">
    <w:name w:val="Rep_No"/>
    <w:basedOn w:val="RecNo"/>
    <w:next w:val="Reptitle"/>
    <w:rsid w:val="00267BDC"/>
  </w:style>
  <w:style w:type="paragraph" w:customStyle="1" w:styleId="Reptitle">
    <w:name w:val="Rep_title"/>
    <w:basedOn w:val="Rectitle"/>
    <w:next w:val="Repref"/>
    <w:rsid w:val="00267BDC"/>
  </w:style>
  <w:style w:type="paragraph" w:customStyle="1" w:styleId="Repref">
    <w:name w:val="Rep_ref"/>
    <w:basedOn w:val="Recref"/>
    <w:next w:val="Repdate"/>
    <w:rsid w:val="00267BDC"/>
  </w:style>
  <w:style w:type="paragraph" w:customStyle="1" w:styleId="Resdate">
    <w:name w:val="Res_date"/>
    <w:basedOn w:val="Recdate"/>
    <w:next w:val="Normalaftertitle"/>
    <w:rsid w:val="00267BDC"/>
  </w:style>
  <w:style w:type="paragraph" w:customStyle="1" w:styleId="ResNo">
    <w:name w:val="Res_No"/>
    <w:basedOn w:val="RecNo"/>
    <w:next w:val="Restitle"/>
    <w:rsid w:val="00267BDC"/>
  </w:style>
  <w:style w:type="paragraph" w:customStyle="1" w:styleId="Restitle">
    <w:name w:val="Res_title"/>
    <w:basedOn w:val="Normal"/>
    <w:next w:val="Resref"/>
    <w:rsid w:val="00267BDC"/>
    <w:pPr>
      <w:spacing w:before="240"/>
      <w:jc w:val="center"/>
    </w:pPr>
    <w:rPr>
      <w:b/>
      <w:sz w:val="28"/>
    </w:rPr>
  </w:style>
  <w:style w:type="paragraph" w:customStyle="1" w:styleId="Resref">
    <w:name w:val="Res_ref"/>
    <w:basedOn w:val="Recref"/>
    <w:next w:val="Resdate"/>
    <w:rsid w:val="00267BDC"/>
  </w:style>
  <w:style w:type="paragraph" w:customStyle="1" w:styleId="SectionNo">
    <w:name w:val="Section_No"/>
    <w:basedOn w:val="Normal"/>
    <w:next w:val="Normal"/>
    <w:rsid w:val="00267BDC"/>
  </w:style>
  <w:style w:type="paragraph" w:customStyle="1" w:styleId="Sectiontitle">
    <w:name w:val="Section_title"/>
    <w:basedOn w:val="Normal"/>
    <w:next w:val="Normalaftertitle"/>
    <w:rsid w:val="00267B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7BDC"/>
    <w:pPr>
      <w:tabs>
        <w:tab w:val="clear" w:pos="794"/>
        <w:tab w:val="clear" w:pos="1191"/>
        <w:tab w:val="clear" w:pos="1588"/>
        <w:tab w:val="clear" w:pos="1985"/>
        <w:tab w:val="right" w:pos="9611"/>
      </w:tabs>
    </w:pPr>
    <w:rPr>
      <w:i/>
    </w:rPr>
  </w:style>
  <w:style w:type="paragraph" w:styleId="TOC1">
    <w:name w:val="toc 1"/>
    <w:basedOn w:val="Normal"/>
    <w:semiHidden/>
    <w:rsid w:val="00267B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67BDC"/>
    <w:pPr>
      <w:tabs>
        <w:tab w:val="clear" w:pos="567"/>
        <w:tab w:val="left" w:pos="1276"/>
      </w:tabs>
      <w:spacing w:before="160"/>
      <w:ind w:left="1276" w:hanging="709"/>
    </w:pPr>
  </w:style>
  <w:style w:type="paragraph" w:styleId="TOC3">
    <w:name w:val="toc 3"/>
    <w:basedOn w:val="TOC2"/>
    <w:semiHidden/>
    <w:rsid w:val="00267BDC"/>
    <w:pPr>
      <w:tabs>
        <w:tab w:val="clear" w:pos="1276"/>
        <w:tab w:val="left" w:pos="2155"/>
      </w:tabs>
      <w:ind w:left="2155" w:hanging="879"/>
    </w:pPr>
  </w:style>
  <w:style w:type="paragraph" w:styleId="TOC4">
    <w:name w:val="toc 4"/>
    <w:basedOn w:val="TOC3"/>
    <w:semiHidden/>
    <w:rsid w:val="00267BDC"/>
    <w:pPr>
      <w:tabs>
        <w:tab w:val="left" w:pos="3261"/>
      </w:tabs>
      <w:spacing w:before="80"/>
      <w:ind w:left="3261" w:hanging="993"/>
    </w:pPr>
  </w:style>
  <w:style w:type="paragraph" w:styleId="TOC5">
    <w:name w:val="toc 5"/>
    <w:basedOn w:val="TOC4"/>
    <w:semiHidden/>
    <w:rsid w:val="00267BDC"/>
  </w:style>
  <w:style w:type="paragraph" w:styleId="TOC6">
    <w:name w:val="toc 6"/>
    <w:basedOn w:val="TOC4"/>
    <w:semiHidden/>
    <w:rsid w:val="00267BDC"/>
  </w:style>
  <w:style w:type="paragraph" w:styleId="TOC7">
    <w:name w:val="toc 7"/>
    <w:basedOn w:val="TOC4"/>
    <w:semiHidden/>
    <w:rsid w:val="00267BDC"/>
  </w:style>
  <w:style w:type="paragraph" w:styleId="TOC8">
    <w:name w:val="toc 8"/>
    <w:basedOn w:val="TOC4"/>
    <w:semiHidden/>
    <w:rsid w:val="00267BDC"/>
  </w:style>
  <w:style w:type="paragraph" w:customStyle="1" w:styleId="Annexref">
    <w:name w:val="Annex_ref"/>
    <w:basedOn w:val="Normal"/>
    <w:next w:val="Normalaftertitle"/>
    <w:rsid w:val="00267BDC"/>
    <w:pPr>
      <w:keepNext/>
      <w:keepLines/>
      <w:spacing w:after="280"/>
      <w:jc w:val="center"/>
    </w:pPr>
  </w:style>
  <w:style w:type="paragraph" w:customStyle="1" w:styleId="Appendixref">
    <w:name w:val="Appendix_ref"/>
    <w:basedOn w:val="Annexref"/>
    <w:next w:val="Normalaftertitle"/>
    <w:rsid w:val="00267BDC"/>
  </w:style>
  <w:style w:type="paragraph" w:customStyle="1" w:styleId="Tabletitle">
    <w:name w:val="Table_title"/>
    <w:basedOn w:val="Normal"/>
    <w:next w:val="Tablehead"/>
    <w:link w:val="TabletitleChar"/>
    <w:rsid w:val="00267BDC"/>
    <w:pPr>
      <w:keepNext/>
      <w:spacing w:before="0" w:after="120"/>
      <w:jc w:val="center"/>
    </w:pPr>
    <w:rPr>
      <w:b/>
    </w:rPr>
  </w:style>
  <w:style w:type="paragraph" w:customStyle="1" w:styleId="Summary">
    <w:name w:val="Summary"/>
    <w:basedOn w:val="Normal"/>
    <w:next w:val="Normalaftertitle"/>
    <w:autoRedefine/>
    <w:rsid w:val="00267BDC"/>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267BDC"/>
    <w:pPr>
      <w:ind w:left="-85" w:firstLine="0"/>
    </w:pPr>
    <w:rPr>
      <w:lang w:val="en-US"/>
    </w:rPr>
  </w:style>
  <w:style w:type="character" w:customStyle="1" w:styleId="FootnoteTextChar">
    <w:name w:val="Footnote Text Char"/>
    <w:link w:val="FootnoteText"/>
    <w:rsid w:val="004219BD"/>
    <w:rPr>
      <w:sz w:val="22"/>
      <w:lang w:val="fr-FR" w:eastAsia="en-US"/>
    </w:rPr>
  </w:style>
  <w:style w:type="character" w:customStyle="1" w:styleId="Heading1Char">
    <w:name w:val="Heading 1 Char"/>
    <w:basedOn w:val="DefaultParagraphFont"/>
    <w:link w:val="Heading1"/>
    <w:rsid w:val="004219BD"/>
    <w:rPr>
      <w:b/>
      <w:sz w:val="24"/>
      <w:lang w:val="fr-FR" w:eastAsia="en-US"/>
    </w:rPr>
  </w:style>
  <w:style w:type="character" w:customStyle="1" w:styleId="enumlev1Char">
    <w:name w:val="enumlev1 Char"/>
    <w:basedOn w:val="DefaultParagraphFont"/>
    <w:link w:val="enumlev1"/>
    <w:rsid w:val="004219BD"/>
    <w:rPr>
      <w:sz w:val="24"/>
      <w:lang w:val="fr-FR" w:eastAsia="en-US"/>
    </w:rPr>
  </w:style>
  <w:style w:type="character" w:customStyle="1" w:styleId="AnnexNoTitle0">
    <w:name w:val="Annex_NoTitle Знак"/>
    <w:basedOn w:val="DefaultParagraphFont"/>
    <w:link w:val="AnnexNoTitle"/>
    <w:locked/>
    <w:rsid w:val="004219BD"/>
    <w:rPr>
      <w:b/>
      <w:sz w:val="28"/>
      <w:lang w:val="fr-FR" w:eastAsia="en-US"/>
    </w:rPr>
  </w:style>
  <w:style w:type="character" w:customStyle="1" w:styleId="TableNoChar">
    <w:name w:val="Table_No Char"/>
    <w:basedOn w:val="DefaultParagraphFont"/>
    <w:link w:val="TableNo"/>
    <w:rsid w:val="004219BD"/>
    <w:rPr>
      <w:sz w:val="24"/>
      <w:lang w:val="fr-FR" w:eastAsia="en-US"/>
    </w:rPr>
  </w:style>
  <w:style w:type="character" w:customStyle="1" w:styleId="TabletextChar">
    <w:name w:val="Table_text Char"/>
    <w:link w:val="Tabletext"/>
    <w:locked/>
    <w:rsid w:val="004219BD"/>
    <w:rPr>
      <w:sz w:val="22"/>
      <w:lang w:val="fr-FR" w:eastAsia="en-US"/>
    </w:rPr>
  </w:style>
  <w:style w:type="character" w:customStyle="1" w:styleId="TabletitleChar">
    <w:name w:val="Table_title Char"/>
    <w:basedOn w:val="DefaultParagraphFont"/>
    <w:link w:val="Tabletitle"/>
    <w:rsid w:val="004219BD"/>
    <w:rPr>
      <w:b/>
      <w:sz w:val="24"/>
      <w:lang w:val="fr-FR" w:eastAsia="en-US"/>
    </w:rPr>
  </w:style>
  <w:style w:type="character" w:customStyle="1" w:styleId="CallChar">
    <w:name w:val="Call Char"/>
    <w:link w:val="Call"/>
    <w:locked/>
    <w:rsid w:val="004219BD"/>
    <w:rPr>
      <w:i/>
      <w:sz w:val="24"/>
      <w:lang w:val="fr-FR" w:eastAsia="en-US"/>
    </w:rPr>
  </w:style>
  <w:style w:type="character" w:customStyle="1" w:styleId="TableheadChar">
    <w:name w:val="Table_head Char"/>
    <w:link w:val="Tablehead"/>
    <w:locked/>
    <w:rsid w:val="004219BD"/>
    <w:rPr>
      <w:b/>
      <w:sz w:val="22"/>
      <w:lang w:val="fr-FR" w:eastAsia="en-US"/>
    </w:rPr>
  </w:style>
  <w:style w:type="paragraph" w:customStyle="1" w:styleId="Reasons">
    <w:name w:val="Reasons"/>
    <w:basedOn w:val="Normal"/>
    <w:qFormat/>
    <w:rsid w:val="004219B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yperlink" Target="http://www.ietf.org/rfc/rfc3926.txt" TargetMode="External"/><Relationship Id="rId10" Type="http://schemas.openxmlformats.org/officeDocument/2006/relationships/hyperlink" Target="http://www.itu.int/publ/R-REC/es)"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ietf.org/rfc/rfc3550.t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7</Pages>
  <Words>1821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13258</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11</cp:revision>
  <cp:lastPrinted>2018-10-15T12:31:00Z</cp:lastPrinted>
  <dcterms:created xsi:type="dcterms:W3CDTF">2018-10-15T12:13:00Z</dcterms:created>
  <dcterms:modified xsi:type="dcterms:W3CDTF">2018-10-15T12:52:00Z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