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26E" w:rsidRDefault="0076226E" w:rsidP="0076226E">
      <w:bookmarkStart w:id="0" w:name="Doc_title"/>
    </w:p>
    <w:p w:rsidR="0076226E" w:rsidRDefault="0076226E" w:rsidP="0076226E"/>
    <w:p w:rsidR="0076226E" w:rsidRDefault="0076226E" w:rsidP="0076226E"/>
    <w:p w:rsidR="0076226E" w:rsidRDefault="0076226E" w:rsidP="0076226E"/>
    <w:p w:rsidR="0076226E" w:rsidRDefault="0076226E" w:rsidP="0076226E"/>
    <w:p w:rsidR="0076226E" w:rsidRDefault="0076226E" w:rsidP="0076226E"/>
    <w:p w:rsidR="0076226E" w:rsidRDefault="0076226E" w:rsidP="0076226E"/>
    <w:p w:rsidR="0076226E" w:rsidRDefault="0076226E" w:rsidP="0076226E"/>
    <w:p w:rsidR="0076226E" w:rsidRDefault="0076226E" w:rsidP="0076226E"/>
    <w:p w:rsidR="0076226E" w:rsidRDefault="0076226E" w:rsidP="0076226E"/>
    <w:p w:rsidR="0076226E" w:rsidRDefault="0076226E" w:rsidP="0076226E"/>
    <w:p w:rsidR="0076226E" w:rsidRDefault="0076226E" w:rsidP="0076226E"/>
    <w:tbl>
      <w:tblPr>
        <w:tblW w:w="10089" w:type="dxa"/>
        <w:tblLook w:val="01E0" w:firstRow="1" w:lastRow="1" w:firstColumn="1" w:lastColumn="1" w:noHBand="0" w:noVBand="0"/>
      </w:tblPr>
      <w:tblGrid>
        <w:gridCol w:w="10089"/>
      </w:tblGrid>
      <w:tr w:rsidR="0076226E" w:rsidRPr="00A443C2" w:rsidTr="00746A06">
        <w:tc>
          <w:tcPr>
            <w:tcW w:w="10089" w:type="dxa"/>
          </w:tcPr>
          <w:p w:rsidR="0076226E" w:rsidRPr="00B033C8" w:rsidRDefault="0076226E" w:rsidP="00746A06">
            <w:pPr>
              <w:spacing w:before="380" w:line="280" w:lineRule="exact"/>
              <w:jc w:val="right"/>
              <w:rPr>
                <w:rFonts w:ascii="Tahoma" w:hAnsi="Tahoma" w:cs="Tahoma"/>
                <w:b/>
                <w:bCs/>
                <w:iCs/>
                <w:color w:val="243285"/>
                <w:sz w:val="32"/>
                <w:szCs w:val="32"/>
                <w:lang w:val="en-US"/>
              </w:rPr>
            </w:pPr>
          </w:p>
          <w:p w:rsidR="0076226E" w:rsidRPr="00A443C2" w:rsidRDefault="0076226E" w:rsidP="00862B6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862B6B">
              <w:rPr>
                <w:rFonts w:ascii="Tahoma" w:hAnsi="Tahoma" w:cs="Tahoma"/>
                <w:b/>
                <w:bCs/>
                <w:iCs/>
                <w:color w:val="243285"/>
                <w:sz w:val="36"/>
                <w:szCs w:val="36"/>
              </w:rPr>
              <w:t>2024</w:t>
            </w:r>
          </w:p>
          <w:p w:rsidR="0076226E" w:rsidRPr="00A443C2" w:rsidRDefault="0076226E" w:rsidP="00862B6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862B6B">
              <w:rPr>
                <w:rFonts w:ascii="Tahoma" w:hAnsi="Tahoma" w:cs="Tahoma"/>
                <w:b/>
                <w:bCs/>
                <w:iCs/>
                <w:color w:val="243285"/>
                <w:szCs w:val="24"/>
              </w:rPr>
              <w:t>8</w:t>
            </w:r>
            <w:r w:rsidRPr="00A443C2">
              <w:rPr>
                <w:rFonts w:ascii="Tahoma" w:hAnsi="Tahoma" w:cs="Tahoma"/>
                <w:b/>
                <w:bCs/>
                <w:iCs/>
                <w:color w:val="243285"/>
                <w:szCs w:val="24"/>
              </w:rPr>
              <w:t>/</w:t>
            </w:r>
            <w:r w:rsidR="00862B6B">
              <w:rPr>
                <w:rFonts w:ascii="Tahoma" w:hAnsi="Tahoma" w:cs="Tahoma"/>
                <w:b/>
                <w:bCs/>
                <w:iCs/>
                <w:color w:val="243285"/>
                <w:szCs w:val="24"/>
              </w:rPr>
              <w:t>2012</w:t>
            </w:r>
            <w:r w:rsidRPr="00A443C2">
              <w:rPr>
                <w:rFonts w:ascii="Tahoma" w:hAnsi="Tahoma" w:cs="Tahoma"/>
                <w:b/>
                <w:bCs/>
                <w:iCs/>
                <w:color w:val="243285"/>
                <w:szCs w:val="24"/>
              </w:rPr>
              <w:t>)</w:t>
            </w:r>
          </w:p>
        </w:tc>
      </w:tr>
      <w:tr w:rsidR="0076226E" w:rsidRPr="00F54FBD" w:rsidTr="00746A06">
        <w:tc>
          <w:tcPr>
            <w:tcW w:w="10089" w:type="dxa"/>
          </w:tcPr>
          <w:p w:rsidR="0076226E" w:rsidRPr="0043089F" w:rsidRDefault="0076226E" w:rsidP="00746A06">
            <w:pPr>
              <w:spacing w:before="80" w:line="500" w:lineRule="exact"/>
              <w:jc w:val="right"/>
              <w:rPr>
                <w:rFonts w:ascii="Tahoma" w:hAnsi="Tahoma" w:cs="Tahoma"/>
                <w:b/>
                <w:bCs/>
                <w:iCs/>
                <w:color w:val="243285"/>
                <w:sz w:val="44"/>
                <w:szCs w:val="44"/>
              </w:rPr>
            </w:pPr>
          </w:p>
          <w:p w:rsidR="0076226E" w:rsidRDefault="00862B6B" w:rsidP="00862B6B">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 xml:space="preserve">Systèmes d'images numériques de TVHD pour la production et l'échange international de programmes de TV3D </w:t>
            </w:r>
            <w:r w:rsidR="00551B50">
              <w:rPr>
                <w:rFonts w:ascii="Tahoma" w:hAnsi="Tahoma" w:cs="Tahoma"/>
                <w:b/>
                <w:bCs/>
                <w:color w:val="243285"/>
                <w:sz w:val="44"/>
                <w:szCs w:val="44"/>
              </w:rPr>
              <w:br/>
            </w:r>
            <w:bookmarkStart w:id="1" w:name="_GoBack"/>
            <w:bookmarkEnd w:id="1"/>
            <w:r>
              <w:rPr>
                <w:rFonts w:ascii="Tahoma" w:hAnsi="Tahoma" w:cs="Tahoma"/>
                <w:b/>
                <w:bCs/>
                <w:color w:val="243285"/>
                <w:sz w:val="44"/>
                <w:szCs w:val="44"/>
              </w:rPr>
              <w:t>pour la radiodiffusion</w:t>
            </w:r>
          </w:p>
          <w:p w:rsidR="0076226E" w:rsidRPr="0043089F" w:rsidRDefault="0076226E" w:rsidP="00746A06">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76226E" w:rsidRPr="00F54FBD" w:rsidTr="00746A06">
        <w:tc>
          <w:tcPr>
            <w:tcW w:w="10089" w:type="dxa"/>
          </w:tcPr>
          <w:p w:rsidR="0076226E" w:rsidRPr="00F54FBD" w:rsidRDefault="0076226E" w:rsidP="00746A06">
            <w:pPr>
              <w:spacing w:before="80" w:line="280" w:lineRule="exact"/>
              <w:ind w:right="640"/>
              <w:rPr>
                <w:rFonts w:ascii="Tahoma" w:hAnsi="Tahoma" w:cs="Tahoma"/>
                <w:b/>
                <w:bCs/>
                <w:iCs/>
                <w:color w:val="243285"/>
                <w:sz w:val="32"/>
                <w:szCs w:val="32"/>
              </w:rPr>
            </w:pPr>
          </w:p>
          <w:p w:rsidR="0076226E" w:rsidRPr="00F54FBD" w:rsidRDefault="0076226E" w:rsidP="00746A06">
            <w:pPr>
              <w:spacing w:before="80" w:line="280" w:lineRule="exact"/>
              <w:ind w:right="640"/>
              <w:rPr>
                <w:rFonts w:ascii="Tahoma" w:hAnsi="Tahoma" w:cs="Tahoma"/>
                <w:b/>
                <w:bCs/>
                <w:iCs/>
                <w:color w:val="243285"/>
                <w:sz w:val="32"/>
                <w:szCs w:val="32"/>
              </w:rPr>
            </w:pPr>
          </w:p>
          <w:p w:rsidR="0076226E" w:rsidRPr="00F54FBD" w:rsidRDefault="0076226E" w:rsidP="00746A06">
            <w:pPr>
              <w:spacing w:before="80" w:after="180" w:line="360" w:lineRule="exact"/>
              <w:ind w:right="720"/>
              <w:rPr>
                <w:rFonts w:ascii="Tahoma" w:hAnsi="Tahoma" w:cs="Tahoma"/>
                <w:b/>
                <w:bCs/>
                <w:iCs/>
                <w:color w:val="243285"/>
                <w:sz w:val="36"/>
                <w:szCs w:val="36"/>
              </w:rPr>
            </w:pPr>
          </w:p>
          <w:p w:rsidR="0076226E" w:rsidRPr="00F54FBD" w:rsidRDefault="0076226E" w:rsidP="00746A06">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76226E" w:rsidRPr="0043089F" w:rsidRDefault="0076226E" w:rsidP="00746A06">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76226E" w:rsidRPr="00F54FBD" w:rsidRDefault="0076226E" w:rsidP="0076226E">
      <w:pPr>
        <w:spacing w:before="80"/>
        <w:rPr>
          <w:i/>
          <w:sz w:val="22"/>
        </w:rPr>
      </w:pPr>
    </w:p>
    <w:p w:rsidR="0076226E" w:rsidRPr="00F54FBD" w:rsidRDefault="0076226E" w:rsidP="0076226E">
      <w:pPr>
        <w:spacing w:before="80"/>
        <w:rPr>
          <w:i/>
          <w:sz w:val="22"/>
        </w:rPr>
      </w:pPr>
    </w:p>
    <w:p w:rsidR="0076226E" w:rsidRPr="00F54FBD" w:rsidRDefault="0076226E" w:rsidP="0076226E">
      <w:pPr>
        <w:spacing w:before="80"/>
        <w:rPr>
          <w:i/>
          <w:sz w:val="22"/>
        </w:rPr>
      </w:pPr>
    </w:p>
    <w:p w:rsidR="0076226E" w:rsidRPr="00F54FBD" w:rsidRDefault="0076226E" w:rsidP="0076226E">
      <w:pPr>
        <w:spacing w:before="80"/>
        <w:rPr>
          <w:i/>
          <w:sz w:val="22"/>
        </w:rPr>
      </w:pPr>
    </w:p>
    <w:p w:rsidR="0076226E" w:rsidRPr="00F54FBD" w:rsidRDefault="0076226E" w:rsidP="0076226E">
      <w:pPr>
        <w:spacing w:before="80"/>
        <w:rPr>
          <w:i/>
          <w:sz w:val="22"/>
        </w:rPr>
      </w:pPr>
    </w:p>
    <w:p w:rsidR="0076226E" w:rsidRPr="00F54FBD" w:rsidRDefault="0076226E" w:rsidP="0076226E">
      <w:pPr>
        <w:spacing w:before="80"/>
        <w:rPr>
          <w:i/>
          <w:sz w:val="22"/>
        </w:rPr>
      </w:pPr>
    </w:p>
    <w:p w:rsidR="0076226E" w:rsidRPr="00F54FBD" w:rsidRDefault="0076226E" w:rsidP="0076226E">
      <w:pPr>
        <w:pStyle w:val="Equation"/>
        <w:tabs>
          <w:tab w:val="clear" w:pos="4820"/>
          <w:tab w:val="clear" w:pos="9639"/>
          <w:tab w:val="left" w:pos="1191"/>
          <w:tab w:val="left" w:pos="1588"/>
          <w:tab w:val="left" w:pos="1985"/>
        </w:tabs>
        <w:rPr>
          <w:rFonts w:ascii="Palatino Linotype" w:hAnsi="Palatino Linotype"/>
        </w:rPr>
        <w:sectPr w:rsidR="0076226E"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76226E" w:rsidRPr="00F54FBD" w:rsidRDefault="0076226E" w:rsidP="007622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76226E" w:rsidRPr="00F54FBD" w:rsidRDefault="0076226E" w:rsidP="0076226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6226E" w:rsidRPr="00F54FBD" w:rsidRDefault="0076226E" w:rsidP="0076226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6226E" w:rsidRPr="00E44CBB" w:rsidRDefault="0076226E" w:rsidP="0076226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6226E" w:rsidRPr="00E44CBB" w:rsidRDefault="0076226E" w:rsidP="0076226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6226E" w:rsidRPr="00C57597" w:rsidRDefault="0076226E" w:rsidP="0076226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6226E" w:rsidRPr="009454F8" w:rsidTr="00746A06">
        <w:tc>
          <w:tcPr>
            <w:tcW w:w="9360" w:type="dxa"/>
            <w:gridSpan w:val="2"/>
          </w:tcPr>
          <w:p w:rsidR="0076226E" w:rsidRPr="009454F8" w:rsidRDefault="0076226E" w:rsidP="00746A0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6226E" w:rsidRPr="009454F8"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76226E" w:rsidRPr="00036EE3" w:rsidTr="00746A06">
        <w:tc>
          <w:tcPr>
            <w:tcW w:w="1140" w:type="dxa"/>
          </w:tcPr>
          <w:p w:rsidR="0076226E" w:rsidRPr="00614CC6" w:rsidRDefault="0076226E" w:rsidP="00746A06">
            <w:pPr>
              <w:spacing w:before="90" w:after="100"/>
              <w:ind w:left="57"/>
              <w:rPr>
                <w:b/>
                <w:bCs/>
                <w:sz w:val="20"/>
                <w:lang w:val="en-US"/>
              </w:rPr>
            </w:pPr>
            <w:r w:rsidRPr="00614CC6">
              <w:rPr>
                <w:b/>
                <w:bCs/>
                <w:sz w:val="20"/>
                <w:lang w:val="en-US"/>
              </w:rPr>
              <w:t>Séries</w:t>
            </w:r>
          </w:p>
        </w:tc>
        <w:tc>
          <w:tcPr>
            <w:tcW w:w="8220" w:type="dxa"/>
          </w:tcPr>
          <w:p w:rsidR="0076226E" w:rsidRPr="00614CC6"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6226E" w:rsidRPr="00036EE3" w:rsidTr="00746A06">
        <w:tc>
          <w:tcPr>
            <w:tcW w:w="1140" w:type="dxa"/>
            <w:tcBorders>
              <w:bottom w:val="nil"/>
            </w:tcBorders>
          </w:tcPr>
          <w:p w:rsidR="0076226E" w:rsidRPr="00614CC6" w:rsidRDefault="0076226E" w:rsidP="00746A06">
            <w:pPr>
              <w:spacing w:before="30" w:after="30"/>
              <w:ind w:left="57"/>
              <w:rPr>
                <w:b/>
                <w:bCs/>
                <w:sz w:val="20"/>
                <w:lang w:val="en-US"/>
              </w:rPr>
            </w:pPr>
            <w:r w:rsidRPr="00614CC6">
              <w:rPr>
                <w:b/>
                <w:bCs/>
                <w:sz w:val="20"/>
                <w:lang w:val="en-US"/>
              </w:rPr>
              <w:t>BO</w:t>
            </w:r>
          </w:p>
        </w:tc>
        <w:tc>
          <w:tcPr>
            <w:tcW w:w="8220" w:type="dxa"/>
            <w:tcBorders>
              <w:bottom w:val="nil"/>
            </w:tcBorders>
          </w:tcPr>
          <w:p w:rsidR="0076226E" w:rsidRPr="00614CC6"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76226E" w:rsidRPr="009454F8" w:rsidTr="00746A06">
        <w:tc>
          <w:tcPr>
            <w:tcW w:w="1140" w:type="dxa"/>
            <w:tcBorders>
              <w:top w:val="nil"/>
              <w:bottom w:val="nil"/>
            </w:tcBorders>
            <w:shd w:val="clear" w:color="auto" w:fill="auto"/>
          </w:tcPr>
          <w:p w:rsidR="0076226E" w:rsidRPr="0014322C" w:rsidRDefault="0076226E" w:rsidP="00746A06">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76226E" w:rsidRPr="0014322C"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76226E" w:rsidRPr="00036EE3" w:rsidTr="00746A06">
        <w:tc>
          <w:tcPr>
            <w:tcW w:w="1140" w:type="dxa"/>
            <w:tcBorders>
              <w:top w:val="nil"/>
              <w:bottom w:val="nil"/>
            </w:tcBorders>
          </w:tcPr>
          <w:p w:rsidR="0076226E" w:rsidRPr="00614CC6" w:rsidRDefault="0076226E" w:rsidP="00746A06">
            <w:pPr>
              <w:spacing w:before="30" w:after="30"/>
              <w:ind w:left="57"/>
              <w:rPr>
                <w:b/>
                <w:bCs/>
                <w:sz w:val="20"/>
                <w:lang w:val="en-US"/>
              </w:rPr>
            </w:pPr>
            <w:r w:rsidRPr="00614CC6">
              <w:rPr>
                <w:b/>
                <w:bCs/>
                <w:sz w:val="20"/>
                <w:lang w:val="en-US"/>
              </w:rPr>
              <w:t>BS</w:t>
            </w:r>
          </w:p>
        </w:tc>
        <w:tc>
          <w:tcPr>
            <w:tcW w:w="8220" w:type="dxa"/>
            <w:tcBorders>
              <w:top w:val="nil"/>
              <w:bottom w:val="nil"/>
            </w:tcBorders>
          </w:tcPr>
          <w:p w:rsidR="0076226E" w:rsidRPr="00614CC6"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76226E" w:rsidRPr="00ED2695" w:rsidTr="00746A06">
        <w:tc>
          <w:tcPr>
            <w:tcW w:w="1140" w:type="dxa"/>
            <w:tcBorders>
              <w:top w:val="nil"/>
              <w:bottom w:val="nil"/>
            </w:tcBorders>
            <w:shd w:val="clear" w:color="auto" w:fill="F3F3F3"/>
          </w:tcPr>
          <w:p w:rsidR="0076226E" w:rsidRPr="0014322C" w:rsidRDefault="0076226E" w:rsidP="00746A06">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76226E" w:rsidRPr="0014322C"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76226E" w:rsidRPr="00036EE3" w:rsidTr="00746A06">
        <w:tc>
          <w:tcPr>
            <w:tcW w:w="1140" w:type="dxa"/>
            <w:tcBorders>
              <w:top w:val="nil"/>
              <w:bottom w:val="nil"/>
            </w:tcBorders>
            <w:shd w:val="clear" w:color="auto" w:fill="auto"/>
          </w:tcPr>
          <w:p w:rsidR="0076226E" w:rsidRPr="00614CC6" w:rsidRDefault="0076226E" w:rsidP="00746A06">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76226E" w:rsidRPr="00614CC6" w:rsidRDefault="0076226E" w:rsidP="00746A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76226E" w:rsidRPr="00592F9F" w:rsidTr="00746A06">
        <w:tc>
          <w:tcPr>
            <w:tcW w:w="1140" w:type="dxa"/>
            <w:tcBorders>
              <w:top w:val="nil"/>
              <w:bottom w:val="nil"/>
            </w:tcBorders>
            <w:shd w:val="clear" w:color="auto" w:fill="auto"/>
          </w:tcPr>
          <w:p w:rsidR="0076226E" w:rsidRPr="00766861" w:rsidRDefault="0076226E" w:rsidP="00746A06">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76226E" w:rsidRPr="00766861" w:rsidRDefault="0076226E" w:rsidP="00746A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76226E" w:rsidRPr="00036EE3" w:rsidTr="00746A06">
        <w:tc>
          <w:tcPr>
            <w:tcW w:w="1140" w:type="dxa"/>
            <w:tcBorders>
              <w:top w:val="nil"/>
            </w:tcBorders>
          </w:tcPr>
          <w:p w:rsidR="0076226E" w:rsidRPr="00614CC6" w:rsidRDefault="0076226E" w:rsidP="00746A06">
            <w:pPr>
              <w:spacing w:before="30" w:after="30"/>
              <w:ind w:left="57"/>
              <w:rPr>
                <w:b/>
                <w:bCs/>
                <w:sz w:val="20"/>
                <w:lang w:val="fr-CH"/>
              </w:rPr>
            </w:pPr>
            <w:r w:rsidRPr="00614CC6">
              <w:rPr>
                <w:b/>
                <w:bCs/>
                <w:sz w:val="20"/>
                <w:lang w:val="fr-CH"/>
              </w:rPr>
              <w:t>P</w:t>
            </w:r>
          </w:p>
        </w:tc>
        <w:tc>
          <w:tcPr>
            <w:tcW w:w="8220" w:type="dxa"/>
            <w:tcBorders>
              <w:top w:val="nil"/>
            </w:tcBorders>
          </w:tcPr>
          <w:p w:rsidR="0076226E" w:rsidRPr="00614CC6" w:rsidRDefault="0076226E" w:rsidP="00746A06">
            <w:pPr>
              <w:spacing w:before="30" w:after="30"/>
              <w:rPr>
                <w:sz w:val="20"/>
                <w:lang w:val="fr-CH"/>
              </w:rPr>
            </w:pPr>
            <w:r w:rsidRPr="00614CC6">
              <w:rPr>
                <w:sz w:val="20"/>
              </w:rPr>
              <w:t>Propagation des ondes radioélectriques</w:t>
            </w:r>
          </w:p>
        </w:tc>
      </w:tr>
      <w:tr w:rsidR="0076226E" w:rsidRPr="00036EE3"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RA</w:t>
            </w:r>
          </w:p>
        </w:tc>
        <w:tc>
          <w:tcPr>
            <w:tcW w:w="8220" w:type="dxa"/>
          </w:tcPr>
          <w:p w:rsidR="0076226E" w:rsidRPr="00614CC6" w:rsidRDefault="0076226E" w:rsidP="00746A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6226E" w:rsidRPr="00036EE3"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RS</w:t>
            </w:r>
          </w:p>
        </w:tc>
        <w:tc>
          <w:tcPr>
            <w:tcW w:w="8220" w:type="dxa"/>
          </w:tcPr>
          <w:p w:rsidR="0076226E" w:rsidRPr="00614CC6" w:rsidRDefault="0076226E" w:rsidP="00746A0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6226E" w:rsidRPr="00036EE3"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S</w:t>
            </w:r>
          </w:p>
        </w:tc>
        <w:tc>
          <w:tcPr>
            <w:tcW w:w="8220" w:type="dxa"/>
          </w:tcPr>
          <w:p w:rsidR="0076226E" w:rsidRPr="00614CC6" w:rsidRDefault="0076226E" w:rsidP="00746A06">
            <w:pPr>
              <w:spacing w:before="30" w:after="30"/>
              <w:rPr>
                <w:sz w:val="20"/>
                <w:lang w:val="en-US"/>
              </w:rPr>
            </w:pPr>
            <w:r w:rsidRPr="00614CC6">
              <w:rPr>
                <w:sz w:val="20"/>
              </w:rPr>
              <w:t>Service fixe par satellite</w:t>
            </w:r>
          </w:p>
        </w:tc>
      </w:tr>
      <w:tr w:rsidR="0076226E" w:rsidRPr="00036EE3"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SA</w:t>
            </w:r>
          </w:p>
        </w:tc>
        <w:tc>
          <w:tcPr>
            <w:tcW w:w="8220" w:type="dxa"/>
          </w:tcPr>
          <w:p w:rsidR="0076226E" w:rsidRPr="00614CC6" w:rsidRDefault="0076226E" w:rsidP="00746A06">
            <w:pPr>
              <w:spacing w:before="30" w:after="30"/>
              <w:rPr>
                <w:sz w:val="20"/>
                <w:lang w:val="en-US"/>
              </w:rPr>
            </w:pPr>
            <w:r w:rsidRPr="00614CC6">
              <w:rPr>
                <w:sz w:val="20"/>
              </w:rPr>
              <w:t>Applications spatiales et météorologie</w:t>
            </w:r>
          </w:p>
        </w:tc>
      </w:tr>
      <w:tr w:rsidR="0076226E" w:rsidRPr="00614CC6"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SF</w:t>
            </w:r>
          </w:p>
        </w:tc>
        <w:tc>
          <w:tcPr>
            <w:tcW w:w="8220" w:type="dxa"/>
          </w:tcPr>
          <w:p w:rsidR="0076226E" w:rsidRPr="00614CC6" w:rsidRDefault="0076226E" w:rsidP="00746A06">
            <w:pPr>
              <w:spacing w:before="30" w:after="30"/>
              <w:rPr>
                <w:sz w:val="20"/>
              </w:rPr>
            </w:pPr>
            <w:r w:rsidRPr="00614CC6">
              <w:rPr>
                <w:sz w:val="20"/>
              </w:rPr>
              <w:t>Partage des fréquences et coordination entre les systèmes du service fixe par satellite et du service fixe</w:t>
            </w:r>
          </w:p>
        </w:tc>
      </w:tr>
      <w:tr w:rsidR="0076226E" w:rsidRPr="00036EE3" w:rsidTr="00746A06">
        <w:tc>
          <w:tcPr>
            <w:tcW w:w="1140" w:type="dxa"/>
            <w:shd w:val="clear" w:color="auto" w:fill="auto"/>
          </w:tcPr>
          <w:p w:rsidR="0076226E" w:rsidRPr="00592F9F" w:rsidRDefault="0076226E" w:rsidP="00746A06">
            <w:pPr>
              <w:spacing w:before="30" w:after="30"/>
              <w:ind w:left="57"/>
              <w:rPr>
                <w:b/>
                <w:bCs/>
                <w:sz w:val="20"/>
                <w:lang w:val="en-US"/>
              </w:rPr>
            </w:pPr>
            <w:r w:rsidRPr="00592F9F">
              <w:rPr>
                <w:b/>
                <w:bCs/>
                <w:sz w:val="20"/>
                <w:lang w:val="en-US"/>
              </w:rPr>
              <w:t>SM</w:t>
            </w:r>
          </w:p>
        </w:tc>
        <w:tc>
          <w:tcPr>
            <w:tcW w:w="8220" w:type="dxa"/>
            <w:shd w:val="clear" w:color="auto" w:fill="auto"/>
          </w:tcPr>
          <w:p w:rsidR="0076226E" w:rsidRPr="00592F9F" w:rsidRDefault="0076226E" w:rsidP="00746A06">
            <w:pPr>
              <w:spacing w:before="30" w:after="30"/>
              <w:rPr>
                <w:sz w:val="20"/>
                <w:lang w:val="en-US"/>
              </w:rPr>
            </w:pPr>
            <w:r w:rsidRPr="00592F9F">
              <w:rPr>
                <w:sz w:val="20"/>
              </w:rPr>
              <w:t>Gestion du spectre</w:t>
            </w:r>
          </w:p>
        </w:tc>
      </w:tr>
      <w:tr w:rsidR="0076226E" w:rsidRPr="00036EE3"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SNG</w:t>
            </w:r>
          </w:p>
        </w:tc>
        <w:tc>
          <w:tcPr>
            <w:tcW w:w="8220" w:type="dxa"/>
          </w:tcPr>
          <w:p w:rsidR="0076226E" w:rsidRPr="00614CC6" w:rsidRDefault="0076226E" w:rsidP="00746A06">
            <w:pPr>
              <w:spacing w:before="30" w:after="30"/>
              <w:rPr>
                <w:sz w:val="20"/>
                <w:lang w:val="en-US"/>
              </w:rPr>
            </w:pPr>
            <w:r w:rsidRPr="00614CC6">
              <w:rPr>
                <w:sz w:val="20"/>
              </w:rPr>
              <w:t>Reportage d'actualités par satellite</w:t>
            </w:r>
          </w:p>
        </w:tc>
      </w:tr>
      <w:tr w:rsidR="0076226E" w:rsidRPr="00614CC6"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TF</w:t>
            </w:r>
          </w:p>
        </w:tc>
        <w:tc>
          <w:tcPr>
            <w:tcW w:w="8220" w:type="dxa"/>
          </w:tcPr>
          <w:p w:rsidR="0076226E" w:rsidRPr="00614CC6" w:rsidRDefault="0076226E" w:rsidP="00746A06">
            <w:pPr>
              <w:spacing w:before="30" w:after="30"/>
              <w:rPr>
                <w:sz w:val="20"/>
              </w:rPr>
            </w:pPr>
            <w:r w:rsidRPr="00614CC6">
              <w:rPr>
                <w:sz w:val="20"/>
              </w:rPr>
              <w:t>Emissions de fréquences étalon et de signaux horaires</w:t>
            </w:r>
          </w:p>
        </w:tc>
      </w:tr>
      <w:tr w:rsidR="0076226E" w:rsidRPr="00036EE3" w:rsidTr="00746A06">
        <w:tc>
          <w:tcPr>
            <w:tcW w:w="1140" w:type="dxa"/>
          </w:tcPr>
          <w:p w:rsidR="0076226E" w:rsidRPr="00614CC6" w:rsidRDefault="0076226E" w:rsidP="00746A06">
            <w:pPr>
              <w:spacing w:before="30" w:after="30"/>
              <w:ind w:left="57"/>
              <w:rPr>
                <w:b/>
                <w:bCs/>
                <w:sz w:val="20"/>
                <w:lang w:val="en-US"/>
              </w:rPr>
            </w:pPr>
            <w:r w:rsidRPr="00614CC6">
              <w:rPr>
                <w:b/>
                <w:bCs/>
                <w:sz w:val="20"/>
                <w:lang w:val="en-US"/>
              </w:rPr>
              <w:t>V</w:t>
            </w:r>
          </w:p>
        </w:tc>
        <w:tc>
          <w:tcPr>
            <w:tcW w:w="8220" w:type="dxa"/>
          </w:tcPr>
          <w:p w:rsidR="0076226E" w:rsidRPr="00614CC6" w:rsidRDefault="0076226E" w:rsidP="00746A06">
            <w:pPr>
              <w:spacing w:before="30" w:after="140"/>
              <w:rPr>
                <w:sz w:val="20"/>
                <w:lang w:val="en-US"/>
              </w:rPr>
            </w:pPr>
            <w:r w:rsidRPr="00614CC6">
              <w:rPr>
                <w:sz w:val="20"/>
              </w:rPr>
              <w:t>Vocabulaire et sujets associés</w:t>
            </w:r>
          </w:p>
        </w:tc>
      </w:tr>
    </w:tbl>
    <w:p w:rsidR="0076226E" w:rsidRPr="00036EE3" w:rsidRDefault="0076226E" w:rsidP="0076226E">
      <w:pPr>
        <w:spacing w:before="0"/>
        <w:jc w:val="center"/>
        <w:rPr>
          <w:sz w:val="20"/>
          <w:lang w:val="en-US"/>
        </w:rPr>
      </w:pPr>
    </w:p>
    <w:p w:rsidR="0076226E" w:rsidRPr="00036EE3" w:rsidRDefault="0076226E" w:rsidP="0076226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6226E" w:rsidRPr="00756B4D" w:rsidTr="00746A06">
        <w:tc>
          <w:tcPr>
            <w:tcW w:w="9360" w:type="dxa"/>
          </w:tcPr>
          <w:p w:rsidR="0076226E" w:rsidRPr="00756B4D" w:rsidRDefault="0076226E" w:rsidP="00746A06">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6226E" w:rsidRPr="00756B4D" w:rsidRDefault="0076226E" w:rsidP="0076226E">
      <w:pPr>
        <w:spacing w:before="0"/>
        <w:jc w:val="center"/>
        <w:rPr>
          <w:sz w:val="22"/>
        </w:rPr>
      </w:pPr>
    </w:p>
    <w:p w:rsidR="0076226E" w:rsidRPr="00614CC6" w:rsidRDefault="0076226E" w:rsidP="0076226E">
      <w:pPr>
        <w:spacing w:before="100"/>
        <w:jc w:val="right"/>
        <w:rPr>
          <w:i/>
          <w:iCs/>
          <w:sz w:val="20"/>
        </w:rPr>
      </w:pPr>
      <w:r w:rsidRPr="00614CC6">
        <w:rPr>
          <w:i/>
          <w:iCs/>
          <w:sz w:val="20"/>
        </w:rPr>
        <w:t>Publication électronique</w:t>
      </w:r>
    </w:p>
    <w:p w:rsidR="0076226E" w:rsidRPr="00614CC6" w:rsidRDefault="0076226E" w:rsidP="0076226E">
      <w:pPr>
        <w:spacing w:before="0"/>
        <w:jc w:val="right"/>
        <w:rPr>
          <w:sz w:val="20"/>
        </w:rPr>
      </w:pPr>
      <w:r w:rsidRPr="00614CC6">
        <w:rPr>
          <w:sz w:val="20"/>
        </w:rPr>
        <w:t>Genève, 20</w:t>
      </w:r>
      <w:r>
        <w:rPr>
          <w:sz w:val="20"/>
        </w:rPr>
        <w:t>13</w:t>
      </w:r>
    </w:p>
    <w:p w:rsidR="0076226E" w:rsidRPr="00614CC6" w:rsidRDefault="0076226E" w:rsidP="0076226E">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13</w:t>
      </w:r>
    </w:p>
    <w:p w:rsidR="0076226E" w:rsidRPr="00614CC6" w:rsidRDefault="0076226E" w:rsidP="0076226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6226E" w:rsidRPr="00614CC6" w:rsidRDefault="0076226E" w:rsidP="0076226E">
      <w:pPr>
        <w:spacing w:before="160"/>
        <w:rPr>
          <w:i/>
          <w:sz w:val="20"/>
          <w:highlight w:val="yellow"/>
        </w:rPr>
        <w:sectPr w:rsidR="0076226E"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76226E" w:rsidRDefault="0076226E" w:rsidP="00862B6B">
      <w:pPr>
        <w:pStyle w:val="RecNo"/>
        <w:spacing w:before="0"/>
      </w:pPr>
      <w:bookmarkStart w:id="4" w:name="irecnoe"/>
      <w:bookmarkEnd w:id="4"/>
      <w:r>
        <w:lastRenderedPageBreak/>
        <w:t xml:space="preserve">RECOMMANDATION  </w:t>
      </w:r>
      <w:r>
        <w:rPr>
          <w:rStyle w:val="href"/>
        </w:rPr>
        <w:t>UIT-R  BT</w:t>
      </w:r>
      <w:bookmarkEnd w:id="0"/>
      <w:r>
        <w:rPr>
          <w:rStyle w:val="href"/>
        </w:rPr>
        <w:t>.</w:t>
      </w:r>
      <w:r w:rsidR="00862B6B">
        <w:rPr>
          <w:rStyle w:val="href"/>
        </w:rPr>
        <w:t>2024</w:t>
      </w:r>
    </w:p>
    <w:p w:rsidR="0076226E" w:rsidRPr="004B17AB" w:rsidRDefault="0076226E" w:rsidP="0076226E">
      <w:pPr>
        <w:pStyle w:val="Rectitle"/>
      </w:pPr>
      <w:r w:rsidRPr="004B17AB">
        <w:t>Systèmes d'images numériques de TVHD pour la production</w:t>
      </w:r>
      <w:r>
        <w:rPr>
          <w:rStyle w:val="FootnoteReference"/>
        </w:rPr>
        <w:footnoteReference w:id="1"/>
      </w:r>
      <w:r w:rsidRPr="004B17AB">
        <w:t xml:space="preserve"> et l'échange international de programmes de TV3D</w:t>
      </w:r>
      <w:r>
        <w:rPr>
          <w:rStyle w:val="FootnoteReference"/>
        </w:rPr>
        <w:footnoteReference w:id="2"/>
      </w:r>
      <w:r w:rsidRPr="004B17AB">
        <w:t xml:space="preserve"> pour la radiodiffusion</w:t>
      </w:r>
    </w:p>
    <w:p w:rsidR="0076226E" w:rsidRDefault="0076226E" w:rsidP="0076226E">
      <w:pPr>
        <w:pStyle w:val="Recdate"/>
        <w:rPr>
          <w:lang w:val="fr-CH"/>
        </w:rPr>
      </w:pPr>
      <w:r>
        <w:rPr>
          <w:lang w:val="fr-CH"/>
        </w:rPr>
        <w:t>(2012)</w:t>
      </w:r>
    </w:p>
    <w:p w:rsidR="0076226E" w:rsidRPr="006966F2" w:rsidRDefault="0076226E" w:rsidP="0076226E">
      <w:pPr>
        <w:pStyle w:val="Normalaftertitle"/>
        <w:rPr>
          <w:lang w:val="fr-CH"/>
        </w:rPr>
      </w:pPr>
    </w:p>
    <w:p w:rsidR="0076226E" w:rsidRPr="00D60F8F" w:rsidRDefault="0076226E" w:rsidP="0076226E">
      <w:pPr>
        <w:pStyle w:val="HeadingSum"/>
        <w:rPr>
          <w:lang w:val="fr-CH"/>
        </w:rPr>
      </w:pPr>
      <w:r w:rsidRPr="00D60F8F">
        <w:rPr>
          <w:lang w:val="fr-CH"/>
        </w:rPr>
        <w:t>Domaine d'application</w:t>
      </w:r>
    </w:p>
    <w:p w:rsidR="0076226E" w:rsidRPr="00D60F8F" w:rsidRDefault="0076226E" w:rsidP="00350B1D">
      <w:pPr>
        <w:pStyle w:val="Summary"/>
      </w:pPr>
      <w:r w:rsidRPr="00D60F8F">
        <w:t>La présente Recommandation définit les systèmes d'images numériques qui devraient être utilisés à l'échelle mondiale pour la production et l'échange international de programmes de TV3D destinés à la radiodiffusion.</w:t>
      </w:r>
    </w:p>
    <w:p w:rsidR="0076226E" w:rsidRPr="00D60F8F" w:rsidRDefault="0076226E" w:rsidP="00350B1D">
      <w:pPr>
        <w:pStyle w:val="Summary"/>
      </w:pPr>
      <w:r w:rsidRPr="00D60F8F">
        <w:t>Elle ne définit pas les paramètres d'acquisition de l'image, par exemple l'angle de l'obturateur de la caméra ou la synchronisation des images de la caméra.</w:t>
      </w:r>
    </w:p>
    <w:p w:rsidR="0076226E" w:rsidRDefault="0076226E" w:rsidP="0076226E">
      <w:pPr>
        <w:pStyle w:val="Normalaftertitle"/>
        <w:rPr>
          <w:lang w:val="fr-CH"/>
        </w:rPr>
      </w:pPr>
      <w:r>
        <w:rPr>
          <w:lang w:val="fr-CH"/>
        </w:rPr>
        <w:t>L'Assemblée des radiocommunications de l'UIT,</w:t>
      </w:r>
    </w:p>
    <w:p w:rsidR="0076226E" w:rsidRDefault="0076226E" w:rsidP="0076226E">
      <w:pPr>
        <w:pStyle w:val="Call"/>
        <w:rPr>
          <w:lang w:val="fr-CH"/>
        </w:rPr>
      </w:pPr>
      <w:r w:rsidRPr="00EA0CE7">
        <w:rPr>
          <w:lang w:val="fr-CH"/>
        </w:rPr>
        <w:t xml:space="preserve">considérant </w:t>
      </w:r>
    </w:p>
    <w:p w:rsidR="0076226E" w:rsidRDefault="0076226E" w:rsidP="0076226E">
      <w:pPr>
        <w:rPr>
          <w:lang w:val="fr-CH"/>
        </w:rPr>
      </w:pPr>
      <w:r w:rsidRPr="006966F2">
        <w:rPr>
          <w:lang w:val="fr-CH"/>
        </w:rPr>
        <w:t>a)</w:t>
      </w:r>
      <w:r>
        <w:rPr>
          <w:lang w:val="fr-CH"/>
        </w:rPr>
        <w:tab/>
        <w:t>que, puisque les producteurs et les radiodiffuseurs de programmes produisent actuellement des programmes de TV3D destinés à une diffusion nationale ou à l'échange international, il est nécessaire d'élaborer un ensemble de Recommandations UIT-R qui devront être utilisées à l'échelle mondiale pour la production de programmes de TV3D destinés à la radiodiffusion afin de faciliter l'échange international de ces programmes;</w:t>
      </w:r>
    </w:p>
    <w:p w:rsidR="0076226E" w:rsidRDefault="0076226E" w:rsidP="0076226E">
      <w:pPr>
        <w:rPr>
          <w:lang w:val="fr-CH"/>
        </w:rPr>
      </w:pPr>
      <w:r w:rsidRPr="006966F2">
        <w:rPr>
          <w:lang w:val="fr-CH"/>
        </w:rPr>
        <w:t>b)</w:t>
      </w:r>
      <w:r>
        <w:rPr>
          <w:lang w:val="fr-CH"/>
        </w:rPr>
        <w:tab/>
        <w:t>que les radiodiffuseurs, les producteurs et les distributeurs de programmes de TV3D doivent préserver la valeur et la qualité de leurs programmes destinés à la radiodiffusion et qu'ils ont donc intérêt à protéger leurs programmes de l'obsolescence technique;</w:t>
      </w:r>
    </w:p>
    <w:p w:rsidR="0076226E" w:rsidRDefault="0076226E" w:rsidP="0076226E">
      <w:pPr>
        <w:rPr>
          <w:lang w:val="fr-CH"/>
        </w:rPr>
      </w:pPr>
      <w:r w:rsidRPr="006966F2">
        <w:rPr>
          <w:lang w:val="fr-CH"/>
        </w:rPr>
        <w:t>c)</w:t>
      </w:r>
      <w:r>
        <w:rPr>
          <w:lang w:val="fr-CH"/>
        </w:rPr>
        <w:tab/>
        <w:t>que, par conséquent, les systèmes d'images de TV3D qui devront être utilisés dans le monde entier, maintenant et pendant un certain temps encore, pour la production et l'échange international de programmes de TV3D destinés à la radiodiffusion, devraient offrir la meilleure qualité d'image sur les plans technique et de la perception que les systèmes actuels largement utilisés dans le monde permettent d'offrir;</w:t>
      </w:r>
    </w:p>
    <w:p w:rsidR="0076226E" w:rsidRDefault="0076226E" w:rsidP="0076226E">
      <w:pPr>
        <w:rPr>
          <w:lang w:val="fr-CH"/>
        </w:rPr>
      </w:pPr>
      <w:r w:rsidRPr="006966F2">
        <w:rPr>
          <w:lang w:val="fr-CH"/>
        </w:rPr>
        <w:t>d)</w:t>
      </w:r>
      <w:r>
        <w:rPr>
          <w:lang w:val="fr-CH"/>
        </w:rPr>
        <w:tab/>
        <w:t xml:space="preserve">que les systèmes de TVHD 1920x1080 définis dans la Partie 2 de </w:t>
      </w:r>
      <w:bookmarkStart w:id="5" w:name="Pre_title"/>
      <w:r>
        <w:rPr>
          <w:lang w:val="fr-CH"/>
        </w:rPr>
        <w:t>la Recommandation UIT</w:t>
      </w:r>
      <w:r>
        <w:rPr>
          <w:lang w:val="fr-CH"/>
        </w:rPr>
        <w:noBreakHyphen/>
        <w:t>R BT.709 «</w:t>
      </w:r>
      <w:r w:rsidRPr="00E451E3">
        <w:rPr>
          <w:lang w:val="fr-CH"/>
        </w:rPr>
        <w:t>Valeur</w:t>
      </w:r>
      <w:r>
        <w:rPr>
          <w:lang w:val="fr-CH"/>
        </w:rPr>
        <w:t>s</w:t>
      </w:r>
      <w:r w:rsidRPr="00E451E3">
        <w:rPr>
          <w:lang w:val="fr-CH"/>
        </w:rPr>
        <w:t xml:space="preserve"> des paramètres des normes de TVHD</w:t>
      </w:r>
      <w:r>
        <w:rPr>
          <w:rStyle w:val="FootnoteReference"/>
          <w:lang w:val="fr-CH"/>
        </w:rPr>
        <w:t xml:space="preserve"> </w:t>
      </w:r>
      <w:r w:rsidRPr="00E451E3">
        <w:rPr>
          <w:lang w:val="fr-CH"/>
        </w:rPr>
        <w:t>pour la production</w:t>
      </w:r>
      <w:r>
        <w:rPr>
          <w:lang w:val="fr-CH"/>
        </w:rPr>
        <w:t> </w:t>
      </w:r>
      <w:r w:rsidRPr="00E451E3">
        <w:rPr>
          <w:lang w:val="fr-CH"/>
        </w:rPr>
        <w:t xml:space="preserve">et l'échange international de </w:t>
      </w:r>
      <w:bookmarkEnd w:id="5"/>
      <w:r>
        <w:rPr>
          <w:lang w:val="fr-CH"/>
        </w:rPr>
        <w:t>programmes» sont les systèmes d'images de télévision qui offrent la meilleure qualité d'image,</w:t>
      </w:r>
    </w:p>
    <w:p w:rsidR="0076226E" w:rsidRDefault="0076226E" w:rsidP="0076226E">
      <w:pPr>
        <w:pStyle w:val="Call"/>
        <w:rPr>
          <w:lang w:val="fr-CH"/>
        </w:rPr>
      </w:pPr>
      <w:r w:rsidRPr="00E451E3">
        <w:rPr>
          <w:lang w:val="fr-CH"/>
        </w:rPr>
        <w:lastRenderedPageBreak/>
        <w:t>recommande</w:t>
      </w:r>
    </w:p>
    <w:p w:rsidR="0076226E" w:rsidRDefault="0076226E" w:rsidP="00350B1D">
      <w:pPr>
        <w:keepNext/>
        <w:keepLines/>
        <w:rPr>
          <w:lang w:val="fr-CH"/>
        </w:rPr>
      </w:pPr>
      <w:r w:rsidRPr="006966F2">
        <w:rPr>
          <w:b/>
          <w:bCs/>
          <w:lang w:val="fr-CH"/>
        </w:rPr>
        <w:t>1</w:t>
      </w:r>
      <w:r>
        <w:rPr>
          <w:lang w:val="fr-CH"/>
        </w:rPr>
        <w:tab/>
        <w:t>d'utiliser</w:t>
      </w:r>
      <w:r w:rsidRPr="00E451E3">
        <w:rPr>
          <w:lang w:val="fr-CH"/>
        </w:rPr>
        <w:t xml:space="preserve"> les systèmes de TVHD 1</w:t>
      </w:r>
      <w:r>
        <w:rPr>
          <w:lang w:val="fr-CH"/>
        </w:rPr>
        <w:t> </w:t>
      </w:r>
      <w:r w:rsidRPr="00E451E3">
        <w:rPr>
          <w:lang w:val="fr-CH"/>
        </w:rPr>
        <w:t>920</w:t>
      </w:r>
      <w:r>
        <w:rPr>
          <w:lang w:val="fr-CH"/>
        </w:rPr>
        <w:t> </w:t>
      </w:r>
      <w:r w:rsidRPr="00E451E3">
        <w:rPr>
          <w:lang w:val="fr-CH"/>
        </w:rPr>
        <w:t>x</w:t>
      </w:r>
      <w:r>
        <w:rPr>
          <w:lang w:val="fr-CH"/>
        </w:rPr>
        <w:t> </w:t>
      </w:r>
      <w:r w:rsidRPr="00E451E3">
        <w:rPr>
          <w:lang w:val="fr-CH"/>
        </w:rPr>
        <w:t>1</w:t>
      </w:r>
      <w:r>
        <w:rPr>
          <w:lang w:val="fr-CH"/>
        </w:rPr>
        <w:t> </w:t>
      </w:r>
      <w:r w:rsidRPr="00E451E3">
        <w:rPr>
          <w:lang w:val="fr-CH"/>
        </w:rPr>
        <w:t>080 définis dans l</w:t>
      </w:r>
      <w:r>
        <w:rPr>
          <w:lang w:val="fr-CH"/>
        </w:rPr>
        <w:t>a Partie 2 de la Recommandation </w:t>
      </w:r>
      <w:r w:rsidRPr="00E451E3">
        <w:rPr>
          <w:lang w:val="fr-CH"/>
        </w:rPr>
        <w:t>UIT-R BT.709, pour la production et l</w:t>
      </w:r>
      <w:r>
        <w:rPr>
          <w:lang w:val="fr-CH"/>
        </w:rPr>
        <w:t>'</w:t>
      </w:r>
      <w:r w:rsidRPr="00E451E3">
        <w:rPr>
          <w:lang w:val="fr-CH"/>
        </w:rPr>
        <w:t>échange</w:t>
      </w:r>
      <w:r>
        <w:rPr>
          <w:lang w:val="fr-CH"/>
        </w:rPr>
        <w:t xml:space="preserve"> international de programmes de </w:t>
      </w:r>
      <w:r w:rsidRPr="00E451E3">
        <w:rPr>
          <w:lang w:val="fr-CH"/>
        </w:rPr>
        <w:t>TV3D</w:t>
      </w:r>
      <w:r>
        <w:rPr>
          <w:rStyle w:val="FootnoteReference"/>
          <w:lang w:val="fr-CH"/>
        </w:rPr>
        <w:footnoteReference w:id="3"/>
      </w:r>
      <w:r>
        <w:rPr>
          <w:lang w:val="fr-CH"/>
        </w:rPr>
        <w:t>;</w:t>
      </w:r>
    </w:p>
    <w:p w:rsidR="0076226E" w:rsidRDefault="0076226E" w:rsidP="00350B1D">
      <w:pPr>
        <w:keepNext/>
        <w:keepLines/>
        <w:rPr>
          <w:lang w:val="fr-CH"/>
        </w:rPr>
      </w:pPr>
      <w:r w:rsidRPr="006966F2">
        <w:rPr>
          <w:b/>
          <w:bCs/>
          <w:lang w:val="fr-CH"/>
        </w:rPr>
        <w:t>2</w:t>
      </w:r>
      <w:r>
        <w:rPr>
          <w:lang w:val="fr-CH"/>
        </w:rPr>
        <w:tab/>
        <w:t>que la grille d'échantillonnage normalement utilisée pour le programme original de TV3D destiné à la radiodiffusion soit la grille 4:2:2 et que la grille d'échantillonnage 4:4:4 (RGB) puisse être utilisée pendant le processus de production impliquant un traitement complexe;</w:t>
      </w:r>
    </w:p>
    <w:p w:rsidR="0076226E" w:rsidRDefault="0076226E" w:rsidP="0076226E">
      <w:pPr>
        <w:rPr>
          <w:lang w:val="fr-CH"/>
        </w:rPr>
      </w:pPr>
      <w:r w:rsidRPr="006966F2">
        <w:rPr>
          <w:b/>
          <w:bCs/>
          <w:lang w:val="fr-CH"/>
        </w:rPr>
        <w:t>3</w:t>
      </w:r>
      <w:r>
        <w:rPr>
          <w:lang w:val="fr-CH"/>
        </w:rPr>
        <w:tab/>
        <w:t>que la profondeur binaire préférée utilisée pour la TV3D soit de 10 bits/échantillon</w:t>
      </w:r>
      <w:r>
        <w:rPr>
          <w:rStyle w:val="FootnoteReference"/>
          <w:lang w:val="fr-CH"/>
        </w:rPr>
        <w:footnoteReference w:id="4"/>
      </w:r>
      <w:r>
        <w:rPr>
          <w:lang w:val="fr-CH"/>
        </w:rPr>
        <w:t>;</w:t>
      </w:r>
    </w:p>
    <w:p w:rsidR="0076226E" w:rsidRDefault="0076226E" w:rsidP="0076226E">
      <w:pPr>
        <w:rPr>
          <w:lang w:val="fr-CH"/>
        </w:rPr>
      </w:pPr>
      <w:r w:rsidRPr="006966F2">
        <w:rPr>
          <w:b/>
          <w:bCs/>
          <w:lang w:val="fr-CH"/>
        </w:rPr>
        <w:t>4</w:t>
      </w:r>
      <w:r>
        <w:rPr>
          <w:lang w:val="fr-CH"/>
        </w:rPr>
        <w:tab/>
        <w:t>que l'échange international de l'image pour l'oeil gauche (Le) et de l'image pour l'oeil droit (Re)</w:t>
      </w:r>
      <w:r>
        <w:rPr>
          <w:rStyle w:val="FootnoteReference"/>
          <w:lang w:val="fr-CH"/>
        </w:rPr>
        <w:footnoteReference w:id="5"/>
      </w:r>
      <w:r>
        <w:rPr>
          <w:lang w:val="fr-CH"/>
        </w:rPr>
        <w:t xml:space="preserve"> d'une paire d'images de TV3D se fasse sous forme de deux images pleine résolution 1 920 x 1 080 ayant la même structure de pixels et la même fréquence de répétition</w:t>
      </w:r>
      <w:r>
        <w:rPr>
          <w:rStyle w:val="FootnoteReference"/>
          <w:lang w:val="fr-CH"/>
        </w:rPr>
        <w:footnoteReference w:id="6"/>
      </w:r>
      <w:r>
        <w:rPr>
          <w:lang w:val="fr-CH"/>
        </w:rPr>
        <w:t>;</w:t>
      </w:r>
    </w:p>
    <w:p w:rsidR="0076226E" w:rsidRDefault="0076226E" w:rsidP="0076226E">
      <w:pPr>
        <w:rPr>
          <w:lang w:val="fr-CH"/>
        </w:rPr>
      </w:pPr>
      <w:r w:rsidRPr="006966F2">
        <w:rPr>
          <w:b/>
          <w:bCs/>
          <w:lang w:val="fr-CH"/>
        </w:rPr>
        <w:t>5</w:t>
      </w:r>
      <w:r>
        <w:rPr>
          <w:lang w:val="fr-CH"/>
        </w:rPr>
        <w:tab/>
        <w:t>que la synchronisation relative entre l'image pour l'oeil gauche et l'image pour l'oeil droit au point d'échange soit suffisamment précise pour que les dispositifs en aval puissent resynchroniser les images en vue de leur affichage;</w:t>
      </w:r>
    </w:p>
    <w:p w:rsidR="0076226E" w:rsidRPr="0076226E" w:rsidRDefault="0076226E" w:rsidP="0076226E">
      <w:pPr>
        <w:rPr>
          <w:lang w:val="fr-CH"/>
        </w:rPr>
      </w:pPr>
      <w:r w:rsidRPr="006966F2">
        <w:rPr>
          <w:b/>
          <w:bCs/>
          <w:lang w:val="fr-CH"/>
        </w:rPr>
        <w:t>6</w:t>
      </w:r>
      <w:r>
        <w:rPr>
          <w:lang w:val="fr-CH"/>
        </w:rPr>
        <w:tab/>
        <w:t>que les valeurs des paramètres de l'image choisies parmi les valeurs spécifiées dans la présente Recommandation soient incluses dans les métadonnées qui accompagnent les images.</w:t>
      </w:r>
    </w:p>
    <w:p w:rsidR="0076226E" w:rsidRDefault="0076226E" w:rsidP="0076226E">
      <w:pPr>
        <w:rPr>
          <w:lang w:val="fr-CH"/>
        </w:rPr>
      </w:pPr>
    </w:p>
    <w:p w:rsidR="00551B50" w:rsidRDefault="00551B50" w:rsidP="0076226E">
      <w:pPr>
        <w:rPr>
          <w:lang w:val="fr-CH"/>
        </w:rPr>
      </w:pPr>
    </w:p>
    <w:p w:rsidR="00551B50" w:rsidRPr="0076226E" w:rsidRDefault="00551B50" w:rsidP="00551B50">
      <w:pPr>
        <w:jc w:val="center"/>
        <w:rPr>
          <w:lang w:val="fr-CH"/>
        </w:rPr>
      </w:pPr>
      <w:r>
        <w:rPr>
          <w:lang w:val="fr-CH"/>
        </w:rPr>
        <w:t>_____________</w:t>
      </w:r>
    </w:p>
    <w:sectPr w:rsidR="00551B50" w:rsidRPr="0076226E" w:rsidSect="0099403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26E" w:rsidRDefault="0076226E">
      <w:r>
        <w:separator/>
      </w:r>
    </w:p>
  </w:endnote>
  <w:endnote w:type="continuationSeparator" w:id="0">
    <w:p w:rsidR="0076226E" w:rsidRDefault="00762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26E" w:rsidRDefault="0076226E">
      <w:r>
        <w:separator/>
      </w:r>
    </w:p>
  </w:footnote>
  <w:footnote w:type="continuationSeparator" w:id="0">
    <w:p w:rsidR="0076226E" w:rsidRDefault="0076226E">
      <w:r>
        <w:continuationSeparator/>
      </w:r>
    </w:p>
  </w:footnote>
  <w:footnote w:id="1">
    <w:p w:rsidR="0076226E" w:rsidRPr="003E240C" w:rsidRDefault="0076226E" w:rsidP="0076226E">
      <w:pPr>
        <w:pStyle w:val="FootnoteText"/>
        <w:keepLines w:val="0"/>
        <w:rPr>
          <w:szCs w:val="22"/>
          <w:lang w:val="fr-CH"/>
        </w:rPr>
      </w:pPr>
      <w:r>
        <w:rPr>
          <w:rStyle w:val="FootnoteReference"/>
        </w:rPr>
        <w:footnoteRef/>
      </w:r>
      <w:r>
        <w:tab/>
      </w:r>
      <w:r w:rsidRPr="003E240C">
        <w:rPr>
          <w:szCs w:val="22"/>
          <w:lang w:val="fr-CH"/>
        </w:rPr>
        <w:t>Dans la présente Recommandation, le terme «production» est utilisé dans le même sens que dans la Recommandation UIT-R BT.1662, c'</w:t>
      </w:r>
      <w:r>
        <w:rPr>
          <w:szCs w:val="22"/>
          <w:lang w:val="fr-CH"/>
        </w:rPr>
        <w:t>est-à-</w:t>
      </w:r>
      <w:r w:rsidRPr="003E240C">
        <w:rPr>
          <w:szCs w:val="22"/>
          <w:lang w:val="fr-CH"/>
        </w:rPr>
        <w:t>dire que la partie production de l'ensemble de la chaîne de radiodiffusion télévisuelle comprend les fonctions d'acquisition et de postproduction et aboutit au programme original fini.</w:t>
      </w:r>
    </w:p>
  </w:footnote>
  <w:footnote w:id="2">
    <w:p w:rsidR="0076226E" w:rsidRPr="003E240C" w:rsidRDefault="0076226E" w:rsidP="0076226E">
      <w:pPr>
        <w:pStyle w:val="FootnoteText"/>
        <w:keepLines w:val="0"/>
        <w:rPr>
          <w:sz w:val="24"/>
          <w:szCs w:val="24"/>
          <w:lang w:val="fr-CH"/>
        </w:rPr>
      </w:pPr>
      <w:r>
        <w:rPr>
          <w:rStyle w:val="FootnoteReference"/>
        </w:rPr>
        <w:footnoteRef/>
      </w:r>
      <w:r>
        <w:tab/>
      </w:r>
      <w:r w:rsidRPr="003E240C">
        <w:rPr>
          <w:szCs w:val="22"/>
        </w:rPr>
        <w:t>Dans la présente Recommandation, le terme de TV3D s'entend au sens d'image stéréoscopique ou de paire d'images.</w:t>
      </w:r>
    </w:p>
  </w:footnote>
  <w:footnote w:id="3">
    <w:p w:rsidR="0076226E" w:rsidRPr="00BF6492" w:rsidRDefault="0076226E" w:rsidP="0076226E">
      <w:pPr>
        <w:pStyle w:val="FootnoteText"/>
        <w:rPr>
          <w:lang w:val="fr-CH"/>
        </w:rPr>
      </w:pPr>
      <w:r>
        <w:rPr>
          <w:rStyle w:val="FootnoteReference"/>
        </w:rPr>
        <w:footnoteRef/>
      </w:r>
      <w:r>
        <w:tab/>
        <w:t>Les systèmes de TVHD 60/P et 50/P seront, à terme, utilisés à cette fin.</w:t>
      </w:r>
    </w:p>
  </w:footnote>
  <w:footnote w:id="4">
    <w:p w:rsidR="0076226E" w:rsidRPr="00BF6492" w:rsidRDefault="0076226E" w:rsidP="0076226E">
      <w:pPr>
        <w:pStyle w:val="FootnoteText"/>
        <w:rPr>
          <w:lang w:val="fr-CH"/>
        </w:rPr>
      </w:pPr>
      <w:r>
        <w:rPr>
          <w:rStyle w:val="FootnoteReference"/>
        </w:rPr>
        <w:footnoteRef/>
      </w:r>
      <w:r>
        <w:tab/>
      </w:r>
      <w:r>
        <w:rPr>
          <w:lang w:val="fr-CH"/>
        </w:rPr>
        <w:t xml:space="preserve">Dans certains cas, on peut utiliser 8 bits. </w:t>
      </w:r>
    </w:p>
  </w:footnote>
  <w:footnote w:id="5">
    <w:p w:rsidR="0076226E" w:rsidRPr="00BF6492" w:rsidRDefault="0076226E" w:rsidP="0076226E">
      <w:pPr>
        <w:pStyle w:val="FootnoteText"/>
        <w:rPr>
          <w:lang w:val="fr-CH"/>
        </w:rPr>
      </w:pPr>
      <w:r>
        <w:rPr>
          <w:rStyle w:val="FootnoteReference"/>
        </w:rPr>
        <w:footnoteRef/>
      </w:r>
      <w:r>
        <w:tab/>
      </w:r>
      <w:r>
        <w:rPr>
          <w:lang w:val="fr-CH"/>
        </w:rPr>
        <w:t>Le et Re sont les abréviations pour oeil gauche et oeil droit respectivement.</w:t>
      </w:r>
    </w:p>
  </w:footnote>
  <w:footnote w:id="6">
    <w:p w:rsidR="0076226E" w:rsidRPr="003E240C" w:rsidRDefault="0076226E" w:rsidP="0076226E">
      <w:pPr>
        <w:pStyle w:val="FootnoteText"/>
        <w:rPr>
          <w:iCs/>
          <w:lang w:val="fr-CH"/>
        </w:rPr>
      </w:pPr>
      <w:r>
        <w:rPr>
          <w:rStyle w:val="FootnoteReference"/>
        </w:rPr>
        <w:footnoteRef/>
      </w:r>
      <w:r>
        <w:tab/>
      </w:r>
      <w:r>
        <w:rPr>
          <w:lang w:val="fr-CH"/>
        </w:rPr>
        <w:t xml:space="preserve">Dans des circonstances particulières, un radiodiffuseur peut décider de s'écarter des dispositions du </w:t>
      </w:r>
      <w:r w:rsidRPr="00BF6492">
        <w:rPr>
          <w:i/>
          <w:iCs/>
          <w:lang w:val="fr-CH"/>
        </w:rPr>
        <w:t>recommande</w:t>
      </w:r>
      <w:r>
        <w:rPr>
          <w:iCs/>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6E" w:rsidRDefault="0076226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6E" w:rsidRDefault="0076226E" w:rsidP="0014322C">
    <w:pPr>
      <w:pStyle w:val="Header"/>
      <w:ind w:right="360" w:firstLine="360"/>
    </w:pPr>
    <w:r>
      <w:rPr>
        <w:noProof/>
        <w:lang w:val="en-US" w:eastAsia="zh-CN"/>
      </w:rPr>
      <w:drawing>
        <wp:anchor distT="0" distB="0" distL="114300" distR="114300" simplePos="0" relativeHeight="251659264" behindDoc="1" locked="0" layoutInCell="1" allowOverlap="1" wp14:anchorId="371D7B85" wp14:editId="01185D4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6E" w:rsidRPr="0076226E" w:rsidRDefault="0076226E">
    <w:pPr>
      <w:pStyle w:val="Header"/>
      <w:jc w:val="left"/>
      <w:rPr>
        <w:lang w:val="fr-CH"/>
      </w:rPr>
    </w:pPr>
    <w:r>
      <w:rPr>
        <w:rStyle w:val="PageNumber"/>
        <w:b/>
        <w:bCs/>
      </w:rPr>
      <w:fldChar w:fldCharType="begin"/>
    </w:r>
    <w:r w:rsidRPr="0076226E">
      <w:rPr>
        <w:rStyle w:val="PageNumber"/>
        <w:b/>
        <w:bCs/>
        <w:lang w:val="fr-CH"/>
      </w:rPr>
      <w:instrText xml:space="preserve"> PAGE </w:instrText>
    </w:r>
    <w:r>
      <w:rPr>
        <w:rStyle w:val="PageNumber"/>
        <w:b/>
        <w:bCs/>
      </w:rPr>
      <w:fldChar w:fldCharType="separate"/>
    </w:r>
    <w:r w:rsidR="00551B50">
      <w:rPr>
        <w:rStyle w:val="PageNumber"/>
        <w:b/>
        <w:bCs/>
        <w:noProof/>
        <w:lang w:val="fr-CH"/>
      </w:rPr>
      <w:t>ii</w:t>
    </w:r>
    <w:r>
      <w:rPr>
        <w:rStyle w:val="PageNumber"/>
        <w:b/>
        <w:bCs/>
      </w:rPr>
      <w:fldChar w:fldCharType="end"/>
    </w:r>
    <w:r w:rsidRPr="0076226E">
      <w:rPr>
        <w:lang w:val="fr-CH"/>
      </w:rPr>
      <w:tab/>
    </w:r>
    <w:r>
      <w:fldChar w:fldCharType="begin"/>
    </w:r>
    <w:r>
      <w:instrText xml:space="preserve"> DOCPROPERTY "Header" \* MERGEFORMAT </w:instrText>
    </w:r>
    <w:r>
      <w:fldChar w:fldCharType="separate"/>
    </w:r>
    <w:r w:rsidR="00551B50" w:rsidRPr="00551B50">
      <w:rPr>
        <w:b/>
        <w:bCs/>
        <w:lang w:val="fr-CH"/>
      </w:rPr>
      <w:t xml:space="preserve">Rec. </w:t>
    </w:r>
    <w:r>
      <w:rPr>
        <w:b/>
        <w:bCs/>
        <w:lang w:val="en-US"/>
      </w:rPr>
      <w:fldChar w:fldCharType="end"/>
    </w:r>
    <w:r>
      <w:rPr>
        <w:b/>
        <w:bCs/>
      </w:rPr>
      <w:t xml:space="preserve"> </w:t>
    </w:r>
    <w:r>
      <w:rPr>
        <w:b/>
        <w:bCs/>
      </w:rPr>
      <w:fldChar w:fldCharType="begin"/>
    </w:r>
    <w:r w:rsidRPr="0076226E">
      <w:rPr>
        <w:b/>
        <w:bCs/>
        <w:lang w:val="fr-CH"/>
      </w:rPr>
      <w:instrText>styleref href</w:instrText>
    </w:r>
    <w:r>
      <w:rPr>
        <w:b/>
        <w:bCs/>
      </w:rPr>
      <w:fldChar w:fldCharType="separate"/>
    </w:r>
    <w:r w:rsidR="00551B50">
      <w:rPr>
        <w:b/>
        <w:bCs/>
        <w:noProof/>
      </w:rPr>
      <w:t>UIT-R  BT.2024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6E" w:rsidRDefault="0076226E">
    <w:pPr>
      <w:pStyle w:val="Header"/>
    </w:pPr>
    <w:r>
      <w:tab/>
    </w:r>
    <w:r>
      <w:fldChar w:fldCharType="begin"/>
    </w:r>
    <w:r>
      <w:instrText xml:space="preserve"> DOCPROPERTY "Header" \* MERGEFORMAT </w:instrText>
    </w:r>
    <w:r>
      <w:fldChar w:fldCharType="separate"/>
    </w:r>
    <w:r w:rsidR="00551B50" w:rsidRPr="00551B5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51B50">
      <w:rPr>
        <w:b/>
        <w:bCs/>
        <w:noProof/>
      </w:rPr>
      <w:t>UIT-R  BT.2024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1B5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51B50" w:rsidRPr="00551B5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51B50">
      <w:rPr>
        <w:b/>
        <w:bCs/>
        <w:noProof/>
      </w:rPr>
      <w:t>UIT-R  BT.2024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551B50">
      <w:fldChar w:fldCharType="begin"/>
    </w:r>
    <w:r w:rsidR="00551B50">
      <w:instrText xml:space="preserve"> DOCPROPERTY "Header" \* MERGEFORMAT </w:instrText>
    </w:r>
    <w:r w:rsidR="00551B50">
      <w:fldChar w:fldCharType="separate"/>
    </w:r>
    <w:r w:rsidR="00551B50" w:rsidRPr="00551B50">
      <w:rPr>
        <w:b/>
        <w:bCs/>
      </w:rPr>
      <w:t xml:space="preserve">Rec. </w:t>
    </w:r>
    <w:r w:rsidR="00551B50">
      <w:rPr>
        <w:b/>
        <w:bCs/>
      </w:rPr>
      <w:fldChar w:fldCharType="end"/>
    </w:r>
    <w:r>
      <w:rPr>
        <w:b/>
        <w:bCs/>
      </w:rPr>
      <w:t xml:space="preserve"> </w:t>
    </w:r>
    <w:r>
      <w:rPr>
        <w:b/>
        <w:bCs/>
      </w:rPr>
      <w:fldChar w:fldCharType="begin"/>
    </w:r>
    <w:r>
      <w:rPr>
        <w:b/>
        <w:bCs/>
      </w:rPr>
      <w:instrText>styleref href</w:instrText>
    </w:r>
    <w:r>
      <w:rPr>
        <w:b/>
        <w:bCs/>
      </w:rPr>
      <w:fldChar w:fldCharType="separate"/>
    </w:r>
    <w:r w:rsidR="00551B50">
      <w:rPr>
        <w:b/>
        <w:bCs/>
        <w:noProof/>
      </w:rPr>
      <w:t>UIT-R  BT.2024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1B5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26E"/>
    <w:rsid w:val="00217EBF"/>
    <w:rsid w:val="00242AEE"/>
    <w:rsid w:val="002D76C4"/>
    <w:rsid w:val="00350B1D"/>
    <w:rsid w:val="0052529D"/>
    <w:rsid w:val="00551B50"/>
    <w:rsid w:val="00607D68"/>
    <w:rsid w:val="007468DA"/>
    <w:rsid w:val="0076226E"/>
    <w:rsid w:val="00862B6B"/>
    <w:rsid w:val="00994032"/>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22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50B1D"/>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6226E"/>
    <w:rPr>
      <w:color w:val="0000FF"/>
      <w:u w:val="single"/>
    </w:rPr>
  </w:style>
  <w:style w:type="character" w:customStyle="1" w:styleId="RectitleChar">
    <w:name w:val="Rec_title Char"/>
    <w:link w:val="Rectitle"/>
    <w:locked/>
    <w:rsid w:val="0076226E"/>
    <w:rPr>
      <w:b/>
      <w:sz w:val="28"/>
      <w:lang w:val="fr-FR" w:eastAsia="en-US"/>
    </w:rPr>
  </w:style>
  <w:style w:type="character" w:customStyle="1" w:styleId="FootnoteTextChar">
    <w:name w:val="Footnote Text Char"/>
    <w:basedOn w:val="DefaultParagraphFont"/>
    <w:link w:val="FootnoteText"/>
    <w:rsid w:val="0076226E"/>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22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350B1D"/>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6226E"/>
    <w:rPr>
      <w:color w:val="0000FF"/>
      <w:u w:val="single"/>
    </w:rPr>
  </w:style>
  <w:style w:type="character" w:customStyle="1" w:styleId="RectitleChar">
    <w:name w:val="Rec_title Char"/>
    <w:link w:val="Rectitle"/>
    <w:locked/>
    <w:rsid w:val="0076226E"/>
    <w:rPr>
      <w:b/>
      <w:sz w:val="28"/>
      <w:lang w:val="fr-FR" w:eastAsia="en-US"/>
    </w:rPr>
  </w:style>
  <w:style w:type="character" w:customStyle="1" w:styleId="FootnoteTextChar">
    <w:name w:val="Footnote Text Char"/>
    <w:basedOn w:val="DefaultParagraphFont"/>
    <w:link w:val="FootnoteText"/>
    <w:rsid w:val="0076226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6</TotalTime>
  <Pages>4</Pages>
  <Words>879</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5</cp:revision>
  <cp:lastPrinted>2005-02-10T15:54:00Z</cp:lastPrinted>
  <dcterms:created xsi:type="dcterms:W3CDTF">2013-02-28T14:01:00Z</dcterms:created>
  <dcterms:modified xsi:type="dcterms:W3CDTF">2013-02-28T14:10:00Z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