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A2636C">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A2636C">
              <w:rPr>
                <w:rFonts w:ascii="Tahoma" w:hAnsi="Tahoma" w:cs="Tahoma"/>
                <w:b/>
                <w:bCs/>
                <w:iCs/>
                <w:color w:val="243285"/>
                <w:sz w:val="36"/>
                <w:szCs w:val="36"/>
              </w:rPr>
              <w:t>1886</w:t>
            </w:r>
          </w:p>
          <w:p w:rsidR="00FE79FE" w:rsidRPr="006B55A9" w:rsidRDefault="007D3B79" w:rsidP="00A2636C">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A2636C">
              <w:rPr>
                <w:rFonts w:ascii="Tahoma" w:hAnsi="Tahoma" w:cs="Tahoma"/>
                <w:b/>
                <w:bCs/>
                <w:iCs/>
                <w:color w:val="243285"/>
                <w:szCs w:val="24"/>
              </w:rPr>
              <w:t>03</w:t>
            </w:r>
            <w:r w:rsidR="00FE79FE" w:rsidRPr="006B55A9">
              <w:rPr>
                <w:rFonts w:ascii="Tahoma" w:hAnsi="Tahoma" w:cs="Tahoma"/>
                <w:b/>
                <w:bCs/>
                <w:iCs/>
                <w:color w:val="243285"/>
                <w:szCs w:val="24"/>
              </w:rPr>
              <w:t>/</w:t>
            </w:r>
            <w:r w:rsidR="00A2636C">
              <w:rPr>
                <w:rFonts w:ascii="Tahoma" w:hAnsi="Tahoma" w:cs="Tahoma"/>
                <w:b/>
                <w:bCs/>
                <w:iCs/>
                <w:color w:val="243285"/>
                <w:szCs w:val="24"/>
              </w:rPr>
              <w:t>2011</w:t>
            </w:r>
            <w:r w:rsidR="00FE79FE" w:rsidRPr="006B55A9">
              <w:rPr>
                <w:rFonts w:ascii="Tahoma" w:hAnsi="Tahoma" w:cs="Tahoma"/>
                <w:b/>
                <w:bCs/>
                <w:iCs/>
                <w:color w:val="243285"/>
                <w:szCs w:val="24"/>
              </w:rPr>
              <w:t>)</w:t>
            </w:r>
          </w:p>
        </w:tc>
      </w:tr>
      <w:tr w:rsidR="00FE79FE" w:rsidRPr="002D2C98" w:rsidTr="006B55A9">
        <w:tc>
          <w:tcPr>
            <w:tcW w:w="10089" w:type="dxa"/>
          </w:tcPr>
          <w:p w:rsidR="00013002" w:rsidRPr="00A2636C"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A2636C" w:rsidP="002D2C98">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 xml:space="preserve">Reference </w:t>
            </w:r>
            <w:r w:rsidR="002D2C98">
              <w:rPr>
                <w:rFonts w:ascii="Tahoma" w:hAnsi="Tahoma" w:cs="Tahoma"/>
                <w:b/>
                <w:bCs/>
                <w:color w:val="243285"/>
                <w:sz w:val="44"/>
                <w:szCs w:val="44"/>
                <w:lang w:val="en-US"/>
              </w:rPr>
              <w:t>e</w:t>
            </w:r>
            <w:r>
              <w:rPr>
                <w:rFonts w:ascii="Tahoma" w:hAnsi="Tahoma" w:cs="Tahoma"/>
                <w:b/>
                <w:bCs/>
                <w:color w:val="243285"/>
                <w:sz w:val="44"/>
                <w:szCs w:val="44"/>
                <w:lang w:val="en-US"/>
              </w:rPr>
              <w:t>lectro-</w:t>
            </w:r>
            <w:r w:rsidR="002D2C98">
              <w:rPr>
                <w:rFonts w:ascii="Tahoma" w:hAnsi="Tahoma" w:cs="Tahoma"/>
                <w:b/>
                <w:bCs/>
                <w:color w:val="243285"/>
                <w:sz w:val="44"/>
                <w:szCs w:val="44"/>
                <w:lang w:val="en-US"/>
              </w:rPr>
              <w:t>o</w:t>
            </w:r>
            <w:r>
              <w:rPr>
                <w:rFonts w:ascii="Tahoma" w:hAnsi="Tahoma" w:cs="Tahoma"/>
                <w:b/>
                <w:bCs/>
                <w:color w:val="243285"/>
                <w:sz w:val="44"/>
                <w:szCs w:val="44"/>
                <w:lang w:val="en-US"/>
              </w:rPr>
              <w:t xml:space="preserve">ptical </w:t>
            </w:r>
            <w:r w:rsidR="002D2C98">
              <w:rPr>
                <w:rFonts w:ascii="Tahoma" w:hAnsi="Tahoma" w:cs="Tahoma"/>
                <w:b/>
                <w:bCs/>
                <w:color w:val="243285"/>
                <w:sz w:val="44"/>
                <w:szCs w:val="44"/>
                <w:lang w:val="en-US"/>
              </w:rPr>
              <w:t>t</w:t>
            </w:r>
            <w:r>
              <w:rPr>
                <w:rFonts w:ascii="Tahoma" w:hAnsi="Tahoma" w:cs="Tahoma"/>
                <w:b/>
                <w:bCs/>
                <w:color w:val="243285"/>
                <w:sz w:val="44"/>
                <w:szCs w:val="44"/>
                <w:lang w:val="en-US"/>
              </w:rPr>
              <w:t xml:space="preserve">ransfer </w:t>
            </w:r>
            <w:r w:rsidR="002D2C98">
              <w:rPr>
                <w:rFonts w:ascii="Tahoma" w:hAnsi="Tahoma" w:cs="Tahoma"/>
                <w:b/>
                <w:bCs/>
                <w:color w:val="243285"/>
                <w:sz w:val="44"/>
                <w:szCs w:val="44"/>
                <w:lang w:val="en-US"/>
              </w:rPr>
              <w:t>f</w:t>
            </w:r>
            <w:r>
              <w:rPr>
                <w:rFonts w:ascii="Tahoma" w:hAnsi="Tahoma" w:cs="Tahoma"/>
                <w:b/>
                <w:bCs/>
                <w:color w:val="243285"/>
                <w:sz w:val="44"/>
                <w:szCs w:val="44"/>
                <w:lang w:val="en-US"/>
              </w:rPr>
              <w:t>unction for flat panel displays used in HDTV</w:t>
            </w:r>
            <w:r w:rsidR="002D2C98">
              <w:rPr>
                <w:rFonts w:ascii="Tahoma" w:hAnsi="Tahoma" w:cs="Tahoma"/>
                <w:b/>
                <w:bCs/>
                <w:color w:val="243285"/>
                <w:sz w:val="44"/>
                <w:szCs w:val="44"/>
                <w:lang w:val="en-US"/>
              </w:rPr>
              <w:br/>
            </w:r>
            <w:r>
              <w:rPr>
                <w:rFonts w:ascii="Tahoma" w:hAnsi="Tahoma" w:cs="Tahoma"/>
                <w:b/>
                <w:bCs/>
                <w:color w:val="243285"/>
                <w:sz w:val="44"/>
                <w:szCs w:val="44"/>
                <w:lang w:val="en-US"/>
              </w:rPr>
              <w:t>studio production</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2D2C98" w:rsidTr="006B55A9">
        <w:tc>
          <w:tcPr>
            <w:tcW w:w="10089" w:type="dxa"/>
          </w:tcPr>
          <w:p w:rsidR="005A1836" w:rsidRPr="00A2636C" w:rsidRDefault="005A1836" w:rsidP="006B55A9">
            <w:pPr>
              <w:spacing w:before="80" w:line="280" w:lineRule="exact"/>
              <w:ind w:right="640"/>
              <w:rPr>
                <w:rFonts w:ascii="Tahoma" w:hAnsi="Tahoma" w:cs="Tahoma"/>
                <w:b/>
                <w:bCs/>
                <w:iCs/>
                <w:color w:val="243285"/>
                <w:sz w:val="32"/>
                <w:szCs w:val="32"/>
                <w:lang w:val="en-US"/>
              </w:rPr>
            </w:pPr>
          </w:p>
          <w:p w:rsidR="005A1836" w:rsidRPr="00A2636C" w:rsidRDefault="005A1836" w:rsidP="006B55A9">
            <w:pPr>
              <w:spacing w:before="80" w:line="280" w:lineRule="exact"/>
              <w:ind w:right="640"/>
              <w:rPr>
                <w:rFonts w:ascii="Tahoma" w:hAnsi="Tahoma" w:cs="Tahoma"/>
                <w:b/>
                <w:bCs/>
                <w:iCs/>
                <w:color w:val="243285"/>
                <w:sz w:val="32"/>
                <w:szCs w:val="32"/>
                <w:lang w:val="en-US"/>
              </w:rPr>
            </w:pPr>
          </w:p>
          <w:p w:rsidR="005A1836" w:rsidRPr="00A2636C"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2D2C98"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2D2C98"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2D2C98"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2D2C98"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2D2C98"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A2636C" w:rsidP="00A2636C">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1886</w:t>
      </w:r>
    </w:p>
    <w:p w:rsidR="00A2636C" w:rsidRDefault="00A2636C" w:rsidP="002D2C98">
      <w:pPr>
        <w:pStyle w:val="Rectitle"/>
        <w:rPr>
          <w:lang w:val="en-US" w:eastAsia="zh-CN"/>
        </w:rPr>
      </w:pPr>
      <w:r w:rsidRPr="00A2636C">
        <w:rPr>
          <w:lang w:val="en-US" w:eastAsia="zh-CN"/>
        </w:rPr>
        <w:t xml:space="preserve">Reference </w:t>
      </w:r>
      <w:r w:rsidR="002D2C98" w:rsidRPr="00A2636C">
        <w:rPr>
          <w:lang w:val="en-US" w:eastAsia="zh-CN"/>
        </w:rPr>
        <w:t>e</w:t>
      </w:r>
      <w:r w:rsidRPr="00A2636C">
        <w:rPr>
          <w:lang w:val="en-US" w:eastAsia="zh-CN"/>
        </w:rPr>
        <w:t>lectro-</w:t>
      </w:r>
      <w:r w:rsidR="002D2C98" w:rsidRPr="00A2636C">
        <w:rPr>
          <w:lang w:val="en-US" w:eastAsia="zh-CN"/>
        </w:rPr>
        <w:t>o</w:t>
      </w:r>
      <w:r w:rsidRPr="00A2636C">
        <w:rPr>
          <w:lang w:val="en-US" w:eastAsia="zh-CN"/>
        </w:rPr>
        <w:t xml:space="preserve">ptical </w:t>
      </w:r>
      <w:r w:rsidR="002D2C98" w:rsidRPr="00A2636C">
        <w:rPr>
          <w:lang w:val="en-US" w:eastAsia="zh-CN"/>
        </w:rPr>
        <w:t>t</w:t>
      </w:r>
      <w:r w:rsidRPr="00A2636C">
        <w:rPr>
          <w:lang w:val="en-US" w:eastAsia="zh-CN"/>
        </w:rPr>
        <w:t xml:space="preserve">ransfer </w:t>
      </w:r>
      <w:r w:rsidR="002D2C98" w:rsidRPr="00A2636C">
        <w:rPr>
          <w:lang w:val="en-US" w:eastAsia="zh-CN"/>
        </w:rPr>
        <w:t>f</w:t>
      </w:r>
      <w:r w:rsidRPr="00A2636C">
        <w:rPr>
          <w:lang w:val="en-US" w:eastAsia="zh-CN"/>
        </w:rPr>
        <w:t>unction</w:t>
      </w:r>
      <w:r w:rsidR="002D2C98">
        <w:rPr>
          <w:lang w:val="en-US" w:eastAsia="zh-CN"/>
        </w:rPr>
        <w:t xml:space="preserve"> </w:t>
      </w:r>
      <w:r w:rsidRPr="00A2636C">
        <w:rPr>
          <w:lang w:val="en-US" w:eastAsia="zh-CN"/>
        </w:rPr>
        <w:t>for flat</w:t>
      </w:r>
      <w:r w:rsidR="00E374B9">
        <w:rPr>
          <w:lang w:val="en-US" w:eastAsia="zh-CN"/>
        </w:rPr>
        <w:t xml:space="preserve"> </w:t>
      </w:r>
      <w:r w:rsidRPr="00A2636C">
        <w:rPr>
          <w:lang w:val="en-US" w:eastAsia="zh-CN"/>
        </w:rPr>
        <w:t>panel</w:t>
      </w:r>
      <w:r w:rsidR="002D2C98">
        <w:rPr>
          <w:lang w:val="en-US" w:eastAsia="zh-CN"/>
        </w:rPr>
        <w:br/>
      </w:r>
      <w:r w:rsidRPr="00A2636C">
        <w:rPr>
          <w:lang w:val="en-US" w:eastAsia="zh-CN"/>
        </w:rPr>
        <w:t>displays</w:t>
      </w:r>
      <w:r w:rsidRPr="005E348A">
        <w:rPr>
          <w:rStyle w:val="FootnoteReference"/>
          <w:lang w:eastAsia="zh-CN"/>
        </w:rPr>
        <w:footnoteReference w:id="1"/>
      </w:r>
      <w:r w:rsidRPr="00A2636C">
        <w:rPr>
          <w:lang w:val="en-US" w:eastAsia="zh-CN"/>
        </w:rPr>
        <w:t xml:space="preserve"> used in HDTV studio production</w:t>
      </w:r>
    </w:p>
    <w:p w:rsidR="00E374B9" w:rsidRDefault="00E374B9" w:rsidP="00E374B9">
      <w:pPr>
        <w:pStyle w:val="Recdate"/>
        <w:rPr>
          <w:lang w:val="en-US" w:eastAsia="zh-CN"/>
        </w:rPr>
      </w:pPr>
    </w:p>
    <w:p w:rsidR="00E374B9" w:rsidRPr="00E374B9" w:rsidRDefault="00E374B9" w:rsidP="00E374B9">
      <w:pPr>
        <w:pStyle w:val="Recdate"/>
        <w:rPr>
          <w:lang w:val="en-US" w:eastAsia="zh-CN"/>
        </w:rPr>
      </w:pPr>
      <w:r>
        <w:rPr>
          <w:lang w:val="en-US" w:eastAsia="zh-CN"/>
        </w:rPr>
        <w:t>(2011)</w:t>
      </w:r>
    </w:p>
    <w:p w:rsidR="00A2636C" w:rsidRPr="002D2C98" w:rsidRDefault="00A2636C" w:rsidP="00E374B9">
      <w:pPr>
        <w:pStyle w:val="HeadingSum"/>
        <w:rPr>
          <w:sz w:val="24"/>
          <w:lang w:val="en-US"/>
        </w:rPr>
      </w:pPr>
      <w:r w:rsidRPr="002D2C98">
        <w:rPr>
          <w:sz w:val="24"/>
          <w:lang w:val="en-US"/>
        </w:rPr>
        <w:t>Scope</w:t>
      </w:r>
    </w:p>
    <w:p w:rsidR="00A2636C" w:rsidRPr="002D2C98" w:rsidRDefault="00A2636C" w:rsidP="002D2C98">
      <w:pPr>
        <w:pStyle w:val="Summary"/>
        <w:rPr>
          <w:sz w:val="24"/>
          <w:lang w:val="en-US"/>
        </w:rPr>
      </w:pPr>
      <w:r w:rsidRPr="002D2C98">
        <w:rPr>
          <w:sz w:val="24"/>
          <w:lang w:val="en-US"/>
        </w:rPr>
        <w:t xml:space="preserve">This Recommendation specifies the reference </w:t>
      </w:r>
      <w:r w:rsidR="002D2C98" w:rsidRPr="002D2C98">
        <w:rPr>
          <w:sz w:val="24"/>
          <w:lang w:val="en-US" w:eastAsia="zh-CN"/>
        </w:rPr>
        <w:t>e</w:t>
      </w:r>
      <w:r w:rsidR="00E374B9" w:rsidRPr="002D2C98">
        <w:rPr>
          <w:sz w:val="24"/>
          <w:lang w:val="en-US" w:eastAsia="zh-CN"/>
        </w:rPr>
        <w:t>lectro-</w:t>
      </w:r>
      <w:r w:rsidR="002D2C98" w:rsidRPr="002D2C98">
        <w:rPr>
          <w:sz w:val="24"/>
          <w:lang w:val="en-US" w:eastAsia="zh-CN"/>
        </w:rPr>
        <w:t>o</w:t>
      </w:r>
      <w:r w:rsidR="00E374B9" w:rsidRPr="002D2C98">
        <w:rPr>
          <w:sz w:val="24"/>
          <w:lang w:val="en-US" w:eastAsia="zh-CN"/>
        </w:rPr>
        <w:t xml:space="preserve">ptical </w:t>
      </w:r>
      <w:r w:rsidR="002D2C98" w:rsidRPr="002D2C98">
        <w:rPr>
          <w:sz w:val="24"/>
          <w:lang w:val="en-US" w:eastAsia="zh-CN"/>
        </w:rPr>
        <w:t>t</w:t>
      </w:r>
      <w:r w:rsidR="00E374B9" w:rsidRPr="002D2C98">
        <w:rPr>
          <w:sz w:val="24"/>
          <w:lang w:val="en-US" w:eastAsia="zh-CN"/>
        </w:rPr>
        <w:t xml:space="preserve">ransfer </w:t>
      </w:r>
      <w:r w:rsidR="002D2C98" w:rsidRPr="002D2C98">
        <w:rPr>
          <w:sz w:val="24"/>
          <w:lang w:val="en-US" w:eastAsia="zh-CN"/>
        </w:rPr>
        <w:t>f</w:t>
      </w:r>
      <w:r w:rsidR="00E374B9" w:rsidRPr="002D2C98">
        <w:rPr>
          <w:sz w:val="24"/>
          <w:lang w:val="en-US" w:eastAsia="zh-CN"/>
        </w:rPr>
        <w:t>unction</w:t>
      </w:r>
      <w:r w:rsidR="00E374B9" w:rsidRPr="002D2C98">
        <w:rPr>
          <w:sz w:val="24"/>
          <w:lang w:val="en-US"/>
        </w:rPr>
        <w:t xml:space="preserve"> (</w:t>
      </w:r>
      <w:r w:rsidRPr="002D2C98">
        <w:rPr>
          <w:sz w:val="24"/>
          <w:lang w:val="en-US"/>
        </w:rPr>
        <w:t>EOTF</w:t>
      </w:r>
      <w:r w:rsidR="00E374B9" w:rsidRPr="002D2C98">
        <w:rPr>
          <w:sz w:val="24"/>
          <w:lang w:val="en-US"/>
        </w:rPr>
        <w:t>)</w:t>
      </w:r>
      <w:r w:rsidRPr="002D2C98">
        <w:rPr>
          <w:sz w:val="24"/>
          <w:lang w:val="en-US"/>
        </w:rPr>
        <w:t xml:space="preserve"> that the displays used in HDTV programme production should follow in order to facilitate consistent picture presentation</w:t>
      </w:r>
      <w:r w:rsidR="002D2C98">
        <w:rPr>
          <w:rStyle w:val="FootnoteReference"/>
          <w:lang w:val="en-US"/>
        </w:rPr>
        <w:footnoteReference w:id="2"/>
      </w:r>
      <w:r w:rsidRPr="002D2C98">
        <w:rPr>
          <w:sz w:val="24"/>
          <w:lang w:val="en-US"/>
        </w:rPr>
        <w:t xml:space="preserve">. </w:t>
      </w:r>
      <w:r w:rsidRPr="002D2C98">
        <w:rPr>
          <w:sz w:val="24"/>
          <w:lang w:val="en-US" w:eastAsia="ja-JP"/>
        </w:rPr>
        <w:t>T</w:t>
      </w:r>
      <w:r w:rsidRPr="002D2C98">
        <w:rPr>
          <w:sz w:val="24"/>
          <w:lang w:val="en-US"/>
        </w:rPr>
        <w:t xml:space="preserve">he </w:t>
      </w:r>
      <w:r w:rsidRPr="002D2C98">
        <w:rPr>
          <w:sz w:val="24"/>
          <w:lang w:val="en-US" w:eastAsia="ja-JP"/>
        </w:rPr>
        <w:t xml:space="preserve">reference </w:t>
      </w:r>
      <w:r w:rsidRPr="002D2C98">
        <w:rPr>
          <w:sz w:val="24"/>
          <w:lang w:val="en-US"/>
        </w:rPr>
        <w:t xml:space="preserve">EOTF </w:t>
      </w:r>
      <w:r w:rsidRPr="002D2C98">
        <w:rPr>
          <w:sz w:val="24"/>
          <w:lang w:val="en-US" w:eastAsia="ja-JP"/>
        </w:rPr>
        <w:t xml:space="preserve">is specified </w:t>
      </w:r>
      <w:r w:rsidRPr="002D2C98">
        <w:rPr>
          <w:sz w:val="24"/>
          <w:lang w:val="en-US"/>
        </w:rPr>
        <w:t xml:space="preserve">as a simple </w:t>
      </w:r>
      <w:r w:rsidRPr="002D2C98">
        <w:rPr>
          <w:sz w:val="24"/>
          <w:lang w:val="en-US" w:eastAsia="ja-JP"/>
        </w:rPr>
        <w:t xml:space="preserve">equation, with exponent </w:t>
      </w:r>
      <w:r w:rsidRPr="002D2C98">
        <w:rPr>
          <w:sz w:val="24"/>
          <w:lang w:val="en-US"/>
        </w:rPr>
        <w:t>function,</w:t>
      </w:r>
      <w:r w:rsidRPr="002D2C98">
        <w:rPr>
          <w:sz w:val="24"/>
          <w:lang w:val="en-US" w:eastAsia="ja-JP"/>
        </w:rPr>
        <w:t xml:space="preserve"> </w:t>
      </w:r>
      <w:r w:rsidRPr="002D2C98">
        <w:rPr>
          <w:sz w:val="24"/>
          <w:lang w:val="en-US"/>
        </w:rPr>
        <w:t xml:space="preserve">based on measured characteristics of the Cathode Ray Tube (CRT). </w:t>
      </w:r>
    </w:p>
    <w:p w:rsidR="00A2636C" w:rsidRPr="00A2636C" w:rsidRDefault="00A2636C" w:rsidP="00A2636C">
      <w:pPr>
        <w:pStyle w:val="Normalaftertitle"/>
        <w:tabs>
          <w:tab w:val="center" w:pos="4819"/>
        </w:tabs>
        <w:rPr>
          <w:lang w:val="en-US"/>
        </w:rPr>
      </w:pPr>
      <w:r w:rsidRPr="00A2636C">
        <w:rPr>
          <w:lang w:val="en-US"/>
        </w:rPr>
        <w:t>The ITU Radiocommunication Assembly,</w:t>
      </w:r>
    </w:p>
    <w:p w:rsidR="00A2636C" w:rsidRPr="00A2636C" w:rsidRDefault="00A2636C" w:rsidP="00A2636C">
      <w:pPr>
        <w:pStyle w:val="Call"/>
        <w:rPr>
          <w:lang w:val="en-US"/>
        </w:rPr>
      </w:pPr>
      <w:r w:rsidRPr="00A2636C">
        <w:rPr>
          <w:lang w:val="en-US"/>
        </w:rPr>
        <w:t>considering</w:t>
      </w:r>
    </w:p>
    <w:p w:rsidR="00A2636C" w:rsidRPr="00A2636C" w:rsidRDefault="00A2636C" w:rsidP="00A2636C">
      <w:pPr>
        <w:rPr>
          <w:lang w:val="en-US"/>
        </w:rPr>
      </w:pPr>
      <w:r w:rsidRPr="00A2636C">
        <w:rPr>
          <w:lang w:val="en-US"/>
        </w:rPr>
        <w:t>a)</w:t>
      </w:r>
      <w:r w:rsidRPr="00A2636C">
        <w:rPr>
          <w:lang w:val="en-US"/>
        </w:rPr>
        <w:tab/>
        <w:t>that reference displays play a crucial role in television programme production as they are used as reference for picture presentation;</w:t>
      </w:r>
    </w:p>
    <w:p w:rsidR="00A2636C" w:rsidRPr="00A2636C" w:rsidRDefault="00A2636C" w:rsidP="00A2636C">
      <w:pPr>
        <w:rPr>
          <w:lang w:val="en-US"/>
        </w:rPr>
      </w:pPr>
      <w:r w:rsidRPr="00A2636C">
        <w:rPr>
          <w:lang w:val="en-US"/>
        </w:rPr>
        <w:t>b)</w:t>
      </w:r>
      <w:r w:rsidRPr="00A2636C">
        <w:rPr>
          <w:lang w:val="en-US"/>
        </w:rPr>
        <w:tab/>
        <w:t>that the characteristics of reference displays should be unified to ensure consistent picture presentation of programmes produced for use in broadcasting;</w:t>
      </w:r>
    </w:p>
    <w:p w:rsidR="00A2636C" w:rsidRPr="00A2636C" w:rsidRDefault="00A2636C" w:rsidP="00A2636C">
      <w:pPr>
        <w:rPr>
          <w:lang w:val="en-US"/>
        </w:rPr>
      </w:pPr>
      <w:r w:rsidRPr="00A2636C">
        <w:rPr>
          <w:lang w:val="en-US"/>
        </w:rPr>
        <w:t>c)</w:t>
      </w:r>
      <w:r w:rsidRPr="00A2636C">
        <w:rPr>
          <w:lang w:val="en-US"/>
        </w:rPr>
        <w:tab/>
        <w:t xml:space="preserve">that historically, picture presentation characteristics were determined based on </w:t>
      </w:r>
      <w:r w:rsidR="00E374B9" w:rsidRPr="00E374B9">
        <w:rPr>
          <w:lang w:val="en-US"/>
        </w:rPr>
        <w:t>Cathode Ray Tube</w:t>
      </w:r>
      <w:r w:rsidR="00E374B9" w:rsidRPr="00A2636C">
        <w:rPr>
          <w:lang w:val="en-US"/>
        </w:rPr>
        <w:t xml:space="preserve"> </w:t>
      </w:r>
      <w:r w:rsidR="00E374B9">
        <w:rPr>
          <w:lang w:val="en-US"/>
        </w:rPr>
        <w:t>(</w:t>
      </w:r>
      <w:r w:rsidRPr="00A2636C">
        <w:rPr>
          <w:lang w:val="en-US"/>
        </w:rPr>
        <w:t>CRT</w:t>
      </w:r>
      <w:r w:rsidR="00E374B9">
        <w:rPr>
          <w:lang w:val="en-US"/>
        </w:rPr>
        <w:t>)</w:t>
      </w:r>
      <w:r w:rsidRPr="00A2636C">
        <w:rPr>
          <w:lang w:val="en-US"/>
        </w:rPr>
        <w:t xml:space="preserve"> characteristics, and the opto-electronic transfer characteristics were implicitly based on the CRT physical characteristics;</w:t>
      </w:r>
    </w:p>
    <w:p w:rsidR="00A2636C" w:rsidRPr="00A2636C" w:rsidRDefault="00A2636C" w:rsidP="00A2636C">
      <w:pPr>
        <w:rPr>
          <w:lang w:val="en-US"/>
        </w:rPr>
      </w:pPr>
      <w:r w:rsidRPr="00A2636C">
        <w:rPr>
          <w:lang w:val="en-US"/>
        </w:rPr>
        <w:t>e)</w:t>
      </w:r>
      <w:r w:rsidRPr="00A2636C">
        <w:rPr>
          <w:lang w:val="en-US"/>
        </w:rPr>
        <w:tab/>
        <w:t xml:space="preserve">that CRT reference displays are no longer available; </w:t>
      </w:r>
    </w:p>
    <w:p w:rsidR="00A2636C" w:rsidRPr="00A2636C" w:rsidRDefault="00A2636C" w:rsidP="00A2636C">
      <w:pPr>
        <w:rPr>
          <w:lang w:val="en-US"/>
        </w:rPr>
      </w:pPr>
      <w:r w:rsidRPr="00A2636C">
        <w:rPr>
          <w:lang w:val="en-US"/>
        </w:rPr>
        <w:t>f)</w:t>
      </w:r>
      <w:r w:rsidRPr="00A2636C">
        <w:rPr>
          <w:lang w:val="en-US"/>
        </w:rPr>
        <w:tab/>
        <w:t xml:space="preserve">that the </w:t>
      </w:r>
      <w:r w:rsidR="002D2C98">
        <w:rPr>
          <w:lang w:val="en-US"/>
        </w:rPr>
        <w:t>e</w:t>
      </w:r>
      <w:r w:rsidR="00BE37E1">
        <w:rPr>
          <w:lang w:val="en-US"/>
        </w:rPr>
        <w:t>lectro-</w:t>
      </w:r>
      <w:r w:rsidR="002D2C98">
        <w:rPr>
          <w:lang w:val="en-US"/>
        </w:rPr>
        <w:t>o</w:t>
      </w:r>
      <w:r w:rsidR="00BE37E1">
        <w:rPr>
          <w:lang w:val="en-US"/>
        </w:rPr>
        <w:t xml:space="preserve">ptical </w:t>
      </w:r>
      <w:r w:rsidR="002D2C98">
        <w:rPr>
          <w:lang w:val="en-US"/>
        </w:rPr>
        <w:t>t</w:t>
      </w:r>
      <w:r w:rsidR="00BE37E1">
        <w:rPr>
          <w:lang w:val="en-US"/>
        </w:rPr>
        <w:t xml:space="preserve">ransfer </w:t>
      </w:r>
      <w:r w:rsidR="002D2C98">
        <w:rPr>
          <w:lang w:val="en-US"/>
        </w:rPr>
        <w:t>f</w:t>
      </w:r>
      <w:r w:rsidR="00BE37E1">
        <w:rPr>
          <w:lang w:val="en-US"/>
        </w:rPr>
        <w:t>unction (</w:t>
      </w:r>
      <w:r w:rsidRPr="00A2636C">
        <w:rPr>
          <w:lang w:val="en-US"/>
        </w:rPr>
        <w:t>EOTF</w:t>
      </w:r>
      <w:r w:rsidR="00BE37E1">
        <w:rPr>
          <w:lang w:val="en-US"/>
        </w:rPr>
        <w:t>)</w:t>
      </w:r>
      <w:r w:rsidRPr="00A2636C">
        <w:rPr>
          <w:lang w:val="en-US"/>
        </w:rPr>
        <w:t xml:space="preserve"> of CRT displays differ</w:t>
      </w:r>
      <w:r w:rsidRPr="00A2636C">
        <w:rPr>
          <w:lang w:val="en-US" w:eastAsia="ja-JP"/>
        </w:rPr>
        <w:t>s</w:t>
      </w:r>
      <w:r w:rsidRPr="00A2636C">
        <w:rPr>
          <w:lang w:val="en-US"/>
        </w:rPr>
        <w:t xml:space="preserve"> amongst manufacturers, amongst models, and amongst regions, as well as varying with the settings of contrast and brightness; </w:t>
      </w:r>
    </w:p>
    <w:p w:rsidR="00A2636C" w:rsidRPr="00A2636C" w:rsidRDefault="00A2636C" w:rsidP="00A2636C">
      <w:pPr>
        <w:rPr>
          <w:lang w:val="en-US"/>
        </w:rPr>
      </w:pPr>
      <w:r w:rsidRPr="00A2636C">
        <w:rPr>
          <w:lang w:val="en-US"/>
        </w:rPr>
        <w:t>g)</w:t>
      </w:r>
      <w:r w:rsidRPr="00A2636C">
        <w:rPr>
          <w:lang w:val="en-US"/>
        </w:rPr>
        <w:tab/>
        <w:t>that for the consistency of picture presentation, it is desirable that newly introduced display technologies have an EOTF that closely matches that of the CRT;</w:t>
      </w:r>
    </w:p>
    <w:p w:rsidR="00A2636C" w:rsidRPr="00A2636C" w:rsidRDefault="00A2636C" w:rsidP="00A2636C">
      <w:pPr>
        <w:rPr>
          <w:lang w:val="en-US"/>
        </w:rPr>
      </w:pPr>
      <w:r w:rsidRPr="00A2636C">
        <w:rPr>
          <w:lang w:val="en-US"/>
        </w:rPr>
        <w:t>h)</w:t>
      </w:r>
      <w:r w:rsidRPr="00A2636C">
        <w:rPr>
          <w:lang w:val="en-US"/>
        </w:rPr>
        <w:tab/>
        <w:t>that the reference EOTF for a non-CRT display has not been defined in any ITU-R Recommendation;</w:t>
      </w:r>
    </w:p>
    <w:p w:rsidR="00A2636C" w:rsidRPr="00A2636C" w:rsidRDefault="00A2636C" w:rsidP="00A2636C">
      <w:pPr>
        <w:rPr>
          <w:lang w:val="en-US"/>
        </w:rPr>
      </w:pPr>
      <w:r w:rsidRPr="00A2636C">
        <w:rPr>
          <w:lang w:val="en-US"/>
        </w:rPr>
        <w:t>j)</w:t>
      </w:r>
      <w:r w:rsidRPr="00A2636C">
        <w:rPr>
          <w:lang w:val="en-US"/>
        </w:rPr>
        <w:tab/>
        <w:t>that Recommendation ITU-R BT.709, provides specifications for the opto-electronic transfer characteristics at the source, and a common electro-optical transfer function should be employed to display signals mastered to this format,</w:t>
      </w:r>
    </w:p>
    <w:p w:rsidR="00A2636C" w:rsidRPr="00A2636C" w:rsidRDefault="00A2636C" w:rsidP="00A2636C">
      <w:pPr>
        <w:pStyle w:val="Call"/>
        <w:rPr>
          <w:lang w:val="en-US"/>
        </w:rPr>
      </w:pPr>
      <w:r w:rsidRPr="00A2636C">
        <w:rPr>
          <w:lang w:val="en-US"/>
        </w:rPr>
        <w:t>recommends</w:t>
      </w:r>
    </w:p>
    <w:p w:rsidR="00A2636C" w:rsidRPr="00A2636C" w:rsidRDefault="00A2636C" w:rsidP="00A2636C">
      <w:pPr>
        <w:rPr>
          <w:lang w:val="en-US"/>
        </w:rPr>
      </w:pPr>
      <w:r w:rsidRPr="00A2636C">
        <w:rPr>
          <w:b/>
          <w:bCs/>
          <w:lang w:val="en-US"/>
        </w:rPr>
        <w:t>1</w:t>
      </w:r>
      <w:r w:rsidRPr="00A2636C">
        <w:rPr>
          <w:lang w:val="en-US"/>
        </w:rPr>
        <w:tab/>
        <w:t>that the reference EOTF for displays used in HDTV production and programme interchange should be the one specified in Annex 1;</w:t>
      </w:r>
    </w:p>
    <w:p w:rsidR="00A2636C" w:rsidRDefault="00A2636C" w:rsidP="00A2636C">
      <w:pPr>
        <w:rPr>
          <w:lang w:val="en-US" w:eastAsia="ja-JP"/>
        </w:rPr>
      </w:pPr>
      <w:r w:rsidRPr="00A2636C">
        <w:rPr>
          <w:b/>
          <w:bCs/>
          <w:lang w:val="en-US" w:eastAsia="ja-JP"/>
        </w:rPr>
        <w:lastRenderedPageBreak/>
        <w:t>2</w:t>
      </w:r>
      <w:r w:rsidRPr="00A2636C">
        <w:rPr>
          <w:lang w:val="en-US" w:eastAsia="ja-JP"/>
        </w:rPr>
        <w:tab/>
        <w:t>that an alternative EOTF may be used in some cases where programme interchange is not required</w:t>
      </w:r>
      <w:r w:rsidRPr="00A2636C">
        <w:rPr>
          <w:lang w:val="en-US"/>
        </w:rPr>
        <w:t>, a suggested equation is contained in informative Appendix 1</w:t>
      </w:r>
      <w:r w:rsidRPr="00A2636C">
        <w:rPr>
          <w:lang w:val="en-US" w:eastAsia="ja-JP"/>
        </w:rPr>
        <w:t>.</w:t>
      </w:r>
    </w:p>
    <w:p w:rsidR="00A17389" w:rsidRDefault="00A17389" w:rsidP="00A2636C">
      <w:pPr>
        <w:rPr>
          <w:lang w:val="en-US" w:eastAsia="ja-JP"/>
        </w:rPr>
      </w:pPr>
    </w:p>
    <w:p w:rsidR="00A17389" w:rsidRPr="00A2636C" w:rsidRDefault="00A17389" w:rsidP="00A2636C">
      <w:pPr>
        <w:rPr>
          <w:lang w:val="en-US"/>
        </w:rPr>
      </w:pPr>
    </w:p>
    <w:p w:rsidR="00A2636C" w:rsidRPr="00E374B9" w:rsidRDefault="00A2636C" w:rsidP="00E374B9">
      <w:pPr>
        <w:pStyle w:val="AnnexNoTitle"/>
        <w:rPr>
          <w:lang w:val="en-US"/>
        </w:rPr>
      </w:pPr>
      <w:r w:rsidRPr="00E374B9">
        <w:rPr>
          <w:lang w:val="en-US"/>
        </w:rPr>
        <w:t>Annex 1</w:t>
      </w:r>
      <w:r w:rsidR="00E374B9" w:rsidRPr="00E374B9">
        <w:rPr>
          <w:lang w:val="en-US"/>
        </w:rPr>
        <w:br/>
      </w:r>
      <w:r w:rsidR="00E374B9" w:rsidRPr="00E374B9">
        <w:rPr>
          <w:lang w:val="en-US"/>
        </w:rPr>
        <w:br/>
      </w:r>
      <w:r w:rsidRPr="00E374B9">
        <w:rPr>
          <w:lang w:val="en-US"/>
        </w:rPr>
        <w:t>Reference electro-optical transfer function</w:t>
      </w:r>
    </w:p>
    <w:p w:rsidR="00A2636C" w:rsidRPr="00A2636C" w:rsidRDefault="00A2636C" w:rsidP="00A2636C">
      <w:pPr>
        <w:pStyle w:val="Normalaftertitle"/>
        <w:rPr>
          <w:lang w:val="en-US" w:eastAsia="ja-JP"/>
        </w:rPr>
      </w:pPr>
      <w:r w:rsidRPr="00A2636C">
        <w:rPr>
          <w:lang w:val="en-US"/>
        </w:rPr>
        <w:t>The reference EOTF is specified by the equation:</w:t>
      </w:r>
    </w:p>
    <w:p w:rsidR="00B9310F" w:rsidRDefault="00B9310F" w:rsidP="00B9310F">
      <w:pPr>
        <w:pStyle w:val="Blanc"/>
        <w:rPr>
          <w:lang w:eastAsia="ja-JP"/>
        </w:rPr>
      </w:pPr>
    </w:p>
    <w:p w:rsidR="00A2636C" w:rsidRPr="00E374B9" w:rsidRDefault="00A2636C" w:rsidP="00A2636C">
      <w:pPr>
        <w:pStyle w:val="Equation"/>
        <w:rPr>
          <w:lang w:val="en-US" w:eastAsia="ja-JP"/>
        </w:rPr>
      </w:pPr>
      <w:r w:rsidRPr="00A2636C">
        <w:rPr>
          <w:lang w:val="en-US" w:eastAsia="ja-JP"/>
        </w:rPr>
        <w:tab/>
      </w:r>
      <w:r w:rsidRPr="00A2636C">
        <w:rPr>
          <w:lang w:val="en-US" w:eastAsia="ja-JP"/>
        </w:rPr>
        <w:tab/>
      </w:r>
      <w:r w:rsidR="00E374B9" w:rsidRPr="00E374B9">
        <w:rPr>
          <w:position w:val="-10"/>
          <w:lang w:eastAsia="ja-JP"/>
        </w:rPr>
        <w:object w:dxaOrig="2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9.8pt" o:ole="">
            <v:imagedata r:id="rId14" o:title=""/>
          </v:shape>
          <o:OLEObject Type="Embed" ProgID="Equation.3" ShapeID="_x0000_i1025" DrawAspect="Content" ObjectID="_1362556845" r:id="rId15"/>
        </w:object>
      </w:r>
    </w:p>
    <w:p w:rsidR="00A2636C" w:rsidRPr="00A2636C" w:rsidRDefault="00A2636C" w:rsidP="00E374B9">
      <w:pPr>
        <w:rPr>
          <w:lang w:val="en-US"/>
        </w:rPr>
      </w:pPr>
      <w:r w:rsidRPr="00A2636C">
        <w:rPr>
          <w:lang w:val="en-US" w:eastAsia="ja-JP"/>
        </w:rPr>
        <w:t>where</w:t>
      </w:r>
      <w:r w:rsidR="00E374B9">
        <w:rPr>
          <w:lang w:val="en-US" w:eastAsia="ja-JP"/>
        </w:rPr>
        <w:t>:</w:t>
      </w:r>
    </w:p>
    <w:p w:rsidR="00A2636C" w:rsidRPr="005E348A" w:rsidRDefault="00A2636C" w:rsidP="00A2636C">
      <w:pPr>
        <w:pStyle w:val="Equationlegend"/>
        <w:rPr>
          <w:lang w:eastAsia="ja-JP"/>
        </w:rPr>
      </w:pPr>
      <w:r w:rsidRPr="005E348A">
        <w:rPr>
          <w:position w:val="-2"/>
          <w:lang w:eastAsia="ja-JP"/>
        </w:rPr>
        <w:tab/>
      </w:r>
      <w:r w:rsidR="00E374B9" w:rsidRPr="00E374B9">
        <w:rPr>
          <w:i/>
          <w:iCs/>
          <w:position w:val="-2"/>
          <w:lang w:eastAsia="ja-JP"/>
        </w:rPr>
        <w:t>L</w:t>
      </w:r>
      <w:r w:rsidRPr="005E348A">
        <w:rPr>
          <w:lang w:eastAsia="ja-JP"/>
        </w:rPr>
        <w:t>:</w:t>
      </w:r>
      <w:r w:rsidRPr="005E348A">
        <w:rPr>
          <w:lang w:eastAsia="ja-JP"/>
        </w:rPr>
        <w:tab/>
        <w:t>Screen luminance in cd/m</w:t>
      </w:r>
      <w:r w:rsidRPr="005E348A">
        <w:rPr>
          <w:vertAlign w:val="superscript"/>
          <w:lang w:eastAsia="ja-JP"/>
        </w:rPr>
        <w:t>2</w:t>
      </w:r>
    </w:p>
    <w:p w:rsidR="00A2636C" w:rsidRPr="00C10024" w:rsidRDefault="00A2636C" w:rsidP="00A2636C">
      <w:pPr>
        <w:pStyle w:val="Equationlegend"/>
        <w:rPr>
          <w:lang w:eastAsia="ja-JP"/>
        </w:rPr>
      </w:pPr>
      <w:r w:rsidRPr="00C10024">
        <w:rPr>
          <w:lang w:eastAsia="ja-JP"/>
        </w:rPr>
        <w:tab/>
      </w:r>
      <w:r w:rsidR="00E374B9" w:rsidRPr="00C10024">
        <w:rPr>
          <w:i/>
          <w:iCs/>
          <w:lang w:eastAsia="ja-JP"/>
        </w:rPr>
        <w:t>L</w:t>
      </w:r>
      <w:r w:rsidR="00E374B9" w:rsidRPr="002D2C98">
        <w:rPr>
          <w:i/>
          <w:iCs/>
          <w:vertAlign w:val="subscript"/>
          <w:lang w:eastAsia="ja-JP"/>
        </w:rPr>
        <w:t>W</w:t>
      </w:r>
      <w:r w:rsidRPr="00C10024">
        <w:rPr>
          <w:lang w:eastAsia="ja-JP"/>
        </w:rPr>
        <w:t>:</w:t>
      </w:r>
      <w:r w:rsidRPr="00C10024">
        <w:rPr>
          <w:lang w:eastAsia="ja-JP"/>
        </w:rPr>
        <w:tab/>
        <w:t>Screen luminance for white</w:t>
      </w:r>
    </w:p>
    <w:p w:rsidR="00A2636C" w:rsidRPr="00C10024" w:rsidRDefault="00A2636C" w:rsidP="00E374B9">
      <w:pPr>
        <w:pStyle w:val="Equationlegend"/>
        <w:rPr>
          <w:lang w:eastAsia="ja-JP"/>
        </w:rPr>
      </w:pPr>
      <w:r w:rsidRPr="00C10024">
        <w:rPr>
          <w:lang w:eastAsia="ja-JP"/>
        </w:rPr>
        <w:tab/>
      </w:r>
      <w:r w:rsidR="00E374B9" w:rsidRPr="00C10024">
        <w:rPr>
          <w:i/>
          <w:iCs/>
          <w:lang w:eastAsia="ja-JP"/>
        </w:rPr>
        <w:t>L</w:t>
      </w:r>
      <w:r w:rsidR="00E374B9" w:rsidRPr="00C10024">
        <w:rPr>
          <w:i/>
          <w:iCs/>
          <w:vertAlign w:val="subscript"/>
          <w:lang w:eastAsia="ja-JP"/>
        </w:rPr>
        <w:t>B</w:t>
      </w:r>
      <w:r w:rsidRPr="00C10024">
        <w:rPr>
          <w:lang w:eastAsia="ja-JP"/>
        </w:rPr>
        <w:t>:</w:t>
      </w:r>
      <w:r w:rsidRPr="00C10024">
        <w:rPr>
          <w:lang w:eastAsia="ja-JP"/>
        </w:rPr>
        <w:tab/>
        <w:t>Screen luminance for black</w:t>
      </w:r>
    </w:p>
    <w:p w:rsidR="00C10024" w:rsidRDefault="00A2636C" w:rsidP="00C10024">
      <w:pPr>
        <w:pStyle w:val="Equationlegend"/>
        <w:rPr>
          <w:lang w:eastAsia="ja-JP"/>
        </w:rPr>
      </w:pPr>
      <w:r w:rsidRPr="00C10024">
        <w:rPr>
          <w:lang w:eastAsia="ja-JP"/>
        </w:rPr>
        <w:tab/>
      </w:r>
      <w:r w:rsidR="00C10024" w:rsidRPr="00C10024">
        <w:rPr>
          <w:i/>
          <w:iCs/>
          <w:lang w:eastAsia="ja-JP"/>
        </w:rPr>
        <w:t>V</w:t>
      </w:r>
      <w:r w:rsidRPr="00C10024">
        <w:rPr>
          <w:lang w:eastAsia="ja-JP"/>
        </w:rPr>
        <w:t>:</w:t>
      </w:r>
      <w:r w:rsidRPr="00C10024">
        <w:rPr>
          <w:lang w:eastAsia="ja-JP"/>
        </w:rPr>
        <w:tab/>
        <w:t xml:space="preserve">Input video signal level (normalized, black at V = 0, to white at V = 1. For content mastered per </w:t>
      </w:r>
      <w:r w:rsidR="00E374B9" w:rsidRPr="00C10024">
        <w:rPr>
          <w:lang w:eastAsia="ja-JP"/>
        </w:rPr>
        <w:t xml:space="preserve">Recommendation ITU-R </w:t>
      </w:r>
      <w:r w:rsidRPr="00C10024">
        <w:rPr>
          <w:lang w:eastAsia="ja-JP"/>
        </w:rPr>
        <w:t>BT.709</w:t>
      </w:r>
      <w:r w:rsidR="002D2C98">
        <w:rPr>
          <w:rStyle w:val="FootnoteReference"/>
          <w:lang w:eastAsia="ja-JP"/>
        </w:rPr>
        <w:footnoteReference w:id="3"/>
      </w:r>
      <w:r w:rsidRPr="00C10024">
        <w:rPr>
          <w:lang w:eastAsia="ja-JP"/>
        </w:rPr>
        <w:t>, 10-bit digital code values “D” map into values of V per the following equation:</w:t>
      </w:r>
      <w:r w:rsidR="00C10024">
        <w:rPr>
          <w:lang w:eastAsia="ja-JP"/>
        </w:rPr>
        <w:t xml:space="preserve"> V = (</w:t>
      </w:r>
      <w:r w:rsidR="00C10024" w:rsidRPr="00C10024">
        <w:rPr>
          <w:i/>
          <w:iCs/>
          <w:lang w:eastAsia="ja-JP"/>
        </w:rPr>
        <w:t>D</w:t>
      </w:r>
      <w:r w:rsidR="00C10024">
        <w:rPr>
          <w:lang w:eastAsia="ja-JP"/>
        </w:rPr>
        <w:t>–64)/876</w:t>
      </w:r>
    </w:p>
    <w:p w:rsidR="00A2636C" w:rsidRPr="00C10024" w:rsidRDefault="00A2636C" w:rsidP="00C10024">
      <w:pPr>
        <w:pStyle w:val="Equationlegend"/>
        <w:rPr>
          <w:lang w:eastAsia="ja-JP"/>
        </w:rPr>
      </w:pPr>
      <w:r w:rsidRPr="00C10024">
        <w:rPr>
          <w:lang w:eastAsia="ja-JP"/>
        </w:rPr>
        <w:tab/>
      </w:r>
      <w:r w:rsidR="00C10024">
        <w:rPr>
          <w:lang w:eastAsia="ja-JP"/>
        </w:rPr>
        <w:sym w:font="Symbol" w:char="F067"/>
      </w:r>
      <w:r w:rsidRPr="00C10024">
        <w:rPr>
          <w:lang w:eastAsia="ja-JP"/>
        </w:rPr>
        <w:t xml:space="preserve">: </w:t>
      </w:r>
      <w:r w:rsidRPr="00C10024">
        <w:rPr>
          <w:lang w:eastAsia="ja-JP"/>
        </w:rPr>
        <w:tab/>
        <w:t>Exponent of power function, γ = 2.40</w:t>
      </w:r>
      <w:r w:rsidR="002D2C98">
        <w:rPr>
          <w:rStyle w:val="FootnoteReference"/>
          <w:lang w:eastAsia="ja-JP"/>
        </w:rPr>
        <w:footnoteReference w:id="4"/>
      </w:r>
    </w:p>
    <w:p w:rsidR="00A2636C" w:rsidRPr="00C10024" w:rsidRDefault="00A2636C" w:rsidP="00A2636C">
      <w:pPr>
        <w:pStyle w:val="Equationlegend"/>
      </w:pPr>
      <w:r w:rsidRPr="00C10024">
        <w:tab/>
      </w:r>
      <w:r w:rsidR="00C10024" w:rsidRPr="00C10024">
        <w:rPr>
          <w:i/>
          <w:iCs/>
        </w:rPr>
        <w:t>a</w:t>
      </w:r>
      <w:r w:rsidRPr="00C10024">
        <w:t xml:space="preserve">: </w:t>
      </w:r>
      <w:r w:rsidRPr="00C10024">
        <w:tab/>
        <w:t xml:space="preserve">Variable for user gain (legacy “contrast” control) </w:t>
      </w:r>
    </w:p>
    <w:p w:rsidR="00B9310F" w:rsidRDefault="00B9310F" w:rsidP="00B9310F">
      <w:pPr>
        <w:pStyle w:val="Blanc"/>
        <w:rPr>
          <w:lang w:eastAsia="ja-JP"/>
        </w:rPr>
      </w:pPr>
    </w:p>
    <w:p w:rsidR="00A2636C" w:rsidRPr="00C10024" w:rsidRDefault="00A2636C" w:rsidP="00B9310F">
      <w:pPr>
        <w:pStyle w:val="Equation"/>
      </w:pPr>
      <w:r w:rsidRPr="00BE37E1">
        <w:rPr>
          <w:lang w:val="en-US"/>
        </w:rPr>
        <w:tab/>
      </w:r>
      <w:r w:rsidRPr="00BE37E1">
        <w:rPr>
          <w:lang w:val="en-US"/>
        </w:rPr>
        <w:tab/>
      </w:r>
      <w:r w:rsidR="00C10024" w:rsidRPr="00C10024">
        <w:rPr>
          <w:position w:val="-12"/>
        </w:rPr>
        <w:object w:dxaOrig="2020" w:dyaOrig="420">
          <v:shape id="_x0000_i1026" type="#_x0000_t75" style="width:100.2pt;height:20.4pt" o:ole="">
            <v:imagedata r:id="rId16" o:title=""/>
          </v:shape>
          <o:OLEObject Type="Embed" ProgID="Equation.3" ShapeID="_x0000_i1026" DrawAspect="Content" ObjectID="_1362556846" r:id="rId17"/>
        </w:object>
      </w:r>
    </w:p>
    <w:p w:rsidR="00B9310F" w:rsidRDefault="00B9310F" w:rsidP="00B9310F">
      <w:pPr>
        <w:pStyle w:val="Blanc"/>
        <w:rPr>
          <w:lang w:eastAsia="ja-JP"/>
        </w:rPr>
      </w:pPr>
    </w:p>
    <w:p w:rsidR="00A2636C" w:rsidRPr="00C10024" w:rsidRDefault="00A2636C" w:rsidP="00A2636C">
      <w:pPr>
        <w:pStyle w:val="Equationlegend"/>
      </w:pPr>
      <w:r w:rsidRPr="00C10024">
        <w:tab/>
      </w:r>
      <w:r w:rsidR="00C10024" w:rsidRPr="00C10024">
        <w:rPr>
          <w:i/>
          <w:iCs/>
        </w:rPr>
        <w:t>b</w:t>
      </w:r>
      <w:r w:rsidRPr="00C10024">
        <w:t xml:space="preserve">: </w:t>
      </w:r>
      <w:r w:rsidRPr="00C10024">
        <w:tab/>
        <w:t>Variable for user black level lift (legacy “brightness” control)</w:t>
      </w:r>
    </w:p>
    <w:p w:rsidR="00B9310F" w:rsidRDefault="00B9310F" w:rsidP="00B9310F">
      <w:pPr>
        <w:pStyle w:val="Blanc"/>
        <w:rPr>
          <w:lang w:eastAsia="ja-JP"/>
        </w:rPr>
      </w:pPr>
    </w:p>
    <w:p w:rsidR="00A2636C" w:rsidRPr="005E348A" w:rsidRDefault="00A2636C" w:rsidP="00A2636C">
      <w:pPr>
        <w:pStyle w:val="Equation"/>
      </w:pPr>
      <w:r w:rsidRPr="00A2636C">
        <w:rPr>
          <w:lang w:val="en-US"/>
        </w:rPr>
        <w:tab/>
      </w:r>
      <w:r w:rsidRPr="00A2636C">
        <w:rPr>
          <w:lang w:val="en-US"/>
        </w:rPr>
        <w:tab/>
      </w:r>
      <w:r w:rsidR="00C10024" w:rsidRPr="00C10024">
        <w:rPr>
          <w:position w:val="-32"/>
        </w:rPr>
        <w:object w:dxaOrig="1780" w:dyaOrig="780">
          <v:shape id="_x0000_i1027" type="#_x0000_t75" style="width:88.8pt;height:39pt" o:ole="">
            <v:imagedata r:id="rId18" o:title=""/>
          </v:shape>
          <o:OLEObject Type="Embed" ProgID="Equation.3" ShapeID="_x0000_i1027" DrawAspect="Content" ObjectID="_1362556847" r:id="rId19"/>
        </w:object>
      </w:r>
    </w:p>
    <w:p w:rsidR="00B9310F" w:rsidRDefault="00B9310F" w:rsidP="00B9310F">
      <w:pPr>
        <w:pStyle w:val="Blanc"/>
        <w:rPr>
          <w:lang w:eastAsia="ja-JP"/>
        </w:rPr>
      </w:pPr>
    </w:p>
    <w:p w:rsidR="00A2636C" w:rsidRPr="00C10024" w:rsidRDefault="00A2636C" w:rsidP="00A2636C">
      <w:pPr>
        <w:rPr>
          <w:iCs/>
          <w:lang w:val="en-US"/>
        </w:rPr>
      </w:pPr>
      <w:r w:rsidRPr="00A2636C">
        <w:rPr>
          <w:lang w:val="en-US"/>
        </w:rPr>
        <w:t xml:space="preserve">Above variables </w:t>
      </w:r>
      <w:r w:rsidRPr="00A2636C">
        <w:rPr>
          <w:i/>
          <w:lang w:val="en-US"/>
        </w:rPr>
        <w:t>a</w:t>
      </w:r>
      <w:r w:rsidRPr="00A2636C">
        <w:rPr>
          <w:lang w:val="en-US"/>
        </w:rPr>
        <w:t xml:space="preserve"> and </w:t>
      </w:r>
      <w:r w:rsidRPr="00A2636C">
        <w:rPr>
          <w:i/>
          <w:lang w:val="en-US"/>
        </w:rPr>
        <w:t>b</w:t>
      </w:r>
      <w:r w:rsidRPr="00A2636C">
        <w:rPr>
          <w:lang w:val="en-US"/>
        </w:rPr>
        <w:t xml:space="preserve"> are derived by solving following equations in order that V = 1 gives L = </w:t>
      </w:r>
      <w:r w:rsidRPr="00A2636C">
        <w:rPr>
          <w:i/>
          <w:lang w:val="en-US"/>
        </w:rPr>
        <w:t>L</w:t>
      </w:r>
      <w:r w:rsidRPr="00A2636C">
        <w:rPr>
          <w:i/>
          <w:vertAlign w:val="subscript"/>
          <w:lang w:val="en-US"/>
        </w:rPr>
        <w:t>W</w:t>
      </w:r>
      <w:r w:rsidRPr="00A2636C">
        <w:rPr>
          <w:lang w:val="en-US"/>
        </w:rPr>
        <w:t xml:space="preserve"> and that V = 0 gives L = </w:t>
      </w:r>
      <w:r w:rsidRPr="00A2636C">
        <w:rPr>
          <w:i/>
          <w:lang w:val="en-US"/>
        </w:rPr>
        <w:t>L</w:t>
      </w:r>
      <w:r w:rsidRPr="00A2636C">
        <w:rPr>
          <w:i/>
          <w:vertAlign w:val="subscript"/>
          <w:lang w:val="en-US"/>
        </w:rPr>
        <w:t>B</w:t>
      </w:r>
      <w:r w:rsidR="00C10024">
        <w:rPr>
          <w:iCs/>
          <w:lang w:val="en-US"/>
        </w:rPr>
        <w:t>:</w:t>
      </w:r>
    </w:p>
    <w:p w:rsidR="00A2636C" w:rsidRPr="005E348A" w:rsidRDefault="00A2636C" w:rsidP="00A2636C">
      <w:pPr>
        <w:pStyle w:val="Equation"/>
      </w:pPr>
      <w:r w:rsidRPr="00A2636C">
        <w:rPr>
          <w:lang w:val="en-US"/>
        </w:rPr>
        <w:tab/>
      </w:r>
      <w:r w:rsidRPr="00A2636C">
        <w:rPr>
          <w:lang w:val="en-US"/>
        </w:rPr>
        <w:tab/>
      </w:r>
      <w:r w:rsidR="00C10024" w:rsidRPr="00C10024">
        <w:rPr>
          <w:position w:val="-10"/>
        </w:rPr>
        <w:object w:dxaOrig="1060" w:dyaOrig="400">
          <v:shape id="_x0000_i1028" type="#_x0000_t75" style="width:52.8pt;height:19.8pt" o:ole="">
            <v:imagedata r:id="rId20" o:title=""/>
          </v:shape>
          <o:OLEObject Type="Embed" ProgID="Equation.3" ShapeID="_x0000_i1028" DrawAspect="Content" ObjectID="_1362556848" r:id="rId21"/>
        </w:object>
      </w:r>
    </w:p>
    <w:p w:rsidR="00A2636C" w:rsidRPr="005E348A" w:rsidRDefault="00A2636C" w:rsidP="00A2636C">
      <w:pPr>
        <w:pStyle w:val="Equation"/>
      </w:pPr>
      <w:r w:rsidRPr="005E348A">
        <w:tab/>
      </w:r>
      <w:r w:rsidRPr="005E348A">
        <w:tab/>
      </w:r>
      <w:r w:rsidR="00C10024" w:rsidRPr="005E348A">
        <w:rPr>
          <w:position w:val="-12"/>
        </w:rPr>
        <w:object w:dxaOrig="1560" w:dyaOrig="420">
          <v:shape id="_x0000_i1029" type="#_x0000_t75" style="width:78pt;height:21pt" o:ole="">
            <v:imagedata r:id="rId22" o:title=""/>
          </v:shape>
          <o:OLEObject Type="Embed" ProgID="Equation.3" ShapeID="_x0000_i1029" DrawAspect="Content" ObjectID="_1362556849" r:id="rId23"/>
        </w:object>
      </w:r>
    </w:p>
    <w:p w:rsidR="00B9310F" w:rsidRDefault="00B9310F" w:rsidP="00B9310F">
      <w:pPr>
        <w:pStyle w:val="Blanc"/>
        <w:rPr>
          <w:lang w:eastAsia="ja-JP"/>
        </w:rPr>
      </w:pPr>
    </w:p>
    <w:p w:rsidR="00CA3C2C" w:rsidRDefault="00A2636C" w:rsidP="00A17389">
      <w:pPr>
        <w:pStyle w:val="Note"/>
        <w:rPr>
          <w:lang w:val="en-US"/>
        </w:rPr>
      </w:pPr>
      <w:r w:rsidRPr="00A2636C">
        <w:rPr>
          <w:lang w:val="en-US" w:eastAsia="ja-JP"/>
        </w:rPr>
        <w:t>NOTE</w:t>
      </w:r>
      <w:r w:rsidR="00C10024">
        <w:rPr>
          <w:lang w:val="en-US" w:eastAsia="ja-JP"/>
        </w:rPr>
        <w:t> 1 </w:t>
      </w:r>
      <w:r w:rsidRPr="00A2636C">
        <w:rPr>
          <w:lang w:val="en-US" w:eastAsia="ja-JP"/>
        </w:rPr>
        <w:t>–</w:t>
      </w:r>
      <w:r w:rsidR="00C10024">
        <w:rPr>
          <w:lang w:val="en-US" w:eastAsia="ja-JP"/>
        </w:rPr>
        <w:t> </w:t>
      </w:r>
      <w:r w:rsidRPr="00A2636C">
        <w:rPr>
          <w:lang w:val="en-US" w:eastAsia="ja-JP"/>
        </w:rPr>
        <w:t>This Recommendation defines the reference EOTF equation, if it is required to confirm that a display device meets the reference equation it is recommended that the measurement be conducted in a dark room.</w:t>
      </w:r>
      <w:r w:rsidR="00CA3C2C">
        <w:rPr>
          <w:lang w:val="en-US"/>
        </w:rPr>
        <w:br w:type="page"/>
      </w:r>
    </w:p>
    <w:p w:rsidR="00A2636C" w:rsidRPr="00A2636C" w:rsidRDefault="00A2636C" w:rsidP="00C10024">
      <w:pPr>
        <w:pStyle w:val="AppendixNoTitle"/>
        <w:rPr>
          <w:lang w:val="en-US"/>
        </w:rPr>
      </w:pPr>
      <w:r w:rsidRPr="00C10024">
        <w:rPr>
          <w:lang w:val="en-US"/>
        </w:rPr>
        <w:lastRenderedPageBreak/>
        <w:t>Appendix 1</w:t>
      </w:r>
      <w:r w:rsidR="00C10024" w:rsidRPr="00C10024">
        <w:rPr>
          <w:lang w:val="en-US"/>
        </w:rPr>
        <w:br/>
      </w:r>
      <w:r w:rsidRPr="00C10024">
        <w:rPr>
          <w:lang w:val="en-US"/>
        </w:rPr>
        <w:t>(Informative)</w:t>
      </w:r>
      <w:r w:rsidR="00C10024" w:rsidRPr="00C10024">
        <w:rPr>
          <w:lang w:val="en-US"/>
        </w:rPr>
        <w:br/>
      </w:r>
      <w:r w:rsidR="00C10024" w:rsidRPr="00C10024">
        <w:rPr>
          <w:lang w:val="en-US"/>
        </w:rPr>
        <w:br/>
      </w:r>
      <w:r w:rsidRPr="00A2636C">
        <w:rPr>
          <w:lang w:val="en-US"/>
        </w:rPr>
        <w:t>EOTF-CRT matching</w:t>
      </w:r>
    </w:p>
    <w:p w:rsidR="00A2636C" w:rsidRPr="00A2636C" w:rsidRDefault="00A2636C" w:rsidP="00A2636C">
      <w:pPr>
        <w:pStyle w:val="Normalaftertitle"/>
        <w:rPr>
          <w:lang w:val="en-US"/>
        </w:rPr>
      </w:pPr>
      <w:r w:rsidRPr="00A2636C">
        <w:rPr>
          <w:lang w:val="en-US"/>
        </w:rPr>
        <w:t xml:space="preserve">The EOTF specified in Annex 1 is considered to be a satisfactory, but not exact, match to the characteristic of an actual CRT. When it is desired to match a CRT, the </w:t>
      </w:r>
      <w:r w:rsidRPr="00A2636C">
        <w:rPr>
          <w:i/>
          <w:lang w:val="en-US"/>
        </w:rPr>
        <w:t>L</w:t>
      </w:r>
      <w:r w:rsidRPr="00A2636C">
        <w:rPr>
          <w:i/>
          <w:vertAlign w:val="subscript"/>
          <w:lang w:val="en-US"/>
        </w:rPr>
        <w:t>w</w:t>
      </w:r>
      <w:r w:rsidRPr="00A2636C">
        <w:rPr>
          <w:lang w:val="en-US"/>
        </w:rPr>
        <w:t xml:space="preserve"> and </w:t>
      </w:r>
      <w:r w:rsidRPr="00A2636C">
        <w:rPr>
          <w:i/>
          <w:lang w:val="en-US"/>
        </w:rPr>
        <w:t>L</w:t>
      </w:r>
      <w:r w:rsidRPr="00A2636C">
        <w:rPr>
          <w:i/>
          <w:vertAlign w:val="subscript"/>
          <w:lang w:val="en-US"/>
        </w:rPr>
        <w:t>B</w:t>
      </w:r>
      <w:r w:rsidRPr="00A2636C">
        <w:rPr>
          <w:lang w:val="en-US"/>
        </w:rPr>
        <w:t xml:space="preserve"> parameters of the EOTF can be set to the corresponding values of the CRT that are being matched. For moderate black level settings, e.g. 0.1 cd/m</w:t>
      </w:r>
      <w:r w:rsidRPr="00A2636C">
        <w:rPr>
          <w:vertAlign w:val="superscript"/>
          <w:lang w:val="en-US"/>
        </w:rPr>
        <w:t>2</w:t>
      </w:r>
      <w:r w:rsidRPr="00A2636C">
        <w:rPr>
          <w:lang w:val="en-US"/>
        </w:rPr>
        <w:t xml:space="preserve">, setting the </w:t>
      </w:r>
      <w:r w:rsidRPr="00A2636C">
        <w:rPr>
          <w:i/>
          <w:lang w:val="en-US"/>
        </w:rPr>
        <w:t>L</w:t>
      </w:r>
      <w:r w:rsidRPr="00A2636C">
        <w:rPr>
          <w:i/>
          <w:vertAlign w:val="subscript"/>
          <w:lang w:val="en-US"/>
        </w:rPr>
        <w:t>B</w:t>
      </w:r>
      <w:r w:rsidRPr="00A2636C">
        <w:rPr>
          <w:lang w:val="en-US"/>
        </w:rPr>
        <w:t xml:space="preserve"> of the EOTF to 0.1 will give a satisfactory match to the CRT. In the event the CRT is operated at a lower black level, e.g. 0.01 cd/m</w:t>
      </w:r>
      <w:r w:rsidRPr="00A2636C">
        <w:rPr>
          <w:vertAlign w:val="superscript"/>
          <w:lang w:val="en-US"/>
        </w:rPr>
        <w:t>2</w:t>
      </w:r>
      <w:r w:rsidRPr="00A2636C">
        <w:rPr>
          <w:lang w:val="en-US"/>
        </w:rPr>
        <w:t xml:space="preserve">, the EOTF will provide a better match with </w:t>
      </w:r>
      <w:r w:rsidRPr="00A2636C">
        <w:rPr>
          <w:i/>
          <w:lang w:val="en-US"/>
        </w:rPr>
        <w:t>L</w:t>
      </w:r>
      <w:r w:rsidRPr="00A2636C">
        <w:rPr>
          <w:i/>
          <w:vertAlign w:val="subscript"/>
          <w:lang w:val="en-US"/>
        </w:rPr>
        <w:t>B</w:t>
      </w:r>
      <w:r w:rsidRPr="00A2636C">
        <w:rPr>
          <w:lang w:val="en-US"/>
        </w:rPr>
        <w:t xml:space="preserve"> set to a lower value such as 0.0 cd/m</w:t>
      </w:r>
      <w:r w:rsidRPr="00A2636C">
        <w:rPr>
          <w:vertAlign w:val="superscript"/>
          <w:lang w:val="en-US"/>
        </w:rPr>
        <w:t>2</w:t>
      </w:r>
      <w:r w:rsidRPr="00A2636C">
        <w:rPr>
          <w:lang w:val="en-US"/>
        </w:rPr>
        <w:t>. When it is necessary to more precisely match a flat panel display characteristic to a CRT, the alternative EOTF formulation specified below may provide a solution.</w:t>
      </w:r>
    </w:p>
    <w:p w:rsidR="00A2636C" w:rsidRPr="00A2636C" w:rsidRDefault="00A2636C" w:rsidP="00A2636C">
      <w:pPr>
        <w:pStyle w:val="Headingb"/>
        <w:rPr>
          <w:lang w:val="en-US"/>
        </w:rPr>
      </w:pPr>
      <w:r w:rsidRPr="00A2636C">
        <w:rPr>
          <w:lang w:val="en-US"/>
        </w:rPr>
        <w:t xml:space="preserve">An example of </w:t>
      </w:r>
      <w:r w:rsidRPr="00A2636C">
        <w:rPr>
          <w:lang w:val="en-US" w:eastAsia="ja-JP"/>
        </w:rPr>
        <w:t>an alternative approximation of an EOTF of a CRT display</w:t>
      </w:r>
    </w:p>
    <w:p w:rsidR="00A2636C" w:rsidRPr="00A2636C" w:rsidRDefault="00A2636C" w:rsidP="00A2636C">
      <w:pPr>
        <w:outlineLvl w:val="0"/>
        <w:rPr>
          <w:lang w:val="en-US"/>
        </w:rPr>
      </w:pPr>
      <w:r w:rsidRPr="00A2636C">
        <w:rPr>
          <w:lang w:val="en-US"/>
        </w:rPr>
        <w:t>An example of an EOTF that has alternative characteristics of a CRT’s EOTF:</w:t>
      </w:r>
    </w:p>
    <w:p w:rsidR="00A2636C" w:rsidRPr="00A2636C" w:rsidRDefault="00A2636C" w:rsidP="00A2636C">
      <w:pPr>
        <w:rPr>
          <w:lang w:val="en-US" w:eastAsia="ja-JP"/>
        </w:rPr>
      </w:pPr>
      <w:r w:rsidRPr="00A2636C">
        <w:rPr>
          <w:lang w:val="en-US" w:eastAsia="ja-JP"/>
        </w:rPr>
        <w:tab/>
      </w:r>
      <w:r w:rsidR="00C10024" w:rsidRPr="00C10024">
        <w:rPr>
          <w:position w:val="-16"/>
          <w:lang w:eastAsia="ja-JP"/>
        </w:rPr>
        <w:object w:dxaOrig="2960" w:dyaOrig="460">
          <v:shape id="_x0000_i1030" type="#_x0000_t75" style="width:147.6pt;height:23.4pt" o:ole="">
            <v:imagedata r:id="rId24" o:title=""/>
          </v:shape>
          <o:OLEObject Type="Embed" ProgID="Equation.3" ShapeID="_x0000_i1030" DrawAspect="Content" ObjectID="_1362556850" r:id="rId25"/>
        </w:object>
      </w:r>
      <w:r w:rsidRPr="00A2636C">
        <w:rPr>
          <w:lang w:val="en-US" w:eastAsia="ja-JP"/>
        </w:rPr>
        <w:tab/>
      </w:r>
      <w:r w:rsidRPr="00A2636C">
        <w:rPr>
          <w:lang w:val="en-US" w:eastAsia="ja-JP"/>
        </w:rPr>
        <w:tab/>
        <w:t xml:space="preserve">for </w:t>
      </w:r>
      <w:r w:rsidRPr="005E348A">
        <w:rPr>
          <w:position w:val="-10"/>
          <w:lang w:eastAsia="ja-JP"/>
        </w:rPr>
        <w:object w:dxaOrig="740" w:dyaOrig="320">
          <v:shape id="_x0000_i1031" type="#_x0000_t75" style="width:36.6pt;height:16.2pt" o:ole="">
            <v:imagedata r:id="rId26" o:title=""/>
          </v:shape>
          <o:OLEObject Type="Embed" ProgID="Equation.3" ShapeID="_x0000_i1031" DrawAspect="Content" ObjectID="_1362556851" r:id="rId27"/>
        </w:object>
      </w:r>
    </w:p>
    <w:p w:rsidR="00A2636C" w:rsidRPr="00A2636C" w:rsidRDefault="00A2636C" w:rsidP="00A2636C">
      <w:pPr>
        <w:rPr>
          <w:position w:val="-8"/>
          <w:lang w:val="en-US" w:eastAsia="ja-JP"/>
        </w:rPr>
      </w:pPr>
      <w:r w:rsidRPr="00A2636C">
        <w:rPr>
          <w:lang w:val="en-US" w:eastAsia="ja-JP"/>
        </w:rPr>
        <w:tab/>
      </w:r>
      <w:r w:rsidR="00C10024" w:rsidRPr="00C10024">
        <w:rPr>
          <w:position w:val="-16"/>
          <w:lang w:eastAsia="ja-JP"/>
        </w:rPr>
        <w:object w:dxaOrig="1500" w:dyaOrig="460">
          <v:shape id="_x0000_i1032" type="#_x0000_t75" style="width:74.4pt;height:23.4pt" o:ole="">
            <v:imagedata r:id="rId28" o:title=""/>
          </v:shape>
          <o:OLEObject Type="Embed" ProgID="Equation.3" ShapeID="_x0000_i1032" DrawAspect="Content" ObjectID="_1362556852" r:id="rId29"/>
        </w:object>
      </w:r>
      <w:r w:rsidRPr="00A2636C">
        <w:rPr>
          <w:lang w:val="en-US" w:eastAsia="ja-JP"/>
        </w:rPr>
        <w:tab/>
      </w:r>
      <w:r w:rsidRPr="00A2636C">
        <w:rPr>
          <w:lang w:val="en-US" w:eastAsia="ja-JP"/>
        </w:rPr>
        <w:tab/>
      </w:r>
      <w:r w:rsidRPr="00A2636C">
        <w:rPr>
          <w:lang w:val="en-US" w:eastAsia="ja-JP"/>
        </w:rPr>
        <w:tab/>
      </w:r>
      <w:r w:rsidRPr="00A2636C">
        <w:rPr>
          <w:lang w:val="en-US" w:eastAsia="ja-JP"/>
        </w:rPr>
        <w:tab/>
        <w:t xml:space="preserve">for </w:t>
      </w:r>
      <w:r w:rsidRPr="005E348A">
        <w:rPr>
          <w:position w:val="-10"/>
          <w:lang w:eastAsia="ja-JP"/>
        </w:rPr>
        <w:object w:dxaOrig="740" w:dyaOrig="320">
          <v:shape id="_x0000_i1033" type="#_x0000_t75" style="width:36.6pt;height:16.2pt" o:ole="">
            <v:imagedata r:id="rId30" o:title=""/>
          </v:shape>
          <o:OLEObject Type="Embed" ProgID="Equation.3" ShapeID="_x0000_i1033" DrawAspect="Content" ObjectID="_1362556853" r:id="rId31"/>
        </w:object>
      </w:r>
    </w:p>
    <w:p w:rsidR="00A2636C" w:rsidRPr="00A2636C" w:rsidRDefault="00A2636C" w:rsidP="00C10024">
      <w:pPr>
        <w:rPr>
          <w:lang w:val="en-US" w:eastAsia="ja-JP"/>
        </w:rPr>
      </w:pPr>
      <w:r w:rsidRPr="005E348A">
        <w:fldChar w:fldCharType="begin"/>
      </w:r>
      <w:r w:rsidRPr="005E348A">
        <w:fldChar w:fldCharType="end"/>
      </w:r>
      <w:r w:rsidRPr="005E348A">
        <w:fldChar w:fldCharType="begin"/>
      </w:r>
      <w:r w:rsidRPr="005E348A">
        <w:fldChar w:fldCharType="end"/>
      </w:r>
      <w:r w:rsidRPr="005E348A">
        <w:fldChar w:fldCharType="begin"/>
      </w:r>
      <w:r w:rsidRPr="005E348A">
        <w:fldChar w:fldCharType="end"/>
      </w:r>
      <w:r w:rsidRPr="005E348A">
        <w:fldChar w:fldCharType="begin"/>
      </w:r>
      <w:r w:rsidRPr="005E348A">
        <w:fldChar w:fldCharType="end"/>
      </w:r>
      <w:r w:rsidRPr="005E348A">
        <w:fldChar w:fldCharType="begin"/>
      </w:r>
      <w:r w:rsidRPr="005E348A">
        <w:fldChar w:fldCharType="end"/>
      </w:r>
      <w:r w:rsidRPr="005E348A">
        <w:fldChar w:fldCharType="begin"/>
      </w:r>
      <w:r w:rsidRPr="005E348A">
        <w:fldChar w:fldCharType="end"/>
      </w:r>
      <w:r w:rsidRPr="005E348A">
        <w:fldChar w:fldCharType="begin"/>
      </w:r>
      <w:r w:rsidRPr="005E348A">
        <w:fldChar w:fldCharType="end"/>
      </w:r>
      <w:r w:rsidRPr="005E348A">
        <w:fldChar w:fldCharType="begin"/>
      </w:r>
      <w:r w:rsidRPr="005E348A">
        <w:fldChar w:fldCharType="end"/>
      </w:r>
      <w:r w:rsidRPr="005E348A">
        <w:fldChar w:fldCharType="begin"/>
      </w:r>
      <w:r w:rsidRPr="005E348A">
        <w:fldChar w:fldCharType="end"/>
      </w:r>
      <w:r w:rsidRPr="005E348A">
        <w:fldChar w:fldCharType="begin"/>
      </w:r>
      <w:r w:rsidRPr="005E348A">
        <w:fldChar w:fldCharType="end"/>
      </w:r>
      <w:r w:rsidRPr="005E348A">
        <w:fldChar w:fldCharType="begin"/>
      </w:r>
      <w:r w:rsidRPr="005E348A">
        <w:fldChar w:fldCharType="end"/>
      </w:r>
      <w:r w:rsidR="00C10024" w:rsidRPr="00A2636C">
        <w:rPr>
          <w:lang w:val="en-US" w:eastAsia="ja-JP"/>
        </w:rPr>
        <w:t>w</w:t>
      </w:r>
      <w:r w:rsidRPr="00A2636C">
        <w:rPr>
          <w:lang w:val="en-US" w:eastAsia="ja-JP"/>
        </w:rPr>
        <w:t>here</w:t>
      </w:r>
    </w:p>
    <w:p w:rsidR="00A2636C" w:rsidRPr="00C10024" w:rsidRDefault="00A2636C" w:rsidP="00C10024">
      <w:pPr>
        <w:pStyle w:val="Equationlegend"/>
        <w:rPr>
          <w:lang w:eastAsia="ja-JP"/>
        </w:rPr>
      </w:pPr>
      <w:r w:rsidRPr="00C10024">
        <w:rPr>
          <w:lang w:eastAsia="ja-JP"/>
        </w:rPr>
        <w:tab/>
      </w:r>
      <w:r w:rsidRPr="00C10024">
        <w:rPr>
          <w:i/>
          <w:iCs/>
        </w:rPr>
        <w:t>Vc</w:t>
      </w:r>
      <w:r w:rsidRPr="00C10024">
        <w:t>:</w:t>
      </w:r>
      <w:r w:rsidRPr="00C10024">
        <w:tab/>
        <w:t>0.35,</w:t>
      </w:r>
      <w:r w:rsidR="00C10024" w:rsidRPr="00C10024">
        <w:t xml:space="preserve"> </w:t>
      </w:r>
      <w:r w:rsidR="00C10024" w:rsidRPr="00C10024">
        <w:sym w:font="Symbol" w:char="F061"/>
      </w:r>
      <w:r w:rsidR="00C10024" w:rsidRPr="00C10024">
        <w:rPr>
          <w:vertAlign w:val="subscript"/>
        </w:rPr>
        <w:t>1</w:t>
      </w:r>
      <w:r w:rsidR="00C10024" w:rsidRPr="00C10024">
        <w:t xml:space="preserve"> = 2.6, </w:t>
      </w:r>
      <w:r w:rsidR="00C10024" w:rsidRPr="00C10024">
        <w:sym w:font="Symbol" w:char="F061"/>
      </w:r>
      <w:r w:rsidR="00C10024" w:rsidRPr="00C10024">
        <w:rPr>
          <w:vertAlign w:val="subscript"/>
        </w:rPr>
        <w:t>2</w:t>
      </w:r>
      <w:r w:rsidR="00C10024" w:rsidRPr="00C10024">
        <w:t xml:space="preserve"> = 3.0</w:t>
      </w:r>
    </w:p>
    <w:p w:rsidR="00A2636C" w:rsidRPr="00C10024" w:rsidRDefault="00A2636C" w:rsidP="00C10024">
      <w:pPr>
        <w:pStyle w:val="Equationlegend"/>
        <w:rPr>
          <w:lang w:eastAsia="ja-JP"/>
        </w:rPr>
      </w:pPr>
      <w:r w:rsidRPr="00C10024">
        <w:rPr>
          <w:lang w:eastAsia="ja-JP"/>
        </w:rPr>
        <w:tab/>
      </w:r>
      <w:r w:rsidR="00C10024" w:rsidRPr="00C10024">
        <w:rPr>
          <w:i/>
          <w:iCs/>
          <w:lang w:eastAsia="ja-JP"/>
        </w:rPr>
        <w:t>L</w:t>
      </w:r>
      <w:r w:rsidRPr="00C10024">
        <w:rPr>
          <w:lang w:eastAsia="ja-JP"/>
        </w:rPr>
        <w:t>:</w:t>
      </w:r>
      <w:r w:rsidRPr="00C10024">
        <w:rPr>
          <w:lang w:eastAsia="ja-JP"/>
        </w:rPr>
        <w:tab/>
        <w:t xml:space="preserve">Screen luminance </w:t>
      </w:r>
      <w:r w:rsidR="00C10024" w:rsidRPr="00C10024">
        <w:rPr>
          <w:lang w:eastAsia="ja-JP"/>
        </w:rPr>
        <w:t>(</w:t>
      </w:r>
      <w:r w:rsidRPr="00C10024">
        <w:rPr>
          <w:lang w:eastAsia="ja-JP"/>
        </w:rPr>
        <w:t>cd/m</w:t>
      </w:r>
      <w:r w:rsidRPr="00C10024">
        <w:rPr>
          <w:vertAlign w:val="superscript"/>
          <w:lang w:eastAsia="ja-JP"/>
        </w:rPr>
        <w:t>2</w:t>
      </w:r>
      <w:r w:rsidR="00C10024" w:rsidRPr="00C10024">
        <w:rPr>
          <w:lang w:eastAsia="ja-JP"/>
        </w:rPr>
        <w:t>)</w:t>
      </w:r>
    </w:p>
    <w:p w:rsidR="00A2636C" w:rsidRPr="00C10024" w:rsidRDefault="00A2636C" w:rsidP="00C10024">
      <w:pPr>
        <w:pStyle w:val="Equationlegend"/>
        <w:rPr>
          <w:lang w:eastAsia="ja-JP"/>
        </w:rPr>
      </w:pPr>
      <w:r w:rsidRPr="00C10024">
        <w:rPr>
          <w:lang w:eastAsia="ja-JP"/>
        </w:rPr>
        <w:tab/>
      </w:r>
      <w:r w:rsidR="00C10024" w:rsidRPr="00C10024">
        <w:rPr>
          <w:i/>
          <w:iCs/>
          <w:lang w:eastAsia="ja-JP"/>
        </w:rPr>
        <w:t>L</w:t>
      </w:r>
      <w:r w:rsidR="00C10024" w:rsidRPr="00C10024">
        <w:rPr>
          <w:i/>
          <w:iCs/>
          <w:vertAlign w:val="subscript"/>
          <w:lang w:eastAsia="ja-JP"/>
        </w:rPr>
        <w:t>W</w:t>
      </w:r>
      <w:r w:rsidRPr="00C10024">
        <w:rPr>
          <w:lang w:eastAsia="ja-JP"/>
        </w:rPr>
        <w:t>:</w:t>
      </w:r>
      <w:r w:rsidRPr="00C10024">
        <w:rPr>
          <w:lang w:eastAsia="ja-JP"/>
        </w:rPr>
        <w:tab/>
        <w:t xml:space="preserve">Screen luminance for white, reference setting is </w:t>
      </w:r>
      <w:r w:rsidR="00C10024" w:rsidRPr="00C10024">
        <w:rPr>
          <w:i/>
          <w:iCs/>
          <w:lang w:eastAsia="ja-JP"/>
        </w:rPr>
        <w:t>L</w:t>
      </w:r>
      <w:r w:rsidR="00C10024" w:rsidRPr="00C10024">
        <w:rPr>
          <w:i/>
          <w:iCs/>
          <w:vertAlign w:val="subscript"/>
          <w:lang w:eastAsia="ja-JP"/>
        </w:rPr>
        <w:t>W</w:t>
      </w:r>
      <w:r w:rsidR="00C10024" w:rsidRPr="00C10024">
        <w:rPr>
          <w:lang w:eastAsia="ja-JP"/>
        </w:rPr>
        <w:t xml:space="preserve"> = 100 </w:t>
      </w:r>
      <w:r w:rsidR="00C10024" w:rsidRPr="002D2C98">
        <w:rPr>
          <w:lang w:eastAsia="ja-JP"/>
        </w:rPr>
        <w:t>cd/m</w:t>
      </w:r>
      <w:r w:rsidR="00C10024" w:rsidRPr="00C10024">
        <w:rPr>
          <w:vertAlign w:val="superscript"/>
          <w:lang w:eastAsia="ja-JP"/>
        </w:rPr>
        <w:t>2</w:t>
      </w:r>
    </w:p>
    <w:p w:rsidR="00C10024" w:rsidRPr="00C10024" w:rsidRDefault="00A2636C" w:rsidP="00C10024">
      <w:pPr>
        <w:pStyle w:val="Equationlegend"/>
        <w:rPr>
          <w:lang w:eastAsia="ja-JP"/>
        </w:rPr>
      </w:pPr>
      <w:r w:rsidRPr="00C10024">
        <w:rPr>
          <w:lang w:eastAsia="ja-JP"/>
        </w:rPr>
        <w:tab/>
      </w:r>
      <w:r w:rsidR="00C10024" w:rsidRPr="00C10024">
        <w:rPr>
          <w:i/>
          <w:iCs/>
          <w:lang w:eastAsia="ja-JP"/>
        </w:rPr>
        <w:t>V</w:t>
      </w:r>
      <w:r w:rsidRPr="00C10024">
        <w:rPr>
          <w:lang w:eastAsia="ja-JP"/>
        </w:rPr>
        <w:t>:</w:t>
      </w:r>
      <w:r w:rsidRPr="00C10024">
        <w:rPr>
          <w:lang w:eastAsia="ja-JP"/>
        </w:rPr>
        <w:tab/>
        <w:t xml:space="preserve">Input video signal level (normalized, black at 0, to white at 1. </w:t>
      </w:r>
      <w:r w:rsidRPr="00C10024">
        <w:t>10-bit digital code values “D” map into values of V per the following equation:</w:t>
      </w:r>
    </w:p>
    <w:p w:rsidR="00B9310F" w:rsidRDefault="00B9310F" w:rsidP="00B9310F">
      <w:pPr>
        <w:pStyle w:val="Blanc"/>
        <w:rPr>
          <w:lang w:eastAsia="ja-JP"/>
        </w:rPr>
      </w:pPr>
    </w:p>
    <w:p w:rsidR="00A2636C" w:rsidRPr="00C10024" w:rsidRDefault="00C10024" w:rsidP="002D2C98">
      <w:pPr>
        <w:pStyle w:val="Equation"/>
        <w:rPr>
          <w:lang w:val="en-US" w:eastAsia="ja-JP"/>
        </w:rPr>
      </w:pPr>
      <w:r w:rsidRPr="00BE37E1">
        <w:rPr>
          <w:lang w:val="en-US" w:eastAsia="ja-JP"/>
        </w:rPr>
        <w:tab/>
      </w:r>
      <w:r w:rsidRPr="00BE37E1">
        <w:rPr>
          <w:lang w:val="en-US" w:eastAsia="ja-JP"/>
        </w:rPr>
        <w:tab/>
      </w:r>
      <w:r w:rsidR="00A2636C" w:rsidRPr="00C10024">
        <w:rPr>
          <w:lang w:val="en-US"/>
        </w:rPr>
        <w:t>V = (</w:t>
      </w:r>
      <w:r w:rsidR="00A2636C" w:rsidRPr="002D2C98">
        <w:rPr>
          <w:i/>
          <w:iCs/>
          <w:lang w:val="en-US"/>
        </w:rPr>
        <w:t>D</w:t>
      </w:r>
      <w:r w:rsidR="00A2636C" w:rsidRPr="00C10024">
        <w:rPr>
          <w:lang w:val="en-US"/>
        </w:rPr>
        <w:t>-64)/876</w:t>
      </w:r>
      <w:r w:rsidR="00A2636C" w:rsidRPr="00C10024">
        <w:rPr>
          <w:lang w:val="en-US" w:eastAsia="ja-JP"/>
        </w:rPr>
        <w:t>)</w:t>
      </w:r>
    </w:p>
    <w:p w:rsidR="00B9310F" w:rsidRDefault="00B9310F" w:rsidP="00B9310F">
      <w:pPr>
        <w:pStyle w:val="Blanc"/>
        <w:rPr>
          <w:lang w:eastAsia="ja-JP"/>
        </w:rPr>
      </w:pPr>
    </w:p>
    <w:p w:rsidR="00A2636C" w:rsidRPr="00C10024" w:rsidRDefault="00A2636C" w:rsidP="00C10024">
      <w:pPr>
        <w:pStyle w:val="Equationlegend"/>
      </w:pPr>
      <w:r w:rsidRPr="00C10024">
        <w:rPr>
          <w:lang w:eastAsia="ja-JP"/>
        </w:rPr>
        <w:tab/>
      </w:r>
      <w:r w:rsidR="00C10024" w:rsidRPr="00C10024">
        <w:rPr>
          <w:i/>
          <w:iCs/>
        </w:rPr>
        <w:t>k</w:t>
      </w:r>
      <w:r w:rsidRPr="00C10024">
        <w:t xml:space="preserve">: </w:t>
      </w:r>
      <w:r w:rsidRPr="00C10024">
        <w:tab/>
        <w:t>Coefficient for normalization (so that V = 1 gives white), (</w:t>
      </w:r>
      <w:r w:rsidR="00C10024" w:rsidRPr="00C10024">
        <w:rPr>
          <w:i/>
          <w:iCs/>
        </w:rPr>
        <w:t>k</w:t>
      </w:r>
      <w:r w:rsidR="00C10024">
        <w:t xml:space="preserve"> = </w:t>
      </w:r>
      <w:r w:rsidR="00C10024" w:rsidRPr="00C10024">
        <w:rPr>
          <w:i/>
          <w:iCs/>
        </w:rPr>
        <w:t>L</w:t>
      </w:r>
      <w:r w:rsidR="00C10024" w:rsidRPr="00C10024">
        <w:rPr>
          <w:i/>
          <w:iCs/>
          <w:vertAlign w:val="subscript"/>
        </w:rPr>
        <w:t>W</w:t>
      </w:r>
      <w:r w:rsidR="00C10024">
        <w:t xml:space="preserve">/[1 + </w:t>
      </w:r>
      <w:r w:rsidR="00C10024" w:rsidRPr="00C10024">
        <w:rPr>
          <w:i/>
          <w:iCs/>
        </w:rPr>
        <w:t>b</w:t>
      </w:r>
      <w:r w:rsidR="00C10024">
        <w:t>]</w:t>
      </w:r>
      <w:r w:rsidR="00C10024" w:rsidRPr="00C10024">
        <w:rPr>
          <w:vertAlign w:val="superscript"/>
        </w:rPr>
        <w:sym w:font="Symbol" w:char="F061"/>
      </w:r>
      <w:r w:rsidR="00C10024" w:rsidRPr="00C10024">
        <w:rPr>
          <w:vertAlign w:val="superscript"/>
        </w:rPr>
        <w:t>1</w:t>
      </w:r>
      <w:r w:rsidRPr="00C10024">
        <w:t>)</w:t>
      </w:r>
    </w:p>
    <w:p w:rsidR="00A2636C" w:rsidRPr="00C10024" w:rsidRDefault="00A2636C" w:rsidP="00C10024">
      <w:pPr>
        <w:pStyle w:val="Equationlegend"/>
        <w:rPr>
          <w:lang w:eastAsia="ja-JP"/>
        </w:rPr>
      </w:pPr>
      <w:r w:rsidRPr="00C10024">
        <w:rPr>
          <w:lang w:eastAsia="ja-JP"/>
        </w:rPr>
        <w:tab/>
      </w:r>
      <w:r w:rsidR="00C10024" w:rsidRPr="00C10024">
        <w:rPr>
          <w:i/>
          <w:iCs/>
          <w:lang w:eastAsia="ja-JP"/>
        </w:rPr>
        <w:t>b</w:t>
      </w:r>
      <w:r w:rsidRPr="00C10024">
        <w:rPr>
          <w:lang w:eastAsia="ja-JP"/>
        </w:rPr>
        <w:t>:</w:t>
      </w:r>
      <w:r w:rsidRPr="00C10024">
        <w:rPr>
          <w:lang w:eastAsia="ja-JP"/>
        </w:rPr>
        <w:tab/>
        <w:t>Variable for black level lift (legacy “brightness” control).</w:t>
      </w:r>
    </w:p>
    <w:p w:rsidR="00A2636C" w:rsidRPr="00C10024" w:rsidRDefault="00A2636C" w:rsidP="002D2C98">
      <w:pPr>
        <w:pStyle w:val="Equationlegend"/>
        <w:rPr>
          <w:lang w:eastAsia="ja-JP"/>
        </w:rPr>
      </w:pPr>
      <w:r w:rsidRPr="00C10024">
        <w:rPr>
          <w:lang w:eastAsia="ja-JP"/>
        </w:rPr>
        <w:tab/>
      </w:r>
      <w:r w:rsidRPr="00C10024">
        <w:rPr>
          <w:lang w:eastAsia="ja-JP"/>
        </w:rPr>
        <w:tab/>
        <w:t xml:space="preserve">The value of </w:t>
      </w:r>
      <w:r w:rsidRPr="00C10024">
        <w:rPr>
          <w:i/>
          <w:iCs/>
          <w:lang w:eastAsia="ja-JP"/>
        </w:rPr>
        <w:t>b</w:t>
      </w:r>
      <w:r w:rsidRPr="00C10024">
        <w:rPr>
          <w:lang w:eastAsia="ja-JP"/>
        </w:rPr>
        <w:t xml:space="preserve"> is set so that the calculated luminance can be the same as the measurement data at input signal level 0.0183 (= (80-64)/876). </w:t>
      </w:r>
    </w:p>
    <w:p w:rsidR="00A2636C" w:rsidRPr="00C10024" w:rsidRDefault="00A2636C" w:rsidP="00A2636C">
      <w:pPr>
        <w:pStyle w:val="Equationlegend"/>
        <w:rPr>
          <w:lang w:eastAsia="ja-JP"/>
        </w:rPr>
      </w:pPr>
      <w:r w:rsidRPr="00C10024">
        <w:rPr>
          <w:lang w:eastAsia="ja-JP"/>
        </w:rPr>
        <w:tab/>
      </w:r>
      <w:r w:rsidRPr="00C10024">
        <w:rPr>
          <w:lang w:eastAsia="ja-JP"/>
        </w:rPr>
        <w:tab/>
        <w:t xml:space="preserve">The value of </w:t>
      </w:r>
      <w:r w:rsidRPr="00C10024">
        <w:rPr>
          <w:i/>
          <w:iCs/>
          <w:lang w:eastAsia="ja-JP"/>
        </w:rPr>
        <w:t>b</w:t>
      </w:r>
      <w:r w:rsidRPr="00C10024">
        <w:rPr>
          <w:lang w:eastAsia="ja-JP"/>
        </w:rPr>
        <w:t xml:space="preserve"> changes depending on “brightness” control.</w:t>
      </w:r>
    </w:p>
    <w:p w:rsidR="00A2636C" w:rsidRPr="00A2636C" w:rsidRDefault="00A2636C" w:rsidP="00A2636C">
      <w:pPr>
        <w:pStyle w:val="FigureNo"/>
        <w:spacing w:before="240"/>
        <w:outlineLvl w:val="0"/>
        <w:rPr>
          <w:lang w:val="en-US" w:eastAsia="ja-JP"/>
        </w:rPr>
      </w:pPr>
      <w:r w:rsidRPr="00A2636C">
        <w:rPr>
          <w:lang w:val="en-US"/>
        </w:rPr>
        <w:lastRenderedPageBreak/>
        <w:t xml:space="preserve">Figure </w:t>
      </w:r>
      <w:r w:rsidRPr="00A2636C">
        <w:rPr>
          <w:lang w:val="en-US" w:eastAsia="ja-JP"/>
        </w:rPr>
        <w:t>1</w:t>
      </w:r>
    </w:p>
    <w:p w:rsidR="00A2636C" w:rsidRDefault="00A2636C" w:rsidP="00A9771A">
      <w:pPr>
        <w:pStyle w:val="Figuretitle"/>
        <w:rPr>
          <w:lang w:val="en-US"/>
        </w:rPr>
      </w:pPr>
      <w:r w:rsidRPr="00A2636C">
        <w:rPr>
          <w:lang w:val="en-US"/>
        </w:rPr>
        <w:t>EOTFs: Black dot (measured data), Red line (reference EOTF)</w:t>
      </w:r>
      <w:r w:rsidRPr="00A2636C">
        <w:rPr>
          <w:lang w:val="en-US" w:eastAsia="ja-JP"/>
        </w:rPr>
        <w:t>,</w:t>
      </w:r>
      <w:r w:rsidR="00A9771A">
        <w:rPr>
          <w:lang w:val="en-US" w:eastAsia="ja-JP"/>
        </w:rPr>
        <w:br/>
      </w:r>
      <w:r w:rsidRPr="00A2636C">
        <w:rPr>
          <w:lang w:val="en-US"/>
        </w:rPr>
        <w:t>Blue line (alternative EOTF equation, Vc: 0.35,</w:t>
      </w:r>
      <w:r w:rsidR="00A9771A">
        <w:rPr>
          <w:lang w:val="en-US"/>
        </w:rPr>
        <w:t xml:space="preserve"> </w:t>
      </w:r>
      <w:r w:rsidR="00A9771A">
        <w:rPr>
          <w:lang w:val="en-US"/>
        </w:rPr>
        <w:sym w:font="Symbol" w:char="F061"/>
      </w:r>
      <w:r w:rsidR="00A9771A" w:rsidRPr="00A9771A">
        <w:rPr>
          <w:rFonts w:cs="Times New Roman Bold"/>
          <w:vertAlign w:val="subscript"/>
          <w:lang w:val="en-US"/>
        </w:rPr>
        <w:t>1</w:t>
      </w:r>
      <w:r w:rsidR="00A9771A">
        <w:rPr>
          <w:lang w:val="en-US"/>
        </w:rPr>
        <w:t xml:space="preserve"> = 2.6</w:t>
      </w:r>
      <w:r w:rsidRPr="00A2636C">
        <w:rPr>
          <w:lang w:val="en-US"/>
        </w:rPr>
        <w:t>,</w:t>
      </w:r>
      <w:r w:rsidR="00A9771A">
        <w:rPr>
          <w:lang w:val="en-US"/>
        </w:rPr>
        <w:t xml:space="preserve"> </w:t>
      </w:r>
      <w:r w:rsidR="00A9771A">
        <w:rPr>
          <w:lang w:val="en-US"/>
        </w:rPr>
        <w:sym w:font="Symbol" w:char="F061"/>
      </w:r>
      <w:r w:rsidR="00A9771A">
        <w:rPr>
          <w:rFonts w:cs="Times New Roman Bold"/>
          <w:vertAlign w:val="subscript"/>
          <w:lang w:val="en-US"/>
        </w:rPr>
        <w:t>2</w:t>
      </w:r>
      <w:r w:rsidR="00A9771A">
        <w:rPr>
          <w:lang w:val="en-US"/>
        </w:rPr>
        <w:t xml:space="preserve"> = 3.0</w:t>
      </w:r>
      <w:r w:rsidRPr="00A2636C">
        <w:rPr>
          <w:lang w:val="en-US"/>
        </w:rPr>
        <w:t>)</w:t>
      </w:r>
    </w:p>
    <w:p w:rsidR="00A9771A" w:rsidRPr="00A9771A" w:rsidRDefault="002D2C98" w:rsidP="00A9771A">
      <w:pPr>
        <w:pStyle w:val="Figure"/>
        <w:rPr>
          <w:lang w:val="en-US"/>
        </w:rPr>
      </w:pPr>
      <w:r>
        <w:rPr>
          <w:lang w:val="en-US"/>
        </w:rPr>
        <w:pict>
          <v:shape id="_x0000_i1034" type="#_x0000_t75" style="width:307.8pt;height:318.6pt">
            <v:imagedata r:id="rId32" o:title=""/>
          </v:shape>
        </w:pict>
      </w:r>
    </w:p>
    <w:p w:rsidR="00A2636C" w:rsidRPr="00A9771A" w:rsidRDefault="00A2636C" w:rsidP="00A2636C">
      <w:pPr>
        <w:rPr>
          <w:noProof/>
          <w:lang w:val="en-US"/>
        </w:rPr>
      </w:pPr>
    </w:p>
    <w:p w:rsidR="00A2636C" w:rsidRDefault="00A2636C" w:rsidP="00A2636C">
      <w:pPr>
        <w:rPr>
          <w:noProof/>
          <w:lang w:val="en-US"/>
        </w:rPr>
      </w:pPr>
    </w:p>
    <w:p w:rsidR="00CA3C2C" w:rsidRPr="00A9771A" w:rsidRDefault="00CA3C2C" w:rsidP="00A2636C">
      <w:pPr>
        <w:rPr>
          <w:noProof/>
          <w:lang w:val="en-US"/>
        </w:rPr>
      </w:pPr>
    </w:p>
    <w:p w:rsidR="00A2636C" w:rsidRPr="00A9771A" w:rsidRDefault="00A2636C" w:rsidP="00A9771A">
      <w:pPr>
        <w:pStyle w:val="AppendixNoTitle"/>
        <w:rPr>
          <w:noProof/>
          <w:lang w:val="en-US"/>
        </w:rPr>
      </w:pPr>
      <w:r w:rsidRPr="00A9771A">
        <w:rPr>
          <w:noProof/>
          <w:lang w:val="en-US"/>
        </w:rPr>
        <w:t>A</w:t>
      </w:r>
      <w:r w:rsidR="00A9771A" w:rsidRPr="00A9771A">
        <w:rPr>
          <w:noProof/>
          <w:lang w:val="en-US"/>
        </w:rPr>
        <w:t>ppendix</w:t>
      </w:r>
      <w:r w:rsidRPr="00A9771A">
        <w:rPr>
          <w:noProof/>
          <w:lang w:val="en-US"/>
        </w:rPr>
        <w:t xml:space="preserve"> 2</w:t>
      </w:r>
      <w:r w:rsidR="00A9771A">
        <w:rPr>
          <w:noProof/>
          <w:lang w:val="en-US"/>
        </w:rPr>
        <w:br/>
      </w:r>
      <w:r w:rsidRPr="00A9771A">
        <w:rPr>
          <w:noProof/>
          <w:lang w:val="en-US"/>
        </w:rPr>
        <w:t>(Informative)</w:t>
      </w:r>
    </w:p>
    <w:p w:rsidR="00A2636C" w:rsidRPr="00A2636C" w:rsidRDefault="00A2636C" w:rsidP="00A2636C">
      <w:pPr>
        <w:rPr>
          <w:noProof/>
          <w:lang w:val="en-US"/>
        </w:rPr>
      </w:pPr>
    </w:p>
    <w:p w:rsidR="00A2636C" w:rsidRPr="00A2636C" w:rsidRDefault="00A2636C" w:rsidP="00A2636C">
      <w:pPr>
        <w:pStyle w:val="Headingb"/>
        <w:rPr>
          <w:noProof/>
          <w:lang w:val="en-US"/>
        </w:rPr>
      </w:pPr>
      <w:r w:rsidRPr="00A2636C">
        <w:rPr>
          <w:noProof/>
          <w:lang w:val="en-US"/>
        </w:rPr>
        <w:t>Historic overview</w:t>
      </w:r>
    </w:p>
    <w:p w:rsidR="00A2636C" w:rsidRPr="00A2636C" w:rsidRDefault="00A2636C" w:rsidP="00A2636C">
      <w:pPr>
        <w:rPr>
          <w:szCs w:val="24"/>
          <w:lang w:val="en-US"/>
        </w:rPr>
      </w:pPr>
      <w:r w:rsidRPr="00A2636C">
        <w:rPr>
          <w:szCs w:val="24"/>
          <w:lang w:val="en-US"/>
        </w:rPr>
        <w:t xml:space="preserve">CRT displays have been used as the reference display in HDTV programme production and monitoring for many years. Displays based on different physical technology are now being employed to replace the aging CRT displays. It is important to specify the characteristics for this next generation of display technologies so that consistent results may be achieved in future programme production. It is useful for the EOTF specified for the new display technologies to closely match the EOTF of the legacy CRT display. However, the legacy CRT EOTF was never documented, as all CRTs naturally behaved similarly. This Recommendation specifies a reference EOTF that should be employed in displays used in HDTV programme production. </w:t>
      </w:r>
    </w:p>
    <w:p w:rsidR="00A2636C" w:rsidRPr="00A2636C" w:rsidRDefault="00A2636C" w:rsidP="00A2636C">
      <w:pPr>
        <w:rPr>
          <w:szCs w:val="24"/>
          <w:lang w:val="en-US"/>
        </w:rPr>
      </w:pPr>
      <w:r w:rsidRPr="00A2636C">
        <w:rPr>
          <w:szCs w:val="24"/>
          <w:lang w:val="en-US"/>
        </w:rPr>
        <w:t>While the image capture process of Recommendation ITU-R BT.709 had an optical to electrical transfer function, there has never been an EOTF documented. This was due in part to the fact that display devices until recently were all CRT devices which had somewhat consistent characteristics device to device.</w:t>
      </w:r>
    </w:p>
    <w:p w:rsidR="00A2636C" w:rsidRPr="00A2636C" w:rsidRDefault="00A2636C" w:rsidP="00A9771A">
      <w:pPr>
        <w:rPr>
          <w:szCs w:val="24"/>
          <w:lang w:val="en-US"/>
        </w:rPr>
      </w:pPr>
      <w:r w:rsidRPr="00A2636C">
        <w:rPr>
          <w:szCs w:val="24"/>
          <w:lang w:val="en-US"/>
        </w:rPr>
        <w:lastRenderedPageBreak/>
        <w:t>This Recommendation does NOT change any signal parameters defined in Recommendation ITU</w:t>
      </w:r>
      <w:r w:rsidR="00A9771A">
        <w:rPr>
          <w:szCs w:val="24"/>
          <w:lang w:val="en-US"/>
        </w:rPr>
        <w:noBreakHyphen/>
      </w:r>
      <w:r w:rsidRPr="00A2636C">
        <w:rPr>
          <w:szCs w:val="24"/>
          <w:lang w:val="en-US"/>
        </w:rPr>
        <w:t>R</w:t>
      </w:r>
      <w:r w:rsidR="00A9771A">
        <w:rPr>
          <w:szCs w:val="24"/>
          <w:lang w:val="en-US"/>
        </w:rPr>
        <w:t> </w:t>
      </w:r>
      <w:r w:rsidRPr="00A2636C">
        <w:rPr>
          <w:szCs w:val="24"/>
          <w:lang w:val="en-US"/>
        </w:rPr>
        <w:t>BT.709; legacy installations are not impacted.</w:t>
      </w:r>
    </w:p>
    <w:p w:rsidR="00A9771A" w:rsidRPr="00BE37E1" w:rsidRDefault="00A9771A" w:rsidP="00A9771A">
      <w:pPr>
        <w:rPr>
          <w:lang w:val="en-US"/>
        </w:rPr>
      </w:pPr>
    </w:p>
    <w:p w:rsidR="00A2636C" w:rsidRPr="005E348A" w:rsidRDefault="00A2636C" w:rsidP="00A2636C">
      <w:pPr>
        <w:pStyle w:val="Tabletitle"/>
        <w:rPr>
          <w:rFonts w:eastAsia="Arial Unicode MS"/>
        </w:rPr>
      </w:pPr>
      <w:r w:rsidRPr="005E348A">
        <w:t>Opto-electronic conversion Recommendation ITU-R BT.709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3598"/>
        <w:gridCol w:w="2658"/>
        <w:gridCol w:w="2658"/>
      </w:tblGrid>
      <w:tr w:rsidR="00A2636C" w:rsidRPr="005E348A" w:rsidTr="00CA3C2C">
        <w:trPr>
          <w:cantSplit/>
          <w:jc w:val="center"/>
        </w:trPr>
        <w:tc>
          <w:tcPr>
            <w:tcW w:w="737" w:type="dxa"/>
          </w:tcPr>
          <w:p w:rsidR="00A2636C" w:rsidRPr="005E348A" w:rsidRDefault="00A2636C" w:rsidP="00E374B9">
            <w:pPr>
              <w:pStyle w:val="Tablehead"/>
              <w:rPr>
                <w:bCs/>
                <w:sz w:val="18"/>
              </w:rPr>
            </w:pPr>
            <w:r w:rsidRPr="005E348A">
              <w:t>Item</w:t>
            </w:r>
          </w:p>
        </w:tc>
        <w:tc>
          <w:tcPr>
            <w:tcW w:w="3686" w:type="dxa"/>
          </w:tcPr>
          <w:p w:rsidR="00A2636C" w:rsidRPr="005E348A" w:rsidRDefault="00A2636C" w:rsidP="00E374B9">
            <w:pPr>
              <w:pStyle w:val="Tablehead"/>
              <w:rPr>
                <w:sz w:val="18"/>
              </w:rPr>
            </w:pPr>
            <w:r w:rsidRPr="005E348A">
              <w:t>Parameter</w:t>
            </w:r>
          </w:p>
        </w:tc>
        <w:tc>
          <w:tcPr>
            <w:tcW w:w="5444" w:type="dxa"/>
            <w:gridSpan w:val="2"/>
          </w:tcPr>
          <w:p w:rsidR="00A2636C" w:rsidRPr="005E348A" w:rsidRDefault="00A2636C" w:rsidP="00E374B9">
            <w:pPr>
              <w:pStyle w:val="Tablehead"/>
              <w:rPr>
                <w:sz w:val="18"/>
              </w:rPr>
            </w:pPr>
            <w:r w:rsidRPr="005E348A">
              <w:t>Value</w:t>
            </w:r>
          </w:p>
        </w:tc>
      </w:tr>
      <w:tr w:rsidR="00A2636C" w:rsidRPr="005E348A" w:rsidTr="00CA3C2C">
        <w:trPr>
          <w:cantSplit/>
          <w:jc w:val="center"/>
        </w:trPr>
        <w:tc>
          <w:tcPr>
            <w:tcW w:w="737" w:type="dxa"/>
          </w:tcPr>
          <w:p w:rsidR="00A2636C" w:rsidRPr="005E348A" w:rsidRDefault="00A2636C" w:rsidP="00E374B9">
            <w:pPr>
              <w:pStyle w:val="Tabletext"/>
              <w:jc w:val="center"/>
            </w:pPr>
            <w:r w:rsidRPr="005E348A">
              <w:t>1.1</w:t>
            </w:r>
          </w:p>
        </w:tc>
        <w:tc>
          <w:tcPr>
            <w:tcW w:w="3686" w:type="dxa"/>
          </w:tcPr>
          <w:p w:rsidR="00A2636C" w:rsidRPr="00A2636C" w:rsidRDefault="00A2636C" w:rsidP="00A9771A">
            <w:pPr>
              <w:pStyle w:val="Tabletext"/>
              <w:jc w:val="left"/>
              <w:rPr>
                <w:lang w:val="en-US"/>
              </w:rPr>
            </w:pPr>
            <w:r w:rsidRPr="00A2636C">
              <w:rPr>
                <w:lang w:val="en-US"/>
              </w:rPr>
              <w:t>Opto-electronic transfer characteristics before non-linear precorrection</w:t>
            </w:r>
          </w:p>
        </w:tc>
        <w:tc>
          <w:tcPr>
            <w:tcW w:w="5444" w:type="dxa"/>
            <w:gridSpan w:val="2"/>
          </w:tcPr>
          <w:p w:rsidR="00A2636C" w:rsidRPr="005E348A" w:rsidRDefault="00A2636C" w:rsidP="00E374B9">
            <w:pPr>
              <w:pStyle w:val="Tabletext"/>
              <w:jc w:val="center"/>
            </w:pPr>
            <w:r w:rsidRPr="005E348A">
              <w:t>Assumed linear</w:t>
            </w:r>
          </w:p>
        </w:tc>
      </w:tr>
      <w:tr w:rsidR="00A2636C" w:rsidRPr="002D2C98" w:rsidTr="00CA3C2C">
        <w:trPr>
          <w:cantSplit/>
          <w:jc w:val="center"/>
        </w:trPr>
        <w:tc>
          <w:tcPr>
            <w:tcW w:w="737" w:type="dxa"/>
          </w:tcPr>
          <w:p w:rsidR="00A2636C" w:rsidRPr="005E348A" w:rsidRDefault="00A2636C" w:rsidP="00E374B9">
            <w:pPr>
              <w:pStyle w:val="Tabletext"/>
              <w:jc w:val="center"/>
            </w:pPr>
            <w:r w:rsidRPr="005E348A">
              <w:t>1.2</w:t>
            </w:r>
          </w:p>
        </w:tc>
        <w:tc>
          <w:tcPr>
            <w:tcW w:w="3686" w:type="dxa"/>
          </w:tcPr>
          <w:p w:rsidR="00A2636C" w:rsidRPr="00A2636C" w:rsidRDefault="00A2636C" w:rsidP="00A9771A">
            <w:pPr>
              <w:pStyle w:val="Tabletext"/>
              <w:jc w:val="left"/>
              <w:rPr>
                <w:lang w:val="en-US"/>
              </w:rPr>
            </w:pPr>
            <w:r w:rsidRPr="00A2636C">
              <w:rPr>
                <w:lang w:val="en-US"/>
              </w:rPr>
              <w:t>Overall opto-electronic transfer characteristics at source</w:t>
            </w:r>
          </w:p>
        </w:tc>
        <w:tc>
          <w:tcPr>
            <w:tcW w:w="5444" w:type="dxa"/>
            <w:gridSpan w:val="2"/>
          </w:tcPr>
          <w:p w:rsidR="00A2636C" w:rsidRPr="00A2636C" w:rsidRDefault="00A2636C" w:rsidP="00A9771A">
            <w:pPr>
              <w:pStyle w:val="Tabletext"/>
              <w:jc w:val="left"/>
              <w:rPr>
                <w:lang w:val="en-US"/>
              </w:rPr>
            </w:pPr>
            <w:r w:rsidRPr="00A2636C">
              <w:rPr>
                <w:i/>
                <w:lang w:val="en-US"/>
              </w:rPr>
              <w:tab/>
              <w:t>V</w:t>
            </w:r>
            <w:r w:rsidRPr="00A2636C">
              <w:rPr>
                <w:lang w:val="en-US"/>
              </w:rPr>
              <w:t xml:space="preserve"> </w:t>
            </w:r>
            <w:r w:rsidRPr="005E348A">
              <w:rPr>
                <w:rFonts w:ascii="Symbol" w:hAnsi="Symbol"/>
              </w:rPr>
              <w:t></w:t>
            </w:r>
            <w:r w:rsidRPr="00A2636C">
              <w:rPr>
                <w:lang w:val="en-US"/>
              </w:rPr>
              <w:t xml:space="preserve"> 1.099 </w:t>
            </w:r>
            <w:r w:rsidRPr="00A2636C">
              <w:rPr>
                <w:i/>
                <w:lang w:val="en-US"/>
              </w:rPr>
              <w:t>L</w:t>
            </w:r>
            <w:r w:rsidRPr="00A2636C">
              <w:rPr>
                <w:position w:val="6"/>
                <w:sz w:val="14"/>
                <w:lang w:val="en-US"/>
              </w:rPr>
              <w:t>0.45</w:t>
            </w:r>
            <w:r w:rsidRPr="00A2636C">
              <w:rPr>
                <w:lang w:val="en-US"/>
              </w:rPr>
              <w:t xml:space="preserve"> – 0.099</w:t>
            </w:r>
            <w:r w:rsidRPr="00A2636C">
              <w:rPr>
                <w:lang w:val="en-US"/>
              </w:rPr>
              <w:tab/>
              <w:t xml:space="preserve">for 1 </w:t>
            </w:r>
            <w:r w:rsidRPr="005E348A">
              <w:rPr>
                <w:rFonts w:ascii="Symbol" w:hAnsi="Symbol"/>
              </w:rPr>
              <w:t></w:t>
            </w:r>
            <w:r w:rsidRPr="00A2636C">
              <w:rPr>
                <w:lang w:val="en-US"/>
              </w:rPr>
              <w:t xml:space="preserve"> </w:t>
            </w:r>
            <w:r w:rsidRPr="00A2636C">
              <w:rPr>
                <w:i/>
                <w:lang w:val="en-US"/>
              </w:rPr>
              <w:t>L</w:t>
            </w:r>
            <w:r w:rsidRPr="00A2636C">
              <w:rPr>
                <w:lang w:val="en-US"/>
              </w:rPr>
              <w:t xml:space="preserve"> </w:t>
            </w:r>
            <w:r w:rsidRPr="005E348A">
              <w:rPr>
                <w:rFonts w:ascii="Symbol" w:hAnsi="Symbol"/>
              </w:rPr>
              <w:t></w:t>
            </w:r>
            <w:r w:rsidRPr="00A2636C">
              <w:rPr>
                <w:lang w:val="en-US"/>
              </w:rPr>
              <w:t xml:space="preserve"> 0.018</w:t>
            </w:r>
            <w:r w:rsidRPr="00A2636C">
              <w:rPr>
                <w:lang w:val="en-US"/>
              </w:rPr>
              <w:br/>
            </w:r>
            <w:r w:rsidRPr="00A2636C">
              <w:rPr>
                <w:lang w:val="en-US"/>
              </w:rPr>
              <w:tab/>
            </w:r>
            <w:r w:rsidRPr="00A2636C">
              <w:rPr>
                <w:i/>
                <w:lang w:val="en-US"/>
              </w:rPr>
              <w:t>V</w:t>
            </w:r>
            <w:r w:rsidRPr="00A2636C">
              <w:rPr>
                <w:lang w:val="en-US"/>
              </w:rPr>
              <w:t xml:space="preserve"> </w:t>
            </w:r>
            <w:r w:rsidRPr="005E348A">
              <w:rPr>
                <w:rFonts w:ascii="Symbol" w:hAnsi="Symbol"/>
              </w:rPr>
              <w:t></w:t>
            </w:r>
            <w:r w:rsidRPr="00A2636C">
              <w:rPr>
                <w:lang w:val="en-US"/>
              </w:rPr>
              <w:t xml:space="preserve"> 4.500 </w:t>
            </w:r>
            <w:r w:rsidRPr="00A2636C">
              <w:rPr>
                <w:i/>
                <w:lang w:val="en-US"/>
              </w:rPr>
              <w:t>L</w:t>
            </w:r>
            <w:r w:rsidRPr="00A2636C">
              <w:rPr>
                <w:lang w:val="en-US"/>
              </w:rPr>
              <w:tab/>
            </w:r>
            <w:r w:rsidRPr="00A2636C">
              <w:rPr>
                <w:lang w:val="en-US"/>
              </w:rPr>
              <w:tab/>
            </w:r>
            <w:r w:rsidRPr="00A2636C">
              <w:rPr>
                <w:lang w:val="en-US"/>
              </w:rPr>
              <w:tab/>
            </w:r>
            <w:r w:rsidRPr="00A2636C">
              <w:rPr>
                <w:lang w:val="en-US"/>
              </w:rPr>
              <w:tab/>
            </w:r>
            <w:r w:rsidRPr="00A2636C">
              <w:rPr>
                <w:lang w:val="en-US"/>
              </w:rPr>
              <w:tab/>
              <w:t xml:space="preserve">for 0.018 </w:t>
            </w:r>
            <w:r w:rsidRPr="005E348A">
              <w:rPr>
                <w:rFonts w:ascii="Symbol" w:hAnsi="Symbol"/>
              </w:rPr>
              <w:t></w:t>
            </w:r>
            <w:r w:rsidRPr="00A2636C">
              <w:rPr>
                <w:lang w:val="en-US"/>
              </w:rPr>
              <w:t xml:space="preserve"> </w:t>
            </w:r>
            <w:r w:rsidRPr="00A2636C">
              <w:rPr>
                <w:i/>
                <w:lang w:val="en-US"/>
              </w:rPr>
              <w:t>L</w:t>
            </w:r>
            <w:r w:rsidRPr="00A2636C">
              <w:rPr>
                <w:lang w:val="en-US"/>
              </w:rPr>
              <w:t xml:space="preserve"> </w:t>
            </w:r>
            <w:r w:rsidRPr="005E348A">
              <w:rPr>
                <w:rFonts w:ascii="Symbol" w:hAnsi="Symbol"/>
              </w:rPr>
              <w:t></w:t>
            </w:r>
            <w:r w:rsidRPr="00A2636C">
              <w:rPr>
                <w:lang w:val="en-US"/>
              </w:rPr>
              <w:t xml:space="preserve"> 0</w:t>
            </w:r>
          </w:p>
          <w:p w:rsidR="00A2636C" w:rsidRPr="00A2636C" w:rsidRDefault="00A2636C" w:rsidP="00A9771A">
            <w:pPr>
              <w:pStyle w:val="Tabletext"/>
              <w:jc w:val="left"/>
              <w:rPr>
                <w:lang w:val="en-US"/>
              </w:rPr>
            </w:pPr>
            <w:r w:rsidRPr="00A2636C">
              <w:rPr>
                <w:lang w:val="en-US"/>
              </w:rPr>
              <w:tab/>
              <w:t>where:</w:t>
            </w:r>
          </w:p>
          <w:p w:rsidR="00A2636C" w:rsidRPr="00A2636C" w:rsidRDefault="00A2636C" w:rsidP="00A9771A">
            <w:pPr>
              <w:pStyle w:val="Tabletext"/>
              <w:jc w:val="left"/>
              <w:rPr>
                <w:lang w:val="en-US"/>
              </w:rPr>
            </w:pPr>
            <w:r w:rsidRPr="00A2636C">
              <w:rPr>
                <w:lang w:val="en-US"/>
              </w:rPr>
              <w:tab/>
            </w:r>
            <w:r w:rsidRPr="00A2636C">
              <w:rPr>
                <w:i/>
                <w:lang w:val="en-US"/>
              </w:rPr>
              <w:t>L</w:t>
            </w:r>
            <w:r w:rsidRPr="00A2636C">
              <w:rPr>
                <w:lang w:val="en-US"/>
              </w:rPr>
              <w:t>:</w:t>
            </w:r>
            <w:r w:rsidRPr="00A2636C">
              <w:rPr>
                <w:lang w:val="en-US"/>
              </w:rPr>
              <w:tab/>
              <w:t xml:space="preserve">luminance of the image 0 </w:t>
            </w:r>
            <w:r w:rsidRPr="005E348A">
              <w:rPr>
                <w:rFonts w:ascii="Symbol" w:hAnsi="Symbol"/>
              </w:rPr>
              <w:t></w:t>
            </w:r>
            <w:r w:rsidRPr="00A2636C">
              <w:rPr>
                <w:lang w:val="en-US"/>
              </w:rPr>
              <w:t xml:space="preserve"> </w:t>
            </w:r>
            <w:r w:rsidRPr="00A2636C">
              <w:rPr>
                <w:i/>
                <w:lang w:val="en-US"/>
              </w:rPr>
              <w:t>L</w:t>
            </w:r>
            <w:r w:rsidRPr="00A2636C">
              <w:rPr>
                <w:lang w:val="en-US"/>
              </w:rPr>
              <w:t xml:space="preserve"> </w:t>
            </w:r>
            <w:r w:rsidRPr="005E348A">
              <w:rPr>
                <w:rFonts w:ascii="Symbol" w:hAnsi="Symbol"/>
              </w:rPr>
              <w:t></w:t>
            </w:r>
            <w:r w:rsidRPr="00A2636C">
              <w:rPr>
                <w:lang w:val="en-US"/>
              </w:rPr>
              <w:t xml:space="preserve"> 1</w:t>
            </w:r>
            <w:r w:rsidRPr="00A2636C">
              <w:rPr>
                <w:lang w:val="en-US"/>
              </w:rPr>
              <w:br/>
            </w:r>
            <w:r w:rsidRPr="00A2636C">
              <w:rPr>
                <w:lang w:val="en-US"/>
              </w:rPr>
              <w:tab/>
            </w:r>
            <w:r w:rsidRPr="00A2636C">
              <w:rPr>
                <w:i/>
                <w:lang w:val="en-US"/>
              </w:rPr>
              <w:t>V</w:t>
            </w:r>
            <w:r w:rsidRPr="00A2636C">
              <w:rPr>
                <w:lang w:val="en-US"/>
              </w:rPr>
              <w:t>:</w:t>
            </w:r>
            <w:r w:rsidRPr="00A2636C">
              <w:rPr>
                <w:lang w:val="en-US"/>
              </w:rPr>
              <w:tab/>
              <w:t>corresponding electrical signal</w:t>
            </w:r>
          </w:p>
        </w:tc>
      </w:tr>
      <w:tr w:rsidR="00A2636C" w:rsidRPr="005E348A" w:rsidTr="00CA3C2C">
        <w:trPr>
          <w:cantSplit/>
          <w:jc w:val="center"/>
        </w:trPr>
        <w:tc>
          <w:tcPr>
            <w:tcW w:w="737" w:type="dxa"/>
            <w:vMerge w:val="restart"/>
          </w:tcPr>
          <w:p w:rsidR="00A2636C" w:rsidRPr="005E348A" w:rsidRDefault="00A2636C" w:rsidP="00E374B9">
            <w:pPr>
              <w:pStyle w:val="Tabletext"/>
              <w:jc w:val="center"/>
            </w:pPr>
            <w:r w:rsidRPr="005E348A">
              <w:t>1.3</w:t>
            </w:r>
          </w:p>
        </w:tc>
        <w:tc>
          <w:tcPr>
            <w:tcW w:w="3686" w:type="dxa"/>
            <w:vMerge w:val="restart"/>
          </w:tcPr>
          <w:p w:rsidR="00A2636C" w:rsidRPr="00A2636C" w:rsidRDefault="00A2636C" w:rsidP="00A9771A">
            <w:pPr>
              <w:pStyle w:val="Tabletext"/>
              <w:jc w:val="left"/>
              <w:rPr>
                <w:lang w:val="en-US"/>
              </w:rPr>
            </w:pPr>
            <w:r w:rsidRPr="00A2636C">
              <w:rPr>
                <w:lang w:val="en-US"/>
              </w:rPr>
              <w:t>Chromaticity coordinates (CIE, 1931)</w:t>
            </w:r>
          </w:p>
          <w:p w:rsidR="00A2636C" w:rsidRPr="00A2636C" w:rsidRDefault="00A2636C" w:rsidP="00A9771A">
            <w:pPr>
              <w:pStyle w:val="Tabletext"/>
              <w:jc w:val="left"/>
              <w:rPr>
                <w:lang w:val="en-US"/>
              </w:rPr>
            </w:pPr>
            <w:r w:rsidRPr="00A2636C">
              <w:rPr>
                <w:lang w:val="en-US"/>
              </w:rPr>
              <w:t>Primary</w:t>
            </w:r>
          </w:p>
          <w:p w:rsidR="00A2636C" w:rsidRPr="00A2636C" w:rsidRDefault="00A2636C" w:rsidP="00A9771A">
            <w:pPr>
              <w:pStyle w:val="Tabletext"/>
              <w:jc w:val="left"/>
              <w:rPr>
                <w:lang w:val="en-US"/>
              </w:rPr>
            </w:pPr>
            <w:r w:rsidRPr="00A2636C">
              <w:rPr>
                <w:lang w:val="en-US"/>
              </w:rPr>
              <w:t>–</w:t>
            </w:r>
            <w:r w:rsidRPr="00A2636C">
              <w:rPr>
                <w:lang w:val="en-US"/>
              </w:rPr>
              <w:tab/>
              <w:t>Red (</w:t>
            </w:r>
            <w:r w:rsidRPr="00A2636C">
              <w:rPr>
                <w:i/>
                <w:iCs/>
                <w:lang w:val="en-US"/>
              </w:rPr>
              <w:t>R</w:t>
            </w:r>
            <w:r w:rsidRPr="00A2636C">
              <w:rPr>
                <w:lang w:val="en-US"/>
              </w:rPr>
              <w:t>)</w:t>
            </w:r>
            <w:r w:rsidRPr="00A2636C">
              <w:rPr>
                <w:lang w:val="en-US"/>
              </w:rPr>
              <w:br/>
              <w:t>–</w:t>
            </w:r>
            <w:r w:rsidRPr="00A2636C">
              <w:rPr>
                <w:lang w:val="en-US"/>
              </w:rPr>
              <w:tab/>
              <w:t>Green (</w:t>
            </w:r>
            <w:r w:rsidRPr="00A2636C">
              <w:rPr>
                <w:i/>
                <w:iCs/>
                <w:lang w:val="en-US"/>
              </w:rPr>
              <w:t>G</w:t>
            </w:r>
            <w:r w:rsidRPr="00A2636C">
              <w:rPr>
                <w:lang w:val="en-US"/>
              </w:rPr>
              <w:t>)</w:t>
            </w:r>
            <w:r w:rsidRPr="00A2636C">
              <w:rPr>
                <w:lang w:val="en-US"/>
              </w:rPr>
              <w:br/>
              <w:t>–</w:t>
            </w:r>
            <w:r w:rsidRPr="00A2636C">
              <w:rPr>
                <w:lang w:val="en-US"/>
              </w:rPr>
              <w:tab/>
              <w:t>Blue (</w:t>
            </w:r>
            <w:r w:rsidRPr="00A2636C">
              <w:rPr>
                <w:i/>
                <w:iCs/>
                <w:lang w:val="en-US"/>
              </w:rPr>
              <w:t>B</w:t>
            </w:r>
            <w:r w:rsidRPr="00A2636C">
              <w:rPr>
                <w:lang w:val="en-US"/>
              </w:rPr>
              <w:t>)</w:t>
            </w:r>
          </w:p>
        </w:tc>
        <w:tc>
          <w:tcPr>
            <w:tcW w:w="2722" w:type="dxa"/>
          </w:tcPr>
          <w:p w:rsidR="00A2636C" w:rsidRPr="005E348A" w:rsidRDefault="00A2636C" w:rsidP="00E374B9">
            <w:pPr>
              <w:pStyle w:val="Tabletext"/>
              <w:jc w:val="center"/>
              <w:rPr>
                <w:i/>
                <w:iCs/>
              </w:rPr>
            </w:pPr>
            <w:r w:rsidRPr="005E348A">
              <w:rPr>
                <w:i/>
                <w:iCs/>
              </w:rPr>
              <w:t>x</w:t>
            </w:r>
          </w:p>
        </w:tc>
        <w:tc>
          <w:tcPr>
            <w:tcW w:w="2722" w:type="dxa"/>
          </w:tcPr>
          <w:p w:rsidR="00A2636C" w:rsidRPr="005E348A" w:rsidRDefault="00A2636C" w:rsidP="00E374B9">
            <w:pPr>
              <w:pStyle w:val="Tabletext"/>
              <w:jc w:val="center"/>
              <w:rPr>
                <w:i/>
                <w:iCs/>
              </w:rPr>
            </w:pPr>
            <w:r w:rsidRPr="005E348A">
              <w:rPr>
                <w:i/>
                <w:iCs/>
              </w:rPr>
              <w:t>y</w:t>
            </w:r>
          </w:p>
        </w:tc>
      </w:tr>
      <w:tr w:rsidR="00A2636C" w:rsidRPr="005E348A" w:rsidTr="00CA3C2C">
        <w:trPr>
          <w:cantSplit/>
          <w:jc w:val="center"/>
        </w:trPr>
        <w:tc>
          <w:tcPr>
            <w:tcW w:w="737" w:type="dxa"/>
            <w:vMerge/>
          </w:tcPr>
          <w:p w:rsidR="00A2636C" w:rsidRPr="005E348A" w:rsidRDefault="00A2636C" w:rsidP="00E374B9">
            <w:pPr>
              <w:pStyle w:val="Tabletext"/>
              <w:jc w:val="center"/>
            </w:pPr>
          </w:p>
        </w:tc>
        <w:tc>
          <w:tcPr>
            <w:tcW w:w="3686" w:type="dxa"/>
            <w:vMerge/>
          </w:tcPr>
          <w:p w:rsidR="00A2636C" w:rsidRPr="005E348A" w:rsidRDefault="00A2636C" w:rsidP="00A9771A">
            <w:pPr>
              <w:pStyle w:val="Tabletext"/>
              <w:jc w:val="left"/>
            </w:pPr>
          </w:p>
        </w:tc>
        <w:tc>
          <w:tcPr>
            <w:tcW w:w="2722" w:type="dxa"/>
          </w:tcPr>
          <w:p w:rsidR="00A2636C" w:rsidRPr="005E348A" w:rsidRDefault="00A2636C" w:rsidP="00E374B9">
            <w:pPr>
              <w:pStyle w:val="Tabletext"/>
              <w:jc w:val="center"/>
            </w:pPr>
            <w:r w:rsidRPr="005E348A">
              <w:br/>
              <w:t>0.640</w:t>
            </w:r>
            <w:r w:rsidRPr="005E348A">
              <w:br/>
              <w:t>0.300</w:t>
            </w:r>
            <w:r w:rsidRPr="005E348A">
              <w:br/>
              <w:t>0.150</w:t>
            </w:r>
          </w:p>
        </w:tc>
        <w:tc>
          <w:tcPr>
            <w:tcW w:w="2722" w:type="dxa"/>
          </w:tcPr>
          <w:p w:rsidR="00A2636C" w:rsidRPr="005E348A" w:rsidRDefault="00A2636C" w:rsidP="00E374B9">
            <w:pPr>
              <w:pStyle w:val="Tabletext"/>
              <w:jc w:val="center"/>
            </w:pPr>
            <w:r w:rsidRPr="005E348A">
              <w:br/>
              <w:t>0.330</w:t>
            </w:r>
            <w:r w:rsidRPr="005E348A">
              <w:br/>
              <w:t>0.600</w:t>
            </w:r>
            <w:r w:rsidRPr="005E348A">
              <w:br/>
              <w:t>0.060</w:t>
            </w:r>
          </w:p>
        </w:tc>
      </w:tr>
      <w:tr w:rsidR="00A2636C" w:rsidRPr="005E348A" w:rsidTr="00CA3C2C">
        <w:trPr>
          <w:cantSplit/>
          <w:jc w:val="center"/>
        </w:trPr>
        <w:tc>
          <w:tcPr>
            <w:tcW w:w="737" w:type="dxa"/>
            <w:vMerge w:val="restart"/>
          </w:tcPr>
          <w:p w:rsidR="00A2636C" w:rsidRPr="005E348A" w:rsidRDefault="00A2636C" w:rsidP="00E374B9">
            <w:pPr>
              <w:pStyle w:val="Tabletext"/>
              <w:jc w:val="center"/>
            </w:pPr>
            <w:r w:rsidRPr="005E348A">
              <w:t>1.4</w:t>
            </w:r>
          </w:p>
        </w:tc>
        <w:tc>
          <w:tcPr>
            <w:tcW w:w="3686" w:type="dxa"/>
            <w:vMerge w:val="restart"/>
          </w:tcPr>
          <w:p w:rsidR="00A2636C" w:rsidRPr="00A2636C" w:rsidRDefault="00A2636C" w:rsidP="00A9771A">
            <w:pPr>
              <w:pStyle w:val="Tabletext"/>
              <w:jc w:val="left"/>
              <w:rPr>
                <w:lang w:val="en-US"/>
              </w:rPr>
            </w:pPr>
            <w:r w:rsidRPr="00A2636C">
              <w:rPr>
                <w:lang w:val="en-US"/>
              </w:rPr>
              <w:t>Assumed chromaticity for equal primary signals</w:t>
            </w:r>
            <w:r w:rsidRPr="00A2636C">
              <w:rPr>
                <w:lang w:val="en-US"/>
              </w:rPr>
              <w:br/>
              <w:t>(Reference white)</w:t>
            </w:r>
          </w:p>
          <w:p w:rsidR="00A2636C" w:rsidRPr="00A2636C" w:rsidRDefault="00A2636C" w:rsidP="00A9771A">
            <w:pPr>
              <w:pStyle w:val="Tabletext"/>
              <w:spacing w:before="120"/>
              <w:jc w:val="left"/>
              <w:rPr>
                <w:i/>
                <w:iCs/>
                <w:lang w:val="en-US"/>
              </w:rPr>
            </w:pPr>
          </w:p>
          <w:p w:rsidR="00A2636C" w:rsidRPr="005E348A" w:rsidRDefault="00A2636C" w:rsidP="00A9771A">
            <w:pPr>
              <w:pStyle w:val="Tabletext"/>
              <w:jc w:val="left"/>
            </w:pPr>
            <w:r w:rsidRPr="005E348A">
              <w:rPr>
                <w:i/>
                <w:iCs/>
              </w:rPr>
              <w:t>E</w:t>
            </w:r>
            <w:r w:rsidRPr="005E348A">
              <w:rPr>
                <w:i/>
                <w:iCs/>
                <w:position w:val="-4"/>
                <w:sz w:val="14"/>
              </w:rPr>
              <w:t>R</w:t>
            </w:r>
            <w:r w:rsidRPr="005E348A">
              <w:rPr>
                <w:i/>
                <w:iCs/>
              </w:rPr>
              <w:t xml:space="preserve"> </w:t>
            </w:r>
            <w:r w:rsidRPr="005E348A">
              <w:rPr>
                <w:rFonts w:ascii="Symbol" w:hAnsi="Symbol"/>
                <w:i/>
                <w:iCs/>
              </w:rPr>
              <w:t></w:t>
            </w:r>
            <w:r w:rsidRPr="005E348A">
              <w:rPr>
                <w:i/>
                <w:iCs/>
              </w:rPr>
              <w:t xml:space="preserve"> E</w:t>
            </w:r>
            <w:r w:rsidRPr="005E348A">
              <w:rPr>
                <w:i/>
                <w:iCs/>
                <w:position w:val="-4"/>
                <w:sz w:val="14"/>
              </w:rPr>
              <w:t>G</w:t>
            </w:r>
            <w:r w:rsidRPr="005E348A">
              <w:rPr>
                <w:i/>
                <w:iCs/>
              </w:rPr>
              <w:t xml:space="preserve"> </w:t>
            </w:r>
            <w:r w:rsidRPr="005E348A">
              <w:rPr>
                <w:rFonts w:ascii="Symbol" w:hAnsi="Symbol"/>
                <w:i/>
                <w:iCs/>
              </w:rPr>
              <w:t></w:t>
            </w:r>
            <w:r w:rsidRPr="005E348A">
              <w:rPr>
                <w:i/>
                <w:iCs/>
              </w:rPr>
              <w:t xml:space="preserve"> E</w:t>
            </w:r>
            <w:r w:rsidRPr="005E348A">
              <w:rPr>
                <w:i/>
                <w:iCs/>
                <w:position w:val="-4"/>
                <w:sz w:val="14"/>
              </w:rPr>
              <w:t>B</w:t>
            </w:r>
          </w:p>
        </w:tc>
        <w:tc>
          <w:tcPr>
            <w:tcW w:w="5444" w:type="dxa"/>
            <w:gridSpan w:val="2"/>
          </w:tcPr>
          <w:p w:rsidR="00A2636C" w:rsidRPr="005E348A" w:rsidRDefault="00A2636C" w:rsidP="00E374B9">
            <w:pPr>
              <w:pStyle w:val="Tabletext"/>
              <w:jc w:val="center"/>
            </w:pPr>
            <w:r w:rsidRPr="005E348A">
              <w:rPr>
                <w:i/>
              </w:rPr>
              <w:br/>
            </w:r>
            <w:r w:rsidRPr="005E348A">
              <w:rPr>
                <w:i/>
              </w:rPr>
              <w:br/>
              <w:t>D</w:t>
            </w:r>
            <w:r w:rsidRPr="005E348A">
              <w:rPr>
                <w:position w:val="-4"/>
                <w:sz w:val="14"/>
              </w:rPr>
              <w:t>65</w:t>
            </w:r>
          </w:p>
        </w:tc>
      </w:tr>
      <w:tr w:rsidR="00A2636C" w:rsidRPr="005E348A" w:rsidTr="00CA3C2C">
        <w:trPr>
          <w:cantSplit/>
          <w:jc w:val="center"/>
        </w:trPr>
        <w:tc>
          <w:tcPr>
            <w:tcW w:w="737" w:type="dxa"/>
            <w:vMerge/>
          </w:tcPr>
          <w:p w:rsidR="00A2636C" w:rsidRPr="005E348A" w:rsidRDefault="00A2636C" w:rsidP="00E374B9">
            <w:pPr>
              <w:pStyle w:val="Tabletext"/>
            </w:pPr>
          </w:p>
        </w:tc>
        <w:tc>
          <w:tcPr>
            <w:tcW w:w="3686" w:type="dxa"/>
            <w:vMerge/>
          </w:tcPr>
          <w:p w:rsidR="00A2636C" w:rsidRPr="005E348A" w:rsidRDefault="00A2636C" w:rsidP="00E374B9">
            <w:pPr>
              <w:pStyle w:val="Tabletext"/>
            </w:pPr>
          </w:p>
        </w:tc>
        <w:tc>
          <w:tcPr>
            <w:tcW w:w="2722" w:type="dxa"/>
          </w:tcPr>
          <w:p w:rsidR="00A2636C" w:rsidRPr="005E348A" w:rsidRDefault="00A2636C" w:rsidP="00E374B9">
            <w:pPr>
              <w:pStyle w:val="Tabletext"/>
              <w:jc w:val="center"/>
              <w:rPr>
                <w:i/>
                <w:iCs/>
              </w:rPr>
            </w:pPr>
            <w:r w:rsidRPr="005E348A">
              <w:rPr>
                <w:i/>
                <w:iCs/>
              </w:rPr>
              <w:t>x</w:t>
            </w:r>
          </w:p>
        </w:tc>
        <w:tc>
          <w:tcPr>
            <w:tcW w:w="2722" w:type="dxa"/>
          </w:tcPr>
          <w:p w:rsidR="00A2636C" w:rsidRPr="005E348A" w:rsidRDefault="00A2636C" w:rsidP="00E374B9">
            <w:pPr>
              <w:pStyle w:val="Tabletext"/>
              <w:jc w:val="center"/>
              <w:rPr>
                <w:i/>
                <w:iCs/>
              </w:rPr>
            </w:pPr>
            <w:r w:rsidRPr="005E348A">
              <w:rPr>
                <w:i/>
                <w:iCs/>
              </w:rPr>
              <w:t>y</w:t>
            </w:r>
          </w:p>
        </w:tc>
      </w:tr>
      <w:tr w:rsidR="00A2636C" w:rsidRPr="005E348A" w:rsidTr="00CA3C2C">
        <w:trPr>
          <w:cantSplit/>
          <w:jc w:val="center"/>
        </w:trPr>
        <w:tc>
          <w:tcPr>
            <w:tcW w:w="737" w:type="dxa"/>
            <w:vMerge/>
          </w:tcPr>
          <w:p w:rsidR="00A2636C" w:rsidRPr="005E348A" w:rsidRDefault="00A2636C" w:rsidP="00E374B9">
            <w:pPr>
              <w:pStyle w:val="Tabletext"/>
            </w:pPr>
          </w:p>
        </w:tc>
        <w:tc>
          <w:tcPr>
            <w:tcW w:w="3686" w:type="dxa"/>
            <w:vMerge/>
          </w:tcPr>
          <w:p w:rsidR="00A2636C" w:rsidRPr="005E348A" w:rsidRDefault="00A2636C" w:rsidP="00E374B9">
            <w:pPr>
              <w:pStyle w:val="Tabletext"/>
            </w:pPr>
          </w:p>
        </w:tc>
        <w:tc>
          <w:tcPr>
            <w:tcW w:w="2722" w:type="dxa"/>
          </w:tcPr>
          <w:p w:rsidR="00A2636C" w:rsidRPr="005E348A" w:rsidRDefault="00A2636C" w:rsidP="00E374B9">
            <w:pPr>
              <w:pStyle w:val="Tabletext"/>
              <w:jc w:val="center"/>
            </w:pPr>
            <w:r w:rsidRPr="005E348A">
              <w:t>0.3127</w:t>
            </w:r>
          </w:p>
        </w:tc>
        <w:tc>
          <w:tcPr>
            <w:tcW w:w="2722" w:type="dxa"/>
          </w:tcPr>
          <w:p w:rsidR="00A2636C" w:rsidRPr="005E348A" w:rsidRDefault="00A2636C" w:rsidP="00E374B9">
            <w:pPr>
              <w:pStyle w:val="Tabletext"/>
              <w:jc w:val="center"/>
            </w:pPr>
            <w:r w:rsidRPr="005E348A">
              <w:t>0.3290</w:t>
            </w:r>
          </w:p>
        </w:tc>
      </w:tr>
    </w:tbl>
    <w:p w:rsidR="00A2636C" w:rsidRPr="005E348A" w:rsidRDefault="00A2636C" w:rsidP="00A9771A">
      <w:pPr>
        <w:pStyle w:val="Tablefin"/>
      </w:pPr>
    </w:p>
    <w:p w:rsidR="00A2636C" w:rsidRPr="00A2636C" w:rsidRDefault="00A2636C" w:rsidP="00A9771A">
      <w:pPr>
        <w:rPr>
          <w:lang w:val="en-US"/>
        </w:rPr>
      </w:pPr>
      <w:r w:rsidRPr="00A2636C">
        <w:rPr>
          <w:lang w:val="en-US"/>
        </w:rPr>
        <w:t>With the introduction of new display technologies which have entirely different characteristics to the CRT displays, it is necessary to define the EOTF of new devices that emulate that of the CRT displays. In measuring the EOTF of a large number of CRTs it was determined that the EOTF of the CRT was in fact highly variable when the brightness/contrast was adjusted, it is therefore not possible to 100% emulate CRT capability (or limitations).</w:t>
      </w:r>
    </w:p>
    <w:p w:rsidR="00A2636C" w:rsidRPr="00A2636C" w:rsidRDefault="00A2636C" w:rsidP="00A9771A">
      <w:pPr>
        <w:rPr>
          <w:lang w:val="en-US"/>
        </w:rPr>
      </w:pPr>
      <w:r w:rsidRPr="00A2636C">
        <w:rPr>
          <w:lang w:val="en-US"/>
        </w:rPr>
        <w:t>Users of this Recommendation in combination with the new technologies should be able to achieve a higher degree of image presentation repeatability than that offered in the past.</w:t>
      </w:r>
    </w:p>
    <w:p w:rsidR="00A2636C" w:rsidRDefault="00A2636C" w:rsidP="00A2636C">
      <w:pPr>
        <w:rPr>
          <w:lang w:val="en-US"/>
        </w:rPr>
      </w:pPr>
    </w:p>
    <w:p w:rsidR="00A2636C" w:rsidRDefault="00A2636C" w:rsidP="00A2636C">
      <w:pPr>
        <w:rPr>
          <w:lang w:val="en-US"/>
        </w:rPr>
      </w:pPr>
    </w:p>
    <w:p w:rsidR="00A2636C" w:rsidRPr="00A2636C" w:rsidRDefault="00A2636C" w:rsidP="00A2636C">
      <w:pPr>
        <w:pStyle w:val="Line"/>
      </w:pPr>
    </w:p>
    <w:sectPr w:rsidR="00A2636C" w:rsidRPr="00A2636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10F" w:rsidRDefault="00B9310F">
      <w:r>
        <w:separator/>
      </w:r>
    </w:p>
  </w:endnote>
  <w:endnote w:type="continuationSeparator" w:id="0">
    <w:p w:rsidR="00B9310F" w:rsidRDefault="00B9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10F" w:rsidRDefault="00B9310F">
      <w:r>
        <w:separator/>
      </w:r>
    </w:p>
  </w:footnote>
  <w:footnote w:type="continuationSeparator" w:id="0">
    <w:p w:rsidR="00B9310F" w:rsidRDefault="00B9310F">
      <w:r>
        <w:continuationSeparator/>
      </w:r>
    </w:p>
  </w:footnote>
  <w:footnote w:id="1">
    <w:p w:rsidR="00B9310F" w:rsidRPr="00A2636C" w:rsidRDefault="00B9310F" w:rsidP="00A2636C">
      <w:pPr>
        <w:pStyle w:val="FootnoteText"/>
        <w:rPr>
          <w:lang w:val="en-US"/>
        </w:rPr>
      </w:pPr>
      <w:r>
        <w:rPr>
          <w:rStyle w:val="FootnoteReference"/>
        </w:rPr>
        <w:footnoteRef/>
      </w:r>
      <w:r w:rsidRPr="00A2636C">
        <w:rPr>
          <w:lang w:val="en-US"/>
        </w:rPr>
        <w:tab/>
        <w:t>May also include projectors and other display devices.</w:t>
      </w:r>
    </w:p>
  </w:footnote>
  <w:footnote w:id="2">
    <w:p w:rsidR="002D2C98" w:rsidRPr="002D2C98" w:rsidRDefault="002D2C98">
      <w:pPr>
        <w:pStyle w:val="FootnoteText"/>
        <w:rPr>
          <w:lang w:val="en-US"/>
        </w:rPr>
      </w:pPr>
      <w:r>
        <w:rPr>
          <w:rStyle w:val="FootnoteReference"/>
        </w:rPr>
        <w:footnoteRef/>
      </w:r>
      <w:r w:rsidRPr="002D2C98">
        <w:rPr>
          <w:lang w:val="en-US"/>
        </w:rPr>
        <w:tab/>
      </w:r>
      <w:r>
        <w:rPr>
          <w:lang w:val="en-US"/>
        </w:rPr>
        <w:t>The term picture presentation is intended to indicate the monitoring of picture characteristics to ensure that image characteristics do not vary between different signal sources, and different programme segments.</w:t>
      </w:r>
    </w:p>
  </w:footnote>
  <w:footnote w:id="3">
    <w:p w:rsidR="002D2C98" w:rsidRPr="002D2C98" w:rsidRDefault="002D2C98">
      <w:pPr>
        <w:pStyle w:val="FootnoteText"/>
        <w:rPr>
          <w:lang w:val="en-US"/>
        </w:rPr>
      </w:pPr>
      <w:r>
        <w:rPr>
          <w:rStyle w:val="FootnoteReference"/>
        </w:rPr>
        <w:footnoteRef/>
      </w:r>
      <w:r w:rsidRPr="002D2C98">
        <w:rPr>
          <w:lang w:val="en-US"/>
        </w:rPr>
        <w:tab/>
        <w:t xml:space="preserve">For reference black, </w:t>
      </w:r>
      <w:r w:rsidRPr="002D2C98">
        <w:rPr>
          <w:i/>
          <w:iCs/>
          <w:lang w:val="en-US"/>
        </w:rPr>
        <w:t>D</w:t>
      </w:r>
      <w:r w:rsidRPr="002D2C98">
        <w:rPr>
          <w:lang w:val="en-US"/>
        </w:rPr>
        <w:t xml:space="preserve"> = 64, for reference white, </w:t>
      </w:r>
      <w:r>
        <w:rPr>
          <w:i/>
          <w:iCs/>
          <w:lang w:val="en-US"/>
        </w:rPr>
        <w:t>D</w:t>
      </w:r>
      <w:r>
        <w:rPr>
          <w:lang w:val="en-US"/>
        </w:rPr>
        <w:t xml:space="preserve"> = 940.</w:t>
      </w:r>
    </w:p>
  </w:footnote>
  <w:footnote w:id="4">
    <w:p w:rsidR="002D2C98" w:rsidRPr="002D2C98" w:rsidRDefault="002D2C98">
      <w:pPr>
        <w:pStyle w:val="FootnoteText"/>
        <w:rPr>
          <w:lang w:val="en-US"/>
        </w:rPr>
      </w:pPr>
      <w:r>
        <w:rPr>
          <w:rStyle w:val="FootnoteReference"/>
        </w:rPr>
        <w:footnoteRef/>
      </w:r>
      <w:r w:rsidRPr="002D2C98">
        <w:rPr>
          <w:lang w:val="en-US"/>
        </w:rPr>
        <w:tab/>
        <w:t>This value has been shown to be a satisfactory match to the legacy CRT display.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0F" w:rsidRDefault="00B9310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0F" w:rsidRDefault="00B9310F" w:rsidP="00B033C8">
    <w:pPr>
      <w:pStyle w:val="Header"/>
      <w:ind w:right="360" w:firstLine="360"/>
    </w:pPr>
    <w:r>
      <w:rPr>
        <w:noProof/>
        <w:lang w:val="en-US" w:eastAsia="zh-CN"/>
      </w:rPr>
      <w:drawing>
        <wp:anchor distT="0" distB="0" distL="114300" distR="114300" simplePos="0" relativeHeight="251657728" behindDoc="1" locked="0" layoutInCell="1" allowOverlap="1" wp14:anchorId="769879CB" wp14:editId="5285617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0F" w:rsidRPr="000F6905" w:rsidRDefault="00B9310F">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17389">
      <w:rPr>
        <w:rStyle w:val="PageNumber"/>
        <w:b/>
        <w:bCs/>
        <w:noProof/>
      </w:rPr>
      <w:t>2</w:t>
    </w:r>
    <w:r>
      <w:rPr>
        <w:rStyle w:val="PageNumber"/>
        <w:b/>
        <w:bCs/>
      </w:rPr>
      <w:fldChar w:fldCharType="end"/>
    </w:r>
    <w:r w:rsidRPr="000F6905">
      <w:tab/>
    </w:r>
    <w:fldSimple w:instr=" DOCPROPERTY &quot;Header&quot; \* MERGEFORMAT ">
      <w:r w:rsidR="00A17389" w:rsidRPr="00A17389">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A17389">
      <w:rPr>
        <w:b/>
        <w:bCs/>
        <w:noProof/>
      </w:rPr>
      <w:t>ITU-R  BT.1886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0F" w:rsidRDefault="00B9310F">
    <w:pPr>
      <w:pStyle w:val="Header"/>
    </w:pPr>
    <w:r>
      <w:tab/>
    </w:r>
    <w:fldSimple w:instr=" DOCPROPERTY &quot;Header&quot; \* MERGEFORMAT ">
      <w:r w:rsidR="00A17389" w:rsidRPr="00A1738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17389">
      <w:rPr>
        <w:b/>
        <w:bCs/>
        <w:noProof/>
      </w:rPr>
      <w:t>ITU-R  BT.1886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7389">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72484"/>
    <w:rsid w:val="00096612"/>
    <w:rsid w:val="000B7683"/>
    <w:rsid w:val="000C0F2B"/>
    <w:rsid w:val="000F6905"/>
    <w:rsid w:val="00102934"/>
    <w:rsid w:val="00147110"/>
    <w:rsid w:val="0016134B"/>
    <w:rsid w:val="001C6DA1"/>
    <w:rsid w:val="002058CE"/>
    <w:rsid w:val="002165F1"/>
    <w:rsid w:val="00220899"/>
    <w:rsid w:val="00220C77"/>
    <w:rsid w:val="00276D21"/>
    <w:rsid w:val="00296D7F"/>
    <w:rsid w:val="002B3CF6"/>
    <w:rsid w:val="002C768A"/>
    <w:rsid w:val="002D2C98"/>
    <w:rsid w:val="002D76C4"/>
    <w:rsid w:val="00355AF6"/>
    <w:rsid w:val="003C0139"/>
    <w:rsid w:val="00420DFD"/>
    <w:rsid w:val="004365EE"/>
    <w:rsid w:val="00470E28"/>
    <w:rsid w:val="004934C5"/>
    <w:rsid w:val="004957EE"/>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C253A"/>
    <w:rsid w:val="008C7848"/>
    <w:rsid w:val="00917AF2"/>
    <w:rsid w:val="0092418A"/>
    <w:rsid w:val="00934ED7"/>
    <w:rsid w:val="009543C3"/>
    <w:rsid w:val="00966E1B"/>
    <w:rsid w:val="009A43DD"/>
    <w:rsid w:val="009E0BFE"/>
    <w:rsid w:val="009F2D2C"/>
    <w:rsid w:val="00A00133"/>
    <w:rsid w:val="00A17389"/>
    <w:rsid w:val="00A2636C"/>
    <w:rsid w:val="00A6617B"/>
    <w:rsid w:val="00A71FE5"/>
    <w:rsid w:val="00A766F4"/>
    <w:rsid w:val="00A9771A"/>
    <w:rsid w:val="00AA3AD8"/>
    <w:rsid w:val="00AB0DC8"/>
    <w:rsid w:val="00B033C8"/>
    <w:rsid w:val="00B33425"/>
    <w:rsid w:val="00B44E24"/>
    <w:rsid w:val="00B54ECC"/>
    <w:rsid w:val="00B714F3"/>
    <w:rsid w:val="00B9310F"/>
    <w:rsid w:val="00BC5D77"/>
    <w:rsid w:val="00BE37E1"/>
    <w:rsid w:val="00BF487A"/>
    <w:rsid w:val="00C10024"/>
    <w:rsid w:val="00C27AD2"/>
    <w:rsid w:val="00C46BD9"/>
    <w:rsid w:val="00C55258"/>
    <w:rsid w:val="00C73560"/>
    <w:rsid w:val="00C7439E"/>
    <w:rsid w:val="00CA3C2C"/>
    <w:rsid w:val="00CB0F14"/>
    <w:rsid w:val="00CD659B"/>
    <w:rsid w:val="00DF4176"/>
    <w:rsid w:val="00E17240"/>
    <w:rsid w:val="00E374B9"/>
    <w:rsid w:val="00F30C9B"/>
    <w:rsid w:val="00F354B1"/>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26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74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374B9"/>
    <w:pPr>
      <w:keepNext/>
      <w:keepLines/>
      <w:spacing w:before="480"/>
      <w:ind w:left="794" w:hanging="794"/>
      <w:outlineLvl w:val="0"/>
    </w:pPr>
    <w:rPr>
      <w:b/>
    </w:rPr>
  </w:style>
  <w:style w:type="paragraph" w:styleId="Heading2">
    <w:name w:val="heading 2"/>
    <w:basedOn w:val="Heading1"/>
    <w:next w:val="Normal"/>
    <w:qFormat/>
    <w:rsid w:val="00E374B9"/>
    <w:pPr>
      <w:spacing w:before="320"/>
      <w:outlineLvl w:val="1"/>
    </w:pPr>
  </w:style>
  <w:style w:type="paragraph" w:styleId="Heading3">
    <w:name w:val="heading 3"/>
    <w:basedOn w:val="Heading1"/>
    <w:next w:val="Normal"/>
    <w:qFormat/>
    <w:rsid w:val="00E374B9"/>
    <w:pPr>
      <w:spacing w:before="200"/>
      <w:outlineLvl w:val="2"/>
    </w:pPr>
  </w:style>
  <w:style w:type="paragraph" w:styleId="Heading4">
    <w:name w:val="heading 4"/>
    <w:basedOn w:val="Heading3"/>
    <w:next w:val="Normal"/>
    <w:qFormat/>
    <w:rsid w:val="00E374B9"/>
    <w:pPr>
      <w:tabs>
        <w:tab w:val="clear" w:pos="794"/>
        <w:tab w:val="left" w:pos="992"/>
      </w:tabs>
      <w:ind w:left="992" w:hanging="992"/>
      <w:outlineLvl w:val="3"/>
    </w:pPr>
  </w:style>
  <w:style w:type="paragraph" w:styleId="Heading5">
    <w:name w:val="heading 5"/>
    <w:basedOn w:val="Heading4"/>
    <w:next w:val="Normal"/>
    <w:qFormat/>
    <w:rsid w:val="00E374B9"/>
    <w:pPr>
      <w:outlineLvl w:val="4"/>
    </w:pPr>
  </w:style>
  <w:style w:type="paragraph" w:styleId="Heading6">
    <w:name w:val="heading 6"/>
    <w:basedOn w:val="Heading4"/>
    <w:next w:val="Normal"/>
    <w:qFormat/>
    <w:rsid w:val="00E374B9"/>
    <w:pPr>
      <w:tabs>
        <w:tab w:val="clear" w:pos="992"/>
        <w:tab w:val="clear" w:pos="1191"/>
      </w:tabs>
      <w:ind w:left="1588" w:hanging="1588"/>
      <w:outlineLvl w:val="5"/>
    </w:pPr>
  </w:style>
  <w:style w:type="paragraph" w:styleId="Heading7">
    <w:name w:val="heading 7"/>
    <w:basedOn w:val="Heading6"/>
    <w:next w:val="Normal"/>
    <w:qFormat/>
    <w:rsid w:val="00E374B9"/>
    <w:pPr>
      <w:outlineLvl w:val="6"/>
    </w:pPr>
  </w:style>
  <w:style w:type="paragraph" w:styleId="Heading8">
    <w:name w:val="heading 8"/>
    <w:basedOn w:val="Heading6"/>
    <w:next w:val="Normal"/>
    <w:qFormat/>
    <w:rsid w:val="00E374B9"/>
    <w:pPr>
      <w:outlineLvl w:val="7"/>
    </w:pPr>
  </w:style>
  <w:style w:type="paragraph" w:styleId="Heading9">
    <w:name w:val="heading 9"/>
    <w:basedOn w:val="Heading6"/>
    <w:next w:val="Normal"/>
    <w:qFormat/>
    <w:rsid w:val="00E374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374B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374B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374B9"/>
  </w:style>
  <w:style w:type="paragraph" w:customStyle="1" w:styleId="Headingb">
    <w:name w:val="Heading_b"/>
    <w:basedOn w:val="Heading3"/>
    <w:next w:val="Normal"/>
    <w:rsid w:val="00E374B9"/>
    <w:pPr>
      <w:spacing w:before="160"/>
      <w:ind w:left="0" w:firstLine="0"/>
      <w:outlineLvl w:val="9"/>
    </w:pPr>
  </w:style>
  <w:style w:type="paragraph" w:customStyle="1" w:styleId="Headingi">
    <w:name w:val="Heading_i"/>
    <w:basedOn w:val="Heading3"/>
    <w:next w:val="Normal"/>
    <w:rsid w:val="00E374B9"/>
    <w:pPr>
      <w:spacing w:before="160"/>
      <w:ind w:left="0" w:firstLine="0"/>
    </w:pPr>
    <w:rPr>
      <w:b w:val="0"/>
      <w:i/>
    </w:rPr>
  </w:style>
  <w:style w:type="character" w:customStyle="1" w:styleId="href">
    <w:name w:val="href"/>
    <w:basedOn w:val="DefaultParagraphFont"/>
    <w:rsid w:val="00E374B9"/>
  </w:style>
  <w:style w:type="paragraph" w:customStyle="1" w:styleId="AnnexNoTitle">
    <w:name w:val="Annex_NoTitle"/>
    <w:basedOn w:val="Normal"/>
    <w:next w:val="Normalaftertitle"/>
    <w:rsid w:val="00E374B9"/>
    <w:pPr>
      <w:keepNext/>
      <w:keepLines/>
      <w:spacing w:before="480" w:after="80"/>
      <w:jc w:val="center"/>
    </w:pPr>
    <w:rPr>
      <w:b/>
      <w:sz w:val="28"/>
    </w:rPr>
  </w:style>
  <w:style w:type="paragraph" w:customStyle="1" w:styleId="Normalaftertitle">
    <w:name w:val="Normal_after_title"/>
    <w:basedOn w:val="Normal"/>
    <w:next w:val="Normal"/>
    <w:rsid w:val="00E374B9"/>
    <w:pPr>
      <w:spacing w:before="320"/>
    </w:pPr>
  </w:style>
  <w:style w:type="paragraph" w:customStyle="1" w:styleId="enumlev2">
    <w:name w:val="enumlev2"/>
    <w:basedOn w:val="enumlev1"/>
    <w:rsid w:val="00E374B9"/>
    <w:pPr>
      <w:ind w:left="1191" w:hanging="397"/>
    </w:pPr>
  </w:style>
  <w:style w:type="paragraph" w:customStyle="1" w:styleId="enumlev1">
    <w:name w:val="enumlev1"/>
    <w:basedOn w:val="Normal"/>
    <w:rsid w:val="00E374B9"/>
    <w:pPr>
      <w:spacing w:before="80"/>
      <w:ind w:left="794" w:hanging="794"/>
    </w:pPr>
  </w:style>
  <w:style w:type="paragraph" w:customStyle="1" w:styleId="enumlev3">
    <w:name w:val="enumlev3"/>
    <w:basedOn w:val="enumlev2"/>
    <w:rsid w:val="00E374B9"/>
    <w:pPr>
      <w:ind w:left="1588"/>
    </w:pPr>
  </w:style>
  <w:style w:type="paragraph" w:customStyle="1" w:styleId="Note">
    <w:name w:val="Note"/>
    <w:basedOn w:val="Normal"/>
    <w:rsid w:val="00E374B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374B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374B9"/>
    <w:pPr>
      <w:keepNext/>
      <w:keepLines/>
      <w:spacing w:before="240"/>
      <w:jc w:val="center"/>
    </w:pPr>
    <w:rPr>
      <w:b/>
      <w:sz w:val="28"/>
    </w:rPr>
  </w:style>
  <w:style w:type="paragraph" w:customStyle="1" w:styleId="Recref">
    <w:name w:val="Rec_ref"/>
    <w:basedOn w:val="Normal"/>
    <w:next w:val="Recdate"/>
    <w:rsid w:val="00E374B9"/>
    <w:pPr>
      <w:jc w:val="center"/>
    </w:pPr>
  </w:style>
  <w:style w:type="paragraph" w:customStyle="1" w:styleId="Recdate">
    <w:name w:val="Rec_date"/>
    <w:basedOn w:val="Recref"/>
    <w:next w:val="Normalaftertitle"/>
    <w:rsid w:val="00E374B9"/>
    <w:pPr>
      <w:jc w:val="right"/>
    </w:pPr>
  </w:style>
  <w:style w:type="paragraph" w:customStyle="1" w:styleId="HeadingSum">
    <w:name w:val="Heading_Sum"/>
    <w:basedOn w:val="Headingb"/>
    <w:next w:val="Normal"/>
    <w:rsid w:val="00E374B9"/>
    <w:pPr>
      <w:spacing w:before="240"/>
    </w:pPr>
    <w:rPr>
      <w:sz w:val="22"/>
      <w:lang w:val="es-ES_tradnl"/>
    </w:rPr>
  </w:style>
  <w:style w:type="paragraph" w:customStyle="1" w:styleId="AppendixNoTitle">
    <w:name w:val="Appendix_NoTitle"/>
    <w:basedOn w:val="AnnexNoTitle"/>
    <w:next w:val="Normal"/>
    <w:rsid w:val="00E374B9"/>
  </w:style>
  <w:style w:type="paragraph" w:customStyle="1" w:styleId="Tablefin">
    <w:name w:val="Table_fin"/>
    <w:basedOn w:val="Normal"/>
    <w:next w:val="Normal"/>
    <w:rsid w:val="00E374B9"/>
    <w:pPr>
      <w:spacing w:before="0"/>
    </w:pPr>
    <w:rPr>
      <w:sz w:val="20"/>
      <w:lang w:val="en-GB"/>
    </w:rPr>
  </w:style>
  <w:style w:type="paragraph" w:customStyle="1" w:styleId="Tablehead">
    <w:name w:val="Table_head"/>
    <w:basedOn w:val="Normal"/>
    <w:next w:val="Normal"/>
    <w:rsid w:val="00E374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374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374B9"/>
    <w:pPr>
      <w:keepNext/>
      <w:spacing w:before="360" w:after="120"/>
      <w:jc w:val="center"/>
    </w:pPr>
  </w:style>
  <w:style w:type="paragraph" w:customStyle="1" w:styleId="Tabletext">
    <w:name w:val="Table_text"/>
    <w:basedOn w:val="Normal"/>
    <w:rsid w:val="00E374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374B9"/>
    <w:pPr>
      <w:tabs>
        <w:tab w:val="clear" w:pos="1191"/>
        <w:tab w:val="clear" w:pos="1588"/>
        <w:tab w:val="clear" w:pos="1985"/>
        <w:tab w:val="center" w:pos="4820"/>
        <w:tab w:val="right" w:pos="9639"/>
      </w:tabs>
    </w:pPr>
  </w:style>
  <w:style w:type="paragraph" w:customStyle="1" w:styleId="Equationlegend">
    <w:name w:val="Equation_legend"/>
    <w:basedOn w:val="NormalIndent"/>
    <w:rsid w:val="00E374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374B9"/>
    <w:pPr>
      <w:ind w:left="794"/>
    </w:pPr>
  </w:style>
  <w:style w:type="paragraph" w:customStyle="1" w:styleId="Figurelegend">
    <w:name w:val="Figure_legend"/>
    <w:basedOn w:val="Normal"/>
    <w:rsid w:val="00E374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374B9"/>
    <w:pPr>
      <w:keepNext/>
      <w:keepLines/>
      <w:spacing w:before="480" w:after="80"/>
      <w:jc w:val="center"/>
    </w:pPr>
    <w:rPr>
      <w:caps/>
      <w:sz w:val="18"/>
    </w:rPr>
  </w:style>
  <w:style w:type="paragraph" w:customStyle="1" w:styleId="Figuretitle">
    <w:name w:val="Figure_title"/>
    <w:basedOn w:val="Normal"/>
    <w:next w:val="Figure"/>
    <w:link w:val="FiguretitleChar"/>
    <w:rsid w:val="00E374B9"/>
    <w:pPr>
      <w:keepNext/>
      <w:spacing w:before="0" w:after="120"/>
      <w:jc w:val="center"/>
    </w:pPr>
    <w:rPr>
      <w:rFonts w:ascii="Times New Roman Bold" w:hAnsi="Times New Roman Bold"/>
      <w:b/>
      <w:sz w:val="18"/>
    </w:rPr>
  </w:style>
  <w:style w:type="paragraph" w:customStyle="1" w:styleId="Figure">
    <w:name w:val="Figure"/>
    <w:basedOn w:val="FigureNo"/>
    <w:next w:val="Normal"/>
    <w:rsid w:val="00E374B9"/>
    <w:pPr>
      <w:keepNext w:val="0"/>
      <w:spacing w:before="0" w:after="240"/>
    </w:pPr>
  </w:style>
  <w:style w:type="paragraph" w:customStyle="1" w:styleId="tocpart">
    <w:name w:val="tocpart"/>
    <w:basedOn w:val="Normal"/>
    <w:rsid w:val="00E374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374B9"/>
    <w:pPr>
      <w:keepNext/>
      <w:keepLines/>
      <w:spacing w:before="480"/>
      <w:jc w:val="center"/>
    </w:pPr>
    <w:rPr>
      <w:sz w:val="28"/>
    </w:rPr>
  </w:style>
  <w:style w:type="paragraph" w:customStyle="1" w:styleId="Arttitle">
    <w:name w:val="Art_title"/>
    <w:basedOn w:val="Normal"/>
    <w:next w:val="Normalaftertitle"/>
    <w:rsid w:val="00E374B9"/>
    <w:pPr>
      <w:keepNext/>
      <w:keepLines/>
      <w:spacing w:before="240"/>
      <w:jc w:val="center"/>
    </w:pPr>
    <w:rPr>
      <w:b/>
      <w:sz w:val="28"/>
    </w:rPr>
  </w:style>
  <w:style w:type="paragraph" w:customStyle="1" w:styleId="Blanc">
    <w:name w:val="Blanc"/>
    <w:basedOn w:val="Normal"/>
    <w:next w:val="Tabletext"/>
    <w:rsid w:val="00E374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374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374B9"/>
    <w:pPr>
      <w:keepNext/>
      <w:keepLines/>
      <w:spacing w:before="160"/>
      <w:ind w:left="794"/>
    </w:pPr>
    <w:rPr>
      <w:i/>
    </w:rPr>
  </w:style>
  <w:style w:type="paragraph" w:customStyle="1" w:styleId="ChapNo">
    <w:name w:val="Chap_No"/>
    <w:basedOn w:val="ArtNo"/>
    <w:next w:val="Chaptitle"/>
    <w:rsid w:val="00E374B9"/>
    <w:rPr>
      <w:b/>
    </w:rPr>
  </w:style>
  <w:style w:type="paragraph" w:customStyle="1" w:styleId="Chaptitle">
    <w:name w:val="Chap_title"/>
    <w:basedOn w:val="Arttitle"/>
    <w:next w:val="Normalaftertitle"/>
    <w:rsid w:val="00E374B9"/>
  </w:style>
  <w:style w:type="character" w:styleId="FootnoteReference">
    <w:name w:val="footnote reference"/>
    <w:basedOn w:val="DefaultParagraphFont"/>
    <w:rsid w:val="00E374B9"/>
    <w:rPr>
      <w:position w:val="6"/>
      <w:sz w:val="18"/>
    </w:rPr>
  </w:style>
  <w:style w:type="paragraph" w:styleId="FootnoteText">
    <w:name w:val="footnote text"/>
    <w:basedOn w:val="Normal"/>
    <w:link w:val="FootnoteTextChar"/>
    <w:rsid w:val="00E374B9"/>
    <w:pPr>
      <w:keepLines/>
      <w:tabs>
        <w:tab w:val="left" w:pos="255"/>
      </w:tabs>
      <w:ind w:left="255" w:hanging="255"/>
    </w:pPr>
    <w:rPr>
      <w:sz w:val="22"/>
    </w:rPr>
  </w:style>
  <w:style w:type="paragraph" w:styleId="Index1">
    <w:name w:val="index 1"/>
    <w:basedOn w:val="Normal"/>
    <w:next w:val="Normal"/>
    <w:semiHidden/>
    <w:rsid w:val="00E374B9"/>
  </w:style>
  <w:style w:type="paragraph" w:styleId="Index2">
    <w:name w:val="index 2"/>
    <w:basedOn w:val="Normal"/>
    <w:next w:val="Normal"/>
    <w:semiHidden/>
    <w:rsid w:val="00E374B9"/>
    <w:pPr>
      <w:ind w:left="283"/>
    </w:pPr>
  </w:style>
  <w:style w:type="paragraph" w:styleId="Index3">
    <w:name w:val="index 3"/>
    <w:basedOn w:val="Normal"/>
    <w:next w:val="Normal"/>
    <w:semiHidden/>
    <w:rsid w:val="00E374B9"/>
    <w:pPr>
      <w:ind w:left="566"/>
    </w:pPr>
  </w:style>
  <w:style w:type="paragraph" w:styleId="IndexHeading">
    <w:name w:val="index heading"/>
    <w:basedOn w:val="Normal"/>
    <w:next w:val="Index1"/>
    <w:semiHidden/>
    <w:rsid w:val="00E374B9"/>
  </w:style>
  <w:style w:type="paragraph" w:customStyle="1" w:styleId="Line">
    <w:name w:val="Line"/>
    <w:basedOn w:val="Normal"/>
    <w:next w:val="Normal"/>
    <w:rsid w:val="00E374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374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374B9"/>
  </w:style>
  <w:style w:type="paragraph" w:customStyle="1" w:styleId="Partref">
    <w:name w:val="Part_ref"/>
    <w:basedOn w:val="Normal"/>
    <w:next w:val="Normal"/>
    <w:rsid w:val="00E374B9"/>
    <w:pPr>
      <w:keepNext/>
      <w:keepLines/>
      <w:spacing w:after="280"/>
      <w:jc w:val="center"/>
    </w:pPr>
  </w:style>
  <w:style w:type="paragraph" w:customStyle="1" w:styleId="Parttitle">
    <w:name w:val="Part_title"/>
    <w:basedOn w:val="Normal"/>
    <w:next w:val="Normalaftertitle"/>
    <w:rsid w:val="00E374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374B9"/>
  </w:style>
  <w:style w:type="paragraph" w:customStyle="1" w:styleId="QuestionNo">
    <w:name w:val="Question_No"/>
    <w:basedOn w:val="RecNo"/>
    <w:next w:val="Normal"/>
    <w:rsid w:val="00E374B9"/>
  </w:style>
  <w:style w:type="paragraph" w:customStyle="1" w:styleId="Questionref">
    <w:name w:val="Question_ref"/>
    <w:basedOn w:val="Recref"/>
    <w:next w:val="Questiondate"/>
    <w:rsid w:val="00E374B9"/>
  </w:style>
  <w:style w:type="paragraph" w:customStyle="1" w:styleId="Questiontitle">
    <w:name w:val="Question_title"/>
    <w:basedOn w:val="Normal"/>
    <w:next w:val="Questionref"/>
    <w:rsid w:val="00E374B9"/>
  </w:style>
  <w:style w:type="paragraph" w:customStyle="1" w:styleId="Reftext">
    <w:name w:val="Ref_text"/>
    <w:basedOn w:val="Normal"/>
    <w:rsid w:val="00E374B9"/>
    <w:pPr>
      <w:ind w:left="794" w:hanging="794"/>
    </w:pPr>
    <w:rPr>
      <w:sz w:val="22"/>
    </w:rPr>
  </w:style>
  <w:style w:type="paragraph" w:customStyle="1" w:styleId="Reftitle">
    <w:name w:val="Ref_title"/>
    <w:basedOn w:val="Normal"/>
    <w:next w:val="Reftext"/>
    <w:rsid w:val="00E374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374B9"/>
  </w:style>
  <w:style w:type="paragraph" w:customStyle="1" w:styleId="RepNo">
    <w:name w:val="Rep_No"/>
    <w:basedOn w:val="RecNo"/>
    <w:next w:val="Reptitle"/>
    <w:rsid w:val="00E374B9"/>
  </w:style>
  <w:style w:type="paragraph" w:customStyle="1" w:styleId="Reptitle">
    <w:name w:val="Rep_title"/>
    <w:basedOn w:val="Rectitle"/>
    <w:next w:val="Repref"/>
    <w:rsid w:val="00E374B9"/>
  </w:style>
  <w:style w:type="paragraph" w:customStyle="1" w:styleId="Repref">
    <w:name w:val="Rep_ref"/>
    <w:basedOn w:val="Recref"/>
    <w:next w:val="Repdate"/>
    <w:rsid w:val="00E374B9"/>
  </w:style>
  <w:style w:type="paragraph" w:customStyle="1" w:styleId="Resdate">
    <w:name w:val="Res_date"/>
    <w:basedOn w:val="Recdate"/>
    <w:next w:val="Normalaftertitle"/>
    <w:rsid w:val="00E374B9"/>
  </w:style>
  <w:style w:type="paragraph" w:customStyle="1" w:styleId="ResNo">
    <w:name w:val="Res_No"/>
    <w:basedOn w:val="RecNo"/>
    <w:next w:val="Restitle"/>
    <w:rsid w:val="00E374B9"/>
  </w:style>
  <w:style w:type="paragraph" w:customStyle="1" w:styleId="Restitle">
    <w:name w:val="Res_title"/>
    <w:basedOn w:val="Normal"/>
    <w:next w:val="Resref"/>
    <w:rsid w:val="00E374B9"/>
    <w:pPr>
      <w:spacing w:before="240"/>
      <w:jc w:val="center"/>
    </w:pPr>
    <w:rPr>
      <w:b/>
      <w:sz w:val="28"/>
    </w:rPr>
  </w:style>
  <w:style w:type="paragraph" w:customStyle="1" w:styleId="Resref">
    <w:name w:val="Res_ref"/>
    <w:basedOn w:val="Recref"/>
    <w:next w:val="Resdate"/>
    <w:rsid w:val="00E374B9"/>
  </w:style>
  <w:style w:type="paragraph" w:customStyle="1" w:styleId="SectionNo">
    <w:name w:val="Section_No"/>
    <w:basedOn w:val="Normal"/>
    <w:next w:val="Normal"/>
    <w:rsid w:val="00E374B9"/>
  </w:style>
  <w:style w:type="paragraph" w:customStyle="1" w:styleId="Sectiontitle">
    <w:name w:val="Section_title"/>
    <w:basedOn w:val="Normal"/>
    <w:next w:val="Normalaftertitle"/>
    <w:rsid w:val="00E374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374B9"/>
    <w:pPr>
      <w:tabs>
        <w:tab w:val="clear" w:pos="794"/>
        <w:tab w:val="clear" w:pos="1191"/>
        <w:tab w:val="clear" w:pos="1588"/>
        <w:tab w:val="clear" w:pos="1985"/>
        <w:tab w:val="right" w:pos="9611"/>
      </w:tabs>
    </w:pPr>
    <w:rPr>
      <w:i/>
    </w:rPr>
  </w:style>
  <w:style w:type="paragraph" w:styleId="TOC1">
    <w:name w:val="toc 1"/>
    <w:basedOn w:val="Normal"/>
    <w:semiHidden/>
    <w:rsid w:val="00E374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374B9"/>
    <w:pPr>
      <w:tabs>
        <w:tab w:val="clear" w:pos="567"/>
        <w:tab w:val="left" w:pos="1276"/>
      </w:tabs>
      <w:spacing w:before="160"/>
      <w:ind w:left="1276" w:hanging="709"/>
    </w:pPr>
  </w:style>
  <w:style w:type="paragraph" w:styleId="TOC3">
    <w:name w:val="toc 3"/>
    <w:basedOn w:val="TOC2"/>
    <w:semiHidden/>
    <w:rsid w:val="00E374B9"/>
    <w:pPr>
      <w:tabs>
        <w:tab w:val="clear" w:pos="1276"/>
        <w:tab w:val="left" w:pos="2155"/>
      </w:tabs>
      <w:ind w:left="2155" w:hanging="879"/>
    </w:pPr>
  </w:style>
  <w:style w:type="paragraph" w:styleId="TOC4">
    <w:name w:val="toc 4"/>
    <w:basedOn w:val="TOC3"/>
    <w:semiHidden/>
    <w:rsid w:val="00E374B9"/>
    <w:pPr>
      <w:tabs>
        <w:tab w:val="left" w:pos="3261"/>
      </w:tabs>
      <w:spacing w:before="80"/>
      <w:ind w:left="3261" w:hanging="993"/>
    </w:pPr>
  </w:style>
  <w:style w:type="paragraph" w:styleId="TOC5">
    <w:name w:val="toc 5"/>
    <w:basedOn w:val="TOC4"/>
    <w:semiHidden/>
    <w:rsid w:val="00E374B9"/>
  </w:style>
  <w:style w:type="paragraph" w:styleId="TOC6">
    <w:name w:val="toc 6"/>
    <w:basedOn w:val="TOC4"/>
    <w:semiHidden/>
    <w:rsid w:val="00E374B9"/>
  </w:style>
  <w:style w:type="paragraph" w:styleId="TOC7">
    <w:name w:val="toc 7"/>
    <w:basedOn w:val="TOC4"/>
    <w:semiHidden/>
    <w:rsid w:val="00E374B9"/>
  </w:style>
  <w:style w:type="paragraph" w:styleId="TOC8">
    <w:name w:val="toc 8"/>
    <w:basedOn w:val="TOC4"/>
    <w:semiHidden/>
    <w:rsid w:val="00E374B9"/>
  </w:style>
  <w:style w:type="paragraph" w:customStyle="1" w:styleId="Annexref">
    <w:name w:val="Annex_ref"/>
    <w:basedOn w:val="Normal"/>
    <w:next w:val="Normalaftertitle"/>
    <w:rsid w:val="00E374B9"/>
    <w:pPr>
      <w:keepNext/>
      <w:keepLines/>
      <w:spacing w:after="280"/>
      <w:jc w:val="center"/>
    </w:pPr>
  </w:style>
  <w:style w:type="paragraph" w:customStyle="1" w:styleId="Appendixref">
    <w:name w:val="Appendix_ref"/>
    <w:basedOn w:val="Annexref"/>
    <w:next w:val="Normalaftertitle"/>
    <w:rsid w:val="00E374B9"/>
  </w:style>
  <w:style w:type="paragraph" w:customStyle="1" w:styleId="Tabletitle">
    <w:name w:val="Table_title"/>
    <w:basedOn w:val="Normal"/>
    <w:next w:val="Tablehead"/>
    <w:rsid w:val="00E374B9"/>
    <w:pPr>
      <w:keepNext/>
      <w:spacing w:before="0" w:after="120"/>
      <w:jc w:val="center"/>
    </w:pPr>
    <w:rPr>
      <w:b/>
    </w:rPr>
  </w:style>
  <w:style w:type="paragraph" w:customStyle="1" w:styleId="Summary">
    <w:name w:val="Summary"/>
    <w:basedOn w:val="Normal"/>
    <w:next w:val="Normalaftertitle"/>
    <w:rsid w:val="00E374B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374B9"/>
    <w:pPr>
      <w:ind w:left="-85" w:firstLine="0"/>
    </w:pPr>
    <w:rPr>
      <w:lang w:val="en-US"/>
    </w:rPr>
  </w:style>
  <w:style w:type="character" w:customStyle="1" w:styleId="FootnoteTextChar">
    <w:name w:val="Footnote Text Char"/>
    <w:basedOn w:val="DefaultParagraphFont"/>
    <w:link w:val="FootnoteText"/>
    <w:rsid w:val="00A2636C"/>
    <w:rPr>
      <w:sz w:val="22"/>
      <w:lang w:val="fr-FR" w:eastAsia="en-US"/>
    </w:rPr>
  </w:style>
  <w:style w:type="character" w:customStyle="1" w:styleId="FiguretitleChar">
    <w:name w:val="Figure_title Char"/>
    <w:link w:val="Figuretitle"/>
    <w:locked/>
    <w:rsid w:val="00A2636C"/>
    <w:rPr>
      <w:rFonts w:ascii="Times New Roman Bold" w:hAnsi="Times New Roman Bold"/>
      <w:b/>
      <w:sz w:val="18"/>
      <w:lang w:val="fr-FR" w:eastAsia="en-US"/>
    </w:rPr>
  </w:style>
  <w:style w:type="character" w:customStyle="1" w:styleId="FigureNoChar">
    <w:name w:val="Figure_No Char"/>
    <w:link w:val="FigureNo"/>
    <w:locked/>
    <w:rsid w:val="00A2636C"/>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74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374B9"/>
    <w:pPr>
      <w:keepNext/>
      <w:keepLines/>
      <w:spacing w:before="480"/>
      <w:ind w:left="794" w:hanging="794"/>
      <w:outlineLvl w:val="0"/>
    </w:pPr>
    <w:rPr>
      <w:b/>
    </w:rPr>
  </w:style>
  <w:style w:type="paragraph" w:styleId="Heading2">
    <w:name w:val="heading 2"/>
    <w:basedOn w:val="Heading1"/>
    <w:next w:val="Normal"/>
    <w:qFormat/>
    <w:rsid w:val="00E374B9"/>
    <w:pPr>
      <w:spacing w:before="320"/>
      <w:outlineLvl w:val="1"/>
    </w:pPr>
  </w:style>
  <w:style w:type="paragraph" w:styleId="Heading3">
    <w:name w:val="heading 3"/>
    <w:basedOn w:val="Heading1"/>
    <w:next w:val="Normal"/>
    <w:qFormat/>
    <w:rsid w:val="00E374B9"/>
    <w:pPr>
      <w:spacing w:before="200"/>
      <w:outlineLvl w:val="2"/>
    </w:pPr>
  </w:style>
  <w:style w:type="paragraph" w:styleId="Heading4">
    <w:name w:val="heading 4"/>
    <w:basedOn w:val="Heading3"/>
    <w:next w:val="Normal"/>
    <w:qFormat/>
    <w:rsid w:val="00E374B9"/>
    <w:pPr>
      <w:tabs>
        <w:tab w:val="clear" w:pos="794"/>
        <w:tab w:val="left" w:pos="992"/>
      </w:tabs>
      <w:ind w:left="992" w:hanging="992"/>
      <w:outlineLvl w:val="3"/>
    </w:pPr>
  </w:style>
  <w:style w:type="paragraph" w:styleId="Heading5">
    <w:name w:val="heading 5"/>
    <w:basedOn w:val="Heading4"/>
    <w:next w:val="Normal"/>
    <w:qFormat/>
    <w:rsid w:val="00E374B9"/>
    <w:pPr>
      <w:outlineLvl w:val="4"/>
    </w:pPr>
  </w:style>
  <w:style w:type="paragraph" w:styleId="Heading6">
    <w:name w:val="heading 6"/>
    <w:basedOn w:val="Heading4"/>
    <w:next w:val="Normal"/>
    <w:qFormat/>
    <w:rsid w:val="00E374B9"/>
    <w:pPr>
      <w:tabs>
        <w:tab w:val="clear" w:pos="992"/>
        <w:tab w:val="clear" w:pos="1191"/>
      </w:tabs>
      <w:ind w:left="1588" w:hanging="1588"/>
      <w:outlineLvl w:val="5"/>
    </w:pPr>
  </w:style>
  <w:style w:type="paragraph" w:styleId="Heading7">
    <w:name w:val="heading 7"/>
    <w:basedOn w:val="Heading6"/>
    <w:next w:val="Normal"/>
    <w:qFormat/>
    <w:rsid w:val="00E374B9"/>
    <w:pPr>
      <w:outlineLvl w:val="6"/>
    </w:pPr>
  </w:style>
  <w:style w:type="paragraph" w:styleId="Heading8">
    <w:name w:val="heading 8"/>
    <w:basedOn w:val="Heading6"/>
    <w:next w:val="Normal"/>
    <w:qFormat/>
    <w:rsid w:val="00E374B9"/>
    <w:pPr>
      <w:outlineLvl w:val="7"/>
    </w:pPr>
  </w:style>
  <w:style w:type="paragraph" w:styleId="Heading9">
    <w:name w:val="heading 9"/>
    <w:basedOn w:val="Heading6"/>
    <w:next w:val="Normal"/>
    <w:qFormat/>
    <w:rsid w:val="00E374B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374B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374B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374B9"/>
  </w:style>
  <w:style w:type="paragraph" w:customStyle="1" w:styleId="Headingb">
    <w:name w:val="Heading_b"/>
    <w:basedOn w:val="Heading3"/>
    <w:next w:val="Normal"/>
    <w:rsid w:val="00E374B9"/>
    <w:pPr>
      <w:spacing w:before="160"/>
      <w:ind w:left="0" w:firstLine="0"/>
      <w:outlineLvl w:val="9"/>
    </w:pPr>
  </w:style>
  <w:style w:type="paragraph" w:customStyle="1" w:styleId="Headingi">
    <w:name w:val="Heading_i"/>
    <w:basedOn w:val="Heading3"/>
    <w:next w:val="Normal"/>
    <w:rsid w:val="00E374B9"/>
    <w:pPr>
      <w:spacing w:before="160"/>
      <w:ind w:left="0" w:firstLine="0"/>
    </w:pPr>
    <w:rPr>
      <w:b w:val="0"/>
      <w:i/>
    </w:rPr>
  </w:style>
  <w:style w:type="character" w:customStyle="1" w:styleId="href">
    <w:name w:val="href"/>
    <w:basedOn w:val="DefaultParagraphFont"/>
    <w:rsid w:val="00E374B9"/>
  </w:style>
  <w:style w:type="paragraph" w:customStyle="1" w:styleId="AnnexNoTitle">
    <w:name w:val="Annex_NoTitle"/>
    <w:basedOn w:val="Normal"/>
    <w:next w:val="Normalaftertitle"/>
    <w:rsid w:val="00E374B9"/>
    <w:pPr>
      <w:keepNext/>
      <w:keepLines/>
      <w:spacing w:before="480" w:after="80"/>
      <w:jc w:val="center"/>
    </w:pPr>
    <w:rPr>
      <w:b/>
      <w:sz w:val="28"/>
    </w:rPr>
  </w:style>
  <w:style w:type="paragraph" w:customStyle="1" w:styleId="Normalaftertitle">
    <w:name w:val="Normal_after_title"/>
    <w:basedOn w:val="Normal"/>
    <w:next w:val="Normal"/>
    <w:rsid w:val="00E374B9"/>
    <w:pPr>
      <w:spacing w:before="320"/>
    </w:pPr>
  </w:style>
  <w:style w:type="paragraph" w:customStyle="1" w:styleId="enumlev2">
    <w:name w:val="enumlev2"/>
    <w:basedOn w:val="enumlev1"/>
    <w:rsid w:val="00E374B9"/>
    <w:pPr>
      <w:ind w:left="1191" w:hanging="397"/>
    </w:pPr>
  </w:style>
  <w:style w:type="paragraph" w:customStyle="1" w:styleId="enumlev1">
    <w:name w:val="enumlev1"/>
    <w:basedOn w:val="Normal"/>
    <w:rsid w:val="00E374B9"/>
    <w:pPr>
      <w:spacing w:before="80"/>
      <w:ind w:left="794" w:hanging="794"/>
    </w:pPr>
  </w:style>
  <w:style w:type="paragraph" w:customStyle="1" w:styleId="enumlev3">
    <w:name w:val="enumlev3"/>
    <w:basedOn w:val="enumlev2"/>
    <w:rsid w:val="00E374B9"/>
    <w:pPr>
      <w:ind w:left="1588"/>
    </w:pPr>
  </w:style>
  <w:style w:type="paragraph" w:customStyle="1" w:styleId="Note">
    <w:name w:val="Note"/>
    <w:basedOn w:val="Normal"/>
    <w:rsid w:val="00E374B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374B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374B9"/>
    <w:pPr>
      <w:keepNext/>
      <w:keepLines/>
      <w:spacing w:before="240"/>
      <w:jc w:val="center"/>
    </w:pPr>
    <w:rPr>
      <w:b/>
      <w:sz w:val="28"/>
    </w:rPr>
  </w:style>
  <w:style w:type="paragraph" w:customStyle="1" w:styleId="Recref">
    <w:name w:val="Rec_ref"/>
    <w:basedOn w:val="Normal"/>
    <w:next w:val="Recdate"/>
    <w:rsid w:val="00E374B9"/>
    <w:pPr>
      <w:jc w:val="center"/>
    </w:pPr>
  </w:style>
  <w:style w:type="paragraph" w:customStyle="1" w:styleId="Recdate">
    <w:name w:val="Rec_date"/>
    <w:basedOn w:val="Recref"/>
    <w:next w:val="Normalaftertitle"/>
    <w:rsid w:val="00E374B9"/>
    <w:pPr>
      <w:jc w:val="right"/>
    </w:pPr>
  </w:style>
  <w:style w:type="paragraph" w:customStyle="1" w:styleId="HeadingSum">
    <w:name w:val="Heading_Sum"/>
    <w:basedOn w:val="Headingb"/>
    <w:next w:val="Normal"/>
    <w:rsid w:val="00E374B9"/>
    <w:pPr>
      <w:spacing w:before="240"/>
    </w:pPr>
    <w:rPr>
      <w:sz w:val="22"/>
      <w:lang w:val="es-ES_tradnl"/>
    </w:rPr>
  </w:style>
  <w:style w:type="paragraph" w:customStyle="1" w:styleId="AppendixNoTitle">
    <w:name w:val="Appendix_NoTitle"/>
    <w:basedOn w:val="AnnexNoTitle"/>
    <w:next w:val="Normal"/>
    <w:rsid w:val="00E374B9"/>
  </w:style>
  <w:style w:type="paragraph" w:customStyle="1" w:styleId="Tablefin">
    <w:name w:val="Table_fin"/>
    <w:basedOn w:val="Normal"/>
    <w:next w:val="Normal"/>
    <w:rsid w:val="00E374B9"/>
    <w:pPr>
      <w:spacing w:before="0"/>
    </w:pPr>
    <w:rPr>
      <w:sz w:val="20"/>
      <w:lang w:val="en-GB"/>
    </w:rPr>
  </w:style>
  <w:style w:type="paragraph" w:customStyle="1" w:styleId="Tablehead">
    <w:name w:val="Table_head"/>
    <w:basedOn w:val="Normal"/>
    <w:next w:val="Normal"/>
    <w:rsid w:val="00E374B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374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374B9"/>
    <w:pPr>
      <w:keepNext/>
      <w:spacing w:before="360" w:after="120"/>
      <w:jc w:val="center"/>
    </w:pPr>
  </w:style>
  <w:style w:type="paragraph" w:customStyle="1" w:styleId="Tabletext">
    <w:name w:val="Table_text"/>
    <w:basedOn w:val="Normal"/>
    <w:rsid w:val="00E374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374B9"/>
    <w:pPr>
      <w:tabs>
        <w:tab w:val="clear" w:pos="1191"/>
        <w:tab w:val="clear" w:pos="1588"/>
        <w:tab w:val="clear" w:pos="1985"/>
        <w:tab w:val="center" w:pos="4820"/>
        <w:tab w:val="right" w:pos="9639"/>
      </w:tabs>
    </w:pPr>
  </w:style>
  <w:style w:type="paragraph" w:customStyle="1" w:styleId="Equationlegend">
    <w:name w:val="Equation_legend"/>
    <w:basedOn w:val="NormalIndent"/>
    <w:rsid w:val="00E374B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374B9"/>
    <w:pPr>
      <w:ind w:left="794"/>
    </w:pPr>
  </w:style>
  <w:style w:type="paragraph" w:customStyle="1" w:styleId="Figurelegend">
    <w:name w:val="Figure_legend"/>
    <w:basedOn w:val="Normal"/>
    <w:rsid w:val="00E374B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374B9"/>
    <w:pPr>
      <w:keepNext/>
      <w:keepLines/>
      <w:spacing w:before="480" w:after="80"/>
      <w:jc w:val="center"/>
    </w:pPr>
    <w:rPr>
      <w:caps/>
      <w:sz w:val="18"/>
    </w:rPr>
  </w:style>
  <w:style w:type="paragraph" w:customStyle="1" w:styleId="Figuretitle">
    <w:name w:val="Figure_title"/>
    <w:basedOn w:val="Normal"/>
    <w:next w:val="Figure"/>
    <w:link w:val="FiguretitleChar"/>
    <w:rsid w:val="00E374B9"/>
    <w:pPr>
      <w:keepNext/>
      <w:spacing w:before="0" w:after="120"/>
      <w:jc w:val="center"/>
    </w:pPr>
    <w:rPr>
      <w:rFonts w:ascii="Times New Roman Bold" w:hAnsi="Times New Roman Bold"/>
      <w:b/>
      <w:sz w:val="18"/>
    </w:rPr>
  </w:style>
  <w:style w:type="paragraph" w:customStyle="1" w:styleId="Figure">
    <w:name w:val="Figure"/>
    <w:basedOn w:val="FigureNo"/>
    <w:next w:val="Normal"/>
    <w:rsid w:val="00E374B9"/>
    <w:pPr>
      <w:keepNext w:val="0"/>
      <w:spacing w:before="0" w:after="240"/>
    </w:pPr>
  </w:style>
  <w:style w:type="paragraph" w:customStyle="1" w:styleId="tocpart">
    <w:name w:val="tocpart"/>
    <w:basedOn w:val="Normal"/>
    <w:rsid w:val="00E374B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374B9"/>
    <w:pPr>
      <w:keepNext/>
      <w:keepLines/>
      <w:spacing w:before="480"/>
      <w:jc w:val="center"/>
    </w:pPr>
    <w:rPr>
      <w:sz w:val="28"/>
    </w:rPr>
  </w:style>
  <w:style w:type="paragraph" w:customStyle="1" w:styleId="Arttitle">
    <w:name w:val="Art_title"/>
    <w:basedOn w:val="Normal"/>
    <w:next w:val="Normalaftertitle"/>
    <w:rsid w:val="00E374B9"/>
    <w:pPr>
      <w:keepNext/>
      <w:keepLines/>
      <w:spacing w:before="240"/>
      <w:jc w:val="center"/>
    </w:pPr>
    <w:rPr>
      <w:b/>
      <w:sz w:val="28"/>
    </w:rPr>
  </w:style>
  <w:style w:type="paragraph" w:customStyle="1" w:styleId="Blanc">
    <w:name w:val="Blanc"/>
    <w:basedOn w:val="Normal"/>
    <w:next w:val="Tabletext"/>
    <w:rsid w:val="00E374B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374B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374B9"/>
    <w:pPr>
      <w:keepNext/>
      <w:keepLines/>
      <w:spacing w:before="160"/>
      <w:ind w:left="794"/>
    </w:pPr>
    <w:rPr>
      <w:i/>
    </w:rPr>
  </w:style>
  <w:style w:type="paragraph" w:customStyle="1" w:styleId="ChapNo">
    <w:name w:val="Chap_No"/>
    <w:basedOn w:val="ArtNo"/>
    <w:next w:val="Chaptitle"/>
    <w:rsid w:val="00E374B9"/>
    <w:rPr>
      <w:b/>
    </w:rPr>
  </w:style>
  <w:style w:type="paragraph" w:customStyle="1" w:styleId="Chaptitle">
    <w:name w:val="Chap_title"/>
    <w:basedOn w:val="Arttitle"/>
    <w:next w:val="Normalaftertitle"/>
    <w:rsid w:val="00E374B9"/>
  </w:style>
  <w:style w:type="character" w:styleId="FootnoteReference">
    <w:name w:val="footnote reference"/>
    <w:basedOn w:val="DefaultParagraphFont"/>
    <w:rsid w:val="00E374B9"/>
    <w:rPr>
      <w:position w:val="6"/>
      <w:sz w:val="18"/>
    </w:rPr>
  </w:style>
  <w:style w:type="paragraph" w:styleId="FootnoteText">
    <w:name w:val="footnote text"/>
    <w:basedOn w:val="Normal"/>
    <w:link w:val="FootnoteTextChar"/>
    <w:rsid w:val="00E374B9"/>
    <w:pPr>
      <w:keepLines/>
      <w:tabs>
        <w:tab w:val="left" w:pos="255"/>
      </w:tabs>
      <w:ind w:left="255" w:hanging="255"/>
    </w:pPr>
    <w:rPr>
      <w:sz w:val="22"/>
    </w:rPr>
  </w:style>
  <w:style w:type="paragraph" w:styleId="Index1">
    <w:name w:val="index 1"/>
    <w:basedOn w:val="Normal"/>
    <w:next w:val="Normal"/>
    <w:semiHidden/>
    <w:rsid w:val="00E374B9"/>
  </w:style>
  <w:style w:type="paragraph" w:styleId="Index2">
    <w:name w:val="index 2"/>
    <w:basedOn w:val="Normal"/>
    <w:next w:val="Normal"/>
    <w:semiHidden/>
    <w:rsid w:val="00E374B9"/>
    <w:pPr>
      <w:ind w:left="283"/>
    </w:pPr>
  </w:style>
  <w:style w:type="paragraph" w:styleId="Index3">
    <w:name w:val="index 3"/>
    <w:basedOn w:val="Normal"/>
    <w:next w:val="Normal"/>
    <w:semiHidden/>
    <w:rsid w:val="00E374B9"/>
    <w:pPr>
      <w:ind w:left="566"/>
    </w:pPr>
  </w:style>
  <w:style w:type="paragraph" w:styleId="IndexHeading">
    <w:name w:val="index heading"/>
    <w:basedOn w:val="Normal"/>
    <w:next w:val="Index1"/>
    <w:semiHidden/>
    <w:rsid w:val="00E374B9"/>
  </w:style>
  <w:style w:type="paragraph" w:customStyle="1" w:styleId="Line">
    <w:name w:val="Line"/>
    <w:basedOn w:val="Normal"/>
    <w:next w:val="Normal"/>
    <w:rsid w:val="00E374B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374B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374B9"/>
  </w:style>
  <w:style w:type="paragraph" w:customStyle="1" w:styleId="Partref">
    <w:name w:val="Part_ref"/>
    <w:basedOn w:val="Normal"/>
    <w:next w:val="Normal"/>
    <w:rsid w:val="00E374B9"/>
    <w:pPr>
      <w:keepNext/>
      <w:keepLines/>
      <w:spacing w:after="280"/>
      <w:jc w:val="center"/>
    </w:pPr>
  </w:style>
  <w:style w:type="paragraph" w:customStyle="1" w:styleId="Parttitle">
    <w:name w:val="Part_title"/>
    <w:basedOn w:val="Normal"/>
    <w:next w:val="Normalaftertitle"/>
    <w:rsid w:val="00E374B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374B9"/>
  </w:style>
  <w:style w:type="paragraph" w:customStyle="1" w:styleId="QuestionNo">
    <w:name w:val="Question_No"/>
    <w:basedOn w:val="RecNo"/>
    <w:next w:val="Normal"/>
    <w:rsid w:val="00E374B9"/>
  </w:style>
  <w:style w:type="paragraph" w:customStyle="1" w:styleId="Questionref">
    <w:name w:val="Question_ref"/>
    <w:basedOn w:val="Recref"/>
    <w:next w:val="Questiondate"/>
    <w:rsid w:val="00E374B9"/>
  </w:style>
  <w:style w:type="paragraph" w:customStyle="1" w:styleId="Questiontitle">
    <w:name w:val="Question_title"/>
    <w:basedOn w:val="Normal"/>
    <w:next w:val="Questionref"/>
    <w:rsid w:val="00E374B9"/>
  </w:style>
  <w:style w:type="paragraph" w:customStyle="1" w:styleId="Reftext">
    <w:name w:val="Ref_text"/>
    <w:basedOn w:val="Normal"/>
    <w:rsid w:val="00E374B9"/>
    <w:pPr>
      <w:ind w:left="794" w:hanging="794"/>
    </w:pPr>
    <w:rPr>
      <w:sz w:val="22"/>
    </w:rPr>
  </w:style>
  <w:style w:type="paragraph" w:customStyle="1" w:styleId="Reftitle">
    <w:name w:val="Ref_title"/>
    <w:basedOn w:val="Normal"/>
    <w:next w:val="Reftext"/>
    <w:rsid w:val="00E374B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374B9"/>
  </w:style>
  <w:style w:type="paragraph" w:customStyle="1" w:styleId="RepNo">
    <w:name w:val="Rep_No"/>
    <w:basedOn w:val="RecNo"/>
    <w:next w:val="Reptitle"/>
    <w:rsid w:val="00E374B9"/>
  </w:style>
  <w:style w:type="paragraph" w:customStyle="1" w:styleId="Reptitle">
    <w:name w:val="Rep_title"/>
    <w:basedOn w:val="Rectitle"/>
    <w:next w:val="Repref"/>
    <w:rsid w:val="00E374B9"/>
  </w:style>
  <w:style w:type="paragraph" w:customStyle="1" w:styleId="Repref">
    <w:name w:val="Rep_ref"/>
    <w:basedOn w:val="Recref"/>
    <w:next w:val="Repdate"/>
    <w:rsid w:val="00E374B9"/>
  </w:style>
  <w:style w:type="paragraph" w:customStyle="1" w:styleId="Resdate">
    <w:name w:val="Res_date"/>
    <w:basedOn w:val="Recdate"/>
    <w:next w:val="Normalaftertitle"/>
    <w:rsid w:val="00E374B9"/>
  </w:style>
  <w:style w:type="paragraph" w:customStyle="1" w:styleId="ResNo">
    <w:name w:val="Res_No"/>
    <w:basedOn w:val="RecNo"/>
    <w:next w:val="Restitle"/>
    <w:rsid w:val="00E374B9"/>
  </w:style>
  <w:style w:type="paragraph" w:customStyle="1" w:styleId="Restitle">
    <w:name w:val="Res_title"/>
    <w:basedOn w:val="Normal"/>
    <w:next w:val="Resref"/>
    <w:rsid w:val="00E374B9"/>
    <w:pPr>
      <w:spacing w:before="240"/>
      <w:jc w:val="center"/>
    </w:pPr>
    <w:rPr>
      <w:b/>
      <w:sz w:val="28"/>
    </w:rPr>
  </w:style>
  <w:style w:type="paragraph" w:customStyle="1" w:styleId="Resref">
    <w:name w:val="Res_ref"/>
    <w:basedOn w:val="Recref"/>
    <w:next w:val="Resdate"/>
    <w:rsid w:val="00E374B9"/>
  </w:style>
  <w:style w:type="paragraph" w:customStyle="1" w:styleId="SectionNo">
    <w:name w:val="Section_No"/>
    <w:basedOn w:val="Normal"/>
    <w:next w:val="Normal"/>
    <w:rsid w:val="00E374B9"/>
  </w:style>
  <w:style w:type="paragraph" w:customStyle="1" w:styleId="Sectiontitle">
    <w:name w:val="Section_title"/>
    <w:basedOn w:val="Normal"/>
    <w:next w:val="Normalaftertitle"/>
    <w:rsid w:val="00E374B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374B9"/>
    <w:pPr>
      <w:tabs>
        <w:tab w:val="clear" w:pos="794"/>
        <w:tab w:val="clear" w:pos="1191"/>
        <w:tab w:val="clear" w:pos="1588"/>
        <w:tab w:val="clear" w:pos="1985"/>
        <w:tab w:val="right" w:pos="9611"/>
      </w:tabs>
    </w:pPr>
    <w:rPr>
      <w:i/>
    </w:rPr>
  </w:style>
  <w:style w:type="paragraph" w:styleId="TOC1">
    <w:name w:val="toc 1"/>
    <w:basedOn w:val="Normal"/>
    <w:semiHidden/>
    <w:rsid w:val="00E374B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374B9"/>
    <w:pPr>
      <w:tabs>
        <w:tab w:val="clear" w:pos="567"/>
        <w:tab w:val="left" w:pos="1276"/>
      </w:tabs>
      <w:spacing w:before="160"/>
      <w:ind w:left="1276" w:hanging="709"/>
    </w:pPr>
  </w:style>
  <w:style w:type="paragraph" w:styleId="TOC3">
    <w:name w:val="toc 3"/>
    <w:basedOn w:val="TOC2"/>
    <w:semiHidden/>
    <w:rsid w:val="00E374B9"/>
    <w:pPr>
      <w:tabs>
        <w:tab w:val="clear" w:pos="1276"/>
        <w:tab w:val="left" w:pos="2155"/>
      </w:tabs>
      <w:ind w:left="2155" w:hanging="879"/>
    </w:pPr>
  </w:style>
  <w:style w:type="paragraph" w:styleId="TOC4">
    <w:name w:val="toc 4"/>
    <w:basedOn w:val="TOC3"/>
    <w:semiHidden/>
    <w:rsid w:val="00E374B9"/>
    <w:pPr>
      <w:tabs>
        <w:tab w:val="left" w:pos="3261"/>
      </w:tabs>
      <w:spacing w:before="80"/>
      <w:ind w:left="3261" w:hanging="993"/>
    </w:pPr>
  </w:style>
  <w:style w:type="paragraph" w:styleId="TOC5">
    <w:name w:val="toc 5"/>
    <w:basedOn w:val="TOC4"/>
    <w:semiHidden/>
    <w:rsid w:val="00E374B9"/>
  </w:style>
  <w:style w:type="paragraph" w:styleId="TOC6">
    <w:name w:val="toc 6"/>
    <w:basedOn w:val="TOC4"/>
    <w:semiHidden/>
    <w:rsid w:val="00E374B9"/>
  </w:style>
  <w:style w:type="paragraph" w:styleId="TOC7">
    <w:name w:val="toc 7"/>
    <w:basedOn w:val="TOC4"/>
    <w:semiHidden/>
    <w:rsid w:val="00E374B9"/>
  </w:style>
  <w:style w:type="paragraph" w:styleId="TOC8">
    <w:name w:val="toc 8"/>
    <w:basedOn w:val="TOC4"/>
    <w:semiHidden/>
    <w:rsid w:val="00E374B9"/>
  </w:style>
  <w:style w:type="paragraph" w:customStyle="1" w:styleId="Annexref">
    <w:name w:val="Annex_ref"/>
    <w:basedOn w:val="Normal"/>
    <w:next w:val="Normalaftertitle"/>
    <w:rsid w:val="00E374B9"/>
    <w:pPr>
      <w:keepNext/>
      <w:keepLines/>
      <w:spacing w:after="280"/>
      <w:jc w:val="center"/>
    </w:pPr>
  </w:style>
  <w:style w:type="paragraph" w:customStyle="1" w:styleId="Appendixref">
    <w:name w:val="Appendix_ref"/>
    <w:basedOn w:val="Annexref"/>
    <w:next w:val="Normalaftertitle"/>
    <w:rsid w:val="00E374B9"/>
  </w:style>
  <w:style w:type="paragraph" w:customStyle="1" w:styleId="Tabletitle">
    <w:name w:val="Table_title"/>
    <w:basedOn w:val="Normal"/>
    <w:next w:val="Tablehead"/>
    <w:rsid w:val="00E374B9"/>
    <w:pPr>
      <w:keepNext/>
      <w:spacing w:before="0" w:after="120"/>
      <w:jc w:val="center"/>
    </w:pPr>
    <w:rPr>
      <w:b/>
    </w:rPr>
  </w:style>
  <w:style w:type="paragraph" w:customStyle="1" w:styleId="Summary">
    <w:name w:val="Summary"/>
    <w:basedOn w:val="Normal"/>
    <w:next w:val="Normalaftertitle"/>
    <w:rsid w:val="00E374B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374B9"/>
    <w:pPr>
      <w:ind w:left="-85" w:firstLine="0"/>
    </w:pPr>
    <w:rPr>
      <w:lang w:val="en-US"/>
    </w:rPr>
  </w:style>
  <w:style w:type="character" w:customStyle="1" w:styleId="FootnoteTextChar">
    <w:name w:val="Footnote Text Char"/>
    <w:basedOn w:val="DefaultParagraphFont"/>
    <w:link w:val="FootnoteText"/>
    <w:rsid w:val="00A2636C"/>
    <w:rPr>
      <w:sz w:val="22"/>
      <w:lang w:val="fr-FR" w:eastAsia="en-US"/>
    </w:rPr>
  </w:style>
  <w:style w:type="character" w:customStyle="1" w:styleId="FiguretitleChar">
    <w:name w:val="Figure_title Char"/>
    <w:link w:val="Figuretitle"/>
    <w:locked/>
    <w:rsid w:val="00A2636C"/>
    <w:rPr>
      <w:rFonts w:ascii="Times New Roman Bold" w:hAnsi="Times New Roman Bold"/>
      <w:b/>
      <w:sz w:val="18"/>
      <w:lang w:val="fr-FR" w:eastAsia="en-US"/>
    </w:rPr>
  </w:style>
  <w:style w:type="character" w:customStyle="1" w:styleId="FigureNoChar">
    <w:name w:val="Figure_No Char"/>
    <w:link w:val="FigureNo"/>
    <w:locked/>
    <w:rsid w:val="00A2636C"/>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TotalTime>
  <Pages>8</Pages>
  <Words>1454</Words>
  <Characters>8414</Characters>
  <Application>Microsoft Office Word</Application>
  <DocSecurity>0</DocSecurity>
  <Lines>300</Lines>
  <Paragraphs>167</Paragraphs>
  <ScaleCrop>false</ScaleCrop>
  <HeadingPairs>
    <vt:vector size="2" baseType="variant">
      <vt:variant>
        <vt:lpstr>Title</vt:lpstr>
      </vt:variant>
      <vt:variant>
        <vt:i4>1</vt:i4>
      </vt:variant>
    </vt:vector>
  </HeadingPairs>
  <TitlesOfParts>
    <vt:vector size="1" baseType="lpstr">
      <vt:lpstr>RECOMMENDATION  ITU-R  BT.1886 - Reference Electro-Optical Transfer Function (EOTF) for flat panel displays  used in HDTV studio production</vt:lpstr>
    </vt:vector>
  </TitlesOfParts>
  <Manager/>
  <Company>ITU</Company>
  <LinksUpToDate>false</LinksUpToDate>
  <CharactersWithSpaces>9701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BT.1886 - Reference Electro-Optical Transfer Function (EOTF) for flat panel displays  used in HDTV studio production</dc:title>
  <dc:subject>BT Series = Broadcasting service (television)</dc:subject>
  <dc:creator>ITU Radiocommunication Bureau (BR)</dc:creator>
  <cp:keywords>BT,1886</cp:keywords>
  <dc:description>Santosbo, 25.03.2011, MSB106309</dc:description>
  <cp:lastModifiedBy>santosbo</cp:lastModifiedBy>
  <cp:revision>7</cp:revision>
  <cp:lastPrinted>2009-05-25T08:41:00Z</cp:lastPrinted>
  <dcterms:created xsi:type="dcterms:W3CDTF">2011-03-04T08:10:00Z</dcterms:created>
  <dcterms:modified xsi:type="dcterms:W3CDTF">2011-03-25T10:11:00Z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25 March 2011</vt:lpwstr>
  </property>
</Properties>
</file>