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CED" w:rsidRPr="00575CB8" w:rsidRDefault="00227CED" w:rsidP="009E1F8B">
      <w:pPr>
        <w:rPr>
          <w:lang w:val="en-US"/>
        </w:rPr>
      </w:pPr>
      <w:bookmarkStart w:id="0" w:name="dbreak"/>
      <w:bookmarkEnd w:id="0"/>
    </w:p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p w:rsidR="00227CED" w:rsidRDefault="00227CED" w:rsidP="009E1F8B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227CED" w:rsidRPr="00C80E4D" w:rsidTr="009E1F8B">
        <w:tc>
          <w:tcPr>
            <w:tcW w:w="10089" w:type="dxa"/>
          </w:tcPr>
          <w:p w:rsidR="00227CED" w:rsidRPr="0010336F" w:rsidRDefault="00227CED" w:rsidP="009E1F8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227CED" w:rsidRPr="0010336F" w:rsidRDefault="00227CED" w:rsidP="00AF4BA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.</w:t>
            </w:r>
            <w:r w:rsidR="00AF4BA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1872-1</w:t>
            </w:r>
          </w:p>
          <w:p w:rsidR="00227CED" w:rsidRPr="0010336F" w:rsidRDefault="00227CED" w:rsidP="00AF4BA4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AF4B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12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AF4BA4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2017</w:t>
            </w:r>
            <w:r w:rsidRPr="0010336F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227CED" w:rsidRPr="004C7A36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227CED" w:rsidRPr="009E1F8B" w:rsidRDefault="004C7A36" w:rsidP="004C7A3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</w:pPr>
            <w:r w:rsidRPr="004C7A36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s-ES_tradnl"/>
              </w:rPr>
              <w:t>Requisitos de usuario para los servicios auxiliares a la radiodifusión, incluidos la radiodifusión exterior de televisión digital, el periodismo electrónico/por satélite y la producción electrónica en directo</w:t>
            </w:r>
          </w:p>
          <w:p w:rsidR="00227CED" w:rsidRPr="0010336F" w:rsidRDefault="00227CED" w:rsidP="009E1F8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227CED" w:rsidRPr="00C80E4D" w:rsidTr="009E1F8B">
        <w:tc>
          <w:tcPr>
            <w:tcW w:w="10089" w:type="dxa"/>
          </w:tcPr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227CED" w:rsidRPr="0010336F" w:rsidRDefault="00227CED" w:rsidP="009E1F8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10336F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B</w:t>
            </w:r>
            <w:r w:rsidR="009E1F8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T</w:t>
            </w:r>
          </w:p>
          <w:p w:rsidR="00227CED" w:rsidRPr="009E1F8B" w:rsidRDefault="009E1F8B" w:rsidP="00C225E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 de radiodifusión</w:t>
            </w:r>
            <w:r w:rsidR="00C225E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25326C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(televisión</w:t>
            </w:r>
            <w:r w:rsidRPr="009E1F8B">
              <w:rPr>
                <w:rFonts w:ascii="Tahoma" w:hAnsi="Tahoma" w:cs="Tahoma"/>
                <w:b/>
                <w:bCs/>
                <w:color w:val="000080"/>
                <w:sz w:val="36"/>
                <w:szCs w:val="36"/>
                <w:lang w:val="es-ES_tradnl"/>
              </w:rPr>
              <w:t>)</w:t>
            </w:r>
          </w:p>
        </w:tc>
      </w:tr>
    </w:tbl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spacing w:before="80"/>
        <w:rPr>
          <w:i/>
          <w:sz w:val="22"/>
          <w:lang w:val="es-ES_tradnl"/>
        </w:rPr>
      </w:pPr>
    </w:p>
    <w:p w:rsidR="00227CED" w:rsidRPr="0026666F" w:rsidRDefault="00227CED" w:rsidP="009E1F8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227CED" w:rsidRPr="0026666F" w:rsidSect="009E1F8B">
          <w:headerReference w:type="even" r:id="rId7"/>
          <w:headerReference w:type="default" r:id="rId8"/>
          <w:pgSz w:w="11907" w:h="16834" w:code="9"/>
          <w:pgMar w:top="1418" w:right="1134" w:bottom="1134" w:left="1134" w:header="720" w:footer="482" w:gutter="0"/>
          <w:paperSrc w:first="15" w:other="15"/>
          <w:cols w:space="720"/>
        </w:sectPr>
      </w:pPr>
    </w:p>
    <w:p w:rsidR="00227CED" w:rsidRPr="006C718C" w:rsidRDefault="00227CED" w:rsidP="009E1F8B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1" w:name="c2tope"/>
      <w:bookmarkEnd w:id="1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227CED" w:rsidRPr="006C718C" w:rsidRDefault="00227CED" w:rsidP="009E1F8B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227CED" w:rsidRPr="006C718C" w:rsidRDefault="00227CED" w:rsidP="009E1F8B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227CED" w:rsidRPr="00021E8A" w:rsidRDefault="00227CED" w:rsidP="009E1F8B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227CED" w:rsidRPr="00021E8A" w:rsidRDefault="00227CED" w:rsidP="009E1F8B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9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C36CA" w:rsidRDefault="00227CED" w:rsidP="009E1F8B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227CED" w:rsidRPr="00C80E4D" w:rsidTr="009E1F8B">
        <w:tc>
          <w:tcPr>
            <w:tcW w:w="9360" w:type="dxa"/>
            <w:gridSpan w:val="2"/>
          </w:tcPr>
          <w:p w:rsidR="00227CED" w:rsidRPr="00021E8A" w:rsidRDefault="00227CED" w:rsidP="009E1F8B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227CED" w:rsidRPr="00763D08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r w:rsidR="006818DE">
              <w:rPr>
                <w:b w:val="0"/>
                <w:sz w:val="18"/>
                <w:szCs w:val="18"/>
                <w:lang w:val="es-ES_tradnl"/>
              </w:rPr>
              <w:t xml:space="preserve"> </w:t>
            </w:r>
            <w:hyperlink r:id="rId10" w:history="1">
              <w:hyperlink r:id="rId11" w:history="1">
                <w:r w:rsidR="006818DE" w:rsidRPr="006818DE">
                  <w:rPr>
                    <w:rStyle w:val="Hyperlink"/>
                    <w:b w:val="0"/>
                    <w:bCs/>
                    <w:sz w:val="18"/>
                    <w:szCs w:val="18"/>
                    <w:lang w:val="es-ES_tradnl"/>
                  </w:rPr>
                  <w:t>http://www.itu.int/publ/R-REC/es</w:t>
                </w:r>
              </w:hyperlink>
              <w:r w:rsidRPr="006818DE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)</w:t>
              </w:r>
            </w:hyperlink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227CED" w:rsidRPr="00036EE3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227CED" w:rsidRPr="00036EE3" w:rsidTr="009E1F8B">
        <w:tc>
          <w:tcPr>
            <w:tcW w:w="1140" w:type="dxa"/>
            <w:tcBorders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227CED" w:rsidRPr="00C80E4D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9E1F8B">
              <w:rPr>
                <w:rFonts w:hAnsi="Times New Roman Bold"/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s-ES_tradnl"/>
              </w:rPr>
            </w:pPr>
            <w:r w:rsidRPr="009E1F8B">
              <w:rPr>
                <w:b w:val="0"/>
                <w:sz w:val="20"/>
                <w:lang w:val="es-ES_tradnl"/>
              </w:rPr>
              <w:t>Registro para producci</w:t>
            </w:r>
            <w:r w:rsidR="009E1F8B" w:rsidRPr="009E1F8B">
              <w:rPr>
                <w:b w:val="0"/>
                <w:sz w:val="20"/>
                <w:lang w:val="es-ES_tradnl"/>
              </w:rPr>
              <w:t>ón</w:t>
            </w:r>
            <w:r w:rsidRPr="009E1F8B">
              <w:rPr>
                <w:b w:val="0"/>
                <w:sz w:val="20"/>
                <w:lang w:val="es-ES_tradnl"/>
              </w:rPr>
              <w:t>, archivo y reproducción; películas en televisión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227CED" w:rsidRPr="00021E8A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 xml:space="preserve">Servicio de radiodifusión </w:t>
            </w:r>
            <w:r w:rsidR="00B17542">
              <w:rPr>
                <w:b w:val="0"/>
                <w:bCs/>
                <w:sz w:val="20"/>
              </w:rPr>
              <w:t>(</w:t>
            </w:r>
            <w:r w:rsidRPr="00021E8A">
              <w:rPr>
                <w:b w:val="0"/>
                <w:bCs/>
                <w:sz w:val="20"/>
              </w:rPr>
              <w:t>sonora</w:t>
            </w:r>
            <w:r w:rsidR="00B17542">
              <w:rPr>
                <w:b w:val="0"/>
                <w:bCs/>
                <w:sz w:val="20"/>
              </w:rPr>
              <w:t>)</w:t>
            </w:r>
          </w:p>
        </w:tc>
      </w:tr>
      <w:tr w:rsidR="00227CED" w:rsidRPr="009E1F8B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227CED" w:rsidRPr="009E1F8B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Cs/>
                <w:color w:val="000080"/>
                <w:sz w:val="20"/>
                <w:lang w:val="en-US"/>
              </w:rPr>
            </w:pPr>
            <w:r w:rsidRPr="009E1F8B">
              <w:rPr>
                <w:rFonts w:ascii="Times New Roman Bold" w:hAnsi="Times New Roman Bold" w:cs="Times New Roman Bold"/>
                <w:bCs/>
                <w:color w:val="000080"/>
                <w:sz w:val="20"/>
              </w:rPr>
              <w:t>Servicio de radiodifusión (televisión)</w:t>
            </w:r>
          </w:p>
        </w:tc>
      </w:tr>
      <w:tr w:rsidR="00227CED" w:rsidRPr="00036EE3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227CED" w:rsidRPr="00C80E4D" w:rsidTr="009E1F8B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spacing w:before="30" w:after="30"/>
              <w:ind w:left="57"/>
              <w:jc w:val="left"/>
              <w:rPr>
                <w:rFonts w:hAnsi="Times New Roman Bold"/>
                <w:b/>
                <w:bCs/>
                <w:sz w:val="20"/>
                <w:lang w:val="en-US"/>
              </w:rPr>
            </w:pPr>
            <w:r w:rsidRPr="0010336F">
              <w:rPr>
                <w:rFonts w:hAnsi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227CED" w:rsidRPr="0010336F" w:rsidRDefault="00227CED" w:rsidP="009E1F8B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s-ES_tradnl"/>
              </w:rPr>
            </w:pP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Servicios m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viles, de radiodeterminaci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ó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n, de aficionados y otros servicios por sat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é</w:t>
            </w:r>
            <w:r w:rsidRPr="0010336F">
              <w:rPr>
                <w:rFonts w:hAnsi="Times New Roman Bold"/>
                <w:b w:val="0"/>
                <w:sz w:val="20"/>
                <w:lang w:val="es-ES_tradnl"/>
              </w:rPr>
              <w:t>lite conexos</w:t>
            </w:r>
          </w:p>
        </w:tc>
      </w:tr>
      <w:tr w:rsidR="00227CED" w:rsidRPr="00C80E4D" w:rsidTr="009E1F8B">
        <w:tc>
          <w:tcPr>
            <w:tcW w:w="1140" w:type="dxa"/>
            <w:tcBorders>
              <w:top w:val="nil"/>
            </w:tcBorders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227CED" w:rsidRPr="00021E8A" w:rsidRDefault="00227CED" w:rsidP="001B3F9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Radioastronomía</w:t>
            </w:r>
          </w:p>
        </w:tc>
      </w:tr>
      <w:tr w:rsidR="00227CED" w:rsidRPr="00C80E4D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227CED" w:rsidRPr="00C80E4D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227CED" w:rsidRPr="00036EE3" w:rsidTr="009E1F8B">
        <w:tc>
          <w:tcPr>
            <w:tcW w:w="114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227CED" w:rsidRPr="001240BC" w:rsidRDefault="00227CED" w:rsidP="009E1F8B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227CED" w:rsidRPr="00C80E4D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227CED" w:rsidRPr="00036EE3" w:rsidTr="009E1F8B">
        <w:tc>
          <w:tcPr>
            <w:tcW w:w="1140" w:type="dxa"/>
          </w:tcPr>
          <w:p w:rsidR="00227CED" w:rsidRPr="00036EE3" w:rsidRDefault="00227CED" w:rsidP="009E1F8B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227CED" w:rsidRPr="00021E8A" w:rsidRDefault="00227CED" w:rsidP="009E1F8B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227CED" w:rsidRPr="00036EE3" w:rsidRDefault="00227CED" w:rsidP="009E1F8B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227CED" w:rsidTr="009E1F8B">
        <w:tc>
          <w:tcPr>
            <w:tcW w:w="720" w:type="dxa"/>
          </w:tcPr>
          <w:p w:rsidR="00227CED" w:rsidRDefault="00227CED" w:rsidP="009E1F8B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227CED" w:rsidRPr="00C80E4D" w:rsidTr="009E1F8B">
        <w:tc>
          <w:tcPr>
            <w:tcW w:w="9360" w:type="dxa"/>
          </w:tcPr>
          <w:p w:rsidR="00227CED" w:rsidRPr="00763D08" w:rsidRDefault="00227CED" w:rsidP="00B37FDF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763D08">
              <w:rPr>
                <w:b/>
                <w:bCs/>
                <w:i/>
                <w:iCs/>
                <w:sz w:val="20"/>
                <w:lang w:val="es-ES_tradnl"/>
              </w:rPr>
              <w:t>Nota</w:t>
            </w:r>
            <w:r w:rsidRPr="00763D08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763D08">
              <w:rPr>
                <w:i/>
                <w:iCs/>
                <w:sz w:val="20"/>
                <w:lang w:val="es-ES_tradnl"/>
              </w:rPr>
              <w:br/>
              <w:t>Resolución UIT-R 1.</w:t>
            </w:r>
          </w:p>
        </w:tc>
      </w:tr>
    </w:tbl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9E1F8B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227CED" w:rsidRPr="00763D08" w:rsidRDefault="00227CED" w:rsidP="00364BE9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930489">
        <w:rPr>
          <w:sz w:val="20"/>
          <w:lang w:val="es-ES_tradnl"/>
        </w:rPr>
        <w:t>1</w:t>
      </w:r>
      <w:r w:rsidR="00B4535E">
        <w:rPr>
          <w:sz w:val="20"/>
          <w:lang w:val="es-ES_tradnl"/>
        </w:rPr>
        <w:t>8</w:t>
      </w:r>
    </w:p>
    <w:p w:rsidR="00227CED" w:rsidRPr="00763D08" w:rsidRDefault="00227CED" w:rsidP="009E1F8B">
      <w:pPr>
        <w:spacing w:before="0"/>
        <w:jc w:val="center"/>
        <w:rPr>
          <w:sz w:val="22"/>
          <w:lang w:val="es-ES_tradnl"/>
        </w:rPr>
      </w:pPr>
    </w:p>
    <w:p w:rsidR="00227CED" w:rsidRPr="00763D08" w:rsidRDefault="00227CED" w:rsidP="007A0B78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2" w:name="iiannee"/>
      <w:bookmarkEnd w:id="2"/>
      <w:r w:rsidRPr="00763D08">
        <w:rPr>
          <w:sz w:val="20"/>
          <w:lang w:val="es-ES_tradnl"/>
        </w:rPr>
        <w:t>20</w:t>
      </w:r>
      <w:r w:rsidR="00930489">
        <w:rPr>
          <w:sz w:val="20"/>
          <w:lang w:val="es-ES_tradnl"/>
        </w:rPr>
        <w:t>1</w:t>
      </w:r>
      <w:r w:rsidR="00B4535E">
        <w:rPr>
          <w:sz w:val="20"/>
          <w:lang w:val="es-ES_tradnl"/>
        </w:rPr>
        <w:t>8</w:t>
      </w:r>
    </w:p>
    <w:p w:rsidR="00227CED" w:rsidRPr="006C718C" w:rsidRDefault="00227CED" w:rsidP="009E1F8B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227CED" w:rsidRPr="006C718C" w:rsidRDefault="00227CED" w:rsidP="009E1F8B">
      <w:pPr>
        <w:spacing w:before="160"/>
        <w:rPr>
          <w:i/>
          <w:sz w:val="20"/>
          <w:highlight w:val="yellow"/>
          <w:lang w:val="es-ES_tradnl"/>
        </w:rPr>
        <w:sectPr w:rsidR="00227CED" w:rsidRPr="006C718C" w:rsidSect="009E1F8B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D328D" w:rsidRDefault="000D328D" w:rsidP="00A52AFA">
      <w:pPr>
        <w:pStyle w:val="RecNo"/>
        <w:spacing w:before="0"/>
        <w:rPr>
          <w:lang w:val="es-ES_tradnl"/>
        </w:rPr>
      </w:pPr>
      <w:bookmarkStart w:id="3" w:name="irecnoe"/>
      <w:bookmarkEnd w:id="3"/>
      <w:r>
        <w:rPr>
          <w:lang w:val="es-ES_tradnl"/>
        </w:rPr>
        <w:lastRenderedPageBreak/>
        <w:t xml:space="preserve">RECOMENDACIÓN  </w:t>
      </w:r>
      <w:r>
        <w:rPr>
          <w:rStyle w:val="href"/>
          <w:lang w:val="es-ES_tradnl"/>
        </w:rPr>
        <w:t>UIT-R  BT.</w:t>
      </w:r>
      <w:r w:rsidR="00A52AFA">
        <w:rPr>
          <w:rStyle w:val="href"/>
          <w:lang w:val="es-ES_tradnl"/>
        </w:rPr>
        <w:t>1872-1</w:t>
      </w:r>
    </w:p>
    <w:p w:rsidR="000D328D" w:rsidRPr="00830B0C" w:rsidRDefault="000D328D" w:rsidP="000D328D">
      <w:pPr>
        <w:pStyle w:val="Rectitle"/>
        <w:rPr>
          <w:lang w:val="es-ES_tradnl"/>
        </w:rPr>
      </w:pPr>
      <w:r w:rsidRPr="00830B0C">
        <w:rPr>
          <w:lang w:val="es-ES_tradnl"/>
        </w:rPr>
        <w:t>Requisitos de usuario para los servicios auxiliares a la radiodifusión, incluidos la radiodifusión exteri</w:t>
      </w:r>
      <w:bookmarkStart w:id="4" w:name="_GoBack"/>
      <w:bookmarkEnd w:id="4"/>
      <w:r w:rsidRPr="00830B0C">
        <w:rPr>
          <w:lang w:val="es-ES_tradnl"/>
        </w:rPr>
        <w:t>or de televisión digital, el periodismo electrónico/</w:t>
      </w:r>
      <w:r w:rsidRPr="00830B0C">
        <w:rPr>
          <w:lang w:val="es-ES_tradnl"/>
        </w:rPr>
        <w:br/>
        <w:t>por satélite y la producción electrónica en directo</w:t>
      </w:r>
    </w:p>
    <w:p w:rsidR="000D328D" w:rsidRPr="00830B0C" w:rsidRDefault="000D328D" w:rsidP="000D328D">
      <w:pPr>
        <w:pStyle w:val="Recdate"/>
        <w:rPr>
          <w:lang w:val="es-ES_tradnl"/>
        </w:rPr>
      </w:pPr>
      <w:r w:rsidRPr="00830B0C">
        <w:rPr>
          <w:lang w:val="es-ES_tradnl"/>
        </w:rPr>
        <w:t>(2010-2017)</w:t>
      </w:r>
    </w:p>
    <w:p w:rsidR="000D328D" w:rsidRPr="00830B0C" w:rsidRDefault="000D328D" w:rsidP="005B32D4">
      <w:pPr>
        <w:pStyle w:val="HeadingSum"/>
        <w:rPr>
          <w:lang w:eastAsia="ja-JP"/>
        </w:rPr>
      </w:pPr>
      <w:r w:rsidRPr="00830B0C">
        <w:rPr>
          <w:lang w:eastAsia="ja-JP"/>
        </w:rPr>
        <w:t>Cometido</w:t>
      </w:r>
    </w:p>
    <w:p w:rsidR="000D328D" w:rsidRPr="00830B0C" w:rsidRDefault="000D328D" w:rsidP="000D328D">
      <w:pPr>
        <w:pStyle w:val="Summary"/>
        <w:rPr>
          <w:lang w:eastAsia="ja-JP"/>
        </w:rPr>
      </w:pPr>
      <w:r w:rsidRPr="00830B0C">
        <w:t>En esta Recomendación se tratan los requisitos de usuario para los servicios auxiliares a la radiodifusión</w:t>
      </w:r>
      <w:r w:rsidRPr="00830B0C">
        <w:rPr>
          <w:lang w:eastAsia="ja-JP"/>
        </w:rPr>
        <w:t xml:space="preserve"> (BAS). Se presentan los requisitos operativos típicos para TVOB, ENG/SNG y EFP digitales, que pueden utilizar las administraciones a la hora de planificar la utilización de sus aplicaciones de TVOB, ENG y EFP fijas y móviles.</w:t>
      </w:r>
    </w:p>
    <w:p w:rsidR="000D328D" w:rsidRPr="00830B0C" w:rsidRDefault="000D328D" w:rsidP="000D328D">
      <w:pPr>
        <w:pStyle w:val="Headingb"/>
        <w:rPr>
          <w:lang w:val="es-ES_tradnl" w:eastAsia="ja-JP"/>
        </w:rPr>
      </w:pPr>
      <w:r w:rsidRPr="00830B0C">
        <w:rPr>
          <w:lang w:val="es-ES_tradnl" w:eastAsia="ja-JP"/>
        </w:rPr>
        <w:t>Palabras clave</w:t>
      </w:r>
    </w:p>
    <w:p w:rsidR="000D328D" w:rsidRPr="00830B0C" w:rsidRDefault="000D328D" w:rsidP="000D328D">
      <w:pPr>
        <w:rPr>
          <w:lang w:val="es-ES_tradnl" w:eastAsia="ja-JP"/>
        </w:rPr>
      </w:pPr>
      <w:r w:rsidRPr="00830B0C">
        <w:rPr>
          <w:lang w:val="es-ES_tradnl" w:eastAsia="ja-JP"/>
        </w:rPr>
        <w:t>BAS, EFP, ENG, SAP, TVOB</w:t>
      </w:r>
    </w:p>
    <w:p w:rsidR="000D328D" w:rsidRPr="00830B0C" w:rsidRDefault="000D328D" w:rsidP="000D328D">
      <w:pPr>
        <w:pStyle w:val="Normalaftertitle"/>
        <w:rPr>
          <w:lang w:val="es-ES_tradnl"/>
        </w:rPr>
      </w:pPr>
      <w:r w:rsidRPr="00830B0C">
        <w:rPr>
          <w:lang w:val="es-ES_tradnl"/>
        </w:rPr>
        <w:t>La Asamblea de Radiocomunicaciones de la UIT,</w:t>
      </w:r>
    </w:p>
    <w:p w:rsidR="000D328D" w:rsidRPr="00830B0C" w:rsidRDefault="000D328D" w:rsidP="000D328D">
      <w:pPr>
        <w:pStyle w:val="Call"/>
        <w:rPr>
          <w:lang w:val="es-ES_tradnl"/>
        </w:rPr>
      </w:pPr>
      <w:proofErr w:type="gramStart"/>
      <w:r w:rsidRPr="00830B0C">
        <w:rPr>
          <w:lang w:val="es-ES_tradnl"/>
        </w:rPr>
        <w:t>considerando</w:t>
      </w:r>
      <w:proofErr w:type="gramEnd"/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a)</w:t>
      </w:r>
      <w:r w:rsidRPr="00830B0C">
        <w:rPr>
          <w:lang w:val="es-ES_tradnl"/>
        </w:rPr>
        <w:tab/>
        <w:t>que el periodismo electrónico (ENG), la radiodifusión de televisión en exteriores (TVOB) y la producción electrónica en directo (EFP) se denominan de manera genérica servicios complementarios a la realización de programas (SAP) y servicios auxiliares a la radiodifusión (BAS);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b)</w:t>
      </w:r>
      <w:r w:rsidRPr="00830B0C">
        <w:rPr>
          <w:lang w:val="es-ES_tradnl"/>
        </w:rPr>
        <w:tab/>
        <w:t xml:space="preserve">que algunas administraciones han implementado aplicaciones SAP/BAS de televisión en los modos de TV de definición convencional y TVAD, con diversos requisitos de anchura de banda; 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c)</w:t>
      </w:r>
      <w:r w:rsidRPr="00830B0C">
        <w:rPr>
          <w:lang w:val="es-ES_tradnl"/>
        </w:rPr>
        <w:tab/>
        <w:t>que las aplicaciones SAP/BAS son necesarias para el funcionamiento en muchas partes del mundo y en lugares donde pueden suceder acontecimientos de importancia nacional, regional e internacional;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d)</w:t>
      </w:r>
      <w:r w:rsidRPr="00830B0C">
        <w:rPr>
          <w:lang w:val="es-ES_tradnl"/>
        </w:rPr>
        <w:tab/>
        <w:t>que la cobertura ofrecida por las aplicaciones SAP/BAS debe distribuirse a las instalaciones de red apropiadas, que a menudo se encuentran muy distantes de la zona donde funciona la aplicación BAS;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e)</w:t>
      </w:r>
      <w:r w:rsidRPr="00830B0C">
        <w:rPr>
          <w:lang w:val="es-ES_tradnl"/>
        </w:rPr>
        <w:tab/>
        <w:t>que la distribución de la cobertura SAP/BAS puede efectuarse, dependiendo de las circunstancias, mediante: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entrega física del programa grabado;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transmisión de la señal por enlaces de microondas portátiles; y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introducción de la señal en una red de telecomunicaciones conmutada;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f)</w:t>
      </w:r>
      <w:r w:rsidRPr="00830B0C">
        <w:rPr>
          <w:lang w:val="es-ES_tradnl"/>
        </w:rPr>
        <w:tab/>
        <w:t>que los requisitos de usuario específicos al funcionamiento SAP/BAS en concepto de: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calidad de imagen recibida;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calidad de sonido recibida;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número de canales de sonido;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anchura de banda y fiabilidad del canal de transmisión;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tamaño y peso del equipo; y</w:t>
      </w:r>
    </w:p>
    <w:p w:rsidR="000D328D" w:rsidRPr="00830B0C" w:rsidRDefault="000D328D" w:rsidP="000D328D">
      <w:pPr>
        <w:pStyle w:val="enumlev1"/>
        <w:rPr>
          <w:lang w:val="es-ES_tradnl"/>
        </w:rPr>
      </w:pPr>
      <w:r w:rsidRPr="00830B0C">
        <w:rPr>
          <w:lang w:val="es-ES_tradnl"/>
        </w:rPr>
        <w:t>–</w:t>
      </w:r>
      <w:r w:rsidRPr="00830B0C">
        <w:rPr>
          <w:lang w:val="es-ES_tradnl"/>
        </w:rPr>
        <w:tab/>
        <w:t>facilidades de conversación, etc.,</w:t>
      </w:r>
    </w:p>
    <w:p w:rsidR="000D328D" w:rsidRPr="00830B0C" w:rsidRDefault="000D328D" w:rsidP="000D328D">
      <w:pPr>
        <w:rPr>
          <w:lang w:val="es-ES_tradnl"/>
        </w:rPr>
      </w:pPr>
      <w:proofErr w:type="gramStart"/>
      <w:r w:rsidRPr="00830B0C">
        <w:rPr>
          <w:lang w:val="es-ES_tradnl"/>
        </w:rPr>
        <w:lastRenderedPageBreak/>
        <w:t>a</w:t>
      </w:r>
      <w:proofErr w:type="gramEnd"/>
      <w:r w:rsidRPr="00830B0C">
        <w:rPr>
          <w:lang w:val="es-ES_tradnl"/>
        </w:rPr>
        <w:t xml:space="preserve"> menudo son distintos de los correspondientes a la transmisión de contribución normal de radiodifusión sonora y televisión ya que generalmente son específicos al entorno de funcionamiento SAP/BAS en una administración de destino o de origen;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g)</w:t>
      </w:r>
      <w:r w:rsidRPr="00830B0C">
        <w:rPr>
          <w:lang w:val="es-ES_tradnl"/>
        </w:rPr>
        <w:tab/>
        <w:t>que dichos requisitos de usuario normalmente son independientes del método de distribución utilizado,</w:t>
      </w:r>
    </w:p>
    <w:p w:rsidR="000D328D" w:rsidRPr="00830B0C" w:rsidRDefault="000D328D" w:rsidP="000D328D">
      <w:pPr>
        <w:pStyle w:val="Call"/>
        <w:rPr>
          <w:lang w:val="es-ES_tradnl"/>
        </w:rPr>
      </w:pPr>
      <w:proofErr w:type="gramStart"/>
      <w:r w:rsidRPr="00830B0C">
        <w:rPr>
          <w:lang w:val="es-ES_tradnl"/>
        </w:rPr>
        <w:t>tomando</w:t>
      </w:r>
      <w:proofErr w:type="gramEnd"/>
      <w:r w:rsidRPr="00830B0C">
        <w:rPr>
          <w:lang w:val="es-ES_tradnl"/>
        </w:rPr>
        <w:t xml:space="preserve"> nota de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a)</w:t>
      </w:r>
      <w:r w:rsidRPr="00830B0C">
        <w:rPr>
          <w:lang w:val="es-ES_tradnl"/>
        </w:rPr>
        <w:tab/>
        <w:t xml:space="preserve">el Informe </w:t>
      </w:r>
      <w:r w:rsidRPr="00830B0C">
        <w:rPr>
          <w:lang w:val="es-ES_tradnl" w:eastAsia="ja-JP"/>
        </w:rPr>
        <w:t xml:space="preserve">UIT-R BT.2069 </w:t>
      </w:r>
      <w:r w:rsidRPr="00830B0C">
        <w:rPr>
          <w:i/>
          <w:lang w:val="es-ES_tradnl"/>
        </w:rPr>
        <w:t xml:space="preserve">– </w:t>
      </w:r>
      <w:r w:rsidRPr="00830B0C">
        <w:rPr>
          <w:iCs/>
          <w:lang w:val="es-ES_tradnl"/>
        </w:rPr>
        <w:t>Gamas de sintonía y características de funcionamiento del periodismo electrónico (ENG) terrenal, la radiodifusión de televisión en exteriores (TVOB) y la producción electrónica en directo (EFP)</w:t>
      </w:r>
      <w:r w:rsidRPr="00830B0C">
        <w:rPr>
          <w:lang w:val="es-ES_tradnl"/>
        </w:rPr>
        <w:t>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b)</w:t>
      </w:r>
      <w:r w:rsidRPr="00830B0C">
        <w:rPr>
          <w:lang w:val="es-ES_tradnl"/>
        </w:rPr>
        <w:tab/>
        <w:t>el Informe UIT-R BT.2344 – Información de parámetros técnicos, características operacionales y escenarios de despliegue de servicios SAB/SAP utilizados en radiodifusión;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c)</w:t>
      </w:r>
      <w:r w:rsidRPr="00830B0C">
        <w:rPr>
          <w:lang w:val="es-ES_tradnl"/>
        </w:rPr>
        <w:tab/>
        <w:t>la Recomendación UIT-R BT.1868 – Requisitos de usuario para los códecs de transmisión de señales de televisión a través de redes de contribución, de distribución primaria y de periodismo electrónico por satélite;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d)</w:t>
      </w:r>
      <w:r w:rsidRPr="00830B0C">
        <w:rPr>
          <w:lang w:val="es-ES_tradnl"/>
        </w:rPr>
        <w:tab/>
        <w:t xml:space="preserve">la Recomendación UIT-R F.1777 </w:t>
      </w:r>
      <w:r w:rsidRPr="00830B0C">
        <w:rPr>
          <w:i/>
          <w:lang w:val="es-ES_tradnl"/>
        </w:rPr>
        <w:t xml:space="preserve">– </w:t>
      </w:r>
      <w:r w:rsidRPr="00830B0C">
        <w:rPr>
          <w:lang w:val="es-ES_tradnl"/>
        </w:rPr>
        <w:t>Características del sistema de radiodifusión de televisión en exteriores, periodismo electrónico y producción en directo electrónica en el servicio fijo para su utilización en estudios de compartición, proporciona los requisitos de usuario para los BAS en el servicio fijo</w:t>
      </w:r>
      <w:r w:rsidRPr="00830B0C">
        <w:rPr>
          <w:iCs/>
          <w:lang w:val="es-ES_tradnl"/>
        </w:rPr>
        <w:t>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e)</w:t>
      </w:r>
      <w:r w:rsidRPr="00830B0C">
        <w:rPr>
          <w:lang w:val="es-ES_tradnl"/>
        </w:rPr>
        <w:tab/>
        <w:t>la Recomendación UIT-R M.1824 – Características del sistema de radiodifusión de televisión en exteriores, periodismo electrónico y producción en directo electrónica en el servicio fijo para su utilización en estudios de compartición, proporciona las características de funcionamiento para los BAS en el servicio móvil;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f)</w:t>
      </w:r>
      <w:r w:rsidRPr="00830B0C">
        <w:rPr>
          <w:lang w:val="es-ES_tradnl"/>
        </w:rPr>
        <w:tab/>
        <w:t>la Recomendación UIT-R BT.1203 – Requisitos de usuario para la codificación genérica con reducción de velocidad binaria de vídeo de señales digitales de televisión para un sistema de televisión de extremo a extremo;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g)</w:t>
      </w:r>
      <w:r w:rsidRPr="00830B0C">
        <w:rPr>
          <w:lang w:val="es-ES_tradnl"/>
        </w:rPr>
        <w:tab/>
        <w:t>la Recomendación UIT-R BS.1196 – Codificación de audio para la radiodifusión digital;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/>
        </w:rPr>
        <w:t>h)</w:t>
      </w:r>
      <w:r w:rsidRPr="00830B0C">
        <w:rPr>
          <w:lang w:val="es-ES_tradnl"/>
        </w:rPr>
        <w:tab/>
        <w:t>la Recomendación UIT-R BS.1548 – Requisitos de usuario para sistemas de codificación de audio en radiodifusión digital</w:t>
      </w:r>
      <w:r w:rsidRPr="00830B0C">
        <w:rPr>
          <w:iCs/>
          <w:lang w:val="es-ES_tradnl"/>
        </w:rPr>
        <w:t>,</w:t>
      </w:r>
    </w:p>
    <w:p w:rsidR="000D328D" w:rsidRPr="00830B0C" w:rsidRDefault="000D328D" w:rsidP="000D328D">
      <w:pPr>
        <w:pStyle w:val="Call"/>
        <w:rPr>
          <w:lang w:val="es-ES_tradnl"/>
        </w:rPr>
      </w:pPr>
      <w:proofErr w:type="gramStart"/>
      <w:r w:rsidRPr="00830B0C">
        <w:rPr>
          <w:lang w:val="es-ES_tradnl"/>
        </w:rPr>
        <w:t>reconociendo</w:t>
      </w:r>
      <w:proofErr w:type="gramEnd"/>
    </w:p>
    <w:p w:rsidR="000D328D" w:rsidRPr="00830B0C" w:rsidRDefault="000D328D" w:rsidP="000D328D">
      <w:pPr>
        <w:rPr>
          <w:lang w:val="es-ES_tradnl" w:eastAsia="ja-JP"/>
        </w:rPr>
      </w:pPr>
      <w:r w:rsidRPr="00830B0C">
        <w:rPr>
          <w:i/>
          <w:iCs/>
          <w:lang w:val="es-ES_tradnl"/>
        </w:rPr>
        <w:t>a)</w:t>
      </w:r>
      <w:r w:rsidRPr="00830B0C">
        <w:rPr>
          <w:lang w:val="es-ES_tradnl"/>
        </w:rPr>
        <w:tab/>
        <w:t>que algunas administraciones explotan SAP/BAS terrenales amplios en el servicio fijo</w:t>
      </w:r>
      <w:r w:rsidRPr="00830B0C">
        <w:rPr>
          <w:lang w:val="es-ES_tradnl" w:eastAsia="ja-JP"/>
        </w:rPr>
        <w:t>;</w:t>
      </w:r>
    </w:p>
    <w:p w:rsidR="000D328D" w:rsidRPr="00830B0C" w:rsidRDefault="000D328D" w:rsidP="000D328D">
      <w:pPr>
        <w:rPr>
          <w:lang w:val="es-ES_tradnl" w:eastAsia="ja-JP"/>
        </w:rPr>
      </w:pPr>
      <w:r w:rsidRPr="00830B0C">
        <w:rPr>
          <w:i/>
          <w:iCs/>
          <w:lang w:val="es-ES_tradnl"/>
        </w:rPr>
        <w:t>b)</w:t>
      </w:r>
      <w:r w:rsidRPr="00830B0C">
        <w:rPr>
          <w:lang w:val="es-ES_tradnl"/>
        </w:rPr>
        <w:tab/>
        <w:t>que algunas administraciones explotan SAP/BAS terrenales amplios en el servicio móvil</w:t>
      </w:r>
      <w:r w:rsidRPr="00830B0C">
        <w:rPr>
          <w:lang w:val="es-ES_tradnl" w:eastAsia="ja-JP"/>
        </w:rPr>
        <w:t>;</w:t>
      </w:r>
    </w:p>
    <w:p w:rsidR="000D328D" w:rsidRPr="00830B0C" w:rsidRDefault="000D328D" w:rsidP="000D328D">
      <w:pPr>
        <w:rPr>
          <w:lang w:val="es-ES_tradnl" w:eastAsia="ja-JP"/>
        </w:rPr>
      </w:pPr>
      <w:r w:rsidRPr="00830B0C">
        <w:rPr>
          <w:i/>
          <w:iCs/>
          <w:lang w:val="es-ES_tradnl" w:eastAsia="ja-JP"/>
        </w:rPr>
        <w:t>c)</w:t>
      </w:r>
      <w:r w:rsidRPr="00830B0C">
        <w:rPr>
          <w:lang w:val="es-ES_tradnl" w:eastAsia="ja-JP"/>
        </w:rPr>
        <w:tab/>
        <w:t>que algunas administraciones han ampliado los SAP/BAS a aplicaciones a bordo de aeronaves y a bordo de barcos;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i/>
          <w:iCs/>
          <w:lang w:val="es-ES_tradnl" w:eastAsia="ja-JP"/>
        </w:rPr>
        <w:t>d)</w:t>
      </w:r>
      <w:r w:rsidRPr="00830B0C">
        <w:rPr>
          <w:lang w:val="es-ES_tradnl" w:eastAsia="ja-JP"/>
        </w:rPr>
        <w:tab/>
      </w:r>
      <w:r w:rsidRPr="00830B0C">
        <w:rPr>
          <w:lang w:val="es-ES_tradnl"/>
        </w:rPr>
        <w:t>que las aplicaciones SAP/BAS cada vez están más vinculadas a situaciones de emergencia y de ayuda en caso de catástrofe y a la circulación global de equipos de radiocomunicaciones, teniendo en cuenta la Recomendación UIT</w:t>
      </w:r>
      <w:r w:rsidRPr="00830B0C">
        <w:rPr>
          <w:lang w:val="es-ES_tradnl"/>
        </w:rPr>
        <w:noBreakHyphen/>
        <w:t>R M.1637,</w:t>
      </w:r>
    </w:p>
    <w:p w:rsidR="000D328D" w:rsidRPr="00830B0C" w:rsidRDefault="000D328D" w:rsidP="000D328D">
      <w:pPr>
        <w:pStyle w:val="Call"/>
        <w:rPr>
          <w:lang w:val="es-ES_tradnl"/>
        </w:rPr>
      </w:pPr>
      <w:proofErr w:type="gramStart"/>
      <w:r w:rsidRPr="00830B0C">
        <w:rPr>
          <w:lang w:val="es-ES_tradnl"/>
        </w:rPr>
        <w:t>recomienda</w:t>
      </w:r>
      <w:proofErr w:type="gramEnd"/>
    </w:p>
    <w:p w:rsidR="000D328D" w:rsidRPr="00830B0C" w:rsidRDefault="000D328D" w:rsidP="000D328D">
      <w:pPr>
        <w:rPr>
          <w:lang w:val="es-ES_tradnl"/>
        </w:rPr>
      </w:pPr>
      <w:proofErr w:type="gramStart"/>
      <w:r w:rsidRPr="00830B0C">
        <w:rPr>
          <w:lang w:val="es-ES_tradnl"/>
        </w:rPr>
        <w:t>que</w:t>
      </w:r>
      <w:proofErr w:type="gramEnd"/>
      <w:r w:rsidRPr="00830B0C">
        <w:rPr>
          <w:lang w:val="es-ES_tradnl"/>
        </w:rPr>
        <w:t>, cuando las administraciones consideren la interoperabilidad y la armonización de las prácticas operativas SAP/BAS, consulten la descripción de los requisitos de usuario y las características fundamentales para las transmisiones de TVUAD/TVAD/TV convencional de los servicios fijo y móvil del BAS digital terrenal que figuran en el Anexo 1.</w:t>
      </w:r>
    </w:p>
    <w:p w:rsidR="000D328D" w:rsidRPr="00830B0C" w:rsidRDefault="000D328D" w:rsidP="000D328D">
      <w:pPr>
        <w:pStyle w:val="Headingb"/>
        <w:rPr>
          <w:lang w:val="es-ES_tradnl" w:eastAsia="ja-JP"/>
        </w:rPr>
      </w:pPr>
      <w:r w:rsidRPr="00830B0C">
        <w:rPr>
          <w:lang w:val="es-ES_tradnl" w:eastAsia="ja-JP"/>
        </w:rPr>
        <w:lastRenderedPageBreak/>
        <w:t>Abreviaturas</w:t>
      </w:r>
    </w:p>
    <w:p w:rsidR="000D328D" w:rsidRPr="00830B0C" w:rsidRDefault="000D328D" w:rsidP="005B32D4">
      <w:pPr>
        <w:tabs>
          <w:tab w:val="clear" w:pos="794"/>
        </w:tabs>
        <w:rPr>
          <w:lang w:val="es-ES_tradnl"/>
        </w:rPr>
      </w:pPr>
      <w:r w:rsidRPr="00830B0C">
        <w:rPr>
          <w:lang w:val="es-ES_tradnl"/>
        </w:rPr>
        <w:t>BAS</w:t>
      </w:r>
      <w:r w:rsidRPr="00830B0C">
        <w:rPr>
          <w:lang w:val="es-ES_tradnl"/>
        </w:rPr>
        <w:tab/>
        <w:t>Servicios auxiliares a la radiodifusión (</w:t>
      </w:r>
      <w:r w:rsidRPr="00830B0C">
        <w:rPr>
          <w:i/>
          <w:iCs/>
          <w:lang w:val="es-ES_tradnl"/>
        </w:rPr>
        <w:t>broadcast auxiliary services</w:t>
      </w:r>
      <w:r w:rsidRPr="00830B0C">
        <w:rPr>
          <w:lang w:val="es-ES_tradnl"/>
        </w:rPr>
        <w:t>)</w:t>
      </w:r>
    </w:p>
    <w:p w:rsidR="000D328D" w:rsidRPr="00830B0C" w:rsidRDefault="000D328D" w:rsidP="005B32D4">
      <w:pPr>
        <w:tabs>
          <w:tab w:val="clear" w:pos="794"/>
        </w:tabs>
        <w:rPr>
          <w:lang w:val="es-ES_tradnl"/>
        </w:rPr>
      </w:pPr>
      <w:r w:rsidRPr="00830B0C">
        <w:rPr>
          <w:lang w:val="es-ES_tradnl"/>
        </w:rPr>
        <w:t>EFP</w:t>
      </w:r>
      <w:r w:rsidRPr="00830B0C">
        <w:rPr>
          <w:lang w:val="es-ES_tradnl"/>
        </w:rPr>
        <w:tab/>
        <w:t>Producción electrónica en directo (</w:t>
      </w:r>
      <w:r w:rsidRPr="00830B0C">
        <w:rPr>
          <w:i/>
          <w:iCs/>
          <w:lang w:val="es-ES_tradnl"/>
        </w:rPr>
        <w:t>electronic field production</w:t>
      </w:r>
      <w:r w:rsidRPr="00830B0C">
        <w:rPr>
          <w:lang w:val="es-ES_tradnl"/>
        </w:rPr>
        <w:t>)</w:t>
      </w:r>
    </w:p>
    <w:p w:rsidR="000D328D" w:rsidRPr="00830B0C" w:rsidRDefault="000D328D" w:rsidP="005B32D4">
      <w:pPr>
        <w:tabs>
          <w:tab w:val="clear" w:pos="794"/>
        </w:tabs>
        <w:rPr>
          <w:lang w:val="es-ES_tradnl"/>
        </w:rPr>
      </w:pPr>
      <w:r w:rsidRPr="00830B0C">
        <w:rPr>
          <w:lang w:val="es-ES_tradnl"/>
        </w:rPr>
        <w:t>ENG</w:t>
      </w:r>
      <w:r w:rsidRPr="00830B0C">
        <w:rPr>
          <w:lang w:val="es-ES_tradnl"/>
        </w:rPr>
        <w:tab/>
        <w:t>Periodismo electrónico (</w:t>
      </w:r>
      <w:r w:rsidRPr="00830B0C">
        <w:rPr>
          <w:i/>
          <w:iCs/>
          <w:lang w:val="es-ES_tradnl"/>
        </w:rPr>
        <w:t>electronic news gathering</w:t>
      </w:r>
      <w:r w:rsidRPr="00830B0C">
        <w:rPr>
          <w:lang w:val="es-ES_tradnl"/>
        </w:rPr>
        <w:t>)</w:t>
      </w:r>
    </w:p>
    <w:p w:rsidR="000D328D" w:rsidRPr="00830B0C" w:rsidRDefault="000D328D" w:rsidP="005B32D4">
      <w:pPr>
        <w:tabs>
          <w:tab w:val="clear" w:pos="794"/>
        </w:tabs>
        <w:ind w:left="1191" w:hanging="1191"/>
        <w:rPr>
          <w:lang w:val="es-ES_tradnl"/>
        </w:rPr>
      </w:pPr>
      <w:r w:rsidRPr="00830B0C">
        <w:rPr>
          <w:lang w:val="es-ES_tradnl"/>
        </w:rPr>
        <w:t>SAP</w:t>
      </w:r>
      <w:r w:rsidRPr="00830B0C">
        <w:rPr>
          <w:lang w:val="es-ES_tradnl"/>
        </w:rPr>
        <w:tab/>
        <w:t>Servicios complementarios a la realización de programas (</w:t>
      </w:r>
      <w:r w:rsidRPr="00830B0C">
        <w:rPr>
          <w:i/>
          <w:iCs/>
          <w:lang w:val="es-ES_tradnl"/>
        </w:rPr>
        <w:t>services ancillary to programme</w:t>
      </w:r>
      <w:r w:rsidRPr="00830B0C">
        <w:rPr>
          <w:lang w:val="es-ES_tradnl"/>
        </w:rPr>
        <w:t>)</w:t>
      </w:r>
    </w:p>
    <w:p w:rsidR="000D328D" w:rsidRPr="00830B0C" w:rsidRDefault="000D328D" w:rsidP="005B32D4">
      <w:pPr>
        <w:tabs>
          <w:tab w:val="clear" w:pos="794"/>
        </w:tabs>
        <w:rPr>
          <w:lang w:val="es-ES_tradnl"/>
        </w:rPr>
      </w:pPr>
      <w:r w:rsidRPr="00830B0C">
        <w:rPr>
          <w:lang w:val="es-ES_tradnl"/>
        </w:rPr>
        <w:t>SNG</w:t>
      </w:r>
      <w:r w:rsidRPr="00830B0C">
        <w:rPr>
          <w:lang w:val="es-ES_tradnl"/>
        </w:rPr>
        <w:tab/>
        <w:t>Periodismo electrónico por satélite (</w:t>
      </w:r>
      <w:r w:rsidRPr="00830B0C">
        <w:rPr>
          <w:i/>
          <w:iCs/>
          <w:lang w:val="es-ES_tradnl"/>
        </w:rPr>
        <w:t>satellite news gathering</w:t>
      </w:r>
      <w:r w:rsidRPr="00830B0C">
        <w:rPr>
          <w:lang w:val="es-ES_tradnl"/>
        </w:rPr>
        <w:t>)</w:t>
      </w:r>
    </w:p>
    <w:p w:rsidR="000D328D" w:rsidRPr="00830B0C" w:rsidRDefault="000D328D" w:rsidP="005B32D4">
      <w:pPr>
        <w:tabs>
          <w:tab w:val="clear" w:pos="794"/>
        </w:tabs>
        <w:rPr>
          <w:lang w:val="es-ES_tradnl"/>
        </w:rPr>
      </w:pPr>
      <w:r w:rsidRPr="00830B0C">
        <w:rPr>
          <w:lang w:val="es-ES_tradnl"/>
        </w:rPr>
        <w:t>TVOB</w:t>
      </w:r>
      <w:r w:rsidRPr="00830B0C">
        <w:rPr>
          <w:lang w:val="es-ES_tradnl"/>
        </w:rPr>
        <w:tab/>
        <w:t>Radiodifusión de televisión en exteriores (</w:t>
      </w:r>
      <w:r w:rsidRPr="00830B0C">
        <w:rPr>
          <w:i/>
          <w:iCs/>
          <w:lang w:val="es-ES_tradnl"/>
        </w:rPr>
        <w:t>television outside broadcast</w:t>
      </w:r>
      <w:r w:rsidRPr="00830B0C">
        <w:rPr>
          <w:lang w:val="es-ES_tradnl"/>
        </w:rPr>
        <w:t>)</w:t>
      </w:r>
    </w:p>
    <w:p w:rsidR="000D328D" w:rsidRPr="00830B0C" w:rsidRDefault="000D328D" w:rsidP="000D328D">
      <w:pPr>
        <w:rPr>
          <w:lang w:val="es-ES_tradnl"/>
        </w:rPr>
      </w:pPr>
    </w:p>
    <w:p w:rsidR="000D328D" w:rsidRDefault="000D328D" w:rsidP="000D328D">
      <w:pPr>
        <w:rPr>
          <w:lang w:val="es-ES_tradnl"/>
        </w:rPr>
      </w:pPr>
    </w:p>
    <w:p w:rsidR="00CB740B" w:rsidRPr="00830B0C" w:rsidRDefault="00CB740B" w:rsidP="000D328D">
      <w:pPr>
        <w:rPr>
          <w:lang w:val="es-ES_tradnl"/>
        </w:rPr>
      </w:pPr>
    </w:p>
    <w:p w:rsidR="000D328D" w:rsidRPr="00830B0C" w:rsidRDefault="000D328D" w:rsidP="000D328D">
      <w:pPr>
        <w:pStyle w:val="AnnexNoTitle"/>
        <w:rPr>
          <w:lang w:val="es-ES_tradnl"/>
        </w:rPr>
      </w:pPr>
      <w:r w:rsidRPr="00830B0C">
        <w:rPr>
          <w:lang w:val="es-ES_tradnl"/>
        </w:rPr>
        <w:t>Anexo 1</w:t>
      </w:r>
      <w:r w:rsidRPr="00830B0C">
        <w:rPr>
          <w:lang w:val="es-ES_tradnl"/>
        </w:rPr>
        <w:br/>
      </w:r>
      <w:r w:rsidRPr="00830B0C">
        <w:rPr>
          <w:lang w:val="es-ES_tradnl"/>
        </w:rPr>
        <w:br/>
        <w:t>Requisitos de usuario para los servicios auxiliares a la radiodifusión, incluidos la radiodifusión exterior de televisión digital, el periodismo electrónico/</w:t>
      </w:r>
      <w:r w:rsidRPr="00830B0C">
        <w:rPr>
          <w:lang w:val="es-ES_tradnl"/>
        </w:rPr>
        <w:br/>
        <w:t>por satélite y la producción electrónica en directo</w:t>
      </w:r>
    </w:p>
    <w:p w:rsidR="000D328D" w:rsidRPr="00830B0C" w:rsidRDefault="000D328D" w:rsidP="000D328D">
      <w:pPr>
        <w:pStyle w:val="Normalaftertitle"/>
        <w:rPr>
          <w:b/>
          <w:lang w:val="es-ES_tradnl"/>
        </w:rPr>
      </w:pPr>
      <w:r w:rsidRPr="00830B0C">
        <w:rPr>
          <w:lang w:val="es-ES_tradnl"/>
        </w:rPr>
        <w:t>Se proporcionan los requisitos de usuario para los BAS para información de las administraciones que tienen la intención de explotar servicios auxiliares a la radiodifusión cuando consideren la interoperabilidad y la armonización para el funcionamiento del BAS en una administración que pueda ampliarse a otra administración</w:t>
      </w:r>
      <w:r w:rsidRPr="00830B0C">
        <w:rPr>
          <w:lang w:val="es-ES_tradnl" w:eastAsia="ja-JP"/>
        </w:rPr>
        <w:t>.</w:t>
      </w:r>
    </w:p>
    <w:p w:rsidR="000D328D" w:rsidRPr="00830B0C" w:rsidRDefault="000D328D" w:rsidP="000D328D">
      <w:pPr>
        <w:rPr>
          <w:lang w:val="es-ES_tradnl" w:eastAsia="ja-JP"/>
        </w:rPr>
      </w:pPr>
      <w:r w:rsidRPr="00830B0C">
        <w:rPr>
          <w:lang w:val="es-ES_tradnl"/>
        </w:rPr>
        <w:t>En el Cuadro 1 aparecen los requisitos de usuario y los parámetros técnicos en términos de calidad básica de audio y vídeo para la transmisión de TVAD/TV convencional digital utilizando sistemas ENG que emplean MPEG-2, H.264|MPEG-4 AVC, o H.265|HEVC.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lang w:val="es-ES_tradnl"/>
        </w:rPr>
        <w:t xml:space="preserve">El Cuadro 2 proporciona los requisitos de usuario y el ejemplo de parámetros técnicos para la transmisión de TVAD/TV convencional digital utilizando sistemas ENG asignados al servicio fijo. 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lang w:val="es-ES_tradnl"/>
        </w:rPr>
        <w:t>El Cuadro 3 presenta los requisitos de usuario y el ejemplo de parámetros técnicos para la transmisión de TVAD/TV convencional digital utilizando sistemas ENG asignados al servicio móvil.</w:t>
      </w:r>
    </w:p>
    <w:p w:rsidR="000D328D" w:rsidRPr="00830B0C" w:rsidRDefault="000D328D" w:rsidP="000D328D">
      <w:pPr>
        <w:rPr>
          <w:lang w:val="es-ES_tradnl"/>
        </w:rPr>
      </w:pPr>
      <w:r w:rsidRPr="00830B0C">
        <w:rPr>
          <w:lang w:val="es-ES_tradnl"/>
        </w:rPr>
        <w:t>El Cuadro 4 proporciona los requisitos de usuario y los parámetros técnicos en términos de calidad de vídeo y audio básica para la transmisión de TVUAD utilizando sistemas de ENG que emplean códec H.265|HEVC.</w:t>
      </w:r>
    </w:p>
    <w:p w:rsidR="000D328D" w:rsidRDefault="000D328D" w:rsidP="000D328D">
      <w:pPr>
        <w:rPr>
          <w:lang w:val="es-ES_tradnl"/>
        </w:rPr>
      </w:pPr>
      <w:r w:rsidRPr="00830B0C">
        <w:rPr>
          <w:lang w:val="es-ES_tradnl"/>
        </w:rPr>
        <w:t>Si bien en la práctica puede emplearse una gama de parámetros de funcionamiento, estos ejemplos ofrecen una indicación de los parámetros de los actuales sistemas.</w:t>
      </w:r>
    </w:p>
    <w:p w:rsidR="00CB740B" w:rsidRPr="00830B0C" w:rsidRDefault="00CB740B" w:rsidP="000D328D">
      <w:pPr>
        <w:rPr>
          <w:lang w:val="es-ES_tradnl"/>
        </w:rPr>
      </w:pPr>
    </w:p>
    <w:p w:rsidR="000D328D" w:rsidRPr="00830B0C" w:rsidRDefault="000D328D" w:rsidP="00CB740B">
      <w:pPr>
        <w:pStyle w:val="TableNo"/>
        <w:keepLines/>
        <w:rPr>
          <w:lang w:val="es-ES_tradnl" w:eastAsia="ja-JP"/>
        </w:rPr>
      </w:pPr>
      <w:r w:rsidRPr="00830B0C">
        <w:rPr>
          <w:lang w:val="es-ES_tradnl" w:eastAsia="ja-JP"/>
        </w:rPr>
        <w:lastRenderedPageBreak/>
        <w:t>CUADRO 1</w:t>
      </w:r>
    </w:p>
    <w:p w:rsidR="000D328D" w:rsidRPr="00830B0C" w:rsidRDefault="000D328D" w:rsidP="00CB740B">
      <w:pPr>
        <w:pStyle w:val="Tabletitle"/>
        <w:keepLines/>
        <w:rPr>
          <w:lang w:val="es-ES_tradnl" w:eastAsia="ja-JP"/>
        </w:rPr>
      </w:pPr>
      <w:r w:rsidRPr="00830B0C">
        <w:rPr>
          <w:lang w:val="es-ES_tradnl"/>
        </w:rPr>
        <w:t>Requisitos de usuario y parámetros técnicos en términos de calidad básica de audio y vídeo para la transmisión de señales de TVAD/TV convencional digital en aplicaciones de ENG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835"/>
        <w:gridCol w:w="4252"/>
      </w:tblGrid>
      <w:tr w:rsidR="000D328D" w:rsidRPr="00830B0C" w:rsidTr="00043B51">
        <w:trPr>
          <w:tblHeader/>
          <w:jc w:val="center"/>
        </w:trPr>
        <w:tc>
          <w:tcPr>
            <w:tcW w:w="2551" w:type="dxa"/>
          </w:tcPr>
          <w:p w:rsidR="000D328D" w:rsidRPr="00830B0C" w:rsidRDefault="000D328D" w:rsidP="00CB740B">
            <w:pPr>
              <w:pStyle w:val="Tablehead"/>
              <w:keepLines/>
              <w:rPr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>Elemento</w:t>
            </w:r>
          </w:p>
        </w:tc>
        <w:tc>
          <w:tcPr>
            <w:tcW w:w="2835" w:type="dxa"/>
          </w:tcPr>
          <w:p w:rsidR="000D328D" w:rsidRPr="00830B0C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4252" w:type="dxa"/>
          </w:tcPr>
          <w:p w:rsidR="000D328D" w:rsidRPr="00830B0C" w:rsidRDefault="000D328D" w:rsidP="00CB740B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Parámetros técnicos</w:t>
            </w:r>
          </w:p>
        </w:tc>
      </w:tr>
      <w:tr w:rsidR="000D328D" w:rsidRPr="00830B0C" w:rsidTr="00043B51">
        <w:trPr>
          <w:jc w:val="center"/>
        </w:trPr>
        <w:tc>
          <w:tcPr>
            <w:tcW w:w="2551" w:type="dxa"/>
            <w:vMerge w:val="restart"/>
          </w:tcPr>
          <w:p w:rsidR="000D328D" w:rsidRPr="00830B0C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2835" w:type="dxa"/>
            <w:vMerge w:val="restart"/>
          </w:tcPr>
          <w:p w:rsidR="000D328D" w:rsidRPr="00830B0C" w:rsidRDefault="000D328D" w:rsidP="00CB740B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 xml:space="preserve">Degradación de la calidad de imagen </w:t>
            </w:r>
            <w:r w:rsidRPr="00830B0C">
              <w:rPr>
                <w:bCs/>
                <w:lang w:val="es-ES_tradnl" w:eastAsia="ja-JP"/>
              </w:rPr>
              <w:sym w:font="Symbol" w:char="F0A3"/>
            </w:r>
            <w:r w:rsidRPr="00830B0C">
              <w:rPr>
                <w:bCs/>
                <w:lang w:val="es-ES_tradnl" w:eastAsia="ja-JP"/>
              </w:rPr>
              <w:t> 12% con el método DSCQS (escala de calidad continua de doble estimado) especificado en la Rec. UIT</w:t>
            </w:r>
            <w:r w:rsidRPr="00830B0C">
              <w:rPr>
                <w:bCs/>
                <w:lang w:val="es-ES_tradnl" w:eastAsia="ja-JP"/>
              </w:rPr>
              <w:noBreakHyphen/>
              <w:t>R BT.1868.</w:t>
            </w:r>
          </w:p>
          <w:p w:rsidR="000D328D" w:rsidRPr="00830B0C" w:rsidRDefault="000D328D" w:rsidP="00CB740B">
            <w:pPr>
              <w:pStyle w:val="Tabletext"/>
              <w:keepNext/>
              <w:keepLines/>
              <w:jc w:val="left"/>
              <w:rPr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>(Véase también la Rec. UIT</w:t>
            </w:r>
            <w:r w:rsidRPr="00830B0C">
              <w:rPr>
                <w:lang w:val="es-ES_tradnl" w:eastAsia="ja-JP"/>
              </w:rPr>
              <w:noBreakHyphen/>
              <w:t>R BT.1203)</w:t>
            </w:r>
          </w:p>
        </w:tc>
        <w:tc>
          <w:tcPr>
            <w:tcW w:w="4252" w:type="dxa"/>
          </w:tcPr>
          <w:p w:rsidR="000D328D" w:rsidRPr="00830B0C" w:rsidRDefault="000D328D" w:rsidP="00CB740B">
            <w:pPr>
              <w:pStyle w:val="Tabletext"/>
              <w:keepNext/>
              <w:keepLines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830B0C">
              <w:rPr>
                <w:rFonts w:eastAsia="Malgun Gothic"/>
                <w:bCs/>
                <w:iCs/>
                <w:lang w:val="es-ES_tradnl" w:eastAsia="ja-JP"/>
              </w:rPr>
              <w:t>TVAD:</w:t>
            </w:r>
          </w:p>
        </w:tc>
      </w:tr>
      <w:tr w:rsidR="000D328D" w:rsidRPr="00830B0C" w:rsidTr="00043B51">
        <w:trPr>
          <w:jc w:val="center"/>
        </w:trPr>
        <w:tc>
          <w:tcPr>
            <w:tcW w:w="2551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b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bCs/>
                <w:lang w:val="es-ES_tradnl" w:eastAsia="ja-JP"/>
              </w:rPr>
            </w:pPr>
            <w:r w:rsidRPr="00830B0C">
              <w:rPr>
                <w:rFonts w:eastAsia="Malgun Gothic"/>
                <w:bCs/>
                <w:lang w:val="es-ES_tradnl" w:eastAsia="ja-JP"/>
              </w:rPr>
              <w:t>Velocidad binaria del vídeo para 3 códecs en tándem:</w:t>
            </w:r>
          </w:p>
          <w:p w:rsidR="000D328D" w:rsidRPr="00830B0C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ab/>
              <w:t>52</w:t>
            </w:r>
            <w:r w:rsidRPr="00830B0C">
              <w:rPr>
                <w:rFonts w:eastAsia="Malgun Gothic"/>
                <w:bCs/>
                <w:lang w:val="es-ES_tradnl" w:eastAsia="ja-JP"/>
              </w:rPr>
              <w:t xml:space="preserve"> Mb</w:t>
            </w:r>
            <w:r w:rsidRPr="00830B0C">
              <w:rPr>
                <w:bCs/>
                <w:lang w:val="es-ES_tradnl" w:eastAsia="ja-JP"/>
              </w:rPr>
              <w:t>it</w:t>
            </w:r>
            <w:r w:rsidRPr="00830B0C">
              <w:rPr>
                <w:rFonts w:eastAsia="Malgun Gothic"/>
                <w:bCs/>
                <w:lang w:val="es-ES_tradnl" w:eastAsia="ja-JP"/>
              </w:rPr>
              <w:t>/s</w:t>
            </w:r>
            <w:r w:rsidRPr="00830B0C">
              <w:rPr>
                <w:bCs/>
                <w:lang w:val="es-ES_tradnl" w:eastAsia="ja-JP"/>
              </w:rPr>
              <w:br/>
            </w:r>
            <w:r w:rsidRPr="00830B0C">
              <w:rPr>
                <w:rFonts w:eastAsia="Malgun Gothic"/>
                <w:bCs/>
                <w:lang w:val="es-ES_tradnl" w:eastAsia="ja-JP"/>
              </w:rPr>
              <w:t xml:space="preserve">(utilizando </w:t>
            </w:r>
            <w:r w:rsidRPr="00830B0C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830B0C">
              <w:rPr>
                <w:bCs/>
                <w:lang w:val="es-ES_tradnl" w:eastAsia="ja-JP"/>
              </w:rPr>
              <w:t xml:space="preserve">| </w:t>
            </w:r>
            <w:r w:rsidRPr="00830B0C">
              <w:rPr>
                <w:rFonts w:eastAsia="Malgun Gothic"/>
                <w:bCs/>
                <w:lang w:val="es-ES_tradnl" w:eastAsia="ja-JP"/>
              </w:rPr>
              <w:t>Rec. UIT</w:t>
            </w:r>
            <w:r w:rsidRPr="00830B0C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830B0C">
              <w:rPr>
                <w:bCs/>
                <w:lang w:val="es-ES_tradnl" w:eastAsia="ja-JP"/>
              </w:rPr>
              <w:t xml:space="preserve">, </w:t>
            </w:r>
            <w:r w:rsidRPr="00830B0C">
              <w:rPr>
                <w:rFonts w:eastAsia="Malgun Gothic"/>
                <w:bCs/>
                <w:lang w:val="es-ES_tradnl" w:eastAsia="ja-JP"/>
              </w:rPr>
              <w:t>4:2:2P@HL)</w:t>
            </w:r>
          </w:p>
          <w:p w:rsidR="000D328D" w:rsidRPr="00830B0C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830B0C">
              <w:rPr>
                <w:rFonts w:eastAsia="Malgun Gothic"/>
                <w:lang w:val="es-ES_tradnl" w:eastAsia="ja-JP"/>
              </w:rPr>
              <w:tab/>
              <w:t>35 Mb</w:t>
            </w:r>
            <w:r w:rsidRPr="00830B0C">
              <w:rPr>
                <w:lang w:val="es-ES_tradnl" w:eastAsia="ja-JP"/>
              </w:rPr>
              <w:t>it</w:t>
            </w:r>
            <w:r w:rsidRPr="00830B0C">
              <w:rPr>
                <w:rFonts w:eastAsia="Malgun Gothic"/>
                <w:lang w:val="es-ES_tradnl" w:eastAsia="ja-JP"/>
              </w:rPr>
              <w:t>/s</w:t>
            </w:r>
            <w:r w:rsidRPr="00830B0C">
              <w:rPr>
                <w:lang w:val="es-ES_tradnl" w:eastAsia="ja-JP"/>
              </w:rPr>
              <w:br/>
            </w:r>
            <w:r w:rsidRPr="00830B0C">
              <w:rPr>
                <w:bCs/>
                <w:lang w:val="es-ES_tradnl" w:eastAsia="ja-JP"/>
              </w:rPr>
              <w:t>(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 xml:space="preserve">utilizando </w:t>
            </w:r>
            <w:r w:rsidRPr="00830B0C">
              <w:rPr>
                <w:bCs/>
                <w:lang w:val="es-ES_tradnl" w:eastAsia="ja-JP"/>
              </w:rPr>
              <w:t>ISO/</w:t>
            </w:r>
            <w:r w:rsidRPr="00830B0C">
              <w:rPr>
                <w:szCs w:val="22"/>
                <w:lang w:val="es-ES_tradnl" w:eastAsia="ja-JP"/>
              </w:rPr>
              <w:t>CEI</w:t>
            </w:r>
            <w:r w:rsidRPr="00830B0C">
              <w:rPr>
                <w:bCs/>
                <w:lang w:val="es-ES_tradnl" w:eastAsia="ja-JP"/>
              </w:rPr>
              <w:t xml:space="preserve"> 14496-10 | Rec. UIT</w:t>
            </w:r>
            <w:r w:rsidRPr="00830B0C">
              <w:rPr>
                <w:bCs/>
                <w:lang w:val="es-ES_tradnl" w:eastAsia="ja-JP"/>
              </w:rPr>
              <w:noBreakHyphen/>
              <w:t xml:space="preserve">T H.264, Nivel 4/Alto 4:2:2, </w:t>
            </w:r>
            <w:r w:rsidRPr="00830B0C">
              <w:rPr>
                <w:lang w:val="es-ES_tradnl" w:eastAsia="ja-JP"/>
              </w:rPr>
              <w:t>véase el Informe UIT</w:t>
            </w:r>
            <w:r w:rsidRPr="00830B0C">
              <w:rPr>
                <w:lang w:val="es-ES_tradnl" w:eastAsia="ja-JP"/>
              </w:rPr>
              <w:noBreakHyphen/>
              <w:t>R BT.2069</w:t>
            </w:r>
            <w:r w:rsidRPr="00830B0C">
              <w:rPr>
                <w:bCs/>
                <w:lang w:val="es-ES_tradnl" w:eastAsia="ja-JP"/>
              </w:rPr>
              <w:t>)</w:t>
            </w:r>
          </w:p>
          <w:p w:rsidR="000D328D" w:rsidRPr="00333785" w:rsidRDefault="000D328D" w:rsidP="00043B51">
            <w:pPr>
              <w:pStyle w:val="Tabletext"/>
              <w:ind w:left="284" w:hanging="284"/>
              <w:jc w:val="left"/>
              <w:rPr>
                <w:bCs/>
                <w:i/>
                <w:iCs/>
                <w:lang w:val="fr-CH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830B0C">
              <w:rPr>
                <w:rFonts w:eastAsia="Malgun Gothic"/>
                <w:lang w:val="es-ES_tradnl" w:eastAsia="ja-JP"/>
              </w:rPr>
              <w:tab/>
              <w:t>30 Mb</w:t>
            </w:r>
            <w:r w:rsidRPr="00830B0C">
              <w:rPr>
                <w:lang w:val="es-ES_tradnl" w:eastAsia="ja-JP"/>
              </w:rPr>
              <w:t>it</w:t>
            </w:r>
            <w:r w:rsidRPr="00830B0C">
              <w:rPr>
                <w:rFonts w:eastAsia="Malgun Gothic"/>
                <w:lang w:val="es-ES_tradnl" w:eastAsia="ja-JP"/>
              </w:rPr>
              <w:t>/s</w:t>
            </w:r>
            <w:r w:rsidRPr="00830B0C">
              <w:rPr>
                <w:lang w:val="es-ES_tradnl" w:eastAsia="ja-JP"/>
              </w:rPr>
              <w:br/>
            </w:r>
            <w:r w:rsidRPr="00830B0C">
              <w:rPr>
                <w:bCs/>
                <w:lang w:val="es-ES_tradnl" w:eastAsia="ja-JP"/>
              </w:rPr>
              <w:t>(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utilizando</w:t>
            </w:r>
            <w:r w:rsidRPr="00830B0C">
              <w:rPr>
                <w:lang w:val="es-ES_tradnl"/>
              </w:rPr>
              <w:t xml:space="preserve"> 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 xml:space="preserve">ISO/IEC 23008-2 | Rec. </w:t>
            </w:r>
            <w:r w:rsidRPr="00333785">
              <w:rPr>
                <w:rFonts w:eastAsia="Malgun Gothic"/>
                <w:szCs w:val="22"/>
                <w:lang w:val="fr-CH" w:eastAsia="ja-JP"/>
              </w:rPr>
              <w:t xml:space="preserve">UIT-T H.265 Main 422 10 </w:t>
            </w:r>
            <w:r w:rsidRPr="00333785">
              <w:rPr>
                <w:rFonts w:eastAsia="Malgun Gothic"/>
                <w:lang w:val="fr-CH" w:eastAsia="ja-JP"/>
              </w:rPr>
              <w:t xml:space="preserve">Nivel </w:t>
            </w:r>
            <w:r w:rsidRPr="00333785">
              <w:rPr>
                <w:rFonts w:eastAsia="Malgun Gothic"/>
                <w:szCs w:val="22"/>
                <w:lang w:val="fr-CH" w:eastAsia="ja-JP"/>
              </w:rPr>
              <w:t>4.1)</w:t>
            </w:r>
          </w:p>
        </w:tc>
      </w:tr>
      <w:tr w:rsidR="000D328D" w:rsidRPr="00830B0C" w:rsidTr="00E12DE7">
        <w:trPr>
          <w:jc w:val="center"/>
        </w:trPr>
        <w:tc>
          <w:tcPr>
            <w:tcW w:w="2551" w:type="dxa"/>
            <w:vMerge/>
          </w:tcPr>
          <w:p w:rsidR="000D328D" w:rsidRPr="00333785" w:rsidRDefault="000D328D" w:rsidP="00043B51">
            <w:pPr>
              <w:pStyle w:val="Tabletext"/>
              <w:jc w:val="left"/>
              <w:rPr>
                <w:rFonts w:eastAsia="Malgun Gothic"/>
                <w:lang w:val="fr-CH"/>
              </w:rPr>
            </w:pPr>
          </w:p>
        </w:tc>
        <w:tc>
          <w:tcPr>
            <w:tcW w:w="2835" w:type="dxa"/>
            <w:vMerge/>
          </w:tcPr>
          <w:p w:rsidR="000D328D" w:rsidRPr="00333785" w:rsidRDefault="000D328D" w:rsidP="00043B51">
            <w:pPr>
              <w:pStyle w:val="Tabletext"/>
              <w:jc w:val="left"/>
              <w:rPr>
                <w:rFonts w:eastAsia="Malgun Gothic"/>
                <w:lang w:val="fr-CH"/>
              </w:rPr>
            </w:pPr>
          </w:p>
        </w:tc>
        <w:tc>
          <w:tcPr>
            <w:tcW w:w="4252" w:type="dxa"/>
            <w:tcBorders>
              <w:bottom w:val="single" w:sz="4" w:space="0" w:color="000000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Velocidad binaria del vídeo para un códec sencillo:</w:t>
            </w:r>
          </w:p>
          <w:p w:rsidR="000D328D" w:rsidRPr="00830B0C" w:rsidRDefault="000D328D" w:rsidP="00043B51">
            <w:pPr>
              <w:pStyle w:val="Tabletext"/>
              <w:ind w:left="284" w:hanging="284"/>
              <w:jc w:val="left"/>
              <w:rPr>
                <w:szCs w:val="22"/>
                <w:lang w:val="es-ES_tradnl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830B0C">
              <w:rPr>
                <w:rFonts w:eastAsia="Malgun Gothic"/>
                <w:lang w:val="es-ES_tradnl" w:eastAsia="ja-JP"/>
              </w:rPr>
              <w:tab/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21 Mb</w:t>
            </w:r>
            <w:r w:rsidRPr="00830B0C">
              <w:rPr>
                <w:szCs w:val="22"/>
                <w:lang w:val="es-ES_tradnl" w:eastAsia="ja-JP"/>
              </w:rPr>
              <w:t>it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br/>
            </w:r>
            <w:r w:rsidRPr="00830B0C">
              <w:rPr>
                <w:szCs w:val="22"/>
                <w:lang w:val="es-ES_tradnl" w:eastAsia="ja-JP"/>
              </w:rPr>
              <w:t>(utilizando ISO/CEI 14496-10 | Rec. UIT</w:t>
            </w:r>
            <w:r w:rsidRPr="00830B0C">
              <w:rPr>
                <w:szCs w:val="22"/>
                <w:lang w:val="es-ES_tradnl" w:eastAsia="ja-JP"/>
              </w:rPr>
              <w:noBreakHyphen/>
              <w:t>T H.264 Nivel 4/ Alto 4:2:2, véase el Informe</w:t>
            </w:r>
            <w:r w:rsidRPr="00830B0C">
              <w:rPr>
                <w:lang w:val="es-ES_tradnl" w:eastAsia="ja-JP"/>
              </w:rPr>
              <w:t xml:space="preserve"> UIT</w:t>
            </w:r>
            <w:r w:rsidRPr="00830B0C">
              <w:rPr>
                <w:lang w:val="es-ES_tradnl" w:eastAsia="ja-JP"/>
              </w:rPr>
              <w:noBreakHyphen/>
              <w:t>R </w:t>
            </w:r>
            <w:r w:rsidRPr="00830B0C">
              <w:rPr>
                <w:szCs w:val="22"/>
                <w:lang w:val="es-ES_tradnl" w:eastAsia="ja-JP"/>
              </w:rPr>
              <w:t>BT.2069)</w:t>
            </w:r>
          </w:p>
          <w:p w:rsidR="000D328D" w:rsidRPr="00333785" w:rsidRDefault="000D328D" w:rsidP="00043B51">
            <w:pPr>
              <w:pStyle w:val="Tabletext"/>
              <w:ind w:left="284" w:hanging="284"/>
              <w:jc w:val="left"/>
              <w:rPr>
                <w:rFonts w:eastAsia="Malgun Gothic"/>
                <w:i/>
                <w:iCs/>
                <w:lang w:val="fr-CH" w:eastAsia="ja-JP"/>
              </w:rPr>
            </w:pPr>
            <w:r w:rsidRPr="00830B0C">
              <w:rPr>
                <w:rFonts w:eastAsia="Malgun Gothic"/>
                <w:szCs w:val="22"/>
                <w:lang w:val="es-ES_tradnl" w:eastAsia="ja-JP"/>
              </w:rPr>
              <w:t>–</w:t>
            </w:r>
            <w:r w:rsidRPr="00830B0C">
              <w:rPr>
                <w:rFonts w:eastAsia="Malgun Gothic"/>
                <w:lang w:val="es-ES_tradnl" w:eastAsia="ja-JP"/>
              </w:rPr>
              <w:tab/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18 Mb</w:t>
            </w:r>
            <w:r w:rsidRPr="00830B0C">
              <w:rPr>
                <w:szCs w:val="22"/>
                <w:lang w:val="es-ES_tradnl" w:eastAsia="ja-JP"/>
              </w:rPr>
              <w:t>it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/s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br/>
            </w:r>
            <w:r w:rsidRPr="00830B0C">
              <w:rPr>
                <w:szCs w:val="22"/>
                <w:lang w:val="es-ES_tradnl" w:eastAsia="ja-JP"/>
              </w:rPr>
              <w:t xml:space="preserve">(utilizando ISO/CEI 23008-2 | Rec. </w:t>
            </w:r>
            <w:r w:rsidRPr="00333785">
              <w:rPr>
                <w:szCs w:val="22"/>
                <w:lang w:val="fr-CH" w:eastAsia="ja-JP"/>
              </w:rPr>
              <w:t>UIT</w:t>
            </w:r>
            <w:r w:rsidRPr="00333785">
              <w:rPr>
                <w:szCs w:val="22"/>
                <w:lang w:val="fr-CH" w:eastAsia="ja-JP"/>
              </w:rPr>
              <w:noBreakHyphen/>
              <w:t xml:space="preserve">T H.265 </w:t>
            </w:r>
            <w:r w:rsidRPr="00333785">
              <w:rPr>
                <w:rFonts w:eastAsia="Malgun Gothic"/>
                <w:szCs w:val="22"/>
                <w:lang w:val="fr-CH" w:eastAsia="ja-JP"/>
              </w:rPr>
              <w:t xml:space="preserve">Main 422 10 </w:t>
            </w:r>
            <w:r w:rsidRPr="00333785">
              <w:rPr>
                <w:rFonts w:eastAsia="Malgun Gothic"/>
                <w:lang w:val="fr-CH" w:eastAsia="ja-JP"/>
              </w:rPr>
              <w:t xml:space="preserve">Nivel </w:t>
            </w:r>
            <w:r w:rsidRPr="00333785">
              <w:rPr>
                <w:rFonts w:eastAsia="Malgun Gothic"/>
                <w:szCs w:val="22"/>
                <w:lang w:val="fr-CH" w:eastAsia="ja-JP"/>
              </w:rPr>
              <w:t>4.1</w:t>
            </w:r>
            <w:r w:rsidRPr="00333785">
              <w:rPr>
                <w:szCs w:val="22"/>
                <w:lang w:val="fr-CH" w:eastAsia="ja-JP"/>
              </w:rPr>
              <w:t>)</w:t>
            </w:r>
          </w:p>
        </w:tc>
      </w:tr>
      <w:tr w:rsidR="000D328D" w:rsidRPr="00830B0C" w:rsidTr="00E12DE7">
        <w:trPr>
          <w:jc w:val="center"/>
        </w:trPr>
        <w:tc>
          <w:tcPr>
            <w:tcW w:w="2551" w:type="dxa"/>
            <w:vMerge/>
          </w:tcPr>
          <w:p w:rsidR="000D328D" w:rsidRPr="00333785" w:rsidRDefault="000D328D" w:rsidP="00043B51">
            <w:pPr>
              <w:pStyle w:val="Tabletext"/>
              <w:jc w:val="left"/>
              <w:rPr>
                <w:rFonts w:eastAsia="Malgun Gothic"/>
                <w:lang w:val="fr-CH"/>
              </w:rPr>
            </w:pPr>
          </w:p>
        </w:tc>
        <w:tc>
          <w:tcPr>
            <w:tcW w:w="2835" w:type="dxa"/>
            <w:vMerge/>
          </w:tcPr>
          <w:p w:rsidR="000D328D" w:rsidRPr="00333785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fr-CH" w:eastAsia="ja-JP"/>
              </w:rPr>
            </w:pPr>
          </w:p>
        </w:tc>
        <w:tc>
          <w:tcPr>
            <w:tcW w:w="4252" w:type="dxa"/>
            <w:tcBorders>
              <w:bottom w:val="nil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bCs/>
                <w:iCs/>
                <w:lang w:val="es-ES_tradnl" w:eastAsia="ja-JP"/>
              </w:rPr>
            </w:pPr>
            <w:r w:rsidRPr="00830B0C">
              <w:rPr>
                <w:rFonts w:eastAsia="Malgun Gothic"/>
                <w:bCs/>
                <w:iCs/>
                <w:lang w:val="es-ES_tradnl" w:eastAsia="ja-JP"/>
              </w:rPr>
              <w:t>TV convencional:</w:t>
            </w:r>
          </w:p>
        </w:tc>
      </w:tr>
      <w:tr w:rsidR="000D328D" w:rsidRPr="00333785" w:rsidTr="00E12DE7">
        <w:trPr>
          <w:jc w:val="center"/>
        </w:trPr>
        <w:tc>
          <w:tcPr>
            <w:tcW w:w="2551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bCs/>
                <w:i/>
                <w:iCs/>
                <w:lang w:val="es-ES_tradnl" w:eastAsia="ja-JP"/>
              </w:rPr>
            </w:pPr>
          </w:p>
        </w:tc>
        <w:tc>
          <w:tcPr>
            <w:tcW w:w="4252" w:type="dxa"/>
            <w:tcBorders>
              <w:top w:val="nil"/>
              <w:bottom w:val="nil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rFonts w:eastAsia="Malgun Gothic"/>
                <w:bCs/>
                <w:lang w:val="es-ES_tradnl" w:eastAsia="ja-JP"/>
              </w:rPr>
              <w:t xml:space="preserve">Velocidad binaria del vídeo: </w:t>
            </w:r>
            <w:r w:rsidRPr="00830B0C">
              <w:rPr>
                <w:bCs/>
                <w:lang w:val="es-ES_tradnl" w:eastAsia="ja-JP"/>
              </w:rPr>
              <w:t>15</w:t>
            </w:r>
            <w:r w:rsidRPr="00830B0C">
              <w:rPr>
                <w:rFonts w:eastAsia="Malgun Gothic"/>
                <w:bCs/>
                <w:lang w:val="es-ES_tradnl" w:eastAsia="ja-JP"/>
              </w:rPr>
              <w:t> Mbit/s</w:t>
            </w:r>
          </w:p>
          <w:p w:rsidR="000D328D" w:rsidRPr="00830B0C" w:rsidRDefault="000D328D" w:rsidP="00043B51">
            <w:pPr>
              <w:pStyle w:val="Tabletext"/>
              <w:ind w:left="284" w:hanging="284"/>
              <w:jc w:val="left"/>
              <w:rPr>
                <w:bCs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ab/>
            </w:r>
            <w:r w:rsidRPr="00830B0C">
              <w:rPr>
                <w:rFonts w:eastAsia="Malgun Gothic"/>
                <w:bCs/>
                <w:lang w:val="es-ES_tradnl" w:eastAsia="ja-JP"/>
              </w:rPr>
              <w:t>(</w:t>
            </w:r>
            <w:proofErr w:type="gramStart"/>
            <w:r w:rsidRPr="00830B0C">
              <w:rPr>
                <w:rFonts w:eastAsia="Malgun Gothic"/>
                <w:bCs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bCs/>
                <w:lang w:val="es-ES_tradnl" w:eastAsia="ja-JP"/>
              </w:rPr>
              <w:t xml:space="preserve"> </w:t>
            </w:r>
            <w:r w:rsidRPr="00830B0C">
              <w:rPr>
                <w:rFonts w:eastAsia="Malgun Gothic"/>
                <w:bCs/>
                <w:lang w:val="es-ES_tradnl"/>
              </w:rPr>
              <w:t xml:space="preserve">ISO/CEI 13818-2 </w:t>
            </w:r>
            <w:r w:rsidRPr="00830B0C">
              <w:rPr>
                <w:bCs/>
                <w:lang w:val="es-ES_tradnl" w:eastAsia="ja-JP"/>
              </w:rPr>
              <w:t xml:space="preserve">| </w:t>
            </w:r>
            <w:r w:rsidRPr="00830B0C">
              <w:rPr>
                <w:rFonts w:eastAsia="Malgun Gothic"/>
                <w:bCs/>
                <w:lang w:val="es-ES_tradnl" w:eastAsia="ja-JP"/>
              </w:rPr>
              <w:t xml:space="preserve">Rec. </w:t>
            </w:r>
            <w:r w:rsidRPr="00830B0C">
              <w:rPr>
                <w:rFonts w:eastAsia="Malgun Gothic"/>
                <w:szCs w:val="22"/>
                <w:lang w:val="es-ES_tradnl" w:eastAsia="ja-JP"/>
              </w:rPr>
              <w:t>UIT</w:t>
            </w:r>
            <w:r w:rsidRPr="00830B0C">
              <w:rPr>
                <w:rFonts w:eastAsia="Malgun Gothic"/>
                <w:bCs/>
                <w:lang w:val="es-ES_tradnl" w:eastAsia="ja-JP"/>
              </w:rPr>
              <w:noBreakHyphen/>
              <w:t>T H.262</w:t>
            </w:r>
            <w:r w:rsidRPr="00830B0C">
              <w:rPr>
                <w:bCs/>
                <w:lang w:val="es-ES_tradnl" w:eastAsia="ja-JP"/>
              </w:rPr>
              <w:t>, 4:2:2</w:t>
            </w:r>
            <w:r w:rsidRPr="00830B0C">
              <w:rPr>
                <w:rFonts w:eastAsia="Malgun Gothic"/>
                <w:bCs/>
                <w:lang w:val="es-ES_tradnl" w:eastAsia="ja-JP"/>
              </w:rPr>
              <w:t>P@ML con GOP largo)</w:t>
            </w:r>
          </w:p>
        </w:tc>
      </w:tr>
      <w:tr w:rsidR="000D328D" w:rsidRPr="00333785" w:rsidTr="00E12DE7">
        <w:trPr>
          <w:jc w:val="center"/>
        </w:trPr>
        <w:tc>
          <w:tcPr>
            <w:tcW w:w="2551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2835" w:type="dxa"/>
            <w:vMerge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</w:p>
        </w:tc>
        <w:tc>
          <w:tcPr>
            <w:tcW w:w="4252" w:type="dxa"/>
            <w:tcBorders>
              <w:top w:val="nil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Velocidad binaria del vídeo: 10 Mbit/s</w:t>
            </w:r>
          </w:p>
          <w:p w:rsidR="000D328D" w:rsidRPr="00830B0C" w:rsidRDefault="000D328D" w:rsidP="00043B51">
            <w:pPr>
              <w:pStyle w:val="Tabletext"/>
              <w:ind w:left="284" w:hanging="284"/>
              <w:jc w:val="left"/>
              <w:rPr>
                <w:i/>
                <w:iCs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ab/>
              <w:t>(</w:t>
            </w:r>
            <w:proofErr w:type="gramStart"/>
            <w:r w:rsidRPr="00830B0C">
              <w:rPr>
                <w:rFonts w:eastAsia="Malgun Gothic"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lang w:val="es-ES_tradnl" w:eastAsia="ja-JP"/>
              </w:rPr>
              <w:t xml:space="preserve"> </w:t>
            </w:r>
            <w:r w:rsidRPr="00830B0C">
              <w:rPr>
                <w:rFonts w:eastAsia="Malgun Gothic"/>
                <w:lang w:val="es-ES_tradnl"/>
              </w:rPr>
              <w:t>ISO/CEI 14496-</w:t>
            </w:r>
            <w:r w:rsidRPr="00830B0C">
              <w:rPr>
                <w:lang w:val="es-ES_tradnl" w:eastAsia="ja-JP"/>
              </w:rPr>
              <w:t xml:space="preserve">10 | </w:t>
            </w:r>
            <w:r w:rsidRPr="00830B0C">
              <w:rPr>
                <w:rFonts w:eastAsia="Malgun Gothic"/>
                <w:lang w:val="es-ES_tradnl" w:eastAsia="ja-JP"/>
              </w:rPr>
              <w:t>Rec. UIT</w:t>
            </w:r>
            <w:r w:rsidRPr="00830B0C">
              <w:rPr>
                <w:rFonts w:eastAsia="Malgun Gothic"/>
                <w:lang w:val="es-ES_tradnl" w:eastAsia="ja-JP"/>
              </w:rPr>
              <w:noBreakHyphen/>
              <w:t>T H.264</w:t>
            </w:r>
            <w:r w:rsidRPr="00830B0C">
              <w:rPr>
                <w:lang w:val="es-ES_tradnl" w:eastAsia="ja-JP"/>
              </w:rPr>
              <w:t xml:space="preserve">, </w:t>
            </w:r>
            <w:r w:rsidRPr="00830B0C">
              <w:rPr>
                <w:rFonts w:eastAsia="Malgun Gothic"/>
                <w:lang w:val="es-ES_tradnl" w:eastAsia="ja-JP"/>
              </w:rPr>
              <w:t>Nivel 3</w:t>
            </w:r>
            <w:r w:rsidRPr="00830B0C">
              <w:rPr>
                <w:lang w:val="es-ES_tradnl" w:eastAsia="ja-JP"/>
              </w:rPr>
              <w:t>/Alto 4:2:2</w:t>
            </w:r>
            <w:r w:rsidRPr="00830B0C">
              <w:rPr>
                <w:rFonts w:eastAsia="Malgun Gothic"/>
                <w:lang w:val="es-ES_tradnl" w:eastAsia="ja-JP"/>
              </w:rPr>
              <w:t>)</w:t>
            </w:r>
          </w:p>
        </w:tc>
      </w:tr>
      <w:tr w:rsidR="000D328D" w:rsidRPr="00830B0C" w:rsidTr="00043B51">
        <w:trPr>
          <w:jc w:val="center"/>
        </w:trPr>
        <w:tc>
          <w:tcPr>
            <w:tcW w:w="2551" w:type="dxa"/>
            <w:shd w:val="clear" w:color="auto" w:fill="auto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Calidad básica de la señal de sonido</w:t>
            </w:r>
          </w:p>
        </w:tc>
        <w:tc>
          <w:tcPr>
            <w:tcW w:w="2835" w:type="dxa"/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 xml:space="preserve">Calidad de audio ≥ 4,5 en la escala de degradación 5° de la </w:t>
            </w:r>
            <w:r w:rsidRPr="00830B0C">
              <w:rPr>
                <w:rFonts w:eastAsia="Malgun Gothic"/>
                <w:lang w:val="es-ES_tradnl" w:eastAsia="ja-JP"/>
              </w:rPr>
              <w:t>Rec. UIT-R BS.1548.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Comparable a una MIC lineal sin comprimir</w:t>
            </w:r>
            <w:r w:rsidRPr="00830B0C">
              <w:rPr>
                <w:lang w:val="es-ES_tradnl" w:eastAsia="ja-JP"/>
              </w:rPr>
              <w:t xml:space="preserve"> </w:t>
            </w:r>
            <w:r w:rsidRPr="00830B0C">
              <w:rPr>
                <w:rFonts w:eastAsia="Malgun Gothic"/>
                <w:lang w:val="es-ES_tradnl" w:eastAsia="ja-JP"/>
              </w:rPr>
              <w:t>(48 kHz, 16 bit/canal, o más)</w:t>
            </w:r>
          </w:p>
        </w:tc>
        <w:tc>
          <w:tcPr>
            <w:tcW w:w="4252" w:type="dxa"/>
            <w:shd w:val="clear" w:color="auto" w:fill="auto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Señal de sonido sin comprimir: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MIC lineal (p. e. 768 kbit/s por canal para 48kHz, 16 bits o 1 152 bits por canal para 48 kHz, 24 bits)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Señal de sonido comprimida: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 xml:space="preserve">p. e. MPEG-1 capa II 180 kbit/s por canal o </w:t>
            </w:r>
            <w:r w:rsidRPr="00830B0C">
              <w:rPr>
                <w:rFonts w:eastAsia="Malgun Gothic"/>
                <w:lang w:val="es-ES_tradnl"/>
              </w:rPr>
              <w:t>MPEG-4 HE-AAC v2 con 96 kbit/s por canal.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Véase Rec. UIT-R BS.1196</w:t>
            </w:r>
          </w:p>
        </w:tc>
      </w:tr>
    </w:tbl>
    <w:p w:rsidR="000D328D" w:rsidRPr="00830B0C" w:rsidRDefault="000D328D" w:rsidP="000D328D">
      <w:pPr>
        <w:pStyle w:val="Tablefin"/>
        <w:rPr>
          <w:lang w:val="es-ES_tradnl" w:eastAsia="ja-JP"/>
        </w:rPr>
      </w:pPr>
    </w:p>
    <w:p w:rsidR="000D328D" w:rsidRPr="00830B0C" w:rsidRDefault="000D328D" w:rsidP="000D328D">
      <w:pPr>
        <w:pStyle w:val="TableNo"/>
        <w:rPr>
          <w:lang w:val="es-ES_tradnl" w:eastAsia="ja-JP"/>
        </w:rPr>
      </w:pPr>
      <w:r w:rsidRPr="00830B0C">
        <w:rPr>
          <w:lang w:val="es-ES_tradnl" w:eastAsia="ja-JP"/>
        </w:rPr>
        <w:lastRenderedPageBreak/>
        <w:t>CUADRO 2</w:t>
      </w:r>
    </w:p>
    <w:p w:rsidR="000D328D" w:rsidRPr="00830B0C" w:rsidRDefault="000D328D" w:rsidP="000D328D">
      <w:pPr>
        <w:pStyle w:val="Tabletitle"/>
        <w:keepLines/>
        <w:rPr>
          <w:lang w:val="es-ES_tradnl"/>
        </w:rPr>
      </w:pPr>
      <w:r w:rsidRPr="00830B0C">
        <w:rPr>
          <w:lang w:val="es-ES_tradnl"/>
        </w:rPr>
        <w:t xml:space="preserve">Requisitos de usuario y ejemplo de parámetros técnicos para la transmisión </w:t>
      </w:r>
      <w:r w:rsidRPr="00830B0C">
        <w:rPr>
          <w:lang w:val="es-ES_tradnl"/>
        </w:rPr>
        <w:br/>
        <w:t>de señales de TVAD/TV convencional digital en el servicio fijo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7"/>
        <w:gridCol w:w="1186"/>
        <w:gridCol w:w="3411"/>
        <w:gridCol w:w="3855"/>
      </w:tblGrid>
      <w:tr w:rsidR="000D328D" w:rsidRPr="00830B0C" w:rsidTr="00043B51">
        <w:trPr>
          <w:cantSplit/>
          <w:tblHeader/>
          <w:jc w:val="center"/>
        </w:trPr>
        <w:tc>
          <w:tcPr>
            <w:tcW w:w="1134" w:type="dxa"/>
            <w:gridSpan w:val="2"/>
          </w:tcPr>
          <w:p w:rsidR="000D328D" w:rsidRPr="00830B0C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Requisitos de usuario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Ejemplo de parámetros técnicos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60" w:type="dxa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685" w:type="dxa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tabs>
                <w:tab w:val="clear" w:pos="1134"/>
                <w:tab w:val="clear" w:pos="1418"/>
                <w:tab w:val="left" w:pos="1169"/>
              </w:tabs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60" w:type="dxa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8 MHz</w:t>
            </w:r>
            <w:r w:rsidRPr="00830B0C">
              <w:rPr>
                <w:lang w:val="es-ES_tradnl" w:eastAsia="ja-JP"/>
              </w:rPr>
              <w:t>, 9 MHz, 18 MHz y </w:t>
            </w:r>
            <w:r w:rsidRPr="00830B0C">
              <w:rPr>
                <w:rFonts w:eastAsia="Malgun Gothic"/>
                <w:lang w:val="es-ES_tradnl" w:eastAsia="ja-JP"/>
              </w:rPr>
              <w:t>24</w:t>
            </w:r>
            <w:r w:rsidRPr="00830B0C">
              <w:rPr>
                <w:lang w:val="es-ES_tradnl"/>
              </w:rPr>
              <w:t> </w:t>
            </w:r>
            <w:r w:rsidRPr="00830B0C">
              <w:rPr>
                <w:rFonts w:eastAsia="Malgun Gothic"/>
                <w:lang w:val="es-ES_tradnl" w:eastAsia="ja-JP"/>
              </w:rPr>
              <w:t>MHz</w:t>
            </w:r>
          </w:p>
        </w:tc>
        <w:tc>
          <w:tcPr>
            <w:tcW w:w="3685" w:type="dxa"/>
            <w:vMerge w:val="restart"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  <w:r w:rsidRPr="00333785">
              <w:rPr>
                <w:lang w:val="fr-CH" w:eastAsia="ja-JP"/>
              </w:rPr>
              <w:t>Véase la Rec. UIT-R F.1777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60" w:type="dxa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1,</w:t>
            </w:r>
            <w:r w:rsidRPr="00830B0C">
              <w:rPr>
                <w:lang w:val="es-ES_tradnl" w:eastAsia="ja-JP"/>
              </w:rPr>
              <w:t>76-7</w:t>
            </w:r>
            <w:r w:rsidRPr="00830B0C">
              <w:rPr>
                <w:lang w:val="es-ES_tradnl"/>
              </w:rPr>
              <w:t> </w:t>
            </w:r>
            <w:r w:rsidRPr="00830B0C">
              <w:rPr>
                <w:lang w:val="es-ES_tradnl" w:eastAsia="ja-JP"/>
              </w:rPr>
              <w:t>dB</w:t>
            </w:r>
            <w:r w:rsidRPr="00830B0C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685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333785" w:rsidTr="00043B51">
        <w:trPr>
          <w:cantSplit/>
          <w:jc w:val="center"/>
        </w:trPr>
        <w:tc>
          <w:tcPr>
            <w:tcW w:w="1134" w:type="dxa"/>
            <w:gridSpan w:val="2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60" w:type="dxa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685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333785" w:rsidTr="00043B51">
        <w:trPr>
          <w:cantSplit/>
          <w:jc w:val="center"/>
        </w:trPr>
        <w:tc>
          <w:tcPr>
            <w:tcW w:w="1134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</w:t>
            </w:r>
          </w:p>
        </w:tc>
        <w:tc>
          <w:tcPr>
            <w:tcW w:w="1134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Tx</w:t>
            </w:r>
          </w:p>
        </w:tc>
        <w:tc>
          <w:tcPr>
            <w:tcW w:w="3260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Parábola de 0,6 m</w:t>
            </w:r>
          </w:p>
        </w:tc>
        <w:tc>
          <w:tcPr>
            <w:tcW w:w="3685" w:type="dxa"/>
            <w:vMerge w:val="restart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Distancia de transmisión:</w:t>
            </w:r>
            <w:r w:rsidRPr="00830B0C">
              <w:rPr>
                <w:rFonts w:eastAsia="Malgun Gothic"/>
                <w:lang w:val="es-ES_tradnl" w:eastAsia="ja-JP"/>
              </w:rPr>
              <w:br/>
              <w:t>6-7 GHz: 50-100 km</w:t>
            </w:r>
            <w:r w:rsidRPr="00830B0C">
              <w:rPr>
                <w:rFonts w:eastAsia="Malgun Gothic"/>
                <w:lang w:val="es-ES_tradnl" w:eastAsia="ja-JP"/>
              </w:rPr>
              <w:br/>
            </w:r>
            <w:r w:rsidRPr="00830B0C">
              <w:rPr>
                <w:rFonts w:eastAsia="Malgun Gothic"/>
                <w:lang w:val="es-ES_tradnl" w:eastAsia="ja-JP"/>
              </w:rPr>
              <w:tab/>
              <w:t xml:space="preserve">(dependiendo del margen </w:t>
            </w:r>
            <w:r w:rsidRPr="00830B0C">
              <w:rPr>
                <w:rFonts w:eastAsia="Malgun Gothic"/>
                <w:lang w:val="es-ES_tradnl" w:eastAsia="ja-JP"/>
              </w:rPr>
              <w:tab/>
              <w:t>necesario)</w:t>
            </w:r>
            <w:r w:rsidRPr="00830B0C">
              <w:rPr>
                <w:rFonts w:eastAsia="Malgun Gothic"/>
                <w:lang w:val="es-ES_tradnl" w:eastAsia="ja-JP"/>
              </w:rPr>
              <w:br/>
              <w:t>10 GHz: 7 km</w:t>
            </w:r>
            <w:r w:rsidRPr="00830B0C">
              <w:rPr>
                <w:rFonts w:eastAsia="Malgun Gothic"/>
                <w:lang w:val="es-ES_tradnl" w:eastAsia="ja-JP"/>
              </w:rPr>
              <w:br/>
            </w:r>
            <w:r w:rsidRPr="00830B0C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830B0C">
              <w:rPr>
                <w:rFonts w:eastAsia="Malgun Gothic"/>
                <w:lang w:val="es-ES_tradnl" w:eastAsia="ja-JP"/>
              </w:rPr>
              <w:tab/>
              <w:t xml:space="preserve">necesario) </w:t>
            </w:r>
            <w:r w:rsidRPr="00830B0C">
              <w:rPr>
                <w:rFonts w:eastAsia="Malgun Gothic"/>
                <w:lang w:val="es-ES_tradnl" w:eastAsia="ja-JP"/>
              </w:rPr>
              <w:br/>
              <w:t>13 GHz: 5 km</w:t>
            </w:r>
            <w:r w:rsidRPr="00830B0C">
              <w:rPr>
                <w:rFonts w:eastAsia="Malgun Gothic"/>
                <w:lang w:val="es-ES_tradnl" w:eastAsia="ja-JP"/>
              </w:rPr>
              <w:br/>
            </w:r>
            <w:r w:rsidRPr="00830B0C">
              <w:rPr>
                <w:rFonts w:eastAsia="Malgun Gothic"/>
                <w:lang w:val="es-ES_tradnl" w:eastAsia="ja-JP"/>
              </w:rPr>
              <w:tab/>
              <w:t xml:space="preserve">(con el margen de lluvia </w:t>
            </w:r>
            <w:r w:rsidRPr="00830B0C">
              <w:rPr>
                <w:rFonts w:eastAsia="Malgun Gothic"/>
                <w:lang w:val="es-ES_tradnl" w:eastAsia="ja-JP"/>
              </w:rPr>
              <w:tab/>
              <w:t>necesario)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134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134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Rx</w:t>
            </w:r>
          </w:p>
        </w:tc>
        <w:tc>
          <w:tcPr>
            <w:tcW w:w="3260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 xml:space="preserve">Parábola de 0,6 m </w:t>
            </w:r>
          </w:p>
        </w:tc>
        <w:tc>
          <w:tcPr>
            <w:tcW w:w="3685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</w:tr>
      <w:tr w:rsidR="000D328D" w:rsidRPr="00830B0C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MAQ múltiple (16, 32, 64);</w:t>
            </w:r>
            <w:r w:rsidRPr="00830B0C">
              <w:rPr>
                <w:lang w:val="es-ES_tradnl"/>
              </w:rPr>
              <w:br/>
              <w:t>MDP4-MDFD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333785" w:rsidRDefault="000D328D" w:rsidP="00043B51">
            <w:pPr>
              <w:pStyle w:val="Tabletext"/>
              <w:jc w:val="left"/>
              <w:rPr>
                <w:lang w:val="fr-CH"/>
              </w:rPr>
            </w:pPr>
            <w:r w:rsidRPr="00333785">
              <w:rPr>
                <w:lang w:val="fr-CH" w:eastAsia="ja-JP"/>
              </w:rPr>
              <w:t>Véase Rec. UIT-R F.1777</w:t>
            </w:r>
          </w:p>
        </w:tc>
      </w:tr>
      <w:tr w:rsidR="000D328D" w:rsidRPr="00830B0C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Capacidad de transmisión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La necesaria para soportar los anteriores parámetros de transmisión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 w:eastAsia="ja-JP"/>
              </w:rPr>
              <w:t>Hasta 66 Mbit/s (dependiendo de la anchura de banda y la modulación, véase la Rec. UIT</w:t>
            </w:r>
            <w:r w:rsidRPr="00830B0C">
              <w:rPr>
                <w:lang w:val="es-ES_tradnl" w:eastAsia="ja-JP"/>
              </w:rPr>
              <w:noBreakHyphen/>
              <w:t>R F.1777)</w:t>
            </w:r>
          </w:p>
        </w:tc>
      </w:tr>
      <w:tr w:rsidR="000D328D" w:rsidRPr="00333785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El sistema debe ser fiable en todas las condiciones ambientales posibles (temperatura, humedad, etc.)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Temperatura: 0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a 50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C (unidades exteriores)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5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a 45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C (unidades interiores)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Humedad relativa: 95% sin condensación</w:t>
            </w:r>
          </w:p>
        </w:tc>
      </w:tr>
      <w:tr w:rsidR="000D328D" w:rsidRPr="00333785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Facilidad de alineamiento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El sistema debe contar con dispositivos incorporados para general ciertas señales de prueba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Generador de barras de color con 16 identidades de carácter</w:t>
            </w:r>
          </w:p>
        </w:tc>
      </w:tr>
      <w:tr w:rsidR="000D328D" w:rsidRPr="00333785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De pequeño tamaño y poco peso para un funcionamiento fácil y una rápida instalación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  <w:tr w:rsidR="000D328D" w:rsidRPr="00333785" w:rsidTr="00043B51">
        <w:tblPrEx>
          <w:tbl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  <w:insideH w:val="single" w:sz="8" w:space="0" w:color="auto"/>
            <w:insideV w:val="single" w:sz="8" w:space="0" w:color="auto"/>
          </w:tblBorders>
        </w:tblPrEx>
        <w:trPr>
          <w:cantSplit/>
          <w:jc w:val="center"/>
        </w:trPr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Medio de grabación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Debe poder grabar utilizando todos los tipos de medios aceptados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Cintas; DVD; discos Blu Ray y discos duros</w:t>
            </w:r>
          </w:p>
        </w:tc>
      </w:tr>
    </w:tbl>
    <w:p w:rsidR="000D328D" w:rsidRPr="00830B0C" w:rsidRDefault="000D328D" w:rsidP="000D328D">
      <w:pPr>
        <w:pStyle w:val="Tablefin"/>
        <w:rPr>
          <w:lang w:val="es-ES_tradnl"/>
        </w:rPr>
      </w:pPr>
    </w:p>
    <w:p w:rsidR="000D328D" w:rsidRPr="00830B0C" w:rsidRDefault="000D328D" w:rsidP="000D328D">
      <w:pPr>
        <w:pStyle w:val="TableNo"/>
        <w:keepLines/>
        <w:rPr>
          <w:lang w:val="es-ES_tradnl"/>
        </w:rPr>
      </w:pPr>
      <w:r w:rsidRPr="00830B0C">
        <w:rPr>
          <w:lang w:val="es-ES_tradnl"/>
        </w:rPr>
        <w:lastRenderedPageBreak/>
        <w:t>CUADRO 3</w:t>
      </w:r>
    </w:p>
    <w:p w:rsidR="000D328D" w:rsidRPr="00830B0C" w:rsidRDefault="000D328D" w:rsidP="000D328D">
      <w:pPr>
        <w:pStyle w:val="Tabletitle"/>
        <w:keepLines/>
        <w:rPr>
          <w:lang w:val="es-ES_tradnl"/>
        </w:rPr>
      </w:pPr>
      <w:r w:rsidRPr="00830B0C">
        <w:rPr>
          <w:lang w:val="es-ES_tradnl"/>
        </w:rPr>
        <w:t>Requisitos de usuario y ejemplo de parámetros técnicos para la transmisión</w:t>
      </w:r>
      <w:r w:rsidRPr="00830B0C">
        <w:rPr>
          <w:lang w:val="es-ES_tradnl"/>
        </w:rPr>
        <w:br/>
        <w:t>de señales de TVAD/TV convencional digital en el servicio móvil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588"/>
        <w:gridCol w:w="3232"/>
        <w:gridCol w:w="3232"/>
      </w:tblGrid>
      <w:tr w:rsidR="000D328D" w:rsidRPr="00830B0C" w:rsidTr="00043B51">
        <w:trPr>
          <w:cantSplit/>
          <w:tblHeader/>
          <w:jc w:val="center"/>
        </w:trPr>
        <w:tc>
          <w:tcPr>
            <w:tcW w:w="3175" w:type="dxa"/>
            <w:gridSpan w:val="2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Ejemplo de parámetros técnicos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3175" w:type="dxa"/>
            <w:gridSpan w:val="2"/>
            <w:tcBorders>
              <w:top w:val="single" w:sz="4" w:space="0" w:color="auto"/>
            </w:tcBorders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Latencia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Lo más breve posible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&lt; 500 ms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Anchura de banda de transmisión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9 MHz</w:t>
            </w:r>
            <w:r w:rsidRPr="00830B0C">
              <w:rPr>
                <w:lang w:val="es-ES_tradnl" w:eastAsia="ja-JP"/>
              </w:rPr>
              <w:t xml:space="preserve">, </w:t>
            </w:r>
            <w:r w:rsidRPr="00830B0C">
              <w:rPr>
                <w:rFonts w:eastAsia="Malgun Gothic"/>
                <w:lang w:val="es-ES_tradnl" w:eastAsia="ja-JP"/>
              </w:rPr>
              <w:t>18</w:t>
            </w:r>
            <w:r w:rsidRPr="00830B0C">
              <w:rPr>
                <w:lang w:val="es-ES_tradnl"/>
              </w:rPr>
              <w:t> </w:t>
            </w:r>
            <w:r w:rsidRPr="00830B0C">
              <w:rPr>
                <w:rFonts w:eastAsia="Malgun Gothic"/>
                <w:lang w:val="es-ES_tradnl" w:eastAsia="ja-JP"/>
              </w:rPr>
              <w:t>MHz</w:t>
            </w:r>
            <w:r w:rsidRPr="00830B0C">
              <w:rPr>
                <w:lang w:val="es-ES_tradnl" w:eastAsia="ja-JP"/>
              </w:rPr>
              <w:t xml:space="preserve">, </w:t>
            </w:r>
            <w:r w:rsidRPr="00830B0C">
              <w:rPr>
                <w:rFonts w:eastAsia="Malgun Gothic"/>
                <w:lang w:val="es-ES_tradnl" w:eastAsia="ja-JP"/>
              </w:rPr>
              <w:t>2</w:t>
            </w:r>
            <w:r w:rsidRPr="00830B0C">
              <w:rPr>
                <w:lang w:val="es-ES_tradnl" w:eastAsia="ja-JP"/>
              </w:rPr>
              <w:t>7</w:t>
            </w:r>
            <w:r w:rsidRPr="00830B0C">
              <w:rPr>
                <w:lang w:val="es-ES_tradnl"/>
              </w:rPr>
              <w:t> </w:t>
            </w:r>
            <w:r w:rsidRPr="00830B0C">
              <w:rPr>
                <w:rFonts w:eastAsia="Malgun Gothic"/>
                <w:lang w:val="es-ES_tradnl" w:eastAsia="ja-JP"/>
              </w:rPr>
              <w:t>MHz</w:t>
            </w:r>
            <w:r w:rsidRPr="00830B0C">
              <w:rPr>
                <w:lang w:val="es-ES_tradnl" w:eastAsia="ja-JP"/>
              </w:rPr>
              <w:t xml:space="preserve"> y 80 MHz</w:t>
            </w:r>
          </w:p>
        </w:tc>
        <w:tc>
          <w:tcPr>
            <w:tcW w:w="3232" w:type="dxa"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  <w:r w:rsidRPr="00333785">
              <w:rPr>
                <w:lang w:val="fr-CH" w:eastAsia="ja-JP"/>
              </w:rPr>
              <w:t>Véase la Rec. UIT-R M.1824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Ondas decimétricas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>7</w:t>
            </w:r>
            <w:r w:rsidRPr="00830B0C">
              <w:rPr>
                <w:rFonts w:eastAsia="Malgun Gothic"/>
                <w:lang w:val="es-ES_tradnl" w:eastAsia="ja-JP"/>
              </w:rPr>
              <w:t xml:space="preserve"> </w:t>
            </w:r>
            <w:r w:rsidRPr="00830B0C">
              <w:rPr>
                <w:lang w:val="es-ES_tradnl" w:eastAsia="ja-JP"/>
              </w:rPr>
              <w:t>dB</w:t>
            </w:r>
            <w:r w:rsidRPr="00830B0C">
              <w:rPr>
                <w:rFonts w:eastAsia="Malgun Gothic"/>
                <w:lang w:val="es-ES_tradnl" w:eastAsia="ja-JP"/>
              </w:rPr>
              <w:t>W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i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Banda de 800 MHz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Colineal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Yagi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Microondas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Potencia de transmisión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>4 dBW, 7 dBW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Distancia de transmisión: 4 km</w:t>
            </w:r>
          </w:p>
        </w:tc>
      </w:tr>
      <w:tr w:rsidR="000D328D" w:rsidRPr="00333785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Frecuencia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 xml:space="preserve">Bandas 6-7 GHz, 10 GHz y 13 GHz 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Bocina, parabólica, helicoidal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Parábola de 0,3 m</w:t>
            </w:r>
          </w:p>
        </w:tc>
        <w:tc>
          <w:tcPr>
            <w:tcW w:w="3232" w:type="dxa"/>
            <w:vMerge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333785" w:rsidTr="00043B51">
        <w:trPr>
          <w:cantSplit/>
          <w:jc w:val="center"/>
        </w:trPr>
        <w:tc>
          <w:tcPr>
            <w:tcW w:w="1587" w:type="dxa"/>
            <w:vMerge w:val="restart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 bordo de aeronave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Tx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Parábola de 0,2 m</w:t>
            </w:r>
          </w:p>
        </w:tc>
        <w:tc>
          <w:tcPr>
            <w:tcW w:w="3232" w:type="dxa"/>
            <w:vMerge w:val="restart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Distancia de transmisión:</w:t>
            </w:r>
            <w:r w:rsidRPr="00830B0C">
              <w:rPr>
                <w:rFonts w:eastAsia="Malgun Gothic"/>
                <w:lang w:val="es-ES_tradnl" w:eastAsia="ja-JP"/>
              </w:rPr>
              <w:br/>
              <w:t>6-7 GHz: 50-65 km</w:t>
            </w:r>
            <w:r w:rsidRPr="00830B0C">
              <w:rPr>
                <w:rFonts w:eastAsia="Malgun Gothic"/>
                <w:lang w:val="es-ES_tradnl" w:eastAsia="ja-JP"/>
              </w:rPr>
              <w:br/>
              <w:t>(dependiendo del margen necesario)</w:t>
            </w:r>
            <w:r w:rsidRPr="00830B0C">
              <w:rPr>
                <w:rFonts w:eastAsia="Malgun Gothic"/>
                <w:lang w:val="es-ES_tradnl" w:eastAsia="ja-JP"/>
              </w:rPr>
              <w:br/>
              <w:t>10 GHz: 7 km</w:t>
            </w:r>
            <w:r w:rsidRPr="00830B0C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  <w:r w:rsidRPr="00830B0C">
              <w:rPr>
                <w:rFonts w:eastAsia="Malgun Gothic"/>
                <w:lang w:val="es-ES_tradnl" w:eastAsia="ja-JP"/>
              </w:rPr>
              <w:br/>
              <w:t>13 GHz: 5 km</w:t>
            </w:r>
            <w:r w:rsidRPr="00830B0C">
              <w:rPr>
                <w:rFonts w:eastAsia="Malgun Gothic"/>
                <w:lang w:val="es-ES_tradnl" w:eastAsia="ja-JP"/>
              </w:rPr>
              <w:br/>
              <w:t>(con el margen de lluvia necesario)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1587" w:type="dxa"/>
            <w:vMerge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158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Antena de Rx</w:t>
            </w:r>
          </w:p>
        </w:tc>
        <w:tc>
          <w:tcPr>
            <w:tcW w:w="3232" w:type="dxa"/>
            <w:tcBorders>
              <w:bottom w:val="single" w:sz="4" w:space="0" w:color="000000"/>
            </w:tcBorders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Parábola de 1,2 m</w:t>
            </w:r>
          </w:p>
        </w:tc>
        <w:tc>
          <w:tcPr>
            <w:tcW w:w="3232" w:type="dxa"/>
            <w:vMerge/>
            <w:tcBorders>
              <w:bottom w:val="single" w:sz="4" w:space="0" w:color="000000"/>
            </w:tcBorders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</w:p>
        </w:tc>
      </w:tr>
      <w:tr w:rsidR="000D328D" w:rsidRPr="00830B0C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Modulación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lang w:val="es-ES_tradnl"/>
              </w:rPr>
              <w:t>MAQ múltiple (16, 32, 64)</w:t>
            </w:r>
            <w:r w:rsidRPr="00830B0C">
              <w:rPr>
                <w:lang w:val="es-ES_tradnl" w:eastAsia="ja-JP"/>
              </w:rPr>
              <w:t xml:space="preserve">, </w:t>
            </w:r>
            <w:r w:rsidRPr="00830B0C">
              <w:rPr>
                <w:lang w:val="es-ES_tradnl"/>
              </w:rPr>
              <w:t>MDP4</w:t>
            </w:r>
            <w:r w:rsidRPr="00830B0C">
              <w:rPr>
                <w:lang w:val="es-ES_tradnl"/>
              </w:rPr>
              <w:noBreakHyphen/>
              <w:t>MDFD</w:t>
            </w:r>
          </w:p>
        </w:tc>
        <w:tc>
          <w:tcPr>
            <w:tcW w:w="3232" w:type="dxa"/>
          </w:tcPr>
          <w:p w:rsidR="000D328D" w:rsidRPr="00333785" w:rsidRDefault="000D328D" w:rsidP="00043B51">
            <w:pPr>
              <w:pStyle w:val="Tabletext"/>
              <w:jc w:val="left"/>
              <w:rPr>
                <w:rFonts w:eastAsia="Malgun Gothic"/>
                <w:i/>
                <w:lang w:val="fr-CH" w:eastAsia="ja-JP"/>
              </w:rPr>
            </w:pPr>
            <w:r w:rsidRPr="00333785">
              <w:rPr>
                <w:lang w:val="fr-CH" w:eastAsia="ja-JP"/>
              </w:rPr>
              <w:t>Véase la Rec. UIT-R M.1824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 xml:space="preserve">Capacidad de transmisión 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szCs w:val="22"/>
                <w:lang w:val="es-ES_tradnl" w:eastAsia="ja-JP"/>
              </w:rPr>
              <w:t>La necesaria para soportar los anteriores parámetros de transmisión</w:t>
            </w:r>
          </w:p>
        </w:tc>
        <w:tc>
          <w:tcPr>
            <w:tcW w:w="3232" w:type="dxa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830B0C">
              <w:rPr>
                <w:lang w:val="es-ES_tradnl" w:eastAsia="ja-JP"/>
              </w:rPr>
              <w:t>Hasta 60 Mbit/s (dependiendo de la anchura de la banda y la modulación, véase la Rec. UIT</w:t>
            </w:r>
            <w:r w:rsidRPr="00830B0C">
              <w:rPr>
                <w:lang w:val="es-ES_tradnl" w:eastAsia="ja-JP"/>
              </w:rPr>
              <w:noBreakHyphen/>
              <w:t>R M.1824)</w:t>
            </w:r>
          </w:p>
        </w:tc>
      </w:tr>
      <w:tr w:rsidR="000D328D" w:rsidRPr="00333785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Fiabilidad ambiental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szCs w:val="22"/>
                <w:lang w:val="es-ES_tradnl" w:eastAsia="ja-JP"/>
              </w:rPr>
              <w:t>El sistema debe ser fiable en todas las condiciones ambientales posibles (temperatura, humedad, etc.)</w:t>
            </w:r>
          </w:p>
        </w:tc>
        <w:tc>
          <w:tcPr>
            <w:tcW w:w="3232" w:type="dxa"/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Temperatura: 0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a 50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C (unidades exteriores)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  <w:r w:rsidRPr="00830B0C">
              <w:rPr>
                <w:lang w:val="es-ES_tradnl"/>
              </w:rPr>
              <w:t>5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a 45</w:t>
            </w:r>
            <w:r w:rsidRPr="00830B0C">
              <w:rPr>
                <w:lang w:val="es-ES_tradnl" w:eastAsia="ja-JP"/>
              </w:rPr>
              <w:t>°</w:t>
            </w:r>
            <w:r w:rsidRPr="00830B0C">
              <w:rPr>
                <w:lang w:val="es-ES_tradnl"/>
              </w:rPr>
              <w:t xml:space="preserve"> C (unidades interiores)</w:t>
            </w:r>
          </w:p>
          <w:p w:rsidR="000D328D" w:rsidRPr="00830B0C" w:rsidRDefault="000D328D" w:rsidP="00043B51">
            <w:pPr>
              <w:pStyle w:val="Tabletext"/>
              <w:jc w:val="left"/>
              <w:rPr>
                <w:rFonts w:eastAsia="Malgun Gothic"/>
                <w:i/>
                <w:lang w:val="es-ES_tradnl" w:eastAsia="ja-JP"/>
              </w:rPr>
            </w:pPr>
            <w:r w:rsidRPr="00830B0C">
              <w:rPr>
                <w:lang w:val="es-ES_tradnl"/>
              </w:rPr>
              <w:t>Humedad relativa: 95% sin condensación</w:t>
            </w:r>
          </w:p>
        </w:tc>
      </w:tr>
      <w:tr w:rsidR="000D328D" w:rsidRPr="00333785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 xml:space="preserve">Facilidad de alineamiento 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830B0C">
              <w:rPr>
                <w:szCs w:val="22"/>
                <w:lang w:val="es-ES_tradnl" w:eastAsia="ja-JP"/>
              </w:rPr>
              <w:t>El sistema debe contar con dispositivos incorporados para general ciertas señales de prueba</w:t>
            </w:r>
          </w:p>
        </w:tc>
        <w:tc>
          <w:tcPr>
            <w:tcW w:w="3232" w:type="dxa"/>
          </w:tcPr>
          <w:p w:rsidR="000D328D" w:rsidRPr="00830B0C" w:rsidRDefault="000D328D" w:rsidP="00043B51">
            <w:pPr>
              <w:jc w:val="left"/>
              <w:rPr>
                <w:lang w:val="es-ES_tradnl"/>
              </w:rPr>
            </w:pPr>
            <w:r w:rsidRPr="00830B0C">
              <w:rPr>
                <w:sz w:val="22"/>
                <w:lang w:val="es-ES_tradnl"/>
              </w:rPr>
              <w:t>Generador de barras de color con 16 identidades de carácter</w:t>
            </w:r>
          </w:p>
        </w:tc>
      </w:tr>
      <w:tr w:rsidR="000D328D" w:rsidRPr="00333785" w:rsidTr="00043B51">
        <w:trPr>
          <w:cantSplit/>
          <w:jc w:val="center"/>
        </w:trPr>
        <w:tc>
          <w:tcPr>
            <w:tcW w:w="3175" w:type="dxa"/>
            <w:gridSpan w:val="2"/>
          </w:tcPr>
          <w:p w:rsidR="000D328D" w:rsidRPr="00830B0C" w:rsidRDefault="000D328D" w:rsidP="00043B51">
            <w:pPr>
              <w:pStyle w:val="Tabletext"/>
              <w:jc w:val="left"/>
              <w:rPr>
                <w:bCs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Tamaño y peso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szCs w:val="22"/>
                <w:lang w:val="es-ES_tradnl" w:eastAsia="ja-JP"/>
              </w:rPr>
            </w:pPr>
            <w:r w:rsidRPr="00830B0C">
              <w:rPr>
                <w:szCs w:val="22"/>
                <w:lang w:val="es-ES_tradnl" w:eastAsia="ja-JP"/>
              </w:rPr>
              <w:t>De pequeño tamaño y poco peso para un funcionamiento fácil y una rápida instalación</w:t>
            </w:r>
          </w:p>
        </w:tc>
        <w:tc>
          <w:tcPr>
            <w:tcW w:w="3232" w:type="dxa"/>
            <w:vAlign w:val="center"/>
          </w:tcPr>
          <w:p w:rsidR="000D328D" w:rsidRPr="00830B0C" w:rsidRDefault="000D328D" w:rsidP="00043B51">
            <w:pPr>
              <w:pStyle w:val="Tabletext"/>
              <w:jc w:val="left"/>
              <w:rPr>
                <w:lang w:val="es-ES_tradnl"/>
              </w:rPr>
            </w:pPr>
          </w:p>
        </w:tc>
      </w:tr>
    </w:tbl>
    <w:p w:rsidR="000D328D" w:rsidRPr="00830B0C" w:rsidRDefault="000D328D" w:rsidP="000D328D">
      <w:pPr>
        <w:pStyle w:val="Tablefin"/>
        <w:rPr>
          <w:lang w:val="es-ES_tradnl"/>
        </w:rPr>
      </w:pPr>
    </w:p>
    <w:p w:rsidR="000D328D" w:rsidRPr="00830B0C" w:rsidRDefault="000D328D" w:rsidP="000D328D">
      <w:pPr>
        <w:pStyle w:val="TableNo"/>
        <w:keepLines/>
        <w:rPr>
          <w:lang w:val="es-ES_tradnl"/>
        </w:rPr>
      </w:pPr>
      <w:r w:rsidRPr="00830B0C">
        <w:rPr>
          <w:lang w:val="es-ES_tradnl"/>
        </w:rPr>
        <w:lastRenderedPageBreak/>
        <w:t>CUADRO 4</w:t>
      </w:r>
    </w:p>
    <w:p w:rsidR="000D328D" w:rsidRPr="00830B0C" w:rsidRDefault="000D328D" w:rsidP="000D328D">
      <w:pPr>
        <w:pStyle w:val="Tabletitle"/>
        <w:keepLines/>
        <w:rPr>
          <w:lang w:val="es-ES_tradnl"/>
        </w:rPr>
      </w:pPr>
      <w:r w:rsidRPr="00830B0C">
        <w:rPr>
          <w:lang w:val="es-ES_tradnl"/>
        </w:rPr>
        <w:t xml:space="preserve">Requisitos de usuario y parámetros técnicos en términos de calidad de vídeo y audio básica para la transmisión de señales digitales de TVUAD utilizando sistemas de ENG 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75"/>
        <w:gridCol w:w="3232"/>
        <w:gridCol w:w="3232"/>
      </w:tblGrid>
      <w:tr w:rsidR="000D328D" w:rsidRPr="00830B0C" w:rsidTr="00CB740B">
        <w:trPr>
          <w:cantSplit/>
          <w:tblHeader/>
          <w:jc w:val="center"/>
        </w:trPr>
        <w:tc>
          <w:tcPr>
            <w:tcW w:w="3175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/>
              </w:rPr>
              <w:t>Elemento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Requisitos de usuario</w:t>
            </w:r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head"/>
              <w:keepLines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Parámetros técnicos</w:t>
            </w:r>
          </w:p>
        </w:tc>
      </w:tr>
      <w:tr w:rsidR="000D328D" w:rsidRPr="00830B0C" w:rsidTr="00CB740B">
        <w:trPr>
          <w:cantSplit/>
          <w:trHeight w:val="277"/>
          <w:jc w:val="center"/>
        </w:trPr>
        <w:tc>
          <w:tcPr>
            <w:tcW w:w="3175" w:type="dxa"/>
            <w:vMerge w:val="restart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Calidad básica de la señal de vídeo</w:t>
            </w:r>
          </w:p>
        </w:tc>
        <w:tc>
          <w:tcPr>
            <w:tcW w:w="3232" w:type="dxa"/>
            <w:vMerge w:val="restart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bCs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 xml:space="preserve">Degradación de la calidad de imagen </w:t>
            </w:r>
            <w:r w:rsidRPr="00830B0C">
              <w:rPr>
                <w:bCs/>
                <w:lang w:val="es-ES_tradnl" w:eastAsia="ja-JP"/>
              </w:rPr>
              <w:t>≤ 12% con el método DSCQS según se especifica en la Rec. UIT-R BT.1868.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bCs/>
                <w:lang w:val="es-ES_tradnl" w:eastAsia="ja-JP"/>
              </w:rPr>
              <w:t>(Véase también la Rec. UIT-R BT.1203</w:t>
            </w: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/>
              </w:rPr>
            </w:pPr>
            <w:r w:rsidRPr="00830B0C">
              <w:rPr>
                <w:rFonts w:eastAsia="Malgun Gothic"/>
                <w:lang w:val="es-ES_tradnl" w:eastAsia="ja-JP"/>
              </w:rPr>
              <w:t>TVUAD 8K:</w:t>
            </w:r>
          </w:p>
        </w:tc>
      </w:tr>
      <w:tr w:rsidR="000D328D" w:rsidRPr="00830B0C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285 Mbit/s</w:t>
            </w:r>
          </w:p>
          <w:p w:rsidR="000D328D" w:rsidRPr="00333785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fr-CH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(</w:t>
            </w:r>
            <w:proofErr w:type="gramStart"/>
            <w:r w:rsidRPr="00830B0C">
              <w:rPr>
                <w:rFonts w:eastAsia="Malgun Gothic"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lang w:val="es-ES_tradnl" w:eastAsia="ja-JP"/>
              </w:rPr>
              <w:t xml:space="preserve"> ISO/IEC 23008-2 | Rec. </w:t>
            </w:r>
            <w:r w:rsidRPr="00333785">
              <w:rPr>
                <w:rFonts w:eastAsia="Malgun Gothic"/>
                <w:lang w:val="fr-CH" w:eastAsia="ja-JP"/>
              </w:rPr>
              <w:t>UIT</w:t>
            </w:r>
            <w:r w:rsidRPr="00333785">
              <w:rPr>
                <w:rFonts w:eastAsia="Malgun Gothic"/>
                <w:lang w:val="fr-CH" w:eastAsia="ja-JP"/>
              </w:rPr>
              <w:noBreakHyphen/>
              <w:t>T H.265 Main 422 10 Nivel 6.1)</w:t>
            </w:r>
          </w:p>
        </w:tc>
      </w:tr>
      <w:tr w:rsidR="000D328D" w:rsidRPr="00830B0C" w:rsidTr="00CB740B">
        <w:trPr>
          <w:cantSplit/>
          <w:trHeight w:val="276"/>
          <w:jc w:val="center"/>
        </w:trPr>
        <w:tc>
          <w:tcPr>
            <w:tcW w:w="3175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140 Mbit/s</w:t>
            </w:r>
          </w:p>
          <w:p w:rsidR="000D328D" w:rsidRPr="00333785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fr-CH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(</w:t>
            </w:r>
            <w:proofErr w:type="gramStart"/>
            <w:r w:rsidRPr="00830B0C">
              <w:rPr>
                <w:rFonts w:eastAsia="Malgun Gothic"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lang w:val="es-ES_tradnl" w:eastAsia="ja-JP"/>
              </w:rPr>
              <w:t xml:space="preserve"> ISO/IEC 23008-2 | Rec. </w:t>
            </w:r>
            <w:r w:rsidRPr="00333785">
              <w:rPr>
                <w:rFonts w:eastAsia="Malgun Gothic"/>
                <w:lang w:val="fr-CH" w:eastAsia="ja-JP"/>
              </w:rPr>
              <w:t>UIT</w:t>
            </w:r>
            <w:r w:rsidRPr="00333785">
              <w:rPr>
                <w:rFonts w:eastAsia="Malgun Gothic"/>
                <w:lang w:val="fr-CH" w:eastAsia="ja-JP"/>
              </w:rPr>
              <w:noBreakHyphen/>
              <w:t>T H.265 Main 422 10 Nivel 6.1)</w:t>
            </w:r>
          </w:p>
        </w:tc>
      </w:tr>
      <w:tr w:rsidR="000D328D" w:rsidRPr="00830B0C" w:rsidTr="00CB740B">
        <w:trPr>
          <w:cantSplit/>
          <w:trHeight w:val="314"/>
          <w:jc w:val="center"/>
        </w:trPr>
        <w:tc>
          <w:tcPr>
            <w:tcW w:w="3175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tcBorders>
              <w:top w:val="single" w:sz="4" w:space="0" w:color="auto"/>
              <w:bottom w:val="nil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TVUAD 4K:</w:t>
            </w:r>
          </w:p>
        </w:tc>
      </w:tr>
      <w:tr w:rsidR="000D328D" w:rsidRPr="00830B0C" w:rsidTr="00043B51">
        <w:trPr>
          <w:cantSplit/>
          <w:trHeight w:val="1628"/>
          <w:jc w:val="center"/>
        </w:trPr>
        <w:tc>
          <w:tcPr>
            <w:tcW w:w="3175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vMerge/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</w:p>
        </w:tc>
        <w:tc>
          <w:tcPr>
            <w:tcW w:w="3232" w:type="dxa"/>
            <w:tcBorders>
              <w:top w:val="nil"/>
              <w:bottom w:val="nil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Velocidad binaria del vídeo para 3 códecs en tándem: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145 Mbit/s</w:t>
            </w:r>
          </w:p>
          <w:p w:rsidR="000D328D" w:rsidRPr="00333785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fr-CH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(</w:t>
            </w:r>
            <w:proofErr w:type="gramStart"/>
            <w:r w:rsidRPr="00830B0C">
              <w:rPr>
                <w:rFonts w:eastAsia="Malgun Gothic"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lang w:val="es-ES_tradnl" w:eastAsia="ja-JP"/>
              </w:rPr>
              <w:t xml:space="preserve"> ISO/IEC 23008-2 | Rec. </w:t>
            </w:r>
            <w:r w:rsidRPr="00333785">
              <w:rPr>
                <w:rFonts w:eastAsia="Malgun Gothic"/>
                <w:lang w:val="fr-CH" w:eastAsia="ja-JP"/>
              </w:rPr>
              <w:t>UIT</w:t>
            </w:r>
            <w:r w:rsidRPr="00333785">
              <w:rPr>
                <w:rFonts w:eastAsia="Malgun Gothic"/>
                <w:lang w:val="fr-CH" w:eastAsia="ja-JP"/>
              </w:rPr>
              <w:noBreakHyphen/>
              <w:t>T H.265 Main 422 10 Nivel 5.1)</w:t>
            </w:r>
          </w:p>
        </w:tc>
      </w:tr>
      <w:tr w:rsidR="000D328D" w:rsidRPr="00830B0C" w:rsidTr="00043B51">
        <w:trPr>
          <w:cantSplit/>
          <w:trHeight w:val="1679"/>
          <w:jc w:val="center"/>
        </w:trPr>
        <w:tc>
          <w:tcPr>
            <w:tcW w:w="3175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vMerge/>
          </w:tcPr>
          <w:p w:rsidR="000D328D" w:rsidRPr="00333785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fr-CH" w:eastAsia="ja-JP"/>
              </w:rPr>
            </w:pPr>
          </w:p>
        </w:tc>
        <w:tc>
          <w:tcPr>
            <w:tcW w:w="3232" w:type="dxa"/>
            <w:tcBorders>
              <w:top w:val="nil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Velocidad binaria del vídeo para un códec sencillo: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96 Mbit/s</w:t>
            </w:r>
          </w:p>
          <w:p w:rsidR="000D328D" w:rsidRPr="00333785" w:rsidRDefault="000D328D" w:rsidP="00043B51">
            <w:pPr>
              <w:pStyle w:val="Tabletext"/>
              <w:keepNext/>
              <w:keepLines/>
              <w:ind w:left="284"/>
              <w:jc w:val="left"/>
              <w:rPr>
                <w:rFonts w:eastAsia="Malgun Gothic"/>
                <w:lang w:val="fr-CH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(</w:t>
            </w:r>
            <w:proofErr w:type="gramStart"/>
            <w:r w:rsidRPr="00830B0C">
              <w:rPr>
                <w:rFonts w:eastAsia="Malgun Gothic"/>
                <w:lang w:val="es-ES_tradnl" w:eastAsia="ja-JP"/>
              </w:rPr>
              <w:t>utilizando</w:t>
            </w:r>
            <w:proofErr w:type="gramEnd"/>
            <w:r w:rsidRPr="00830B0C">
              <w:rPr>
                <w:rFonts w:eastAsia="Malgun Gothic"/>
                <w:lang w:val="es-ES_tradnl" w:eastAsia="ja-JP"/>
              </w:rPr>
              <w:t xml:space="preserve"> ISO/IEC 23008-2 | Rec. </w:t>
            </w:r>
            <w:r w:rsidRPr="00333785">
              <w:rPr>
                <w:rFonts w:eastAsia="Malgun Gothic"/>
                <w:lang w:val="fr-CH" w:eastAsia="ja-JP"/>
              </w:rPr>
              <w:t>UIT-T H.265 Main 422 10 Nivel 5.1)</w:t>
            </w:r>
          </w:p>
        </w:tc>
      </w:tr>
      <w:tr w:rsidR="000D328D" w:rsidRPr="00830B0C" w:rsidTr="00043B51">
        <w:trPr>
          <w:cantSplit/>
          <w:jc w:val="center"/>
        </w:trPr>
        <w:tc>
          <w:tcPr>
            <w:tcW w:w="3175" w:type="dxa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Calidad básica de la señal de audio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Calidad de audio ≥ 4,5 en la escala de degradación 5° de la Rec. UIT-R BS.1548.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Comparable a una MIC lineal sin comprimir (48 kHz, 16 bit/canal, o más)</w:t>
            </w:r>
          </w:p>
        </w:tc>
        <w:tc>
          <w:tcPr>
            <w:tcW w:w="3232" w:type="dxa"/>
            <w:tcBorders>
              <w:top w:val="single" w:sz="4" w:space="0" w:color="auto"/>
            </w:tcBorders>
          </w:tcPr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Señal de audio sin comprimir: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MIC lineal (p. e. 768 kbit/s por canal para 48 kHz, 16 bits o 1 152 kbit/s por canal para 48 kHz, 24 bits)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Señal de audio comprimida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p. e. MPEG-1 capa II 180 kbit/s por canal o MPEG-4 HE-AAC v2 con 96 kbit/s por canal</w:t>
            </w:r>
          </w:p>
          <w:p w:rsidR="000D328D" w:rsidRPr="00830B0C" w:rsidRDefault="000D328D" w:rsidP="00043B51">
            <w:pPr>
              <w:pStyle w:val="Tabletext"/>
              <w:keepNext/>
              <w:keepLines/>
              <w:jc w:val="left"/>
              <w:rPr>
                <w:rFonts w:eastAsia="Malgun Gothic"/>
                <w:lang w:val="es-ES_tradnl" w:eastAsia="ja-JP"/>
              </w:rPr>
            </w:pPr>
            <w:r w:rsidRPr="00830B0C">
              <w:rPr>
                <w:rFonts w:eastAsia="Malgun Gothic"/>
                <w:lang w:val="es-ES_tradnl" w:eastAsia="ja-JP"/>
              </w:rPr>
              <w:t>Véase la Rec. UIT-R BS.1196</w:t>
            </w:r>
          </w:p>
        </w:tc>
      </w:tr>
    </w:tbl>
    <w:p w:rsidR="000D328D" w:rsidRPr="00830B0C" w:rsidRDefault="000D328D" w:rsidP="000D328D">
      <w:pPr>
        <w:pStyle w:val="Reasons"/>
        <w:rPr>
          <w:lang w:val="es-ES_tradnl"/>
        </w:rPr>
      </w:pPr>
    </w:p>
    <w:p w:rsidR="000D328D" w:rsidRPr="00830B0C" w:rsidRDefault="000D328D" w:rsidP="000D328D">
      <w:pPr>
        <w:jc w:val="center"/>
        <w:rPr>
          <w:lang w:val="es-ES_tradnl"/>
        </w:rPr>
      </w:pPr>
      <w:r w:rsidRPr="00830B0C">
        <w:rPr>
          <w:lang w:val="es-ES_tradnl"/>
        </w:rPr>
        <w:t>______________</w:t>
      </w:r>
    </w:p>
    <w:p w:rsidR="00F77F28" w:rsidRDefault="00F77F28" w:rsidP="00344123">
      <w:pPr>
        <w:pStyle w:val="RecNo"/>
        <w:spacing w:before="0"/>
        <w:rPr>
          <w:lang w:val="es-ES_tradnl"/>
        </w:rPr>
      </w:pPr>
    </w:p>
    <w:sectPr w:rsidR="00F77F28" w:rsidSect="005B32D4">
      <w:headerReference w:type="even" r:id="rId14"/>
      <w:headerReference w:type="default" r:id="rId15"/>
      <w:pgSz w:w="11907" w:h="16834" w:code="9"/>
      <w:pgMar w:top="1418" w:right="1134" w:bottom="1134" w:left="1134" w:header="720" w:footer="482" w:gutter="0"/>
      <w:paperSrc w:first="7" w:other="7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98C" w:rsidRDefault="00AE798C">
      <w:r>
        <w:separator/>
      </w:r>
    </w:p>
  </w:endnote>
  <w:endnote w:type="continuationSeparator" w:id="0">
    <w:p w:rsidR="00AE798C" w:rsidRDefault="00AE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98C" w:rsidRDefault="00AE798C">
      <w:r>
        <w:separator/>
      </w:r>
    </w:p>
  </w:footnote>
  <w:footnote w:type="continuationSeparator" w:id="0">
    <w:p w:rsidR="00AE798C" w:rsidRDefault="00AE79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CC6858" w:rsidP="009E1F8B">
    <w:pPr>
      <w:pStyle w:val="Header"/>
      <w:ind w:right="360" w:firstLine="360"/>
    </w:pPr>
    <w:r>
      <w:rPr>
        <w:noProof/>
        <w:lang w:val="en-GB" w:eastAsia="zh-CN"/>
      </w:rPr>
      <w:drawing>
        <wp:anchor distT="0" distB="0" distL="114300" distR="114300" simplePos="0" relativeHeight="251656704" behindDoc="1" locked="0" layoutInCell="1" allowOverlap="1" wp14:anchorId="5701B1D6" wp14:editId="771042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F35BEB" w:rsidP="00091138">
    <w:pPr>
      <w:pStyle w:val="Header"/>
      <w:jc w:val="both"/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0B69A6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987473">
      <w:tab/>
    </w:r>
    <w:fldSimple w:instr=" DOCPROPERTY &quot;Header&quot; \* MERGEFORMAT ">
      <w:r w:rsidR="000B69A6" w:rsidRPr="000B69A6">
        <w:rPr>
          <w:b/>
          <w:bCs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</w:rPr>
      <w:instrText>styleref href</w:instrText>
    </w:r>
    <w:r>
      <w:rPr>
        <w:b/>
        <w:bCs/>
      </w:rPr>
      <w:fldChar w:fldCharType="separate"/>
    </w:r>
    <w:r w:rsidR="000B69A6">
      <w:rPr>
        <w:b/>
        <w:bCs/>
        <w:noProof/>
      </w:rPr>
      <w:t>UIT-R  BT.1872-1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</w:pPr>
    <w:r>
      <w:tab/>
    </w:r>
    <w:fldSimple w:instr=" DOCPROPERTY &quot;Header&quot; \* MERGEFORMAT ">
      <w:r w:rsidR="000B69A6" w:rsidRPr="000B69A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0B69A6">
      <w:rPr>
        <w:b/>
        <w:bCs/>
        <w:noProof/>
      </w:rPr>
      <w:t>UIT-R  BT.1872-1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F35BEB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F35BEB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 w:rsidR="00987473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B5FDD">
      <w:rPr>
        <w:rStyle w:val="PageNumber"/>
        <w:b/>
        <w:bCs/>
        <w:noProof/>
        <w:lang w:val="en-US"/>
      </w:rPr>
      <w:t>6</w:t>
    </w:r>
    <w:r>
      <w:rPr>
        <w:rStyle w:val="PageNumber"/>
        <w:b/>
        <w:bCs/>
      </w:rPr>
      <w:fldChar w:fldCharType="end"/>
    </w:r>
    <w:r w:rsidR="00987473">
      <w:rPr>
        <w:lang w:val="en-US"/>
      </w:rPr>
      <w:tab/>
    </w:r>
    <w:fldSimple w:instr=" DOCPROPERTY &quot;Header&quot; \* MERGEFORMAT ">
      <w:r w:rsidR="000B69A6" w:rsidRPr="000B69A6">
        <w:rPr>
          <w:b/>
          <w:bCs/>
          <w:lang w:val="en-US"/>
        </w:rPr>
        <w:t xml:space="preserve">Rec. </w:t>
      </w:r>
    </w:fldSimple>
    <w:r w:rsidR="00987473">
      <w:rPr>
        <w:b/>
        <w:bCs/>
      </w:rPr>
      <w:t xml:space="preserve"> </w:t>
    </w:r>
    <w:r>
      <w:rPr>
        <w:b/>
        <w:bCs/>
      </w:rPr>
      <w:fldChar w:fldCharType="begin"/>
    </w:r>
    <w:r w:rsidR="00987473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DB5FDD">
      <w:rPr>
        <w:b/>
        <w:bCs/>
        <w:noProof/>
      </w:rPr>
      <w:t>UIT-R  BT.1872-1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473" w:rsidRDefault="00987473">
    <w:pPr>
      <w:pStyle w:val="Header"/>
    </w:pPr>
    <w:r>
      <w:tab/>
    </w:r>
    <w:fldSimple w:instr=" DOCPROPERTY &quot;Header&quot; \* MERGEFORMAT ">
      <w:r w:rsidR="000B69A6" w:rsidRPr="000B69A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F35BEB">
      <w:rPr>
        <w:b/>
        <w:bCs/>
      </w:rPr>
      <w:fldChar w:fldCharType="begin"/>
    </w:r>
    <w:r>
      <w:rPr>
        <w:b/>
        <w:bCs/>
      </w:rPr>
      <w:instrText>styleref href</w:instrText>
    </w:r>
    <w:r w:rsidR="00F35BEB">
      <w:rPr>
        <w:b/>
        <w:bCs/>
      </w:rPr>
      <w:fldChar w:fldCharType="separate"/>
    </w:r>
    <w:r w:rsidR="00DB5FDD">
      <w:rPr>
        <w:b/>
        <w:bCs/>
        <w:noProof/>
      </w:rPr>
      <w:t>UIT-R  BT.1872-1</w:t>
    </w:r>
    <w:r w:rsidR="00F35BEB">
      <w:rPr>
        <w:b/>
        <w:bCs/>
      </w:rPr>
      <w:fldChar w:fldCharType="end"/>
    </w:r>
    <w:r>
      <w:tab/>
    </w:r>
    <w:r w:rsidR="00F35BEB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F35BEB">
      <w:rPr>
        <w:rStyle w:val="PageNumber"/>
        <w:b/>
        <w:bCs/>
      </w:rPr>
      <w:fldChar w:fldCharType="separate"/>
    </w:r>
    <w:r w:rsidR="00DB5FDD">
      <w:rPr>
        <w:rStyle w:val="PageNumber"/>
        <w:b/>
        <w:bCs/>
        <w:noProof/>
      </w:rPr>
      <w:t>7</w:t>
    </w:r>
    <w:r w:rsidR="00F35BEB"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2D669F"/>
    <w:multiLevelType w:val="singleLevel"/>
    <w:tmpl w:val="4A585F4E"/>
    <w:lvl w:ilvl="0">
      <w:start w:val="1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2" w15:restartNumberingAfterBreak="0">
    <w:nsid w:val="0CB243D9"/>
    <w:multiLevelType w:val="singleLevel"/>
    <w:tmpl w:val="C1404BDE"/>
    <w:lvl w:ilvl="0">
      <w:numFmt w:val="bullet"/>
      <w:lvlText w:val="–"/>
      <w:lvlJc w:val="left"/>
      <w:pPr>
        <w:tabs>
          <w:tab w:val="num" w:pos="360"/>
        </w:tabs>
        <w:ind w:left="284" w:hanging="284"/>
      </w:pPr>
      <w:rPr>
        <w:rFonts w:ascii="Times New Roman" w:eastAsia="MS Mincho" w:hAnsi="Times New Roman" w:hint="default"/>
      </w:rPr>
    </w:lvl>
  </w:abstractNum>
  <w:abstractNum w:abstractNumId="3" w15:restartNumberingAfterBreak="0">
    <w:nsid w:val="100712E9"/>
    <w:multiLevelType w:val="singleLevel"/>
    <w:tmpl w:val="42F87AF8"/>
    <w:lvl w:ilvl="0">
      <w:start w:val="3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4" w15:restartNumberingAfterBreak="0">
    <w:nsid w:val="16A160C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5" w15:restartNumberingAfterBreak="0">
    <w:nsid w:val="17346CFE"/>
    <w:multiLevelType w:val="singleLevel"/>
    <w:tmpl w:val="702CA3D8"/>
    <w:lvl w:ilvl="0">
      <w:start w:val="1"/>
      <w:numFmt w:val="decimal"/>
      <w:lvlText w:val="(%1) "/>
      <w:legacy w:legacy="1" w:legacySpace="0" w:legacyIndent="425"/>
      <w:lvlJc w:val="left"/>
      <w:pPr>
        <w:ind w:left="114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6" w15:restartNumberingAfterBreak="0">
    <w:nsid w:val="316A6E02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7" w15:restartNumberingAfterBreak="0">
    <w:nsid w:val="33DC35F5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8" w15:restartNumberingAfterBreak="0">
    <w:nsid w:val="375D1754"/>
    <w:multiLevelType w:val="singleLevel"/>
    <w:tmpl w:val="35684DB0"/>
    <w:lvl w:ilvl="0">
      <w:start w:val="1"/>
      <w:numFmt w:val="decimal"/>
      <w:lvlText w:val="%1) "/>
      <w:legacy w:legacy="1" w:legacySpace="0" w:legacyIndent="283"/>
      <w:lvlJc w:val="left"/>
      <w:pPr>
        <w:ind w:left="283" w:hanging="283"/>
      </w:pPr>
      <w:rPr>
        <w:rFonts w:ascii="Arial" w:hAnsi="Arial" w:hint="default"/>
        <w:b w:val="0"/>
        <w:i w:val="0"/>
        <w:sz w:val="22"/>
      </w:rPr>
    </w:lvl>
  </w:abstractNum>
  <w:abstractNum w:abstractNumId="9" w15:restartNumberingAfterBreak="0">
    <w:nsid w:val="39681A93"/>
    <w:multiLevelType w:val="singleLevel"/>
    <w:tmpl w:val="59BC0F5A"/>
    <w:lvl w:ilvl="0">
      <w:numFmt w:val="bullet"/>
      <w:lvlText w:val="–"/>
      <w:lvlJc w:val="left"/>
      <w:pPr>
        <w:tabs>
          <w:tab w:val="num" w:pos="360"/>
        </w:tabs>
        <w:ind w:left="227" w:hanging="227"/>
      </w:pPr>
      <w:rPr>
        <w:rFonts w:ascii="Times New Roman" w:eastAsia="MS Mincho" w:hAnsi="Times New Roman" w:hint="default"/>
      </w:rPr>
    </w:lvl>
  </w:abstractNum>
  <w:abstractNum w:abstractNumId="10" w15:restartNumberingAfterBreak="0">
    <w:nsid w:val="4705559E"/>
    <w:multiLevelType w:val="singleLevel"/>
    <w:tmpl w:val="C2D62D78"/>
    <w:lvl w:ilvl="0">
      <w:start w:val="4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1" w15:restartNumberingAfterBreak="0">
    <w:nsid w:val="4B153102"/>
    <w:multiLevelType w:val="singleLevel"/>
    <w:tmpl w:val="78188F3C"/>
    <w:lvl w:ilvl="0">
      <w:numFmt w:val="bullet"/>
      <w:lvlText w:val="–"/>
      <w:lvlJc w:val="left"/>
      <w:pPr>
        <w:tabs>
          <w:tab w:val="num" w:pos="360"/>
        </w:tabs>
        <w:ind w:left="340" w:hanging="340"/>
      </w:pPr>
      <w:rPr>
        <w:rFonts w:ascii="Times New Roman" w:eastAsia="MS Mincho" w:hAnsi="Times New Roman" w:hint="default"/>
      </w:rPr>
    </w:lvl>
  </w:abstractNum>
  <w:abstractNum w:abstractNumId="12" w15:restartNumberingAfterBreak="0">
    <w:nsid w:val="52EF5824"/>
    <w:multiLevelType w:val="singleLevel"/>
    <w:tmpl w:val="332EFC0E"/>
    <w:lvl w:ilvl="0">
      <w:start w:val="2"/>
      <w:numFmt w:val="lowerLetter"/>
      <w:lvlText w:val="%1)"/>
      <w:legacy w:legacy="1" w:legacySpace="0" w:legacyIndent="795"/>
      <w:lvlJc w:val="left"/>
      <w:pPr>
        <w:ind w:left="795" w:hanging="795"/>
      </w:pPr>
    </w:lvl>
  </w:abstractNum>
  <w:abstractNum w:abstractNumId="13" w15:restartNumberingAfterBreak="0">
    <w:nsid w:val="5D0A06E3"/>
    <w:multiLevelType w:val="singleLevel"/>
    <w:tmpl w:val="D1D8FB28"/>
    <w:lvl w:ilvl="0">
      <w:start w:val="6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4" w15:restartNumberingAfterBreak="0">
    <w:nsid w:val="637840FF"/>
    <w:multiLevelType w:val="singleLevel"/>
    <w:tmpl w:val="6A6E9A1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5" w15:restartNumberingAfterBreak="0">
    <w:nsid w:val="655B32C8"/>
    <w:multiLevelType w:val="singleLevel"/>
    <w:tmpl w:val="D4DC71EA"/>
    <w:lvl w:ilvl="0">
      <w:start w:val="2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6" w15:restartNumberingAfterBreak="0">
    <w:nsid w:val="6A940A5B"/>
    <w:multiLevelType w:val="singleLevel"/>
    <w:tmpl w:val="74BE1188"/>
    <w:lvl w:ilvl="0">
      <w:start w:val="7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7" w15:restartNumberingAfterBreak="0">
    <w:nsid w:val="70B929A6"/>
    <w:multiLevelType w:val="singleLevel"/>
    <w:tmpl w:val="1EF62A9A"/>
    <w:lvl w:ilvl="0">
      <w:start w:val="5"/>
      <w:numFmt w:val="decimal"/>
      <w:lvlText w:val="%1"/>
      <w:legacy w:legacy="1" w:legacySpace="0" w:legacyIndent="795"/>
      <w:lvlJc w:val="left"/>
      <w:pPr>
        <w:ind w:left="795" w:hanging="795"/>
      </w:pPr>
    </w:lvl>
  </w:abstractNum>
  <w:abstractNum w:abstractNumId="18" w15:restartNumberingAfterBreak="0">
    <w:nsid w:val="75CE3900"/>
    <w:multiLevelType w:val="singleLevel"/>
    <w:tmpl w:val="098C8E1C"/>
    <w:lvl w:ilvl="0"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eastAsia="MS Mincho" w:hAnsi="Times New Roman" w:hint="default"/>
      </w:rPr>
    </w:lvl>
  </w:abstractNum>
  <w:abstractNum w:abstractNumId="19" w15:restartNumberingAfterBreak="0">
    <w:nsid w:val="762D6617"/>
    <w:multiLevelType w:val="singleLevel"/>
    <w:tmpl w:val="ADF4FE94"/>
    <w:lvl w:ilvl="0">
      <w:start w:val="1"/>
      <w:numFmt w:val="decimal"/>
      <w:lvlText w:val="%1) "/>
      <w:legacy w:legacy="1" w:legacySpace="0" w:legacyIndent="425"/>
      <w:lvlJc w:val="left"/>
      <w:pPr>
        <w:ind w:left="425" w:hanging="425"/>
      </w:pPr>
      <w:rPr>
        <w:rFonts w:ascii="Times New Roman" w:hAnsi="Times New Roman" w:hint="default"/>
        <w:b w:val="0"/>
        <w:i w:val="0"/>
        <w:sz w:val="24"/>
        <w:u w:val="none"/>
      </w:rPr>
    </w:lvl>
  </w:abstractNum>
  <w:abstractNum w:abstractNumId="20" w15:restartNumberingAfterBreak="0">
    <w:nsid w:val="78775134"/>
    <w:multiLevelType w:val="singleLevel"/>
    <w:tmpl w:val="163E8E58"/>
    <w:lvl w:ilvl="0">
      <w:start w:val="13"/>
      <w:numFmt w:val="decimal"/>
      <w:lvlText w:val="%1"/>
      <w:legacy w:legacy="1" w:legacySpace="0" w:legacyIndent="360"/>
      <w:lvlJc w:val="left"/>
      <w:pPr>
        <w:ind w:left="360" w:hanging="360"/>
      </w:pPr>
      <w:rPr>
        <w:b/>
      </w:rPr>
    </w:lvl>
  </w:abstractNum>
  <w:abstractNum w:abstractNumId="21" w15:restartNumberingAfterBreak="0">
    <w:nsid w:val="7C227CD8"/>
    <w:multiLevelType w:val="hybridMultilevel"/>
    <w:tmpl w:val="C6067610"/>
    <w:lvl w:ilvl="0" w:tplc="0D606FC8">
      <w:start w:val="1"/>
      <w:numFmt w:val="decimal"/>
      <w:lvlText w:val="(%1)"/>
      <w:lvlJc w:val="left"/>
      <w:pPr>
        <w:tabs>
          <w:tab w:val="num" w:pos="275"/>
        </w:tabs>
        <w:ind w:left="275" w:hanging="360"/>
      </w:pPr>
      <w:rPr>
        <w:rFonts w:hint="default"/>
        <w:sz w:val="1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995"/>
        </w:tabs>
        <w:ind w:left="99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715"/>
        </w:tabs>
        <w:ind w:left="171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35"/>
        </w:tabs>
        <w:ind w:left="243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155"/>
        </w:tabs>
        <w:ind w:left="315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75"/>
        </w:tabs>
        <w:ind w:left="387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95"/>
        </w:tabs>
        <w:ind w:left="459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315"/>
        </w:tabs>
        <w:ind w:left="531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035"/>
        </w:tabs>
        <w:ind w:left="6035" w:hanging="180"/>
      </w:pPr>
    </w:lvl>
  </w:abstractNum>
  <w:abstractNum w:abstractNumId="22" w15:restartNumberingAfterBreak="0">
    <w:nsid w:val="7CC2032A"/>
    <w:multiLevelType w:val="singleLevel"/>
    <w:tmpl w:val="37BA5D70"/>
    <w:lvl w:ilvl="0">
      <w:start w:val="1"/>
      <w:numFmt w:val="lowerLetter"/>
      <w:lvlText w:val="%1)"/>
      <w:legacy w:legacy="1" w:legacySpace="0" w:legacyIndent="720"/>
      <w:lvlJc w:val="left"/>
      <w:pPr>
        <w:ind w:left="720" w:hanging="720"/>
      </w:pPr>
    </w:lvl>
  </w:abstractNum>
  <w:num w:numId="1">
    <w:abstractNumId w:val="18"/>
  </w:num>
  <w:num w:numId="2">
    <w:abstractNumId w:val="6"/>
  </w:num>
  <w:num w:numId="3">
    <w:abstractNumId w:val="4"/>
  </w:num>
  <w:num w:numId="4">
    <w:abstractNumId w:val="11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"/>
  </w:num>
  <w:num w:numId="10">
    <w:abstractNumId w:val="12"/>
  </w:num>
  <w:num w:numId="11">
    <w:abstractNumId w:val="7"/>
  </w:num>
  <w:num w:numId="12">
    <w:abstractNumId w:val="22"/>
  </w:num>
  <w:num w:numId="13">
    <w:abstractNumId w:val="22"/>
    <w:lvlOverride w:ilvl="0">
      <w:lvl w:ilvl="0">
        <w:start w:val="2"/>
        <w:numFmt w:val="lowerLetter"/>
        <w:lvlText w:val="%1)"/>
        <w:legacy w:legacy="1" w:legacySpace="0" w:legacyIndent="720"/>
        <w:lvlJc w:val="left"/>
        <w:pPr>
          <w:ind w:left="720" w:hanging="720"/>
        </w:pPr>
      </w:lvl>
    </w:lvlOverride>
  </w:num>
  <w:num w:numId="14">
    <w:abstractNumId w:val="3"/>
  </w:num>
  <w:num w:numId="15">
    <w:abstractNumId w:val="20"/>
  </w:num>
  <w:num w:numId="16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7">
    <w:abstractNumId w:val="8"/>
  </w:num>
  <w:num w:numId="18">
    <w:abstractNumId w:val="15"/>
  </w:num>
  <w:num w:numId="19">
    <w:abstractNumId w:val="10"/>
  </w:num>
  <w:num w:numId="20">
    <w:abstractNumId w:val="0"/>
    <w:lvlOverride w:ilvl="0">
      <w:lvl w:ilvl="0">
        <w:start w:val="1"/>
        <w:numFmt w:val="bullet"/>
        <w:lvlText w:val="-"/>
        <w:legacy w:legacy="1" w:legacySpace="0" w:legacyIndent="360"/>
        <w:lvlJc w:val="left"/>
        <w:pPr>
          <w:ind w:left="360" w:hanging="360"/>
        </w:pPr>
        <w:rPr>
          <w:sz w:val="16"/>
        </w:rPr>
      </w:lvl>
    </w:lvlOverride>
  </w:num>
  <w:num w:numId="21">
    <w:abstractNumId w:val="17"/>
  </w:num>
  <w:num w:numId="22">
    <w:abstractNumId w:val="13"/>
  </w:num>
  <w:num w:numId="23">
    <w:abstractNumId w:val="14"/>
  </w:num>
  <w:num w:numId="24">
    <w:abstractNumId w:val="16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evenAndOddHeaders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F28"/>
    <w:rsid w:val="000878FF"/>
    <w:rsid w:val="00091138"/>
    <w:rsid w:val="000B69A6"/>
    <w:rsid w:val="000D328D"/>
    <w:rsid w:val="001B3F9D"/>
    <w:rsid w:val="001E29DB"/>
    <w:rsid w:val="00227CED"/>
    <w:rsid w:val="0025326C"/>
    <w:rsid w:val="00284AF8"/>
    <w:rsid w:val="002D76C4"/>
    <w:rsid w:val="0032222F"/>
    <w:rsid w:val="00344123"/>
    <w:rsid w:val="00360BEA"/>
    <w:rsid w:val="00363854"/>
    <w:rsid w:val="00364BE9"/>
    <w:rsid w:val="003829F0"/>
    <w:rsid w:val="004156D2"/>
    <w:rsid w:val="004452A9"/>
    <w:rsid w:val="00474E13"/>
    <w:rsid w:val="004B5CC6"/>
    <w:rsid w:val="004C7A36"/>
    <w:rsid w:val="005726A7"/>
    <w:rsid w:val="005777F3"/>
    <w:rsid w:val="005B32D4"/>
    <w:rsid w:val="005F43D1"/>
    <w:rsid w:val="00607D68"/>
    <w:rsid w:val="00633625"/>
    <w:rsid w:val="006553B9"/>
    <w:rsid w:val="006818DE"/>
    <w:rsid w:val="00684CC5"/>
    <w:rsid w:val="006C7692"/>
    <w:rsid w:val="00721270"/>
    <w:rsid w:val="007A0B78"/>
    <w:rsid w:val="008376E4"/>
    <w:rsid w:val="00841C89"/>
    <w:rsid w:val="008B6031"/>
    <w:rsid w:val="00930489"/>
    <w:rsid w:val="00954D24"/>
    <w:rsid w:val="00965853"/>
    <w:rsid w:val="00987473"/>
    <w:rsid w:val="009940E7"/>
    <w:rsid w:val="009E1F8B"/>
    <w:rsid w:val="009E470E"/>
    <w:rsid w:val="00A26FDC"/>
    <w:rsid w:val="00A43420"/>
    <w:rsid w:val="00A52AFA"/>
    <w:rsid w:val="00A55737"/>
    <w:rsid w:val="00A6617B"/>
    <w:rsid w:val="00A921CB"/>
    <w:rsid w:val="00AB0DC8"/>
    <w:rsid w:val="00AE798C"/>
    <w:rsid w:val="00AF4BA4"/>
    <w:rsid w:val="00AF6707"/>
    <w:rsid w:val="00B17542"/>
    <w:rsid w:val="00B37FDF"/>
    <w:rsid w:val="00B44E24"/>
    <w:rsid w:val="00B4535E"/>
    <w:rsid w:val="00C058C9"/>
    <w:rsid w:val="00C225E7"/>
    <w:rsid w:val="00C23DBD"/>
    <w:rsid w:val="00C80E4D"/>
    <w:rsid w:val="00C813AA"/>
    <w:rsid w:val="00C86E03"/>
    <w:rsid w:val="00CB740B"/>
    <w:rsid w:val="00CC6858"/>
    <w:rsid w:val="00CD276D"/>
    <w:rsid w:val="00DB5FDD"/>
    <w:rsid w:val="00DF4176"/>
    <w:rsid w:val="00E12DE7"/>
    <w:rsid w:val="00E35FD1"/>
    <w:rsid w:val="00E40FF2"/>
    <w:rsid w:val="00EB1B24"/>
    <w:rsid w:val="00F16D82"/>
    <w:rsid w:val="00F35BEB"/>
    <w:rsid w:val="00F77F28"/>
    <w:rsid w:val="00FE486C"/>
    <w:rsid w:val="00FF4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."/>
  <w:listSeparator w:val=","/>
  <w15:docId w15:val="{D390A2B6-3CED-4010-9AAB-4A654C458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32D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5B32D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B32D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B32D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B32D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B32D4"/>
    <w:pPr>
      <w:outlineLvl w:val="4"/>
    </w:pPr>
  </w:style>
  <w:style w:type="paragraph" w:styleId="Heading6">
    <w:name w:val="heading 6"/>
    <w:basedOn w:val="Heading4"/>
    <w:next w:val="Normal"/>
    <w:qFormat/>
    <w:rsid w:val="005B32D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B32D4"/>
    <w:pPr>
      <w:outlineLvl w:val="6"/>
    </w:pPr>
  </w:style>
  <w:style w:type="paragraph" w:styleId="Heading8">
    <w:name w:val="heading 8"/>
    <w:basedOn w:val="Heading6"/>
    <w:next w:val="Normal"/>
    <w:qFormat/>
    <w:rsid w:val="005B32D4"/>
    <w:pPr>
      <w:outlineLvl w:val="7"/>
    </w:pPr>
  </w:style>
  <w:style w:type="paragraph" w:styleId="Heading9">
    <w:name w:val="heading 9"/>
    <w:basedOn w:val="Heading6"/>
    <w:next w:val="Normal"/>
    <w:qFormat/>
    <w:rsid w:val="005B32D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  <w:rsid w:val="005B32D4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5B32D4"/>
  </w:style>
  <w:style w:type="paragraph" w:styleId="Header">
    <w:name w:val="header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5B32D4"/>
  </w:style>
  <w:style w:type="paragraph" w:customStyle="1" w:styleId="Headingb">
    <w:name w:val="Heading_b"/>
    <w:basedOn w:val="Heading3"/>
    <w:next w:val="Normal"/>
    <w:rsid w:val="005B32D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B32D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B32D4"/>
  </w:style>
  <w:style w:type="paragraph" w:customStyle="1" w:styleId="enumlev1">
    <w:name w:val="enumlev1"/>
    <w:basedOn w:val="Normal"/>
    <w:rsid w:val="005B32D4"/>
    <w:pPr>
      <w:spacing w:before="80"/>
      <w:ind w:left="794" w:hanging="794"/>
    </w:pPr>
  </w:style>
  <w:style w:type="paragraph" w:customStyle="1" w:styleId="enumlev2">
    <w:name w:val="enumlev2"/>
    <w:basedOn w:val="enumlev1"/>
    <w:rsid w:val="005B32D4"/>
    <w:pPr>
      <w:ind w:left="1191" w:hanging="397"/>
    </w:pPr>
  </w:style>
  <w:style w:type="paragraph" w:customStyle="1" w:styleId="enumlev3">
    <w:name w:val="enumlev3"/>
    <w:basedOn w:val="enumlev2"/>
    <w:rsid w:val="005B32D4"/>
    <w:pPr>
      <w:ind w:left="1588"/>
    </w:pPr>
  </w:style>
  <w:style w:type="paragraph" w:customStyle="1" w:styleId="Normalaftertitle">
    <w:name w:val="Normal_after_title"/>
    <w:basedOn w:val="Normal"/>
    <w:next w:val="Normal"/>
    <w:rsid w:val="005B32D4"/>
    <w:pPr>
      <w:spacing w:before="320"/>
    </w:pPr>
  </w:style>
  <w:style w:type="paragraph" w:customStyle="1" w:styleId="Note">
    <w:name w:val="Note"/>
    <w:basedOn w:val="Normal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Rectitle">
    <w:name w:val="Rec_title"/>
    <w:basedOn w:val="Normal"/>
    <w:next w:val="Recref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Recref">
    <w:name w:val="Rec_ref"/>
    <w:basedOn w:val="Normal"/>
    <w:next w:val="Recdate"/>
    <w:rsid w:val="005B32D4"/>
    <w:pPr>
      <w:jc w:val="center"/>
    </w:pPr>
  </w:style>
  <w:style w:type="paragraph" w:customStyle="1" w:styleId="Recdate">
    <w:name w:val="Rec_date"/>
    <w:basedOn w:val="Recref"/>
    <w:next w:val="Normalaftertitle"/>
    <w:rsid w:val="005B32D4"/>
    <w:pPr>
      <w:jc w:val="right"/>
    </w:pPr>
  </w:style>
  <w:style w:type="paragraph" w:customStyle="1" w:styleId="HeadingSum">
    <w:name w:val="Heading_Sum"/>
    <w:basedOn w:val="Headingb"/>
    <w:next w:val="Normal"/>
    <w:autoRedefine/>
    <w:rsid w:val="005B32D4"/>
    <w:pPr>
      <w:spacing w:before="240"/>
    </w:pPr>
    <w:rPr>
      <w:sz w:val="22"/>
      <w:lang w:val="es-ES_tradnl"/>
    </w:rPr>
  </w:style>
  <w:style w:type="paragraph" w:customStyle="1" w:styleId="AnnexNoTitle">
    <w:name w:val="Annex_NoTitle"/>
    <w:basedOn w:val="Normal"/>
    <w:next w:val="Normalaftertitle"/>
    <w:rsid w:val="005B32D4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5B32D4"/>
  </w:style>
  <w:style w:type="paragraph" w:customStyle="1" w:styleId="Tablefin">
    <w:name w:val="Table_fin"/>
    <w:basedOn w:val="Normal"/>
    <w:next w:val="Normal"/>
    <w:rsid w:val="005B32D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B32D4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5B32D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B32D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5B32D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B32D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B32D4"/>
    <w:pPr>
      <w:ind w:left="794"/>
    </w:pPr>
  </w:style>
  <w:style w:type="paragraph" w:customStyle="1" w:styleId="Figurelegend">
    <w:name w:val="Figure_legend"/>
    <w:basedOn w:val="Normal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B32D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B32D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B32D4"/>
    <w:pPr>
      <w:keepNext w:val="0"/>
      <w:spacing w:before="0" w:after="240"/>
    </w:pPr>
  </w:style>
  <w:style w:type="paragraph" w:customStyle="1" w:styleId="tocpart">
    <w:name w:val="tocpart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B32D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5B32D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B32D4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B32D4"/>
    <w:rPr>
      <w:b/>
    </w:rPr>
  </w:style>
  <w:style w:type="paragraph" w:customStyle="1" w:styleId="Chaptitle">
    <w:name w:val="Chap_title"/>
    <w:basedOn w:val="Arttitle"/>
    <w:next w:val="Normalaftertitle"/>
    <w:rsid w:val="005B32D4"/>
  </w:style>
  <w:style w:type="character" w:styleId="FootnoteReference">
    <w:name w:val="footnote reference"/>
    <w:basedOn w:val="DefaultParagraphFont"/>
    <w:semiHidden/>
    <w:rsid w:val="005B32D4"/>
    <w:rPr>
      <w:position w:val="6"/>
      <w:sz w:val="18"/>
    </w:rPr>
  </w:style>
  <w:style w:type="paragraph" w:styleId="FootnoteText">
    <w:name w:val="footnote text"/>
    <w:basedOn w:val="Normal"/>
    <w:semiHidden/>
    <w:rsid w:val="005B32D4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5B32D4"/>
  </w:style>
  <w:style w:type="paragraph" w:styleId="Index2">
    <w:name w:val="index 2"/>
    <w:basedOn w:val="Normal"/>
    <w:next w:val="Normal"/>
    <w:semiHidden/>
    <w:rsid w:val="005B32D4"/>
    <w:pPr>
      <w:ind w:left="283"/>
    </w:pPr>
  </w:style>
  <w:style w:type="paragraph" w:styleId="Index3">
    <w:name w:val="index 3"/>
    <w:basedOn w:val="Normal"/>
    <w:next w:val="Normal"/>
    <w:semiHidden/>
    <w:rsid w:val="005B32D4"/>
    <w:pPr>
      <w:ind w:left="566"/>
    </w:pPr>
  </w:style>
  <w:style w:type="paragraph" w:styleId="IndexHeading">
    <w:name w:val="index heading"/>
    <w:basedOn w:val="Normal"/>
    <w:next w:val="Index1"/>
    <w:semiHidden/>
    <w:rsid w:val="005B32D4"/>
  </w:style>
  <w:style w:type="paragraph" w:customStyle="1" w:styleId="Line">
    <w:name w:val="Line"/>
    <w:basedOn w:val="Normal"/>
    <w:next w:val="Normal"/>
    <w:rsid w:val="005B32D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B32D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B32D4"/>
  </w:style>
  <w:style w:type="paragraph" w:customStyle="1" w:styleId="Partref">
    <w:name w:val="Part_ref"/>
    <w:basedOn w:val="Normal"/>
    <w:next w:val="Normal"/>
    <w:rsid w:val="005B32D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5B32D4"/>
  </w:style>
  <w:style w:type="paragraph" w:customStyle="1" w:styleId="QuestionNo">
    <w:name w:val="Question_No"/>
    <w:basedOn w:val="RecNo"/>
    <w:next w:val="Normal"/>
    <w:rsid w:val="005B32D4"/>
  </w:style>
  <w:style w:type="paragraph" w:customStyle="1" w:styleId="Questionref">
    <w:name w:val="Question_ref"/>
    <w:basedOn w:val="Recref"/>
    <w:next w:val="Questiondate"/>
    <w:rsid w:val="005B32D4"/>
  </w:style>
  <w:style w:type="paragraph" w:customStyle="1" w:styleId="Questiontitle">
    <w:name w:val="Question_title"/>
    <w:basedOn w:val="Normal"/>
    <w:next w:val="Questionref"/>
    <w:rsid w:val="005B32D4"/>
  </w:style>
  <w:style w:type="paragraph" w:customStyle="1" w:styleId="Reftext">
    <w:name w:val="Ref_text"/>
    <w:basedOn w:val="Normal"/>
    <w:rsid w:val="005B32D4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5B32D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5B32D4"/>
  </w:style>
  <w:style w:type="paragraph" w:customStyle="1" w:styleId="RepNo">
    <w:name w:val="Rep_No"/>
    <w:basedOn w:val="RecNo"/>
    <w:next w:val="Reptitle"/>
    <w:rsid w:val="005B32D4"/>
  </w:style>
  <w:style w:type="paragraph" w:customStyle="1" w:styleId="Reptitle">
    <w:name w:val="Rep_title"/>
    <w:basedOn w:val="Rectitle"/>
    <w:next w:val="Repref"/>
    <w:rsid w:val="005B32D4"/>
  </w:style>
  <w:style w:type="paragraph" w:customStyle="1" w:styleId="Repref">
    <w:name w:val="Rep_ref"/>
    <w:basedOn w:val="Recref"/>
    <w:next w:val="Repdate"/>
    <w:rsid w:val="005B32D4"/>
  </w:style>
  <w:style w:type="paragraph" w:customStyle="1" w:styleId="Resdate">
    <w:name w:val="Res_date"/>
    <w:basedOn w:val="Recdate"/>
    <w:next w:val="Normalaftertitle"/>
    <w:rsid w:val="005B32D4"/>
  </w:style>
  <w:style w:type="paragraph" w:customStyle="1" w:styleId="ResNo">
    <w:name w:val="Res_No"/>
    <w:basedOn w:val="RecNo"/>
    <w:next w:val="Restitle"/>
    <w:rsid w:val="005B32D4"/>
  </w:style>
  <w:style w:type="paragraph" w:customStyle="1" w:styleId="Restitle">
    <w:name w:val="Res_title"/>
    <w:basedOn w:val="Normal"/>
    <w:next w:val="Resref"/>
    <w:rsid w:val="005B32D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5B32D4"/>
  </w:style>
  <w:style w:type="paragraph" w:customStyle="1" w:styleId="SectionNo">
    <w:name w:val="Section_No"/>
    <w:basedOn w:val="Normal"/>
    <w:next w:val="Normal"/>
    <w:rsid w:val="005B32D4"/>
  </w:style>
  <w:style w:type="paragraph" w:customStyle="1" w:styleId="Sectiontitle">
    <w:name w:val="Section_title"/>
    <w:basedOn w:val="Normal"/>
    <w:next w:val="Normalaftertitle"/>
    <w:rsid w:val="005B32D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5B32D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B32D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B32D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B32D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B32D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B32D4"/>
  </w:style>
  <w:style w:type="paragraph" w:styleId="TOC6">
    <w:name w:val="toc 6"/>
    <w:basedOn w:val="TOC4"/>
    <w:semiHidden/>
    <w:rsid w:val="005B32D4"/>
  </w:style>
  <w:style w:type="paragraph" w:styleId="TOC7">
    <w:name w:val="toc 7"/>
    <w:basedOn w:val="TOC4"/>
    <w:semiHidden/>
    <w:rsid w:val="005B32D4"/>
  </w:style>
  <w:style w:type="paragraph" w:styleId="TOC8">
    <w:name w:val="toc 8"/>
    <w:basedOn w:val="TOC4"/>
    <w:semiHidden/>
    <w:rsid w:val="005B32D4"/>
  </w:style>
  <w:style w:type="paragraph" w:customStyle="1" w:styleId="Annexref">
    <w:name w:val="Annex_ref"/>
    <w:basedOn w:val="Normal"/>
    <w:next w:val="Normalaftertitle"/>
    <w:rsid w:val="005B32D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B32D4"/>
  </w:style>
  <w:style w:type="paragraph" w:customStyle="1" w:styleId="Tabletitle">
    <w:name w:val="Table_title"/>
    <w:basedOn w:val="Normal"/>
    <w:next w:val="Tablehead"/>
    <w:rsid w:val="005B32D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5B32D4"/>
    <w:pPr>
      <w:spacing w:after="480"/>
    </w:pPr>
    <w:rPr>
      <w:sz w:val="22"/>
      <w:lang w:val="es-ES_tradnl"/>
    </w:rPr>
  </w:style>
  <w:style w:type="paragraph" w:customStyle="1" w:styleId="Part">
    <w:name w:val="Part"/>
    <w:basedOn w:val="Normal"/>
    <w:rsid w:val="00F77F28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overflowPunct/>
      <w:autoSpaceDE/>
      <w:autoSpaceDN/>
      <w:adjustRightInd/>
      <w:spacing w:before="200"/>
      <w:ind w:left="1701" w:hanging="1701"/>
      <w:jc w:val="left"/>
      <w:textAlignment w:val="auto"/>
    </w:pPr>
    <w:rPr>
      <w:caps/>
    </w:rPr>
  </w:style>
  <w:style w:type="paragraph" w:customStyle="1" w:styleId="headingb0">
    <w:name w:val="heading_b"/>
    <w:basedOn w:val="Heading3"/>
    <w:next w:val="Normal"/>
    <w:rsid w:val="00F77F28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ind w:left="0" w:firstLine="0"/>
      <w:jc w:val="left"/>
      <w:textAlignment w:val="auto"/>
      <w:outlineLvl w:val="9"/>
    </w:pPr>
  </w:style>
  <w:style w:type="character" w:styleId="Hyperlink">
    <w:name w:val="Hyperlink"/>
    <w:basedOn w:val="DefaultParagraphFont"/>
    <w:rsid w:val="00227CED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5B32D4"/>
    <w:pPr>
      <w:ind w:left="-85" w:firstLine="0"/>
    </w:pPr>
    <w:rPr>
      <w:lang w:val="en-US"/>
    </w:rPr>
  </w:style>
  <w:style w:type="paragraph" w:customStyle="1" w:styleId="Reasons">
    <w:name w:val="Reasons"/>
    <w:basedOn w:val="Normal"/>
    <w:qFormat/>
    <w:rsid w:val="000D328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itu.int/publ/R-REC/es)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tu.int/ITU-R/go/patents/es" TargetMode="Externa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alano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39</TotalTime>
  <Pages>9</Pages>
  <Words>2474</Words>
  <Characters>14115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16556</CharactersWithSpaces>
  <SharedDoc>false</SharedDoc>
  <HLinks>
    <vt:vector size="18" baseType="variant">
      <vt:variant>
        <vt:i4>196692</vt:i4>
      </vt:variant>
      <vt:variant>
        <vt:i4>5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http://www.itu.int/publ/R-REC/es)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POOL</dc:creator>
  <cp:keywords/>
  <dc:description>Edition                            23.07.09      SP</dc:description>
  <cp:lastModifiedBy>Catalano Moreira, Rossana</cp:lastModifiedBy>
  <cp:revision>11</cp:revision>
  <cp:lastPrinted>2018-05-28T10:11:00Z</cp:lastPrinted>
  <dcterms:created xsi:type="dcterms:W3CDTF">2018-05-28T09:37:00Z</dcterms:created>
  <dcterms:modified xsi:type="dcterms:W3CDTF">2018-05-28T10:20:00Z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