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F5B" w:rsidRDefault="00454F5B" w:rsidP="00454F5B">
      <w:bookmarkStart w:id="0" w:name="_GoBack"/>
      <w:bookmarkEnd w:id="0"/>
    </w:p>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tbl>
      <w:tblPr>
        <w:tblW w:w="10089" w:type="dxa"/>
        <w:tblLook w:val="01E0" w:firstRow="1" w:lastRow="1" w:firstColumn="1" w:lastColumn="1" w:noHBand="0" w:noVBand="0"/>
      </w:tblPr>
      <w:tblGrid>
        <w:gridCol w:w="10089"/>
      </w:tblGrid>
      <w:tr w:rsidR="00454F5B" w:rsidRPr="006B55A9" w:rsidTr="001B09E0">
        <w:tc>
          <w:tcPr>
            <w:tcW w:w="10089" w:type="dxa"/>
          </w:tcPr>
          <w:p w:rsidR="00454F5B" w:rsidRPr="006B55A9" w:rsidRDefault="00454F5B" w:rsidP="001B09E0">
            <w:pPr>
              <w:spacing w:before="380" w:line="280" w:lineRule="exact"/>
              <w:jc w:val="right"/>
              <w:rPr>
                <w:rFonts w:ascii="Tahoma" w:hAnsi="Tahoma" w:cs="Tahoma"/>
                <w:b/>
                <w:bCs/>
                <w:iCs/>
                <w:color w:val="243285"/>
                <w:sz w:val="32"/>
                <w:szCs w:val="32"/>
                <w:lang w:val="en-US"/>
              </w:rPr>
            </w:pPr>
          </w:p>
          <w:p w:rsidR="00454F5B" w:rsidRPr="006B55A9" w:rsidRDefault="00454F5B" w:rsidP="00BD6A95">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1735-</w:t>
            </w:r>
            <w:r w:rsidR="00E8533B">
              <w:rPr>
                <w:rFonts w:ascii="Tahoma" w:hAnsi="Tahoma" w:cs="Tahoma"/>
                <w:b/>
                <w:bCs/>
                <w:iCs/>
                <w:color w:val="243285"/>
                <w:sz w:val="36"/>
                <w:szCs w:val="36"/>
              </w:rPr>
              <w:t>3</w:t>
            </w:r>
          </w:p>
          <w:p w:rsidR="00454F5B" w:rsidRPr="006B55A9" w:rsidRDefault="00454F5B" w:rsidP="00BD6A95">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w:t>
            </w:r>
            <w:r w:rsidR="00BD6A95">
              <w:rPr>
                <w:rFonts w:ascii="Tahoma" w:hAnsi="Tahoma" w:cs="Tahoma"/>
                <w:b/>
                <w:bCs/>
                <w:iCs/>
                <w:color w:val="243285"/>
                <w:szCs w:val="24"/>
              </w:rPr>
              <w:t>2</w:t>
            </w:r>
            <w:r w:rsidRPr="006B55A9">
              <w:rPr>
                <w:rFonts w:ascii="Tahoma" w:hAnsi="Tahoma" w:cs="Tahoma"/>
                <w:b/>
                <w:bCs/>
                <w:iCs/>
                <w:color w:val="243285"/>
                <w:szCs w:val="24"/>
              </w:rPr>
              <w:t>/</w:t>
            </w:r>
            <w:r>
              <w:rPr>
                <w:rFonts w:ascii="Tahoma" w:hAnsi="Tahoma" w:cs="Tahoma"/>
                <w:b/>
                <w:bCs/>
                <w:iCs/>
                <w:color w:val="243285"/>
                <w:szCs w:val="24"/>
              </w:rPr>
              <w:t>201</w:t>
            </w:r>
            <w:r w:rsidR="00E8533B">
              <w:rPr>
                <w:rFonts w:ascii="Tahoma" w:hAnsi="Tahoma" w:cs="Tahoma"/>
                <w:b/>
                <w:bCs/>
                <w:iCs/>
                <w:color w:val="243285"/>
                <w:szCs w:val="24"/>
              </w:rPr>
              <w:t>5</w:t>
            </w:r>
            <w:r w:rsidRPr="006B55A9">
              <w:rPr>
                <w:rFonts w:ascii="Tahoma" w:hAnsi="Tahoma" w:cs="Tahoma"/>
                <w:b/>
                <w:bCs/>
                <w:iCs/>
                <w:color w:val="243285"/>
                <w:szCs w:val="24"/>
              </w:rPr>
              <w:t>)</w:t>
            </w:r>
          </w:p>
        </w:tc>
      </w:tr>
      <w:tr w:rsidR="00454F5B" w:rsidRPr="006B55A9" w:rsidTr="001B09E0">
        <w:tc>
          <w:tcPr>
            <w:tcW w:w="10089" w:type="dxa"/>
          </w:tcPr>
          <w:p w:rsidR="00454F5B" w:rsidRPr="00454F5B" w:rsidRDefault="00454F5B" w:rsidP="001B09E0">
            <w:pPr>
              <w:spacing w:before="80" w:line="500" w:lineRule="exact"/>
              <w:jc w:val="right"/>
              <w:rPr>
                <w:rFonts w:ascii="Tahoma" w:hAnsi="Tahoma" w:cs="Tahoma"/>
                <w:b/>
                <w:bCs/>
                <w:iCs/>
                <w:color w:val="243285"/>
                <w:sz w:val="44"/>
                <w:szCs w:val="44"/>
                <w:lang w:val="en-US"/>
              </w:rPr>
            </w:pPr>
          </w:p>
          <w:p w:rsidR="00454F5B" w:rsidRPr="00454F5B" w:rsidRDefault="00454F5B" w:rsidP="00454F5B">
            <w:pPr>
              <w:spacing w:before="80" w:line="500" w:lineRule="exact"/>
              <w:jc w:val="right"/>
              <w:rPr>
                <w:rFonts w:ascii="Tahoma" w:hAnsi="Tahoma" w:cs="Tahoma"/>
                <w:b/>
                <w:bCs/>
                <w:color w:val="243285"/>
                <w:sz w:val="44"/>
                <w:szCs w:val="44"/>
                <w:lang w:val="en-US"/>
              </w:rPr>
            </w:pPr>
            <w:r w:rsidRPr="00454F5B">
              <w:rPr>
                <w:rFonts w:ascii="Tahoma" w:hAnsi="Tahoma" w:cs="Tahoma"/>
                <w:b/>
                <w:bCs/>
                <w:color w:val="243285"/>
                <w:sz w:val="44"/>
                <w:szCs w:val="44"/>
                <w:lang w:val="en-US"/>
              </w:rPr>
              <w:t xml:space="preserve">Methods for objective reception quality assessment of digital terrestrial television broadcasting signals </w:t>
            </w:r>
            <w:r>
              <w:rPr>
                <w:rFonts w:ascii="Tahoma" w:hAnsi="Tahoma" w:cs="Tahoma"/>
                <w:b/>
                <w:bCs/>
                <w:color w:val="243285"/>
                <w:sz w:val="44"/>
                <w:szCs w:val="44"/>
                <w:lang w:val="en-US"/>
              </w:rPr>
              <w:br/>
            </w:r>
            <w:r w:rsidRPr="00454F5B">
              <w:rPr>
                <w:rFonts w:ascii="Tahoma" w:hAnsi="Tahoma" w:cs="Tahoma"/>
                <w:b/>
                <w:bCs/>
                <w:color w:val="243285"/>
                <w:sz w:val="44"/>
                <w:szCs w:val="44"/>
                <w:lang w:val="en-US"/>
              </w:rPr>
              <w:t xml:space="preserve">of System B specified in </w:t>
            </w:r>
          </w:p>
          <w:p w:rsidR="00454F5B" w:rsidRPr="006B55A9" w:rsidRDefault="00454F5B" w:rsidP="00454F5B">
            <w:pPr>
              <w:spacing w:before="80" w:line="500" w:lineRule="exact"/>
              <w:jc w:val="right"/>
              <w:rPr>
                <w:rFonts w:ascii="Tahoma" w:hAnsi="Tahoma" w:cs="Tahoma"/>
                <w:b/>
                <w:bCs/>
                <w:color w:val="243285"/>
                <w:sz w:val="44"/>
                <w:szCs w:val="44"/>
                <w:lang w:val="en-US"/>
              </w:rPr>
            </w:pPr>
            <w:r w:rsidRPr="00454F5B">
              <w:rPr>
                <w:rFonts w:ascii="Tahoma" w:hAnsi="Tahoma" w:cs="Tahoma"/>
                <w:b/>
                <w:bCs/>
                <w:color w:val="243285"/>
                <w:sz w:val="44"/>
                <w:szCs w:val="44"/>
              </w:rPr>
              <w:t>Recommendation ITU-R BT.1306</w:t>
            </w:r>
          </w:p>
          <w:p w:rsidR="00454F5B" w:rsidRPr="006B55A9" w:rsidRDefault="00454F5B" w:rsidP="001B09E0">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454F5B" w:rsidRPr="009F4B08" w:rsidTr="001B09E0">
        <w:tc>
          <w:tcPr>
            <w:tcW w:w="10089" w:type="dxa"/>
          </w:tcPr>
          <w:p w:rsidR="00454F5B" w:rsidRPr="00BA7614" w:rsidRDefault="00454F5B" w:rsidP="001B09E0">
            <w:pPr>
              <w:spacing w:before="80" w:line="280" w:lineRule="exact"/>
              <w:ind w:right="640"/>
              <w:rPr>
                <w:rFonts w:ascii="Tahoma" w:hAnsi="Tahoma" w:cs="Tahoma"/>
                <w:b/>
                <w:bCs/>
                <w:iCs/>
                <w:color w:val="243285"/>
                <w:sz w:val="32"/>
                <w:szCs w:val="32"/>
                <w:lang w:val="en-US"/>
              </w:rPr>
            </w:pPr>
          </w:p>
          <w:p w:rsidR="00454F5B" w:rsidRPr="00BA7614" w:rsidRDefault="00454F5B" w:rsidP="001B09E0">
            <w:pPr>
              <w:spacing w:before="80" w:line="280" w:lineRule="exact"/>
              <w:ind w:right="640"/>
              <w:rPr>
                <w:rFonts w:ascii="Tahoma" w:hAnsi="Tahoma" w:cs="Tahoma"/>
                <w:b/>
                <w:bCs/>
                <w:iCs/>
                <w:color w:val="243285"/>
                <w:sz w:val="32"/>
                <w:szCs w:val="32"/>
                <w:lang w:val="en-US"/>
              </w:rPr>
            </w:pPr>
          </w:p>
          <w:p w:rsidR="00454F5B" w:rsidRPr="00BA7614" w:rsidRDefault="00454F5B" w:rsidP="001B09E0">
            <w:pPr>
              <w:spacing w:before="80" w:after="180" w:line="360" w:lineRule="exact"/>
              <w:ind w:right="720"/>
              <w:rPr>
                <w:rFonts w:ascii="Tahoma" w:hAnsi="Tahoma" w:cs="Tahoma"/>
                <w:b/>
                <w:bCs/>
                <w:iCs/>
                <w:color w:val="243285"/>
                <w:sz w:val="36"/>
                <w:szCs w:val="36"/>
                <w:lang w:val="en-US"/>
              </w:rPr>
            </w:pPr>
          </w:p>
          <w:p w:rsidR="00454F5B" w:rsidRPr="006B55A9" w:rsidRDefault="00454F5B" w:rsidP="001B09E0">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454F5B" w:rsidRPr="006B55A9" w:rsidRDefault="00454F5B" w:rsidP="001B09E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454F5B" w:rsidRPr="006B55A9" w:rsidRDefault="00454F5B" w:rsidP="001B09E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454F5B" w:rsidRPr="006B55A9" w:rsidRDefault="00454F5B" w:rsidP="001B09E0">
            <w:pPr>
              <w:spacing w:before="80" w:line="360" w:lineRule="exact"/>
              <w:jc w:val="right"/>
              <w:rPr>
                <w:rFonts w:ascii="Tahoma" w:hAnsi="Tahoma" w:cs="Tahoma"/>
                <w:b/>
                <w:bCs/>
                <w:iCs/>
                <w:color w:val="243285"/>
                <w:sz w:val="32"/>
                <w:szCs w:val="32"/>
                <w:lang w:val="en-US"/>
              </w:rPr>
            </w:pPr>
          </w:p>
        </w:tc>
      </w:tr>
    </w:tbl>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pStyle w:val="Equation"/>
        <w:tabs>
          <w:tab w:val="clear" w:pos="4820"/>
          <w:tab w:val="clear" w:pos="9639"/>
          <w:tab w:val="left" w:pos="1191"/>
          <w:tab w:val="left" w:pos="1588"/>
          <w:tab w:val="left" w:pos="1985"/>
        </w:tabs>
        <w:rPr>
          <w:rFonts w:ascii="Palatino Linotype" w:hAnsi="Palatino Linotype"/>
          <w:lang w:val="en-US"/>
        </w:rPr>
        <w:sectPr w:rsidR="00454F5B">
          <w:headerReference w:type="even" r:id="rId7"/>
          <w:headerReference w:type="default" r:id="rId8"/>
          <w:pgSz w:w="11907" w:h="16840" w:code="9"/>
          <w:pgMar w:top="1089" w:right="1089" w:bottom="284" w:left="1089" w:header="567" w:footer="284" w:gutter="0"/>
          <w:pgNumType w:start="1"/>
          <w:cols w:space="720"/>
        </w:sectPr>
      </w:pPr>
    </w:p>
    <w:p w:rsidR="00454F5B" w:rsidRPr="00586EF8" w:rsidRDefault="00454F5B" w:rsidP="00454F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454F5B" w:rsidRDefault="00454F5B" w:rsidP="00454F5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54F5B" w:rsidRDefault="00454F5B" w:rsidP="00454F5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54F5B" w:rsidRPr="00B714F3" w:rsidRDefault="00454F5B" w:rsidP="00454F5B">
      <w:pPr>
        <w:pStyle w:val="Heading1"/>
        <w:spacing w:before="680"/>
        <w:jc w:val="center"/>
        <w:rPr>
          <w:szCs w:val="24"/>
          <w:lang w:val="en-US"/>
        </w:rPr>
      </w:pPr>
      <w:r w:rsidRPr="00B714F3">
        <w:rPr>
          <w:szCs w:val="24"/>
          <w:lang w:val="en-US"/>
        </w:rPr>
        <w:t>Policy on Intellectual Property Right (IPR)</w:t>
      </w:r>
    </w:p>
    <w:p w:rsidR="00454F5B" w:rsidRPr="00B714F3" w:rsidRDefault="00454F5B" w:rsidP="00454F5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54F5B" w:rsidRDefault="00454F5B" w:rsidP="00454F5B">
      <w:pPr>
        <w:jc w:val="center"/>
        <w:rPr>
          <w:sz w:val="22"/>
          <w:lang w:val="en-US"/>
        </w:rPr>
      </w:pPr>
    </w:p>
    <w:p w:rsidR="00454F5B" w:rsidRDefault="00454F5B" w:rsidP="00454F5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54F5B" w:rsidRPr="009F4B08" w:rsidTr="001B09E0">
        <w:tc>
          <w:tcPr>
            <w:tcW w:w="9360" w:type="dxa"/>
            <w:gridSpan w:val="2"/>
          </w:tcPr>
          <w:p w:rsidR="00454F5B" w:rsidRPr="00036EE3" w:rsidRDefault="00454F5B" w:rsidP="001B09E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454F5B" w:rsidRPr="00036EE3" w:rsidTr="001B09E0">
        <w:tc>
          <w:tcPr>
            <w:tcW w:w="1140" w:type="dxa"/>
          </w:tcPr>
          <w:p w:rsidR="00454F5B" w:rsidRPr="00036EE3" w:rsidRDefault="00454F5B" w:rsidP="001B09E0">
            <w:pPr>
              <w:spacing w:before="200" w:after="100"/>
              <w:ind w:left="57"/>
              <w:rPr>
                <w:b/>
                <w:bCs/>
                <w:sz w:val="20"/>
                <w:lang w:val="en-US"/>
              </w:rPr>
            </w:pPr>
            <w:r w:rsidRPr="00036EE3">
              <w:rPr>
                <w:b/>
                <w:bCs/>
                <w:sz w:val="20"/>
                <w:lang w:val="en-US"/>
              </w:rPr>
              <w:t>Series</w:t>
            </w:r>
          </w:p>
        </w:tc>
        <w:tc>
          <w:tcPr>
            <w:tcW w:w="8220" w:type="dxa"/>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BO</w:t>
            </w:r>
          </w:p>
        </w:tc>
        <w:tc>
          <w:tcPr>
            <w:tcW w:w="8220" w:type="dxa"/>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54F5B" w:rsidRPr="009F4B08"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BR</w:t>
            </w:r>
          </w:p>
        </w:tc>
        <w:tc>
          <w:tcPr>
            <w:tcW w:w="8220" w:type="dxa"/>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54F5B" w:rsidRPr="00036EE3" w:rsidTr="001B09E0">
        <w:tc>
          <w:tcPr>
            <w:tcW w:w="1140" w:type="dxa"/>
            <w:tcBorders>
              <w:bottom w:val="nil"/>
            </w:tcBorders>
          </w:tcPr>
          <w:p w:rsidR="00454F5B" w:rsidRPr="00036EE3" w:rsidRDefault="00454F5B" w:rsidP="001B09E0">
            <w:pPr>
              <w:spacing w:before="30" w:after="30"/>
              <w:ind w:left="57"/>
              <w:jc w:val="left"/>
              <w:rPr>
                <w:b/>
                <w:bCs/>
                <w:sz w:val="20"/>
                <w:lang w:val="en-US"/>
              </w:rPr>
            </w:pPr>
            <w:r w:rsidRPr="00036EE3">
              <w:rPr>
                <w:b/>
                <w:bCs/>
                <w:sz w:val="20"/>
                <w:lang w:val="en-US"/>
              </w:rPr>
              <w:t>BS</w:t>
            </w:r>
          </w:p>
        </w:tc>
        <w:tc>
          <w:tcPr>
            <w:tcW w:w="8220" w:type="dxa"/>
            <w:tcBorders>
              <w:bottom w:val="nil"/>
            </w:tcBorders>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54F5B" w:rsidRPr="00ED2695" w:rsidTr="001B09E0">
        <w:tc>
          <w:tcPr>
            <w:tcW w:w="1140" w:type="dxa"/>
            <w:tcBorders>
              <w:top w:val="nil"/>
              <w:bottom w:val="nil"/>
            </w:tcBorders>
            <w:shd w:val="clear" w:color="auto" w:fill="F3F3F3"/>
          </w:tcPr>
          <w:p w:rsidR="00454F5B" w:rsidRPr="000F6905" w:rsidRDefault="00454F5B" w:rsidP="001B09E0">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454F5B" w:rsidRPr="000F6905"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454F5B" w:rsidRPr="00036EE3" w:rsidTr="001B09E0">
        <w:tc>
          <w:tcPr>
            <w:tcW w:w="1140" w:type="dxa"/>
            <w:tcBorders>
              <w:top w:val="nil"/>
              <w:bottom w:val="nil"/>
            </w:tcBorders>
            <w:shd w:val="clear" w:color="auto" w:fill="auto"/>
          </w:tcPr>
          <w:p w:rsidR="00454F5B" w:rsidRPr="00036EE3" w:rsidRDefault="00454F5B" w:rsidP="001B09E0">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454F5B" w:rsidRPr="00036EE3" w:rsidRDefault="00454F5B"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54F5B" w:rsidRPr="005E02E1" w:rsidTr="001B09E0">
        <w:tc>
          <w:tcPr>
            <w:tcW w:w="1140" w:type="dxa"/>
            <w:tcBorders>
              <w:top w:val="nil"/>
              <w:bottom w:val="nil"/>
            </w:tcBorders>
            <w:shd w:val="clear" w:color="auto" w:fill="auto"/>
          </w:tcPr>
          <w:p w:rsidR="00454F5B" w:rsidRPr="007D3B79" w:rsidRDefault="00454F5B" w:rsidP="001B09E0">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454F5B" w:rsidRPr="00220899"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454F5B" w:rsidRPr="00036EE3" w:rsidTr="001B09E0">
        <w:tc>
          <w:tcPr>
            <w:tcW w:w="1140" w:type="dxa"/>
            <w:tcBorders>
              <w:top w:val="nil"/>
            </w:tcBorders>
          </w:tcPr>
          <w:p w:rsidR="00454F5B" w:rsidRPr="00036EE3" w:rsidRDefault="00454F5B" w:rsidP="001B09E0">
            <w:pPr>
              <w:spacing w:before="30" w:after="30"/>
              <w:ind w:left="57"/>
              <w:jc w:val="left"/>
              <w:rPr>
                <w:b/>
                <w:bCs/>
                <w:sz w:val="20"/>
                <w:lang w:val="fr-CH"/>
              </w:rPr>
            </w:pPr>
            <w:r w:rsidRPr="00036EE3">
              <w:rPr>
                <w:b/>
                <w:bCs/>
                <w:sz w:val="20"/>
                <w:lang w:val="fr-CH"/>
              </w:rPr>
              <w:t>P</w:t>
            </w:r>
          </w:p>
        </w:tc>
        <w:tc>
          <w:tcPr>
            <w:tcW w:w="8220" w:type="dxa"/>
            <w:tcBorders>
              <w:top w:val="nil"/>
            </w:tcBorders>
          </w:tcPr>
          <w:p w:rsidR="00454F5B" w:rsidRPr="00036EE3" w:rsidRDefault="00454F5B" w:rsidP="001B09E0">
            <w:pPr>
              <w:spacing w:before="30" w:after="30"/>
              <w:jc w:val="left"/>
              <w:rPr>
                <w:sz w:val="20"/>
                <w:lang w:val="fr-CH"/>
              </w:rPr>
            </w:pPr>
            <w:r w:rsidRPr="00036EE3">
              <w:rPr>
                <w:sz w:val="20"/>
                <w:lang w:val="fr-CH"/>
              </w:rPr>
              <w:t>Radiowave propagation</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RA</w:t>
            </w:r>
          </w:p>
        </w:tc>
        <w:tc>
          <w:tcPr>
            <w:tcW w:w="8220" w:type="dxa"/>
          </w:tcPr>
          <w:p w:rsidR="00454F5B" w:rsidRPr="00036EE3" w:rsidRDefault="00454F5B"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RS</w:t>
            </w:r>
          </w:p>
        </w:tc>
        <w:tc>
          <w:tcPr>
            <w:tcW w:w="8220" w:type="dxa"/>
          </w:tcPr>
          <w:p w:rsidR="00454F5B" w:rsidRPr="00036EE3" w:rsidRDefault="00454F5B"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w:t>
            </w:r>
          </w:p>
        </w:tc>
        <w:tc>
          <w:tcPr>
            <w:tcW w:w="8220" w:type="dxa"/>
          </w:tcPr>
          <w:p w:rsidR="00454F5B" w:rsidRPr="00036EE3" w:rsidRDefault="00454F5B" w:rsidP="001B09E0">
            <w:pPr>
              <w:spacing w:before="30" w:after="30"/>
              <w:jc w:val="left"/>
              <w:rPr>
                <w:sz w:val="20"/>
                <w:lang w:val="en-US"/>
              </w:rPr>
            </w:pPr>
            <w:r w:rsidRPr="00036EE3">
              <w:rPr>
                <w:sz w:val="20"/>
                <w:lang w:val="en-US"/>
              </w:rPr>
              <w:t>Fixed-satellite service</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SA</w:t>
            </w:r>
          </w:p>
        </w:tc>
        <w:tc>
          <w:tcPr>
            <w:tcW w:w="8220" w:type="dxa"/>
          </w:tcPr>
          <w:p w:rsidR="00454F5B" w:rsidRPr="00036EE3" w:rsidRDefault="00454F5B" w:rsidP="001B09E0">
            <w:pPr>
              <w:spacing w:before="30" w:after="30"/>
              <w:jc w:val="left"/>
              <w:rPr>
                <w:sz w:val="20"/>
                <w:lang w:val="en-US"/>
              </w:rPr>
            </w:pPr>
            <w:r w:rsidRPr="00036EE3">
              <w:rPr>
                <w:sz w:val="20"/>
                <w:lang w:val="en-US"/>
              </w:rPr>
              <w:t>Space applications and meteorology</w:t>
            </w:r>
          </w:p>
        </w:tc>
      </w:tr>
      <w:tr w:rsidR="00454F5B" w:rsidRPr="009F4B08"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SF</w:t>
            </w:r>
          </w:p>
        </w:tc>
        <w:tc>
          <w:tcPr>
            <w:tcW w:w="8220" w:type="dxa"/>
          </w:tcPr>
          <w:p w:rsidR="00454F5B" w:rsidRPr="00036EE3" w:rsidRDefault="00454F5B" w:rsidP="001B09E0">
            <w:pPr>
              <w:spacing w:before="30" w:after="30"/>
              <w:jc w:val="left"/>
              <w:rPr>
                <w:sz w:val="20"/>
                <w:lang w:val="en-US"/>
              </w:rPr>
            </w:pPr>
            <w:r w:rsidRPr="00036EE3">
              <w:rPr>
                <w:sz w:val="20"/>
                <w:lang w:val="en-US"/>
              </w:rPr>
              <w:t>Frequency sharing and coordination between fixed-satellite and fixed service systems</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Pr>
                <w:b/>
                <w:bCs/>
                <w:sz w:val="20"/>
                <w:lang w:val="en-US"/>
              </w:rPr>
              <w:t>SM</w:t>
            </w:r>
          </w:p>
        </w:tc>
        <w:tc>
          <w:tcPr>
            <w:tcW w:w="8220" w:type="dxa"/>
          </w:tcPr>
          <w:p w:rsidR="00454F5B" w:rsidRPr="00036EE3" w:rsidRDefault="00454F5B" w:rsidP="001B09E0">
            <w:pPr>
              <w:spacing w:before="30" w:after="30"/>
              <w:jc w:val="left"/>
              <w:rPr>
                <w:sz w:val="20"/>
                <w:lang w:val="en-US"/>
              </w:rPr>
            </w:pPr>
            <w:r>
              <w:rPr>
                <w:sz w:val="20"/>
                <w:lang w:val="en-US"/>
              </w:rPr>
              <w:t>Spectrum management</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SNG</w:t>
            </w:r>
          </w:p>
        </w:tc>
        <w:tc>
          <w:tcPr>
            <w:tcW w:w="8220" w:type="dxa"/>
          </w:tcPr>
          <w:p w:rsidR="00454F5B" w:rsidRPr="00036EE3" w:rsidRDefault="00454F5B" w:rsidP="001B09E0">
            <w:pPr>
              <w:spacing w:before="30" w:after="30"/>
              <w:jc w:val="left"/>
              <w:rPr>
                <w:sz w:val="20"/>
                <w:lang w:val="en-US"/>
              </w:rPr>
            </w:pPr>
            <w:r w:rsidRPr="00036EE3">
              <w:rPr>
                <w:sz w:val="20"/>
                <w:lang w:val="en-US"/>
              </w:rPr>
              <w:t>Satellite news gathering</w:t>
            </w:r>
          </w:p>
        </w:tc>
      </w:tr>
      <w:tr w:rsidR="00454F5B" w:rsidRPr="009F4B08"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TF</w:t>
            </w:r>
          </w:p>
        </w:tc>
        <w:tc>
          <w:tcPr>
            <w:tcW w:w="8220" w:type="dxa"/>
          </w:tcPr>
          <w:p w:rsidR="00454F5B" w:rsidRPr="00036EE3" w:rsidRDefault="00454F5B" w:rsidP="001B09E0">
            <w:pPr>
              <w:spacing w:before="30" w:after="30"/>
              <w:jc w:val="left"/>
              <w:rPr>
                <w:sz w:val="20"/>
                <w:lang w:val="en-US"/>
              </w:rPr>
            </w:pPr>
            <w:r w:rsidRPr="00036EE3">
              <w:rPr>
                <w:sz w:val="20"/>
                <w:lang w:val="en-US"/>
              </w:rPr>
              <w:t>Time signals and frequency standards emissions</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V</w:t>
            </w:r>
          </w:p>
        </w:tc>
        <w:tc>
          <w:tcPr>
            <w:tcW w:w="8220" w:type="dxa"/>
          </w:tcPr>
          <w:p w:rsidR="00454F5B" w:rsidRPr="00036EE3" w:rsidRDefault="00454F5B" w:rsidP="001B09E0">
            <w:pPr>
              <w:spacing w:before="30" w:after="180"/>
              <w:jc w:val="left"/>
              <w:rPr>
                <w:sz w:val="20"/>
                <w:lang w:val="en-US"/>
              </w:rPr>
            </w:pPr>
            <w:r w:rsidRPr="00036EE3">
              <w:rPr>
                <w:sz w:val="20"/>
                <w:lang w:val="en-US"/>
              </w:rPr>
              <w:t>Vocabulary and related subjects</w:t>
            </w:r>
          </w:p>
        </w:tc>
      </w:tr>
    </w:tbl>
    <w:p w:rsidR="00454F5B" w:rsidRPr="00036EE3" w:rsidRDefault="00454F5B" w:rsidP="00454F5B">
      <w:pPr>
        <w:spacing w:before="30" w:after="30"/>
        <w:jc w:val="center"/>
        <w:rPr>
          <w:sz w:val="20"/>
          <w:lang w:val="en-US"/>
        </w:rPr>
      </w:pPr>
    </w:p>
    <w:p w:rsidR="00454F5B" w:rsidRDefault="00454F5B" w:rsidP="00454F5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54F5B" w:rsidRPr="009F4B08" w:rsidTr="001B09E0">
        <w:tc>
          <w:tcPr>
            <w:tcW w:w="9360" w:type="dxa"/>
          </w:tcPr>
          <w:p w:rsidR="00454F5B" w:rsidRPr="006B55A9" w:rsidRDefault="00454F5B" w:rsidP="001B09E0">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454F5B" w:rsidRDefault="00454F5B" w:rsidP="00454F5B">
      <w:pPr>
        <w:spacing w:before="0"/>
        <w:jc w:val="center"/>
        <w:rPr>
          <w:sz w:val="22"/>
          <w:lang w:val="en-US"/>
        </w:rPr>
      </w:pPr>
    </w:p>
    <w:p w:rsidR="00454F5B" w:rsidRDefault="00454F5B" w:rsidP="00454F5B">
      <w:pPr>
        <w:spacing w:before="0"/>
        <w:jc w:val="center"/>
        <w:rPr>
          <w:sz w:val="22"/>
          <w:lang w:val="en-US"/>
        </w:rPr>
      </w:pPr>
    </w:p>
    <w:p w:rsidR="00454F5B" w:rsidRPr="002F5199" w:rsidRDefault="00454F5B" w:rsidP="00454F5B">
      <w:pPr>
        <w:spacing w:before="0"/>
        <w:jc w:val="right"/>
        <w:rPr>
          <w:i/>
          <w:iCs/>
          <w:sz w:val="20"/>
          <w:lang w:val="en-US"/>
        </w:rPr>
      </w:pPr>
      <w:r w:rsidRPr="002F5199">
        <w:rPr>
          <w:i/>
          <w:iCs/>
          <w:sz w:val="20"/>
          <w:lang w:val="en-US"/>
        </w:rPr>
        <w:t>Electronic Publication</w:t>
      </w:r>
    </w:p>
    <w:p w:rsidR="00454F5B" w:rsidRPr="002F5199" w:rsidRDefault="00454F5B" w:rsidP="00BD6A95">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E8533B">
        <w:rPr>
          <w:sz w:val="20"/>
          <w:lang w:val="en-US"/>
        </w:rPr>
        <w:t>5</w:t>
      </w:r>
    </w:p>
    <w:p w:rsidR="00454F5B" w:rsidRDefault="00454F5B" w:rsidP="00454F5B">
      <w:pPr>
        <w:jc w:val="center"/>
        <w:rPr>
          <w:sz w:val="22"/>
          <w:lang w:val="en-US"/>
        </w:rPr>
      </w:pPr>
    </w:p>
    <w:p w:rsidR="00454F5B" w:rsidRPr="00470E28" w:rsidRDefault="00454F5B" w:rsidP="00BD6A9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E8533B">
        <w:rPr>
          <w:sz w:val="20"/>
          <w:lang w:val="en-US"/>
        </w:rPr>
        <w:t>5</w:t>
      </w:r>
    </w:p>
    <w:p w:rsidR="00454F5B" w:rsidRPr="00470E28" w:rsidRDefault="00454F5B" w:rsidP="00454F5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54F5B" w:rsidRDefault="00454F5B" w:rsidP="00454F5B">
      <w:pPr>
        <w:spacing w:before="160"/>
        <w:rPr>
          <w:i/>
          <w:sz w:val="20"/>
          <w:lang w:val="en-US"/>
        </w:rPr>
        <w:sectPr w:rsidR="00454F5B"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454F5B" w:rsidRPr="00BF487A" w:rsidRDefault="00454F5B" w:rsidP="00BD6A95">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C51AD2">
        <w:rPr>
          <w:rStyle w:val="href"/>
          <w:lang w:val="en-US"/>
        </w:rPr>
        <w:t>1735-</w:t>
      </w:r>
      <w:r w:rsidR="00E8533B">
        <w:rPr>
          <w:rStyle w:val="href"/>
          <w:lang w:val="en-US"/>
        </w:rPr>
        <w:t>3</w:t>
      </w:r>
    </w:p>
    <w:p w:rsidR="00454F5B" w:rsidRPr="00F7555D" w:rsidRDefault="00454F5B" w:rsidP="00F7555D">
      <w:pPr>
        <w:pStyle w:val="Rectitle"/>
        <w:rPr>
          <w:b w:val="0"/>
          <w:sz w:val="24"/>
          <w:lang w:val="en-US"/>
        </w:rPr>
      </w:pPr>
      <w:r w:rsidRPr="00FA4E58">
        <w:rPr>
          <w:lang w:val="en-US"/>
        </w:rPr>
        <w:t xml:space="preserve">Methods for objective </w:t>
      </w:r>
      <w:r>
        <w:rPr>
          <w:lang w:val="en-US"/>
        </w:rPr>
        <w:t xml:space="preserve">reception </w:t>
      </w:r>
      <w:r w:rsidRPr="00FA4E58">
        <w:rPr>
          <w:lang w:val="en-US"/>
        </w:rPr>
        <w:t xml:space="preserve">quality assessment of digital terrestrial television broadcasting signals of System B specified </w:t>
      </w:r>
      <w:r w:rsidR="00860584">
        <w:rPr>
          <w:lang w:val="en-US"/>
        </w:rPr>
        <w:br/>
      </w:r>
      <w:r w:rsidRPr="00FA4E58">
        <w:rPr>
          <w:lang w:val="en-US"/>
        </w:rPr>
        <w:t xml:space="preserve">in </w:t>
      </w:r>
      <w:r w:rsidRPr="00F7555D">
        <w:rPr>
          <w:lang w:val="en-US"/>
        </w:rPr>
        <w:t>Recommendation ITU-R BT.1306</w:t>
      </w:r>
    </w:p>
    <w:p w:rsidR="00454F5B" w:rsidRPr="00A04939" w:rsidRDefault="00454F5B" w:rsidP="00454F5B">
      <w:pPr>
        <w:pStyle w:val="Recref"/>
        <w:rPr>
          <w:lang w:val="en-US"/>
        </w:rPr>
      </w:pPr>
      <w:r w:rsidRPr="00A04939">
        <w:rPr>
          <w:lang w:val="en-US"/>
        </w:rPr>
        <w:t xml:space="preserve">(Question ITU-R </w:t>
      </w:r>
      <w:r w:rsidR="00286FB6" w:rsidRPr="00A04939">
        <w:rPr>
          <w:lang w:val="en-US"/>
        </w:rPr>
        <w:t>100</w:t>
      </w:r>
      <w:r w:rsidRPr="00A04939">
        <w:rPr>
          <w:lang w:val="en-US"/>
        </w:rPr>
        <w:t>/6)</w:t>
      </w:r>
    </w:p>
    <w:p w:rsidR="00454F5B" w:rsidRPr="00680058" w:rsidRDefault="00454F5B" w:rsidP="00454F5B">
      <w:pPr>
        <w:pStyle w:val="Recdate"/>
        <w:rPr>
          <w:lang w:val="en-US"/>
        </w:rPr>
      </w:pPr>
      <w:r w:rsidRPr="00680058">
        <w:rPr>
          <w:lang w:val="en-US"/>
        </w:rPr>
        <w:t>(2005</w:t>
      </w:r>
      <w:r>
        <w:rPr>
          <w:lang w:val="en-US"/>
        </w:rPr>
        <w:t>-2012</w:t>
      </w:r>
      <w:r w:rsidR="00BD6A95">
        <w:rPr>
          <w:lang w:val="en-US"/>
        </w:rPr>
        <w:t>-2014</w:t>
      </w:r>
      <w:r w:rsidR="00E8533B">
        <w:rPr>
          <w:lang w:val="en-US"/>
        </w:rPr>
        <w:t>-2015</w:t>
      </w:r>
      <w:r w:rsidRPr="00680058">
        <w:rPr>
          <w:lang w:val="en-US"/>
        </w:rPr>
        <w:t>)</w:t>
      </w:r>
    </w:p>
    <w:p w:rsidR="00454F5B" w:rsidRPr="00680058" w:rsidRDefault="00454F5B" w:rsidP="00454F5B">
      <w:pPr>
        <w:pStyle w:val="HeadingSum"/>
        <w:rPr>
          <w:lang w:val="en-US"/>
        </w:rPr>
      </w:pPr>
      <w:r w:rsidRPr="00680058">
        <w:rPr>
          <w:lang w:val="en-US"/>
        </w:rPr>
        <w:t>Scope</w:t>
      </w:r>
    </w:p>
    <w:p w:rsidR="00286FB6" w:rsidRPr="004D5A56" w:rsidRDefault="00454F5B" w:rsidP="004D5A56">
      <w:pPr>
        <w:pStyle w:val="Summary"/>
        <w:rPr>
          <w:lang w:val="en-US"/>
        </w:rPr>
      </w:pPr>
      <w:r w:rsidRPr="004D5A56">
        <w:rPr>
          <w:lang w:val="en-US"/>
        </w:rPr>
        <w:t>The purpose of this Recommendation is to make available methods to assist in quality assessment of the reception of digital terrestrial television broadcasting services</w:t>
      </w:r>
      <w:r w:rsidRPr="004D5A56" w:rsidDel="008377E8">
        <w:rPr>
          <w:lang w:val="en-US"/>
        </w:rPr>
        <w:t xml:space="preserve"> </w:t>
      </w:r>
      <w:r w:rsidRPr="004D5A56">
        <w:rPr>
          <w:lang w:val="en-US"/>
        </w:rPr>
        <w:t>for digital television broadcasting in System B. This Recommendation takes into account relevant ITU</w:t>
      </w:r>
      <w:r w:rsidRPr="004D5A56">
        <w:rPr>
          <w:lang w:val="en-US"/>
        </w:rPr>
        <w:noBreakHyphen/>
        <w:t>R Recommendations. For the stated purpose</w:t>
      </w:r>
      <w:r w:rsidR="004D5A56" w:rsidRPr="004D5A56">
        <w:rPr>
          <w:lang w:val="en-US"/>
        </w:rPr>
        <w:t>,</w:t>
      </w:r>
      <w:r w:rsidRPr="004D5A56">
        <w:rPr>
          <w:lang w:val="en-US"/>
        </w:rPr>
        <w:t xml:space="preserve"> two methods are available, one for multi-frequency network (MFN) and one for single frequency network (SFN).</w:t>
      </w:r>
    </w:p>
    <w:p w:rsidR="00454F5B" w:rsidRPr="00FA4E58" w:rsidRDefault="00454F5B" w:rsidP="00286FB6">
      <w:pPr>
        <w:pStyle w:val="Normalaftertitle"/>
        <w:rPr>
          <w:lang w:val="en-US"/>
        </w:rPr>
      </w:pPr>
      <w:r w:rsidRPr="00FA4E58">
        <w:rPr>
          <w:lang w:val="en-US"/>
        </w:rPr>
        <w:t>The ITU Radiocommunication Assembly,</w:t>
      </w:r>
    </w:p>
    <w:p w:rsidR="00454F5B" w:rsidRPr="00FA4E58" w:rsidRDefault="00454F5B" w:rsidP="00454F5B">
      <w:pPr>
        <w:pStyle w:val="Call"/>
        <w:rPr>
          <w:lang w:val="en-US"/>
        </w:rPr>
      </w:pPr>
      <w:r w:rsidRPr="00FA4E58">
        <w:rPr>
          <w:lang w:val="en-US"/>
        </w:rPr>
        <w:t>considering</w:t>
      </w:r>
    </w:p>
    <w:p w:rsidR="00454F5B" w:rsidRPr="00FA4E58" w:rsidRDefault="00454F5B" w:rsidP="00286FB6">
      <w:pPr>
        <w:rPr>
          <w:lang w:val="en-US"/>
        </w:rPr>
      </w:pPr>
      <w:r w:rsidRPr="00491520">
        <w:rPr>
          <w:i/>
          <w:iCs/>
          <w:lang w:val="en-US"/>
        </w:rPr>
        <w:t>a)</w:t>
      </w:r>
      <w:r w:rsidRPr="00FA4E58">
        <w:rPr>
          <w:lang w:val="en-US"/>
        </w:rPr>
        <w:tab/>
        <w:t>that Recommendation ITU-R SM.1682 – Methods for measurements on digital broadcasting signals, specifies in § 2.6 the parameters to be measured for coverage evaluation;</w:t>
      </w:r>
    </w:p>
    <w:p w:rsidR="00454F5B" w:rsidRPr="00FA4E58" w:rsidRDefault="00454F5B" w:rsidP="00454F5B">
      <w:pPr>
        <w:rPr>
          <w:lang w:val="en-US"/>
        </w:rPr>
      </w:pPr>
      <w:r w:rsidRPr="00491520">
        <w:rPr>
          <w:i/>
          <w:iCs/>
          <w:lang w:val="en-US"/>
        </w:rPr>
        <w:t>b)</w:t>
      </w:r>
      <w:r w:rsidRPr="00FA4E58">
        <w:rPr>
          <w:lang w:val="en-US"/>
        </w:rPr>
        <w:tab/>
        <w:t>that in Recommendation ITU-R BT.1368 planning parameters such as minimum field strength, protection ratio and relation between minimum field strength and receiver voltage input are defined and widely used by administrations;</w:t>
      </w:r>
    </w:p>
    <w:p w:rsidR="00454F5B" w:rsidRDefault="00454F5B" w:rsidP="00286FB6">
      <w:pPr>
        <w:rPr>
          <w:lang w:val="en-US"/>
        </w:rPr>
      </w:pPr>
      <w:r w:rsidRPr="00491520">
        <w:rPr>
          <w:i/>
          <w:iCs/>
          <w:lang w:val="en-US"/>
        </w:rPr>
        <w:t>c)</w:t>
      </w:r>
      <w:r w:rsidRPr="00FA4E58">
        <w:rPr>
          <w:lang w:val="en-US"/>
        </w:rPr>
        <w:tab/>
        <w:t>that in Recommendation ITU-R P.1546 field strength prediction methods and clutter height for field evaluation are indicated and widely used by administrations;</w:t>
      </w:r>
    </w:p>
    <w:p w:rsidR="00454F5B" w:rsidRPr="001B09E0" w:rsidRDefault="00454F5B" w:rsidP="00454F5B">
      <w:pPr>
        <w:rPr>
          <w:rFonts w:ascii="TimesNewRoman,Bold" w:hAnsi="TimesNewRoman,Bold" w:cs="TimesNewRoman,Bold"/>
          <w:lang w:val="en-US"/>
        </w:rPr>
      </w:pPr>
      <w:r w:rsidRPr="00491520">
        <w:rPr>
          <w:i/>
          <w:iCs/>
          <w:lang w:val="en-US"/>
        </w:rPr>
        <w:t>d)</w:t>
      </w:r>
      <w:r w:rsidRPr="001B09E0">
        <w:rPr>
          <w:lang w:val="en-US"/>
        </w:rPr>
        <w:tab/>
        <w:t>that ITU-R established Recommendation ITU-R BT.500 as a m</w:t>
      </w:r>
      <w:r w:rsidRPr="001B09E0">
        <w:rPr>
          <w:rFonts w:ascii="TimesNewRoman,Bold" w:hAnsi="TimesNewRoman,Bold" w:cs="TimesNewRoman,Bold"/>
          <w:lang w:val="en-US"/>
        </w:rPr>
        <w:t>ethodology for the subjective assessment of the quality of television pictures;</w:t>
      </w:r>
    </w:p>
    <w:p w:rsidR="00454F5B" w:rsidRPr="001B09E0" w:rsidRDefault="00454F5B" w:rsidP="00286FB6">
      <w:pPr>
        <w:rPr>
          <w:lang w:val="en-US"/>
        </w:rPr>
      </w:pPr>
      <w:r w:rsidRPr="00491520">
        <w:rPr>
          <w:i/>
          <w:iCs/>
          <w:lang w:val="en-US"/>
        </w:rPr>
        <w:t>e)</w:t>
      </w:r>
      <w:r w:rsidRPr="001B09E0">
        <w:rPr>
          <w:lang w:val="en-US"/>
        </w:rPr>
        <w:tab/>
        <w:t>that, with the introduction of digital television services, it has been observed that subjective assessment of digital television pictures is considered less relevant in quality assessment, as the performance of digital technologies do not provide the tolerances experienced with analogue;</w:t>
      </w:r>
    </w:p>
    <w:p w:rsidR="00454F5B" w:rsidRPr="001B09E0" w:rsidRDefault="00454F5B" w:rsidP="00286FB6">
      <w:pPr>
        <w:rPr>
          <w:lang w:val="en-US"/>
        </w:rPr>
      </w:pPr>
      <w:r w:rsidRPr="00491520">
        <w:rPr>
          <w:rFonts w:ascii="TimesNewRoman,Bold" w:hAnsi="TimesNewRoman,Bold" w:cs="TimesNewRoman,Bold"/>
          <w:i/>
          <w:iCs/>
          <w:lang w:val="en-US"/>
        </w:rPr>
        <w:t>f)</w:t>
      </w:r>
      <w:r w:rsidRPr="001B09E0">
        <w:rPr>
          <w:rFonts w:ascii="TimesNewRoman,Bold" w:hAnsi="TimesNewRoman,Bold" w:cs="TimesNewRoman,Bold"/>
          <w:lang w:val="en-US"/>
        </w:rPr>
        <w:tab/>
        <w:t xml:space="preserve">that </w:t>
      </w:r>
      <w:r w:rsidRPr="001B09E0">
        <w:rPr>
          <w:lang w:val="en-US"/>
        </w:rPr>
        <w:t>with the assessment of digital television systems</w:t>
      </w:r>
      <w:r w:rsidR="004D5A56">
        <w:rPr>
          <w:lang w:val="en-US"/>
        </w:rPr>
        <w:t>,</w:t>
      </w:r>
      <w:r w:rsidRPr="001B09E0">
        <w:rPr>
          <w:lang w:val="en-US"/>
        </w:rPr>
        <w:t xml:space="preserve"> a critical requirement is that the system is above </w:t>
      </w:r>
      <w:r w:rsidR="004D5A56">
        <w:rPr>
          <w:lang w:val="en-US"/>
        </w:rPr>
        <w:t xml:space="preserve">the </w:t>
      </w:r>
      <w:r w:rsidRPr="001B09E0">
        <w:rPr>
          <w:lang w:val="en-US"/>
        </w:rPr>
        <w:t>threshold;</w:t>
      </w:r>
    </w:p>
    <w:p w:rsidR="00454F5B" w:rsidRPr="001B09E0" w:rsidRDefault="00454F5B" w:rsidP="00286FB6">
      <w:pPr>
        <w:rPr>
          <w:lang w:val="en-US"/>
        </w:rPr>
      </w:pPr>
      <w:r w:rsidRPr="00491520">
        <w:rPr>
          <w:i/>
          <w:iCs/>
          <w:lang w:val="en-US"/>
        </w:rPr>
        <w:t>g)</w:t>
      </w:r>
      <w:r w:rsidRPr="001B09E0">
        <w:rPr>
          <w:lang w:val="en-US"/>
        </w:rPr>
        <w:tab/>
        <w:t>that subjective analysis of the picture quality cannot be used as a measure of the interference level or required protection ratio of digital systems;</w:t>
      </w:r>
    </w:p>
    <w:p w:rsidR="00454F5B" w:rsidRPr="001B09E0" w:rsidRDefault="00454F5B" w:rsidP="00286FB6">
      <w:pPr>
        <w:rPr>
          <w:lang w:val="en-US"/>
        </w:rPr>
      </w:pPr>
      <w:r w:rsidRPr="00491520">
        <w:rPr>
          <w:i/>
          <w:iCs/>
          <w:lang w:val="en-US"/>
        </w:rPr>
        <w:t>h)</w:t>
      </w:r>
      <w:r w:rsidRPr="001B09E0">
        <w:rPr>
          <w:lang w:val="en-US"/>
        </w:rPr>
        <w:tab/>
        <w:t>that satisfactory planning of digital systems requires a determination of operation with a sufficient margin above the threshold point of quasi error free (QEF) signal, taking into account time and location variability;</w:t>
      </w:r>
    </w:p>
    <w:p w:rsidR="00454F5B" w:rsidRPr="001B09E0" w:rsidRDefault="00E8533B" w:rsidP="00286FB6">
      <w:pPr>
        <w:rPr>
          <w:lang w:val="en-US"/>
        </w:rPr>
      </w:pPr>
      <w:r>
        <w:rPr>
          <w:i/>
          <w:iCs/>
          <w:lang w:val="en-US"/>
        </w:rPr>
        <w:t>i</w:t>
      </w:r>
      <w:r w:rsidR="00454F5B" w:rsidRPr="00491520">
        <w:rPr>
          <w:i/>
          <w:iCs/>
          <w:lang w:val="en-US"/>
        </w:rPr>
        <w:t>)</w:t>
      </w:r>
      <w:r w:rsidR="00454F5B" w:rsidRPr="001B09E0">
        <w:rPr>
          <w:lang w:val="en-US"/>
        </w:rPr>
        <w:tab/>
        <w:t>that BER after Viterbi decoding (vBER) is used to determine the threshold of QEF condition;</w:t>
      </w:r>
    </w:p>
    <w:p w:rsidR="00454F5B" w:rsidRPr="001B09E0" w:rsidRDefault="00E8533B" w:rsidP="00286FB6">
      <w:pPr>
        <w:rPr>
          <w:lang w:val="en-US"/>
        </w:rPr>
      </w:pPr>
      <w:r>
        <w:rPr>
          <w:i/>
          <w:iCs/>
          <w:lang w:val="en-US"/>
        </w:rPr>
        <w:t>j</w:t>
      </w:r>
      <w:r w:rsidR="00454F5B" w:rsidRPr="00491520">
        <w:rPr>
          <w:i/>
          <w:iCs/>
          <w:lang w:val="en-US"/>
        </w:rPr>
        <w:t>)</w:t>
      </w:r>
      <w:r w:rsidR="00454F5B" w:rsidRPr="001B09E0">
        <w:rPr>
          <w:lang w:val="en-US"/>
        </w:rPr>
        <w:tab/>
        <w:t xml:space="preserve">that </w:t>
      </w:r>
      <w:r w:rsidR="004D5A56">
        <w:rPr>
          <w:lang w:val="en-US"/>
        </w:rPr>
        <w:t xml:space="preserve">the </w:t>
      </w:r>
      <w:r w:rsidR="00454F5B" w:rsidRPr="001B09E0">
        <w:rPr>
          <w:lang w:val="en-US"/>
        </w:rPr>
        <w:t>SFP method is used to determine the threshold of visible errors;</w:t>
      </w:r>
    </w:p>
    <w:p w:rsidR="00454F5B" w:rsidRDefault="00E8533B" w:rsidP="00286FB6">
      <w:pPr>
        <w:rPr>
          <w:lang w:val="en-US"/>
        </w:rPr>
      </w:pPr>
      <w:r>
        <w:rPr>
          <w:i/>
          <w:iCs/>
          <w:lang w:val="en-US"/>
        </w:rPr>
        <w:t>k</w:t>
      </w:r>
      <w:r w:rsidR="00454F5B" w:rsidRPr="00491520">
        <w:rPr>
          <w:i/>
          <w:iCs/>
          <w:lang w:val="en-US"/>
        </w:rPr>
        <w:t>)</w:t>
      </w:r>
      <w:r w:rsidR="00454F5B" w:rsidRPr="00FA4E58">
        <w:rPr>
          <w:lang w:val="en-US"/>
        </w:rPr>
        <w:tab/>
        <w:t xml:space="preserve">that there is a need for in-field methodologies to assist administrations and Sector Members to assess the </w:t>
      </w:r>
      <w:r w:rsidR="00454F5B">
        <w:rPr>
          <w:lang w:val="en-US"/>
        </w:rPr>
        <w:t xml:space="preserve">reception </w:t>
      </w:r>
      <w:r w:rsidR="00454F5B" w:rsidRPr="00FA4E58">
        <w:rPr>
          <w:lang w:val="en-US"/>
        </w:rPr>
        <w:t>quality of digital terrestrial television broadcasting (DTTB) coverage</w:t>
      </w:r>
      <w:r w:rsidR="00454F5B">
        <w:rPr>
          <w:lang w:val="en-US"/>
        </w:rPr>
        <w:t>,</w:t>
      </w:r>
    </w:p>
    <w:p w:rsidR="00454F5B" w:rsidRPr="00FA4E58" w:rsidRDefault="00454F5B" w:rsidP="00454F5B">
      <w:pPr>
        <w:pStyle w:val="Call"/>
        <w:rPr>
          <w:lang w:val="en-US"/>
        </w:rPr>
      </w:pPr>
      <w:r w:rsidRPr="00FA4E58">
        <w:rPr>
          <w:lang w:val="en-US"/>
        </w:rPr>
        <w:lastRenderedPageBreak/>
        <w:t>recommends</w:t>
      </w:r>
    </w:p>
    <w:p w:rsidR="00454F5B" w:rsidRPr="009361EF" w:rsidRDefault="00454F5B" w:rsidP="00286FB6">
      <w:pPr>
        <w:rPr>
          <w:lang w:val="en-US"/>
        </w:rPr>
      </w:pPr>
      <w:r w:rsidRPr="009361EF">
        <w:rPr>
          <w:b/>
          <w:bCs/>
          <w:lang w:val="en-US"/>
        </w:rPr>
        <w:t>1</w:t>
      </w:r>
      <w:r w:rsidRPr="009361EF">
        <w:rPr>
          <w:lang w:val="en-US"/>
        </w:rPr>
        <w:tab/>
        <w:t>that the model to describe the objective reception quality of digital signals based on measured bit error rates (BER) and measured field strength, in accordance with § 3 of Annex 1</w:t>
      </w:r>
      <w:r w:rsidRPr="009361EF">
        <w:rPr>
          <w:sz w:val="20"/>
          <w:lang w:val="en-US"/>
        </w:rPr>
        <w:t xml:space="preserve"> </w:t>
      </w:r>
      <w:r w:rsidRPr="009361EF">
        <w:rPr>
          <w:lang w:val="en-US"/>
        </w:rPr>
        <w:t>should be used;</w:t>
      </w:r>
    </w:p>
    <w:p w:rsidR="00454F5B" w:rsidRPr="009361EF" w:rsidRDefault="00454F5B" w:rsidP="00454F5B">
      <w:pPr>
        <w:rPr>
          <w:lang w:val="en-US"/>
        </w:rPr>
      </w:pPr>
      <w:r w:rsidRPr="009361EF">
        <w:rPr>
          <w:b/>
          <w:bCs/>
          <w:lang w:val="en-US"/>
        </w:rPr>
        <w:t>2</w:t>
      </w:r>
      <w:r w:rsidRPr="009361EF">
        <w:rPr>
          <w:lang w:val="en-US"/>
        </w:rPr>
        <w:tab/>
        <w:t xml:space="preserve">that </w:t>
      </w:r>
      <w:r w:rsidRPr="001B09E0">
        <w:rPr>
          <w:lang w:val="en-US"/>
        </w:rPr>
        <w:t xml:space="preserve">for MFN </w:t>
      </w:r>
      <w:r w:rsidRPr="009361EF">
        <w:rPr>
          <w:lang w:val="en-US"/>
        </w:rPr>
        <w:t>the quality scale presented in Tables 1 and 2 of § 3.1 of Annex 1 should be used;</w:t>
      </w:r>
    </w:p>
    <w:p w:rsidR="00454F5B" w:rsidRPr="009361EF" w:rsidRDefault="00454F5B" w:rsidP="00454F5B">
      <w:pPr>
        <w:rPr>
          <w:lang w:val="en-US"/>
        </w:rPr>
      </w:pPr>
      <w:r w:rsidRPr="009361EF">
        <w:rPr>
          <w:b/>
          <w:bCs/>
          <w:lang w:val="en-US"/>
        </w:rPr>
        <w:t>3</w:t>
      </w:r>
      <w:r w:rsidRPr="009361EF">
        <w:rPr>
          <w:lang w:val="en-US"/>
        </w:rPr>
        <w:tab/>
      </w:r>
      <w:r w:rsidRPr="001B09E0">
        <w:rPr>
          <w:lang w:val="en-US"/>
        </w:rPr>
        <w:t>that for SFN the q</w:t>
      </w:r>
      <w:r w:rsidRPr="009361EF">
        <w:rPr>
          <w:lang w:val="en-US"/>
        </w:rPr>
        <w:t>uality scale presented in Table</w:t>
      </w:r>
      <w:r w:rsidRPr="001B09E0">
        <w:rPr>
          <w:lang w:val="en-US"/>
        </w:rPr>
        <w:t xml:space="preserve"> </w:t>
      </w:r>
      <w:r w:rsidRPr="009361EF">
        <w:rPr>
          <w:lang w:val="en-US"/>
        </w:rPr>
        <w:t>3</w:t>
      </w:r>
      <w:r w:rsidRPr="001B09E0">
        <w:rPr>
          <w:lang w:val="en-US"/>
        </w:rPr>
        <w:t xml:space="preserve"> of §</w:t>
      </w:r>
      <w:r w:rsidRPr="009361EF">
        <w:rPr>
          <w:lang w:val="en-US"/>
        </w:rPr>
        <w:t> 3.2</w:t>
      </w:r>
      <w:r w:rsidRPr="001B09E0">
        <w:rPr>
          <w:lang w:val="en-US"/>
        </w:rPr>
        <w:t xml:space="preserve"> </w:t>
      </w:r>
      <w:r w:rsidRPr="009361EF">
        <w:rPr>
          <w:lang w:val="en-US"/>
        </w:rPr>
        <w:t xml:space="preserve">and Table 2 of § 3.1 </w:t>
      </w:r>
      <w:r w:rsidRPr="001B09E0">
        <w:rPr>
          <w:lang w:val="en-US"/>
        </w:rPr>
        <w:t>of Annex</w:t>
      </w:r>
      <w:r w:rsidRPr="009361EF">
        <w:rPr>
          <w:lang w:val="en-US"/>
        </w:rPr>
        <w:t> </w:t>
      </w:r>
      <w:r w:rsidRPr="001B09E0">
        <w:rPr>
          <w:lang w:val="en-US"/>
        </w:rPr>
        <w:t>1 should be used;</w:t>
      </w:r>
    </w:p>
    <w:p w:rsidR="00454F5B" w:rsidRPr="009361EF" w:rsidRDefault="00454F5B" w:rsidP="00286FB6">
      <w:pPr>
        <w:rPr>
          <w:lang w:val="en-US"/>
        </w:rPr>
      </w:pPr>
      <w:r w:rsidRPr="009361EF">
        <w:rPr>
          <w:b/>
          <w:bCs/>
          <w:lang w:val="en-US"/>
        </w:rPr>
        <w:t>4</w:t>
      </w:r>
      <w:r w:rsidRPr="009361EF">
        <w:rPr>
          <w:lang w:val="en-US"/>
        </w:rPr>
        <w:tab/>
        <w:t>that the methods of measurement described in §</w:t>
      </w:r>
      <w:r w:rsidR="00286FB6" w:rsidRPr="009361EF">
        <w:rPr>
          <w:lang w:val="en-US"/>
        </w:rPr>
        <w:t>§</w:t>
      </w:r>
      <w:r w:rsidRPr="009361EF">
        <w:rPr>
          <w:lang w:val="en-US"/>
        </w:rPr>
        <w:t> 5, 6 and 7 of Annex 1 should be used.</w:t>
      </w:r>
    </w:p>
    <w:p w:rsidR="00454F5B" w:rsidRDefault="00454F5B" w:rsidP="00454F5B">
      <w:pPr>
        <w:rPr>
          <w:lang w:val="en-US"/>
        </w:rPr>
      </w:pPr>
    </w:p>
    <w:p w:rsidR="00454F5B" w:rsidRPr="00FA4E58" w:rsidRDefault="00454F5B" w:rsidP="00454F5B">
      <w:pPr>
        <w:pStyle w:val="AnnexNoTitle"/>
        <w:rPr>
          <w:lang w:val="en-US"/>
        </w:rPr>
      </w:pPr>
      <w:bookmarkStart w:id="4" w:name="_Toc117308790"/>
      <w:r w:rsidRPr="00FA4E58">
        <w:rPr>
          <w:lang w:val="en-US"/>
        </w:rPr>
        <w:t>Annex 1</w:t>
      </w:r>
      <w:r w:rsidRPr="00FA4E58">
        <w:rPr>
          <w:lang w:val="en-US"/>
        </w:rPr>
        <w:br/>
      </w:r>
      <w:r w:rsidRPr="00FA4E58">
        <w:rPr>
          <w:lang w:val="en-US"/>
        </w:rPr>
        <w:br/>
        <w:t xml:space="preserve">Standard method for objective </w:t>
      </w:r>
      <w:r>
        <w:rPr>
          <w:lang w:val="en-US"/>
        </w:rPr>
        <w:t xml:space="preserve">reception </w:t>
      </w:r>
      <w:r w:rsidRPr="00FA4E58">
        <w:rPr>
          <w:lang w:val="en-US"/>
        </w:rPr>
        <w:t xml:space="preserve">quality assessment </w:t>
      </w:r>
      <w:r w:rsidRPr="00FA4E58">
        <w:rPr>
          <w:lang w:val="en-US"/>
        </w:rPr>
        <w:br/>
        <w:t>for digital television broadcasting signals for System B</w:t>
      </w:r>
      <w:bookmarkEnd w:id="4"/>
    </w:p>
    <w:p w:rsidR="00454F5B" w:rsidRPr="00FA4E58" w:rsidRDefault="00454F5B" w:rsidP="00454F5B">
      <w:pPr>
        <w:pStyle w:val="Heading1"/>
        <w:rPr>
          <w:lang w:val="en-US"/>
        </w:rPr>
      </w:pPr>
      <w:bookmarkStart w:id="5" w:name="_Toc117308791"/>
      <w:r w:rsidRPr="00FA4E58">
        <w:rPr>
          <w:lang w:val="en-US"/>
        </w:rPr>
        <w:t>1</w:t>
      </w:r>
      <w:r w:rsidRPr="00FA4E58">
        <w:rPr>
          <w:lang w:val="en-US"/>
        </w:rPr>
        <w:tab/>
        <w:t xml:space="preserve">Objective quality assessment of </w:t>
      </w:r>
      <w:bookmarkEnd w:id="5"/>
      <w:r>
        <w:rPr>
          <w:lang w:val="en-US"/>
        </w:rPr>
        <w:t>reception</w:t>
      </w:r>
    </w:p>
    <w:p w:rsidR="00454F5B" w:rsidRDefault="00454F5B" w:rsidP="00454F5B">
      <w:pPr>
        <w:rPr>
          <w:lang w:val="en-US"/>
        </w:rPr>
      </w:pPr>
      <w:r w:rsidRPr="00FA4E58">
        <w:rPr>
          <w:lang w:val="en-US"/>
        </w:rPr>
        <w:t>The coverage of a specific area, as determined by a prediction method, should be verified by “in</w:t>
      </w:r>
      <w:r w:rsidRPr="00FA4E58">
        <w:rPr>
          <w:lang w:val="en-US"/>
        </w:rPr>
        <w:noBreakHyphen/>
        <w:t xml:space="preserve">field” measurements in order to assess prediction results. In terms of quality, by means of a prediction method, it is possible to identify the coverage area </w:t>
      </w:r>
      <w:r w:rsidRPr="00FA4E58">
        <w:rPr>
          <w:iCs/>
          <w:lang w:val="en-US"/>
        </w:rPr>
        <w:t>using “location probability”.</w:t>
      </w:r>
      <w:r w:rsidRPr="00FA4E58">
        <w:rPr>
          <w:lang w:val="en-US"/>
        </w:rPr>
        <w:t xml:space="preserve"> In the same way, the “</w:t>
      </w:r>
      <w:r w:rsidRPr="00FA4E58">
        <w:rPr>
          <w:iCs/>
          <w:lang w:val="en-US"/>
        </w:rPr>
        <w:t>perceived quality”</w:t>
      </w:r>
      <w:r w:rsidRPr="00FA4E58">
        <w:rPr>
          <w:lang w:val="en-US"/>
        </w:rPr>
        <w:t xml:space="preserve"> concept, related to the end user, could be evaluated by means of measurement methods. The digital terrestrial television reception system works on the basis of a “threshold” and the perceived quality depends on three factors: the access to the service, the time availability</w:t>
      </w:r>
      <w:r>
        <w:rPr>
          <w:lang w:val="en-US"/>
        </w:rPr>
        <w:t xml:space="preserve"> and</w:t>
      </w:r>
      <w:r w:rsidRPr="00FA4E58">
        <w:rPr>
          <w:lang w:val="en-US"/>
        </w:rPr>
        <w:t xml:space="preserve"> the location availability.</w:t>
      </w:r>
    </w:p>
    <w:p w:rsidR="00454F5B" w:rsidRDefault="00454F5B" w:rsidP="00454F5B">
      <w:pPr>
        <w:rPr>
          <w:lang w:val="en-US"/>
        </w:rPr>
      </w:pPr>
      <w:r w:rsidRPr="001B09E0">
        <w:rPr>
          <w:lang w:val="en-US"/>
        </w:rPr>
        <w:t xml:space="preserve">Signal level assessment and quality assessment are two different processes within the application of this method. </w:t>
      </w:r>
    </w:p>
    <w:p w:rsidR="00454F5B" w:rsidRPr="001B09E0" w:rsidRDefault="00454F5B" w:rsidP="004D5A56">
      <w:pPr>
        <w:rPr>
          <w:lang w:val="en-US"/>
        </w:rPr>
      </w:pPr>
      <w:r w:rsidRPr="001B09E0">
        <w:rPr>
          <w:lang w:val="en-US"/>
        </w:rPr>
        <w:t xml:space="preserve">Application of </w:t>
      </w:r>
      <w:r w:rsidRPr="001B09E0">
        <w:rPr>
          <w:szCs w:val="24"/>
          <w:lang w:val="en-US"/>
        </w:rPr>
        <w:t>th</w:t>
      </w:r>
      <w:r w:rsidRPr="001B09E0">
        <w:rPr>
          <w:lang w:val="en-US"/>
        </w:rPr>
        <w:t>e</w:t>
      </w:r>
      <w:r w:rsidRPr="001B09E0">
        <w:rPr>
          <w:szCs w:val="24"/>
          <w:lang w:val="en-US"/>
        </w:rPr>
        <w:t xml:space="preserve"> reception environment is not relevant in the quality assessment process</w:t>
      </w:r>
      <w:r>
        <w:rPr>
          <w:rStyle w:val="FootnoteReference"/>
          <w:szCs w:val="24"/>
        </w:rPr>
        <w:footnoteReference w:id="1"/>
      </w:r>
      <w:r w:rsidRPr="001B09E0">
        <w:rPr>
          <w:szCs w:val="24"/>
          <w:lang w:val="en-US"/>
        </w:rPr>
        <w:t xml:space="preserve">. </w:t>
      </w:r>
      <w:r w:rsidRPr="001B09E0">
        <w:rPr>
          <w:lang w:val="en-US"/>
        </w:rPr>
        <w:t xml:space="preserve">It is assumed </w:t>
      </w:r>
      <w:r w:rsidR="004D5A56">
        <w:rPr>
          <w:lang w:val="en-US"/>
        </w:rPr>
        <w:t xml:space="preserve">that </w:t>
      </w:r>
      <w:r w:rsidRPr="001B09E0">
        <w:rPr>
          <w:szCs w:val="24"/>
          <w:lang w:val="en-US"/>
        </w:rPr>
        <w:t xml:space="preserve">the quality assessment process </w:t>
      </w:r>
      <w:r w:rsidRPr="001B09E0">
        <w:rPr>
          <w:lang w:val="en-US"/>
        </w:rPr>
        <w:t xml:space="preserve">is based upon the </w:t>
      </w:r>
      <w:r w:rsidRPr="001B09E0">
        <w:rPr>
          <w:szCs w:val="24"/>
          <w:lang w:val="en-US"/>
        </w:rPr>
        <w:t>minimum signal level</w:t>
      </w:r>
      <w:r w:rsidRPr="001B09E0">
        <w:rPr>
          <w:lang w:val="en-US"/>
        </w:rPr>
        <w:t xml:space="preserve"> applied for a specific environment </w:t>
      </w:r>
      <w:r w:rsidRPr="001B09E0">
        <w:rPr>
          <w:szCs w:val="24"/>
          <w:lang w:val="en-US"/>
        </w:rPr>
        <w:t xml:space="preserve">within </w:t>
      </w:r>
      <w:r w:rsidRPr="001B09E0">
        <w:rPr>
          <w:lang w:val="en-US"/>
        </w:rPr>
        <w:t>an administration’s</w:t>
      </w:r>
      <w:r w:rsidRPr="001B09E0">
        <w:rPr>
          <w:szCs w:val="24"/>
          <w:lang w:val="en-US"/>
        </w:rPr>
        <w:t xml:space="preserve"> DTTB planning regime where the derivation of minimum signal level would take into account the relevant reception environments. </w:t>
      </w:r>
      <w:r w:rsidRPr="001B09E0">
        <w:rPr>
          <w:lang w:val="en-US"/>
        </w:rPr>
        <w:t>It is also assumed that the DTTB planning regime takes into consideration location availability.</w:t>
      </w:r>
    </w:p>
    <w:p w:rsidR="00454F5B" w:rsidRPr="001B09E0" w:rsidRDefault="00454F5B" w:rsidP="00454F5B">
      <w:pPr>
        <w:rPr>
          <w:szCs w:val="24"/>
          <w:lang w:val="en-US"/>
        </w:rPr>
      </w:pPr>
      <w:r w:rsidRPr="001B09E0">
        <w:rPr>
          <w:szCs w:val="24"/>
          <w:lang w:val="en-US"/>
        </w:rPr>
        <w:t xml:space="preserve">If </w:t>
      </w:r>
      <w:r w:rsidRPr="001B09E0">
        <w:rPr>
          <w:lang w:val="en-US"/>
        </w:rPr>
        <w:t>t</w:t>
      </w:r>
      <w:r w:rsidRPr="001B09E0">
        <w:rPr>
          <w:szCs w:val="24"/>
          <w:lang w:val="en-US"/>
        </w:rPr>
        <w:t xml:space="preserve">he field strength in a particular reception environment </w:t>
      </w:r>
      <w:r w:rsidRPr="001B09E0">
        <w:rPr>
          <w:lang w:val="en-US"/>
        </w:rPr>
        <w:t xml:space="preserve">is not achieved </w:t>
      </w:r>
      <w:r w:rsidRPr="001B09E0">
        <w:rPr>
          <w:szCs w:val="24"/>
          <w:lang w:val="en-US"/>
        </w:rPr>
        <w:t xml:space="preserve">according to the planning regime, then </w:t>
      </w:r>
      <w:r w:rsidRPr="001B09E0">
        <w:rPr>
          <w:lang w:val="en-US"/>
        </w:rPr>
        <w:t>the service</w:t>
      </w:r>
      <w:r w:rsidRPr="001B09E0">
        <w:rPr>
          <w:szCs w:val="24"/>
          <w:lang w:val="en-US"/>
        </w:rPr>
        <w:t xml:space="preserve"> automatically fails to meet the quality assessment</w:t>
      </w:r>
      <w:r w:rsidRPr="001B09E0">
        <w:rPr>
          <w:lang w:val="en-US"/>
        </w:rPr>
        <w:t xml:space="preserve"> requirement</w:t>
      </w:r>
      <w:r w:rsidRPr="001B09E0">
        <w:rPr>
          <w:szCs w:val="24"/>
          <w:lang w:val="en-US"/>
        </w:rPr>
        <w:t>.</w:t>
      </w:r>
    </w:p>
    <w:p w:rsidR="00B1367D" w:rsidRPr="00FA4E58" w:rsidRDefault="00B1367D" w:rsidP="00B1367D">
      <w:pPr>
        <w:pStyle w:val="Heading1"/>
        <w:rPr>
          <w:lang w:val="en-US"/>
        </w:rPr>
      </w:pPr>
      <w:bookmarkStart w:id="6" w:name="_Toc117308793"/>
      <w:r w:rsidRPr="00FA4E58">
        <w:rPr>
          <w:lang w:val="en-US"/>
        </w:rPr>
        <w:lastRenderedPageBreak/>
        <w:t>2</w:t>
      </w:r>
      <w:r w:rsidRPr="00FA4E58">
        <w:rPr>
          <w:lang w:val="en-US"/>
        </w:rPr>
        <w:tab/>
        <w:t>Parameters to be evaluated</w:t>
      </w:r>
    </w:p>
    <w:p w:rsidR="00C217FD" w:rsidRPr="00B1367D" w:rsidRDefault="00C217FD" w:rsidP="009F4B08">
      <w:pPr>
        <w:rPr>
          <w:lang w:val="en-US"/>
        </w:rPr>
      </w:pPr>
      <w:r w:rsidRPr="00C217FD">
        <w:rPr>
          <w:lang w:val="en-US"/>
        </w:rPr>
        <w:t>As reported in the current version of Recommendation ITU-R SM.1682 at § 2.6, the parameters to be evaluated are: field strength and bit error ratio (BER) after different decoding stages (here it is suggested to get the BER before and after Viterbi decoding – (cBER and vBER)). The BER after Viterbi decoding (vBER) is used to determine the threshold of quasi error free (QEF) condition. One more parameter should also be recorded during measurement activities. It is the modulation error ratio (MER) at the transmitting site. MER represents a synthetic form of constellation analysis. If the MER value at the transmitting site is lower than an established value, e.g. 36 dB</w:t>
      </w:r>
      <w:r>
        <w:rPr>
          <w:rStyle w:val="FootnoteReference"/>
        </w:rPr>
        <w:footnoteReference w:id="2"/>
      </w:r>
      <w:r w:rsidRPr="00C217FD">
        <w:rPr>
          <w:lang w:val="en-US"/>
        </w:rPr>
        <w:t xml:space="preserve">, the measurement activities should be stopped due to possible transmission failure. </w:t>
      </w:r>
      <w:r>
        <w:rPr>
          <w:lang w:val="en-US"/>
        </w:rPr>
        <w:t xml:space="preserve">It has been noted that within some administrations there can be distinct classes of MER performance where there appear to be three distinct classes of MER performance corresponding to </w:t>
      </w:r>
      <w:r w:rsidRPr="00B1367D">
        <w:rPr>
          <w:i/>
          <w:lang w:val="en-US"/>
        </w:rPr>
        <w:t xml:space="preserve">tiers of services </w:t>
      </w:r>
      <w:r>
        <w:rPr>
          <w:lang w:val="en-US"/>
        </w:rPr>
        <w:t xml:space="preserve">for different types of transmission services </w:t>
      </w:r>
      <w:r w:rsidRPr="00B1367D">
        <w:rPr>
          <w:lang w:val="en-US"/>
        </w:rPr>
        <w:t>as follows:</w:t>
      </w:r>
    </w:p>
    <w:p w:rsidR="00C217FD" w:rsidRPr="00B1367D" w:rsidRDefault="00C217FD" w:rsidP="00C217FD">
      <w:pPr>
        <w:pStyle w:val="Blanc"/>
      </w:pPr>
    </w:p>
    <w:tbl>
      <w:tblPr>
        <w:tblStyle w:val="TableGrid"/>
        <w:tblW w:w="9639" w:type="dxa"/>
        <w:jc w:val="center"/>
        <w:tblLayout w:type="fixed"/>
        <w:tblLook w:val="04A0" w:firstRow="1" w:lastRow="0" w:firstColumn="1" w:lastColumn="0" w:noHBand="0" w:noVBand="1"/>
      </w:tblPr>
      <w:tblGrid>
        <w:gridCol w:w="6162"/>
        <w:gridCol w:w="3477"/>
      </w:tblGrid>
      <w:tr w:rsidR="00C217FD" w:rsidRPr="00187A17" w:rsidTr="007E7280">
        <w:trPr>
          <w:jc w:val="center"/>
        </w:trPr>
        <w:tc>
          <w:tcPr>
            <w:tcW w:w="5778" w:type="dxa"/>
            <w:vAlign w:val="center"/>
          </w:tcPr>
          <w:p w:rsidR="00C217FD" w:rsidRPr="00187A17" w:rsidRDefault="00C217FD" w:rsidP="007E7280">
            <w:pPr>
              <w:pStyle w:val="Tablehead"/>
              <w:rPr>
                <w:rFonts w:ascii="Times New Roman" w:hAnsi="Times New Roman"/>
                <w:lang w:val="en-US"/>
              </w:rPr>
            </w:pPr>
            <w:r w:rsidRPr="00187A17">
              <w:rPr>
                <w:rFonts w:ascii="Times New Roman" w:hAnsi="Times New Roman"/>
                <w:lang w:val="en-US"/>
              </w:rPr>
              <w:t>Type of service</w:t>
            </w:r>
          </w:p>
        </w:tc>
        <w:tc>
          <w:tcPr>
            <w:tcW w:w="3261" w:type="dxa"/>
            <w:vAlign w:val="center"/>
          </w:tcPr>
          <w:p w:rsidR="00C217FD" w:rsidRPr="00187A17" w:rsidRDefault="00C217FD" w:rsidP="007E7280">
            <w:pPr>
              <w:pStyle w:val="Tablehead"/>
              <w:rPr>
                <w:rFonts w:ascii="Times New Roman" w:hAnsi="Times New Roman"/>
                <w:lang w:val="en-US"/>
              </w:rPr>
            </w:pPr>
            <w:r w:rsidRPr="00187A17">
              <w:rPr>
                <w:rFonts w:ascii="Times New Roman" w:hAnsi="Times New Roman"/>
                <w:lang w:val="en-US"/>
              </w:rPr>
              <w:t>Service performance target (MER)</w:t>
            </w:r>
          </w:p>
        </w:tc>
      </w:tr>
      <w:tr w:rsidR="00C217FD" w:rsidRPr="00187A17" w:rsidTr="007E7280">
        <w:trPr>
          <w:jc w:val="center"/>
        </w:trPr>
        <w:tc>
          <w:tcPr>
            <w:tcW w:w="5778" w:type="dxa"/>
          </w:tcPr>
          <w:p w:rsidR="00C217FD" w:rsidRPr="00187A17" w:rsidRDefault="00C217FD" w:rsidP="007E7280">
            <w:pPr>
              <w:pStyle w:val="Tabletext"/>
              <w:rPr>
                <w:lang w:val="en-US"/>
              </w:rPr>
            </w:pPr>
            <w:r w:rsidRPr="00187A17">
              <w:rPr>
                <w:lang w:val="en-US"/>
              </w:rPr>
              <w:t>Primary transmission service which may feed secondary transmission services, requires a reference quality suitable for coverage of urban, suburban and rural areas.</w:t>
            </w:r>
          </w:p>
        </w:tc>
        <w:tc>
          <w:tcPr>
            <w:tcW w:w="3261" w:type="dxa"/>
            <w:vAlign w:val="center"/>
          </w:tcPr>
          <w:p w:rsidR="00C217FD" w:rsidRPr="00187A17" w:rsidRDefault="00C217FD" w:rsidP="007E7280">
            <w:pPr>
              <w:pStyle w:val="Tabletext"/>
              <w:jc w:val="center"/>
              <w:rPr>
                <w:lang w:val="en-US"/>
              </w:rPr>
            </w:pPr>
            <w:r w:rsidRPr="00187A17">
              <w:rPr>
                <w:lang w:val="en-US"/>
              </w:rPr>
              <w:t>&gt; 35 dB</w:t>
            </w:r>
          </w:p>
        </w:tc>
      </w:tr>
      <w:tr w:rsidR="00C217FD" w:rsidRPr="00187A17" w:rsidTr="007E7280">
        <w:trPr>
          <w:jc w:val="center"/>
        </w:trPr>
        <w:tc>
          <w:tcPr>
            <w:tcW w:w="5778" w:type="dxa"/>
          </w:tcPr>
          <w:p w:rsidR="00C217FD" w:rsidRPr="00187A17" w:rsidRDefault="00C217FD" w:rsidP="007E7280">
            <w:pPr>
              <w:pStyle w:val="Tabletext"/>
              <w:rPr>
                <w:lang w:val="en-US"/>
              </w:rPr>
            </w:pPr>
            <w:r w:rsidRPr="00187A17">
              <w:rPr>
                <w:lang w:val="en-US"/>
              </w:rPr>
              <w:t>Secondary re-transmission service which is RF fed from the primary transmitter service and reconstituted or re-modulated for re</w:t>
            </w:r>
            <w:r w:rsidRPr="00187A17">
              <w:rPr>
                <w:lang w:val="en-US"/>
              </w:rPr>
              <w:noBreakHyphen/>
              <w:t>transmission on a different output channel to the input.</w:t>
            </w:r>
          </w:p>
        </w:tc>
        <w:tc>
          <w:tcPr>
            <w:tcW w:w="3261" w:type="dxa"/>
            <w:vAlign w:val="center"/>
          </w:tcPr>
          <w:p w:rsidR="00C217FD" w:rsidRPr="00187A17" w:rsidRDefault="00C217FD" w:rsidP="007E7280">
            <w:pPr>
              <w:pStyle w:val="Tabletext"/>
              <w:jc w:val="center"/>
              <w:rPr>
                <w:lang w:val="en-US"/>
              </w:rPr>
            </w:pPr>
            <w:r w:rsidRPr="00187A17">
              <w:rPr>
                <w:lang w:val="en-US"/>
              </w:rPr>
              <w:t>&gt; 33 dB</w:t>
            </w:r>
          </w:p>
        </w:tc>
      </w:tr>
      <w:tr w:rsidR="00C217FD" w:rsidRPr="00187A17" w:rsidTr="007E7280">
        <w:trPr>
          <w:jc w:val="center"/>
        </w:trPr>
        <w:tc>
          <w:tcPr>
            <w:tcW w:w="5778" w:type="dxa"/>
          </w:tcPr>
          <w:p w:rsidR="00C217FD" w:rsidRPr="00187A17" w:rsidRDefault="00C217FD" w:rsidP="007E7280">
            <w:pPr>
              <w:pStyle w:val="Tabletext"/>
              <w:rPr>
                <w:lang w:val="en-US"/>
              </w:rPr>
            </w:pPr>
            <w:r w:rsidRPr="00187A17">
              <w:rPr>
                <w:lang w:val="en-US"/>
              </w:rPr>
              <w:t>Tertiary translator or on channel repeater service which is RF fed off-air from the primary transmitter service and is IF processed only to transmit on either a different channel or the same channel in the case of on-channel repeater (OCR), is intrinsically a lower power service and has a relatively smaller coverage area and may be fed from a secondary re-transmitter service.</w:t>
            </w:r>
          </w:p>
        </w:tc>
        <w:tc>
          <w:tcPr>
            <w:tcW w:w="3261" w:type="dxa"/>
            <w:vAlign w:val="center"/>
          </w:tcPr>
          <w:p w:rsidR="00C217FD" w:rsidRPr="00187A17" w:rsidRDefault="00C217FD" w:rsidP="007E7280">
            <w:pPr>
              <w:pStyle w:val="Tabletext"/>
              <w:jc w:val="center"/>
              <w:rPr>
                <w:lang w:val="en-US"/>
              </w:rPr>
            </w:pPr>
            <w:r w:rsidRPr="00187A17">
              <w:rPr>
                <w:lang w:val="en-US"/>
              </w:rPr>
              <w:t>&gt; 30 dB</w:t>
            </w:r>
          </w:p>
        </w:tc>
      </w:tr>
    </w:tbl>
    <w:p w:rsidR="00C217FD" w:rsidRDefault="00C217FD" w:rsidP="00C217FD">
      <w:pPr>
        <w:pStyle w:val="Tablefin"/>
      </w:pPr>
    </w:p>
    <w:p w:rsidR="00C217FD" w:rsidRPr="00C217FD" w:rsidRDefault="00C217FD" w:rsidP="00C217FD">
      <w:pPr>
        <w:rPr>
          <w:lang w:val="en-US" w:eastAsia="zh-CN"/>
        </w:rPr>
      </w:pPr>
      <w:r w:rsidRPr="00C217FD">
        <w:rPr>
          <w:lang w:val="en-US" w:eastAsia="zh-CN"/>
        </w:rPr>
        <w:t xml:space="preserve">The Modulation Error Ratio (MER) is defined as the sum of the squares of the magnitude of the ideal symbol vectors in a modulation constellation of </w:t>
      </w:r>
      <w:r w:rsidRPr="00C217FD">
        <w:rPr>
          <w:i/>
          <w:iCs/>
          <w:lang w:val="en-US" w:eastAsia="zh-CN"/>
        </w:rPr>
        <w:t>M</w:t>
      </w:r>
      <w:r w:rsidRPr="00C217FD">
        <w:rPr>
          <w:lang w:val="en-US" w:eastAsia="zh-CN"/>
        </w:rPr>
        <w:t xml:space="preserve"> points divided by the sum of the squares of the magnitudes of the symbol vectors. The result, expressed as a power ratio in dB, is given by the equation:</w:t>
      </w:r>
    </w:p>
    <w:p w:rsidR="00C217FD" w:rsidRPr="007F667E" w:rsidRDefault="00C217FD" w:rsidP="00C217FD">
      <w:pPr>
        <w:pStyle w:val="Blanc"/>
        <w:rPr>
          <w:lang w:eastAsia="zh-CN"/>
        </w:rPr>
      </w:pPr>
    </w:p>
    <w:p w:rsidR="00C217FD" w:rsidRDefault="00C217FD" w:rsidP="00C217FD">
      <w:pPr>
        <w:pStyle w:val="Equation"/>
        <w:rPr>
          <w:lang w:eastAsia="zh-CN"/>
        </w:rPr>
      </w:pPr>
      <w:r w:rsidRPr="00C217FD">
        <w:rPr>
          <w:iCs/>
          <w:lang w:val="en-US" w:eastAsia="zh-CN"/>
        </w:rPr>
        <w:tab/>
      </w:r>
      <w:r w:rsidRPr="00C217FD">
        <w:rPr>
          <w:iCs/>
          <w:lang w:val="en-US" w:eastAsia="zh-CN"/>
        </w:rPr>
        <w:tab/>
      </w:r>
      <m:oMath>
        <m:r>
          <w:rPr>
            <w:rFonts w:ascii="Cambria Math" w:hAnsi="Cambria Math"/>
            <w:lang w:eastAsia="zh-CN"/>
          </w:rPr>
          <m:t>MER</m:t>
        </m:r>
        <m:r>
          <m:rPr>
            <m:sty m:val="p"/>
          </m:rPr>
          <w:rPr>
            <w:rFonts w:ascii="Cambria Math" w:hAnsi="Cambria Math"/>
            <w:lang w:eastAsia="zh-CN"/>
          </w:rPr>
          <m:t xml:space="preserve">=10 </m:t>
        </m:r>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d>
              <m:dPr>
                <m:begChr m:val="{"/>
                <m:endChr m:val="}"/>
                <m:ctrlPr>
                  <w:rPr>
                    <w:rFonts w:ascii="Cambria Math" w:hAnsi="Cambria Math"/>
                    <w:lang w:eastAsia="zh-CN"/>
                  </w:rPr>
                </m:ctrlPr>
              </m:dPr>
              <m:e>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j</m:t>
                        </m:r>
                        <m:r>
                          <m:rPr>
                            <m:sty m:val="p"/>
                          </m:rPr>
                          <w:rPr>
                            <w:rFonts w:ascii="Cambria Math" w:hAnsi="Cambria Math"/>
                            <w:lang w:eastAsia="zh-CN"/>
                          </w:rPr>
                          <m:t>=1</m:t>
                        </m:r>
                      </m:sub>
                      <m:sup>
                        <m:r>
                          <w:rPr>
                            <w:rFonts w:ascii="Cambria Math" w:hAnsi="Cambria Math"/>
                            <w:lang w:eastAsia="zh-CN"/>
                          </w:rPr>
                          <m:t>N</m:t>
                        </m:r>
                      </m:sup>
                      <m:e>
                        <m:d>
                          <m:dPr>
                            <m:ctrlPr>
                              <w:rPr>
                                <w:rFonts w:ascii="Cambria Math" w:hAnsi="Cambria Math"/>
                                <w:lang w:eastAsia="zh-CN"/>
                              </w:rPr>
                            </m:ctrlPr>
                          </m:dPr>
                          <m:e>
                            <m:sSubSup>
                              <m:sSubSupPr>
                                <m:ctrlPr>
                                  <w:rPr>
                                    <w:rFonts w:ascii="Cambria Math" w:hAnsi="Cambria Math"/>
                                    <w:lang w:eastAsia="zh-CN"/>
                                  </w:rPr>
                                </m:ctrlPr>
                              </m:sSubSupPr>
                              <m:e>
                                <m:r>
                                  <w:rPr>
                                    <w:rFonts w:ascii="Cambria Math" w:hAnsi="Cambria Math"/>
                                    <w:lang w:eastAsia="zh-CN"/>
                                  </w:rPr>
                                  <m:t>I</m:t>
                                </m:r>
                              </m:e>
                              <m:sub>
                                <m:r>
                                  <w:rPr>
                                    <w:rFonts w:ascii="Cambria Math" w:hAnsi="Cambria Math"/>
                                    <w:lang w:eastAsia="zh-CN"/>
                                  </w:rPr>
                                  <m:t>j</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j</m:t>
                                </m:r>
                              </m:sub>
                              <m:sup>
                                <m:r>
                                  <m:rPr>
                                    <m:sty m:val="p"/>
                                  </m:rPr>
                                  <w:rPr>
                                    <w:rFonts w:ascii="Cambria Math" w:hAnsi="Cambria Math"/>
                                    <w:lang w:eastAsia="zh-CN"/>
                                  </w:rPr>
                                  <m:t>2</m:t>
                                </m:r>
                              </m:sup>
                            </m:sSubSup>
                          </m:e>
                        </m:d>
                      </m:e>
                    </m:nary>
                  </m:num>
                  <m:den>
                    <m:nary>
                      <m:naryPr>
                        <m:chr m:val="∑"/>
                        <m:limLoc m:val="undOvr"/>
                        <m:ctrlPr>
                          <w:rPr>
                            <w:rFonts w:ascii="Cambria Math" w:hAnsi="Cambria Math"/>
                            <w:lang w:eastAsia="zh-CN"/>
                          </w:rPr>
                        </m:ctrlPr>
                      </m:naryPr>
                      <m:sub>
                        <m:r>
                          <w:rPr>
                            <w:rFonts w:ascii="Cambria Math" w:hAnsi="Cambria Math"/>
                            <w:lang w:eastAsia="zh-CN"/>
                          </w:rPr>
                          <m:t>j</m:t>
                        </m:r>
                        <m:r>
                          <m:rPr>
                            <m:sty m:val="p"/>
                          </m:rPr>
                          <w:rPr>
                            <w:rFonts w:ascii="Cambria Math" w:hAnsi="Cambria Math"/>
                            <w:lang w:eastAsia="zh-CN"/>
                          </w:rPr>
                          <m:t>=1</m:t>
                        </m:r>
                      </m:sub>
                      <m:sup>
                        <m:r>
                          <w:rPr>
                            <w:rFonts w:ascii="Cambria Math" w:hAnsi="Cambria Math"/>
                            <w:lang w:eastAsia="zh-CN"/>
                          </w:rPr>
                          <m:t>N</m:t>
                        </m:r>
                      </m:sup>
                      <m:e>
                        <m:d>
                          <m:dPr>
                            <m:ctrlPr>
                              <w:rPr>
                                <w:rFonts w:ascii="Cambria Math" w:hAnsi="Cambria Math"/>
                                <w:lang w:eastAsia="zh-CN"/>
                              </w:rPr>
                            </m:ctrlPr>
                          </m:dPr>
                          <m:e>
                            <m:r>
                              <m:rPr>
                                <m:sty m:val="p"/>
                              </m:rPr>
                              <w:rPr>
                                <w:rFonts w:ascii="Cambria Math" w:hAnsi="Cambria Math"/>
                                <w:lang w:eastAsia="zh-CN"/>
                              </w:rPr>
                              <m:t>δ</m:t>
                            </m:r>
                            <m:sSubSup>
                              <m:sSubSupPr>
                                <m:ctrlPr>
                                  <w:rPr>
                                    <w:rFonts w:ascii="Cambria Math" w:hAnsi="Cambria Math"/>
                                    <w:lang w:eastAsia="zh-CN"/>
                                  </w:rPr>
                                </m:ctrlPr>
                              </m:sSubSupPr>
                              <m:e>
                                <m:r>
                                  <w:rPr>
                                    <w:rFonts w:ascii="Cambria Math" w:hAnsi="Cambria Math"/>
                                    <w:lang w:eastAsia="zh-CN"/>
                                  </w:rPr>
                                  <m:t>I</m:t>
                                </m:r>
                              </m:e>
                              <m:sub>
                                <m:r>
                                  <w:rPr>
                                    <w:rFonts w:ascii="Cambria Math" w:hAnsi="Cambria Math"/>
                                    <w:lang w:eastAsia="zh-CN"/>
                                  </w:rPr>
                                  <m:t>j</m:t>
                                </m:r>
                              </m:sub>
                              <m:sup>
                                <m:r>
                                  <m:rPr>
                                    <m:sty m:val="p"/>
                                  </m:rPr>
                                  <w:rPr>
                                    <w:rFonts w:ascii="Cambria Math" w:hAnsi="Cambria Math"/>
                                    <w:lang w:eastAsia="zh-CN"/>
                                  </w:rPr>
                                  <m:t>2</m:t>
                                </m:r>
                              </m:sup>
                            </m:sSubSup>
                            <m:r>
                              <m:rPr>
                                <m:sty m:val="p"/>
                              </m:rPr>
                              <w:rPr>
                                <w:rFonts w:ascii="Cambria Math" w:hAnsi="Cambria Math"/>
                                <w:lang w:eastAsia="zh-CN"/>
                              </w:rPr>
                              <m:t>+δ</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j</m:t>
                                </m:r>
                              </m:sub>
                              <m:sup>
                                <m:r>
                                  <m:rPr>
                                    <m:sty m:val="p"/>
                                  </m:rPr>
                                  <w:rPr>
                                    <w:rFonts w:ascii="Cambria Math" w:hAnsi="Cambria Math"/>
                                    <w:lang w:eastAsia="zh-CN"/>
                                  </w:rPr>
                                  <m:t>2</m:t>
                                </m:r>
                              </m:sup>
                            </m:sSubSup>
                          </m:e>
                        </m:d>
                      </m:e>
                    </m:nary>
                  </m:den>
                </m:f>
              </m:e>
            </m:d>
          </m:e>
        </m:func>
        <m:r>
          <m:rPr>
            <m:sty m:val="p"/>
          </m:rPr>
          <w:rPr>
            <w:rFonts w:ascii="Cambria Math" w:hAnsi="Cambria Math"/>
            <w:lang w:eastAsia="zh-CN"/>
          </w:rPr>
          <m:t xml:space="preserve">      (dB)</m:t>
        </m:r>
      </m:oMath>
    </w:p>
    <w:p w:rsidR="00C217FD" w:rsidRPr="007F667E" w:rsidRDefault="00C217FD" w:rsidP="00C217FD">
      <w:pPr>
        <w:pStyle w:val="Blanc"/>
        <w:rPr>
          <w:lang w:eastAsia="zh-CN"/>
        </w:rPr>
      </w:pPr>
    </w:p>
    <w:p w:rsidR="00C217FD" w:rsidRPr="00C217FD" w:rsidRDefault="00C217FD" w:rsidP="00C217FD">
      <w:pPr>
        <w:rPr>
          <w:szCs w:val="24"/>
          <w:lang w:val="en-US" w:eastAsia="zh-CN"/>
        </w:rPr>
      </w:pPr>
      <w:r w:rsidRPr="00C217FD">
        <w:rPr>
          <w:szCs w:val="24"/>
          <w:lang w:val="en-US" w:eastAsia="zh-CN"/>
        </w:rPr>
        <w:t xml:space="preserve">where </w:t>
      </w:r>
      <w:r w:rsidRPr="00C217FD">
        <w:rPr>
          <w:i/>
          <w:szCs w:val="24"/>
          <w:lang w:val="en-US" w:eastAsia="zh-CN"/>
        </w:rPr>
        <w:t>N</w:t>
      </w:r>
      <w:r w:rsidRPr="00C217FD">
        <w:rPr>
          <w:szCs w:val="24"/>
          <w:lang w:val="en-US" w:eastAsia="zh-CN"/>
        </w:rPr>
        <w:t xml:space="preserve"> is the total number of received symbol coordinate pairs (</w:t>
      </w:r>
      <w:r w:rsidRPr="00C217FD">
        <w:rPr>
          <w:i/>
          <w:iCs/>
          <w:szCs w:val="24"/>
          <w:lang w:val="en-US" w:eastAsia="zh-CN"/>
        </w:rPr>
        <w:t>I</w:t>
      </w:r>
      <w:r w:rsidRPr="00C217FD">
        <w:rPr>
          <w:i/>
          <w:iCs/>
          <w:szCs w:val="24"/>
          <w:vertAlign w:val="subscript"/>
          <w:lang w:val="en-US" w:eastAsia="zh-CN"/>
        </w:rPr>
        <w:t>j</w:t>
      </w:r>
      <w:r w:rsidRPr="00C217FD">
        <w:rPr>
          <w:szCs w:val="24"/>
          <w:lang w:val="en-US" w:eastAsia="zh-CN"/>
        </w:rPr>
        <w:t>+</w:t>
      </w:r>
      <w:r w:rsidRPr="007F667E">
        <w:rPr>
          <w:szCs w:val="24"/>
          <w:lang w:eastAsia="zh-CN"/>
        </w:rPr>
        <w:t>δ</w:t>
      </w:r>
      <w:r w:rsidRPr="00C217FD">
        <w:rPr>
          <w:i/>
          <w:iCs/>
          <w:szCs w:val="24"/>
          <w:lang w:val="en-US" w:eastAsia="zh-CN"/>
        </w:rPr>
        <w:t>I</w:t>
      </w:r>
      <w:r w:rsidRPr="00C217FD">
        <w:rPr>
          <w:i/>
          <w:iCs/>
          <w:szCs w:val="24"/>
          <w:vertAlign w:val="subscript"/>
          <w:lang w:val="en-US" w:eastAsia="zh-CN"/>
        </w:rPr>
        <w:t>j</w:t>
      </w:r>
      <w:r w:rsidRPr="00C217FD">
        <w:rPr>
          <w:szCs w:val="24"/>
          <w:lang w:val="en-US" w:eastAsia="zh-CN"/>
        </w:rPr>
        <w:t xml:space="preserve">, </w:t>
      </w:r>
      <w:r w:rsidRPr="00C217FD">
        <w:rPr>
          <w:i/>
          <w:iCs/>
          <w:szCs w:val="24"/>
          <w:lang w:val="en-US" w:eastAsia="zh-CN"/>
        </w:rPr>
        <w:t>Q</w:t>
      </w:r>
      <w:r w:rsidRPr="00C217FD">
        <w:rPr>
          <w:i/>
          <w:iCs/>
          <w:szCs w:val="24"/>
          <w:vertAlign w:val="subscript"/>
          <w:lang w:val="en-US" w:eastAsia="zh-CN"/>
        </w:rPr>
        <w:t>j</w:t>
      </w:r>
      <w:r w:rsidRPr="00C217FD">
        <w:rPr>
          <w:szCs w:val="24"/>
          <w:lang w:val="en-US" w:eastAsia="zh-CN"/>
        </w:rPr>
        <w:t>+</w:t>
      </w:r>
      <w:r w:rsidRPr="007F667E">
        <w:rPr>
          <w:szCs w:val="24"/>
          <w:lang w:eastAsia="zh-CN"/>
        </w:rPr>
        <w:t>δ</w:t>
      </w:r>
      <w:r w:rsidRPr="00C217FD">
        <w:rPr>
          <w:i/>
          <w:iCs/>
          <w:szCs w:val="24"/>
          <w:lang w:val="en-US" w:eastAsia="zh-CN"/>
        </w:rPr>
        <w:t>Q</w:t>
      </w:r>
      <w:r w:rsidRPr="00C217FD">
        <w:rPr>
          <w:i/>
          <w:iCs/>
          <w:szCs w:val="24"/>
          <w:vertAlign w:val="subscript"/>
          <w:lang w:val="en-US" w:eastAsia="zh-CN"/>
        </w:rPr>
        <w:t>j</w:t>
      </w:r>
      <w:r w:rsidRPr="00C217FD">
        <w:rPr>
          <w:szCs w:val="24"/>
          <w:lang w:val="en-US" w:eastAsia="zh-CN"/>
        </w:rPr>
        <w:t xml:space="preserve">) and </w:t>
      </w:r>
      <w:r w:rsidRPr="00C217FD">
        <w:rPr>
          <w:i/>
          <w:szCs w:val="24"/>
          <w:lang w:val="en-US" w:eastAsia="zh-CN"/>
        </w:rPr>
        <w:t>N</w:t>
      </w:r>
      <w:r w:rsidRPr="00C217FD">
        <w:rPr>
          <w:szCs w:val="24"/>
          <w:lang w:val="en-US" w:eastAsia="zh-CN"/>
        </w:rPr>
        <w:t xml:space="preserve"> is significantly larger than the number of modulation constellation points, </w:t>
      </w:r>
      <w:r w:rsidRPr="00C217FD">
        <w:rPr>
          <w:i/>
          <w:iCs/>
          <w:szCs w:val="24"/>
          <w:lang w:val="en-US" w:eastAsia="zh-CN"/>
        </w:rPr>
        <w:t>M</w:t>
      </w:r>
      <w:r w:rsidRPr="00C217FD">
        <w:rPr>
          <w:szCs w:val="24"/>
          <w:lang w:val="en-US" w:eastAsia="zh-CN"/>
        </w:rPr>
        <w:t>.</w:t>
      </w:r>
    </w:p>
    <w:p w:rsidR="00C217FD" w:rsidRPr="00C217FD" w:rsidRDefault="00C217FD" w:rsidP="00C217FD">
      <w:pPr>
        <w:rPr>
          <w:szCs w:val="24"/>
          <w:lang w:val="en-US" w:eastAsia="zh-CN"/>
        </w:rPr>
      </w:pPr>
      <w:r w:rsidRPr="00C217FD">
        <w:rPr>
          <w:szCs w:val="24"/>
          <w:lang w:val="en-US" w:eastAsia="zh-CN"/>
        </w:rPr>
        <w:t>The ideal symbol coordinate pair is (</w:t>
      </w:r>
      <w:r w:rsidRPr="00C217FD">
        <w:rPr>
          <w:i/>
          <w:iCs/>
          <w:szCs w:val="24"/>
          <w:lang w:val="en-US" w:eastAsia="zh-CN"/>
        </w:rPr>
        <w:t>I</w:t>
      </w:r>
      <w:r w:rsidRPr="00C217FD">
        <w:rPr>
          <w:i/>
          <w:iCs/>
          <w:szCs w:val="24"/>
          <w:vertAlign w:val="subscript"/>
          <w:lang w:val="en-US" w:eastAsia="zh-CN"/>
        </w:rPr>
        <w:t>j</w:t>
      </w:r>
      <w:r w:rsidRPr="00C217FD">
        <w:rPr>
          <w:szCs w:val="24"/>
          <w:lang w:val="en-US" w:eastAsia="zh-CN"/>
        </w:rPr>
        <w:t xml:space="preserve">, </w:t>
      </w:r>
      <w:r w:rsidRPr="00C217FD">
        <w:rPr>
          <w:i/>
          <w:iCs/>
          <w:szCs w:val="24"/>
          <w:lang w:val="en-US" w:eastAsia="zh-CN"/>
        </w:rPr>
        <w:t>Q</w:t>
      </w:r>
      <w:r w:rsidRPr="00C217FD">
        <w:rPr>
          <w:i/>
          <w:iCs/>
          <w:szCs w:val="24"/>
          <w:vertAlign w:val="subscript"/>
          <w:lang w:val="en-US" w:eastAsia="zh-CN"/>
        </w:rPr>
        <w:t>j</w:t>
      </w:r>
      <w:r w:rsidRPr="00C217FD">
        <w:rPr>
          <w:szCs w:val="24"/>
          <w:lang w:val="en-US" w:eastAsia="zh-CN"/>
        </w:rPr>
        <w:t xml:space="preserve">). For each received symbol the error vector is defined as the distance from the ideal position in the constellation to the actual position of the received symbol. The difference is expressed by the vector </w:t>
      </w:r>
      <w:r w:rsidRPr="00C217FD">
        <w:rPr>
          <w:i/>
          <w:iCs/>
          <w:szCs w:val="24"/>
          <w:lang w:val="en-US" w:eastAsia="zh-CN"/>
        </w:rPr>
        <w:t>d</w:t>
      </w:r>
      <w:r w:rsidRPr="00C217FD">
        <w:rPr>
          <w:i/>
          <w:iCs/>
          <w:szCs w:val="24"/>
          <w:vertAlign w:val="subscript"/>
          <w:lang w:val="en-US" w:eastAsia="zh-CN"/>
        </w:rPr>
        <w:t>j</w:t>
      </w:r>
      <w:r w:rsidRPr="00C217FD">
        <w:rPr>
          <w:lang w:val="en-US"/>
        </w:rPr>
        <w:t xml:space="preserve"> </w:t>
      </w:r>
      <w:r w:rsidRPr="00C217FD">
        <w:rPr>
          <w:szCs w:val="24"/>
          <w:lang w:val="en-US" w:eastAsia="zh-CN"/>
        </w:rPr>
        <w:t>= (</w:t>
      </w:r>
      <w:r w:rsidRPr="007F667E">
        <w:rPr>
          <w:szCs w:val="24"/>
          <w:lang w:eastAsia="zh-CN"/>
        </w:rPr>
        <w:t>δ</w:t>
      </w:r>
      <w:r w:rsidRPr="00C217FD">
        <w:rPr>
          <w:i/>
          <w:iCs/>
          <w:szCs w:val="24"/>
          <w:lang w:val="en-US" w:eastAsia="zh-CN"/>
        </w:rPr>
        <w:t>I</w:t>
      </w:r>
      <w:r w:rsidRPr="00C217FD">
        <w:rPr>
          <w:i/>
          <w:iCs/>
          <w:szCs w:val="24"/>
          <w:vertAlign w:val="subscript"/>
          <w:lang w:val="en-US" w:eastAsia="zh-CN"/>
        </w:rPr>
        <w:t>j</w:t>
      </w:r>
      <w:r w:rsidRPr="00C217FD">
        <w:rPr>
          <w:szCs w:val="24"/>
          <w:lang w:val="en-US" w:eastAsia="zh-CN"/>
        </w:rPr>
        <w:t xml:space="preserve">, </w:t>
      </w:r>
      <w:r w:rsidRPr="007F667E">
        <w:rPr>
          <w:szCs w:val="24"/>
          <w:lang w:eastAsia="zh-CN"/>
        </w:rPr>
        <w:t>δ</w:t>
      </w:r>
      <w:r w:rsidRPr="00C217FD">
        <w:rPr>
          <w:i/>
          <w:iCs/>
          <w:szCs w:val="24"/>
          <w:lang w:val="en-US" w:eastAsia="zh-CN"/>
        </w:rPr>
        <w:t>Q</w:t>
      </w:r>
      <w:r w:rsidRPr="00C217FD">
        <w:rPr>
          <w:i/>
          <w:iCs/>
          <w:szCs w:val="24"/>
          <w:vertAlign w:val="subscript"/>
          <w:lang w:val="en-US" w:eastAsia="zh-CN"/>
        </w:rPr>
        <w:t>j</w:t>
      </w:r>
      <w:r w:rsidRPr="00C217FD">
        <w:rPr>
          <w:szCs w:val="24"/>
          <w:lang w:val="en-US" w:eastAsia="zh-CN"/>
        </w:rPr>
        <w:t>).</w:t>
      </w:r>
    </w:p>
    <w:p w:rsidR="00C217FD" w:rsidRPr="00C217FD" w:rsidRDefault="00C217FD" w:rsidP="009F4B08">
      <w:pPr>
        <w:rPr>
          <w:szCs w:val="24"/>
          <w:lang w:val="en-US" w:eastAsia="zh-CN"/>
        </w:rPr>
      </w:pPr>
      <w:r w:rsidRPr="00C217FD">
        <w:rPr>
          <w:szCs w:val="24"/>
          <w:lang w:val="en-US" w:eastAsia="zh-CN"/>
        </w:rPr>
        <w:t>Fig</w:t>
      </w:r>
      <w:r w:rsidR="009F4B08">
        <w:rPr>
          <w:szCs w:val="24"/>
          <w:lang w:val="en-US" w:eastAsia="zh-CN"/>
        </w:rPr>
        <w:t>ure</w:t>
      </w:r>
      <w:r w:rsidRPr="00C217FD">
        <w:rPr>
          <w:szCs w:val="24"/>
          <w:lang w:val="en-US" w:eastAsia="zh-CN"/>
        </w:rPr>
        <w:t xml:space="preserve"> </w:t>
      </w:r>
      <w:r w:rsidR="004B3CCB">
        <w:rPr>
          <w:szCs w:val="24"/>
          <w:lang w:val="en-US" w:eastAsia="zh-CN"/>
        </w:rPr>
        <w:t>1</w:t>
      </w:r>
      <w:r w:rsidR="004B3CCB" w:rsidRPr="00C217FD">
        <w:rPr>
          <w:szCs w:val="24"/>
          <w:lang w:val="en-US" w:eastAsia="zh-CN"/>
        </w:rPr>
        <w:t xml:space="preserve"> </w:t>
      </w:r>
      <w:r w:rsidRPr="00C217FD">
        <w:rPr>
          <w:szCs w:val="24"/>
          <w:lang w:val="en-US" w:eastAsia="zh-CN"/>
        </w:rPr>
        <w:t>illustrates a constellation diagram for a 64-QAM modulation format (</w:t>
      </w:r>
      <w:r w:rsidRPr="00C217FD">
        <w:rPr>
          <w:i/>
          <w:iCs/>
          <w:szCs w:val="24"/>
          <w:lang w:val="en-US" w:eastAsia="zh-CN"/>
        </w:rPr>
        <w:t>M</w:t>
      </w:r>
      <w:r w:rsidRPr="00C217FD">
        <w:rPr>
          <w:szCs w:val="24"/>
          <w:lang w:val="en-US" w:eastAsia="zh-CN"/>
        </w:rPr>
        <w:t xml:space="preserve"> = 64). Each of the received symbols at the </w:t>
      </w:r>
      <w:r w:rsidRPr="00C217FD">
        <w:rPr>
          <w:i/>
          <w:iCs/>
          <w:szCs w:val="24"/>
          <w:lang w:val="en-US" w:eastAsia="zh-CN"/>
        </w:rPr>
        <w:t>i</w:t>
      </w:r>
      <w:r w:rsidRPr="00C217FD">
        <w:rPr>
          <w:i/>
          <w:iCs/>
          <w:szCs w:val="24"/>
          <w:vertAlign w:val="superscript"/>
          <w:lang w:val="en-US" w:eastAsia="zh-CN"/>
        </w:rPr>
        <w:t>t</w:t>
      </w:r>
      <w:r w:rsidRPr="00C217FD">
        <w:rPr>
          <w:szCs w:val="24"/>
          <w:vertAlign w:val="superscript"/>
          <w:lang w:val="en-US" w:eastAsia="zh-CN"/>
        </w:rPr>
        <w:t>h</w:t>
      </w:r>
      <w:r w:rsidRPr="00C217FD">
        <w:rPr>
          <w:szCs w:val="24"/>
          <w:lang w:val="en-US" w:eastAsia="zh-CN"/>
        </w:rPr>
        <w:t xml:space="preserve"> point deviated from the ideal position (</w:t>
      </w:r>
      <w:r w:rsidRPr="00C217FD">
        <w:rPr>
          <w:i/>
          <w:iCs/>
          <w:szCs w:val="24"/>
          <w:lang w:val="en-US" w:eastAsia="zh-CN"/>
        </w:rPr>
        <w:t>I</w:t>
      </w:r>
      <w:r w:rsidRPr="00C217FD">
        <w:rPr>
          <w:i/>
          <w:iCs/>
          <w:szCs w:val="24"/>
          <w:vertAlign w:val="subscript"/>
          <w:lang w:val="en-US" w:eastAsia="zh-CN"/>
        </w:rPr>
        <w:t>j</w:t>
      </w:r>
      <w:r w:rsidRPr="00C217FD">
        <w:rPr>
          <w:szCs w:val="24"/>
          <w:lang w:val="en-US" w:eastAsia="zh-CN"/>
        </w:rPr>
        <w:t xml:space="preserve">, </w:t>
      </w:r>
      <w:r w:rsidRPr="00C217FD">
        <w:rPr>
          <w:i/>
          <w:iCs/>
          <w:szCs w:val="24"/>
          <w:lang w:val="en-US" w:eastAsia="zh-CN"/>
        </w:rPr>
        <w:t>Q</w:t>
      </w:r>
      <w:r w:rsidRPr="00C217FD">
        <w:rPr>
          <w:i/>
          <w:iCs/>
          <w:szCs w:val="24"/>
          <w:vertAlign w:val="subscript"/>
          <w:lang w:val="en-US" w:eastAsia="zh-CN"/>
        </w:rPr>
        <w:t>j</w:t>
      </w:r>
      <w:r w:rsidRPr="00C217FD">
        <w:rPr>
          <w:szCs w:val="24"/>
          <w:lang w:val="en-US" w:eastAsia="zh-CN"/>
        </w:rPr>
        <w:t>) by a distance (</w:t>
      </w:r>
      <w:r w:rsidRPr="007F667E">
        <w:rPr>
          <w:szCs w:val="24"/>
          <w:lang w:eastAsia="zh-CN"/>
        </w:rPr>
        <w:t>δ</w:t>
      </w:r>
      <w:r w:rsidRPr="00C217FD">
        <w:rPr>
          <w:i/>
          <w:iCs/>
          <w:szCs w:val="24"/>
          <w:lang w:val="en-US" w:eastAsia="zh-CN"/>
        </w:rPr>
        <w:t>I</w:t>
      </w:r>
      <w:r w:rsidRPr="00C217FD">
        <w:rPr>
          <w:i/>
          <w:iCs/>
          <w:szCs w:val="24"/>
          <w:vertAlign w:val="subscript"/>
          <w:lang w:val="en-US" w:eastAsia="zh-CN"/>
        </w:rPr>
        <w:t>j</w:t>
      </w:r>
      <w:r w:rsidRPr="00C217FD">
        <w:rPr>
          <w:szCs w:val="24"/>
          <w:lang w:val="en-US" w:eastAsia="zh-CN"/>
        </w:rPr>
        <w:t xml:space="preserve">, </w:t>
      </w:r>
      <w:r w:rsidRPr="007F667E">
        <w:rPr>
          <w:szCs w:val="24"/>
          <w:lang w:eastAsia="zh-CN"/>
        </w:rPr>
        <w:t>δ</w:t>
      </w:r>
      <w:r w:rsidRPr="00C217FD">
        <w:rPr>
          <w:i/>
          <w:iCs/>
          <w:szCs w:val="24"/>
          <w:lang w:val="en-US" w:eastAsia="zh-CN"/>
        </w:rPr>
        <w:t>Q</w:t>
      </w:r>
      <w:r w:rsidRPr="00C217FD">
        <w:rPr>
          <w:i/>
          <w:iCs/>
          <w:szCs w:val="24"/>
          <w:vertAlign w:val="subscript"/>
          <w:lang w:val="en-US" w:eastAsia="zh-CN"/>
        </w:rPr>
        <w:t>j</w:t>
      </w:r>
      <w:r w:rsidRPr="00C217FD">
        <w:rPr>
          <w:szCs w:val="24"/>
          <w:lang w:val="en-US" w:eastAsia="zh-CN"/>
        </w:rPr>
        <w:t>).</w:t>
      </w:r>
    </w:p>
    <w:p w:rsidR="00C217FD" w:rsidRPr="00C217FD" w:rsidRDefault="00C217FD" w:rsidP="00C217FD">
      <w:pPr>
        <w:pStyle w:val="FigureNo"/>
        <w:rPr>
          <w:lang w:val="en-US" w:eastAsia="zh-CN"/>
        </w:rPr>
      </w:pPr>
      <w:r w:rsidRPr="00C217FD">
        <w:rPr>
          <w:lang w:val="en-US" w:eastAsia="zh-CN"/>
        </w:rPr>
        <w:lastRenderedPageBreak/>
        <w:t xml:space="preserve">Figure </w:t>
      </w:r>
      <w:r w:rsidR="004B3CCB">
        <w:rPr>
          <w:lang w:val="en-US" w:eastAsia="zh-CN"/>
        </w:rPr>
        <w:t>1</w:t>
      </w:r>
    </w:p>
    <w:p w:rsidR="00C217FD" w:rsidRPr="00C217FD" w:rsidRDefault="00C217FD" w:rsidP="00C217FD">
      <w:pPr>
        <w:pStyle w:val="Figuretitle"/>
        <w:rPr>
          <w:lang w:val="en-US" w:eastAsia="zh-CN"/>
        </w:rPr>
      </w:pPr>
      <w:r w:rsidRPr="00C217FD">
        <w:rPr>
          <w:lang w:val="en-US" w:eastAsia="zh-CN"/>
        </w:rPr>
        <w:t xml:space="preserve">Example of a constellation diagram for a 64-QAM modulation format where the </w:t>
      </w:r>
      <w:r w:rsidRPr="00C217FD">
        <w:rPr>
          <w:i/>
          <w:iCs/>
          <w:lang w:val="en-US" w:eastAsia="zh-CN"/>
        </w:rPr>
        <w:t>i</w:t>
      </w:r>
      <w:r w:rsidRPr="00C217FD">
        <w:rPr>
          <w:vertAlign w:val="superscript"/>
          <w:lang w:val="en-US" w:eastAsia="zh-CN"/>
        </w:rPr>
        <w:t>th</w:t>
      </w:r>
      <w:r w:rsidRPr="00C217FD">
        <w:rPr>
          <w:lang w:val="en-US" w:eastAsia="zh-CN"/>
        </w:rPr>
        <w:t xml:space="preserve"> point </w:t>
      </w:r>
      <w:r w:rsidRPr="00C217FD">
        <w:rPr>
          <w:lang w:val="en-US" w:eastAsia="zh-CN"/>
        </w:rPr>
        <w:br/>
        <w:t>has been enlarged to illustrate the coordinates of the symbol error vector</w:t>
      </w:r>
    </w:p>
    <w:p w:rsidR="00C217FD" w:rsidRPr="007F667E" w:rsidRDefault="000A3B9D" w:rsidP="00C217FD">
      <w:pPr>
        <w:pStyle w:val="Figure"/>
        <w:rPr>
          <w:lang w:eastAsia="zh-CN"/>
        </w:rPr>
      </w:pPr>
      <w:r>
        <w:object w:dxaOrig="6283" w:dyaOrig="4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242.35pt" o:ole="">
            <v:imagedata r:id="rId13" o:title=""/>
          </v:shape>
          <o:OLEObject Type="Embed" ProgID="CorelDraw.Graphic.16" ShapeID="_x0000_i1025" DrawAspect="Content" ObjectID="_1486195663" r:id="rId14"/>
        </w:object>
      </w:r>
    </w:p>
    <w:p w:rsidR="00C217FD" w:rsidRPr="00C217FD" w:rsidRDefault="00C217FD" w:rsidP="00C217FD">
      <w:pPr>
        <w:rPr>
          <w:lang w:val="en-US" w:eastAsia="zh-CN"/>
        </w:rPr>
      </w:pPr>
      <w:r w:rsidRPr="00C217FD">
        <w:rPr>
          <w:lang w:val="en-US" w:eastAsia="zh-CN"/>
        </w:rPr>
        <w:t>The definition of MER does not assume the use of an equalizer, however the measuring receiver may include a commercial quality equalizer to give more representative results when the signal at the measurement point has linear impairments.</w:t>
      </w:r>
    </w:p>
    <w:p w:rsidR="00FA773F" w:rsidRDefault="00C217FD" w:rsidP="00C217FD">
      <w:pPr>
        <w:pStyle w:val="Heading1"/>
        <w:rPr>
          <w:lang w:val="en-US" w:eastAsia="zh-CN"/>
        </w:rPr>
      </w:pPr>
      <w:r w:rsidRPr="00C217FD">
        <w:rPr>
          <w:lang w:val="en-US" w:eastAsia="zh-CN"/>
        </w:rPr>
        <w:t>When an MER figure is quoted it should be stated whether an equalizer has been used.</w:t>
      </w:r>
    </w:p>
    <w:p w:rsidR="00454F5B" w:rsidRPr="00FA4E58" w:rsidRDefault="00454F5B" w:rsidP="00C217FD">
      <w:pPr>
        <w:pStyle w:val="Heading1"/>
        <w:rPr>
          <w:lang w:val="en-US"/>
        </w:rPr>
      </w:pPr>
      <w:r w:rsidRPr="00FA4E58">
        <w:rPr>
          <w:lang w:val="en-US"/>
        </w:rPr>
        <w:t>3</w:t>
      </w:r>
      <w:r w:rsidRPr="00FA4E58">
        <w:rPr>
          <w:lang w:val="en-US"/>
        </w:rPr>
        <w:tab/>
        <w:t>The objective quality scale for System B</w:t>
      </w:r>
      <w:bookmarkEnd w:id="6"/>
    </w:p>
    <w:p w:rsidR="00454F5B" w:rsidRDefault="00454F5B" w:rsidP="00B1367D">
      <w:pPr>
        <w:rPr>
          <w:lang w:val="en-US"/>
        </w:rPr>
      </w:pPr>
      <w:r w:rsidRPr="00182D78">
        <w:rPr>
          <w:lang w:val="en-US"/>
        </w:rPr>
        <w:t>It is well known that field strength measured at receiving sites varies with location and receiving antenna height. The variability, at fixed power flux-density (pfd), depends on amplitude and phase combination of several paths that reach the receiving antenna. Variability is more accentuated for continuous wave (CW) signals than wideband signals. The reflected paths can give either possible positive or negative contributions. Negative contributions are connected to the intersymbol interference that happens when the delay of one or more paths is greater than the guard interval. Possible positive contributions are generated when path delay is lower than the guard interval. The presence of several paths falling into the guard interval frame can result in additive or subtractive contributions depending on implementation of Viterbi soft decision, fixed or moving research window and paths phase. The intrinsic non-linear relationship among Viterbi decoding, protection levels, temporal and spatial dispersion gives as a result a low correlation between field strength and BER, as shown by analysis of thousands of field survey data reported in Report ITU</w:t>
      </w:r>
      <w:r w:rsidR="00B1367D">
        <w:rPr>
          <w:lang w:val="en-US"/>
        </w:rPr>
        <w:noBreakHyphen/>
      </w:r>
      <w:r w:rsidRPr="00182D78">
        <w:rPr>
          <w:lang w:val="en-US"/>
        </w:rPr>
        <w:t>R</w:t>
      </w:r>
      <w:r w:rsidR="00B1367D">
        <w:rPr>
          <w:lang w:val="en-US"/>
        </w:rPr>
        <w:t> </w:t>
      </w:r>
      <w:r w:rsidRPr="00182D78">
        <w:rPr>
          <w:lang w:val="en-US"/>
        </w:rPr>
        <w:t>BT.</w:t>
      </w:r>
      <w:r w:rsidR="00286FB6">
        <w:rPr>
          <w:lang w:val="en-US"/>
        </w:rPr>
        <w:t>2252</w:t>
      </w:r>
      <w:r w:rsidRPr="00182D78">
        <w:rPr>
          <w:lang w:val="en-US"/>
        </w:rPr>
        <w:t>.</w:t>
      </w:r>
    </w:p>
    <w:p w:rsidR="00454F5B" w:rsidRPr="00182D78" w:rsidRDefault="00454F5B" w:rsidP="00E04150">
      <w:pPr>
        <w:keepNext/>
        <w:keepLines/>
        <w:rPr>
          <w:lang w:val="en-US"/>
        </w:rPr>
      </w:pPr>
      <w:r w:rsidRPr="00182D78">
        <w:rPr>
          <w:lang w:val="en-US"/>
        </w:rPr>
        <w:lastRenderedPageBreak/>
        <w:t>The quality evaluation system for an analogue signal has been based on both field strength and the five quality (Q) grades subjective assessment scale. Q5 grade corresponds to “excellent”, Q1 grade corresponds to “very bad”. The acceptance threshold is fixed to Q3 grade. In a digital environment the situation is quite different and it is important to note the difference between compression video quality evaluation methods and broadcasting coverage quality evaluation. For the compression methods evaluation, such as MPEG, the five-grade assessment scale has been maintained. For the objective of broadcasting reception quality evaluation, it would seem more difficult to maintain a method based on the five-grade scale because of rapid transition from a service to a no service condition. Nevertheless</w:t>
      </w:r>
      <w:r w:rsidR="004D5A56">
        <w:rPr>
          <w:lang w:val="en-US"/>
        </w:rPr>
        <w:t>,</w:t>
      </w:r>
      <w:r w:rsidRPr="00182D78">
        <w:rPr>
          <w:lang w:val="en-US"/>
        </w:rPr>
        <w:t xml:space="preserve"> it is possible again to maintain a five-grade scale if</w:t>
      </w:r>
      <w:r w:rsidR="004D5A56">
        <w:rPr>
          <w:lang w:val="en-US"/>
        </w:rPr>
        <w:t>,</w:t>
      </w:r>
      <w:r w:rsidRPr="00182D78">
        <w:rPr>
          <w:lang w:val="en-US"/>
        </w:rPr>
        <w:t xml:space="preserve"> at each grade</w:t>
      </w:r>
      <w:r w:rsidR="004D5A56">
        <w:rPr>
          <w:lang w:val="en-US"/>
        </w:rPr>
        <w:t>,</w:t>
      </w:r>
      <w:r w:rsidRPr="00182D78">
        <w:rPr>
          <w:lang w:val="en-US"/>
        </w:rPr>
        <w:t xml:space="preserve"> the meaning of distance from the transition point is attributed. For a deeper analysis of transition zone</w:t>
      </w:r>
      <w:r w:rsidR="004D5A56">
        <w:rPr>
          <w:lang w:val="en-US"/>
        </w:rPr>
        <w:t>,</w:t>
      </w:r>
      <w:r w:rsidRPr="00182D78">
        <w:rPr>
          <w:lang w:val="en-US"/>
        </w:rPr>
        <w:t xml:space="preserve"> a three-grade scale can be used. Evaluation of the distance from the transition point is very important because the measurement equipment is usually placed before the end user’s reception system, usually composed of an antenna, distribution system and set</w:t>
      </w:r>
      <w:r w:rsidR="004D5A56">
        <w:rPr>
          <w:lang w:val="en-US"/>
        </w:rPr>
        <w:t>-</w:t>
      </w:r>
      <w:r w:rsidRPr="00182D78">
        <w:rPr>
          <w:lang w:val="en-US"/>
        </w:rPr>
        <w:t xml:space="preserve">top box. Interpretation of digital objective quality reception assessment </w:t>
      </w:r>
      <w:r w:rsidRPr="00182D78">
        <w:rPr>
          <w:i/>
          <w:iCs/>
          <w:lang w:val="en-US"/>
        </w:rPr>
        <w:t>is not to be confused</w:t>
      </w:r>
      <w:r w:rsidRPr="00182D78">
        <w:rPr>
          <w:lang w:val="en-US"/>
        </w:rPr>
        <w:t xml:space="preserve"> with interpretation of the analogue quality assessment.</w:t>
      </w:r>
    </w:p>
    <w:p w:rsidR="00454F5B" w:rsidRPr="00182D78" w:rsidRDefault="00454F5B" w:rsidP="00286FB6">
      <w:pPr>
        <w:rPr>
          <w:lang w:val="en-US"/>
        </w:rPr>
      </w:pPr>
      <w:r w:rsidRPr="00182D78">
        <w:rPr>
          <w:lang w:val="en-US"/>
        </w:rPr>
        <w:t>Therefore, this Recommendation defines the following reception quality grades in terms of the margin to failure of the received signal.</w:t>
      </w:r>
    </w:p>
    <w:p w:rsidR="00454F5B" w:rsidRPr="00182D78" w:rsidDel="00126E83" w:rsidRDefault="00454F5B" w:rsidP="00454F5B">
      <w:pPr>
        <w:rPr>
          <w:lang w:val="en-US"/>
        </w:rPr>
      </w:pPr>
      <w:r w:rsidRPr="00182D78" w:rsidDel="00126E83">
        <w:rPr>
          <w:lang w:val="en-US"/>
        </w:rPr>
        <w:t>Grade Q1 – Signal level is below minimum planning target.</w:t>
      </w:r>
    </w:p>
    <w:p w:rsidR="00454F5B" w:rsidRPr="00182D78" w:rsidDel="00126E83" w:rsidRDefault="00454F5B" w:rsidP="00454F5B">
      <w:pPr>
        <w:rPr>
          <w:lang w:val="en-US"/>
        </w:rPr>
      </w:pPr>
      <w:r w:rsidRPr="00182D78" w:rsidDel="00126E83">
        <w:rPr>
          <w:lang w:val="en-US"/>
        </w:rPr>
        <w:t xml:space="preserve">Grade </w:t>
      </w:r>
      <w:r w:rsidRPr="00182D78">
        <w:rPr>
          <w:lang w:val="en-US"/>
        </w:rPr>
        <w:t>Q</w:t>
      </w:r>
      <w:r w:rsidRPr="00182D78" w:rsidDel="00126E83">
        <w:rPr>
          <w:lang w:val="en-US"/>
        </w:rPr>
        <w:t>2 – Signal level is below minimum planning target or margin to failure is too low</w:t>
      </w:r>
      <w:r w:rsidRPr="00182D78">
        <w:rPr>
          <w:lang w:val="en-US"/>
        </w:rPr>
        <w:t xml:space="preserve"> (reception may be possible but signal is very susceptible to failure)</w:t>
      </w:r>
      <w:r w:rsidRPr="00182D78" w:rsidDel="00126E83">
        <w:rPr>
          <w:lang w:val="en-US"/>
        </w:rPr>
        <w:t>.</w:t>
      </w:r>
    </w:p>
    <w:p w:rsidR="00454F5B" w:rsidRPr="00182D78" w:rsidDel="00126E83" w:rsidRDefault="00454F5B" w:rsidP="00454F5B">
      <w:pPr>
        <w:rPr>
          <w:lang w:val="en-US"/>
        </w:rPr>
      </w:pPr>
      <w:r w:rsidRPr="00182D78" w:rsidDel="00126E83">
        <w:rPr>
          <w:lang w:val="en-US"/>
        </w:rPr>
        <w:t xml:space="preserve">Grade </w:t>
      </w:r>
      <w:r w:rsidRPr="00182D78">
        <w:rPr>
          <w:lang w:val="en-US"/>
        </w:rPr>
        <w:t>Q</w:t>
      </w:r>
      <w:r w:rsidRPr="00182D78" w:rsidDel="00126E83">
        <w:rPr>
          <w:lang w:val="en-US"/>
        </w:rPr>
        <w:t xml:space="preserve">3 – Signal level </w:t>
      </w:r>
      <w:r w:rsidRPr="00182D78">
        <w:rPr>
          <w:lang w:val="en-US"/>
        </w:rPr>
        <w:t>and</w:t>
      </w:r>
      <w:r w:rsidRPr="00182D78" w:rsidDel="00126E83">
        <w:rPr>
          <w:lang w:val="en-US"/>
        </w:rPr>
        <w:t xml:space="preserve"> margin to failure </w:t>
      </w:r>
      <w:r w:rsidRPr="00182D78">
        <w:rPr>
          <w:lang w:val="en-US"/>
        </w:rPr>
        <w:t>have some margin above minimum planning targets</w:t>
      </w:r>
      <w:r w:rsidRPr="00182D78" w:rsidDel="00126E83">
        <w:rPr>
          <w:lang w:val="en-US"/>
        </w:rPr>
        <w:t>.</w:t>
      </w:r>
    </w:p>
    <w:p w:rsidR="00454F5B" w:rsidRPr="00182D78" w:rsidDel="00126E83" w:rsidRDefault="00454F5B" w:rsidP="00454F5B">
      <w:pPr>
        <w:rPr>
          <w:lang w:val="en-US"/>
        </w:rPr>
      </w:pPr>
      <w:r w:rsidRPr="00182D78" w:rsidDel="00126E83">
        <w:rPr>
          <w:lang w:val="en-US"/>
        </w:rPr>
        <w:t xml:space="preserve">Grade </w:t>
      </w:r>
      <w:r w:rsidRPr="00182D78">
        <w:rPr>
          <w:lang w:val="en-US"/>
        </w:rPr>
        <w:t>Q</w:t>
      </w:r>
      <w:r w:rsidRPr="00182D78" w:rsidDel="00126E83">
        <w:rPr>
          <w:lang w:val="en-US"/>
        </w:rPr>
        <w:t xml:space="preserve">4 </w:t>
      </w:r>
      <w:r w:rsidRPr="00182D78">
        <w:rPr>
          <w:lang w:val="en-US"/>
        </w:rPr>
        <w:t xml:space="preserve">– </w:t>
      </w:r>
      <w:r w:rsidRPr="00182D78" w:rsidDel="00126E83">
        <w:rPr>
          <w:lang w:val="en-US"/>
        </w:rPr>
        <w:t>Signal level and margin to failure above planning targets.</w:t>
      </w:r>
    </w:p>
    <w:p w:rsidR="00454F5B" w:rsidRPr="00182D78" w:rsidDel="00126E83" w:rsidRDefault="00454F5B" w:rsidP="00454F5B">
      <w:pPr>
        <w:rPr>
          <w:lang w:val="en-US"/>
        </w:rPr>
      </w:pPr>
      <w:r w:rsidRPr="00182D78">
        <w:rPr>
          <w:lang w:val="en-US"/>
        </w:rPr>
        <w:t>Grade Q</w:t>
      </w:r>
      <w:r w:rsidRPr="00182D78" w:rsidDel="00126E83">
        <w:rPr>
          <w:lang w:val="en-US"/>
        </w:rPr>
        <w:t xml:space="preserve">5 – </w:t>
      </w:r>
      <w:r w:rsidRPr="00182D78">
        <w:rPr>
          <w:lang w:val="en-US"/>
        </w:rPr>
        <w:t>No measurable defects can be reasonably detected</w:t>
      </w:r>
      <w:r w:rsidRPr="00182D78" w:rsidDel="00126E83">
        <w:rPr>
          <w:lang w:val="en-US"/>
        </w:rPr>
        <w:t>.</w:t>
      </w:r>
    </w:p>
    <w:p w:rsidR="00454F5B" w:rsidRPr="00454F5B" w:rsidRDefault="00454F5B" w:rsidP="004D5A56">
      <w:pPr>
        <w:pStyle w:val="Heading2"/>
        <w:rPr>
          <w:lang w:val="en-US"/>
        </w:rPr>
      </w:pPr>
      <w:r w:rsidRPr="00454F5B">
        <w:rPr>
          <w:lang w:val="en-US"/>
        </w:rPr>
        <w:t>3.1</w:t>
      </w:r>
      <w:r w:rsidRPr="00454F5B">
        <w:rPr>
          <w:lang w:val="en-US"/>
        </w:rPr>
        <w:tab/>
        <w:t>Multi</w:t>
      </w:r>
      <w:r w:rsidR="00286FB6">
        <w:rPr>
          <w:lang w:val="en-US"/>
        </w:rPr>
        <w:t>-</w:t>
      </w:r>
      <w:r w:rsidR="00286FB6" w:rsidRPr="00454F5B">
        <w:rPr>
          <w:lang w:val="en-US"/>
        </w:rPr>
        <w:t>frequency network</w:t>
      </w:r>
      <w:r w:rsidR="004D5A56">
        <w:rPr>
          <w:lang w:val="en-US"/>
        </w:rPr>
        <w:t xml:space="preserve"> (</w:t>
      </w:r>
      <w:r w:rsidR="004D5A56" w:rsidRPr="00454F5B">
        <w:rPr>
          <w:lang w:val="en-US"/>
        </w:rPr>
        <w:t>MFN</w:t>
      </w:r>
      <w:r w:rsidR="004D5A56">
        <w:rPr>
          <w:lang w:val="en-US"/>
        </w:rPr>
        <w:t>)</w:t>
      </w:r>
    </w:p>
    <w:p w:rsidR="00454F5B" w:rsidRPr="00182D78" w:rsidRDefault="00454F5B" w:rsidP="00286FB6">
      <w:pPr>
        <w:rPr>
          <w:lang w:val="en-US"/>
        </w:rPr>
      </w:pPr>
      <w:r w:rsidRPr="00182D78">
        <w:rPr>
          <w:lang w:val="en-US"/>
        </w:rPr>
        <w:t>For MFN fixed reception</w:t>
      </w:r>
      <w:r w:rsidR="00286FB6">
        <w:rPr>
          <w:lang w:val="en-US"/>
        </w:rPr>
        <w:t>,</w:t>
      </w:r>
      <w:r w:rsidRPr="00182D78">
        <w:rPr>
          <w:lang w:val="en-US"/>
        </w:rPr>
        <w:t xml:space="preserve"> Table 1 should be used.</w:t>
      </w:r>
    </w:p>
    <w:p w:rsidR="00454F5B" w:rsidRPr="00182D78" w:rsidRDefault="00454F5B" w:rsidP="00286FB6">
      <w:pPr>
        <w:pStyle w:val="TableNo"/>
        <w:rPr>
          <w:lang w:val="en-US"/>
        </w:rPr>
      </w:pPr>
      <w:r w:rsidRPr="00182D78">
        <w:rPr>
          <w:lang w:val="en-US"/>
        </w:rPr>
        <w:t>TABLE 1</w:t>
      </w:r>
      <w:r>
        <w:rPr>
          <w:rStyle w:val="FootnoteReference"/>
        </w:rPr>
        <w:footnoteReference w:id="3"/>
      </w:r>
    </w:p>
    <w:p w:rsidR="00454F5B" w:rsidRPr="00182D78" w:rsidRDefault="00454F5B" w:rsidP="00286FB6">
      <w:pPr>
        <w:pStyle w:val="Tabletitle"/>
        <w:rPr>
          <w:lang w:val="en-US"/>
        </w:rPr>
      </w:pPr>
      <w:r w:rsidRPr="00182D78">
        <w:rPr>
          <w:lang w:val="en-US"/>
        </w:rPr>
        <w:t>DTTB MFN signal quality scale</w:t>
      </w:r>
    </w:p>
    <w:tbl>
      <w:tblPr>
        <w:tblW w:w="95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68"/>
        <w:gridCol w:w="1447"/>
        <w:gridCol w:w="1634"/>
        <w:gridCol w:w="1634"/>
        <w:gridCol w:w="1873"/>
        <w:gridCol w:w="1498"/>
      </w:tblGrid>
      <w:tr w:rsidR="00454F5B" w:rsidRPr="009F4B08" w:rsidTr="002471DA">
        <w:trPr>
          <w:jc w:val="center"/>
        </w:trPr>
        <w:tc>
          <w:tcPr>
            <w:tcW w:w="1468" w:type="dxa"/>
            <w:tcBorders>
              <w:tl2br w:val="single" w:sz="8" w:space="0" w:color="auto"/>
            </w:tcBorders>
          </w:tcPr>
          <w:p w:rsidR="00454F5B" w:rsidRPr="00DF61DA" w:rsidRDefault="00454F5B" w:rsidP="001B09E0">
            <w:pPr>
              <w:pStyle w:val="Tablehead"/>
              <w:jc w:val="right"/>
            </w:pPr>
            <w:r w:rsidRPr="00DF61DA">
              <w:t>BER</w:t>
            </w:r>
          </w:p>
          <w:p w:rsidR="00454F5B" w:rsidRPr="00DF61DA" w:rsidRDefault="00454F5B" w:rsidP="001B09E0">
            <w:pPr>
              <w:pStyle w:val="Tablehead"/>
              <w:spacing w:before="360"/>
              <w:jc w:val="left"/>
            </w:pPr>
            <w:r w:rsidRPr="00DF61DA">
              <w:t xml:space="preserve">Field </w:t>
            </w:r>
            <w:r w:rsidRPr="00DF61DA">
              <w:br/>
              <w:t>strength</w:t>
            </w:r>
          </w:p>
        </w:tc>
        <w:tc>
          <w:tcPr>
            <w:tcW w:w="1447" w:type="dxa"/>
            <w:vAlign w:val="center"/>
          </w:tcPr>
          <w:p w:rsidR="00454F5B" w:rsidRPr="00DF61DA" w:rsidRDefault="00454F5B" w:rsidP="001B09E0">
            <w:pPr>
              <w:pStyle w:val="Tablehead"/>
            </w:pPr>
            <w:r>
              <w:t>v</w:t>
            </w:r>
            <w:r w:rsidRPr="00DF61DA">
              <w:t xml:space="preserve">BER </w:t>
            </w:r>
            <w:r>
              <w:t>&gt;</w:t>
            </w:r>
            <w:r w:rsidRPr="00DF61DA">
              <w:t xml:space="preserve"> </w:t>
            </w:r>
            <w:r>
              <w:t>SFP</w:t>
            </w:r>
          </w:p>
        </w:tc>
        <w:tc>
          <w:tcPr>
            <w:tcW w:w="1634" w:type="dxa"/>
            <w:vAlign w:val="center"/>
          </w:tcPr>
          <w:p w:rsidR="00454F5B" w:rsidRPr="00DF61DA" w:rsidRDefault="00454F5B" w:rsidP="001B09E0">
            <w:pPr>
              <w:pStyle w:val="Tablehead"/>
            </w:pPr>
            <w:r>
              <w:rPr>
                <w:vertAlign w:val="superscript"/>
              </w:rPr>
              <w:br/>
            </w:r>
            <w:r>
              <w:t xml:space="preserve">QEF </w:t>
            </w:r>
            <w:r>
              <w:rPr>
                <w:rFonts w:ascii="Arial" w:hAnsi="Arial" w:cs="Arial"/>
              </w:rPr>
              <w:t>&lt;</w:t>
            </w:r>
            <w:r>
              <w:t xml:space="preserve"> v</w:t>
            </w:r>
            <w:r w:rsidRPr="00DF61DA">
              <w:t xml:space="preserve">BER </w:t>
            </w:r>
            <w:r>
              <w:rPr>
                <w:rFonts w:ascii="Arial" w:hAnsi="Arial" w:cs="Arial"/>
              </w:rPr>
              <w:t>≤</w:t>
            </w:r>
            <w:r w:rsidR="00286FB6">
              <w:rPr>
                <w:rFonts w:ascii="Arial" w:hAnsi="Arial" w:cs="Arial"/>
              </w:rPr>
              <w:t> </w:t>
            </w:r>
            <w:r>
              <w:t>SFP</w:t>
            </w:r>
          </w:p>
        </w:tc>
        <w:tc>
          <w:tcPr>
            <w:tcW w:w="1634" w:type="dxa"/>
            <w:vAlign w:val="center"/>
          </w:tcPr>
          <w:p w:rsidR="00454F5B" w:rsidRPr="00182D78" w:rsidRDefault="00454F5B" w:rsidP="001B09E0">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w:t>
            </w:r>
            <w:r w:rsidRPr="00182D78">
              <w:rPr>
                <w:vertAlign w:val="superscript"/>
                <w:lang w:val="en-US"/>
              </w:rPr>
              <w:br/>
            </w:r>
            <w:r w:rsidRPr="00182D78">
              <w:rPr>
                <w:lang w:val="en-US"/>
              </w:rPr>
              <w:t xml:space="preserve">and cBER </w:t>
            </w:r>
            <w:r w:rsidRPr="00182D78">
              <w:rPr>
                <w:lang w:val="en-US"/>
              </w:rPr>
              <w:br/>
              <w:t xml:space="preserve">ratio </w:t>
            </w:r>
            <w:r w:rsidRPr="00DF61DA">
              <w:sym w:font="Symbol" w:char="F0A3"/>
            </w:r>
            <w:r w:rsidRPr="00182D78">
              <w:rPr>
                <w:lang w:val="en-US"/>
              </w:rPr>
              <w:t> 10</w:t>
            </w:r>
          </w:p>
        </w:tc>
        <w:tc>
          <w:tcPr>
            <w:tcW w:w="1873" w:type="dxa"/>
            <w:vAlign w:val="center"/>
          </w:tcPr>
          <w:p w:rsidR="00454F5B" w:rsidRPr="00182D78" w:rsidRDefault="00454F5B" w:rsidP="001B09E0">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 and cBER ratio between 10 and 100</w:t>
            </w:r>
          </w:p>
        </w:tc>
        <w:tc>
          <w:tcPr>
            <w:tcW w:w="1498" w:type="dxa"/>
            <w:vAlign w:val="center"/>
          </w:tcPr>
          <w:p w:rsidR="00454F5B" w:rsidRPr="00182D78" w:rsidRDefault="00454F5B" w:rsidP="001B09E0">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w:t>
            </w:r>
            <w:r w:rsidRPr="00182D78">
              <w:rPr>
                <w:vertAlign w:val="superscript"/>
                <w:lang w:val="en-US"/>
              </w:rPr>
              <w:br/>
            </w:r>
            <w:r w:rsidRPr="00182D78">
              <w:rPr>
                <w:lang w:val="en-US"/>
              </w:rPr>
              <w:t>and cBER ratio &gt; 100</w:t>
            </w:r>
          </w:p>
        </w:tc>
      </w:tr>
      <w:tr w:rsidR="00454F5B" w:rsidRPr="00DF61DA" w:rsidDel="00676754" w:rsidTr="002471DA">
        <w:trPr>
          <w:trHeight w:val="567"/>
          <w:jc w:val="center"/>
        </w:trPr>
        <w:tc>
          <w:tcPr>
            <w:tcW w:w="1468" w:type="dxa"/>
          </w:tcPr>
          <w:p w:rsidR="00454F5B" w:rsidRPr="00DF61DA" w:rsidRDefault="00454F5B" w:rsidP="001B09E0">
            <w:pPr>
              <w:pStyle w:val="Tabletext"/>
              <w:jc w:val="center"/>
            </w:pPr>
            <w:r w:rsidRPr="00DF61DA">
              <w:t>E &lt; E</w:t>
            </w:r>
            <w:r>
              <w:rPr>
                <w:vertAlign w:val="subscript"/>
              </w:rPr>
              <w:t>xx</w:t>
            </w:r>
            <w:r w:rsidRPr="00DF61DA">
              <w:rPr>
                <w:rStyle w:val="FootnoteReference"/>
              </w:rPr>
              <w:footnoteReference w:id="4"/>
            </w:r>
          </w:p>
        </w:tc>
        <w:tc>
          <w:tcPr>
            <w:tcW w:w="1447" w:type="dxa"/>
            <w:shd w:val="clear" w:color="auto" w:fill="EEAEDD"/>
          </w:tcPr>
          <w:p w:rsidR="00454F5B" w:rsidRDefault="00454F5B" w:rsidP="00286FB6">
            <w:pPr>
              <w:pStyle w:val="Tabletext"/>
              <w:jc w:val="center"/>
              <w:rPr>
                <w:b/>
                <w:highlight w:val="cyan"/>
              </w:rPr>
            </w:pPr>
            <w:r w:rsidRPr="00DF61DA">
              <w:t>Q1</w:t>
            </w:r>
          </w:p>
        </w:tc>
        <w:tc>
          <w:tcPr>
            <w:tcW w:w="1634" w:type="dxa"/>
            <w:shd w:val="clear" w:color="auto" w:fill="FABF8F"/>
          </w:tcPr>
          <w:p w:rsidR="00454F5B" w:rsidRDefault="00454F5B" w:rsidP="00286FB6">
            <w:pPr>
              <w:pStyle w:val="Tabletext"/>
              <w:jc w:val="center"/>
              <w:rPr>
                <w:b/>
                <w:highlight w:val="cyan"/>
              </w:rPr>
            </w:pPr>
            <w:r w:rsidRPr="00DF61DA">
              <w:t>Q</w:t>
            </w:r>
            <w:r>
              <w:t>2</w:t>
            </w:r>
          </w:p>
        </w:tc>
        <w:tc>
          <w:tcPr>
            <w:tcW w:w="1634" w:type="dxa"/>
            <w:shd w:val="clear" w:color="auto" w:fill="FABF8F"/>
          </w:tcPr>
          <w:p w:rsidR="00454F5B" w:rsidRDefault="00454F5B" w:rsidP="00286FB6">
            <w:pPr>
              <w:pStyle w:val="Tabletext"/>
              <w:jc w:val="center"/>
              <w:rPr>
                <w:b/>
              </w:rPr>
            </w:pPr>
            <w:r w:rsidRPr="00DF61DA">
              <w:t>Q2</w:t>
            </w:r>
          </w:p>
        </w:tc>
        <w:tc>
          <w:tcPr>
            <w:tcW w:w="1873" w:type="dxa"/>
            <w:shd w:val="clear" w:color="auto" w:fill="FABF8F"/>
          </w:tcPr>
          <w:p w:rsidR="00454F5B" w:rsidRDefault="00454F5B" w:rsidP="00286FB6">
            <w:pPr>
              <w:pStyle w:val="Tabletext"/>
              <w:jc w:val="center"/>
              <w:rPr>
                <w:b/>
              </w:rPr>
            </w:pPr>
            <w:r w:rsidRPr="00DF61DA">
              <w:t>Q2</w:t>
            </w:r>
          </w:p>
        </w:tc>
        <w:tc>
          <w:tcPr>
            <w:tcW w:w="1498" w:type="dxa"/>
            <w:shd w:val="clear" w:color="auto" w:fill="FABF8F"/>
          </w:tcPr>
          <w:p w:rsidR="00454F5B" w:rsidRDefault="00454F5B" w:rsidP="00286FB6">
            <w:pPr>
              <w:pStyle w:val="Tabletext"/>
              <w:jc w:val="center"/>
              <w:rPr>
                <w:b/>
              </w:rPr>
            </w:pPr>
            <w:r w:rsidRPr="00DF61DA">
              <w:t>Q2</w:t>
            </w:r>
          </w:p>
        </w:tc>
      </w:tr>
      <w:tr w:rsidR="00454F5B" w:rsidRPr="00DF61DA" w:rsidDel="00676754" w:rsidTr="002471DA">
        <w:trPr>
          <w:trHeight w:val="567"/>
          <w:jc w:val="center"/>
        </w:trPr>
        <w:tc>
          <w:tcPr>
            <w:tcW w:w="1468" w:type="dxa"/>
          </w:tcPr>
          <w:p w:rsidR="00454F5B" w:rsidRDefault="00454F5B" w:rsidP="00286FB6">
            <w:pPr>
              <w:pStyle w:val="Tabletext"/>
              <w:jc w:val="center"/>
              <w:rPr>
                <w:b/>
              </w:rPr>
            </w:pPr>
            <w:r>
              <w:t xml:space="preserve">E </w:t>
            </w:r>
            <w:r w:rsidRPr="00DF61DA">
              <w:sym w:font="Symbol" w:char="F0B3"/>
            </w:r>
            <w:r w:rsidRPr="00DF61DA">
              <w:t xml:space="preserve"> E</w:t>
            </w:r>
            <w:r>
              <w:rPr>
                <w:vertAlign w:val="subscript"/>
              </w:rPr>
              <w:t>xx</w:t>
            </w:r>
          </w:p>
        </w:tc>
        <w:tc>
          <w:tcPr>
            <w:tcW w:w="1447" w:type="dxa"/>
            <w:shd w:val="clear" w:color="auto" w:fill="EEAEDD"/>
          </w:tcPr>
          <w:p w:rsidR="00454F5B" w:rsidRDefault="00454F5B" w:rsidP="00286FB6">
            <w:pPr>
              <w:pStyle w:val="Tabletext"/>
              <w:jc w:val="center"/>
              <w:rPr>
                <w:b/>
              </w:rPr>
            </w:pPr>
            <w:r w:rsidRPr="00DF61DA">
              <w:t>Q1</w:t>
            </w:r>
          </w:p>
        </w:tc>
        <w:tc>
          <w:tcPr>
            <w:tcW w:w="1634" w:type="dxa"/>
            <w:shd w:val="clear" w:color="auto" w:fill="FABF8F"/>
          </w:tcPr>
          <w:p w:rsidR="00454F5B" w:rsidRDefault="00454F5B" w:rsidP="00286FB6">
            <w:pPr>
              <w:pStyle w:val="Tabletext"/>
              <w:jc w:val="center"/>
              <w:rPr>
                <w:b/>
              </w:rPr>
            </w:pPr>
            <w:r w:rsidRPr="00DF61DA">
              <w:t>Q</w:t>
            </w:r>
            <w:r>
              <w:t>2</w:t>
            </w:r>
          </w:p>
        </w:tc>
        <w:tc>
          <w:tcPr>
            <w:tcW w:w="1634" w:type="dxa"/>
            <w:shd w:val="clear" w:color="auto" w:fill="C2D69B"/>
          </w:tcPr>
          <w:p w:rsidR="00454F5B" w:rsidRDefault="00454F5B" w:rsidP="00286FB6">
            <w:pPr>
              <w:pStyle w:val="Tabletext"/>
              <w:jc w:val="center"/>
              <w:rPr>
                <w:b/>
              </w:rPr>
            </w:pPr>
            <w:r>
              <w:t>Q3</w:t>
            </w:r>
          </w:p>
        </w:tc>
        <w:tc>
          <w:tcPr>
            <w:tcW w:w="1873" w:type="dxa"/>
            <w:shd w:val="clear" w:color="auto" w:fill="92D050"/>
          </w:tcPr>
          <w:p w:rsidR="00454F5B" w:rsidRDefault="00454F5B" w:rsidP="00286FB6">
            <w:pPr>
              <w:pStyle w:val="Tabletext"/>
              <w:jc w:val="center"/>
              <w:rPr>
                <w:b/>
              </w:rPr>
            </w:pPr>
            <w:r>
              <w:t>Q4</w:t>
            </w:r>
          </w:p>
        </w:tc>
        <w:tc>
          <w:tcPr>
            <w:tcW w:w="1498" w:type="dxa"/>
            <w:shd w:val="clear" w:color="auto" w:fill="00B050"/>
          </w:tcPr>
          <w:p w:rsidR="00454F5B" w:rsidRDefault="00454F5B" w:rsidP="00286FB6">
            <w:pPr>
              <w:pStyle w:val="Tabletext"/>
              <w:jc w:val="center"/>
              <w:rPr>
                <w:b/>
              </w:rPr>
            </w:pPr>
            <w:r>
              <w:t>Q5</w:t>
            </w:r>
          </w:p>
        </w:tc>
      </w:tr>
    </w:tbl>
    <w:p w:rsidR="00454F5B" w:rsidRDefault="00454F5B" w:rsidP="00454F5B">
      <w:pPr>
        <w:pStyle w:val="Tablefin"/>
      </w:pPr>
    </w:p>
    <w:p w:rsidR="00454F5B" w:rsidRPr="001B09E0" w:rsidRDefault="00454F5B" w:rsidP="00723135">
      <w:pPr>
        <w:rPr>
          <w:lang w:val="en-US"/>
        </w:rPr>
      </w:pPr>
      <w:r w:rsidRPr="001B09E0">
        <w:rPr>
          <w:lang w:val="en-US"/>
        </w:rPr>
        <w:t xml:space="preserve">For those Administrations or Sector Members which prefer to use a simplified system for </w:t>
      </w:r>
      <w:r w:rsidR="002471DA" w:rsidRPr="001B09E0">
        <w:rPr>
          <w:lang w:val="en-US"/>
        </w:rPr>
        <w:t>signal quality scale</w:t>
      </w:r>
      <w:r w:rsidR="00925EE3">
        <w:rPr>
          <w:lang w:val="en-US"/>
        </w:rPr>
        <w:t>,</w:t>
      </w:r>
      <w:r w:rsidR="002471DA" w:rsidRPr="001B09E0">
        <w:rPr>
          <w:lang w:val="en-US"/>
        </w:rPr>
        <w:t xml:space="preserve"> </w:t>
      </w:r>
      <w:r w:rsidRPr="001B09E0">
        <w:rPr>
          <w:lang w:val="en-US"/>
        </w:rPr>
        <w:t xml:space="preserve">the grades Q5, Q4 and Q3 could be collapsed into one figure as reported in Table 2.  </w:t>
      </w:r>
    </w:p>
    <w:p w:rsidR="00454F5B" w:rsidRPr="001B09E0" w:rsidRDefault="00454F5B" w:rsidP="00454F5B">
      <w:pPr>
        <w:pStyle w:val="TableNo"/>
        <w:rPr>
          <w:lang w:val="en-US"/>
        </w:rPr>
      </w:pPr>
      <w:r w:rsidRPr="001B09E0">
        <w:rPr>
          <w:lang w:val="en-US"/>
        </w:rPr>
        <w:lastRenderedPageBreak/>
        <w:t xml:space="preserve">TABLE </w:t>
      </w:r>
      <w:r>
        <w:rPr>
          <w:lang w:val="en-US"/>
        </w:rPr>
        <w:t>2</w:t>
      </w:r>
    </w:p>
    <w:p w:rsidR="00454F5B" w:rsidRPr="001B09E0" w:rsidRDefault="00454F5B" w:rsidP="00454F5B">
      <w:pPr>
        <w:pStyle w:val="Tabletitle"/>
        <w:rPr>
          <w:lang w:val="en-US"/>
        </w:rPr>
      </w:pPr>
      <w:r w:rsidRPr="001B09E0">
        <w:rPr>
          <w:lang w:val="en-US"/>
        </w:rPr>
        <w:t>DTTB MFN simplified signal quality scale</w:t>
      </w:r>
    </w:p>
    <w:tbl>
      <w:tblPr>
        <w:tblW w:w="76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2"/>
        <w:gridCol w:w="1842"/>
        <w:gridCol w:w="1845"/>
        <w:gridCol w:w="1983"/>
      </w:tblGrid>
      <w:tr w:rsidR="00454F5B" w:rsidRPr="00DF61DA" w:rsidTr="002471DA">
        <w:trPr>
          <w:jc w:val="center"/>
        </w:trPr>
        <w:tc>
          <w:tcPr>
            <w:tcW w:w="1982" w:type="dxa"/>
            <w:tcBorders>
              <w:tl2br w:val="single" w:sz="8" w:space="0" w:color="auto"/>
            </w:tcBorders>
            <w:shd w:val="clear" w:color="auto" w:fill="auto"/>
          </w:tcPr>
          <w:p w:rsidR="00454F5B" w:rsidRPr="00DF61DA" w:rsidRDefault="00454F5B" w:rsidP="001B09E0">
            <w:pPr>
              <w:pStyle w:val="Tablehead"/>
              <w:jc w:val="right"/>
            </w:pPr>
            <w:r w:rsidRPr="00DF61DA">
              <w:t>BER</w:t>
            </w:r>
          </w:p>
          <w:p w:rsidR="00454F5B" w:rsidRPr="00DF61DA" w:rsidRDefault="00454F5B" w:rsidP="001B09E0">
            <w:pPr>
              <w:pStyle w:val="Tablehead"/>
              <w:jc w:val="left"/>
            </w:pPr>
            <w:r w:rsidRPr="00DF61DA">
              <w:t xml:space="preserve">Field </w:t>
            </w:r>
            <w:r w:rsidRPr="00DF61DA">
              <w:br/>
              <w:t>strength</w:t>
            </w:r>
          </w:p>
        </w:tc>
        <w:tc>
          <w:tcPr>
            <w:tcW w:w="1842" w:type="dxa"/>
            <w:shd w:val="clear" w:color="auto" w:fill="auto"/>
            <w:vAlign w:val="center"/>
          </w:tcPr>
          <w:p w:rsidR="00454F5B" w:rsidRPr="00DF61DA" w:rsidRDefault="00454F5B" w:rsidP="001B09E0">
            <w:pPr>
              <w:pStyle w:val="Tablehead"/>
            </w:pPr>
            <w:r>
              <w:t>v</w:t>
            </w:r>
            <w:r w:rsidRPr="00DF61DA">
              <w:t xml:space="preserve">BER </w:t>
            </w:r>
            <w:r>
              <w:t>&gt;</w:t>
            </w:r>
            <w:r w:rsidRPr="00DF61DA">
              <w:t xml:space="preserve"> </w:t>
            </w:r>
            <w:r>
              <w:t>SFP</w:t>
            </w:r>
          </w:p>
        </w:tc>
        <w:tc>
          <w:tcPr>
            <w:tcW w:w="1845" w:type="dxa"/>
            <w:shd w:val="clear" w:color="auto" w:fill="auto"/>
            <w:vAlign w:val="center"/>
          </w:tcPr>
          <w:p w:rsidR="00454F5B" w:rsidRPr="00DF61DA" w:rsidRDefault="00454F5B" w:rsidP="001B09E0">
            <w:pPr>
              <w:pStyle w:val="Tablehead"/>
            </w:pPr>
            <w:r>
              <w:t xml:space="preserve">QEF </w:t>
            </w:r>
            <w:r>
              <w:rPr>
                <w:rFonts w:ascii="Arial" w:hAnsi="Arial" w:cs="Arial"/>
              </w:rPr>
              <w:t>&lt;</w:t>
            </w:r>
            <w:r>
              <w:t xml:space="preserve"> v</w:t>
            </w:r>
            <w:r w:rsidRPr="00DF61DA">
              <w:t xml:space="preserve">BER </w:t>
            </w:r>
            <w:r>
              <w:rPr>
                <w:rFonts w:ascii="Arial" w:hAnsi="Arial" w:cs="Arial"/>
              </w:rPr>
              <w:t>≤</w:t>
            </w:r>
            <w:r w:rsidR="004D5A56">
              <w:rPr>
                <w:rFonts w:ascii="Arial" w:hAnsi="Arial" w:cs="Arial"/>
              </w:rPr>
              <w:t xml:space="preserve"> </w:t>
            </w:r>
            <w:r>
              <w:t>SFP</w:t>
            </w:r>
          </w:p>
        </w:tc>
        <w:tc>
          <w:tcPr>
            <w:tcW w:w="1983" w:type="dxa"/>
            <w:shd w:val="clear" w:color="auto" w:fill="auto"/>
            <w:vAlign w:val="center"/>
          </w:tcPr>
          <w:p w:rsidR="00454F5B" w:rsidRPr="00DF61DA" w:rsidRDefault="00454F5B" w:rsidP="001B09E0">
            <w:pPr>
              <w:pStyle w:val="Tablehead"/>
            </w:pPr>
            <w:r w:rsidRPr="00DF61DA">
              <w:t xml:space="preserve">VBER </w:t>
            </w:r>
            <w:r w:rsidRPr="00DF61DA">
              <w:sym w:font="Symbol" w:char="F0A3"/>
            </w:r>
            <w:r w:rsidRPr="00DF61DA">
              <w:t xml:space="preserve"> </w:t>
            </w:r>
            <w:r>
              <w:t>QEF</w:t>
            </w:r>
          </w:p>
        </w:tc>
      </w:tr>
      <w:tr w:rsidR="00454F5B" w:rsidRPr="00DF61DA" w:rsidTr="00247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54F5B" w:rsidRPr="00DF61DA" w:rsidRDefault="00454F5B" w:rsidP="001B09E0">
            <w:pPr>
              <w:pStyle w:val="Tabletext"/>
              <w:jc w:val="center"/>
            </w:pPr>
            <w:r w:rsidRPr="00DF61DA">
              <w:t>E &lt; E</w:t>
            </w:r>
            <w:r>
              <w:rPr>
                <w:vertAlign w:val="subscript"/>
              </w:rPr>
              <w:t>xx</w:t>
            </w:r>
          </w:p>
        </w:tc>
        <w:tc>
          <w:tcPr>
            <w:tcW w:w="1842" w:type="dxa"/>
            <w:shd w:val="clear" w:color="auto" w:fill="EEAEDD"/>
          </w:tcPr>
          <w:p w:rsidR="00454F5B" w:rsidRDefault="00454F5B" w:rsidP="001B09E0">
            <w:pPr>
              <w:pStyle w:val="Tabletext"/>
              <w:jc w:val="center"/>
            </w:pPr>
            <w:r>
              <w:t>Q1</w:t>
            </w:r>
          </w:p>
        </w:tc>
        <w:tc>
          <w:tcPr>
            <w:tcW w:w="1845" w:type="dxa"/>
            <w:shd w:val="clear" w:color="auto" w:fill="FABF8F"/>
          </w:tcPr>
          <w:p w:rsidR="00454F5B" w:rsidRPr="00DF61DA" w:rsidRDefault="00454F5B" w:rsidP="001B09E0">
            <w:pPr>
              <w:pStyle w:val="Tabletext"/>
              <w:jc w:val="center"/>
            </w:pPr>
            <w:r w:rsidRPr="00DF61DA">
              <w:t>Q</w:t>
            </w:r>
            <w:r>
              <w:t>2</w:t>
            </w:r>
          </w:p>
        </w:tc>
        <w:tc>
          <w:tcPr>
            <w:tcW w:w="1983" w:type="dxa"/>
            <w:shd w:val="clear" w:color="auto" w:fill="FABF8F"/>
          </w:tcPr>
          <w:p w:rsidR="00454F5B" w:rsidRPr="00DF61DA" w:rsidRDefault="00454F5B" w:rsidP="001B09E0">
            <w:pPr>
              <w:pStyle w:val="Tabletext"/>
              <w:jc w:val="center"/>
            </w:pPr>
            <w:r w:rsidRPr="00DF61DA">
              <w:t>Q2</w:t>
            </w:r>
          </w:p>
        </w:tc>
      </w:tr>
      <w:tr w:rsidR="00454F5B" w:rsidRPr="00DF61DA" w:rsidTr="00247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54F5B" w:rsidRPr="00DF61DA" w:rsidRDefault="00454F5B" w:rsidP="001B09E0">
            <w:pPr>
              <w:pStyle w:val="Tabletext"/>
              <w:jc w:val="center"/>
            </w:pPr>
            <w:r>
              <w:t xml:space="preserve">E </w:t>
            </w:r>
            <w:r w:rsidRPr="00DF61DA">
              <w:sym w:font="Symbol" w:char="F0B3"/>
            </w:r>
            <w:r w:rsidRPr="00DF61DA">
              <w:t xml:space="preserve"> E</w:t>
            </w:r>
            <w:r>
              <w:rPr>
                <w:vertAlign w:val="subscript"/>
              </w:rPr>
              <w:t>xx</w:t>
            </w:r>
          </w:p>
        </w:tc>
        <w:tc>
          <w:tcPr>
            <w:tcW w:w="1842" w:type="dxa"/>
            <w:shd w:val="clear" w:color="auto" w:fill="EEAEDD"/>
          </w:tcPr>
          <w:p w:rsidR="00454F5B" w:rsidRDefault="00454F5B" w:rsidP="001B09E0">
            <w:pPr>
              <w:pStyle w:val="Tabletext"/>
              <w:jc w:val="center"/>
            </w:pPr>
            <w:r>
              <w:t>Q1</w:t>
            </w:r>
          </w:p>
        </w:tc>
        <w:tc>
          <w:tcPr>
            <w:tcW w:w="1845" w:type="dxa"/>
            <w:shd w:val="clear" w:color="auto" w:fill="FABF8F"/>
          </w:tcPr>
          <w:p w:rsidR="00454F5B" w:rsidRPr="00DF61DA" w:rsidRDefault="00454F5B" w:rsidP="001B09E0">
            <w:pPr>
              <w:pStyle w:val="Tabletext"/>
              <w:jc w:val="center"/>
            </w:pPr>
            <w:r w:rsidRPr="00DF61DA">
              <w:t>Q2</w:t>
            </w:r>
          </w:p>
        </w:tc>
        <w:tc>
          <w:tcPr>
            <w:tcW w:w="1983" w:type="dxa"/>
            <w:shd w:val="clear" w:color="auto" w:fill="C2D69B"/>
          </w:tcPr>
          <w:p w:rsidR="00454F5B" w:rsidRPr="00DF61DA" w:rsidRDefault="00454F5B" w:rsidP="001B09E0">
            <w:pPr>
              <w:pStyle w:val="Tabletext"/>
              <w:jc w:val="center"/>
            </w:pPr>
            <w:r w:rsidRPr="00DF61DA">
              <w:t>Q3</w:t>
            </w:r>
          </w:p>
        </w:tc>
      </w:tr>
    </w:tbl>
    <w:p w:rsidR="002471DA" w:rsidRDefault="002471DA" w:rsidP="002471DA">
      <w:pPr>
        <w:pStyle w:val="Tablefin"/>
      </w:pPr>
    </w:p>
    <w:p w:rsidR="00454F5B" w:rsidRDefault="00454F5B" w:rsidP="002471DA">
      <w:pPr>
        <w:pStyle w:val="Heading3"/>
      </w:pPr>
      <w:r>
        <w:t>3.2</w:t>
      </w:r>
      <w:r>
        <w:tab/>
        <w:t xml:space="preserve">Channel </w:t>
      </w:r>
      <w:r w:rsidR="002471DA">
        <w:t>impulse response (</w:t>
      </w:r>
      <w:r w:rsidR="002471DA" w:rsidRPr="00DF61DA">
        <w:t>CIR</w:t>
      </w:r>
      <w:r>
        <w:t xml:space="preserve">) </w:t>
      </w:r>
      <w:r w:rsidRPr="00DF61DA">
        <w:t>considerations for SFN</w:t>
      </w:r>
    </w:p>
    <w:p w:rsidR="00454F5B" w:rsidRPr="001B09E0" w:rsidRDefault="00454F5B" w:rsidP="00454F5B">
      <w:pPr>
        <w:rPr>
          <w:lang w:val="en-US"/>
        </w:rPr>
      </w:pPr>
      <w:r w:rsidRPr="001B09E0">
        <w:rPr>
          <w:lang w:val="en-US"/>
        </w:rPr>
        <w:t xml:space="preserve">Thanks to the experience gained by the constant application of Recommendation ITU-R BT.1735 for the evaluation of large scale SFN quality coverage, it has been discovered that, in presence of particular combinations of SFN signals, field strength level and BER parameters, as used in MFN case, are not able to indicate border line conditions with a minimum margin with respect to the possibility of losing the service. Such situations are critical not only in relation to the fluctuations of the SFN signal received within the guard interval but also in consideration of possible signals that could be out of GI. </w:t>
      </w:r>
    </w:p>
    <w:p w:rsidR="00454F5B" w:rsidRPr="001B09E0" w:rsidRDefault="00454F5B" w:rsidP="002471DA">
      <w:pPr>
        <w:rPr>
          <w:lang w:val="en-US"/>
        </w:rPr>
      </w:pPr>
      <w:r w:rsidRPr="001B09E0">
        <w:rPr>
          <w:lang w:val="en-US"/>
        </w:rPr>
        <w:t>For this last case, windows position strategy could change in relation to field strength variability and consequently, for certain percentages of time, some SFN contributions could fall inside or outside reception window or GI. It could also happen that the field strength level of SFN contributions falling outside GI could increase for certain percentages of time and approach the protection level decreasing the possibility</w:t>
      </w:r>
      <w:r w:rsidR="002471DA">
        <w:rPr>
          <w:lang w:val="en-US"/>
        </w:rPr>
        <w:t xml:space="preserve"> of having a stable reception. </w:t>
      </w:r>
      <w:r w:rsidRPr="001B09E0">
        <w:rPr>
          <w:lang w:val="en-US"/>
        </w:rPr>
        <w:t xml:space="preserve">Another case could happen when one or more SFN contributions fall very close to GI edge and, depending on the measuring point, they could fall inside or outside GI itself, giving location variability on reception. It is important to note that the distance between these points could be sometimes very small. </w:t>
      </w:r>
    </w:p>
    <w:p w:rsidR="00454F5B" w:rsidRPr="001B09E0" w:rsidRDefault="00454F5B" w:rsidP="002471DA">
      <w:pPr>
        <w:rPr>
          <w:lang w:val="en-US"/>
        </w:rPr>
      </w:pPr>
      <w:r w:rsidRPr="001B09E0">
        <w:rPr>
          <w:lang w:val="en-US"/>
        </w:rPr>
        <w:t>It is also necessary to consider the reduction of noise margin level of the received signal due to the rise of noise generated by SFN signals when they are received with very low levels ratio (&lt; 7 dB) and their delays are close to maximum admitted value or very near to the main signal or synchronous to pilots repetition positions.</w:t>
      </w:r>
    </w:p>
    <w:p w:rsidR="00454F5B" w:rsidRPr="001B09E0" w:rsidRDefault="00454F5B" w:rsidP="002471DA">
      <w:pPr>
        <w:rPr>
          <w:lang w:val="en-US"/>
        </w:rPr>
      </w:pPr>
      <w:r w:rsidRPr="001B09E0">
        <w:rPr>
          <w:lang w:val="en-US"/>
        </w:rPr>
        <w:t>Based on the above considerations</w:t>
      </w:r>
      <w:r w:rsidR="002471DA">
        <w:rPr>
          <w:lang w:val="en-US"/>
        </w:rPr>
        <w:t>,</w:t>
      </w:r>
      <w:r w:rsidRPr="001B09E0">
        <w:rPr>
          <w:lang w:val="en-US"/>
        </w:rPr>
        <w:t xml:space="preserve"> a new quality reception assessment model is proposed for large scale SFN. It takes into account the following items: QEF, SFP, cBER and vBER relationship in Gaussian channel and lack of Viterbi correction ability. </w:t>
      </w:r>
    </w:p>
    <w:p w:rsidR="00454F5B" w:rsidRPr="001B09E0" w:rsidRDefault="00454F5B" w:rsidP="002471DA">
      <w:pPr>
        <w:rPr>
          <w:lang w:val="en-US"/>
        </w:rPr>
      </w:pPr>
      <w:r w:rsidRPr="001B09E0">
        <w:rPr>
          <w:lang w:val="en-US"/>
        </w:rPr>
        <w:t>For SFN fixed reception</w:t>
      </w:r>
      <w:r w:rsidR="002471DA">
        <w:rPr>
          <w:lang w:val="en-US"/>
        </w:rPr>
        <w:t>,</w:t>
      </w:r>
      <w:r w:rsidRPr="001B09E0">
        <w:rPr>
          <w:lang w:val="en-US"/>
        </w:rPr>
        <w:t xml:space="preserve"> if vBER &lt; 5 </w:t>
      </w:r>
      <w:r w:rsidR="002471DA">
        <w:rPr>
          <w:lang w:val="en-US"/>
        </w:rPr>
        <w:t>×</w:t>
      </w:r>
      <w:r w:rsidRPr="001B09E0">
        <w:rPr>
          <w:lang w:val="en-US"/>
        </w:rPr>
        <w:t xml:space="preserve"> 10</w:t>
      </w:r>
      <w:r w:rsidR="002471DA">
        <w:rPr>
          <w:vertAlign w:val="superscript"/>
          <w:lang w:val="en-US"/>
        </w:rPr>
        <w:t>–</w:t>
      </w:r>
      <w:r w:rsidRPr="001B09E0">
        <w:rPr>
          <w:vertAlign w:val="superscript"/>
          <w:lang w:val="en-US"/>
        </w:rPr>
        <w:t>11</w:t>
      </w:r>
      <w:r w:rsidR="002471DA">
        <w:rPr>
          <w:lang w:val="en-US"/>
        </w:rPr>
        <w:t xml:space="preserve">, </w:t>
      </w:r>
      <w:r w:rsidRPr="001B09E0">
        <w:rPr>
          <w:lang w:val="en-US"/>
        </w:rPr>
        <w:t>Table 1 should be used, otherwise Table 3 should be used.</w:t>
      </w:r>
    </w:p>
    <w:p w:rsidR="00E04150" w:rsidRDefault="00E0415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54F5B" w:rsidRPr="001B09E0" w:rsidRDefault="00454F5B" w:rsidP="00454F5B">
      <w:pPr>
        <w:pStyle w:val="TableNo"/>
        <w:rPr>
          <w:lang w:val="en-US"/>
        </w:rPr>
      </w:pPr>
      <w:r w:rsidRPr="001B09E0">
        <w:rPr>
          <w:lang w:val="en-US"/>
        </w:rPr>
        <w:lastRenderedPageBreak/>
        <w:t>TABLE 3</w:t>
      </w:r>
    </w:p>
    <w:p w:rsidR="00454F5B" w:rsidRPr="001B09E0" w:rsidRDefault="00454F5B" w:rsidP="00454F5B">
      <w:pPr>
        <w:pStyle w:val="Tabletitle"/>
        <w:rPr>
          <w:lang w:val="en-US"/>
        </w:rPr>
      </w:pPr>
      <w:r w:rsidRPr="001B09E0">
        <w:rPr>
          <w:lang w:val="en-US"/>
        </w:rPr>
        <w:t>DTTB SFN signal quality scale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384"/>
        <w:gridCol w:w="1691"/>
        <w:gridCol w:w="1764"/>
        <w:gridCol w:w="1797"/>
        <w:gridCol w:w="1741"/>
      </w:tblGrid>
      <w:tr w:rsidR="00454F5B" w:rsidRPr="00DF61DA" w:rsidTr="002471DA">
        <w:tc>
          <w:tcPr>
            <w:tcW w:w="1293" w:type="dxa"/>
            <w:shd w:val="clear" w:color="auto" w:fill="auto"/>
          </w:tcPr>
          <w:p w:rsidR="00454F5B" w:rsidRPr="00DF61DA" w:rsidRDefault="00454F5B" w:rsidP="001B09E0">
            <w:pPr>
              <w:pStyle w:val="Tablehead"/>
              <w:jc w:val="right"/>
            </w:pPr>
            <w:r>
              <w:rPr>
                <w:noProof/>
                <w:lang w:val="en-US" w:eastAsia="zh-CN"/>
              </w:rPr>
              <mc:AlternateContent>
                <mc:Choice Requires="wps">
                  <w:drawing>
                    <wp:anchor distT="0" distB="0" distL="114300" distR="114300" simplePos="0" relativeHeight="251657216" behindDoc="0" locked="0" layoutInCell="1" allowOverlap="1" wp14:anchorId="291ADBB2" wp14:editId="066B138F">
                      <wp:simplePos x="0" y="0"/>
                      <wp:positionH relativeFrom="column">
                        <wp:posOffset>-53340</wp:posOffset>
                      </wp:positionH>
                      <wp:positionV relativeFrom="paragraph">
                        <wp:posOffset>6350</wp:posOffset>
                      </wp:positionV>
                      <wp:extent cx="800100" cy="62865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6286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27FAEA"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pt" to="58.8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" strokecolor="windowText">
                      <o:lock v:ext="edit" shapetype="f"/>
                    </v:line>
                  </w:pict>
                </mc:Fallback>
              </mc:AlternateContent>
            </w:r>
            <w:r w:rsidRPr="00DF61DA">
              <w:t>BER</w:t>
            </w:r>
          </w:p>
          <w:p w:rsidR="00454F5B" w:rsidRPr="00DF61DA" w:rsidRDefault="00454F5B" w:rsidP="001B09E0">
            <w:pPr>
              <w:pStyle w:val="Tablehead"/>
              <w:spacing w:before="240" w:after="0"/>
              <w:jc w:val="left"/>
            </w:pPr>
            <w:r w:rsidRPr="00DF61DA">
              <w:t xml:space="preserve">Field </w:t>
            </w:r>
            <w:r w:rsidRPr="00DF61DA">
              <w:br/>
              <w:t>strength</w:t>
            </w:r>
          </w:p>
        </w:tc>
        <w:tc>
          <w:tcPr>
            <w:tcW w:w="1418" w:type="dxa"/>
            <w:shd w:val="clear" w:color="auto" w:fill="auto"/>
            <w:vAlign w:val="center"/>
          </w:tcPr>
          <w:p w:rsidR="00454F5B" w:rsidRPr="00DF61DA" w:rsidRDefault="00454F5B" w:rsidP="001B09E0">
            <w:pPr>
              <w:pStyle w:val="Tablehead"/>
            </w:pPr>
            <w:r>
              <w:t>v</w:t>
            </w:r>
            <w:r w:rsidRPr="00DF61DA">
              <w:t xml:space="preserve">BER </w:t>
            </w:r>
            <w:r>
              <w:t>&gt;</w:t>
            </w:r>
            <w:r w:rsidRPr="00DF61DA">
              <w:t xml:space="preserve"> </w:t>
            </w:r>
            <w:r>
              <w:t>SFP</w:t>
            </w:r>
          </w:p>
        </w:tc>
        <w:tc>
          <w:tcPr>
            <w:tcW w:w="1734" w:type="dxa"/>
            <w:shd w:val="clear" w:color="auto" w:fill="auto"/>
            <w:vAlign w:val="center"/>
          </w:tcPr>
          <w:p w:rsidR="00454F5B" w:rsidRPr="00DF61DA" w:rsidRDefault="00454F5B" w:rsidP="001B09E0">
            <w:pPr>
              <w:pStyle w:val="Tablehead"/>
            </w:pPr>
            <w:r>
              <w:t xml:space="preserve">QEF </w:t>
            </w:r>
            <w:r>
              <w:rPr>
                <w:rFonts w:ascii="Arial" w:hAnsi="Arial" w:cs="Arial"/>
              </w:rPr>
              <w:t>&lt;</w:t>
            </w:r>
            <w:r>
              <w:t xml:space="preserve"> v</w:t>
            </w:r>
            <w:r w:rsidRPr="00DF61DA">
              <w:t xml:space="preserve">BER </w:t>
            </w:r>
            <w:r>
              <w:rPr>
                <w:rFonts w:ascii="Arial" w:hAnsi="Arial" w:cs="Arial"/>
              </w:rPr>
              <w:t>≤</w:t>
            </w:r>
            <w:r w:rsidR="002471DA">
              <w:rPr>
                <w:rFonts w:ascii="Arial" w:hAnsi="Arial" w:cs="Arial"/>
              </w:rPr>
              <w:t> </w:t>
            </w:r>
            <w:r>
              <w:t>SFP</w:t>
            </w:r>
          </w:p>
        </w:tc>
        <w:tc>
          <w:tcPr>
            <w:tcW w:w="1809" w:type="dxa"/>
            <w:shd w:val="clear" w:color="auto" w:fill="auto"/>
            <w:vAlign w:val="center"/>
          </w:tcPr>
          <w:p w:rsidR="00454F5B" w:rsidRPr="001B09E0" w:rsidRDefault="00454F5B" w:rsidP="001B09E0">
            <w:pPr>
              <w:pStyle w:val="Tablehead"/>
              <w:rPr>
                <w:lang w:val="en-US"/>
              </w:rPr>
            </w:pPr>
            <w:r w:rsidRPr="001B09E0">
              <w:rPr>
                <w:lang w:val="en-US"/>
              </w:rPr>
              <w:t xml:space="preserve">vBER </w:t>
            </w:r>
            <w:r w:rsidRPr="001B09E0">
              <w:rPr>
                <w:rFonts w:ascii="Arial" w:hAnsi="Arial" w:cs="Arial"/>
                <w:lang w:val="en-US"/>
              </w:rPr>
              <w:t>≤</w:t>
            </w:r>
            <w:r w:rsidRPr="001B09E0">
              <w:rPr>
                <w:lang w:val="en-US"/>
              </w:rPr>
              <w:t xml:space="preserve"> QEF</w:t>
            </w:r>
          </w:p>
          <w:p w:rsidR="00454F5B" w:rsidRPr="001B09E0" w:rsidRDefault="00454F5B" w:rsidP="001B09E0">
            <w:pPr>
              <w:pStyle w:val="Tablehead"/>
              <w:rPr>
                <w:lang w:val="en-US"/>
              </w:rPr>
            </w:pPr>
            <w:r w:rsidRPr="001B09E0">
              <w:rPr>
                <w:lang w:val="en-US"/>
              </w:rPr>
              <w:t>and</w:t>
            </w:r>
          </w:p>
          <w:p w:rsidR="00454F5B" w:rsidRPr="001B09E0" w:rsidRDefault="00454F5B" w:rsidP="001B09E0">
            <w:pPr>
              <w:pStyle w:val="Tablehead"/>
              <w:rPr>
                <w:lang w:val="en-US"/>
              </w:rPr>
            </w:pPr>
            <w:r w:rsidRPr="001B09E0">
              <w:rPr>
                <w:lang w:val="en-US"/>
              </w:rPr>
              <w:t>vBER &gt; Q</w:t>
            </w:r>
            <w:r w:rsidRPr="001B09E0">
              <w:rPr>
                <w:vertAlign w:val="subscript"/>
                <w:lang w:val="en-US"/>
              </w:rPr>
              <w:t>4</w:t>
            </w:r>
            <w:r w:rsidRPr="001B09E0">
              <w:rPr>
                <w:lang w:val="en-US"/>
              </w:rPr>
              <w:t xml:space="preserve"> curve</w:t>
            </w:r>
          </w:p>
        </w:tc>
        <w:tc>
          <w:tcPr>
            <w:tcW w:w="1843" w:type="dxa"/>
            <w:shd w:val="clear" w:color="auto" w:fill="auto"/>
            <w:vAlign w:val="center"/>
          </w:tcPr>
          <w:p w:rsidR="00454F5B" w:rsidRPr="001B09E0" w:rsidRDefault="00454F5B" w:rsidP="001B09E0">
            <w:pPr>
              <w:pStyle w:val="Tablehead"/>
              <w:rPr>
                <w:lang w:val="en-US"/>
              </w:rPr>
            </w:pPr>
            <w:r w:rsidRPr="001B09E0">
              <w:rPr>
                <w:lang w:val="en-US"/>
              </w:rPr>
              <w:t xml:space="preserve">vBER </w:t>
            </w:r>
            <w:r w:rsidRPr="001B09E0">
              <w:rPr>
                <w:rFonts w:ascii="Arial" w:hAnsi="Arial" w:cs="Arial"/>
                <w:lang w:val="en-US"/>
              </w:rPr>
              <w:t>≤</w:t>
            </w:r>
            <w:r w:rsidRPr="001B09E0">
              <w:rPr>
                <w:lang w:val="en-US"/>
              </w:rPr>
              <w:t xml:space="preserve"> Q</w:t>
            </w:r>
            <w:r w:rsidRPr="001B09E0">
              <w:rPr>
                <w:vertAlign w:val="subscript"/>
                <w:lang w:val="en-US"/>
              </w:rPr>
              <w:t>4</w:t>
            </w:r>
            <w:r w:rsidRPr="001B09E0">
              <w:rPr>
                <w:lang w:val="en-US"/>
              </w:rPr>
              <w:t xml:space="preserve"> curve and</w:t>
            </w:r>
          </w:p>
          <w:p w:rsidR="00454F5B" w:rsidRPr="001B09E0" w:rsidRDefault="00454F5B" w:rsidP="001B09E0">
            <w:pPr>
              <w:pStyle w:val="Tablehead"/>
              <w:rPr>
                <w:lang w:val="en-US"/>
              </w:rPr>
            </w:pPr>
            <w:r w:rsidRPr="001B09E0">
              <w:rPr>
                <w:lang w:val="en-US"/>
              </w:rPr>
              <w:t>vBER &gt; Q</w:t>
            </w:r>
            <w:r w:rsidRPr="001B09E0">
              <w:rPr>
                <w:vertAlign w:val="subscript"/>
                <w:lang w:val="en-US"/>
              </w:rPr>
              <w:t>5</w:t>
            </w:r>
            <w:r w:rsidRPr="001B09E0">
              <w:rPr>
                <w:lang w:val="en-US"/>
              </w:rPr>
              <w:t xml:space="preserve"> curve</w:t>
            </w:r>
          </w:p>
        </w:tc>
        <w:tc>
          <w:tcPr>
            <w:tcW w:w="1786" w:type="dxa"/>
            <w:shd w:val="clear" w:color="auto" w:fill="auto"/>
            <w:vAlign w:val="center"/>
          </w:tcPr>
          <w:p w:rsidR="00454F5B" w:rsidRPr="00DF61DA" w:rsidRDefault="00454F5B" w:rsidP="001B09E0">
            <w:pPr>
              <w:pStyle w:val="Tablehead"/>
            </w:pPr>
            <w:r>
              <w:t xml:space="preserve">vBER </w:t>
            </w:r>
            <w:r>
              <w:rPr>
                <w:rFonts w:ascii="Arial" w:hAnsi="Arial" w:cs="Arial"/>
              </w:rPr>
              <w:t>≤</w:t>
            </w:r>
            <w:r>
              <w:t xml:space="preserve"> Q</w:t>
            </w:r>
            <w:r>
              <w:rPr>
                <w:vertAlign w:val="subscript"/>
              </w:rPr>
              <w:t>5</w:t>
            </w:r>
            <w:r>
              <w:t xml:space="preserve"> curve</w:t>
            </w:r>
          </w:p>
        </w:tc>
      </w:tr>
      <w:tr w:rsidR="00454F5B" w:rsidRPr="00DF61DA" w:rsidTr="002471DA">
        <w:trPr>
          <w:trHeight w:val="340"/>
        </w:trPr>
        <w:tc>
          <w:tcPr>
            <w:tcW w:w="1293" w:type="dxa"/>
            <w:shd w:val="clear" w:color="auto" w:fill="auto"/>
          </w:tcPr>
          <w:p w:rsidR="00454F5B" w:rsidRPr="00DF61DA" w:rsidRDefault="00454F5B" w:rsidP="001B09E0">
            <w:pPr>
              <w:pStyle w:val="Tabletext"/>
              <w:jc w:val="center"/>
            </w:pPr>
            <w:r w:rsidRPr="00DF61DA">
              <w:t>E &lt; E</w:t>
            </w:r>
            <w:r>
              <w:rPr>
                <w:vertAlign w:val="subscript"/>
              </w:rPr>
              <w:t>xx</w:t>
            </w:r>
          </w:p>
        </w:tc>
        <w:tc>
          <w:tcPr>
            <w:tcW w:w="1418" w:type="dxa"/>
            <w:shd w:val="clear" w:color="auto" w:fill="EEAEDD"/>
          </w:tcPr>
          <w:p w:rsidR="00454F5B" w:rsidRPr="00DF61DA" w:rsidRDefault="00454F5B" w:rsidP="001B09E0">
            <w:pPr>
              <w:pStyle w:val="Tabletext"/>
              <w:jc w:val="center"/>
            </w:pPr>
            <w:r w:rsidRPr="00DF61DA">
              <w:t>Q1</w:t>
            </w:r>
          </w:p>
        </w:tc>
        <w:tc>
          <w:tcPr>
            <w:tcW w:w="1734" w:type="dxa"/>
            <w:shd w:val="clear" w:color="auto" w:fill="FABF8F"/>
          </w:tcPr>
          <w:p w:rsidR="00454F5B" w:rsidRPr="00DF61DA" w:rsidRDefault="00454F5B" w:rsidP="001B09E0">
            <w:pPr>
              <w:pStyle w:val="Tabletext"/>
              <w:jc w:val="center"/>
            </w:pPr>
            <w:r w:rsidRPr="00DF61DA">
              <w:t>Q2</w:t>
            </w:r>
          </w:p>
        </w:tc>
        <w:tc>
          <w:tcPr>
            <w:tcW w:w="1809" w:type="dxa"/>
            <w:shd w:val="clear" w:color="auto" w:fill="FABF8F"/>
          </w:tcPr>
          <w:p w:rsidR="00454F5B" w:rsidRPr="00DF61DA" w:rsidRDefault="00454F5B" w:rsidP="001B09E0">
            <w:pPr>
              <w:pStyle w:val="Tabletext"/>
              <w:jc w:val="center"/>
            </w:pPr>
            <w:r w:rsidRPr="00DF61DA">
              <w:t>Q2</w:t>
            </w:r>
          </w:p>
        </w:tc>
        <w:tc>
          <w:tcPr>
            <w:tcW w:w="1843" w:type="dxa"/>
            <w:shd w:val="clear" w:color="auto" w:fill="FABF8F"/>
          </w:tcPr>
          <w:p w:rsidR="00454F5B" w:rsidRPr="00DF61DA" w:rsidRDefault="00454F5B" w:rsidP="001B09E0">
            <w:pPr>
              <w:pStyle w:val="Tabletext"/>
              <w:jc w:val="center"/>
            </w:pPr>
            <w:r w:rsidRPr="00DF61DA">
              <w:t>Q2</w:t>
            </w:r>
          </w:p>
        </w:tc>
        <w:tc>
          <w:tcPr>
            <w:tcW w:w="1786" w:type="dxa"/>
            <w:shd w:val="clear" w:color="auto" w:fill="FABF8F"/>
          </w:tcPr>
          <w:p w:rsidR="00454F5B" w:rsidRPr="00DF61DA" w:rsidRDefault="00454F5B" w:rsidP="001B09E0">
            <w:pPr>
              <w:pStyle w:val="Tabletext"/>
              <w:jc w:val="center"/>
            </w:pPr>
            <w:r w:rsidRPr="00DF61DA">
              <w:t>Q2</w:t>
            </w:r>
          </w:p>
        </w:tc>
      </w:tr>
      <w:tr w:rsidR="00454F5B" w:rsidRPr="00DF61DA" w:rsidTr="002471DA">
        <w:trPr>
          <w:trHeight w:val="340"/>
        </w:trPr>
        <w:tc>
          <w:tcPr>
            <w:tcW w:w="1293" w:type="dxa"/>
            <w:shd w:val="clear" w:color="auto" w:fill="auto"/>
          </w:tcPr>
          <w:p w:rsidR="00454F5B" w:rsidRPr="00DF61DA" w:rsidRDefault="00454F5B" w:rsidP="001B09E0">
            <w:pPr>
              <w:pStyle w:val="Tabletext"/>
              <w:jc w:val="center"/>
            </w:pPr>
            <w:r>
              <w:t xml:space="preserve">E </w:t>
            </w:r>
            <w:r w:rsidRPr="00DF61DA">
              <w:sym w:font="Symbol" w:char="F0B3"/>
            </w:r>
            <w:r w:rsidRPr="00DF61DA">
              <w:t xml:space="preserve"> E</w:t>
            </w:r>
            <w:r>
              <w:rPr>
                <w:vertAlign w:val="subscript"/>
              </w:rPr>
              <w:t>xx</w:t>
            </w:r>
          </w:p>
        </w:tc>
        <w:tc>
          <w:tcPr>
            <w:tcW w:w="1418" w:type="dxa"/>
            <w:shd w:val="clear" w:color="auto" w:fill="EEAEDD"/>
          </w:tcPr>
          <w:p w:rsidR="00454F5B" w:rsidRPr="00DF61DA" w:rsidRDefault="00454F5B" w:rsidP="001B09E0">
            <w:pPr>
              <w:pStyle w:val="Tabletext"/>
              <w:jc w:val="center"/>
            </w:pPr>
            <w:r>
              <w:t>Q1</w:t>
            </w:r>
          </w:p>
        </w:tc>
        <w:tc>
          <w:tcPr>
            <w:tcW w:w="1734" w:type="dxa"/>
            <w:shd w:val="clear" w:color="auto" w:fill="FABF8F"/>
          </w:tcPr>
          <w:p w:rsidR="00454F5B" w:rsidRPr="00DF61DA" w:rsidRDefault="00454F5B" w:rsidP="001B09E0">
            <w:pPr>
              <w:pStyle w:val="Tabletext"/>
              <w:jc w:val="center"/>
            </w:pPr>
            <w:r>
              <w:t>Q2</w:t>
            </w:r>
          </w:p>
        </w:tc>
        <w:tc>
          <w:tcPr>
            <w:tcW w:w="1809" w:type="dxa"/>
            <w:shd w:val="clear" w:color="auto" w:fill="C2D69B"/>
          </w:tcPr>
          <w:p w:rsidR="00454F5B" w:rsidRPr="00DF61DA" w:rsidRDefault="00454F5B" w:rsidP="001B09E0">
            <w:pPr>
              <w:pStyle w:val="Tabletext"/>
              <w:jc w:val="center"/>
            </w:pPr>
            <w:r>
              <w:t>Q3</w:t>
            </w:r>
          </w:p>
        </w:tc>
        <w:tc>
          <w:tcPr>
            <w:tcW w:w="1843" w:type="dxa"/>
            <w:shd w:val="clear" w:color="auto" w:fill="92D050"/>
          </w:tcPr>
          <w:p w:rsidR="00454F5B" w:rsidRPr="00DF61DA" w:rsidRDefault="00454F5B" w:rsidP="001B09E0">
            <w:pPr>
              <w:pStyle w:val="Tabletext"/>
              <w:jc w:val="center"/>
            </w:pPr>
            <w:r w:rsidRPr="001B09E0">
              <w:rPr>
                <w:sz w:val="20"/>
              </w:rPr>
              <w:t>Q4</w:t>
            </w:r>
          </w:p>
        </w:tc>
        <w:tc>
          <w:tcPr>
            <w:tcW w:w="1786" w:type="dxa"/>
            <w:shd w:val="clear" w:color="auto" w:fill="00B050"/>
          </w:tcPr>
          <w:p w:rsidR="00454F5B" w:rsidRPr="00DF61DA" w:rsidRDefault="00454F5B" w:rsidP="001B09E0">
            <w:pPr>
              <w:pStyle w:val="Tabletext"/>
              <w:jc w:val="center"/>
            </w:pPr>
            <w:r w:rsidRPr="001B09E0">
              <w:rPr>
                <w:sz w:val="20"/>
              </w:rPr>
              <w:t>Q5</w:t>
            </w:r>
          </w:p>
        </w:tc>
      </w:tr>
    </w:tbl>
    <w:p w:rsidR="00454F5B" w:rsidRDefault="00454F5B" w:rsidP="002471DA">
      <w:pPr>
        <w:pStyle w:val="Tablefin"/>
      </w:pPr>
    </w:p>
    <w:p w:rsidR="00454F5B" w:rsidRPr="001B09E0" w:rsidRDefault="00454F5B" w:rsidP="002471DA">
      <w:pPr>
        <w:rPr>
          <w:lang w:val="en-US"/>
        </w:rPr>
      </w:pPr>
      <w:r w:rsidRPr="001B09E0">
        <w:rPr>
          <w:lang w:val="en-US"/>
        </w:rPr>
        <w:t xml:space="preserve">For those Administrations or Sector Members which prefer to use a simplified system for </w:t>
      </w:r>
      <w:r w:rsidR="002471DA" w:rsidRPr="001B09E0">
        <w:rPr>
          <w:lang w:val="en-US"/>
        </w:rPr>
        <w:t>signal quality scale</w:t>
      </w:r>
      <w:r w:rsidR="002471DA">
        <w:rPr>
          <w:lang w:val="en-US"/>
        </w:rPr>
        <w:t>,</w:t>
      </w:r>
      <w:r w:rsidRPr="001B09E0">
        <w:rPr>
          <w:lang w:val="en-US"/>
        </w:rPr>
        <w:t xml:space="preserve"> the grades Q5, Q4 and Q3 could be collapsed into one figure as reported in Table 2. </w:t>
      </w:r>
    </w:p>
    <w:p w:rsidR="00454F5B" w:rsidRPr="002471DA" w:rsidRDefault="00454F5B" w:rsidP="00454F5B">
      <w:pPr>
        <w:pStyle w:val="Heading1"/>
        <w:rPr>
          <w:lang w:val="en-US"/>
        </w:rPr>
      </w:pPr>
      <w:r w:rsidRPr="002471DA">
        <w:rPr>
          <w:lang w:val="en-US"/>
        </w:rPr>
        <w:t>4</w:t>
      </w:r>
      <w:r w:rsidRPr="002471DA">
        <w:rPr>
          <w:lang w:val="en-US"/>
        </w:rPr>
        <w:tab/>
        <w:t>Acronyms, fixed values and tables scale interpretation</w:t>
      </w:r>
    </w:p>
    <w:p w:rsidR="002471DA" w:rsidRPr="001B09E0" w:rsidRDefault="002471DA" w:rsidP="002471DA">
      <w:pPr>
        <w:pStyle w:val="Headingb"/>
        <w:rPr>
          <w:lang w:val="en-US"/>
        </w:rPr>
      </w:pPr>
      <w:r>
        <w:rPr>
          <w:lang w:val="en-US"/>
        </w:rPr>
        <w:t>Acronyms</w:t>
      </w:r>
    </w:p>
    <w:p w:rsidR="002471DA" w:rsidRPr="001B09E0" w:rsidRDefault="002471DA" w:rsidP="002471DA">
      <w:pPr>
        <w:tabs>
          <w:tab w:val="clear" w:pos="1191"/>
          <w:tab w:val="clear" w:pos="1985"/>
        </w:tabs>
        <w:rPr>
          <w:lang w:val="en-US"/>
        </w:rPr>
      </w:pPr>
      <w:r w:rsidRPr="001B09E0">
        <w:rPr>
          <w:lang w:val="en-US"/>
        </w:rPr>
        <w:t xml:space="preserve">cBER: </w:t>
      </w:r>
      <w:r w:rsidRPr="001B09E0">
        <w:rPr>
          <w:lang w:val="en-US"/>
        </w:rPr>
        <w:tab/>
      </w:r>
      <w:r w:rsidRPr="001B09E0">
        <w:rPr>
          <w:lang w:val="en-US"/>
        </w:rPr>
        <w:tab/>
        <w:t>Channel BER or BER before Viterbi</w:t>
      </w:r>
    </w:p>
    <w:p w:rsidR="002471DA" w:rsidRPr="001B09E0" w:rsidRDefault="002471DA" w:rsidP="002471DA">
      <w:pPr>
        <w:tabs>
          <w:tab w:val="clear" w:pos="1191"/>
          <w:tab w:val="clear" w:pos="1985"/>
        </w:tabs>
        <w:rPr>
          <w:lang w:val="de-DE"/>
        </w:rPr>
      </w:pPr>
      <w:r w:rsidRPr="001B09E0">
        <w:rPr>
          <w:lang w:val="de-DE"/>
        </w:rPr>
        <w:t xml:space="preserve">vBER: </w:t>
      </w:r>
      <w:r>
        <w:rPr>
          <w:lang w:val="de-DE"/>
        </w:rPr>
        <w:tab/>
      </w:r>
      <w:r>
        <w:rPr>
          <w:lang w:val="de-DE"/>
        </w:rPr>
        <w:tab/>
      </w:r>
      <w:r w:rsidRPr="001B09E0">
        <w:rPr>
          <w:lang w:val="de-DE"/>
        </w:rPr>
        <w:t xml:space="preserve">BER after Viterbi </w:t>
      </w:r>
    </w:p>
    <w:p w:rsidR="002471DA" w:rsidRPr="001B09E0" w:rsidRDefault="002471DA" w:rsidP="002471DA">
      <w:pPr>
        <w:tabs>
          <w:tab w:val="clear" w:pos="1191"/>
          <w:tab w:val="clear" w:pos="1985"/>
        </w:tabs>
        <w:rPr>
          <w:i/>
          <w:iCs/>
          <w:lang w:val="de-DE"/>
        </w:rPr>
      </w:pPr>
      <w:r w:rsidRPr="001B09E0">
        <w:rPr>
          <w:lang w:val="de-DE"/>
        </w:rPr>
        <w:t xml:space="preserve">cBER ratio = </w:t>
      </w:r>
      <w:r>
        <w:rPr>
          <w:lang w:val="de-DE"/>
        </w:rPr>
        <w:tab/>
      </w:r>
      <w:r w:rsidRPr="001B09E0">
        <w:rPr>
          <w:i/>
          <w:iCs/>
          <w:lang w:val="de-DE"/>
        </w:rPr>
        <w:t>cBER</w:t>
      </w:r>
      <w:r w:rsidRPr="001B09E0">
        <w:rPr>
          <w:i/>
          <w:iCs/>
          <w:vertAlign w:val="subscript"/>
          <w:lang w:val="de-DE"/>
        </w:rPr>
        <w:t>min</w:t>
      </w:r>
      <w:r w:rsidRPr="001B09E0">
        <w:rPr>
          <w:lang w:val="de-DE"/>
        </w:rPr>
        <w:t>/</w:t>
      </w:r>
      <w:r w:rsidRPr="001B09E0">
        <w:rPr>
          <w:i/>
          <w:iCs/>
          <w:lang w:val="de-DE"/>
        </w:rPr>
        <w:t>cBER</w:t>
      </w:r>
    </w:p>
    <w:p w:rsidR="002471DA" w:rsidRPr="001B09E0" w:rsidRDefault="002471DA" w:rsidP="002471DA">
      <w:pPr>
        <w:tabs>
          <w:tab w:val="clear" w:pos="1191"/>
          <w:tab w:val="clear" w:pos="1985"/>
        </w:tabs>
        <w:rPr>
          <w:iCs/>
          <w:lang w:val="en-US"/>
        </w:rPr>
      </w:pPr>
      <w:r w:rsidRPr="001B09E0">
        <w:rPr>
          <w:iCs/>
          <w:lang w:val="en-US"/>
        </w:rPr>
        <w:t xml:space="preserve">QEF: </w:t>
      </w:r>
      <w:r w:rsidRPr="001B09E0">
        <w:rPr>
          <w:iCs/>
          <w:lang w:val="en-US"/>
        </w:rPr>
        <w:tab/>
      </w:r>
      <w:r w:rsidRPr="001B09E0">
        <w:rPr>
          <w:iCs/>
          <w:lang w:val="en-US"/>
        </w:rPr>
        <w:tab/>
        <w:t>Quasi error free</w:t>
      </w:r>
    </w:p>
    <w:p w:rsidR="002471DA" w:rsidRPr="001B09E0" w:rsidRDefault="002471DA" w:rsidP="002471DA">
      <w:pPr>
        <w:tabs>
          <w:tab w:val="clear" w:pos="1191"/>
          <w:tab w:val="clear" w:pos="1985"/>
        </w:tabs>
        <w:rPr>
          <w:iCs/>
          <w:lang w:val="en-US"/>
        </w:rPr>
      </w:pPr>
      <w:r w:rsidRPr="001B09E0">
        <w:rPr>
          <w:iCs/>
          <w:lang w:val="en-US"/>
        </w:rPr>
        <w:t xml:space="preserve">SFP: </w:t>
      </w:r>
      <w:r>
        <w:rPr>
          <w:iCs/>
          <w:lang w:val="en-US"/>
        </w:rPr>
        <w:tab/>
      </w:r>
      <w:r>
        <w:rPr>
          <w:iCs/>
          <w:lang w:val="en-US"/>
        </w:rPr>
        <w:tab/>
      </w:r>
      <w:r w:rsidRPr="001B09E0">
        <w:rPr>
          <w:iCs/>
          <w:lang w:val="en-US"/>
        </w:rPr>
        <w:t>Subjective failure point</w:t>
      </w:r>
    </w:p>
    <w:p w:rsidR="002471DA" w:rsidRPr="004D5A56" w:rsidRDefault="002471DA" w:rsidP="00A04939">
      <w:pPr>
        <w:tabs>
          <w:tab w:val="clear" w:pos="1191"/>
          <w:tab w:val="clear" w:pos="1985"/>
        </w:tabs>
        <w:ind w:left="1588" w:hanging="1588"/>
        <w:rPr>
          <w:lang w:val="en-US"/>
        </w:rPr>
      </w:pPr>
      <w:r w:rsidRPr="001B09E0">
        <w:rPr>
          <w:iCs/>
          <w:lang w:val="en-US"/>
        </w:rPr>
        <w:t>E</w:t>
      </w:r>
      <w:r w:rsidRPr="002471DA">
        <w:rPr>
          <w:rStyle w:val="FootnoteReference"/>
          <w:iCs/>
          <w:szCs w:val="18"/>
        </w:rPr>
        <w:footnoteReference w:id="5"/>
      </w:r>
      <w:r w:rsidRPr="001B09E0">
        <w:rPr>
          <w:iCs/>
          <w:vertAlign w:val="subscript"/>
          <w:lang w:val="en-US"/>
        </w:rPr>
        <w:t>xx</w:t>
      </w:r>
      <w:r w:rsidRPr="001B09E0">
        <w:rPr>
          <w:iCs/>
          <w:lang w:val="en-US"/>
        </w:rPr>
        <w:t xml:space="preserve">: </w:t>
      </w:r>
      <w:r w:rsidRPr="001B09E0">
        <w:rPr>
          <w:iCs/>
          <w:lang w:val="en-US"/>
        </w:rPr>
        <w:tab/>
      </w:r>
      <w:r w:rsidRPr="001B09E0">
        <w:rPr>
          <w:iCs/>
          <w:lang w:val="en-US"/>
        </w:rPr>
        <w:tab/>
      </w:r>
      <w:r>
        <w:rPr>
          <w:lang w:val="en-US"/>
        </w:rPr>
        <w:t>M</w:t>
      </w:r>
      <w:r w:rsidRPr="001B09E0">
        <w:rPr>
          <w:lang w:val="en-US"/>
        </w:rPr>
        <w:t>inimum median field strength needed for location probability of xx%. It has not to be confused with the equivalent minimum field strength at the receiving place above which protection against interference has to be granted (see Rec</w:t>
      </w:r>
      <w:r w:rsidR="00A04939">
        <w:rPr>
          <w:lang w:val="en-US"/>
        </w:rPr>
        <w:t>ommendation</w:t>
      </w:r>
      <w:r w:rsidRPr="001B09E0">
        <w:rPr>
          <w:lang w:val="en-US"/>
        </w:rPr>
        <w:t xml:space="preserve"> </w:t>
      </w:r>
      <w:r w:rsidRPr="004D5A56">
        <w:rPr>
          <w:lang w:val="en-US"/>
        </w:rPr>
        <w:t>ITU</w:t>
      </w:r>
      <w:r w:rsidR="004F6BDC">
        <w:rPr>
          <w:lang w:val="en-US"/>
        </w:rPr>
        <w:noBreakHyphen/>
      </w:r>
      <w:r w:rsidRPr="004D5A56">
        <w:rPr>
          <w:lang w:val="en-US"/>
        </w:rPr>
        <w:t>R</w:t>
      </w:r>
      <w:r w:rsidR="004F6BDC">
        <w:rPr>
          <w:lang w:val="en-US"/>
        </w:rPr>
        <w:t> </w:t>
      </w:r>
      <w:r w:rsidRPr="004D5A56">
        <w:rPr>
          <w:lang w:val="en-US"/>
        </w:rPr>
        <w:t>BT.1368 for minimum field strength calculation).</w:t>
      </w:r>
    </w:p>
    <w:p w:rsidR="00454F5B" w:rsidRPr="001B09E0" w:rsidRDefault="002471DA" w:rsidP="002471DA">
      <w:pPr>
        <w:rPr>
          <w:lang w:val="en-US"/>
        </w:rPr>
      </w:pPr>
      <w:r>
        <w:rPr>
          <w:lang w:val="en-US"/>
        </w:rPr>
        <w:t>RRC-06 or GE</w:t>
      </w:r>
      <w:r w:rsidR="00454F5B" w:rsidRPr="001B09E0">
        <w:rPr>
          <w:lang w:val="en-US"/>
        </w:rPr>
        <w:t xml:space="preserve">06 and Recommendation ITU-R BT.1368 adopted for (xx) a value of 95%. The </w:t>
      </w:r>
      <w:r w:rsidR="00454F5B" w:rsidRPr="001B09E0">
        <w:rPr>
          <w:bCs/>
          <w:lang w:val="en-US"/>
        </w:rPr>
        <w:t>E</w:t>
      </w:r>
      <w:r w:rsidR="00454F5B" w:rsidRPr="001B09E0">
        <w:rPr>
          <w:bCs/>
          <w:vertAlign w:val="subscript"/>
          <w:lang w:val="en-US"/>
        </w:rPr>
        <w:t>xx</w:t>
      </w:r>
      <w:r w:rsidR="00454F5B" w:rsidRPr="001B09E0">
        <w:rPr>
          <w:vertAlign w:val="subscript"/>
          <w:lang w:val="en-US"/>
        </w:rPr>
        <w:t xml:space="preserve"> </w:t>
      </w:r>
      <w:r w:rsidR="00454F5B" w:rsidRPr="001B09E0">
        <w:rPr>
          <w:lang w:val="en-US"/>
        </w:rPr>
        <w:t>value depends on the adopted configuration.</w:t>
      </w:r>
    </w:p>
    <w:p w:rsidR="00454F5B" w:rsidRPr="001B09E0" w:rsidRDefault="00454F5B" w:rsidP="00454F5B">
      <w:pPr>
        <w:rPr>
          <w:lang w:val="en-US"/>
        </w:rPr>
      </w:pPr>
      <w:r w:rsidRPr="001B09E0">
        <w:rPr>
          <w:lang w:val="en-US"/>
        </w:rPr>
        <w:t xml:space="preserve">cBER ratio is a parameter introduced to give an indication of the performance of the channel in terms of the measured </w:t>
      </w:r>
      <w:r w:rsidRPr="001B09E0">
        <w:rPr>
          <w:i/>
          <w:lang w:val="en-US"/>
        </w:rPr>
        <w:t>cBER</w:t>
      </w:r>
      <w:r w:rsidRPr="001B09E0">
        <w:rPr>
          <w:lang w:val="en-US"/>
        </w:rPr>
        <w:t xml:space="preserve">, relative to </w:t>
      </w:r>
      <w:r w:rsidRPr="001B09E0">
        <w:rPr>
          <w:i/>
          <w:lang w:val="en-US"/>
        </w:rPr>
        <w:t>cBER</w:t>
      </w:r>
      <w:r w:rsidRPr="001B09E0">
        <w:rPr>
          <w:i/>
          <w:vertAlign w:val="subscript"/>
          <w:lang w:val="en-US"/>
        </w:rPr>
        <w:t>min</w:t>
      </w:r>
      <w:r w:rsidRPr="001B09E0">
        <w:rPr>
          <w:lang w:val="en-US"/>
        </w:rPr>
        <w:t xml:space="preserve">. </w:t>
      </w:r>
      <w:r w:rsidRPr="001B09E0">
        <w:rPr>
          <w:i/>
          <w:lang w:val="en-US"/>
        </w:rPr>
        <w:t>cBER</w:t>
      </w:r>
      <w:r w:rsidRPr="001B09E0">
        <w:rPr>
          <w:i/>
          <w:vertAlign w:val="subscript"/>
          <w:lang w:val="en-US"/>
        </w:rPr>
        <w:t>min</w:t>
      </w:r>
      <w:r w:rsidRPr="001B09E0">
        <w:rPr>
          <w:lang w:val="en-US"/>
        </w:rPr>
        <w:t xml:space="preserve"> is the value presented when vBER is equal to QEF and it depends on the adopted code rate. </w:t>
      </w:r>
    </w:p>
    <w:p w:rsidR="00454F5B" w:rsidRPr="001B09E0" w:rsidRDefault="00454F5B" w:rsidP="00454F5B">
      <w:pPr>
        <w:rPr>
          <w:lang w:val="en-US"/>
        </w:rPr>
      </w:pPr>
      <w:r w:rsidRPr="001B09E0">
        <w:rPr>
          <w:i/>
          <w:lang w:val="en-US"/>
        </w:rPr>
        <w:t>cBER</w:t>
      </w:r>
      <w:r w:rsidRPr="001B09E0">
        <w:rPr>
          <w:i/>
          <w:vertAlign w:val="subscript"/>
          <w:lang w:val="en-US"/>
        </w:rPr>
        <w:t>min</w:t>
      </w:r>
      <w:r w:rsidRPr="001B09E0">
        <w:rPr>
          <w:lang w:val="en-US"/>
        </w:rPr>
        <w:t xml:space="preserve"> values for the most used configurations are listed below in Table 4. It should be noted that these values do not</w:t>
      </w:r>
      <w:r w:rsidRPr="001B09E0" w:rsidDel="004A2F60">
        <w:rPr>
          <w:lang w:val="en-US"/>
        </w:rPr>
        <w:t xml:space="preserve"> </w:t>
      </w:r>
      <w:r w:rsidRPr="001B09E0">
        <w:rPr>
          <w:lang w:val="en-US"/>
        </w:rPr>
        <w:t xml:space="preserve">change with frequency and modulation scheme. </w:t>
      </w:r>
    </w:p>
    <w:p w:rsidR="00454F5B" w:rsidRPr="00454F5B" w:rsidRDefault="00454F5B" w:rsidP="00454F5B">
      <w:pPr>
        <w:pStyle w:val="TableNo"/>
        <w:rPr>
          <w:lang w:val="en-US"/>
        </w:rPr>
      </w:pPr>
      <w:r w:rsidRPr="00454F5B">
        <w:rPr>
          <w:lang w:val="en-US"/>
        </w:rPr>
        <w:t>TABLE 4</w:t>
      </w:r>
    </w:p>
    <w:p w:rsidR="00454F5B" w:rsidRPr="001B09E0" w:rsidRDefault="00454F5B" w:rsidP="00454F5B">
      <w:pPr>
        <w:pStyle w:val="Tabletitle"/>
        <w:rPr>
          <w:lang w:val="en-US"/>
        </w:rPr>
      </w:pPr>
      <w:r w:rsidRPr="001B09E0">
        <w:rPr>
          <w:lang w:val="en-US"/>
        </w:rPr>
        <w:t xml:space="preserve">Values of </w:t>
      </w:r>
      <w:r w:rsidRPr="001B09E0">
        <w:rPr>
          <w:i/>
          <w:iCs/>
          <w:lang w:val="en-US"/>
        </w:rPr>
        <w:t>cBER</w:t>
      </w:r>
      <w:r w:rsidRPr="001B09E0">
        <w:rPr>
          <w:i/>
          <w:iCs/>
          <w:vertAlign w:val="subscript"/>
          <w:lang w:val="en-US"/>
        </w:rPr>
        <w:t>min</w:t>
      </w:r>
      <w:r w:rsidRPr="001B09E0">
        <w:rPr>
          <w:vertAlign w:val="subscript"/>
          <w:lang w:val="en-US"/>
        </w:rPr>
        <w:t xml:space="preserve"> </w:t>
      </w:r>
      <w:r w:rsidRPr="001B09E0">
        <w:rPr>
          <w:lang w:val="en-US"/>
        </w:rPr>
        <w:t>for different code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454F5B" w:rsidRPr="00DF61DA" w:rsidTr="002471DA">
        <w:trPr>
          <w:trHeight w:val="20"/>
          <w:jc w:val="center"/>
        </w:trPr>
        <w:tc>
          <w:tcPr>
            <w:tcW w:w="2346" w:type="dxa"/>
            <w:vAlign w:val="center"/>
          </w:tcPr>
          <w:p w:rsidR="00454F5B" w:rsidRPr="00DF61DA" w:rsidRDefault="00454F5B" w:rsidP="001B09E0">
            <w:pPr>
              <w:pStyle w:val="Tablehead"/>
              <w:spacing w:before="40" w:after="40"/>
            </w:pPr>
            <w:r w:rsidRPr="00DF61DA">
              <w:t>Code rate</w:t>
            </w:r>
          </w:p>
        </w:tc>
        <w:tc>
          <w:tcPr>
            <w:tcW w:w="2340" w:type="dxa"/>
            <w:vAlign w:val="center"/>
          </w:tcPr>
          <w:p w:rsidR="00454F5B" w:rsidRPr="00DF61DA" w:rsidRDefault="00454F5B" w:rsidP="001B09E0">
            <w:pPr>
              <w:pStyle w:val="Tablehead"/>
              <w:spacing w:before="40" w:after="40"/>
              <w:rPr>
                <w:i/>
                <w:iCs/>
              </w:rPr>
            </w:pPr>
            <w:r>
              <w:rPr>
                <w:i/>
                <w:iCs/>
              </w:rPr>
              <w:t>c</w:t>
            </w:r>
            <w:r w:rsidRPr="00DF61DA">
              <w:rPr>
                <w:i/>
                <w:iCs/>
              </w:rPr>
              <w:t>BER</w:t>
            </w:r>
            <w:r w:rsidRPr="00DF61DA">
              <w:rPr>
                <w:i/>
                <w:iCs/>
                <w:vertAlign w:val="subscript"/>
              </w:rPr>
              <w:t>min</w:t>
            </w:r>
          </w:p>
        </w:tc>
      </w:tr>
      <w:tr w:rsidR="00454F5B" w:rsidRPr="00DF61DA" w:rsidTr="002471DA">
        <w:trPr>
          <w:trHeight w:val="20"/>
          <w:jc w:val="center"/>
        </w:trPr>
        <w:tc>
          <w:tcPr>
            <w:tcW w:w="2346" w:type="dxa"/>
            <w:vAlign w:val="center"/>
          </w:tcPr>
          <w:p w:rsidR="00454F5B" w:rsidRPr="00DF61DA" w:rsidRDefault="00454F5B" w:rsidP="001B09E0">
            <w:pPr>
              <w:pStyle w:val="Tabletext"/>
              <w:jc w:val="center"/>
            </w:pPr>
            <w:r w:rsidRPr="00DF61DA">
              <w:t>2/3</w:t>
            </w:r>
          </w:p>
        </w:tc>
        <w:tc>
          <w:tcPr>
            <w:tcW w:w="2340" w:type="dxa"/>
            <w:vAlign w:val="center"/>
          </w:tcPr>
          <w:p w:rsidR="00454F5B" w:rsidRPr="00DF61DA" w:rsidRDefault="00454F5B" w:rsidP="001B09E0">
            <w:pPr>
              <w:pStyle w:val="Tabletext"/>
              <w:jc w:val="center"/>
              <w:rPr>
                <w:vertAlign w:val="superscript"/>
              </w:rPr>
            </w:pPr>
            <w:r w:rsidRPr="00DF61DA">
              <w:t xml:space="preserve">4 </w:t>
            </w:r>
            <w:r w:rsidRPr="00DF61DA">
              <w:sym w:font="Symbol" w:char="F0B4"/>
            </w:r>
            <w:r w:rsidRPr="00DF61DA">
              <w:t xml:space="preserve"> 10</w:t>
            </w:r>
            <w:r w:rsidRPr="00DF61DA">
              <w:rPr>
                <w:vertAlign w:val="superscript"/>
              </w:rPr>
              <w:t>−2</w:t>
            </w:r>
          </w:p>
        </w:tc>
      </w:tr>
      <w:tr w:rsidR="00454F5B" w:rsidRPr="00DF61DA" w:rsidTr="002471DA">
        <w:trPr>
          <w:trHeight w:val="20"/>
          <w:jc w:val="center"/>
        </w:trPr>
        <w:tc>
          <w:tcPr>
            <w:tcW w:w="2346" w:type="dxa"/>
            <w:vAlign w:val="center"/>
          </w:tcPr>
          <w:p w:rsidR="00454F5B" w:rsidRPr="00DF61DA" w:rsidRDefault="00454F5B" w:rsidP="001B09E0">
            <w:pPr>
              <w:pStyle w:val="Tabletext"/>
              <w:jc w:val="center"/>
            </w:pPr>
            <w:r w:rsidRPr="00DF61DA">
              <w:t>3/4</w:t>
            </w:r>
          </w:p>
        </w:tc>
        <w:tc>
          <w:tcPr>
            <w:tcW w:w="2340" w:type="dxa"/>
            <w:vAlign w:val="center"/>
          </w:tcPr>
          <w:p w:rsidR="00454F5B" w:rsidRPr="00DF61DA" w:rsidRDefault="00454F5B" w:rsidP="001B09E0">
            <w:pPr>
              <w:pStyle w:val="Tabletext"/>
              <w:jc w:val="center"/>
            </w:pPr>
            <w:r w:rsidRPr="00DF61DA">
              <w:t xml:space="preserve">2 </w:t>
            </w:r>
            <w:r w:rsidRPr="00DF61DA">
              <w:sym w:font="Symbol" w:char="F0B4"/>
            </w:r>
            <w:r w:rsidRPr="00DF61DA">
              <w:t xml:space="preserve"> 10</w:t>
            </w:r>
            <w:r w:rsidRPr="00DF61DA">
              <w:rPr>
                <w:vertAlign w:val="superscript"/>
              </w:rPr>
              <w:t>–2</w:t>
            </w:r>
          </w:p>
        </w:tc>
      </w:tr>
    </w:tbl>
    <w:p w:rsidR="00454F5B" w:rsidRDefault="00454F5B" w:rsidP="002471DA">
      <w:pPr>
        <w:pStyle w:val="Tablefin"/>
      </w:pPr>
    </w:p>
    <w:p w:rsidR="00454F5B" w:rsidRPr="00747494" w:rsidRDefault="004D0132" w:rsidP="004D0132">
      <w:pPr>
        <w:pStyle w:val="Headingb"/>
      </w:pPr>
      <w:r>
        <w:lastRenderedPageBreak/>
        <w:t>Fixed values</w:t>
      </w:r>
    </w:p>
    <w:p w:rsidR="00454F5B" w:rsidRPr="001B09E0" w:rsidRDefault="00454F5B" w:rsidP="004D0132">
      <w:pPr>
        <w:pStyle w:val="Equation"/>
        <w:rPr>
          <w:lang w:val="fr-CH"/>
        </w:rPr>
      </w:pPr>
      <w:r>
        <w:tab/>
      </w:r>
      <w:r>
        <w:tab/>
      </w:r>
      <w:r w:rsidRPr="001B09E0">
        <w:rPr>
          <w:lang w:val="fr-CH"/>
        </w:rPr>
        <w:t xml:space="preserve">SFP = 6.4 </w:t>
      </w:r>
      <w:r w:rsidR="004D0132">
        <w:rPr>
          <w:lang w:val="fr-CH"/>
        </w:rPr>
        <w:t>×</w:t>
      </w:r>
      <w:r w:rsidRPr="001B09E0">
        <w:rPr>
          <w:lang w:val="fr-CH"/>
        </w:rPr>
        <w:t xml:space="preserve"> 10</w:t>
      </w:r>
      <w:r w:rsidR="004D0132">
        <w:rPr>
          <w:vertAlign w:val="superscript"/>
          <w:lang w:val="fr-CH"/>
        </w:rPr>
        <w:t>–</w:t>
      </w:r>
      <w:r w:rsidRPr="001B09E0">
        <w:rPr>
          <w:vertAlign w:val="superscript"/>
          <w:lang w:val="fr-CH"/>
        </w:rPr>
        <w:t>3</w:t>
      </w:r>
    </w:p>
    <w:p w:rsidR="00454F5B" w:rsidRPr="001B09E0" w:rsidRDefault="00454F5B" w:rsidP="004D0132">
      <w:pPr>
        <w:pStyle w:val="Equation"/>
        <w:rPr>
          <w:lang w:val="fr-CH"/>
        </w:rPr>
      </w:pPr>
      <w:r>
        <w:rPr>
          <w:lang w:val="fr-CH"/>
        </w:rPr>
        <w:tab/>
      </w:r>
      <w:r>
        <w:rPr>
          <w:lang w:val="fr-CH"/>
        </w:rPr>
        <w:tab/>
      </w:r>
      <w:r w:rsidRPr="001B09E0">
        <w:rPr>
          <w:lang w:val="fr-CH"/>
        </w:rPr>
        <w:t xml:space="preserve">QEF = 2 </w:t>
      </w:r>
      <w:r w:rsidR="004D0132">
        <w:rPr>
          <w:lang w:val="fr-CH"/>
        </w:rPr>
        <w:t>×</w:t>
      </w:r>
      <w:r w:rsidRPr="001B09E0">
        <w:rPr>
          <w:lang w:val="fr-CH"/>
        </w:rPr>
        <w:t xml:space="preserve"> 10</w:t>
      </w:r>
      <w:r w:rsidR="004D0132">
        <w:rPr>
          <w:vertAlign w:val="superscript"/>
          <w:lang w:val="fr-CH"/>
        </w:rPr>
        <w:t>–</w:t>
      </w:r>
      <w:r w:rsidRPr="001B09E0">
        <w:rPr>
          <w:vertAlign w:val="superscript"/>
          <w:lang w:val="fr-CH"/>
        </w:rPr>
        <w:t>4</w:t>
      </w:r>
    </w:p>
    <w:p w:rsidR="00454F5B" w:rsidRPr="001B09E0" w:rsidRDefault="00454F5B" w:rsidP="00454F5B">
      <w:pPr>
        <w:pStyle w:val="Equation"/>
        <w:rPr>
          <w:lang w:val="fr-CH"/>
        </w:rPr>
      </w:pPr>
      <w:r>
        <w:rPr>
          <w:lang w:val="fr-CH"/>
        </w:rPr>
        <w:tab/>
      </w:r>
      <w:r>
        <w:rPr>
          <w:lang w:val="fr-CH"/>
        </w:rPr>
        <w:tab/>
      </w:r>
      <w:r w:rsidRPr="001B09E0">
        <w:rPr>
          <w:lang w:val="fr-CH"/>
        </w:rPr>
        <w:t xml:space="preserve">Q4 curve = </w:t>
      </w:r>
      <w:r w:rsidRPr="001B09E0">
        <w:object w:dxaOrig="940" w:dyaOrig="320">
          <v:shape id="_x0000_i1026" type="#_x0000_t75" style="width:49.95pt;height:17.2pt" o:ole="">
            <v:imagedata r:id="rId15" o:title=""/>
          </v:shape>
          <o:OLEObject Type="Embed" ProgID="Equation.DSMT4" ShapeID="_x0000_i1026" DrawAspect="Content" ObjectID="_1486195664" r:id="rId16"/>
        </w:object>
      </w:r>
    </w:p>
    <w:p w:rsidR="00454F5B" w:rsidRPr="001B09E0" w:rsidRDefault="00454F5B" w:rsidP="00454F5B">
      <w:pPr>
        <w:pStyle w:val="Equation"/>
        <w:rPr>
          <w:lang w:val="fr-CH"/>
        </w:rPr>
      </w:pPr>
      <w:r>
        <w:rPr>
          <w:lang w:val="fr-CH"/>
        </w:rPr>
        <w:tab/>
      </w:r>
      <w:r>
        <w:rPr>
          <w:lang w:val="fr-CH"/>
        </w:rPr>
        <w:tab/>
      </w:r>
      <w:r w:rsidRPr="001B09E0">
        <w:rPr>
          <w:lang w:val="fr-CH"/>
        </w:rPr>
        <w:t xml:space="preserve">Q5 curve = </w:t>
      </w:r>
      <w:r w:rsidRPr="001B09E0">
        <w:object w:dxaOrig="940" w:dyaOrig="320">
          <v:shape id="_x0000_i1027" type="#_x0000_t75" style="width:49.95pt;height:17.2pt" o:ole="">
            <v:imagedata r:id="rId17" o:title=""/>
          </v:shape>
          <o:OLEObject Type="Embed" ProgID="Equation.DSMT4" ShapeID="_x0000_i1027" DrawAspect="Content" ObjectID="_1486195665" r:id="rId18"/>
        </w:object>
      </w:r>
    </w:p>
    <w:p w:rsidR="00454F5B" w:rsidRPr="001B09E0" w:rsidRDefault="00454F5B" w:rsidP="00454F5B">
      <w:pPr>
        <w:pStyle w:val="Tablelegend"/>
        <w:rPr>
          <w:sz w:val="24"/>
          <w:szCs w:val="24"/>
          <w:lang w:val="en-US"/>
        </w:rPr>
      </w:pPr>
      <w:r w:rsidRPr="001B09E0">
        <w:rPr>
          <w:sz w:val="24"/>
          <w:szCs w:val="24"/>
          <w:lang w:val="en-US"/>
        </w:rPr>
        <w:t xml:space="preserve">and the constant </w:t>
      </w:r>
      <w:r w:rsidRPr="004D5A56">
        <w:rPr>
          <w:i/>
          <w:iCs/>
          <w:sz w:val="24"/>
          <w:szCs w:val="24"/>
          <w:lang w:val="en-US"/>
        </w:rPr>
        <w:t>a</w:t>
      </w:r>
      <w:r w:rsidRPr="001B09E0">
        <w:rPr>
          <w:sz w:val="24"/>
          <w:szCs w:val="24"/>
          <w:lang w:val="en-US"/>
        </w:rPr>
        <w:t xml:space="preserve">, </w:t>
      </w:r>
      <w:r w:rsidRPr="004D5A56">
        <w:rPr>
          <w:i/>
          <w:iCs/>
          <w:sz w:val="24"/>
          <w:szCs w:val="24"/>
          <w:lang w:val="en-US"/>
        </w:rPr>
        <w:t>b</w:t>
      </w:r>
      <w:r w:rsidRPr="001B09E0">
        <w:rPr>
          <w:sz w:val="24"/>
          <w:szCs w:val="24"/>
          <w:lang w:val="en-US"/>
        </w:rPr>
        <w:t xml:space="preserve">, </w:t>
      </w:r>
      <w:r w:rsidRPr="004D5A56">
        <w:rPr>
          <w:i/>
          <w:iCs/>
          <w:sz w:val="24"/>
          <w:szCs w:val="24"/>
          <w:lang w:val="en-US"/>
        </w:rPr>
        <w:t>c</w:t>
      </w:r>
      <w:r w:rsidRPr="001B09E0">
        <w:rPr>
          <w:sz w:val="24"/>
          <w:szCs w:val="24"/>
          <w:lang w:val="en-US"/>
        </w:rPr>
        <w:t xml:space="preserve">, </w:t>
      </w:r>
      <w:r w:rsidRPr="004D5A56">
        <w:rPr>
          <w:i/>
          <w:iCs/>
          <w:sz w:val="24"/>
          <w:szCs w:val="24"/>
          <w:lang w:val="en-US"/>
        </w:rPr>
        <w:t>d</w:t>
      </w:r>
      <w:r w:rsidRPr="001B09E0">
        <w:rPr>
          <w:sz w:val="24"/>
          <w:szCs w:val="24"/>
          <w:lang w:val="en-US"/>
        </w:rPr>
        <w:t xml:space="preserve"> b</w:t>
      </w:r>
      <w:r w:rsidR="004D5A56">
        <w:rPr>
          <w:sz w:val="24"/>
          <w:szCs w:val="24"/>
          <w:lang w:val="en-US"/>
        </w:rPr>
        <w:t>eing given by laboratory and in-</w:t>
      </w:r>
      <w:r w:rsidRPr="001B09E0">
        <w:rPr>
          <w:sz w:val="24"/>
          <w:szCs w:val="24"/>
          <w:lang w:val="en-US"/>
        </w:rPr>
        <w:t>field test as:</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a</w:t>
      </w:r>
      <w:r w:rsidRPr="001B09E0">
        <w:rPr>
          <w:lang w:val="en-US"/>
        </w:rPr>
        <w:t xml:space="preserve"> = 10</w:t>
      </w:r>
      <w:r w:rsidR="004D0132" w:rsidRPr="004D0132">
        <w:rPr>
          <w:vertAlign w:val="superscript"/>
          <w:lang w:val="en-US"/>
        </w:rPr>
        <w:t>–</w:t>
      </w:r>
      <w:r w:rsidRPr="001B09E0">
        <w:rPr>
          <w:vertAlign w:val="superscript"/>
          <w:lang w:val="en-US"/>
        </w:rPr>
        <w:t>5</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b</w:t>
      </w:r>
      <w:r w:rsidRPr="001B09E0">
        <w:rPr>
          <w:lang w:val="en-US"/>
        </w:rPr>
        <w:t xml:space="preserve"> = 6 </w:t>
      </w:r>
      <w:r w:rsidR="004D0132" w:rsidRPr="004D0132">
        <w:rPr>
          <w:lang w:val="en-US"/>
        </w:rPr>
        <w:t>×</w:t>
      </w:r>
      <w:r w:rsidRPr="001B09E0">
        <w:rPr>
          <w:lang w:val="en-US"/>
        </w:rPr>
        <w:t xml:space="preserve"> 10</w:t>
      </w:r>
      <w:r w:rsidRPr="001B09E0">
        <w:rPr>
          <w:vertAlign w:val="superscript"/>
          <w:lang w:val="en-US"/>
        </w:rPr>
        <w:t>3</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c</w:t>
      </w:r>
      <w:r w:rsidRPr="001B09E0">
        <w:rPr>
          <w:lang w:val="en-US"/>
        </w:rPr>
        <w:t xml:space="preserve"> = 5 </w:t>
      </w:r>
      <w:r w:rsidR="004D0132" w:rsidRPr="004D0132">
        <w:rPr>
          <w:lang w:val="en-US"/>
        </w:rPr>
        <w:t>×</w:t>
      </w:r>
      <w:r w:rsidRPr="001B09E0">
        <w:rPr>
          <w:lang w:val="en-US"/>
        </w:rPr>
        <w:t xml:space="preserve"> 10</w:t>
      </w:r>
      <w:r w:rsidR="004D0132" w:rsidRPr="004D0132">
        <w:rPr>
          <w:vertAlign w:val="superscript"/>
          <w:lang w:val="en-US"/>
        </w:rPr>
        <w:t>–</w:t>
      </w:r>
      <w:r w:rsidRPr="001B09E0">
        <w:rPr>
          <w:vertAlign w:val="superscript"/>
          <w:lang w:val="en-US"/>
        </w:rPr>
        <w:t>7</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d</w:t>
      </w:r>
      <w:r w:rsidRPr="001B09E0">
        <w:rPr>
          <w:lang w:val="en-US"/>
        </w:rPr>
        <w:t xml:space="preserve"> = 4 </w:t>
      </w:r>
      <w:r w:rsidR="004D0132" w:rsidRPr="004D0132">
        <w:rPr>
          <w:lang w:val="en-US"/>
        </w:rPr>
        <w:t>×</w:t>
      </w:r>
      <w:r w:rsidRPr="001B09E0">
        <w:rPr>
          <w:lang w:val="en-US"/>
        </w:rPr>
        <w:t xml:space="preserve"> 10</w:t>
      </w:r>
      <w:r w:rsidRPr="001B09E0">
        <w:rPr>
          <w:vertAlign w:val="superscript"/>
          <w:lang w:val="en-US"/>
        </w:rPr>
        <w:t>4</w:t>
      </w:r>
    </w:p>
    <w:p w:rsidR="00454F5B" w:rsidRDefault="00454F5B" w:rsidP="004D0132">
      <w:pPr>
        <w:pStyle w:val="Heading2"/>
        <w:rPr>
          <w:lang w:val="en-US"/>
        </w:rPr>
      </w:pPr>
      <w:r w:rsidRPr="0088412C">
        <w:rPr>
          <w:lang w:val="en-US"/>
        </w:rPr>
        <w:t>4.</w:t>
      </w:r>
      <w:r w:rsidRPr="004D0132">
        <w:rPr>
          <w:lang w:val="en-US"/>
        </w:rPr>
        <w:t>1</w:t>
      </w:r>
      <w:r w:rsidR="004D0132" w:rsidRPr="004D0132">
        <w:rPr>
          <w:lang w:val="en-US"/>
        </w:rPr>
        <w:tab/>
      </w:r>
      <w:r w:rsidRPr="004D0132">
        <w:rPr>
          <w:lang w:val="en-US"/>
        </w:rPr>
        <w:t>Table</w:t>
      </w:r>
      <w:r w:rsidRPr="0088412C">
        <w:rPr>
          <w:lang w:val="en-US"/>
        </w:rPr>
        <w:t xml:space="preserve"> 1 scale interpretation</w:t>
      </w:r>
    </w:p>
    <w:p w:rsidR="00454F5B" w:rsidRPr="001B09E0" w:rsidRDefault="00454F5B" w:rsidP="004D0132">
      <w:pPr>
        <w:rPr>
          <w:lang w:val="en-US"/>
        </w:rPr>
      </w:pPr>
      <w:r w:rsidRPr="001B09E0">
        <w:rPr>
          <w:lang w:val="en-US"/>
        </w:rPr>
        <w:t xml:space="preserve">The quality scale represents the distance from </w:t>
      </w:r>
      <w:r w:rsidR="004D5A56">
        <w:rPr>
          <w:lang w:val="en-US"/>
        </w:rPr>
        <w:t xml:space="preserve">the </w:t>
      </w:r>
      <w:r w:rsidRPr="001B09E0">
        <w:rPr>
          <w:lang w:val="en-US"/>
        </w:rPr>
        <w:t>transition point. T</w:t>
      </w:r>
      <w:r w:rsidR="004D5A56">
        <w:rPr>
          <w:lang w:val="en-US"/>
        </w:rPr>
        <w:t>he t</w:t>
      </w:r>
      <w:r w:rsidRPr="001B09E0">
        <w:rPr>
          <w:lang w:val="en-US"/>
        </w:rPr>
        <w:t xml:space="preserve">ransition point starts at QEF and ends at the so called “cliff effect” point (SFP). Each Q value is a function of E and BER. </w:t>
      </w:r>
    </w:p>
    <w:p w:rsidR="00454F5B" w:rsidRPr="001B09E0" w:rsidRDefault="00454F5B" w:rsidP="00C3604E">
      <w:pPr>
        <w:rPr>
          <w:lang w:val="en-US"/>
        </w:rPr>
      </w:pPr>
      <w:r w:rsidRPr="001B09E0">
        <w:rPr>
          <w:lang w:val="en-US"/>
        </w:rPr>
        <w:t xml:space="preserve">Q2 read on the first horizontal line of Table 1 means that </w:t>
      </w:r>
      <w:r w:rsidR="004D0132">
        <w:rPr>
          <w:lang w:val="en-US"/>
        </w:rPr>
        <w:t xml:space="preserve">the </w:t>
      </w:r>
      <w:r w:rsidRPr="001B09E0">
        <w:rPr>
          <w:lang w:val="en-US"/>
        </w:rPr>
        <w:t>field strength is lower than the minimum value assigned in the planning procedure. In such cases</w:t>
      </w:r>
      <w:r w:rsidR="004D0132">
        <w:rPr>
          <w:lang w:val="en-US"/>
        </w:rPr>
        <w:t>,</w:t>
      </w:r>
      <w:r w:rsidRPr="001B09E0">
        <w:rPr>
          <w:lang w:val="en-US"/>
        </w:rPr>
        <w:t xml:space="preserve"> no protection against interference can be guaranteed. Its interpretation is given in Fig</w:t>
      </w:r>
      <w:r w:rsidR="004D0132">
        <w:rPr>
          <w:lang w:val="en-US"/>
        </w:rPr>
        <w:t>.</w:t>
      </w:r>
      <w:r w:rsidRPr="001B09E0">
        <w:rPr>
          <w:lang w:val="en-US"/>
        </w:rPr>
        <w:t xml:space="preserve"> </w:t>
      </w:r>
      <w:r w:rsidR="004B3CCB">
        <w:rPr>
          <w:lang w:val="en-US"/>
        </w:rPr>
        <w:t>2</w:t>
      </w:r>
      <w:r w:rsidR="004B3CCB" w:rsidRPr="001B09E0">
        <w:rPr>
          <w:lang w:val="en-US"/>
        </w:rPr>
        <w:t>A</w:t>
      </w:r>
      <w:r w:rsidRPr="001B09E0">
        <w:rPr>
          <w:lang w:val="en-US"/>
        </w:rPr>
        <w:t>.</w:t>
      </w:r>
    </w:p>
    <w:p w:rsidR="00454F5B" w:rsidRPr="001B09E0" w:rsidRDefault="00454F5B" w:rsidP="00C3604E">
      <w:pPr>
        <w:rPr>
          <w:lang w:val="en-US"/>
        </w:rPr>
      </w:pPr>
      <w:r w:rsidRPr="001B09E0">
        <w:rPr>
          <w:lang w:val="en-US"/>
        </w:rPr>
        <w:t>Q2 read on the second horizontal line of Table 1 means that QEF threshold is reached and the “cliff effect” could appear. Its interpretation is given in Fig</w:t>
      </w:r>
      <w:r w:rsidR="004D0132">
        <w:rPr>
          <w:lang w:val="en-US"/>
        </w:rPr>
        <w:t>.</w:t>
      </w:r>
      <w:r w:rsidRPr="001B09E0">
        <w:rPr>
          <w:lang w:val="en-US"/>
        </w:rPr>
        <w:t xml:space="preserve"> </w:t>
      </w:r>
      <w:r w:rsidR="004B3CCB">
        <w:rPr>
          <w:lang w:val="en-US"/>
        </w:rPr>
        <w:t>2</w:t>
      </w:r>
      <w:r w:rsidR="004B3CCB" w:rsidRPr="001B09E0">
        <w:rPr>
          <w:lang w:val="en-US"/>
        </w:rPr>
        <w:t>B</w:t>
      </w:r>
      <w:r w:rsidRPr="001B09E0">
        <w:rPr>
          <w:lang w:val="en-US"/>
        </w:rPr>
        <w:t>.</w:t>
      </w:r>
    </w:p>
    <w:p w:rsidR="00454F5B" w:rsidRPr="001B09E0" w:rsidRDefault="00454F5B" w:rsidP="00C3604E">
      <w:pPr>
        <w:rPr>
          <w:lang w:val="en-US"/>
        </w:rPr>
      </w:pPr>
      <w:r w:rsidRPr="001B09E0">
        <w:rPr>
          <w:lang w:val="en-US"/>
        </w:rPr>
        <w:t>For the case of Fig</w:t>
      </w:r>
      <w:r w:rsidR="004D0132">
        <w:rPr>
          <w:lang w:val="en-US"/>
        </w:rPr>
        <w:t>.</w:t>
      </w:r>
      <w:r w:rsidRPr="001B09E0">
        <w:rPr>
          <w:lang w:val="en-US"/>
        </w:rPr>
        <w:t xml:space="preserve"> </w:t>
      </w:r>
      <w:r w:rsidR="004B3CCB">
        <w:rPr>
          <w:lang w:val="en-US"/>
        </w:rPr>
        <w:t>2</w:t>
      </w:r>
      <w:r w:rsidR="004B3CCB" w:rsidRPr="001B09E0">
        <w:rPr>
          <w:lang w:val="en-US"/>
        </w:rPr>
        <w:t>A</w:t>
      </w:r>
      <w:r w:rsidRPr="001B09E0">
        <w:rPr>
          <w:lang w:val="en-US"/>
        </w:rPr>
        <w:t>,</w:t>
      </w:r>
      <w:r w:rsidRPr="001B09E0" w:rsidDel="00601AB5">
        <w:rPr>
          <w:lang w:val="en-US"/>
        </w:rPr>
        <w:t xml:space="preserve"> </w:t>
      </w:r>
      <w:r w:rsidRPr="001B09E0">
        <w:rPr>
          <w:lang w:val="en-US"/>
        </w:rPr>
        <w:t>it is possible to move to Q3 by increasing transmitted power or by modification of the antenna pattern. For the case of Fig</w:t>
      </w:r>
      <w:r w:rsidR="004D0132">
        <w:rPr>
          <w:lang w:val="en-US"/>
        </w:rPr>
        <w:t>.</w:t>
      </w:r>
      <w:r w:rsidRPr="001B09E0">
        <w:rPr>
          <w:lang w:val="en-US"/>
        </w:rPr>
        <w:t xml:space="preserve"> </w:t>
      </w:r>
      <w:r w:rsidR="004B3CCB">
        <w:rPr>
          <w:lang w:val="en-US"/>
        </w:rPr>
        <w:t>2</w:t>
      </w:r>
      <w:r w:rsidR="004B3CCB" w:rsidRPr="001B09E0">
        <w:rPr>
          <w:lang w:val="en-US"/>
        </w:rPr>
        <w:t>B</w:t>
      </w:r>
      <w:r w:rsidRPr="001B09E0">
        <w:rPr>
          <w:lang w:val="en-US"/>
        </w:rPr>
        <w:t>,</w:t>
      </w:r>
      <w:r w:rsidRPr="001B09E0" w:rsidDel="007D0293">
        <w:rPr>
          <w:lang w:val="en-US"/>
        </w:rPr>
        <w:t xml:space="preserve"> </w:t>
      </w:r>
      <w:r w:rsidRPr="001B09E0">
        <w:rPr>
          <w:lang w:val="en-US"/>
        </w:rPr>
        <w:t xml:space="preserve">it is possible to move to Q3 by reducing interference or the level of multipath interference. </w:t>
      </w:r>
    </w:p>
    <w:p w:rsidR="004F6BDC" w:rsidRDefault="00454F5B" w:rsidP="004D0132">
      <w:pPr>
        <w:rPr>
          <w:lang w:val="en-US"/>
        </w:rPr>
      </w:pPr>
      <w:r w:rsidRPr="001B09E0">
        <w:rPr>
          <w:lang w:val="en-US"/>
        </w:rPr>
        <w:t>The problem with this is that monitoring of DTTB reception indicates that at any particular reception point, temporal fading of wanted signals (or enhancement of interfering signals) causes transitions between “adequate” and “inadequate” instantaneous received signals. As such, it is considered that Grade 2 presents a transition region during which the reception quality is “unreliable”, but may or may not present a watchable picture at any instant.</w:t>
      </w:r>
    </w:p>
    <w:p w:rsidR="004F6BDC" w:rsidRDefault="004F6BD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54F5B" w:rsidRPr="000B3A76" w:rsidRDefault="00454F5B" w:rsidP="00C3604E">
      <w:pPr>
        <w:pStyle w:val="FigureNo"/>
        <w:rPr>
          <w:lang w:val="en-US"/>
        </w:rPr>
      </w:pPr>
      <w:r w:rsidRPr="000B3A76">
        <w:rPr>
          <w:lang w:val="en-US"/>
        </w:rPr>
        <w:lastRenderedPageBreak/>
        <w:t xml:space="preserve">Figure </w:t>
      </w:r>
      <w:r w:rsidR="004B3CCB">
        <w:rPr>
          <w:lang w:val="en-US"/>
        </w:rPr>
        <w:t>2</w:t>
      </w:r>
      <w:r w:rsidR="004B3CCB" w:rsidRPr="000B3A76">
        <w:rPr>
          <w:lang w:val="en-US"/>
        </w:rPr>
        <w:t>A</w:t>
      </w:r>
    </w:p>
    <w:p w:rsidR="00454F5B" w:rsidRDefault="000A3B9D" w:rsidP="004D0132">
      <w:pPr>
        <w:pStyle w:val="Figure"/>
        <w:rPr>
          <w:noProof/>
          <w:lang w:val="en-US" w:eastAsia="zh-CN"/>
        </w:rPr>
      </w:pPr>
      <w:r>
        <w:object w:dxaOrig="5182" w:dyaOrig="3936">
          <v:shape id="_x0000_i1028" type="#_x0000_t75" style="width:315.4pt;height:240.2pt" o:ole="">
            <v:imagedata r:id="rId19" o:title=""/>
          </v:shape>
          <o:OLEObject Type="Embed" ProgID="CorelDraw.Graphic.16" ShapeID="_x0000_i1028" DrawAspect="Content" ObjectID="_1486195666" r:id="rId20"/>
        </w:object>
      </w:r>
    </w:p>
    <w:p w:rsidR="00454F5B" w:rsidRDefault="00454F5B" w:rsidP="00C3604E">
      <w:pPr>
        <w:pStyle w:val="FigureNo"/>
        <w:rPr>
          <w:noProof/>
          <w:lang w:val="en-US" w:eastAsia="zh-CN"/>
        </w:rPr>
      </w:pPr>
      <w:r>
        <w:rPr>
          <w:noProof/>
          <w:lang w:val="en-US" w:eastAsia="zh-CN"/>
        </w:rPr>
        <w:t xml:space="preserve">FIGURE </w:t>
      </w:r>
      <w:r w:rsidR="004B3CCB">
        <w:rPr>
          <w:noProof/>
          <w:lang w:val="en-US" w:eastAsia="zh-CN"/>
        </w:rPr>
        <w:t>2B</w:t>
      </w:r>
    </w:p>
    <w:p w:rsidR="00454F5B" w:rsidRDefault="000A3B9D" w:rsidP="004D0132">
      <w:pPr>
        <w:pStyle w:val="Figure"/>
        <w:rPr>
          <w:noProof/>
          <w:lang w:val="en-US" w:eastAsia="zh-CN"/>
        </w:rPr>
      </w:pPr>
      <w:r>
        <w:object w:dxaOrig="5760" w:dyaOrig="3768">
          <v:shape id="_x0000_i1029" type="#_x0000_t75" style="width:344.4pt;height:225.15pt" o:ole="">
            <v:imagedata r:id="rId21" o:title=""/>
          </v:shape>
          <o:OLEObject Type="Embed" ProgID="CorelDraw.Graphic.16" ShapeID="_x0000_i1029" DrawAspect="Content" ObjectID="_1486195667" r:id="rId22"/>
        </w:object>
      </w:r>
    </w:p>
    <w:p w:rsidR="00454F5B" w:rsidRPr="001B09E0" w:rsidRDefault="00454F5B" w:rsidP="00454F5B">
      <w:pPr>
        <w:pStyle w:val="Heading2"/>
        <w:spacing w:before="200"/>
        <w:ind w:left="1134" w:hanging="1134"/>
        <w:rPr>
          <w:lang w:val="en-US"/>
        </w:rPr>
      </w:pPr>
      <w:r w:rsidRPr="001B09E0">
        <w:rPr>
          <w:lang w:val="en-US"/>
        </w:rPr>
        <w:t>4.2</w:t>
      </w:r>
      <w:r w:rsidRPr="001B09E0">
        <w:rPr>
          <w:lang w:val="en-US"/>
        </w:rPr>
        <w:tab/>
        <w:t>Table 2 scale interpretation</w:t>
      </w:r>
    </w:p>
    <w:p w:rsidR="00454F5B" w:rsidRPr="001B09E0" w:rsidRDefault="00454F5B" w:rsidP="00C3604E">
      <w:pPr>
        <w:rPr>
          <w:lang w:val="en-US"/>
        </w:rPr>
      </w:pPr>
      <w:r w:rsidRPr="001B09E0">
        <w:rPr>
          <w:lang w:val="en-US"/>
        </w:rPr>
        <w:t xml:space="preserve">Q2 read on the first horizontal line of Table 2 means that </w:t>
      </w:r>
      <w:r w:rsidR="004D0132">
        <w:rPr>
          <w:lang w:val="en-US"/>
        </w:rPr>
        <w:t xml:space="preserve">the </w:t>
      </w:r>
      <w:r w:rsidRPr="001B09E0">
        <w:rPr>
          <w:lang w:val="en-US"/>
        </w:rPr>
        <w:t>field strength is lower than the minimum value assigned in the planning procedure. In such cases</w:t>
      </w:r>
      <w:r w:rsidR="004D0132">
        <w:rPr>
          <w:lang w:val="en-US"/>
        </w:rPr>
        <w:t>,</w:t>
      </w:r>
      <w:r w:rsidRPr="001B09E0">
        <w:rPr>
          <w:lang w:val="en-US"/>
        </w:rPr>
        <w:t xml:space="preserve"> no protection against interference can be guaranteed. Its interpretation is given in Fig</w:t>
      </w:r>
      <w:r w:rsidR="004D0132">
        <w:rPr>
          <w:lang w:val="en-US"/>
        </w:rPr>
        <w:t>.</w:t>
      </w:r>
      <w:r w:rsidRPr="001B09E0">
        <w:rPr>
          <w:lang w:val="en-US"/>
        </w:rPr>
        <w:t xml:space="preserve"> </w:t>
      </w:r>
      <w:r w:rsidR="004B3CCB">
        <w:rPr>
          <w:lang w:val="en-US"/>
        </w:rPr>
        <w:t>2</w:t>
      </w:r>
      <w:r w:rsidR="004B3CCB" w:rsidRPr="001B09E0">
        <w:rPr>
          <w:lang w:val="en-US"/>
        </w:rPr>
        <w:t xml:space="preserve">A </w:t>
      </w:r>
      <w:r w:rsidRPr="001B09E0">
        <w:rPr>
          <w:lang w:val="en-US"/>
        </w:rPr>
        <w:t>above.</w:t>
      </w:r>
    </w:p>
    <w:p w:rsidR="00454F5B" w:rsidRPr="001B09E0" w:rsidRDefault="00454F5B" w:rsidP="00C3604E">
      <w:pPr>
        <w:rPr>
          <w:lang w:val="en-US"/>
        </w:rPr>
      </w:pPr>
      <w:r w:rsidRPr="001B09E0">
        <w:rPr>
          <w:lang w:val="en-US"/>
        </w:rPr>
        <w:t xml:space="preserve">Q2 read on the second horizontal line of Table </w:t>
      </w:r>
      <w:r w:rsidR="004D5A56">
        <w:rPr>
          <w:lang w:val="en-US"/>
        </w:rPr>
        <w:t>2</w:t>
      </w:r>
      <w:r w:rsidRPr="001B09E0">
        <w:rPr>
          <w:lang w:val="en-US"/>
        </w:rPr>
        <w:t xml:space="preserve"> means that QEF threshold is reached and the “cl</w:t>
      </w:r>
      <w:r w:rsidR="004D5A56">
        <w:rPr>
          <w:lang w:val="en-US"/>
        </w:rPr>
        <w:t>iff effect” could appear</w:t>
      </w:r>
      <w:r w:rsidRPr="001B09E0">
        <w:rPr>
          <w:lang w:val="en-US"/>
        </w:rPr>
        <w:t>. Its interpretation is given in Fig</w:t>
      </w:r>
      <w:r w:rsidR="004D0132">
        <w:rPr>
          <w:lang w:val="en-US"/>
        </w:rPr>
        <w:t>.</w:t>
      </w:r>
      <w:r w:rsidRPr="001B09E0">
        <w:rPr>
          <w:lang w:val="en-US"/>
        </w:rPr>
        <w:t xml:space="preserve"> </w:t>
      </w:r>
      <w:r w:rsidR="004B3CCB">
        <w:rPr>
          <w:lang w:val="en-US"/>
        </w:rPr>
        <w:t>2</w:t>
      </w:r>
      <w:r w:rsidR="004B3CCB" w:rsidRPr="001B09E0">
        <w:rPr>
          <w:lang w:val="en-US"/>
        </w:rPr>
        <w:t>C</w:t>
      </w:r>
      <w:r w:rsidRPr="001B09E0">
        <w:rPr>
          <w:lang w:val="en-US"/>
        </w:rPr>
        <w:t>.</w:t>
      </w:r>
    </w:p>
    <w:p w:rsidR="00454F5B" w:rsidRPr="001B09E0" w:rsidRDefault="00454F5B" w:rsidP="00C3604E">
      <w:pPr>
        <w:rPr>
          <w:lang w:val="en-US"/>
        </w:rPr>
      </w:pPr>
      <w:r w:rsidRPr="001B09E0">
        <w:rPr>
          <w:lang w:val="en-US"/>
        </w:rPr>
        <w:t>For the case of Fig</w:t>
      </w:r>
      <w:r w:rsidR="004D0132">
        <w:rPr>
          <w:lang w:val="en-US"/>
        </w:rPr>
        <w:t>.</w:t>
      </w:r>
      <w:r w:rsidRPr="001B09E0">
        <w:rPr>
          <w:lang w:val="en-US"/>
        </w:rPr>
        <w:t xml:space="preserve"> </w:t>
      </w:r>
      <w:r w:rsidR="004B3CCB">
        <w:rPr>
          <w:lang w:val="en-US"/>
        </w:rPr>
        <w:t>2</w:t>
      </w:r>
      <w:r w:rsidR="004B3CCB" w:rsidRPr="001B09E0">
        <w:rPr>
          <w:lang w:val="en-US"/>
        </w:rPr>
        <w:t>A</w:t>
      </w:r>
      <w:r w:rsidRPr="001B09E0">
        <w:rPr>
          <w:lang w:val="en-US"/>
        </w:rPr>
        <w:t>,</w:t>
      </w:r>
      <w:r w:rsidRPr="001B09E0" w:rsidDel="00601AB5">
        <w:rPr>
          <w:lang w:val="en-US"/>
        </w:rPr>
        <w:t xml:space="preserve"> </w:t>
      </w:r>
      <w:r w:rsidRPr="001B09E0">
        <w:rPr>
          <w:lang w:val="en-US"/>
        </w:rPr>
        <w:t>it is possible to move to Q3 by increasing transmitted power or by modification of the antenna pattern. For the case of Fig</w:t>
      </w:r>
      <w:r w:rsidR="004D0132">
        <w:rPr>
          <w:lang w:val="en-US"/>
        </w:rPr>
        <w:t>.</w:t>
      </w:r>
      <w:r w:rsidRPr="001B09E0">
        <w:rPr>
          <w:lang w:val="en-US"/>
        </w:rPr>
        <w:t xml:space="preserve"> </w:t>
      </w:r>
      <w:r w:rsidR="004B3CCB">
        <w:rPr>
          <w:lang w:val="en-US"/>
        </w:rPr>
        <w:t>2</w:t>
      </w:r>
      <w:r w:rsidR="004B3CCB" w:rsidRPr="001B09E0">
        <w:rPr>
          <w:lang w:val="en-US"/>
        </w:rPr>
        <w:t>C</w:t>
      </w:r>
      <w:r w:rsidRPr="001B09E0">
        <w:rPr>
          <w:lang w:val="en-US"/>
        </w:rPr>
        <w:t>,</w:t>
      </w:r>
      <w:r w:rsidRPr="001B09E0" w:rsidDel="007D0293">
        <w:rPr>
          <w:lang w:val="en-US"/>
        </w:rPr>
        <w:t xml:space="preserve"> </w:t>
      </w:r>
      <w:r w:rsidRPr="001B09E0">
        <w:rPr>
          <w:lang w:val="en-US"/>
        </w:rPr>
        <w:t xml:space="preserve">it is possible to move to Q3 by reducing interference or the level of multipath interference. </w:t>
      </w:r>
    </w:p>
    <w:p w:rsidR="00454F5B" w:rsidRPr="00DF61DA" w:rsidRDefault="00454F5B" w:rsidP="00C3604E">
      <w:pPr>
        <w:pStyle w:val="FigureNo"/>
      </w:pPr>
      <w:r w:rsidRPr="00DF61DA">
        <w:lastRenderedPageBreak/>
        <w:t xml:space="preserve">Figure </w:t>
      </w:r>
      <w:r w:rsidR="004B3CCB">
        <w:t>2C</w:t>
      </w:r>
    </w:p>
    <w:p w:rsidR="00454F5B" w:rsidRDefault="000A3B9D" w:rsidP="004D0132">
      <w:pPr>
        <w:pStyle w:val="Figure"/>
        <w:rPr>
          <w:noProof/>
          <w:lang w:val="en-US" w:eastAsia="zh-CN"/>
        </w:rPr>
      </w:pPr>
      <w:r>
        <w:object w:dxaOrig="5885" w:dyaOrig="3513">
          <v:shape id="_x0000_i1030" type="#_x0000_t75" style="width:350.85pt;height:209pt" o:ole="">
            <v:imagedata r:id="rId23" o:title=""/>
          </v:shape>
          <o:OLEObject Type="Embed" ProgID="CorelDraw.Graphic.16" ShapeID="_x0000_i1030" DrawAspect="Content" ObjectID="_1486195668" r:id="rId24"/>
        </w:object>
      </w:r>
    </w:p>
    <w:p w:rsidR="00454F5B" w:rsidRPr="001B09E0" w:rsidRDefault="00454F5B" w:rsidP="00454F5B">
      <w:pPr>
        <w:pStyle w:val="Heading2"/>
        <w:rPr>
          <w:lang w:val="en-US"/>
        </w:rPr>
      </w:pPr>
      <w:r w:rsidRPr="001B09E0">
        <w:rPr>
          <w:lang w:val="en-US"/>
        </w:rPr>
        <w:t>4.3</w:t>
      </w:r>
      <w:r w:rsidRPr="001B09E0">
        <w:rPr>
          <w:lang w:val="en-US"/>
        </w:rPr>
        <w:tab/>
        <w:t>Table 3 scale interpretation</w:t>
      </w:r>
    </w:p>
    <w:p w:rsidR="00454F5B" w:rsidRPr="001B09E0" w:rsidRDefault="00454F5B" w:rsidP="004D0132">
      <w:pPr>
        <w:rPr>
          <w:lang w:val="en-US"/>
        </w:rPr>
      </w:pPr>
      <w:r w:rsidRPr="001B09E0">
        <w:rPr>
          <w:lang w:val="en-US"/>
        </w:rPr>
        <w:t>It is possible to represent the five grades of Table 3 in a cBER vs. vBER frame.</w:t>
      </w:r>
    </w:p>
    <w:p w:rsidR="00454F5B" w:rsidRPr="001B09E0" w:rsidRDefault="00454F5B" w:rsidP="00454F5B">
      <w:pPr>
        <w:rPr>
          <w:lang w:val="en-US"/>
        </w:rPr>
      </w:pPr>
      <w:r w:rsidRPr="001B09E0">
        <w:rPr>
          <w:lang w:val="en-US"/>
        </w:rPr>
        <w:t>In the chart are plotted six reference curves: QEF, SFP, Gaussian channel, cBER = vBER, Q4 and Q5.</w:t>
      </w:r>
    </w:p>
    <w:p w:rsidR="00454F5B" w:rsidRPr="001B09E0" w:rsidRDefault="00454F5B" w:rsidP="00454F5B">
      <w:pPr>
        <w:rPr>
          <w:lang w:val="en-US"/>
        </w:rPr>
      </w:pPr>
      <w:r w:rsidRPr="001B09E0">
        <w:rPr>
          <w:lang w:val="en-US"/>
        </w:rPr>
        <w:t xml:space="preserve">QEF and SFP curves are based on vBER and visible errors threshold. </w:t>
      </w:r>
    </w:p>
    <w:p w:rsidR="00454F5B" w:rsidRPr="001B09E0" w:rsidRDefault="00454F5B" w:rsidP="00454F5B">
      <w:pPr>
        <w:rPr>
          <w:lang w:val="en-US"/>
        </w:rPr>
      </w:pPr>
      <w:r w:rsidRPr="001B09E0">
        <w:rPr>
          <w:lang w:val="en-US"/>
        </w:rPr>
        <w:t>Q4 and Q5 curves are exponential functions where vBER depends on cBER:</w:t>
      </w:r>
    </w:p>
    <w:p w:rsidR="00454F5B" w:rsidRPr="001B09E0" w:rsidRDefault="00454F5B" w:rsidP="00454F5B">
      <w:pPr>
        <w:ind w:left="708"/>
        <w:rPr>
          <w:lang w:val="en-US"/>
        </w:rPr>
      </w:pPr>
      <w:r w:rsidRPr="001B09E0">
        <w:rPr>
          <w:lang w:val="en-US"/>
        </w:rPr>
        <w:t>Q4 curve:</w:t>
      </w:r>
      <w:r w:rsidRPr="001B09E0">
        <w:rPr>
          <w:lang w:val="en-US"/>
        </w:rPr>
        <w:tab/>
      </w:r>
      <w:r w:rsidRPr="003F0987">
        <w:rPr>
          <w:position w:val="-6"/>
        </w:rPr>
        <w:object w:dxaOrig="2340" w:dyaOrig="400">
          <v:shape id="_x0000_i1031" type="#_x0000_t75" style="width:117.15pt;height:20.4pt" o:ole="">
            <v:imagedata r:id="rId25" o:title=""/>
          </v:shape>
          <o:OLEObject Type="Embed" ProgID="Equation.DSMT4" ShapeID="_x0000_i1031" DrawAspect="Content" ObjectID="_1486195669" r:id="rId26"/>
        </w:object>
      </w:r>
    </w:p>
    <w:p w:rsidR="00454F5B" w:rsidRPr="001B09E0" w:rsidRDefault="00454F5B" w:rsidP="00454F5B">
      <w:pPr>
        <w:ind w:left="708"/>
        <w:rPr>
          <w:lang w:val="en-US"/>
        </w:rPr>
      </w:pPr>
      <w:r w:rsidRPr="001B09E0">
        <w:rPr>
          <w:lang w:val="en-US"/>
        </w:rPr>
        <w:t>Q5 curve:</w:t>
      </w:r>
      <w:r w:rsidRPr="001B09E0">
        <w:rPr>
          <w:lang w:val="en-US"/>
        </w:rPr>
        <w:tab/>
      </w:r>
      <w:r w:rsidRPr="003F0987">
        <w:rPr>
          <w:position w:val="-6"/>
        </w:rPr>
        <w:object w:dxaOrig="2560" w:dyaOrig="400">
          <v:shape id="_x0000_i1032" type="#_x0000_t75" style="width:127.9pt;height:20.4pt" o:ole="">
            <v:imagedata r:id="rId27" o:title=""/>
          </v:shape>
          <o:OLEObject Type="Embed" ProgID="Equation.DSMT4" ShapeID="_x0000_i1032" DrawAspect="Content" ObjectID="_1486195670" r:id="rId28"/>
        </w:object>
      </w:r>
    </w:p>
    <w:p w:rsidR="00454F5B" w:rsidRPr="001B09E0" w:rsidRDefault="00454F5B" w:rsidP="00A21AA2">
      <w:pPr>
        <w:rPr>
          <w:lang w:val="en-US"/>
        </w:rPr>
      </w:pPr>
      <w:r w:rsidRPr="001B09E0">
        <w:rPr>
          <w:lang w:val="en-US"/>
        </w:rPr>
        <w:t>Q1 area is under SFP line; Q2 area is between SFP and QEF line; Q3 area is above QEF line and under Q4 curves; Q4 area is between Q4 and Q5 curves and Q5 area is above Q5 curve.</w:t>
      </w:r>
    </w:p>
    <w:p w:rsidR="00454F5B" w:rsidRDefault="00454F5B" w:rsidP="00C3604E">
      <w:pPr>
        <w:pStyle w:val="FigureNo"/>
        <w:spacing w:before="120"/>
      </w:pPr>
      <w:r w:rsidRPr="00DF61DA">
        <w:lastRenderedPageBreak/>
        <w:t xml:space="preserve">Figure </w:t>
      </w:r>
      <w:r w:rsidR="004B3CCB">
        <w:t>3</w:t>
      </w:r>
    </w:p>
    <w:p w:rsidR="00454F5B" w:rsidRDefault="000A3B9D" w:rsidP="00A21AA2">
      <w:pPr>
        <w:pStyle w:val="Figure"/>
        <w:rPr>
          <w:noProof/>
          <w:lang w:val="en-US" w:eastAsia="zh-CN"/>
        </w:rPr>
      </w:pPr>
      <w:r>
        <w:object w:dxaOrig="6139" w:dyaOrig="4789">
          <v:shape id="_x0000_i1033" type="#_x0000_t75" style="width:339.6pt;height:265.45pt" o:ole="">
            <v:imagedata r:id="rId29" o:title=""/>
          </v:shape>
          <o:OLEObject Type="Embed" ProgID="CorelDraw.Graphic.16" ShapeID="_x0000_i1033" DrawAspect="Content" ObjectID="_1486195671" r:id="rId30"/>
        </w:object>
      </w:r>
    </w:p>
    <w:p w:rsidR="00454F5B" w:rsidRPr="00FA4E58" w:rsidRDefault="00454F5B" w:rsidP="00454F5B">
      <w:pPr>
        <w:pStyle w:val="Heading1"/>
        <w:rPr>
          <w:lang w:val="en-US"/>
        </w:rPr>
      </w:pPr>
      <w:bookmarkStart w:id="7" w:name="_Toc117308795"/>
      <w:r w:rsidRPr="00FA4E58">
        <w:rPr>
          <w:lang w:val="en-US"/>
        </w:rPr>
        <w:t>5</w:t>
      </w:r>
      <w:r w:rsidRPr="00FA4E58">
        <w:rPr>
          <w:lang w:val="en-US"/>
        </w:rPr>
        <w:tab/>
        <w:t>Measurements at fixed height</w:t>
      </w:r>
      <w:bookmarkEnd w:id="7"/>
    </w:p>
    <w:p w:rsidR="00454F5B" w:rsidRPr="00FA4E58" w:rsidRDefault="00454F5B" w:rsidP="00A21AA2">
      <w:pPr>
        <w:rPr>
          <w:lang w:val="en-US"/>
        </w:rPr>
      </w:pPr>
      <w:r w:rsidRPr="00FA4E58">
        <w:rPr>
          <w:lang w:val="en-US"/>
        </w:rPr>
        <w:t xml:space="preserve">In this kind of measurement the receiving antenna is placed on the mast and raised to approximately 10 m height above the ground level such that the antenna is above local clutter or obstruction. The measurement results can be reproduced at any time just adopting a fixed reception system, usually found at monitoring stations. Fixed height measurements can be useful only for formal evaluation, conventionally made at 10 m high above the ground level (the height is the same </w:t>
      </w:r>
      <w:r>
        <w:rPr>
          <w:lang w:val="en-US"/>
        </w:rPr>
        <w:t xml:space="preserve">as is </w:t>
      </w:r>
      <w:r w:rsidRPr="00FA4E58">
        <w:rPr>
          <w:lang w:val="en-US"/>
        </w:rPr>
        <w:t xml:space="preserve">used in </w:t>
      </w:r>
      <w:r>
        <w:rPr>
          <w:lang w:val="en-US"/>
        </w:rPr>
        <w:t xml:space="preserve">the </w:t>
      </w:r>
      <w:r w:rsidRPr="00FA4E58">
        <w:rPr>
          <w:lang w:val="en-US"/>
        </w:rPr>
        <w:t xml:space="preserve">propagation </w:t>
      </w:r>
      <w:r>
        <w:rPr>
          <w:lang w:val="en-US"/>
        </w:rPr>
        <w:t xml:space="preserve">the </w:t>
      </w:r>
      <w:r w:rsidRPr="00FA4E58">
        <w:rPr>
          <w:lang w:val="en-US"/>
        </w:rPr>
        <w:t>prediction method adopted for planning purposes).</w:t>
      </w:r>
    </w:p>
    <w:p w:rsidR="00454F5B" w:rsidRPr="00FA4E58" w:rsidRDefault="00454F5B" w:rsidP="00454F5B">
      <w:pPr>
        <w:rPr>
          <w:lang w:val="en-US"/>
        </w:rPr>
      </w:pPr>
      <w:r w:rsidRPr="00FA4E58">
        <w:rPr>
          <w:lang w:val="en-US"/>
        </w:rPr>
        <w:t>In real situations the measured field strength depends on phase composition of the several received paths. Therefore, the final result depends on both: receiving antenna location and vertical variation of field strength. Using half wavelength receiving antennas, three specific situations can be identified where:</w:t>
      </w:r>
    </w:p>
    <w:p w:rsidR="00454F5B" w:rsidRPr="00FA4E58" w:rsidRDefault="00454F5B" w:rsidP="00454F5B">
      <w:pPr>
        <w:pStyle w:val="enumlev1"/>
        <w:rPr>
          <w:lang w:val="en-US"/>
        </w:rPr>
      </w:pPr>
      <w:r w:rsidRPr="00FA4E58">
        <w:rPr>
          <w:lang w:val="en-US"/>
        </w:rPr>
        <w:t>–</w:t>
      </w:r>
      <w:r w:rsidRPr="00FA4E58">
        <w:rPr>
          <w:lang w:val="en-US"/>
        </w:rPr>
        <w:tab/>
        <w:t>the difference between the maxima of the vertical variation in field strength is less than half the wavelength: measured field strength is equivalent to the direct path field;</w:t>
      </w:r>
    </w:p>
    <w:p w:rsidR="00454F5B" w:rsidRPr="00FA4E58" w:rsidRDefault="00454F5B" w:rsidP="00454F5B">
      <w:pPr>
        <w:pStyle w:val="enumlev1"/>
        <w:rPr>
          <w:lang w:val="en-US"/>
        </w:rPr>
      </w:pPr>
      <w:r w:rsidRPr="00FA4E58">
        <w:rPr>
          <w:lang w:val="en-US"/>
        </w:rPr>
        <w:t>–</w:t>
      </w:r>
      <w:r w:rsidRPr="00FA4E58">
        <w:rPr>
          <w:lang w:val="en-US"/>
        </w:rPr>
        <w:tab/>
        <w:t>the difference between the maxima of the vertical variation in field strength is greater than half the wavelength: measured field strength could be higher or lower than the direct path field;</w:t>
      </w:r>
    </w:p>
    <w:p w:rsidR="00454F5B" w:rsidRPr="00FA4E58" w:rsidRDefault="00454F5B" w:rsidP="00454F5B">
      <w:pPr>
        <w:pStyle w:val="enumlev1"/>
        <w:rPr>
          <w:lang w:val="en-US"/>
        </w:rPr>
      </w:pPr>
      <w:r w:rsidRPr="00FA4E58">
        <w:rPr>
          <w:lang w:val="en-US"/>
        </w:rPr>
        <w:t>–</w:t>
      </w:r>
      <w:r w:rsidRPr="00FA4E58">
        <w:rPr>
          <w:lang w:val="en-US"/>
        </w:rPr>
        <w:tab/>
        <w:t>the first maximum value is higher than 10 m: measured field strength increases with height.</w:t>
      </w:r>
    </w:p>
    <w:p w:rsidR="00454F5B" w:rsidRDefault="00454F5B" w:rsidP="00454F5B">
      <w:pPr>
        <w:rPr>
          <w:lang w:val="en-US"/>
        </w:rPr>
      </w:pPr>
      <w:r w:rsidRPr="00FA4E58">
        <w:rPr>
          <w:lang w:val="en-US"/>
        </w:rPr>
        <w:t xml:space="preserve">The fixed height measurement can be used to characterize the service area only if the result falls in evaluation class Q4 and Q5: it means field strength higher than </w:t>
      </w:r>
      <w:r w:rsidRPr="00FA4E58">
        <w:rPr>
          <w:i/>
          <w:lang w:val="en-US"/>
        </w:rPr>
        <w:t>E</w:t>
      </w:r>
      <w:r w:rsidRPr="00FA4E58">
        <w:rPr>
          <w:i/>
          <w:vertAlign w:val="subscript"/>
          <w:lang w:val="en-US"/>
        </w:rPr>
        <w:t>min</w:t>
      </w:r>
      <w:r w:rsidRPr="00FA4E58">
        <w:rPr>
          <w:lang w:val="en-US"/>
        </w:rPr>
        <w:t xml:space="preserve"> and absence of perturbation in the transmission channel. In such cases, it is possible to associate the measured value to an “</w:t>
      </w:r>
      <w:r w:rsidRPr="00FA4E58">
        <w:rPr>
          <w:iCs/>
          <w:lang w:val="en-US"/>
        </w:rPr>
        <w:t>area of validity</w:t>
      </w:r>
      <w:r w:rsidRPr="00FA4E58">
        <w:rPr>
          <w:lang w:val="en-US"/>
        </w:rPr>
        <w:t xml:space="preserve">”. The extent of the area of validity must be determined on the basis of the environment, distance from transmitter, vertical variation of the field strength and height of the first field strength maxima. Experience in </w:t>
      </w:r>
      <w:r>
        <w:rPr>
          <w:lang w:val="en-US"/>
        </w:rPr>
        <w:t xml:space="preserve">MFN </w:t>
      </w:r>
      <w:r w:rsidRPr="00FA4E58">
        <w:rPr>
          <w:lang w:val="en-US"/>
        </w:rPr>
        <w:t>analogue signal evaluation indicates the radius of the area of validity is up to a maximum of 10 km.</w:t>
      </w:r>
    </w:p>
    <w:p w:rsidR="00454F5B" w:rsidRPr="001B09E0" w:rsidRDefault="00454F5B" w:rsidP="00454F5B">
      <w:pPr>
        <w:rPr>
          <w:lang w:val="en-US"/>
        </w:rPr>
      </w:pPr>
      <w:r w:rsidRPr="001B09E0">
        <w:rPr>
          <w:lang w:val="en-US"/>
        </w:rPr>
        <w:t>The objective reception quality results Q5 and Q4 indicate that “better than adequate” coverage has been achieved by the service being evaluated.</w:t>
      </w:r>
    </w:p>
    <w:p w:rsidR="00454F5B" w:rsidRDefault="00454F5B" w:rsidP="00454F5B">
      <w:pPr>
        <w:rPr>
          <w:lang w:val="en-US"/>
        </w:rPr>
      </w:pPr>
      <w:r w:rsidRPr="00FA4E58">
        <w:rPr>
          <w:lang w:val="en-US"/>
        </w:rPr>
        <w:lastRenderedPageBreak/>
        <w:t xml:space="preserve">If objective </w:t>
      </w:r>
      <w:r>
        <w:rPr>
          <w:lang w:val="en-US"/>
        </w:rPr>
        <w:t xml:space="preserve">reception </w:t>
      </w:r>
      <w:r w:rsidRPr="00FA4E58">
        <w:rPr>
          <w:lang w:val="en-US"/>
        </w:rPr>
        <w:t>quality results are less than Q4 it is necessary to evaluate the vertical variation of field strength and then eventually the horizontal variation of field strength.</w:t>
      </w:r>
    </w:p>
    <w:p w:rsidR="00454F5B" w:rsidRPr="00E97A98" w:rsidRDefault="00454F5B" w:rsidP="00454F5B">
      <w:pPr>
        <w:rPr>
          <w:lang w:val="en-US"/>
        </w:rPr>
      </w:pPr>
      <w:r w:rsidRPr="00E97A98">
        <w:rPr>
          <w:lang w:val="en-US"/>
        </w:rPr>
        <w:t xml:space="preserve">In such a case or when the simplified method is used, the extent of the area of validity has to be reduced. </w:t>
      </w:r>
    </w:p>
    <w:p w:rsidR="00454F5B" w:rsidRPr="001B09E0" w:rsidRDefault="00454F5B" w:rsidP="00A21AA2">
      <w:pPr>
        <w:rPr>
          <w:lang w:val="en-US"/>
        </w:rPr>
      </w:pPr>
      <w:r w:rsidRPr="001B09E0">
        <w:rPr>
          <w:lang w:val="en-US"/>
        </w:rPr>
        <w:t>In SFN</w:t>
      </w:r>
      <w:r w:rsidR="00A21AA2">
        <w:rPr>
          <w:lang w:val="en-US"/>
        </w:rPr>
        <w:t>,</w:t>
      </w:r>
      <w:r w:rsidRPr="001B09E0">
        <w:rPr>
          <w:lang w:val="en-US"/>
        </w:rPr>
        <w:t xml:space="preserve"> the extent of the area of validity depends on CIR evaluation. For SFN having contributions falling inside 50% of the GI, and objective reception quality Q5 or Q4 are achieved, </w:t>
      </w:r>
      <w:r w:rsidR="00A21AA2">
        <w:rPr>
          <w:lang w:val="en-US"/>
        </w:rPr>
        <w:t>a maximum of 10 k</w:t>
      </w:r>
      <w:r w:rsidRPr="001B09E0">
        <w:rPr>
          <w:lang w:val="en-US"/>
        </w:rPr>
        <w:t xml:space="preserve">m can be also taken. </w:t>
      </w:r>
    </w:p>
    <w:p w:rsidR="00454F5B" w:rsidRPr="001B09E0" w:rsidRDefault="00454F5B" w:rsidP="00454F5B">
      <w:pPr>
        <w:rPr>
          <w:lang w:val="en-US"/>
        </w:rPr>
      </w:pPr>
      <w:r w:rsidRPr="001B09E0">
        <w:rPr>
          <w:lang w:val="en-US"/>
        </w:rPr>
        <w:t>For SFN having contributions falling closed GI edge or beside of it or objective reception quality results are less than Q4, shorter radius of validity than above have to be taken into account.</w:t>
      </w:r>
    </w:p>
    <w:p w:rsidR="00454F5B" w:rsidRPr="00FA4E58" w:rsidRDefault="00454F5B" w:rsidP="00454F5B">
      <w:pPr>
        <w:pStyle w:val="Heading1"/>
        <w:rPr>
          <w:lang w:val="en-US"/>
        </w:rPr>
      </w:pPr>
      <w:bookmarkStart w:id="8" w:name="_Toc117308796"/>
      <w:r w:rsidRPr="00FA4E58">
        <w:rPr>
          <w:lang w:val="en-US"/>
        </w:rPr>
        <w:t>6</w:t>
      </w:r>
      <w:r w:rsidRPr="00FA4E58">
        <w:rPr>
          <w:lang w:val="en-US"/>
        </w:rPr>
        <w:tab/>
        <w:t>Vertical variation of field strength</w:t>
      </w:r>
      <w:bookmarkEnd w:id="8"/>
    </w:p>
    <w:p w:rsidR="00454F5B" w:rsidRPr="00FA4E58" w:rsidRDefault="00454F5B" w:rsidP="00454F5B">
      <w:pPr>
        <w:rPr>
          <w:lang w:val="en-US"/>
        </w:rPr>
      </w:pPr>
      <w:r w:rsidRPr="00FA4E58">
        <w:rPr>
          <w:lang w:val="en-US"/>
        </w:rPr>
        <w:t xml:space="preserve">The field strength and BER change continuously during the antenna positioning process up to 10 m above ground level. Values depend on the different path combinations and eventually on the obstruction at the low height. If the evaluated objective quality is less than Q4 at an antenna position of approximately 10 m, it is necessary to verify if the objective quality grade Q3 has been exceeded during the antenna positioning process. An antenna position suitable for reception should be identified. The objective quality grade evaluated in such cases is reported as significant and the recorded VV (Vertical Variation) is included in the measurement results. It has been found that  the radius of the area of validity is up to a maximum of 2 km. </w:t>
      </w:r>
    </w:p>
    <w:p w:rsidR="00454F5B" w:rsidRPr="00FA4E58" w:rsidRDefault="00454F5B" w:rsidP="00454F5B">
      <w:pPr>
        <w:rPr>
          <w:lang w:val="en-US"/>
        </w:rPr>
      </w:pPr>
      <w:r w:rsidRPr="00FA4E58">
        <w:rPr>
          <w:lang w:val="en-US"/>
        </w:rPr>
        <w:t>The objective quality result Q3 is similar to coverage level grade adopted in the plann</w:t>
      </w:r>
      <w:r>
        <w:rPr>
          <w:lang w:val="en-US"/>
        </w:rPr>
        <w:t>e</w:t>
      </w:r>
      <w:r w:rsidR="00A21AA2">
        <w:rPr>
          <w:lang w:val="en-US"/>
        </w:rPr>
        <w:t>d</w:t>
      </w:r>
      <w:r w:rsidRPr="00FA4E58">
        <w:rPr>
          <w:lang w:val="en-US"/>
        </w:rPr>
        <w:t xml:space="preserve"> system.</w:t>
      </w:r>
    </w:p>
    <w:p w:rsidR="00454F5B" w:rsidRPr="00FA4E58" w:rsidRDefault="00454F5B" w:rsidP="00454F5B">
      <w:pPr>
        <w:pStyle w:val="Heading1"/>
        <w:rPr>
          <w:lang w:val="en-US"/>
        </w:rPr>
      </w:pPr>
      <w:bookmarkStart w:id="9" w:name="_Toc117308797"/>
      <w:r w:rsidRPr="00FA4E58">
        <w:rPr>
          <w:lang w:val="en-US"/>
        </w:rPr>
        <w:t>7</w:t>
      </w:r>
      <w:r w:rsidRPr="00FA4E58">
        <w:rPr>
          <w:lang w:val="en-US"/>
        </w:rPr>
        <w:tab/>
        <w:t>Horizontal variation of field strength</w:t>
      </w:r>
      <w:bookmarkEnd w:id="9"/>
    </w:p>
    <w:p w:rsidR="00454F5B" w:rsidRPr="00FA4E58" w:rsidRDefault="00454F5B" w:rsidP="00454F5B">
      <w:pPr>
        <w:rPr>
          <w:lang w:val="en-US"/>
        </w:rPr>
      </w:pPr>
      <w:r w:rsidRPr="00FA4E58">
        <w:rPr>
          <w:lang w:val="en-US"/>
        </w:rPr>
        <w:t xml:space="preserve">When using a vertical variation of field strength method the objective quality evaluation remains always lower than Q3, it is necessary to verify if that result depends on a bad choice of the measurement point or if it is related to the area under investigation. </w:t>
      </w:r>
    </w:p>
    <w:p w:rsidR="00454F5B" w:rsidRDefault="00454F5B" w:rsidP="00454F5B">
      <w:pPr>
        <w:rPr>
          <w:lang w:val="en-US"/>
        </w:rPr>
      </w:pPr>
      <w:r w:rsidRPr="00FA4E58">
        <w:rPr>
          <w:lang w:val="en-US"/>
        </w:rPr>
        <w:t>In such cases it is necessary to select other measurement points near to the first one selected. If the results related to the new points give objective quality evaluation again lower than Q3, it should be reported as most significant the best result obtained and the relative range of validity. The range of validity should be as wider as greater is the distance between measurement points.</w:t>
      </w:r>
    </w:p>
    <w:p w:rsidR="00E04150" w:rsidRPr="00E04150" w:rsidRDefault="00E04150" w:rsidP="00E04150">
      <w:pPr>
        <w:spacing w:before="720"/>
        <w:jc w:val="center"/>
      </w:pPr>
      <w:r>
        <w:t>______________</w:t>
      </w:r>
    </w:p>
    <w:sectPr w:rsidR="00E04150" w:rsidRPr="00E04150" w:rsidSect="00C51AD2">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F5B" w:rsidRDefault="00454F5B">
      <w:r>
        <w:separator/>
      </w:r>
    </w:p>
  </w:endnote>
  <w:endnote w:type="continuationSeparator" w:id="0">
    <w:p w:rsidR="00454F5B" w:rsidRDefault="0045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F5B" w:rsidRDefault="00454F5B">
      <w:r>
        <w:separator/>
      </w:r>
    </w:p>
  </w:footnote>
  <w:footnote w:type="continuationSeparator" w:id="0">
    <w:p w:rsidR="00454F5B" w:rsidRDefault="00454F5B">
      <w:r>
        <w:continuationSeparator/>
      </w:r>
    </w:p>
  </w:footnote>
  <w:footnote w:id="1">
    <w:p w:rsidR="00454F5B" w:rsidRPr="001B09E0" w:rsidRDefault="00454F5B" w:rsidP="00286FB6">
      <w:pPr>
        <w:pStyle w:val="FootnoteText"/>
        <w:rPr>
          <w:lang w:val="en-US"/>
        </w:rPr>
      </w:pPr>
      <w:r>
        <w:rPr>
          <w:rStyle w:val="FootnoteReference"/>
        </w:rPr>
        <w:footnoteRef/>
      </w:r>
      <w:r w:rsidRPr="001B09E0">
        <w:rPr>
          <w:lang w:val="en-US"/>
        </w:rPr>
        <w:t xml:space="preserve"> </w:t>
      </w:r>
      <w:r w:rsidRPr="001B09E0">
        <w:rPr>
          <w:lang w:val="en-US"/>
        </w:rPr>
        <w:tab/>
        <w:t>The main application is for fixed reception and steady receiving conditions. Caution should be taken for tropospheric propagation when detectable contributions fall closed or outside GI.</w:t>
      </w:r>
    </w:p>
    <w:p w:rsidR="00454F5B" w:rsidRPr="001B09E0" w:rsidRDefault="00286FB6" w:rsidP="004D5A56">
      <w:pPr>
        <w:pStyle w:val="FootnoteText"/>
        <w:rPr>
          <w:lang w:val="en-US"/>
        </w:rPr>
      </w:pPr>
      <w:r>
        <w:rPr>
          <w:lang w:val="en-US"/>
        </w:rPr>
        <w:tab/>
      </w:r>
      <w:r w:rsidR="00454F5B" w:rsidRPr="001B09E0">
        <w:rPr>
          <w:lang w:val="en-US"/>
        </w:rPr>
        <w:t>For fixed reception and time variable receiving conditions</w:t>
      </w:r>
      <w:r w:rsidR="004D5A56">
        <w:rPr>
          <w:lang w:val="en-US"/>
        </w:rPr>
        <w:t>,</w:t>
      </w:r>
      <w:r w:rsidR="00454F5B" w:rsidRPr="001B09E0">
        <w:rPr>
          <w:lang w:val="en-US"/>
        </w:rPr>
        <w:t xml:space="preserve"> a statistical method ha</w:t>
      </w:r>
      <w:r w:rsidR="004D5A56">
        <w:rPr>
          <w:lang w:val="en-US"/>
        </w:rPr>
        <w:t>s</w:t>
      </w:r>
      <w:r w:rsidR="00454F5B" w:rsidRPr="001B09E0">
        <w:rPr>
          <w:lang w:val="en-US"/>
        </w:rPr>
        <w:t xml:space="preserve"> to be applied. Several samples of </w:t>
      </w:r>
      <w:r w:rsidRPr="001B09E0">
        <w:rPr>
          <w:lang w:val="en-US"/>
        </w:rPr>
        <w:t xml:space="preserve">field strengh </w:t>
      </w:r>
      <w:r w:rsidR="00454F5B" w:rsidRPr="001B09E0">
        <w:rPr>
          <w:lang w:val="en-US"/>
        </w:rPr>
        <w:t>and BER have to be taken over a significative period of time and Q values have to be calculated for each sample. A Q value exceeded for more than a specific percentage of time (e.g.</w:t>
      </w:r>
      <w:r w:rsidR="00C3604E">
        <w:rPr>
          <w:lang w:val="en-US"/>
        </w:rPr>
        <w:t>,</w:t>
      </w:r>
      <w:r>
        <w:rPr>
          <w:lang w:val="en-US"/>
        </w:rPr>
        <w:t> </w:t>
      </w:r>
      <w:r w:rsidR="00454F5B" w:rsidRPr="001B09E0">
        <w:rPr>
          <w:lang w:val="en-US"/>
        </w:rPr>
        <w:t>90%) of the samples is the value of the Quality coverage.</w:t>
      </w:r>
    </w:p>
  </w:footnote>
  <w:footnote w:id="2">
    <w:p w:rsidR="00C217FD" w:rsidRPr="00C217FD" w:rsidRDefault="00C217FD" w:rsidP="00C217FD">
      <w:pPr>
        <w:pStyle w:val="FootnoteText"/>
        <w:rPr>
          <w:lang w:val="en-US"/>
        </w:rPr>
      </w:pPr>
      <w:r>
        <w:rPr>
          <w:rStyle w:val="FootnoteReference"/>
        </w:rPr>
        <w:footnoteRef/>
      </w:r>
      <w:r w:rsidRPr="00C217FD">
        <w:rPr>
          <w:lang w:val="en-US"/>
        </w:rPr>
        <w:t xml:space="preserve"> </w:t>
      </w:r>
      <w:r w:rsidRPr="00C217FD">
        <w:rPr>
          <w:lang w:val="en-US"/>
        </w:rPr>
        <w:tab/>
      </w:r>
      <w:r w:rsidRPr="007B2E9D">
        <w:rPr>
          <w:lang w:val="en-US"/>
        </w:rPr>
        <w:t>Minimum MER acceptable is contained in the purchase specification for the transmitters</w:t>
      </w:r>
      <w:r>
        <w:rPr>
          <w:lang w:val="en-US"/>
        </w:rPr>
        <w:t>.</w:t>
      </w:r>
    </w:p>
  </w:footnote>
  <w:footnote w:id="3">
    <w:p w:rsidR="00454F5B" w:rsidRPr="00182D78" w:rsidRDefault="00454F5B" w:rsidP="002471DA">
      <w:pPr>
        <w:pStyle w:val="FootnoteText"/>
        <w:rPr>
          <w:lang w:val="en-US"/>
        </w:rPr>
      </w:pPr>
      <w:r>
        <w:rPr>
          <w:rStyle w:val="FootnoteReference"/>
        </w:rPr>
        <w:footnoteRef/>
      </w:r>
      <w:r w:rsidRPr="00182D78">
        <w:rPr>
          <w:lang w:val="en-US"/>
        </w:rPr>
        <w:t xml:space="preserve"> </w:t>
      </w:r>
      <w:r w:rsidRPr="00182D78">
        <w:rPr>
          <w:lang w:val="en-US"/>
        </w:rPr>
        <w:tab/>
        <w:t xml:space="preserve">For acronyms, fixed values and tables scale interpretation see </w:t>
      </w:r>
      <w:r w:rsidR="002471DA">
        <w:rPr>
          <w:lang w:val="en-US"/>
        </w:rPr>
        <w:t>§</w:t>
      </w:r>
      <w:r w:rsidRPr="00182D78">
        <w:rPr>
          <w:lang w:val="en-US"/>
        </w:rPr>
        <w:t xml:space="preserve"> 4.</w:t>
      </w:r>
    </w:p>
  </w:footnote>
  <w:footnote w:id="4">
    <w:p w:rsidR="00454F5B" w:rsidRPr="001B09E0" w:rsidRDefault="00454F5B" w:rsidP="002471DA">
      <w:pPr>
        <w:pStyle w:val="FootnoteText"/>
        <w:rPr>
          <w:rFonts w:ascii="Times New Roman Bold" w:hAnsi="Times New Roman Bold"/>
          <w:lang w:val="en-US"/>
        </w:rPr>
      </w:pPr>
      <w:r>
        <w:rPr>
          <w:rStyle w:val="FootnoteReference"/>
        </w:rPr>
        <w:footnoteRef/>
      </w:r>
      <w:r w:rsidRPr="00FA4E58">
        <w:rPr>
          <w:lang w:val="en-US"/>
        </w:rPr>
        <w:tab/>
      </w:r>
      <w:r w:rsidRPr="00D9607E">
        <w:rPr>
          <w:b/>
          <w:bCs/>
          <w:lang w:val="en-US"/>
        </w:rPr>
        <w:t>E</w:t>
      </w:r>
      <w:r>
        <w:rPr>
          <w:b/>
          <w:bCs/>
          <w:vertAlign w:val="subscript"/>
          <w:lang w:val="en-US"/>
        </w:rPr>
        <w:t>xx</w:t>
      </w:r>
      <w:r>
        <w:rPr>
          <w:lang w:val="en-US"/>
        </w:rPr>
        <w:t xml:space="preserve"> </w:t>
      </w:r>
      <w:r w:rsidRPr="00FA4E58">
        <w:rPr>
          <w:lang w:val="en-US"/>
        </w:rPr>
        <w:t>may also represent the planning values chosen by administrations</w:t>
      </w:r>
      <w:r w:rsidR="002471DA">
        <w:rPr>
          <w:lang w:val="en-US"/>
        </w:rPr>
        <w:t xml:space="preserve"> </w:t>
      </w:r>
      <w:r>
        <w:rPr>
          <w:lang w:val="en-US"/>
        </w:rPr>
        <w:t>(e.g.: E</w:t>
      </w:r>
      <w:r>
        <w:rPr>
          <w:b/>
          <w:bCs/>
          <w:vertAlign w:val="subscript"/>
          <w:lang w:val="en-US"/>
        </w:rPr>
        <w:t>95</w:t>
      </w:r>
      <w:r w:rsidRPr="002471DA">
        <w:rPr>
          <w:rFonts w:hAnsi="Times New Roman Bold"/>
          <w:lang w:val="en-US"/>
        </w:rPr>
        <w:t>)</w:t>
      </w:r>
      <w:r w:rsidR="002471DA" w:rsidRPr="002471DA">
        <w:rPr>
          <w:rFonts w:hAnsi="Times New Roman Bold"/>
          <w:lang w:val="en-US"/>
        </w:rPr>
        <w:t>.</w:t>
      </w:r>
    </w:p>
  </w:footnote>
  <w:footnote w:id="5">
    <w:p w:rsidR="002471DA" w:rsidRPr="001B09E0" w:rsidRDefault="002471DA" w:rsidP="00454F5B">
      <w:pPr>
        <w:pStyle w:val="FootnoteText"/>
        <w:rPr>
          <w:lang w:val="en-US"/>
        </w:rPr>
      </w:pPr>
      <w:r>
        <w:rPr>
          <w:rStyle w:val="FootnoteReference"/>
        </w:rPr>
        <w:footnoteRef/>
      </w:r>
      <w:r w:rsidRPr="001B09E0">
        <w:rPr>
          <w:lang w:val="en-US"/>
        </w:rPr>
        <w:t xml:space="preserve"> </w:t>
      </w:r>
      <w:r w:rsidRPr="001B09E0">
        <w:rPr>
          <w:lang w:val="en-US"/>
        </w:rPr>
        <w:tab/>
      </w:r>
      <w:r w:rsidRPr="001B09E0">
        <w:rPr>
          <w:lang w:val="en-GB"/>
        </w:rPr>
        <w:t>E</w:t>
      </w:r>
      <w:r w:rsidRPr="001B09E0">
        <w:rPr>
          <w:vertAlign w:val="subscript"/>
          <w:lang w:val="en-GB"/>
        </w:rPr>
        <w:t>xx</w:t>
      </w:r>
      <w:r w:rsidRPr="001B09E0">
        <w:rPr>
          <w:lang w:val="en-US"/>
        </w:rPr>
        <w:t xml:space="preserve"> may also represent</w:t>
      </w:r>
      <w:r w:rsidRPr="001B09E0">
        <w:rPr>
          <w:lang w:val="en-GB"/>
        </w:rPr>
        <w:t xml:space="preserve"> the planning value chosen by Administrations</w:t>
      </w:r>
      <w:r w:rsidRPr="001B09E0">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F5B" w:rsidRDefault="00454F5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F5B" w:rsidRDefault="00723312" w:rsidP="00B033C8">
    <w:pPr>
      <w:pStyle w:val="Header"/>
      <w:ind w:right="360" w:firstLine="360"/>
    </w:pPr>
    <w:r>
      <w:rPr>
        <w:noProof/>
        <w:lang w:val="en-US" w:eastAsia="zh-CN"/>
      </w:rPr>
      <w:drawing>
        <wp:anchor distT="0" distB="0" distL="114300" distR="114300" simplePos="0" relativeHeight="251658752" behindDoc="0" locked="0" layoutInCell="1" allowOverlap="1" wp14:anchorId="27A4894C" wp14:editId="6E33F9F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454F5B">
      <w:rPr>
        <w:noProof/>
        <w:lang w:val="en-US" w:eastAsia="zh-CN"/>
      </w:rPr>
      <w:drawing>
        <wp:anchor distT="0" distB="0" distL="114300" distR="114300" simplePos="0" relativeHeight="251657728" behindDoc="1" locked="0" layoutInCell="1" allowOverlap="1" wp14:anchorId="15D517B4" wp14:editId="2AFB21D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F5B" w:rsidRPr="000F6905" w:rsidRDefault="00454F5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A66F3">
      <w:rPr>
        <w:rStyle w:val="PageNumber"/>
        <w:b/>
        <w:bCs/>
        <w:noProof/>
      </w:rPr>
      <w:t>ii</w:t>
    </w:r>
    <w:r>
      <w:rPr>
        <w:rStyle w:val="PageNumber"/>
        <w:b/>
        <w:bCs/>
      </w:rPr>
      <w:fldChar w:fldCharType="end"/>
    </w:r>
    <w:r w:rsidRPr="000F6905">
      <w:tab/>
    </w:r>
    <w:r w:rsidR="000A66F3">
      <w:fldChar w:fldCharType="begin"/>
    </w:r>
    <w:r w:rsidR="000A66F3">
      <w:instrText xml:space="preserve"> DOCPROPERTY "Header" \* MERGEFORMAT </w:instrText>
    </w:r>
    <w:r w:rsidR="000A66F3">
      <w:fldChar w:fldCharType="separate"/>
    </w:r>
    <w:r w:rsidR="000A66F3" w:rsidRPr="000A66F3">
      <w:rPr>
        <w:b/>
        <w:bCs/>
      </w:rPr>
      <w:t xml:space="preserve">Rec. </w:t>
    </w:r>
    <w:r w:rsidR="000A66F3">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0A66F3">
      <w:rPr>
        <w:b/>
        <w:bCs/>
        <w:noProof/>
      </w:rPr>
      <w:t>ITU-R  BT.1735-3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F5B" w:rsidRDefault="00454F5B">
    <w:pPr>
      <w:pStyle w:val="Header"/>
    </w:pPr>
    <w:r>
      <w:tab/>
    </w:r>
    <w:r w:rsidR="000A66F3">
      <w:fldChar w:fldCharType="begin"/>
    </w:r>
    <w:r w:rsidR="000A66F3">
      <w:instrText xml:space="preserve"> DOCPROPERTY "Header" \* MERGEFORMAT </w:instrText>
    </w:r>
    <w:r w:rsidR="000A66F3">
      <w:fldChar w:fldCharType="separate"/>
    </w:r>
    <w:r w:rsidR="000A66F3" w:rsidRPr="000A66F3">
      <w:rPr>
        <w:b/>
        <w:bCs/>
      </w:rPr>
      <w:t xml:space="preserve">Rec. </w:t>
    </w:r>
    <w:r w:rsidR="000A66F3">
      <w:rPr>
        <w:b/>
        <w:bCs/>
      </w:rPr>
      <w:fldChar w:fldCharType="end"/>
    </w:r>
    <w:r>
      <w:rPr>
        <w:b/>
        <w:bCs/>
      </w:rPr>
      <w:t xml:space="preserve"> </w:t>
    </w:r>
    <w:r>
      <w:rPr>
        <w:b/>
        <w:bCs/>
      </w:rPr>
      <w:fldChar w:fldCharType="begin"/>
    </w:r>
    <w:r>
      <w:rPr>
        <w:b/>
        <w:bCs/>
      </w:rPr>
      <w:instrText>styleref href</w:instrText>
    </w:r>
    <w:r>
      <w:rPr>
        <w:b/>
        <w:bCs/>
      </w:rPr>
      <w:fldChar w:fldCharType="separate"/>
    </w:r>
    <w:r w:rsidR="000A66F3">
      <w:rPr>
        <w:b/>
        <w:bCs/>
        <w:noProof/>
      </w:rPr>
      <w:t>ITU-R  BT.1735-3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A66F3">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A66F3" w:rsidRPr="000A66F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A66F3">
      <w:rPr>
        <w:b/>
        <w:bCs/>
        <w:noProof/>
      </w:rPr>
      <w:t>ITU-R  BT.1735-3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0A66F3">
      <w:fldChar w:fldCharType="begin"/>
    </w:r>
    <w:r w:rsidR="000A66F3">
      <w:instrText xml:space="preserve"> DOCPROPERTY "Header" \* MERGEFORMAT </w:instrText>
    </w:r>
    <w:r w:rsidR="000A66F3">
      <w:fldChar w:fldCharType="separate"/>
    </w:r>
    <w:r w:rsidR="000A66F3" w:rsidRPr="000A66F3">
      <w:rPr>
        <w:b/>
        <w:bCs/>
      </w:rPr>
      <w:t xml:space="preserve">Rec. </w:t>
    </w:r>
    <w:r w:rsidR="000A66F3">
      <w:rPr>
        <w:b/>
        <w:bCs/>
      </w:rPr>
      <w:fldChar w:fldCharType="end"/>
    </w:r>
    <w:r>
      <w:rPr>
        <w:b/>
        <w:bCs/>
      </w:rPr>
      <w:t xml:space="preserve"> </w:t>
    </w:r>
    <w:r>
      <w:rPr>
        <w:b/>
        <w:bCs/>
      </w:rPr>
      <w:fldChar w:fldCharType="begin"/>
    </w:r>
    <w:r>
      <w:rPr>
        <w:b/>
        <w:bCs/>
      </w:rPr>
      <w:instrText>styleref href</w:instrText>
    </w:r>
    <w:r>
      <w:rPr>
        <w:b/>
        <w:bCs/>
      </w:rPr>
      <w:fldChar w:fldCharType="separate"/>
    </w:r>
    <w:r w:rsidR="000A66F3">
      <w:rPr>
        <w:b/>
        <w:bCs/>
        <w:noProof/>
      </w:rPr>
      <w:t>ITU-R  BT.1735-3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A66F3">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F5B"/>
    <w:rsid w:val="00036B1F"/>
    <w:rsid w:val="000A3B9D"/>
    <w:rsid w:val="000A66F3"/>
    <w:rsid w:val="001422B1"/>
    <w:rsid w:val="00187A17"/>
    <w:rsid w:val="00217EBF"/>
    <w:rsid w:val="00221BF8"/>
    <w:rsid w:val="00242AEE"/>
    <w:rsid w:val="002471DA"/>
    <w:rsid w:val="00286FB6"/>
    <w:rsid w:val="00291E9C"/>
    <w:rsid w:val="002D76C4"/>
    <w:rsid w:val="00454F5B"/>
    <w:rsid w:val="00491520"/>
    <w:rsid w:val="004B3CCB"/>
    <w:rsid w:val="004D0132"/>
    <w:rsid w:val="004D0ADF"/>
    <w:rsid w:val="004D5A56"/>
    <w:rsid w:val="004F6BDC"/>
    <w:rsid w:val="0052529D"/>
    <w:rsid w:val="005E64D5"/>
    <w:rsid w:val="00607D68"/>
    <w:rsid w:val="00714681"/>
    <w:rsid w:val="00723135"/>
    <w:rsid w:val="00723312"/>
    <w:rsid w:val="007468DA"/>
    <w:rsid w:val="007A37B4"/>
    <w:rsid w:val="00860584"/>
    <w:rsid w:val="00925EE3"/>
    <w:rsid w:val="009E00A8"/>
    <w:rsid w:val="009F4B08"/>
    <w:rsid w:val="00A04939"/>
    <w:rsid w:val="00A20A25"/>
    <w:rsid w:val="00A21AA2"/>
    <w:rsid w:val="00A6617B"/>
    <w:rsid w:val="00AB0DC8"/>
    <w:rsid w:val="00B01A10"/>
    <w:rsid w:val="00B1367D"/>
    <w:rsid w:val="00B44E24"/>
    <w:rsid w:val="00B73D5C"/>
    <w:rsid w:val="00B92626"/>
    <w:rsid w:val="00BD6A95"/>
    <w:rsid w:val="00C217FD"/>
    <w:rsid w:val="00C3604E"/>
    <w:rsid w:val="00C51AD2"/>
    <w:rsid w:val="00DF4176"/>
    <w:rsid w:val="00E04150"/>
    <w:rsid w:val="00E8533B"/>
    <w:rsid w:val="00EC4F0D"/>
    <w:rsid w:val="00F7555D"/>
    <w:rsid w:val="00FA77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81"/>
    <o:shapelayout v:ext="edit">
      <o:idmap v:ext="edit" data="1"/>
    </o:shapelayout>
  </w:shapeDefaults>
  <w:decimalSymbol w:val="."/>
  <w:listSeparator w:val=";"/>
  <w15:docId w15:val="{0A74FA0D-5AF0-4DFF-8D2B-5F7DD1484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67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51AD2"/>
    <w:pPr>
      <w:keepNext/>
      <w:keepLines/>
      <w:spacing w:before="480"/>
      <w:ind w:left="794" w:hanging="794"/>
      <w:outlineLvl w:val="0"/>
    </w:pPr>
    <w:rPr>
      <w:b/>
    </w:rPr>
  </w:style>
  <w:style w:type="paragraph" w:styleId="Heading2">
    <w:name w:val="heading 2"/>
    <w:basedOn w:val="Heading1"/>
    <w:next w:val="Normal"/>
    <w:qFormat/>
    <w:rsid w:val="00C51AD2"/>
    <w:pPr>
      <w:spacing w:before="320"/>
      <w:outlineLvl w:val="1"/>
    </w:pPr>
  </w:style>
  <w:style w:type="paragraph" w:styleId="Heading3">
    <w:name w:val="heading 3"/>
    <w:basedOn w:val="Heading1"/>
    <w:next w:val="Normal"/>
    <w:qFormat/>
    <w:rsid w:val="00C51AD2"/>
    <w:pPr>
      <w:spacing w:before="200"/>
      <w:outlineLvl w:val="2"/>
    </w:pPr>
  </w:style>
  <w:style w:type="paragraph" w:styleId="Heading4">
    <w:name w:val="heading 4"/>
    <w:basedOn w:val="Heading3"/>
    <w:next w:val="Normal"/>
    <w:qFormat/>
    <w:rsid w:val="00C51AD2"/>
    <w:pPr>
      <w:tabs>
        <w:tab w:val="clear" w:pos="794"/>
        <w:tab w:val="left" w:pos="992"/>
      </w:tabs>
      <w:ind w:left="992" w:hanging="992"/>
      <w:outlineLvl w:val="3"/>
    </w:pPr>
  </w:style>
  <w:style w:type="paragraph" w:styleId="Heading5">
    <w:name w:val="heading 5"/>
    <w:basedOn w:val="Heading4"/>
    <w:next w:val="Normal"/>
    <w:qFormat/>
    <w:rsid w:val="00C51AD2"/>
    <w:pPr>
      <w:outlineLvl w:val="4"/>
    </w:pPr>
  </w:style>
  <w:style w:type="paragraph" w:styleId="Heading6">
    <w:name w:val="heading 6"/>
    <w:basedOn w:val="Heading4"/>
    <w:next w:val="Normal"/>
    <w:qFormat/>
    <w:rsid w:val="00C51AD2"/>
    <w:pPr>
      <w:tabs>
        <w:tab w:val="clear" w:pos="992"/>
        <w:tab w:val="clear" w:pos="1191"/>
      </w:tabs>
      <w:ind w:left="1588" w:hanging="1588"/>
      <w:outlineLvl w:val="5"/>
    </w:pPr>
  </w:style>
  <w:style w:type="paragraph" w:styleId="Heading7">
    <w:name w:val="heading 7"/>
    <w:basedOn w:val="Heading6"/>
    <w:next w:val="Normal"/>
    <w:qFormat/>
    <w:rsid w:val="00C51AD2"/>
    <w:pPr>
      <w:outlineLvl w:val="6"/>
    </w:pPr>
  </w:style>
  <w:style w:type="paragraph" w:styleId="Heading8">
    <w:name w:val="heading 8"/>
    <w:basedOn w:val="Heading6"/>
    <w:next w:val="Normal"/>
    <w:qFormat/>
    <w:rsid w:val="00C51AD2"/>
    <w:pPr>
      <w:outlineLvl w:val="7"/>
    </w:pPr>
  </w:style>
  <w:style w:type="paragraph" w:styleId="Heading9">
    <w:name w:val="heading 9"/>
    <w:basedOn w:val="Heading6"/>
    <w:next w:val="Normal"/>
    <w:qFormat/>
    <w:rsid w:val="00C51A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51A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51A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1AD2"/>
  </w:style>
  <w:style w:type="paragraph" w:customStyle="1" w:styleId="Headingb">
    <w:name w:val="Heading_b"/>
    <w:basedOn w:val="Heading3"/>
    <w:next w:val="Normal"/>
    <w:rsid w:val="00C51AD2"/>
    <w:pPr>
      <w:spacing w:before="160"/>
      <w:ind w:left="0" w:firstLine="0"/>
      <w:outlineLvl w:val="9"/>
    </w:pPr>
  </w:style>
  <w:style w:type="paragraph" w:customStyle="1" w:styleId="Headingi">
    <w:name w:val="Heading_i"/>
    <w:basedOn w:val="Heading3"/>
    <w:next w:val="Normal"/>
    <w:rsid w:val="00C51AD2"/>
    <w:pPr>
      <w:spacing w:before="160"/>
      <w:ind w:left="0" w:firstLine="0"/>
    </w:pPr>
    <w:rPr>
      <w:b w:val="0"/>
      <w:i/>
    </w:rPr>
  </w:style>
  <w:style w:type="character" w:customStyle="1" w:styleId="href">
    <w:name w:val="href"/>
    <w:basedOn w:val="DefaultParagraphFont"/>
    <w:rsid w:val="00C51AD2"/>
  </w:style>
  <w:style w:type="paragraph" w:customStyle="1" w:styleId="enumlev1">
    <w:name w:val="enumlev1"/>
    <w:basedOn w:val="Normal"/>
    <w:rsid w:val="00C51AD2"/>
    <w:pPr>
      <w:spacing w:before="80"/>
      <w:ind w:left="794" w:hanging="794"/>
    </w:pPr>
  </w:style>
  <w:style w:type="paragraph" w:customStyle="1" w:styleId="enumlev2">
    <w:name w:val="enumlev2"/>
    <w:basedOn w:val="enumlev1"/>
    <w:rsid w:val="00C51AD2"/>
    <w:pPr>
      <w:ind w:left="1191" w:hanging="397"/>
    </w:pPr>
  </w:style>
  <w:style w:type="paragraph" w:customStyle="1" w:styleId="enumlev3">
    <w:name w:val="enumlev3"/>
    <w:basedOn w:val="enumlev2"/>
    <w:rsid w:val="00C51AD2"/>
    <w:pPr>
      <w:ind w:left="1588"/>
    </w:pPr>
  </w:style>
  <w:style w:type="paragraph" w:customStyle="1" w:styleId="Normalaftertitle">
    <w:name w:val="Normal_after_title"/>
    <w:basedOn w:val="Normal"/>
    <w:next w:val="Normal"/>
    <w:rsid w:val="00C51AD2"/>
    <w:pPr>
      <w:spacing w:before="320"/>
    </w:pPr>
  </w:style>
  <w:style w:type="paragraph" w:customStyle="1" w:styleId="Note">
    <w:name w:val="Note"/>
    <w:basedOn w:val="Normal"/>
    <w:rsid w:val="00C51AD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1AD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51AD2"/>
    <w:pPr>
      <w:spacing w:before="240"/>
    </w:pPr>
    <w:rPr>
      <w:sz w:val="22"/>
      <w:lang w:val="es-ES_tradnl"/>
    </w:rPr>
  </w:style>
  <w:style w:type="paragraph" w:customStyle="1" w:styleId="Recref">
    <w:name w:val="Rec_ref"/>
    <w:basedOn w:val="Normal"/>
    <w:next w:val="Recdate"/>
    <w:rsid w:val="00C51AD2"/>
    <w:pPr>
      <w:jc w:val="center"/>
    </w:pPr>
  </w:style>
  <w:style w:type="paragraph" w:customStyle="1" w:styleId="Recdate">
    <w:name w:val="Rec_date"/>
    <w:basedOn w:val="Recref"/>
    <w:next w:val="Normalaftertitle"/>
    <w:rsid w:val="00C51AD2"/>
    <w:pPr>
      <w:jc w:val="right"/>
    </w:pPr>
  </w:style>
  <w:style w:type="paragraph" w:customStyle="1" w:styleId="AnnexNoTitle">
    <w:name w:val="Annex_NoTitle"/>
    <w:basedOn w:val="Normal"/>
    <w:next w:val="Normalaftertitle"/>
    <w:rsid w:val="00C51AD2"/>
    <w:pPr>
      <w:keepNext/>
      <w:keepLines/>
      <w:spacing w:before="480" w:after="80"/>
      <w:jc w:val="center"/>
    </w:pPr>
    <w:rPr>
      <w:b/>
      <w:sz w:val="28"/>
    </w:rPr>
  </w:style>
  <w:style w:type="paragraph" w:customStyle="1" w:styleId="AppendixNoTitle">
    <w:name w:val="Appendix_NoTitle"/>
    <w:basedOn w:val="AnnexNoTitle"/>
    <w:next w:val="Normal"/>
    <w:rsid w:val="00C51AD2"/>
  </w:style>
  <w:style w:type="paragraph" w:customStyle="1" w:styleId="Tablefin">
    <w:name w:val="Table_fin"/>
    <w:basedOn w:val="Normal"/>
    <w:next w:val="Normal"/>
    <w:rsid w:val="00C51AD2"/>
    <w:pPr>
      <w:spacing w:before="0"/>
    </w:pPr>
    <w:rPr>
      <w:sz w:val="20"/>
      <w:lang w:val="en-GB"/>
    </w:rPr>
  </w:style>
  <w:style w:type="paragraph" w:customStyle="1" w:styleId="Tablehead">
    <w:name w:val="Table_head"/>
    <w:basedOn w:val="Normal"/>
    <w:next w:val="Normal"/>
    <w:link w:val="TableheadChar"/>
    <w:rsid w:val="00C51A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51A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51AD2"/>
    <w:pPr>
      <w:keepNext/>
      <w:spacing w:before="360" w:after="120"/>
      <w:jc w:val="center"/>
    </w:pPr>
  </w:style>
  <w:style w:type="paragraph" w:customStyle="1" w:styleId="Tabletext">
    <w:name w:val="Table_text"/>
    <w:basedOn w:val="Normal"/>
    <w:link w:val="TabletextChar"/>
    <w:rsid w:val="00C51A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1AD2"/>
    <w:pPr>
      <w:tabs>
        <w:tab w:val="clear" w:pos="1191"/>
        <w:tab w:val="clear" w:pos="1588"/>
        <w:tab w:val="clear" w:pos="1985"/>
        <w:tab w:val="center" w:pos="4820"/>
        <w:tab w:val="right" w:pos="9639"/>
      </w:tabs>
    </w:pPr>
  </w:style>
  <w:style w:type="paragraph" w:customStyle="1" w:styleId="Equationlegend">
    <w:name w:val="Equation_legend"/>
    <w:basedOn w:val="NormalIndent"/>
    <w:rsid w:val="00C51A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51AD2"/>
    <w:pPr>
      <w:ind w:left="794"/>
    </w:pPr>
  </w:style>
  <w:style w:type="paragraph" w:customStyle="1" w:styleId="Figurelegend">
    <w:name w:val="Figure_legend"/>
    <w:basedOn w:val="Normal"/>
    <w:rsid w:val="00C51A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51AD2"/>
    <w:pPr>
      <w:keepNext/>
      <w:keepLines/>
      <w:spacing w:before="480" w:after="80"/>
      <w:jc w:val="center"/>
    </w:pPr>
    <w:rPr>
      <w:caps/>
      <w:sz w:val="18"/>
    </w:rPr>
  </w:style>
  <w:style w:type="paragraph" w:customStyle="1" w:styleId="tocpart">
    <w:name w:val="tocpart"/>
    <w:basedOn w:val="Normal"/>
    <w:rsid w:val="00C51A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51AD2"/>
    <w:pPr>
      <w:keepNext/>
      <w:keepLines/>
      <w:spacing w:before="480"/>
      <w:jc w:val="center"/>
    </w:pPr>
    <w:rPr>
      <w:sz w:val="28"/>
    </w:rPr>
  </w:style>
  <w:style w:type="paragraph" w:customStyle="1" w:styleId="Arttitle">
    <w:name w:val="Art_title"/>
    <w:basedOn w:val="Normal"/>
    <w:next w:val="Normalaftertitle"/>
    <w:rsid w:val="00C51AD2"/>
    <w:pPr>
      <w:keepNext/>
      <w:keepLines/>
      <w:spacing w:before="240"/>
      <w:jc w:val="center"/>
    </w:pPr>
    <w:rPr>
      <w:b/>
      <w:sz w:val="28"/>
    </w:rPr>
  </w:style>
  <w:style w:type="paragraph" w:customStyle="1" w:styleId="Blanc">
    <w:name w:val="Blanc"/>
    <w:basedOn w:val="Normal"/>
    <w:next w:val="Tabletext"/>
    <w:rsid w:val="00C51A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51A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51AD2"/>
    <w:pPr>
      <w:keepNext/>
      <w:keepLines/>
      <w:spacing w:before="160"/>
      <w:ind w:left="794"/>
    </w:pPr>
    <w:rPr>
      <w:i/>
    </w:rPr>
  </w:style>
  <w:style w:type="paragraph" w:customStyle="1" w:styleId="ChapNo">
    <w:name w:val="Chap_No"/>
    <w:basedOn w:val="ArtNo"/>
    <w:next w:val="Chaptitle"/>
    <w:rsid w:val="00C51AD2"/>
    <w:rPr>
      <w:b/>
    </w:rPr>
  </w:style>
  <w:style w:type="paragraph" w:customStyle="1" w:styleId="Chaptitle">
    <w:name w:val="Chap_title"/>
    <w:basedOn w:val="Arttitle"/>
    <w:next w:val="Normalaftertitle"/>
    <w:rsid w:val="00C51AD2"/>
  </w:style>
  <w:style w:type="character" w:styleId="FootnoteReference">
    <w:name w:val="footnote reference"/>
    <w:basedOn w:val="DefaultParagraphFont"/>
    <w:rsid w:val="00C51AD2"/>
    <w:rPr>
      <w:position w:val="6"/>
      <w:sz w:val="18"/>
    </w:rPr>
  </w:style>
  <w:style w:type="paragraph" w:styleId="FootnoteText">
    <w:name w:val="footnote text"/>
    <w:basedOn w:val="Normal"/>
    <w:link w:val="FootnoteTextChar"/>
    <w:rsid w:val="00C51AD2"/>
    <w:pPr>
      <w:keepLines/>
      <w:tabs>
        <w:tab w:val="left" w:pos="255"/>
      </w:tabs>
      <w:ind w:left="255" w:hanging="255"/>
    </w:pPr>
    <w:rPr>
      <w:sz w:val="22"/>
    </w:rPr>
  </w:style>
  <w:style w:type="paragraph" w:styleId="Index1">
    <w:name w:val="index 1"/>
    <w:basedOn w:val="Normal"/>
    <w:next w:val="Normal"/>
    <w:semiHidden/>
    <w:rsid w:val="00C51AD2"/>
  </w:style>
  <w:style w:type="paragraph" w:styleId="Index2">
    <w:name w:val="index 2"/>
    <w:basedOn w:val="Normal"/>
    <w:next w:val="Normal"/>
    <w:semiHidden/>
    <w:rsid w:val="00C51AD2"/>
    <w:pPr>
      <w:ind w:left="283"/>
    </w:pPr>
  </w:style>
  <w:style w:type="paragraph" w:styleId="Index3">
    <w:name w:val="index 3"/>
    <w:basedOn w:val="Normal"/>
    <w:next w:val="Normal"/>
    <w:semiHidden/>
    <w:rsid w:val="00C51AD2"/>
    <w:pPr>
      <w:ind w:left="566"/>
    </w:pPr>
  </w:style>
  <w:style w:type="paragraph" w:styleId="IndexHeading">
    <w:name w:val="index heading"/>
    <w:basedOn w:val="Normal"/>
    <w:next w:val="Index1"/>
    <w:semiHidden/>
    <w:rsid w:val="00C51AD2"/>
  </w:style>
  <w:style w:type="paragraph" w:customStyle="1" w:styleId="Line">
    <w:name w:val="Line"/>
    <w:basedOn w:val="Normal"/>
    <w:next w:val="Normal"/>
    <w:rsid w:val="00C51A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51A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51AD2"/>
  </w:style>
  <w:style w:type="paragraph" w:customStyle="1" w:styleId="Partref">
    <w:name w:val="Part_ref"/>
    <w:basedOn w:val="Normal"/>
    <w:next w:val="Normal"/>
    <w:rsid w:val="00C51AD2"/>
    <w:pPr>
      <w:keepNext/>
      <w:keepLines/>
      <w:spacing w:after="280"/>
      <w:jc w:val="center"/>
    </w:pPr>
  </w:style>
  <w:style w:type="paragraph" w:customStyle="1" w:styleId="Parttitle">
    <w:name w:val="Part_title"/>
    <w:basedOn w:val="Normal"/>
    <w:next w:val="Normalaftertitle"/>
    <w:rsid w:val="00C51A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51AD2"/>
  </w:style>
  <w:style w:type="paragraph" w:customStyle="1" w:styleId="QuestionNo">
    <w:name w:val="Question_No"/>
    <w:basedOn w:val="RecNo"/>
    <w:next w:val="Normal"/>
    <w:rsid w:val="00C51AD2"/>
  </w:style>
  <w:style w:type="paragraph" w:customStyle="1" w:styleId="Questionref">
    <w:name w:val="Question_ref"/>
    <w:basedOn w:val="Recref"/>
    <w:next w:val="Questiondate"/>
    <w:rsid w:val="00C51AD2"/>
  </w:style>
  <w:style w:type="paragraph" w:customStyle="1" w:styleId="Questiontitle">
    <w:name w:val="Question_title"/>
    <w:basedOn w:val="Normal"/>
    <w:next w:val="Questionref"/>
    <w:rsid w:val="00C51AD2"/>
  </w:style>
  <w:style w:type="paragraph" w:customStyle="1" w:styleId="Reftext">
    <w:name w:val="Ref_text"/>
    <w:basedOn w:val="Normal"/>
    <w:rsid w:val="00C51AD2"/>
    <w:pPr>
      <w:ind w:left="794" w:hanging="794"/>
    </w:pPr>
    <w:rPr>
      <w:sz w:val="22"/>
    </w:rPr>
  </w:style>
  <w:style w:type="paragraph" w:customStyle="1" w:styleId="Reftitle">
    <w:name w:val="Ref_title"/>
    <w:basedOn w:val="Normal"/>
    <w:next w:val="Reftext"/>
    <w:rsid w:val="00C51A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51AD2"/>
  </w:style>
  <w:style w:type="paragraph" w:customStyle="1" w:styleId="RepNo">
    <w:name w:val="Rep_No"/>
    <w:basedOn w:val="RecNo"/>
    <w:next w:val="Reptitle"/>
    <w:rsid w:val="00C51AD2"/>
  </w:style>
  <w:style w:type="paragraph" w:customStyle="1" w:styleId="Repref">
    <w:name w:val="Rep_ref"/>
    <w:basedOn w:val="Recref"/>
    <w:next w:val="Repdate"/>
    <w:rsid w:val="00C51AD2"/>
  </w:style>
  <w:style w:type="paragraph" w:customStyle="1" w:styleId="Reptitle">
    <w:name w:val="Rep_title"/>
    <w:basedOn w:val="Rectitle"/>
    <w:next w:val="Repref"/>
    <w:rsid w:val="00C51AD2"/>
  </w:style>
  <w:style w:type="paragraph" w:customStyle="1" w:styleId="Resdate">
    <w:name w:val="Res_date"/>
    <w:basedOn w:val="Recdate"/>
    <w:next w:val="Normalaftertitle"/>
    <w:rsid w:val="00C51AD2"/>
  </w:style>
  <w:style w:type="paragraph" w:customStyle="1" w:styleId="ResNo">
    <w:name w:val="Res_No"/>
    <w:basedOn w:val="RecNo"/>
    <w:next w:val="Restitle"/>
    <w:rsid w:val="00C51AD2"/>
  </w:style>
  <w:style w:type="paragraph" w:customStyle="1" w:styleId="Resref">
    <w:name w:val="Res_ref"/>
    <w:basedOn w:val="Recref"/>
    <w:next w:val="Resdate"/>
    <w:rsid w:val="00C51AD2"/>
  </w:style>
  <w:style w:type="paragraph" w:customStyle="1" w:styleId="Restitle">
    <w:name w:val="Res_title"/>
    <w:basedOn w:val="Normal"/>
    <w:next w:val="Resref"/>
    <w:rsid w:val="00C51AD2"/>
    <w:pPr>
      <w:spacing w:before="240"/>
      <w:jc w:val="center"/>
    </w:pPr>
    <w:rPr>
      <w:b/>
      <w:sz w:val="28"/>
    </w:rPr>
  </w:style>
  <w:style w:type="paragraph" w:customStyle="1" w:styleId="SectionNo">
    <w:name w:val="Section_No"/>
    <w:basedOn w:val="Normal"/>
    <w:next w:val="Normal"/>
    <w:rsid w:val="00C51AD2"/>
  </w:style>
  <w:style w:type="paragraph" w:customStyle="1" w:styleId="Sectiontitle">
    <w:name w:val="Section_title"/>
    <w:basedOn w:val="Normal"/>
    <w:next w:val="Normalaftertitle"/>
    <w:rsid w:val="00C51A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51AD2"/>
    <w:pPr>
      <w:tabs>
        <w:tab w:val="clear" w:pos="794"/>
        <w:tab w:val="clear" w:pos="1191"/>
        <w:tab w:val="clear" w:pos="1588"/>
        <w:tab w:val="clear" w:pos="1985"/>
        <w:tab w:val="right" w:pos="9611"/>
      </w:tabs>
    </w:pPr>
    <w:rPr>
      <w:i/>
    </w:rPr>
  </w:style>
  <w:style w:type="paragraph" w:styleId="TOC1">
    <w:name w:val="toc 1"/>
    <w:basedOn w:val="Normal"/>
    <w:semiHidden/>
    <w:rsid w:val="00C51A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51AD2"/>
    <w:pPr>
      <w:tabs>
        <w:tab w:val="clear" w:pos="567"/>
        <w:tab w:val="left" w:pos="1276"/>
      </w:tabs>
      <w:spacing w:before="160"/>
      <w:ind w:left="1276" w:hanging="709"/>
    </w:pPr>
  </w:style>
  <w:style w:type="paragraph" w:styleId="TOC3">
    <w:name w:val="toc 3"/>
    <w:basedOn w:val="TOC2"/>
    <w:semiHidden/>
    <w:rsid w:val="00C51AD2"/>
    <w:pPr>
      <w:tabs>
        <w:tab w:val="clear" w:pos="1276"/>
        <w:tab w:val="left" w:pos="2155"/>
      </w:tabs>
      <w:ind w:left="2155" w:hanging="879"/>
    </w:pPr>
  </w:style>
  <w:style w:type="paragraph" w:styleId="TOC4">
    <w:name w:val="toc 4"/>
    <w:basedOn w:val="TOC3"/>
    <w:semiHidden/>
    <w:rsid w:val="00C51AD2"/>
    <w:pPr>
      <w:tabs>
        <w:tab w:val="left" w:pos="3261"/>
      </w:tabs>
      <w:spacing w:before="80"/>
      <w:ind w:left="3261" w:hanging="993"/>
    </w:pPr>
  </w:style>
  <w:style w:type="paragraph" w:styleId="TOC5">
    <w:name w:val="toc 5"/>
    <w:basedOn w:val="TOC4"/>
    <w:semiHidden/>
    <w:rsid w:val="00C51AD2"/>
  </w:style>
  <w:style w:type="paragraph" w:styleId="TOC6">
    <w:name w:val="toc 6"/>
    <w:basedOn w:val="TOC4"/>
    <w:semiHidden/>
    <w:rsid w:val="00C51AD2"/>
  </w:style>
  <w:style w:type="paragraph" w:styleId="TOC7">
    <w:name w:val="toc 7"/>
    <w:basedOn w:val="TOC4"/>
    <w:semiHidden/>
    <w:rsid w:val="00C51AD2"/>
  </w:style>
  <w:style w:type="paragraph" w:styleId="TOC8">
    <w:name w:val="toc 8"/>
    <w:basedOn w:val="TOC4"/>
    <w:semiHidden/>
    <w:rsid w:val="00C51AD2"/>
  </w:style>
  <w:style w:type="paragraph" w:customStyle="1" w:styleId="Rectitle">
    <w:name w:val="Rec_title"/>
    <w:basedOn w:val="Normal"/>
    <w:next w:val="Recref"/>
    <w:rsid w:val="00C51AD2"/>
    <w:pPr>
      <w:keepNext/>
      <w:keepLines/>
      <w:spacing w:before="240"/>
      <w:jc w:val="center"/>
    </w:pPr>
    <w:rPr>
      <w:b/>
      <w:sz w:val="28"/>
    </w:rPr>
  </w:style>
  <w:style w:type="paragraph" w:customStyle="1" w:styleId="Annexref">
    <w:name w:val="Annex_ref"/>
    <w:basedOn w:val="Normal"/>
    <w:next w:val="Normalaftertitle"/>
    <w:rsid w:val="00C51AD2"/>
    <w:pPr>
      <w:keepNext/>
      <w:keepLines/>
      <w:spacing w:after="280"/>
      <w:jc w:val="center"/>
    </w:pPr>
  </w:style>
  <w:style w:type="paragraph" w:customStyle="1" w:styleId="Appendixref">
    <w:name w:val="Appendix_ref"/>
    <w:basedOn w:val="Annexref"/>
    <w:next w:val="Normalaftertitle"/>
    <w:rsid w:val="00C51AD2"/>
  </w:style>
  <w:style w:type="paragraph" w:customStyle="1" w:styleId="Figuretitle">
    <w:name w:val="Figure_title"/>
    <w:basedOn w:val="Normal"/>
    <w:next w:val="Figure"/>
    <w:rsid w:val="00C51AD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51AD2"/>
    <w:pPr>
      <w:keepNext/>
      <w:spacing w:before="0" w:after="120"/>
      <w:jc w:val="center"/>
    </w:pPr>
    <w:rPr>
      <w:b/>
    </w:rPr>
  </w:style>
  <w:style w:type="paragraph" w:customStyle="1" w:styleId="Summary">
    <w:name w:val="Summary"/>
    <w:basedOn w:val="Normal"/>
    <w:next w:val="Normalaftertitle"/>
    <w:autoRedefine/>
    <w:rsid w:val="00C51AD2"/>
    <w:pPr>
      <w:spacing w:after="480"/>
    </w:pPr>
    <w:rPr>
      <w:sz w:val="22"/>
      <w:lang w:val="es-ES_tradnl"/>
    </w:rPr>
  </w:style>
  <w:style w:type="paragraph" w:customStyle="1" w:styleId="TableLegendNote">
    <w:name w:val="Table_Legend_Note"/>
    <w:basedOn w:val="Tablelegend"/>
    <w:next w:val="Tablelegend"/>
    <w:rsid w:val="00C51AD2"/>
    <w:pPr>
      <w:ind w:left="-85" w:firstLine="0"/>
    </w:pPr>
    <w:rPr>
      <w:lang w:val="en-US"/>
    </w:rPr>
  </w:style>
  <w:style w:type="paragraph" w:customStyle="1" w:styleId="Figure">
    <w:name w:val="Figure"/>
    <w:basedOn w:val="FigureNo"/>
    <w:next w:val="Normal"/>
    <w:rsid w:val="00C51AD2"/>
    <w:pPr>
      <w:keepNext w:val="0"/>
      <w:spacing w:before="0" w:after="240"/>
    </w:pPr>
  </w:style>
  <w:style w:type="character" w:customStyle="1" w:styleId="Heading1Char">
    <w:name w:val="Heading 1 Char"/>
    <w:basedOn w:val="DefaultParagraphFont"/>
    <w:link w:val="Heading1"/>
    <w:rsid w:val="00454F5B"/>
    <w:rPr>
      <w:b/>
      <w:sz w:val="24"/>
      <w:lang w:val="fr-FR" w:eastAsia="en-US"/>
    </w:rPr>
  </w:style>
  <w:style w:type="character" w:customStyle="1" w:styleId="HeaderChar">
    <w:name w:val="Header Char"/>
    <w:basedOn w:val="DefaultParagraphFont"/>
    <w:link w:val="Header"/>
    <w:rsid w:val="00454F5B"/>
    <w:rPr>
      <w:sz w:val="24"/>
      <w:lang w:val="fr-FR" w:eastAsia="en-US"/>
    </w:rPr>
  </w:style>
  <w:style w:type="character" w:styleId="Hyperlink">
    <w:name w:val="Hyperlink"/>
    <w:basedOn w:val="DefaultParagraphFont"/>
    <w:rsid w:val="00454F5B"/>
    <w:rPr>
      <w:color w:val="0000FF"/>
      <w:u w:val="single"/>
    </w:rPr>
  </w:style>
  <w:style w:type="character" w:customStyle="1" w:styleId="FootnoteTextChar">
    <w:name w:val="Footnote Text Char"/>
    <w:basedOn w:val="DefaultParagraphFont"/>
    <w:link w:val="FootnoteText"/>
    <w:rsid w:val="00454F5B"/>
    <w:rPr>
      <w:sz w:val="22"/>
      <w:lang w:val="fr-FR" w:eastAsia="en-US"/>
    </w:rPr>
  </w:style>
  <w:style w:type="character" w:customStyle="1" w:styleId="TabletextChar">
    <w:name w:val="Table_text Char"/>
    <w:link w:val="Tabletext"/>
    <w:locked/>
    <w:rsid w:val="00454F5B"/>
    <w:rPr>
      <w:sz w:val="22"/>
      <w:lang w:val="fr-FR" w:eastAsia="en-US"/>
    </w:rPr>
  </w:style>
  <w:style w:type="character" w:customStyle="1" w:styleId="TableNoChar">
    <w:name w:val="Table_No Char"/>
    <w:link w:val="TableNo"/>
    <w:locked/>
    <w:rsid w:val="00454F5B"/>
    <w:rPr>
      <w:sz w:val="24"/>
      <w:lang w:val="fr-FR" w:eastAsia="en-US"/>
    </w:rPr>
  </w:style>
  <w:style w:type="character" w:customStyle="1" w:styleId="TablelegendChar">
    <w:name w:val="Table_legend Char"/>
    <w:link w:val="Tablelegend"/>
    <w:locked/>
    <w:rsid w:val="00454F5B"/>
    <w:rPr>
      <w:sz w:val="22"/>
      <w:lang w:val="fr-FR" w:eastAsia="en-US"/>
    </w:rPr>
  </w:style>
  <w:style w:type="character" w:customStyle="1" w:styleId="TableheadChar">
    <w:name w:val="Table_head Char"/>
    <w:link w:val="Tablehead"/>
    <w:locked/>
    <w:rsid w:val="00454F5B"/>
    <w:rPr>
      <w:b/>
      <w:sz w:val="22"/>
      <w:lang w:val="fr-FR" w:eastAsia="en-US"/>
    </w:rPr>
  </w:style>
  <w:style w:type="character" w:customStyle="1" w:styleId="FigureNo0">
    <w:name w:val="Figure_No (文字)"/>
    <w:link w:val="FigureNo"/>
    <w:locked/>
    <w:rsid w:val="00454F5B"/>
    <w:rPr>
      <w:caps/>
      <w:sz w:val="18"/>
      <w:lang w:val="fr-FR" w:eastAsia="en-US"/>
    </w:rPr>
  </w:style>
  <w:style w:type="table" w:styleId="TableGrid">
    <w:name w:val="Table Grid"/>
    <w:basedOn w:val="TableNormal"/>
    <w:uiPriority w:val="59"/>
    <w:rsid w:val="00B1367D"/>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E0415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8.bin"/><Relationship Id="rId10" Type="http://schemas.openxmlformats.org/officeDocument/2006/relationships/hyperlink" Target="http://www.itu.int/publ/R-REC/en" TargetMode="External"/><Relationship Id="rId19" Type="http://schemas.openxmlformats.org/officeDocument/2006/relationships/image" Target="media/image6.emf"/><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5A7FF-0DCD-4B44-A601-148343957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42</TotalTime>
  <Pages>1</Pages>
  <Words>3865</Words>
  <Characters>21762</Characters>
  <Application>Microsoft Office Word</Application>
  <DocSecurity>0</DocSecurity>
  <Lines>680</Lines>
  <Paragraphs>81</Paragraphs>
  <ScaleCrop>false</ScaleCrop>
  <HeadingPairs>
    <vt:vector size="2" baseType="variant">
      <vt:variant>
        <vt:lpstr>Title</vt:lpstr>
      </vt:variant>
      <vt:variant>
        <vt:i4>1</vt:i4>
      </vt:variant>
    </vt:vector>
  </HeadingPairs>
  <TitlesOfParts>
    <vt:vector size="1" baseType="lpstr">
      <vt:lpstr>RECOMMENDATION ITU-R BT.1735-2 (02/2014) - Methods for objective reception quality assessment of digital terrestrial television broadcasting signals of System B specified in Recommendation ITU-R BT.1306</vt:lpstr>
    </vt:vector>
  </TitlesOfParts>
  <Manager/>
  <Company>ITU</Company>
  <LinksUpToDate>false</LinksUpToDate>
  <CharactersWithSpaces>25546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BT.1735-2 (02/2014) - Methods for objective reception quality assessment of digital terrestrial television broadcasting signals of System B specified in Recommendation ITU-R BT.1306</dc:title>
  <dc:subject/>
  <dc:creator>Gachet, Christelle</dc:creator>
  <cp:keywords/>
  <dc:description/>
  <cp:lastModifiedBy>Gachet, Christelle</cp:lastModifiedBy>
  <cp:revision>30</cp:revision>
  <cp:lastPrinted>2015-02-23T10:17:00Z</cp:lastPrinted>
  <dcterms:created xsi:type="dcterms:W3CDTF">2014-01-27T09:53:00Z</dcterms:created>
  <dcterms:modified xsi:type="dcterms:W3CDTF">2015-02-23T10:18:00Z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