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109" w:rsidRDefault="00360109">
      <w:bookmarkStart w:id="0" w:name="Doc_title"/>
    </w:p>
    <w:p w:rsidR="00360109" w:rsidRDefault="00360109"/>
    <w:p w:rsidR="00360109" w:rsidRDefault="00360109"/>
    <w:p w:rsidR="00360109" w:rsidRDefault="00360109"/>
    <w:p w:rsidR="00360109" w:rsidRDefault="00360109"/>
    <w:p w:rsidR="00360109" w:rsidRDefault="00360109"/>
    <w:p w:rsidR="00360109" w:rsidRDefault="00360109"/>
    <w:p w:rsidR="00360109" w:rsidRDefault="00360109"/>
    <w:p w:rsidR="00360109" w:rsidRDefault="00360109"/>
    <w:p w:rsidR="00360109" w:rsidRDefault="00360109"/>
    <w:p w:rsidR="00360109" w:rsidRDefault="00360109"/>
    <w:p w:rsidR="00360109" w:rsidRDefault="00360109"/>
    <w:tbl>
      <w:tblPr>
        <w:tblW w:w="10089" w:type="dxa"/>
        <w:tblLook w:val="01E0" w:firstRow="1" w:lastRow="1" w:firstColumn="1" w:lastColumn="1" w:noHBand="0" w:noVBand="0"/>
      </w:tblPr>
      <w:tblGrid>
        <w:gridCol w:w="10089"/>
      </w:tblGrid>
      <w:tr w:rsidR="00360109" w:rsidRPr="00A443C2">
        <w:tc>
          <w:tcPr>
            <w:tcW w:w="10089" w:type="dxa"/>
          </w:tcPr>
          <w:p w:rsidR="00360109" w:rsidRPr="00B033C8" w:rsidRDefault="00360109" w:rsidP="0014322C">
            <w:pPr>
              <w:spacing w:before="380" w:line="280" w:lineRule="exact"/>
              <w:jc w:val="right"/>
              <w:rPr>
                <w:rFonts w:ascii="Tahoma" w:hAnsi="Tahoma" w:cs="Tahoma"/>
                <w:b/>
                <w:bCs/>
                <w:iCs/>
                <w:color w:val="243285"/>
                <w:sz w:val="32"/>
                <w:szCs w:val="32"/>
                <w:lang w:val="en-US"/>
              </w:rPr>
            </w:pPr>
          </w:p>
          <w:p w:rsidR="00360109" w:rsidRPr="00A443C2" w:rsidRDefault="00360109" w:rsidP="006E774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6E7740">
              <w:rPr>
                <w:rFonts w:ascii="Tahoma" w:hAnsi="Tahoma" w:cs="Tahoma"/>
                <w:b/>
                <w:bCs/>
                <w:iCs/>
                <w:color w:val="243285"/>
                <w:sz w:val="36"/>
                <w:szCs w:val="36"/>
              </w:rPr>
              <w:t>1729</w:t>
            </w:r>
          </w:p>
          <w:p w:rsidR="00360109" w:rsidRPr="00A443C2" w:rsidRDefault="00360109" w:rsidP="006E774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E7740">
              <w:rPr>
                <w:rFonts w:ascii="Tahoma" w:hAnsi="Tahoma" w:cs="Tahoma"/>
                <w:b/>
                <w:bCs/>
                <w:iCs/>
                <w:color w:val="243285"/>
                <w:szCs w:val="24"/>
              </w:rPr>
              <w:t>2005</w:t>
            </w:r>
            <w:r w:rsidRPr="00A443C2">
              <w:rPr>
                <w:rFonts w:ascii="Tahoma" w:hAnsi="Tahoma" w:cs="Tahoma"/>
                <w:b/>
                <w:bCs/>
                <w:iCs/>
                <w:color w:val="243285"/>
                <w:szCs w:val="24"/>
              </w:rPr>
              <w:t>)</w:t>
            </w:r>
          </w:p>
        </w:tc>
      </w:tr>
      <w:tr w:rsidR="00360109" w:rsidRPr="00F54FBD">
        <w:tc>
          <w:tcPr>
            <w:tcW w:w="10089" w:type="dxa"/>
          </w:tcPr>
          <w:p w:rsidR="00360109" w:rsidRPr="0043089F" w:rsidRDefault="00360109" w:rsidP="0014322C">
            <w:pPr>
              <w:spacing w:before="80" w:line="500" w:lineRule="exact"/>
              <w:jc w:val="right"/>
              <w:rPr>
                <w:rFonts w:ascii="Tahoma" w:hAnsi="Tahoma" w:cs="Tahoma"/>
                <w:b/>
                <w:bCs/>
                <w:iCs/>
                <w:color w:val="243285"/>
                <w:sz w:val="44"/>
                <w:szCs w:val="44"/>
              </w:rPr>
            </w:pPr>
          </w:p>
          <w:p w:rsidR="00360109" w:rsidRDefault="00536BE3" w:rsidP="007B75F8">
            <w:pPr>
              <w:spacing w:before="80" w:line="500" w:lineRule="exact"/>
              <w:jc w:val="right"/>
              <w:rPr>
                <w:rFonts w:ascii="Tahoma" w:hAnsi="Tahoma" w:cs="Tahoma"/>
                <w:b/>
                <w:bCs/>
                <w:color w:val="243285"/>
                <w:sz w:val="44"/>
                <w:szCs w:val="44"/>
              </w:rPr>
            </w:pPr>
            <w:r w:rsidRPr="007B75F8">
              <w:rPr>
                <w:rFonts w:ascii="Tahoma" w:hAnsi="Tahoma" w:cs="Tahoma"/>
                <w:b/>
                <w:bCs/>
                <w:color w:val="243285"/>
                <w:sz w:val="44"/>
                <w:szCs w:val="44"/>
              </w:rPr>
              <w:t xml:space="preserve">Mire de référence commune pour </w:t>
            </w:r>
            <w:r w:rsidR="004D21CA">
              <w:rPr>
                <w:rFonts w:ascii="Tahoma" w:hAnsi="Tahoma" w:cs="Tahoma"/>
                <w:b/>
                <w:bCs/>
                <w:color w:val="243285"/>
                <w:sz w:val="44"/>
                <w:szCs w:val="44"/>
              </w:rPr>
              <w:br/>
            </w:r>
            <w:r w:rsidRPr="007B75F8">
              <w:rPr>
                <w:rFonts w:ascii="Tahoma" w:hAnsi="Tahoma" w:cs="Tahoma"/>
                <w:b/>
                <w:bCs/>
                <w:color w:val="243285"/>
                <w:sz w:val="44"/>
                <w:szCs w:val="44"/>
              </w:rPr>
              <w:t>la télévision numérique</w:t>
            </w:r>
            <w:r w:rsidRPr="007B75F8">
              <w:rPr>
                <w:rFonts w:ascii="Tahoma" w:hAnsi="Tahoma" w:cs="Tahoma"/>
                <w:b/>
                <w:bCs/>
                <w:color w:val="243285"/>
                <w:sz w:val="44"/>
                <w:szCs w:val="44"/>
              </w:rPr>
              <w:br/>
              <w:t>de format 16:9 ou 4:3</w:t>
            </w:r>
          </w:p>
          <w:p w:rsidR="00360109" w:rsidRPr="0043089F" w:rsidRDefault="00360109"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360109" w:rsidRPr="00F54FBD">
        <w:tc>
          <w:tcPr>
            <w:tcW w:w="10089" w:type="dxa"/>
          </w:tcPr>
          <w:p w:rsidR="00360109" w:rsidRPr="00F54FBD" w:rsidRDefault="00360109" w:rsidP="0014322C">
            <w:pPr>
              <w:spacing w:before="80" w:line="280" w:lineRule="exact"/>
              <w:ind w:right="640"/>
              <w:rPr>
                <w:rFonts w:ascii="Tahoma" w:hAnsi="Tahoma" w:cs="Tahoma"/>
                <w:b/>
                <w:bCs/>
                <w:iCs/>
                <w:color w:val="243285"/>
                <w:sz w:val="32"/>
                <w:szCs w:val="32"/>
              </w:rPr>
            </w:pPr>
          </w:p>
          <w:p w:rsidR="00360109" w:rsidRPr="00F54FBD" w:rsidRDefault="00360109" w:rsidP="0014322C">
            <w:pPr>
              <w:spacing w:before="80" w:line="280" w:lineRule="exact"/>
              <w:ind w:right="640"/>
              <w:rPr>
                <w:rFonts w:ascii="Tahoma" w:hAnsi="Tahoma" w:cs="Tahoma"/>
                <w:b/>
                <w:bCs/>
                <w:iCs/>
                <w:color w:val="243285"/>
                <w:sz w:val="32"/>
                <w:szCs w:val="32"/>
              </w:rPr>
            </w:pPr>
          </w:p>
          <w:p w:rsidR="00360109" w:rsidRPr="00F54FBD" w:rsidRDefault="00360109" w:rsidP="0014322C">
            <w:pPr>
              <w:spacing w:before="80" w:after="180" w:line="360" w:lineRule="exact"/>
              <w:ind w:right="720"/>
              <w:rPr>
                <w:rFonts w:ascii="Tahoma" w:hAnsi="Tahoma" w:cs="Tahoma"/>
                <w:b/>
                <w:bCs/>
                <w:iCs/>
                <w:color w:val="243285"/>
                <w:sz w:val="36"/>
                <w:szCs w:val="36"/>
              </w:rPr>
            </w:pPr>
          </w:p>
          <w:p w:rsidR="00360109" w:rsidRPr="00F54FBD" w:rsidRDefault="00360109"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360109" w:rsidRPr="0043089F" w:rsidRDefault="00360109"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360109" w:rsidRPr="00F54FBD" w:rsidRDefault="00360109" w:rsidP="0014322C">
      <w:pPr>
        <w:spacing w:before="80"/>
        <w:rPr>
          <w:i/>
          <w:sz w:val="22"/>
        </w:rPr>
      </w:pPr>
    </w:p>
    <w:p w:rsidR="00360109" w:rsidRPr="00F54FBD" w:rsidRDefault="00360109" w:rsidP="0014322C">
      <w:pPr>
        <w:spacing w:before="80"/>
        <w:rPr>
          <w:i/>
          <w:sz w:val="22"/>
        </w:rPr>
      </w:pPr>
    </w:p>
    <w:p w:rsidR="00360109" w:rsidRPr="00F54FBD" w:rsidRDefault="00360109" w:rsidP="0014322C">
      <w:pPr>
        <w:spacing w:before="80"/>
        <w:rPr>
          <w:i/>
          <w:sz w:val="22"/>
        </w:rPr>
      </w:pPr>
    </w:p>
    <w:p w:rsidR="00360109" w:rsidRPr="00F54FBD" w:rsidRDefault="00360109" w:rsidP="0014322C">
      <w:pPr>
        <w:spacing w:before="80"/>
        <w:rPr>
          <w:i/>
          <w:sz w:val="22"/>
        </w:rPr>
      </w:pPr>
    </w:p>
    <w:p w:rsidR="00360109" w:rsidRPr="00F54FBD" w:rsidRDefault="00360109" w:rsidP="0014322C">
      <w:pPr>
        <w:spacing w:before="80"/>
        <w:rPr>
          <w:i/>
          <w:sz w:val="22"/>
        </w:rPr>
      </w:pPr>
    </w:p>
    <w:p w:rsidR="00360109" w:rsidRPr="00F54FBD" w:rsidRDefault="00360109" w:rsidP="0014322C">
      <w:pPr>
        <w:spacing w:before="80"/>
        <w:rPr>
          <w:i/>
          <w:sz w:val="22"/>
        </w:rPr>
      </w:pPr>
    </w:p>
    <w:p w:rsidR="00360109" w:rsidRPr="00F54FBD" w:rsidRDefault="00360109" w:rsidP="0014322C">
      <w:pPr>
        <w:pStyle w:val="Equation"/>
        <w:tabs>
          <w:tab w:val="clear" w:pos="4820"/>
          <w:tab w:val="clear" w:pos="9639"/>
          <w:tab w:val="left" w:pos="1191"/>
          <w:tab w:val="left" w:pos="1588"/>
          <w:tab w:val="left" w:pos="1985"/>
        </w:tabs>
        <w:rPr>
          <w:rFonts w:ascii="Palatino Linotype" w:hAnsi="Palatino Linotype"/>
        </w:rPr>
        <w:sectPr w:rsidR="00360109"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360109" w:rsidRPr="00F54FBD"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60109" w:rsidRPr="00F54FBD" w:rsidRDefault="00360109"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60109" w:rsidRPr="00F54FBD" w:rsidRDefault="00360109"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60109" w:rsidRPr="00E44CBB" w:rsidRDefault="00360109"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60109" w:rsidRPr="00E44CBB" w:rsidRDefault="00360109"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60109" w:rsidRPr="00C57597" w:rsidRDefault="00360109"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60109" w:rsidRPr="009454F8">
        <w:tc>
          <w:tcPr>
            <w:tcW w:w="9360" w:type="dxa"/>
            <w:gridSpan w:val="2"/>
          </w:tcPr>
          <w:p w:rsidR="00360109" w:rsidRPr="009454F8" w:rsidRDefault="00360109"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60109" w:rsidRPr="009454F8"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60109" w:rsidRPr="00036EE3">
        <w:tc>
          <w:tcPr>
            <w:tcW w:w="1140" w:type="dxa"/>
          </w:tcPr>
          <w:p w:rsidR="00360109" w:rsidRPr="00614CC6" w:rsidRDefault="00360109" w:rsidP="0014322C">
            <w:pPr>
              <w:spacing w:before="90" w:after="100"/>
              <w:ind w:left="57"/>
              <w:rPr>
                <w:b/>
                <w:bCs/>
                <w:sz w:val="20"/>
                <w:lang w:val="en-US"/>
              </w:rPr>
            </w:pPr>
            <w:r w:rsidRPr="00614CC6">
              <w:rPr>
                <w:b/>
                <w:bCs/>
                <w:sz w:val="20"/>
                <w:lang w:val="en-US"/>
              </w:rPr>
              <w:t>Séries</w:t>
            </w:r>
          </w:p>
        </w:tc>
        <w:tc>
          <w:tcPr>
            <w:tcW w:w="8220" w:type="dxa"/>
          </w:tcPr>
          <w:p w:rsidR="00360109" w:rsidRPr="00614CC6"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60109" w:rsidRPr="00036EE3" w:rsidTr="0014322C">
        <w:tc>
          <w:tcPr>
            <w:tcW w:w="1140" w:type="dxa"/>
            <w:tcBorders>
              <w:bottom w:val="nil"/>
            </w:tcBorders>
          </w:tcPr>
          <w:p w:rsidR="00360109" w:rsidRPr="00614CC6" w:rsidRDefault="00360109" w:rsidP="0014322C">
            <w:pPr>
              <w:spacing w:before="30" w:after="30"/>
              <w:ind w:left="57"/>
              <w:rPr>
                <w:b/>
                <w:bCs/>
                <w:sz w:val="20"/>
                <w:lang w:val="en-US"/>
              </w:rPr>
            </w:pPr>
            <w:r w:rsidRPr="00614CC6">
              <w:rPr>
                <w:b/>
                <w:bCs/>
                <w:sz w:val="20"/>
                <w:lang w:val="en-US"/>
              </w:rPr>
              <w:t>BO</w:t>
            </w:r>
          </w:p>
        </w:tc>
        <w:tc>
          <w:tcPr>
            <w:tcW w:w="8220" w:type="dxa"/>
            <w:tcBorders>
              <w:bottom w:val="nil"/>
            </w:tcBorders>
          </w:tcPr>
          <w:p w:rsidR="00360109" w:rsidRPr="00614CC6"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60109" w:rsidRPr="009454F8" w:rsidTr="0014322C">
        <w:tc>
          <w:tcPr>
            <w:tcW w:w="1140" w:type="dxa"/>
            <w:tcBorders>
              <w:top w:val="nil"/>
              <w:bottom w:val="nil"/>
            </w:tcBorders>
            <w:shd w:val="clear" w:color="auto" w:fill="auto"/>
          </w:tcPr>
          <w:p w:rsidR="00360109" w:rsidRPr="0014322C" w:rsidRDefault="00360109"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360109" w:rsidRPr="0014322C"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360109" w:rsidRPr="00036EE3" w:rsidTr="0014322C">
        <w:tc>
          <w:tcPr>
            <w:tcW w:w="1140" w:type="dxa"/>
            <w:tcBorders>
              <w:top w:val="nil"/>
              <w:bottom w:val="nil"/>
            </w:tcBorders>
          </w:tcPr>
          <w:p w:rsidR="00360109" w:rsidRPr="00614CC6" w:rsidRDefault="00360109"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360109" w:rsidRPr="00614CC6"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60109" w:rsidRPr="00ED2695" w:rsidTr="0014322C">
        <w:tc>
          <w:tcPr>
            <w:tcW w:w="1140" w:type="dxa"/>
            <w:tcBorders>
              <w:top w:val="nil"/>
              <w:bottom w:val="nil"/>
            </w:tcBorders>
            <w:shd w:val="clear" w:color="auto" w:fill="F3F3F3"/>
          </w:tcPr>
          <w:p w:rsidR="00360109" w:rsidRPr="0014322C" w:rsidRDefault="00360109"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360109" w:rsidRPr="0014322C"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360109" w:rsidRPr="00036EE3" w:rsidTr="0014322C">
        <w:tc>
          <w:tcPr>
            <w:tcW w:w="1140" w:type="dxa"/>
            <w:tcBorders>
              <w:top w:val="nil"/>
              <w:bottom w:val="nil"/>
            </w:tcBorders>
            <w:shd w:val="clear" w:color="auto" w:fill="auto"/>
          </w:tcPr>
          <w:p w:rsidR="00360109" w:rsidRPr="00614CC6" w:rsidRDefault="00360109"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360109" w:rsidRPr="00614CC6" w:rsidRDefault="0036010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60109" w:rsidRPr="00592F9F" w:rsidTr="0014322C">
        <w:tc>
          <w:tcPr>
            <w:tcW w:w="1140" w:type="dxa"/>
            <w:tcBorders>
              <w:top w:val="nil"/>
              <w:bottom w:val="nil"/>
            </w:tcBorders>
            <w:shd w:val="clear" w:color="auto" w:fill="auto"/>
          </w:tcPr>
          <w:p w:rsidR="00360109" w:rsidRPr="00766861" w:rsidRDefault="00360109"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360109" w:rsidRPr="00766861" w:rsidRDefault="0036010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360109" w:rsidRPr="00036EE3" w:rsidTr="0014322C">
        <w:tc>
          <w:tcPr>
            <w:tcW w:w="1140" w:type="dxa"/>
            <w:tcBorders>
              <w:top w:val="nil"/>
            </w:tcBorders>
          </w:tcPr>
          <w:p w:rsidR="00360109" w:rsidRPr="00614CC6" w:rsidRDefault="00360109" w:rsidP="0014322C">
            <w:pPr>
              <w:spacing w:before="30" w:after="30"/>
              <w:ind w:left="57"/>
              <w:rPr>
                <w:b/>
                <w:bCs/>
                <w:sz w:val="20"/>
                <w:lang w:val="fr-CH"/>
              </w:rPr>
            </w:pPr>
            <w:r w:rsidRPr="00614CC6">
              <w:rPr>
                <w:b/>
                <w:bCs/>
                <w:sz w:val="20"/>
                <w:lang w:val="fr-CH"/>
              </w:rPr>
              <w:t>P</w:t>
            </w:r>
          </w:p>
        </w:tc>
        <w:tc>
          <w:tcPr>
            <w:tcW w:w="8220" w:type="dxa"/>
            <w:tcBorders>
              <w:top w:val="nil"/>
            </w:tcBorders>
          </w:tcPr>
          <w:p w:rsidR="00360109" w:rsidRPr="00614CC6" w:rsidRDefault="00360109" w:rsidP="0014322C">
            <w:pPr>
              <w:spacing w:before="30" w:after="30"/>
              <w:rPr>
                <w:sz w:val="20"/>
                <w:lang w:val="fr-CH"/>
              </w:rPr>
            </w:pPr>
            <w:r w:rsidRPr="00614CC6">
              <w:rPr>
                <w:sz w:val="20"/>
              </w:rPr>
              <w:t>Propagation des ondes radioélectriques</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RA</w:t>
            </w:r>
          </w:p>
        </w:tc>
        <w:tc>
          <w:tcPr>
            <w:tcW w:w="8220" w:type="dxa"/>
          </w:tcPr>
          <w:p w:rsidR="00360109" w:rsidRPr="00614CC6" w:rsidRDefault="0036010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RS</w:t>
            </w:r>
          </w:p>
        </w:tc>
        <w:tc>
          <w:tcPr>
            <w:tcW w:w="8220" w:type="dxa"/>
          </w:tcPr>
          <w:p w:rsidR="00360109" w:rsidRPr="00614CC6" w:rsidRDefault="0036010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S</w:t>
            </w:r>
          </w:p>
        </w:tc>
        <w:tc>
          <w:tcPr>
            <w:tcW w:w="8220" w:type="dxa"/>
          </w:tcPr>
          <w:p w:rsidR="00360109" w:rsidRPr="00614CC6" w:rsidRDefault="00360109" w:rsidP="0014322C">
            <w:pPr>
              <w:spacing w:before="30" w:after="30"/>
              <w:rPr>
                <w:sz w:val="20"/>
                <w:lang w:val="en-US"/>
              </w:rPr>
            </w:pPr>
            <w:r w:rsidRPr="00614CC6">
              <w:rPr>
                <w:sz w:val="20"/>
              </w:rPr>
              <w:t>Service fixe par satellite</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SA</w:t>
            </w:r>
          </w:p>
        </w:tc>
        <w:tc>
          <w:tcPr>
            <w:tcW w:w="8220" w:type="dxa"/>
          </w:tcPr>
          <w:p w:rsidR="00360109" w:rsidRPr="00614CC6" w:rsidRDefault="00360109" w:rsidP="0014322C">
            <w:pPr>
              <w:spacing w:before="30" w:after="30"/>
              <w:rPr>
                <w:sz w:val="20"/>
                <w:lang w:val="en-US"/>
              </w:rPr>
            </w:pPr>
            <w:r w:rsidRPr="00614CC6">
              <w:rPr>
                <w:sz w:val="20"/>
              </w:rPr>
              <w:t>Applications spatiales et météorologie</w:t>
            </w:r>
          </w:p>
        </w:tc>
      </w:tr>
      <w:tr w:rsidR="00360109" w:rsidRPr="00614CC6">
        <w:tc>
          <w:tcPr>
            <w:tcW w:w="1140" w:type="dxa"/>
          </w:tcPr>
          <w:p w:rsidR="00360109" w:rsidRPr="00614CC6" w:rsidRDefault="00360109" w:rsidP="0014322C">
            <w:pPr>
              <w:spacing w:before="30" w:after="30"/>
              <w:ind w:left="57"/>
              <w:rPr>
                <w:b/>
                <w:bCs/>
                <w:sz w:val="20"/>
                <w:lang w:val="en-US"/>
              </w:rPr>
            </w:pPr>
            <w:r w:rsidRPr="00614CC6">
              <w:rPr>
                <w:b/>
                <w:bCs/>
                <w:sz w:val="20"/>
                <w:lang w:val="en-US"/>
              </w:rPr>
              <w:t>SF</w:t>
            </w:r>
          </w:p>
        </w:tc>
        <w:tc>
          <w:tcPr>
            <w:tcW w:w="8220" w:type="dxa"/>
          </w:tcPr>
          <w:p w:rsidR="00360109" w:rsidRPr="00614CC6" w:rsidRDefault="00360109" w:rsidP="0014322C">
            <w:pPr>
              <w:spacing w:before="30" w:after="30"/>
              <w:rPr>
                <w:sz w:val="20"/>
              </w:rPr>
            </w:pPr>
            <w:r w:rsidRPr="00614CC6">
              <w:rPr>
                <w:sz w:val="20"/>
              </w:rPr>
              <w:t>Partage des fréquences et coordination entre les systèmes du service fixe par satellite et du service fixe</w:t>
            </w:r>
          </w:p>
        </w:tc>
      </w:tr>
      <w:tr w:rsidR="00360109" w:rsidRPr="00036EE3">
        <w:tc>
          <w:tcPr>
            <w:tcW w:w="1140" w:type="dxa"/>
            <w:shd w:val="clear" w:color="auto" w:fill="auto"/>
          </w:tcPr>
          <w:p w:rsidR="00360109" w:rsidRPr="00592F9F" w:rsidRDefault="00360109" w:rsidP="0014322C">
            <w:pPr>
              <w:spacing w:before="30" w:after="30"/>
              <w:ind w:left="57"/>
              <w:rPr>
                <w:b/>
                <w:bCs/>
                <w:sz w:val="20"/>
                <w:lang w:val="en-US"/>
              </w:rPr>
            </w:pPr>
            <w:r w:rsidRPr="00592F9F">
              <w:rPr>
                <w:b/>
                <w:bCs/>
                <w:sz w:val="20"/>
                <w:lang w:val="en-US"/>
              </w:rPr>
              <w:t>SM</w:t>
            </w:r>
          </w:p>
        </w:tc>
        <w:tc>
          <w:tcPr>
            <w:tcW w:w="8220" w:type="dxa"/>
            <w:shd w:val="clear" w:color="auto" w:fill="auto"/>
          </w:tcPr>
          <w:p w:rsidR="00360109" w:rsidRPr="00592F9F" w:rsidRDefault="00360109" w:rsidP="0014322C">
            <w:pPr>
              <w:spacing w:before="30" w:after="30"/>
              <w:rPr>
                <w:sz w:val="20"/>
                <w:lang w:val="en-US"/>
              </w:rPr>
            </w:pPr>
            <w:r w:rsidRPr="00592F9F">
              <w:rPr>
                <w:sz w:val="20"/>
              </w:rPr>
              <w:t>Gestion du spectre</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SNG</w:t>
            </w:r>
          </w:p>
        </w:tc>
        <w:tc>
          <w:tcPr>
            <w:tcW w:w="8220" w:type="dxa"/>
          </w:tcPr>
          <w:p w:rsidR="00360109" w:rsidRPr="00614CC6" w:rsidRDefault="00360109" w:rsidP="0014322C">
            <w:pPr>
              <w:spacing w:before="30" w:after="30"/>
              <w:rPr>
                <w:sz w:val="20"/>
                <w:lang w:val="en-US"/>
              </w:rPr>
            </w:pPr>
            <w:r w:rsidRPr="00614CC6">
              <w:rPr>
                <w:sz w:val="20"/>
              </w:rPr>
              <w:t>Reportage d'actualités par satellite</w:t>
            </w:r>
          </w:p>
        </w:tc>
      </w:tr>
      <w:tr w:rsidR="00360109" w:rsidRPr="00614CC6">
        <w:tc>
          <w:tcPr>
            <w:tcW w:w="1140" w:type="dxa"/>
          </w:tcPr>
          <w:p w:rsidR="00360109" w:rsidRPr="00614CC6" w:rsidRDefault="00360109" w:rsidP="0014322C">
            <w:pPr>
              <w:spacing w:before="30" w:after="30"/>
              <w:ind w:left="57"/>
              <w:rPr>
                <w:b/>
                <w:bCs/>
                <w:sz w:val="20"/>
                <w:lang w:val="en-US"/>
              </w:rPr>
            </w:pPr>
            <w:r w:rsidRPr="00614CC6">
              <w:rPr>
                <w:b/>
                <w:bCs/>
                <w:sz w:val="20"/>
                <w:lang w:val="en-US"/>
              </w:rPr>
              <w:t>TF</w:t>
            </w:r>
          </w:p>
        </w:tc>
        <w:tc>
          <w:tcPr>
            <w:tcW w:w="8220" w:type="dxa"/>
          </w:tcPr>
          <w:p w:rsidR="00360109" w:rsidRPr="00614CC6" w:rsidRDefault="00360109" w:rsidP="0014322C">
            <w:pPr>
              <w:spacing w:before="30" w:after="30"/>
              <w:rPr>
                <w:sz w:val="20"/>
              </w:rPr>
            </w:pPr>
            <w:r w:rsidRPr="00614CC6">
              <w:rPr>
                <w:sz w:val="20"/>
              </w:rPr>
              <w:t>Emissions de fréquences étalon et de signaux horaires</w:t>
            </w:r>
          </w:p>
        </w:tc>
      </w:tr>
      <w:tr w:rsidR="00360109" w:rsidRPr="00036EE3">
        <w:tc>
          <w:tcPr>
            <w:tcW w:w="1140" w:type="dxa"/>
          </w:tcPr>
          <w:p w:rsidR="00360109" w:rsidRPr="00614CC6" w:rsidRDefault="00360109" w:rsidP="0014322C">
            <w:pPr>
              <w:spacing w:before="30" w:after="30"/>
              <w:ind w:left="57"/>
              <w:rPr>
                <w:b/>
                <w:bCs/>
                <w:sz w:val="20"/>
                <w:lang w:val="en-US"/>
              </w:rPr>
            </w:pPr>
            <w:r w:rsidRPr="00614CC6">
              <w:rPr>
                <w:b/>
                <w:bCs/>
                <w:sz w:val="20"/>
                <w:lang w:val="en-US"/>
              </w:rPr>
              <w:t>V</w:t>
            </w:r>
          </w:p>
        </w:tc>
        <w:tc>
          <w:tcPr>
            <w:tcW w:w="8220" w:type="dxa"/>
          </w:tcPr>
          <w:p w:rsidR="00360109" w:rsidRPr="00614CC6" w:rsidRDefault="00360109" w:rsidP="0014322C">
            <w:pPr>
              <w:spacing w:before="30" w:after="140"/>
              <w:rPr>
                <w:sz w:val="20"/>
                <w:lang w:val="en-US"/>
              </w:rPr>
            </w:pPr>
            <w:r w:rsidRPr="00614CC6">
              <w:rPr>
                <w:sz w:val="20"/>
              </w:rPr>
              <w:t>Vocabulaire et sujets associés</w:t>
            </w:r>
          </w:p>
        </w:tc>
      </w:tr>
    </w:tbl>
    <w:p w:rsidR="00360109" w:rsidRPr="00036EE3" w:rsidRDefault="00360109" w:rsidP="0014322C">
      <w:pPr>
        <w:spacing w:before="0"/>
        <w:jc w:val="center"/>
        <w:rPr>
          <w:sz w:val="20"/>
          <w:lang w:val="en-US"/>
        </w:rPr>
      </w:pPr>
    </w:p>
    <w:p w:rsidR="00360109" w:rsidRPr="00036EE3" w:rsidRDefault="00360109"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60109" w:rsidRPr="00756B4D">
        <w:tc>
          <w:tcPr>
            <w:tcW w:w="9360" w:type="dxa"/>
          </w:tcPr>
          <w:p w:rsidR="00360109" w:rsidRPr="00756B4D" w:rsidRDefault="00360109"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60109" w:rsidRPr="00756B4D" w:rsidRDefault="00360109" w:rsidP="0014322C">
      <w:pPr>
        <w:spacing w:before="0"/>
        <w:jc w:val="center"/>
        <w:rPr>
          <w:sz w:val="22"/>
        </w:rPr>
      </w:pPr>
    </w:p>
    <w:p w:rsidR="00360109" w:rsidRPr="00614CC6" w:rsidRDefault="00360109" w:rsidP="0014322C">
      <w:pPr>
        <w:spacing w:before="100"/>
        <w:jc w:val="right"/>
        <w:rPr>
          <w:i/>
          <w:iCs/>
          <w:sz w:val="20"/>
        </w:rPr>
      </w:pPr>
      <w:r w:rsidRPr="00614CC6">
        <w:rPr>
          <w:i/>
          <w:iCs/>
          <w:sz w:val="20"/>
        </w:rPr>
        <w:t>Publication électronique</w:t>
      </w:r>
    </w:p>
    <w:p w:rsidR="00360109" w:rsidRPr="00614CC6" w:rsidRDefault="00360109" w:rsidP="004D21CA">
      <w:pPr>
        <w:spacing w:before="0"/>
        <w:jc w:val="right"/>
        <w:rPr>
          <w:sz w:val="20"/>
        </w:rPr>
      </w:pPr>
      <w:r w:rsidRPr="00614CC6">
        <w:rPr>
          <w:sz w:val="20"/>
        </w:rPr>
        <w:t>Genève, 20</w:t>
      </w:r>
      <w:r>
        <w:rPr>
          <w:sz w:val="20"/>
        </w:rPr>
        <w:t>1</w:t>
      </w:r>
      <w:r w:rsidR="004D21CA">
        <w:rPr>
          <w:sz w:val="20"/>
        </w:rPr>
        <w:t>3</w:t>
      </w:r>
    </w:p>
    <w:p w:rsidR="00360109" w:rsidRPr="00614CC6" w:rsidRDefault="00360109" w:rsidP="004D21C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4D21CA">
        <w:rPr>
          <w:sz w:val="20"/>
        </w:rPr>
        <w:t>3</w:t>
      </w:r>
    </w:p>
    <w:p w:rsidR="00360109" w:rsidRPr="00614CC6" w:rsidRDefault="00360109"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60109" w:rsidRPr="00614CC6" w:rsidRDefault="00360109" w:rsidP="0014322C">
      <w:pPr>
        <w:spacing w:before="160"/>
        <w:rPr>
          <w:i/>
          <w:sz w:val="20"/>
          <w:highlight w:val="yellow"/>
        </w:rPr>
        <w:sectPr w:rsidR="00360109"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360109" w:rsidRDefault="00360109" w:rsidP="001B526B">
      <w:pPr>
        <w:pStyle w:val="RecNo"/>
        <w:spacing w:before="0"/>
      </w:pPr>
      <w:bookmarkStart w:id="3" w:name="irecnoe"/>
      <w:bookmarkEnd w:id="3"/>
      <w:r>
        <w:lastRenderedPageBreak/>
        <w:t xml:space="preserve">RECOMMANDATION  </w:t>
      </w:r>
      <w:r>
        <w:rPr>
          <w:rStyle w:val="href"/>
        </w:rPr>
        <w:t>UIT-R  BT</w:t>
      </w:r>
      <w:bookmarkEnd w:id="0"/>
      <w:r>
        <w:rPr>
          <w:rStyle w:val="href"/>
        </w:rPr>
        <w:t>.1729</w:t>
      </w:r>
      <w:r w:rsidR="001B526B" w:rsidRPr="001B526B">
        <w:rPr>
          <w:vertAlign w:val="superscript"/>
        </w:rPr>
        <w:footnoteReference w:customMarkFollows="1" w:id="1"/>
        <w:t>*</w:t>
      </w:r>
    </w:p>
    <w:p w:rsidR="00A6617B" w:rsidRDefault="00536BE3" w:rsidP="00536BE3">
      <w:pPr>
        <w:pStyle w:val="Reftitle"/>
      </w:pPr>
      <w:r w:rsidRPr="00536BE3">
        <w:t>Mire de référence commune pour la télévision numérique</w:t>
      </w:r>
      <w:r w:rsidRPr="00536BE3">
        <w:br/>
        <w:t>de format 16:9 ou 4:3</w:t>
      </w:r>
    </w:p>
    <w:p w:rsidR="002C2E61" w:rsidRPr="002C2E61" w:rsidRDefault="002C2E61" w:rsidP="002C2E61">
      <w:pPr>
        <w:pStyle w:val="Recref"/>
      </w:pPr>
      <w:r w:rsidRPr="002C2E61">
        <w:t>(Question UIT-R 97/6)</w:t>
      </w:r>
    </w:p>
    <w:p w:rsidR="002C2E61" w:rsidRPr="002C2E61" w:rsidRDefault="002C2E61" w:rsidP="002C2E61">
      <w:pPr>
        <w:pStyle w:val="Recdate"/>
      </w:pPr>
    </w:p>
    <w:p w:rsidR="002C2E61" w:rsidRPr="002C2E61" w:rsidRDefault="002C2E61" w:rsidP="002C2E61">
      <w:pPr>
        <w:pStyle w:val="Recdate"/>
      </w:pPr>
      <w:r w:rsidRPr="002C2E61">
        <w:t>(2005)</w:t>
      </w:r>
    </w:p>
    <w:p w:rsidR="002C2E61" w:rsidRPr="00D40DA3" w:rsidRDefault="002C2E61" w:rsidP="002C2E61">
      <w:pPr>
        <w:pStyle w:val="HeadingSum"/>
        <w:rPr>
          <w:lang w:val="fr-FR"/>
        </w:rPr>
      </w:pPr>
      <w:r w:rsidRPr="00D40DA3">
        <w:rPr>
          <w:lang w:val="fr-FR"/>
        </w:rPr>
        <w:t>Domaine d'application</w:t>
      </w:r>
    </w:p>
    <w:p w:rsidR="002C2E61" w:rsidRPr="00D40DA3" w:rsidRDefault="002C2E61" w:rsidP="002C2E61">
      <w:pPr>
        <w:pStyle w:val="Summary"/>
        <w:rPr>
          <w:lang w:val="fr-FR"/>
        </w:rPr>
      </w:pPr>
      <w:r w:rsidRPr="00D40DA3">
        <w:rPr>
          <w:lang w:val="fr-FR"/>
        </w:rPr>
        <w:t>Cette Recommandation spécifie une mire de référence pouvant être utilisée avec l'une quelconque des Recommandations UIT</w:t>
      </w:r>
      <w:r w:rsidRPr="00D40DA3">
        <w:rPr>
          <w:lang w:val="fr-FR"/>
        </w:rPr>
        <w:noBreakHyphen/>
        <w:t>R BT.601, UIT-R BT.1358, UIT</w:t>
      </w:r>
      <w:r w:rsidRPr="00D40DA3">
        <w:rPr>
          <w:lang w:val="fr-FR"/>
        </w:rPr>
        <w:noBreakHyphen/>
        <w:t>R BT.1543</w:t>
      </w:r>
      <w:r w:rsidR="004D21CA">
        <w:rPr>
          <w:lang w:val="fr-FR"/>
        </w:rPr>
        <w:t>, UIT-R BT.1847</w:t>
      </w:r>
      <w:r w:rsidRPr="00D40DA3">
        <w:rPr>
          <w:lang w:val="fr-FR"/>
        </w:rPr>
        <w:t xml:space="preserve"> ou UIT</w:t>
      </w:r>
      <w:r w:rsidRPr="00D40DA3">
        <w:rPr>
          <w:lang w:val="fr-FR"/>
        </w:rPr>
        <w:noBreakHyphen/>
        <w:t>R BT.709. Cette mire est destinée à être utilisée soit en format 16:9 soit en format 4:3.</w:t>
      </w:r>
    </w:p>
    <w:p w:rsidR="002C2E61" w:rsidRPr="00D40DA3" w:rsidRDefault="002C2E61" w:rsidP="002C2E61">
      <w:pPr>
        <w:pStyle w:val="Normalaftertitle"/>
      </w:pPr>
      <w:r w:rsidRPr="00D40DA3">
        <w:t>L'Assemblée des radiocommunications de l'UIT,</w:t>
      </w:r>
    </w:p>
    <w:p w:rsidR="002C2E61" w:rsidRPr="00D40DA3" w:rsidRDefault="002C2E61" w:rsidP="002C2E61">
      <w:pPr>
        <w:pStyle w:val="Call"/>
      </w:pPr>
      <w:r w:rsidRPr="00D40DA3">
        <w:t>considérant</w:t>
      </w:r>
    </w:p>
    <w:p w:rsidR="002C2E61" w:rsidRPr="00D40DA3" w:rsidRDefault="002C2E61" w:rsidP="002C2E61">
      <w:r w:rsidRPr="00D40DA3">
        <w:t>a)</w:t>
      </w:r>
      <w:r w:rsidRPr="00D40DA3">
        <w:tab/>
        <w:t>que les mires de référence représentent un moyen pratique d'évaluer la chrominance et la luminance d'un système de télévision;</w:t>
      </w:r>
    </w:p>
    <w:p w:rsidR="002C2E61" w:rsidRPr="00D40DA3" w:rsidRDefault="002C2E61" w:rsidP="002C2E61">
      <w:r w:rsidRPr="00D40DA3">
        <w:t>b)</w:t>
      </w:r>
      <w:r w:rsidRPr="00D40DA3">
        <w:tab/>
        <w:t>que même si les spécifications relatives aux mires d'essai des formats de télévision numérique à définition normale sont différentes de celles relatives aux mires d'essai des formats de télévision numérique à haute définition, il est possible de définir un signal d'essai unique pouvant être utilisé pour tous ces formats;</w:t>
      </w:r>
    </w:p>
    <w:p w:rsidR="002C2E61" w:rsidRPr="00D40DA3" w:rsidRDefault="002C2E61" w:rsidP="002C2E61">
      <w:r w:rsidRPr="00D40DA3">
        <w:t>c)</w:t>
      </w:r>
      <w:r w:rsidRPr="00D40DA3">
        <w:tab/>
        <w:t>qu'une telle mire de référence commune peut être utile lors de la diffusion en formats multiples ou lors de la conversion d'un format en un autre;</w:t>
      </w:r>
    </w:p>
    <w:p w:rsidR="002C2E61" w:rsidRPr="00D40DA3" w:rsidRDefault="002C2E61" w:rsidP="002C2E61">
      <w:r w:rsidRPr="00D40DA3">
        <w:t>d)</w:t>
      </w:r>
      <w:r w:rsidRPr="00D40DA3">
        <w:tab/>
        <w:t>que l'utilisation d'une mire d'essai commune pour tous ces formats peut simplifier les procédures d'essai et réduire les risques de mauvaise interprétation de paramètres de signaux et d'alignement incorrect de systèmes,</w:t>
      </w:r>
    </w:p>
    <w:p w:rsidR="002C2E61" w:rsidRPr="00D40DA3" w:rsidRDefault="002C2E61" w:rsidP="002C2E61">
      <w:pPr>
        <w:pStyle w:val="Call"/>
      </w:pPr>
      <w:r w:rsidRPr="00D40DA3">
        <w:t>recommande</w:t>
      </w:r>
    </w:p>
    <w:p w:rsidR="002C2E61" w:rsidRPr="00D40DA3" w:rsidRDefault="002C2E61" w:rsidP="002C2E61">
      <w:r w:rsidRPr="00D40DA3">
        <w:rPr>
          <w:b/>
          <w:bCs/>
        </w:rPr>
        <w:t>1</w:t>
      </w:r>
      <w:r w:rsidRPr="00D40DA3">
        <w:tab/>
        <w:t>que les paramètres définis à l'Annexe 1 soient appliqués et puissent être utilisés aux fins de la production et de la distribution dans des formats de télévision numérique à définition normale et à haute définition.</w:t>
      </w:r>
    </w:p>
    <w:p w:rsidR="002C2E61" w:rsidRPr="00D40DA3" w:rsidRDefault="002C2E61" w:rsidP="002C2E61"/>
    <w:p w:rsidR="002C2E61" w:rsidRPr="00D40DA3" w:rsidRDefault="002C2E61" w:rsidP="002C2E61"/>
    <w:p w:rsidR="002C2E61" w:rsidRPr="00D40DA3" w:rsidRDefault="002C2E61" w:rsidP="002C2E61"/>
    <w:p w:rsidR="002C2E61" w:rsidRPr="00D40DA3" w:rsidRDefault="002C2E61" w:rsidP="002C2E61">
      <w:pPr>
        <w:pStyle w:val="AnnexNoTitle"/>
      </w:pPr>
      <w:bookmarkStart w:id="4" w:name="_Toc120336592"/>
      <w:r w:rsidRPr="00D40DA3">
        <w:lastRenderedPageBreak/>
        <w:t>Annexe 1</w:t>
      </w:r>
      <w:r w:rsidRPr="00D40DA3">
        <w:br/>
      </w:r>
      <w:r w:rsidRPr="00D40DA3">
        <w:br/>
        <w:t>Mire de référence de télévision numérique compatible</w:t>
      </w:r>
      <w:r w:rsidRPr="00D40DA3">
        <w:br/>
        <w:t>de format 16:9 ou 4:3</w:t>
      </w:r>
      <w:bookmarkEnd w:id="4"/>
    </w:p>
    <w:p w:rsidR="002C2E61" w:rsidRPr="00D40DA3" w:rsidRDefault="002C2E61" w:rsidP="002C2E61">
      <w:pPr>
        <w:pStyle w:val="Headingb"/>
      </w:pPr>
      <w:r w:rsidRPr="00D40DA3">
        <w:t>Références normatives</w:t>
      </w:r>
    </w:p>
    <w:p w:rsidR="002C2E61" w:rsidRPr="00D40DA3" w:rsidRDefault="00683C15" w:rsidP="00683C15">
      <w:pPr>
        <w:tabs>
          <w:tab w:val="clear" w:pos="794"/>
          <w:tab w:val="clear" w:pos="1191"/>
          <w:tab w:val="clear" w:pos="1588"/>
          <w:tab w:val="clear" w:pos="1985"/>
          <w:tab w:val="left" w:pos="1843"/>
        </w:tabs>
        <w:ind w:left="3600" w:hanging="3600"/>
        <w:jc w:val="left"/>
      </w:pPr>
      <w:r>
        <w:t xml:space="preserve">Recommandation </w:t>
      </w:r>
      <w:r w:rsidR="002C2E61" w:rsidRPr="00D40DA3">
        <w:t>UIT</w:t>
      </w:r>
      <w:r w:rsidR="002C2E61" w:rsidRPr="00D40DA3">
        <w:noBreakHyphen/>
        <w:t>R BS.645</w:t>
      </w:r>
      <w:r w:rsidR="002C2E61" w:rsidRPr="00D40DA3">
        <w:tab/>
        <w:t>Signaux d'essai et instruments de mesure pour les liaisons radiophoniques internationales.</w:t>
      </w:r>
    </w:p>
    <w:p w:rsidR="002C2E61" w:rsidRPr="00D40DA3" w:rsidRDefault="00683C15" w:rsidP="002C2E61">
      <w:pPr>
        <w:tabs>
          <w:tab w:val="clear" w:pos="794"/>
          <w:tab w:val="clear" w:pos="1191"/>
          <w:tab w:val="clear" w:pos="1588"/>
          <w:tab w:val="clear" w:pos="1985"/>
          <w:tab w:val="left" w:pos="1843"/>
        </w:tabs>
        <w:ind w:left="1843" w:hanging="1843"/>
        <w:jc w:val="left"/>
      </w:pPr>
      <w:r>
        <w:t xml:space="preserve">Recommandation </w:t>
      </w:r>
      <w:r w:rsidR="002C2E61" w:rsidRPr="00D40DA3">
        <w:t>UIT</w:t>
      </w:r>
      <w:r w:rsidR="002C2E61" w:rsidRPr="00D40DA3">
        <w:noBreakHyphen/>
        <w:t>R BT.471</w:t>
      </w:r>
      <w:r w:rsidR="002C2E61" w:rsidRPr="00D40DA3">
        <w:tab/>
        <w:t>Nomenclature et description des signaux de barre de couleur.</w:t>
      </w:r>
    </w:p>
    <w:p w:rsidR="002C2E61" w:rsidRPr="00D40DA3" w:rsidRDefault="00683C15" w:rsidP="00683C15">
      <w:pPr>
        <w:tabs>
          <w:tab w:val="clear" w:pos="794"/>
          <w:tab w:val="clear" w:pos="1191"/>
          <w:tab w:val="clear" w:pos="1588"/>
          <w:tab w:val="clear" w:pos="1985"/>
          <w:tab w:val="left" w:pos="1843"/>
        </w:tabs>
        <w:ind w:left="3600" w:hanging="3600"/>
        <w:jc w:val="left"/>
      </w:pPr>
      <w:r>
        <w:t xml:space="preserve">Recommandation </w:t>
      </w:r>
      <w:r w:rsidR="002C2E61" w:rsidRPr="00D40DA3">
        <w:t>UIT</w:t>
      </w:r>
      <w:r w:rsidR="002C2E61" w:rsidRPr="00D40DA3">
        <w:noBreakHyphen/>
        <w:t>R BT.601</w:t>
      </w:r>
      <w:r w:rsidR="002C2E61" w:rsidRPr="00D40DA3">
        <w:tab/>
        <w:t>Paramètres de codage en studio de la télévision numérique pour des formats standards d'image 4:3 (normalisé) et 16:9 (écran panoramique)</w:t>
      </w:r>
      <w:r>
        <w:t>.</w:t>
      </w:r>
    </w:p>
    <w:p w:rsidR="002C2E61" w:rsidRPr="00D40DA3" w:rsidRDefault="00683C15" w:rsidP="00683C15">
      <w:pPr>
        <w:tabs>
          <w:tab w:val="clear" w:pos="794"/>
          <w:tab w:val="clear" w:pos="1191"/>
          <w:tab w:val="clear" w:pos="1588"/>
          <w:tab w:val="clear" w:pos="1985"/>
          <w:tab w:val="left" w:pos="1843"/>
        </w:tabs>
        <w:ind w:left="3600" w:hanging="3600"/>
        <w:jc w:val="left"/>
      </w:pPr>
      <w:r>
        <w:t xml:space="preserve">Recommandation </w:t>
      </w:r>
      <w:r w:rsidR="002C2E61" w:rsidRPr="00D40DA3">
        <w:t>UIT</w:t>
      </w:r>
      <w:r w:rsidR="002C2E61" w:rsidRPr="00D40DA3">
        <w:noBreakHyphen/>
        <w:t>R BT.709</w:t>
      </w:r>
      <w:r w:rsidR="002C2E61" w:rsidRPr="00D40DA3">
        <w:tab/>
        <w:t>Valeur des paramètres des normes de TVHD pour la production et l'échange international de programmes.</w:t>
      </w:r>
    </w:p>
    <w:p w:rsidR="002C2E61" w:rsidRPr="00D40DA3" w:rsidRDefault="00683C15" w:rsidP="00683C15">
      <w:pPr>
        <w:tabs>
          <w:tab w:val="clear" w:pos="794"/>
          <w:tab w:val="clear" w:pos="1191"/>
          <w:tab w:val="clear" w:pos="1588"/>
          <w:tab w:val="clear" w:pos="1985"/>
          <w:tab w:val="left" w:pos="1843"/>
        </w:tabs>
        <w:ind w:left="3600" w:hanging="3600"/>
        <w:jc w:val="left"/>
      </w:pPr>
      <w:r>
        <w:t xml:space="preserve">Recommandation </w:t>
      </w:r>
      <w:r w:rsidR="002C2E61" w:rsidRPr="00D40DA3">
        <w:t>UIT-R BT.1358</w:t>
      </w:r>
      <w:r w:rsidR="002C2E61" w:rsidRPr="00D40DA3">
        <w:tab/>
        <w:t>Paramètres de studio des systèmes de télévision à balayage progressif 625 et 525 lignes</w:t>
      </w:r>
      <w:r>
        <w:t>.</w:t>
      </w:r>
    </w:p>
    <w:p w:rsidR="002C2E61" w:rsidRPr="00D40DA3" w:rsidRDefault="00683C15" w:rsidP="00683C15">
      <w:pPr>
        <w:tabs>
          <w:tab w:val="clear" w:pos="794"/>
          <w:tab w:val="clear" w:pos="1191"/>
          <w:tab w:val="clear" w:pos="1588"/>
          <w:tab w:val="clear" w:pos="1985"/>
          <w:tab w:val="left" w:pos="1843"/>
        </w:tabs>
        <w:ind w:left="3600" w:hanging="3600"/>
        <w:jc w:val="left"/>
        <w:rPr>
          <w:sz w:val="20"/>
        </w:rPr>
      </w:pPr>
      <w:r>
        <w:t xml:space="preserve">Recommandation </w:t>
      </w:r>
      <w:r w:rsidR="002C2E61" w:rsidRPr="00D40DA3">
        <w:t>UIT</w:t>
      </w:r>
      <w:r w:rsidR="002C2E61" w:rsidRPr="00D40DA3">
        <w:noBreakHyphen/>
        <w:t>R BT.1379</w:t>
      </w:r>
      <w:r w:rsidR="002C2E61" w:rsidRPr="00D40DA3">
        <w:tab/>
        <w:t>Zones de sécurité des images produites aux formats écran large 16:9 et classique 4:3 afin d'obtenir un format commun pendant la transition vers la diffusion en 16:9.</w:t>
      </w:r>
    </w:p>
    <w:p w:rsidR="002C2E61" w:rsidRDefault="00683C15" w:rsidP="00683C15">
      <w:pPr>
        <w:tabs>
          <w:tab w:val="clear" w:pos="794"/>
          <w:tab w:val="clear" w:pos="1191"/>
          <w:tab w:val="clear" w:pos="1588"/>
          <w:tab w:val="clear" w:pos="1985"/>
          <w:tab w:val="left" w:pos="1843"/>
        </w:tabs>
        <w:ind w:left="3600" w:hanging="3600"/>
        <w:jc w:val="left"/>
      </w:pPr>
      <w:r>
        <w:t xml:space="preserve">Recommandation </w:t>
      </w:r>
      <w:r w:rsidR="002C2E61" w:rsidRPr="00D40DA3">
        <w:t>UIT</w:t>
      </w:r>
      <w:r w:rsidR="002C2E61" w:rsidRPr="00D40DA3">
        <w:noBreakHyphen/>
        <w:t>R BT.1543</w:t>
      </w:r>
      <w:r w:rsidR="002C2E61" w:rsidRPr="00D40DA3">
        <w:tab/>
        <w:t>Format de prise de vues à balayage progressif 1 280 × 720, 16:9 pour la production et l'échange international de programmes dans l'environnement à 60 Hz.</w:t>
      </w:r>
    </w:p>
    <w:p w:rsidR="004D21CA" w:rsidRPr="00D40DA3" w:rsidRDefault="004D21CA" w:rsidP="004D21CA">
      <w:pPr>
        <w:tabs>
          <w:tab w:val="clear" w:pos="794"/>
          <w:tab w:val="clear" w:pos="1191"/>
          <w:tab w:val="clear" w:pos="1588"/>
          <w:tab w:val="clear" w:pos="1985"/>
          <w:tab w:val="left" w:pos="1843"/>
        </w:tabs>
        <w:ind w:left="3600" w:hanging="3600"/>
        <w:jc w:val="left"/>
      </w:pPr>
      <w:r>
        <w:t xml:space="preserve">Recommandation </w:t>
      </w:r>
      <w:r w:rsidRPr="00D40DA3">
        <w:t>UIT</w:t>
      </w:r>
      <w:r w:rsidRPr="00D40DA3">
        <w:noBreakHyphen/>
        <w:t>R BT.</w:t>
      </w:r>
      <w:r>
        <w:t>1847</w:t>
      </w:r>
      <w:r>
        <w:tab/>
      </w:r>
      <w:r w:rsidRPr="00D40DA3">
        <w:t>Format de prise de vues à balayage progressif 1 280 × 720, 16:9 pour la production et l'échange international de programmes dans l'environnement à </w:t>
      </w:r>
      <w:r>
        <w:t>5</w:t>
      </w:r>
      <w:r w:rsidRPr="00D40DA3">
        <w:t>0 Hz.</w:t>
      </w:r>
    </w:p>
    <w:p w:rsidR="002C2E61" w:rsidRPr="00D40DA3" w:rsidRDefault="002C2E61" w:rsidP="002C2E61">
      <w:pPr>
        <w:pStyle w:val="Headingb"/>
      </w:pPr>
      <w:r w:rsidRPr="00D40DA3">
        <w:t>Objectifs</w:t>
      </w:r>
    </w:p>
    <w:p w:rsidR="002C2E61" w:rsidRPr="00D40DA3" w:rsidRDefault="002C2E61" w:rsidP="002C2E61">
      <w:r w:rsidRPr="00D40DA3">
        <w:t>La mire de référence a pour objets:</w:t>
      </w:r>
    </w:p>
    <w:p w:rsidR="002C2E61" w:rsidRPr="00D40DA3" w:rsidRDefault="002C2E61" w:rsidP="002C2E61">
      <w:pPr>
        <w:pStyle w:val="enumlev1"/>
      </w:pPr>
      <w:r w:rsidRPr="00D40DA3">
        <w:t>–</w:t>
      </w:r>
      <w:r w:rsidRPr="00D40DA3">
        <w:tab/>
        <w:t>de vérifier la qualité de la chrominance et de la luminance dans l'ensemble de la chaîne de production;</w:t>
      </w:r>
    </w:p>
    <w:p w:rsidR="002C2E61" w:rsidRPr="00D40DA3" w:rsidRDefault="002C2E61" w:rsidP="002C2E61">
      <w:pPr>
        <w:pStyle w:val="enumlev1"/>
      </w:pPr>
      <w:r w:rsidRPr="00D40DA3">
        <w:t>–</w:t>
      </w:r>
      <w:r w:rsidRPr="00D40DA3">
        <w:tab/>
        <w:t>de vérifier et d'ajuster l'alignement de la chrominance et de la luminance des équipements de radiodiffusion, en particulier des moniteurs vidéo;</w:t>
      </w:r>
    </w:p>
    <w:p w:rsidR="002C2E61" w:rsidRPr="00D40DA3" w:rsidRDefault="002C2E61" w:rsidP="002C2E61">
      <w:pPr>
        <w:pStyle w:val="enumlev1"/>
      </w:pPr>
      <w:r w:rsidRPr="00D40DA3">
        <w:t>–</w:t>
      </w:r>
      <w:r w:rsidRPr="00D40DA3">
        <w:tab/>
        <w:t>de procéder à l'évaluation générale des équipements de production, d'émission et de présentation vidéo;</w:t>
      </w:r>
    </w:p>
    <w:p w:rsidR="002C2E61" w:rsidRPr="00D40DA3" w:rsidRDefault="002C2E61" w:rsidP="002C2E61">
      <w:pPr>
        <w:pStyle w:val="enumlev1"/>
      </w:pPr>
      <w:r w:rsidRPr="00D40DA3">
        <w:t>–</w:t>
      </w:r>
      <w:r w:rsidRPr="00D40DA3">
        <w:tab/>
        <w:t>de déterminer qu'un circuit vidéo est actif et que le circuit audio associé est disponible;</w:t>
      </w:r>
    </w:p>
    <w:p w:rsidR="002C2E61" w:rsidRPr="00D40DA3" w:rsidRDefault="002C2E61" w:rsidP="002C2E61">
      <w:pPr>
        <w:pStyle w:val="enumlev1"/>
      </w:pPr>
      <w:r w:rsidRPr="00D40DA3">
        <w:t>–</w:t>
      </w:r>
      <w:r w:rsidRPr="00D40DA3">
        <w:tab/>
        <w:t>de vérifier la synchronisation audio-vidéo;</w:t>
      </w:r>
    </w:p>
    <w:p w:rsidR="002C2E61" w:rsidRPr="00D40DA3" w:rsidRDefault="002C2E61" w:rsidP="002C2E61">
      <w:pPr>
        <w:pStyle w:val="enumlev1"/>
      </w:pPr>
      <w:r w:rsidRPr="00D40DA3">
        <w:t>–</w:t>
      </w:r>
      <w:r w:rsidRPr="00D40DA3">
        <w:tab/>
        <w:t>de vérifier que les canaux audio sont correctement connectés et que les niveaux audio sont adéquats.</w:t>
      </w:r>
    </w:p>
    <w:p w:rsidR="002C2E61" w:rsidRPr="00D40DA3" w:rsidRDefault="002C2E61" w:rsidP="002C2E61">
      <w:pPr>
        <w:pStyle w:val="Headingb"/>
      </w:pPr>
      <w:r w:rsidRPr="00D40DA3">
        <w:t>Types de systèmes</w:t>
      </w:r>
    </w:p>
    <w:p w:rsidR="002C2E61" w:rsidRPr="00D40DA3" w:rsidRDefault="002C2E61" w:rsidP="002C2E61">
      <w:r w:rsidRPr="00D40DA3">
        <w:t>Le modèle décrit dans la présente Recommandation est destiné à être utilisé avec les Recommandations UIT</w:t>
      </w:r>
      <w:r w:rsidRPr="00D40DA3">
        <w:noBreakHyphen/>
        <w:t>R BT.601, UIT</w:t>
      </w:r>
      <w:r w:rsidRPr="00D40DA3">
        <w:noBreakHyphen/>
        <w:t>R BT.709, UIT-R BT.1358</w:t>
      </w:r>
      <w:r w:rsidR="004D21CA">
        <w:t xml:space="preserve">, </w:t>
      </w:r>
      <w:r w:rsidR="004D21CA" w:rsidRPr="00D40DA3">
        <w:t>UIT</w:t>
      </w:r>
      <w:r w:rsidR="004D21CA" w:rsidRPr="00D40DA3">
        <w:noBreakHyphen/>
        <w:t>R BT.</w:t>
      </w:r>
      <w:r w:rsidR="004D21CA">
        <w:t>1847</w:t>
      </w:r>
      <w:r w:rsidRPr="00D40DA3">
        <w:t xml:space="preserve"> ou UIT</w:t>
      </w:r>
      <w:r w:rsidRPr="00D40DA3">
        <w:noBreakHyphen/>
        <w:t>R BT.1543. Ces systèmes diffèrent par les proportions de leur codage de couleur (ou «colorimétrie») et par leur résolution.</w:t>
      </w:r>
    </w:p>
    <w:p w:rsidR="002C2E61" w:rsidRPr="00D40DA3" w:rsidRDefault="002C2E61" w:rsidP="002C2E61">
      <w:pPr>
        <w:pStyle w:val="Headingb"/>
      </w:pPr>
      <w:r w:rsidRPr="00D40DA3">
        <w:lastRenderedPageBreak/>
        <w:t>Zones de la mire d'essai</w:t>
      </w:r>
    </w:p>
    <w:p w:rsidR="002C2E61" w:rsidRPr="00D40DA3" w:rsidRDefault="002C2E61" w:rsidP="002C2E61">
      <w:r w:rsidRPr="00D40DA3">
        <w:t>La Fig. 1 représente les zones de la mire d'essai multiformat. La Fig. 2 donne une présentation détaillée de la mire d'essai avec légende. La Fig. 3 représente la mire d'essai telle qu'elle apparaît sur l'écran. La Fig. 4 représente une mire adaptée aux systèmes 4:3.</w:t>
      </w:r>
    </w:p>
    <w:p w:rsidR="002C2E61" w:rsidRPr="00D40DA3" w:rsidRDefault="002C2E61" w:rsidP="002C2E61">
      <w:pPr>
        <w:pStyle w:val="FigureNo"/>
      </w:pPr>
      <w:r w:rsidRPr="00D40DA3">
        <w:t>figure 1</w:t>
      </w:r>
    </w:p>
    <w:p w:rsidR="002C2E61" w:rsidRPr="00D40DA3" w:rsidRDefault="002C2E61" w:rsidP="002C2E61">
      <w:pPr>
        <w:pStyle w:val="Figuretitle"/>
      </w:pPr>
      <w:r w:rsidRPr="00D40DA3">
        <w:t>Zones de la mire d'essai multiformat</w:t>
      </w:r>
    </w:p>
    <w:p w:rsidR="002C2E61" w:rsidRPr="00D40DA3" w:rsidRDefault="009C2100" w:rsidP="002C2E61">
      <w:pPr>
        <w:pStyle w:val="Figure"/>
      </w:pPr>
      <w:r w:rsidRPr="00D40DA3">
        <w:object w:dxaOrig="9938" w:dyaOrig="5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1.7pt" o:ole="">
            <v:imagedata r:id="rId14" o:title=""/>
          </v:shape>
          <o:OLEObject Type="Embed" ProgID="CorelDRAW.Graphic.14" ShapeID="_x0000_i1025" DrawAspect="Content" ObjectID="_1445156818" r:id="rId15"/>
        </w:object>
      </w:r>
    </w:p>
    <w:p w:rsidR="002C2E61" w:rsidRPr="00D40DA3" w:rsidRDefault="002C2E61" w:rsidP="002C2E61">
      <w:pPr>
        <w:pStyle w:val="FigureNo"/>
      </w:pPr>
      <w:r w:rsidRPr="00D40DA3">
        <w:lastRenderedPageBreak/>
        <w:t>figure 2</w:t>
      </w:r>
    </w:p>
    <w:p w:rsidR="002C2E61" w:rsidRPr="00D40DA3" w:rsidRDefault="002C2E61" w:rsidP="002C2E61">
      <w:pPr>
        <w:pStyle w:val="Figuretitle"/>
      </w:pPr>
      <w:r w:rsidRPr="00D40DA3">
        <w:t>Mire d'essai multiformat détaillée avec étiquettes</w:t>
      </w:r>
    </w:p>
    <w:p w:rsidR="002C2E61" w:rsidRPr="00D40DA3" w:rsidRDefault="00DD2910" w:rsidP="002C2E61">
      <w:pPr>
        <w:pStyle w:val="Figure"/>
      </w:pPr>
      <w:r w:rsidRPr="00D40DA3">
        <w:object w:dxaOrig="9473" w:dyaOrig="6480">
          <v:shape id="_x0000_i1026" type="#_x0000_t75" style="width:467.15pt;height:320.55pt" o:ole="" o:allowoverlap="f">
            <v:imagedata r:id="rId16" o:title=""/>
          </v:shape>
          <o:OLEObject Type="Embed" ProgID="CorelDRAW.Graphic.14" ShapeID="_x0000_i1026" DrawAspect="Content" ObjectID="_1445156819" r:id="rId17"/>
        </w:object>
      </w:r>
    </w:p>
    <w:p w:rsidR="002C2E61" w:rsidRPr="00D40DA3" w:rsidRDefault="002C2E61" w:rsidP="002C2E61">
      <w:pPr>
        <w:pStyle w:val="FigureNo"/>
      </w:pPr>
      <w:r w:rsidRPr="00D40DA3">
        <w:lastRenderedPageBreak/>
        <w:t>figure 3</w:t>
      </w:r>
    </w:p>
    <w:p w:rsidR="002C2E61" w:rsidRPr="00D40DA3" w:rsidRDefault="002C2E61" w:rsidP="002C2E61">
      <w:pPr>
        <w:pStyle w:val="Figuretitle"/>
      </w:pPr>
      <w:r w:rsidRPr="00D40DA3">
        <w:t>Mire d'essai multiformat telle qu'elle apparaît sur l'écran</w:t>
      </w:r>
    </w:p>
    <w:p w:rsidR="002C2E61" w:rsidRPr="00D40DA3" w:rsidRDefault="002C2E61" w:rsidP="002C2E61">
      <w:pPr>
        <w:pStyle w:val="Figure"/>
      </w:pPr>
      <w:r w:rsidRPr="00D40DA3">
        <w:object w:dxaOrig="9474" w:dyaOrig="6482">
          <v:shape id="_x0000_i1027" type="#_x0000_t75" style="width:474pt;height:324pt" o:ole="" o:allowoverlap="f">
            <v:imagedata r:id="rId18" o:title=""/>
          </v:shape>
          <o:OLEObject Type="Embed" ProgID="CorelDraw.Graphic.12" ShapeID="_x0000_i1027" DrawAspect="Content" ObjectID="_1445156820" r:id="rId19"/>
        </w:object>
      </w:r>
    </w:p>
    <w:p w:rsidR="002C2E61" w:rsidRPr="00D40DA3" w:rsidRDefault="002C2E61" w:rsidP="002C2E61">
      <w:pPr>
        <w:pStyle w:val="FigureNo"/>
      </w:pPr>
      <w:r w:rsidRPr="00D40DA3">
        <w:t>figure 4</w:t>
      </w:r>
    </w:p>
    <w:p w:rsidR="002C2E61" w:rsidRPr="00D40DA3" w:rsidRDefault="002C2E61" w:rsidP="002C2E61">
      <w:pPr>
        <w:pStyle w:val="Figuretitle"/>
      </w:pPr>
      <w:r w:rsidRPr="00D40DA3">
        <w:t>Mire d'essai multiformat adaptée aux systèmes 4:3</w:t>
      </w:r>
    </w:p>
    <w:p w:rsidR="002C2E61" w:rsidRPr="00D40DA3" w:rsidRDefault="002C2E61" w:rsidP="002C2E61">
      <w:pPr>
        <w:pStyle w:val="Figure"/>
      </w:pPr>
      <w:r w:rsidRPr="00D40DA3">
        <w:object w:dxaOrig="9479" w:dyaOrig="5825">
          <v:shape id="_x0000_i1028" type="#_x0000_t75" style="width:474pt;height:291.45pt" o:ole="" o:allowoverlap="f">
            <v:imagedata r:id="rId20" o:title=""/>
          </v:shape>
          <o:OLEObject Type="Embed" ProgID="CorelDraw.Graphic.12" ShapeID="_x0000_i1028" DrawAspect="Content" ObjectID="_1445156821" r:id="rId21"/>
        </w:object>
      </w:r>
    </w:p>
    <w:p w:rsidR="002C2E61" w:rsidRPr="00D40DA3" w:rsidRDefault="002C2E61" w:rsidP="002C2E61">
      <w:pPr>
        <w:pStyle w:val="Headingb"/>
      </w:pPr>
      <w:r w:rsidRPr="00D40DA3">
        <w:lastRenderedPageBreak/>
        <w:t>Utilisation des zones</w:t>
      </w:r>
    </w:p>
    <w:p w:rsidR="002C2E61" w:rsidRPr="00D40DA3" w:rsidRDefault="002C2E61" w:rsidP="002C2E61">
      <w:r w:rsidRPr="00D40DA3">
        <w:t>Le format global de la mire d'essai est 16:9, comprenant une zone centrale d'un format de 4:3 et deux zones latérales de taille égale.</w:t>
      </w:r>
    </w:p>
    <w:p w:rsidR="002C2E61" w:rsidRPr="00D40DA3" w:rsidRDefault="002C2E61" w:rsidP="002C2E61">
      <w:r w:rsidRPr="00D40DA3">
        <w:t>Pour la zone 16:9 comme pour la zone 4:3, les bordures sont crénelées sur une épaisseur correspondant à 3,5% de la dimension de l'image. Pour les bords de la zone 4:3, cela correspond à 2,5% de la largeur totale de la mire. Les bordures crénelées servent à régler le surbalayage (voir la Recommandation UIT</w:t>
      </w:r>
      <w:r w:rsidRPr="00D40DA3">
        <w:noBreakHyphen/>
        <w:t>R BT.1379). La largeur des zones crénelées est indiquée dans le Tableau 1.</w:t>
      </w:r>
    </w:p>
    <w:p w:rsidR="002C2E61" w:rsidRPr="00D40DA3" w:rsidRDefault="002C2E61" w:rsidP="002C2E61">
      <w:pPr>
        <w:pStyle w:val="TableNo"/>
      </w:pPr>
      <w:r w:rsidRPr="00D40DA3">
        <w:t>TABLEAU 1</w:t>
      </w:r>
    </w:p>
    <w:p w:rsidR="002C2E61" w:rsidRPr="00D40DA3" w:rsidRDefault="002C2E61" w:rsidP="002C2E61">
      <w:pPr>
        <w:pStyle w:val="Tabletitle"/>
      </w:pPr>
      <w:r w:rsidRPr="00D40DA3">
        <w:t>Épaisseur du crénelage (pixels)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2C2E61" w:rsidRPr="00D40DA3" w:rsidTr="00AD55B0">
        <w:trPr>
          <w:trHeight w:val="20"/>
          <w:jc w:val="center"/>
        </w:trPr>
        <w:tc>
          <w:tcPr>
            <w:tcW w:w="4536" w:type="dxa"/>
            <w:gridSpan w:val="2"/>
            <w:tcBorders>
              <w:tl2br w:val="single" w:sz="4" w:space="0" w:color="auto"/>
            </w:tcBorders>
          </w:tcPr>
          <w:p w:rsidR="002C2E61" w:rsidRPr="00D40DA3" w:rsidRDefault="002C2E61" w:rsidP="00AD55B0">
            <w:pPr>
              <w:pStyle w:val="Tablehead"/>
              <w:jc w:val="right"/>
            </w:pPr>
            <w:r w:rsidRPr="00D40DA3">
              <w:t xml:space="preserve">Zone </w:t>
            </w:r>
          </w:p>
          <w:p w:rsidR="002C2E61" w:rsidRPr="00D40DA3" w:rsidRDefault="002C2E61" w:rsidP="00AD55B0">
            <w:pPr>
              <w:pStyle w:val="Tablehead"/>
              <w:jc w:val="left"/>
            </w:pPr>
            <w:r w:rsidRPr="00D40DA3">
              <w:t>Système</w:t>
            </w:r>
          </w:p>
        </w:tc>
        <w:tc>
          <w:tcPr>
            <w:tcW w:w="1701" w:type="dxa"/>
          </w:tcPr>
          <w:p w:rsidR="002C2E61" w:rsidRPr="00D40DA3" w:rsidRDefault="002C2E61" w:rsidP="00AD55B0">
            <w:pPr>
              <w:pStyle w:val="Tablehead"/>
            </w:pPr>
            <w:r w:rsidRPr="00D40DA3">
              <w:t>Haut, bas</w:t>
            </w:r>
          </w:p>
        </w:tc>
        <w:tc>
          <w:tcPr>
            <w:tcW w:w="1701" w:type="dxa"/>
          </w:tcPr>
          <w:p w:rsidR="002C2E61" w:rsidRPr="00D40DA3" w:rsidRDefault="002C2E61" w:rsidP="00AD55B0">
            <w:pPr>
              <w:pStyle w:val="Tablehead"/>
            </w:pPr>
            <w:r w:rsidRPr="00D40DA3">
              <w:t>Bords,</w:t>
            </w:r>
            <w:r w:rsidRPr="00D40DA3">
              <w:br/>
              <w:t>zone 16:9</w:t>
            </w:r>
            <w:r w:rsidRPr="00D40DA3">
              <w:rPr>
                <w:rFonts w:ascii="Times New Roman Bold" w:hAnsi="Times New Roman Bold"/>
                <w:szCs w:val="22"/>
                <w:vertAlign w:val="superscript"/>
              </w:rPr>
              <w:t>(1)</w:t>
            </w:r>
          </w:p>
        </w:tc>
        <w:tc>
          <w:tcPr>
            <w:tcW w:w="1701" w:type="dxa"/>
          </w:tcPr>
          <w:p w:rsidR="002C2E61" w:rsidRPr="00D40DA3" w:rsidRDefault="002C2E61" w:rsidP="00AD55B0">
            <w:pPr>
              <w:pStyle w:val="Tablehead"/>
            </w:pPr>
            <w:r w:rsidRPr="00D40DA3">
              <w:t>Bords,</w:t>
            </w:r>
            <w:r w:rsidRPr="00D40DA3">
              <w:br/>
              <w:t>zone 4:3</w:t>
            </w:r>
            <w:r w:rsidRPr="00D40DA3">
              <w:rPr>
                <w:rFonts w:ascii="Times New Roman Bold" w:hAnsi="Times New Roman Bold"/>
                <w:szCs w:val="22"/>
                <w:vertAlign w:val="superscript"/>
              </w:rPr>
              <w:t>(1)</w:t>
            </w:r>
          </w:p>
        </w:tc>
      </w:tr>
      <w:tr w:rsidR="002C2E61" w:rsidRPr="00D40DA3" w:rsidTr="00AD55B0">
        <w:trPr>
          <w:trHeight w:val="20"/>
          <w:jc w:val="center"/>
        </w:trPr>
        <w:tc>
          <w:tcPr>
            <w:tcW w:w="2835" w:type="dxa"/>
            <w:vAlign w:val="center"/>
          </w:tcPr>
          <w:p w:rsidR="002C2E61" w:rsidRPr="00D40DA3" w:rsidRDefault="002C2E61" w:rsidP="00AD55B0">
            <w:pPr>
              <w:pStyle w:val="Tabletext"/>
              <w:jc w:val="center"/>
            </w:pPr>
            <w:r w:rsidRPr="00D40DA3">
              <w:t>1 920 × 1 080</w:t>
            </w:r>
          </w:p>
        </w:tc>
        <w:tc>
          <w:tcPr>
            <w:tcW w:w="1701" w:type="dxa"/>
            <w:vAlign w:val="center"/>
          </w:tcPr>
          <w:p w:rsidR="002C2E61" w:rsidRPr="00D40DA3" w:rsidRDefault="002C2E61" w:rsidP="00AD55B0">
            <w:pPr>
              <w:pStyle w:val="Tabletext"/>
              <w:jc w:val="center"/>
            </w:pPr>
            <w:r w:rsidRPr="00D40DA3">
              <w:t>16:9</w:t>
            </w:r>
          </w:p>
        </w:tc>
        <w:tc>
          <w:tcPr>
            <w:tcW w:w="1701" w:type="dxa"/>
            <w:vAlign w:val="center"/>
          </w:tcPr>
          <w:p w:rsidR="002C2E61" w:rsidRPr="00D40DA3" w:rsidRDefault="002C2E61" w:rsidP="00AD55B0">
            <w:pPr>
              <w:pStyle w:val="Tabletext"/>
              <w:jc w:val="center"/>
            </w:pPr>
            <w:r w:rsidRPr="00D40DA3">
              <w:t>38</w:t>
            </w:r>
          </w:p>
        </w:tc>
        <w:tc>
          <w:tcPr>
            <w:tcW w:w="1701" w:type="dxa"/>
            <w:vAlign w:val="center"/>
          </w:tcPr>
          <w:p w:rsidR="002C2E61" w:rsidRPr="00D40DA3" w:rsidRDefault="002C2E61" w:rsidP="00AD55B0">
            <w:pPr>
              <w:pStyle w:val="Tabletext"/>
              <w:jc w:val="center"/>
            </w:pPr>
            <w:r w:rsidRPr="00D40DA3">
              <w:t>67</w:t>
            </w:r>
          </w:p>
        </w:tc>
        <w:tc>
          <w:tcPr>
            <w:tcW w:w="1701" w:type="dxa"/>
            <w:vAlign w:val="center"/>
          </w:tcPr>
          <w:p w:rsidR="002C2E61" w:rsidRPr="00D40DA3" w:rsidRDefault="002C2E61" w:rsidP="00AD55B0">
            <w:pPr>
              <w:pStyle w:val="Tabletext"/>
              <w:jc w:val="center"/>
            </w:pPr>
            <w:r w:rsidRPr="00D40DA3">
              <w:t>48</w:t>
            </w:r>
          </w:p>
        </w:tc>
      </w:tr>
      <w:tr w:rsidR="002C2E61" w:rsidRPr="00D40DA3" w:rsidTr="00AD55B0">
        <w:trPr>
          <w:trHeight w:val="20"/>
          <w:jc w:val="center"/>
        </w:trPr>
        <w:tc>
          <w:tcPr>
            <w:tcW w:w="2835" w:type="dxa"/>
            <w:vAlign w:val="center"/>
          </w:tcPr>
          <w:p w:rsidR="002C2E61" w:rsidRPr="00D40DA3" w:rsidRDefault="002C2E61" w:rsidP="00AD55B0">
            <w:pPr>
              <w:pStyle w:val="Tabletext"/>
              <w:jc w:val="center"/>
            </w:pPr>
            <w:r w:rsidRPr="00D40DA3">
              <w:t>1 280 × 720</w:t>
            </w:r>
          </w:p>
        </w:tc>
        <w:tc>
          <w:tcPr>
            <w:tcW w:w="1701" w:type="dxa"/>
            <w:vAlign w:val="center"/>
          </w:tcPr>
          <w:p w:rsidR="002C2E61" w:rsidRPr="00D40DA3" w:rsidRDefault="002C2E61" w:rsidP="00AD55B0">
            <w:pPr>
              <w:pStyle w:val="Tabletext"/>
              <w:jc w:val="center"/>
            </w:pPr>
            <w:r w:rsidRPr="00D40DA3">
              <w:t>16:9</w:t>
            </w:r>
          </w:p>
        </w:tc>
        <w:tc>
          <w:tcPr>
            <w:tcW w:w="1701" w:type="dxa"/>
            <w:vAlign w:val="center"/>
          </w:tcPr>
          <w:p w:rsidR="002C2E61" w:rsidRPr="00D40DA3" w:rsidRDefault="002C2E61" w:rsidP="00AD55B0">
            <w:pPr>
              <w:pStyle w:val="Tabletext"/>
              <w:jc w:val="center"/>
            </w:pPr>
            <w:r w:rsidRPr="00D40DA3">
              <w:t>25</w:t>
            </w:r>
          </w:p>
        </w:tc>
        <w:tc>
          <w:tcPr>
            <w:tcW w:w="1701" w:type="dxa"/>
            <w:vAlign w:val="center"/>
          </w:tcPr>
          <w:p w:rsidR="002C2E61" w:rsidRPr="00D40DA3" w:rsidRDefault="002C2E61" w:rsidP="00AD55B0">
            <w:pPr>
              <w:pStyle w:val="Tabletext"/>
              <w:jc w:val="center"/>
            </w:pPr>
            <w:r w:rsidRPr="00D40DA3">
              <w:t>45</w:t>
            </w:r>
          </w:p>
        </w:tc>
        <w:tc>
          <w:tcPr>
            <w:tcW w:w="1701" w:type="dxa"/>
            <w:vAlign w:val="center"/>
          </w:tcPr>
          <w:p w:rsidR="002C2E61" w:rsidRPr="00D40DA3" w:rsidRDefault="002C2E61" w:rsidP="00AD55B0">
            <w:pPr>
              <w:pStyle w:val="Tabletext"/>
              <w:jc w:val="center"/>
            </w:pPr>
            <w:r w:rsidRPr="00D40DA3">
              <w:t>32</w:t>
            </w:r>
          </w:p>
        </w:tc>
      </w:tr>
      <w:tr w:rsidR="002C2E61" w:rsidRPr="00D40DA3" w:rsidTr="00AD55B0">
        <w:trPr>
          <w:trHeight w:val="20"/>
          <w:jc w:val="center"/>
        </w:trPr>
        <w:tc>
          <w:tcPr>
            <w:tcW w:w="2835" w:type="dxa"/>
            <w:vAlign w:val="center"/>
          </w:tcPr>
          <w:p w:rsidR="002C2E61" w:rsidRPr="00D40DA3" w:rsidRDefault="002C2E61" w:rsidP="00AD55B0">
            <w:pPr>
              <w:pStyle w:val="Tabletext"/>
              <w:jc w:val="center"/>
            </w:pPr>
            <w:r w:rsidRPr="00D40DA3">
              <w:t>960 × 576</w:t>
            </w:r>
          </w:p>
        </w:tc>
        <w:tc>
          <w:tcPr>
            <w:tcW w:w="1701" w:type="dxa"/>
            <w:vAlign w:val="center"/>
          </w:tcPr>
          <w:p w:rsidR="002C2E61" w:rsidRPr="00D40DA3" w:rsidRDefault="002C2E61" w:rsidP="00AD55B0">
            <w:pPr>
              <w:pStyle w:val="Tabletext"/>
              <w:jc w:val="center"/>
            </w:pPr>
            <w:r w:rsidRPr="00D40DA3">
              <w:t>16:9</w:t>
            </w:r>
          </w:p>
        </w:tc>
        <w:tc>
          <w:tcPr>
            <w:tcW w:w="1701" w:type="dxa"/>
            <w:vAlign w:val="center"/>
          </w:tcPr>
          <w:p w:rsidR="002C2E61" w:rsidRPr="00D40DA3" w:rsidRDefault="002C2E61" w:rsidP="00AD55B0">
            <w:pPr>
              <w:pStyle w:val="Tabletext"/>
              <w:jc w:val="center"/>
            </w:pPr>
            <w:r w:rsidRPr="00D40DA3">
              <w:t>20</w:t>
            </w:r>
          </w:p>
        </w:tc>
        <w:tc>
          <w:tcPr>
            <w:tcW w:w="1701" w:type="dxa"/>
            <w:vAlign w:val="center"/>
          </w:tcPr>
          <w:p w:rsidR="002C2E61" w:rsidRPr="00D40DA3" w:rsidRDefault="002C2E61" w:rsidP="00AD55B0">
            <w:pPr>
              <w:pStyle w:val="Tabletext"/>
              <w:jc w:val="center"/>
            </w:pPr>
            <w:r w:rsidRPr="00D40DA3">
              <w:t>34</w:t>
            </w:r>
          </w:p>
        </w:tc>
        <w:tc>
          <w:tcPr>
            <w:tcW w:w="1701" w:type="dxa"/>
            <w:vAlign w:val="center"/>
          </w:tcPr>
          <w:p w:rsidR="002C2E61" w:rsidRPr="00D40DA3" w:rsidRDefault="002C2E61" w:rsidP="00AD55B0">
            <w:pPr>
              <w:pStyle w:val="Tabletext"/>
              <w:jc w:val="center"/>
            </w:pPr>
            <w:r w:rsidRPr="00D40DA3">
              <w:t>24</w:t>
            </w:r>
          </w:p>
        </w:tc>
      </w:tr>
      <w:tr w:rsidR="002C2E61" w:rsidRPr="00D40DA3" w:rsidTr="00AD55B0">
        <w:trPr>
          <w:trHeight w:val="20"/>
          <w:jc w:val="center"/>
        </w:trPr>
        <w:tc>
          <w:tcPr>
            <w:tcW w:w="2835" w:type="dxa"/>
            <w:vAlign w:val="center"/>
          </w:tcPr>
          <w:p w:rsidR="002C2E61" w:rsidRPr="00D40DA3" w:rsidRDefault="002C2E61" w:rsidP="00AD55B0">
            <w:pPr>
              <w:pStyle w:val="Tabletext"/>
              <w:jc w:val="center"/>
            </w:pPr>
            <w:r w:rsidRPr="00D40DA3">
              <w:t>960 × 483</w:t>
            </w:r>
          </w:p>
        </w:tc>
        <w:tc>
          <w:tcPr>
            <w:tcW w:w="1701" w:type="dxa"/>
            <w:vAlign w:val="center"/>
          </w:tcPr>
          <w:p w:rsidR="002C2E61" w:rsidRPr="00D40DA3" w:rsidRDefault="002C2E61" w:rsidP="00AD55B0">
            <w:pPr>
              <w:pStyle w:val="Tabletext"/>
              <w:jc w:val="center"/>
            </w:pPr>
            <w:r w:rsidRPr="00D40DA3">
              <w:t>16:9</w:t>
            </w:r>
          </w:p>
        </w:tc>
        <w:tc>
          <w:tcPr>
            <w:tcW w:w="1701" w:type="dxa"/>
            <w:vAlign w:val="center"/>
          </w:tcPr>
          <w:p w:rsidR="002C2E61" w:rsidRPr="00D40DA3" w:rsidRDefault="002C2E61" w:rsidP="00AD55B0">
            <w:pPr>
              <w:pStyle w:val="Tabletext"/>
              <w:jc w:val="center"/>
            </w:pPr>
            <w:r w:rsidRPr="00D40DA3">
              <w:t>20</w:t>
            </w:r>
          </w:p>
        </w:tc>
        <w:tc>
          <w:tcPr>
            <w:tcW w:w="1701" w:type="dxa"/>
            <w:vAlign w:val="center"/>
          </w:tcPr>
          <w:p w:rsidR="002C2E61" w:rsidRPr="00D40DA3" w:rsidRDefault="002C2E61" w:rsidP="00AD55B0">
            <w:pPr>
              <w:pStyle w:val="Tabletext"/>
              <w:jc w:val="center"/>
            </w:pPr>
            <w:r w:rsidRPr="00D40DA3">
              <w:t>34</w:t>
            </w:r>
          </w:p>
        </w:tc>
        <w:tc>
          <w:tcPr>
            <w:tcW w:w="1701" w:type="dxa"/>
            <w:vAlign w:val="center"/>
          </w:tcPr>
          <w:p w:rsidR="002C2E61" w:rsidRPr="00D40DA3" w:rsidRDefault="002C2E61" w:rsidP="00AD55B0">
            <w:pPr>
              <w:pStyle w:val="Tabletext"/>
              <w:jc w:val="center"/>
            </w:pPr>
            <w:r w:rsidRPr="00D40DA3">
              <w:t>24</w:t>
            </w:r>
          </w:p>
        </w:tc>
      </w:tr>
      <w:tr w:rsidR="002C2E61" w:rsidRPr="00D40DA3" w:rsidTr="00AD55B0">
        <w:trPr>
          <w:trHeight w:val="20"/>
          <w:jc w:val="center"/>
        </w:trPr>
        <w:tc>
          <w:tcPr>
            <w:tcW w:w="2835" w:type="dxa"/>
            <w:vMerge w:val="restart"/>
            <w:vAlign w:val="center"/>
          </w:tcPr>
          <w:p w:rsidR="002C2E61" w:rsidRPr="00D40DA3" w:rsidRDefault="002C2E61" w:rsidP="00AD55B0">
            <w:pPr>
              <w:pStyle w:val="Tabletext"/>
              <w:jc w:val="center"/>
            </w:pPr>
            <w:r w:rsidRPr="00D40DA3">
              <w:t>720 × 576</w:t>
            </w:r>
          </w:p>
        </w:tc>
        <w:tc>
          <w:tcPr>
            <w:tcW w:w="1701" w:type="dxa"/>
            <w:vAlign w:val="center"/>
          </w:tcPr>
          <w:p w:rsidR="002C2E61" w:rsidRPr="00D40DA3" w:rsidRDefault="002C2E61" w:rsidP="00AD55B0">
            <w:pPr>
              <w:pStyle w:val="Tabletext"/>
              <w:jc w:val="center"/>
            </w:pPr>
            <w:r w:rsidRPr="00D40DA3">
              <w:t>16:9</w:t>
            </w:r>
          </w:p>
        </w:tc>
        <w:tc>
          <w:tcPr>
            <w:tcW w:w="1701" w:type="dxa"/>
            <w:vMerge w:val="restart"/>
            <w:vAlign w:val="center"/>
          </w:tcPr>
          <w:p w:rsidR="002C2E61" w:rsidRPr="00D40DA3" w:rsidRDefault="002C2E61" w:rsidP="00AD55B0">
            <w:pPr>
              <w:pStyle w:val="Tabletext"/>
              <w:jc w:val="center"/>
            </w:pPr>
            <w:r w:rsidRPr="00D40DA3">
              <w:t>20</w:t>
            </w:r>
          </w:p>
        </w:tc>
        <w:tc>
          <w:tcPr>
            <w:tcW w:w="1701" w:type="dxa"/>
            <w:vAlign w:val="center"/>
          </w:tcPr>
          <w:p w:rsidR="002C2E61" w:rsidRPr="00D40DA3" w:rsidRDefault="002C2E61" w:rsidP="00AD55B0">
            <w:pPr>
              <w:pStyle w:val="Tabletext"/>
              <w:jc w:val="center"/>
            </w:pPr>
            <w:r w:rsidRPr="00D40DA3">
              <w:t>25</w:t>
            </w:r>
          </w:p>
        </w:tc>
        <w:tc>
          <w:tcPr>
            <w:tcW w:w="1701" w:type="dxa"/>
            <w:vAlign w:val="center"/>
          </w:tcPr>
          <w:p w:rsidR="002C2E61" w:rsidRPr="00D40DA3" w:rsidRDefault="002C2E61" w:rsidP="00AD55B0">
            <w:pPr>
              <w:pStyle w:val="Tabletext"/>
              <w:jc w:val="center"/>
            </w:pPr>
            <w:r w:rsidRPr="00D40DA3">
              <w:t>18</w:t>
            </w:r>
          </w:p>
        </w:tc>
      </w:tr>
      <w:tr w:rsidR="002C2E61" w:rsidRPr="00D40DA3" w:rsidTr="00AD55B0">
        <w:trPr>
          <w:trHeight w:val="20"/>
          <w:jc w:val="center"/>
        </w:trPr>
        <w:tc>
          <w:tcPr>
            <w:tcW w:w="2835" w:type="dxa"/>
            <w:vMerge/>
            <w:vAlign w:val="center"/>
          </w:tcPr>
          <w:p w:rsidR="002C2E61" w:rsidRPr="00D40DA3" w:rsidRDefault="002C2E61" w:rsidP="00AD55B0">
            <w:pPr>
              <w:pStyle w:val="Tabletext"/>
              <w:jc w:val="center"/>
            </w:pPr>
          </w:p>
        </w:tc>
        <w:tc>
          <w:tcPr>
            <w:tcW w:w="1701" w:type="dxa"/>
            <w:vAlign w:val="center"/>
          </w:tcPr>
          <w:p w:rsidR="002C2E61" w:rsidRPr="00D40DA3" w:rsidRDefault="002C2E61" w:rsidP="00AD55B0">
            <w:pPr>
              <w:pStyle w:val="Tabletext"/>
              <w:jc w:val="center"/>
            </w:pPr>
            <w:r w:rsidRPr="00D40DA3">
              <w:t>4:3</w:t>
            </w:r>
          </w:p>
        </w:tc>
        <w:tc>
          <w:tcPr>
            <w:tcW w:w="1701" w:type="dxa"/>
            <w:vMerge/>
            <w:vAlign w:val="center"/>
          </w:tcPr>
          <w:p w:rsidR="002C2E61" w:rsidRPr="00D40DA3" w:rsidRDefault="002C2E61" w:rsidP="00AD55B0">
            <w:pPr>
              <w:pStyle w:val="Tabletext"/>
              <w:jc w:val="center"/>
            </w:pPr>
          </w:p>
        </w:tc>
        <w:tc>
          <w:tcPr>
            <w:tcW w:w="1701" w:type="dxa"/>
            <w:vAlign w:val="center"/>
          </w:tcPr>
          <w:p w:rsidR="002C2E61" w:rsidRPr="00D40DA3" w:rsidRDefault="002C2E61" w:rsidP="00AD55B0">
            <w:pPr>
              <w:pStyle w:val="Tabletext"/>
              <w:jc w:val="center"/>
            </w:pPr>
            <w:r w:rsidRPr="00D40DA3">
              <w:t>s/o</w:t>
            </w:r>
          </w:p>
        </w:tc>
        <w:tc>
          <w:tcPr>
            <w:tcW w:w="1701" w:type="dxa"/>
            <w:vAlign w:val="center"/>
          </w:tcPr>
          <w:p w:rsidR="002C2E61" w:rsidRPr="00D40DA3" w:rsidRDefault="002C2E61" w:rsidP="00AD55B0">
            <w:pPr>
              <w:pStyle w:val="Tabletext"/>
              <w:jc w:val="center"/>
            </w:pPr>
            <w:r w:rsidRPr="00D40DA3">
              <w:t>25</w:t>
            </w:r>
          </w:p>
        </w:tc>
      </w:tr>
      <w:tr w:rsidR="002C2E61" w:rsidRPr="00D40DA3" w:rsidTr="00AD55B0">
        <w:trPr>
          <w:trHeight w:val="20"/>
          <w:jc w:val="center"/>
        </w:trPr>
        <w:tc>
          <w:tcPr>
            <w:tcW w:w="2835" w:type="dxa"/>
            <w:vMerge w:val="restart"/>
            <w:vAlign w:val="center"/>
          </w:tcPr>
          <w:p w:rsidR="002C2E61" w:rsidRPr="00D40DA3" w:rsidRDefault="002C2E61" w:rsidP="00AD55B0">
            <w:pPr>
              <w:pStyle w:val="Tabletext"/>
              <w:jc w:val="center"/>
            </w:pPr>
            <w:r w:rsidRPr="00D40DA3">
              <w:t>720 × 483</w:t>
            </w:r>
          </w:p>
        </w:tc>
        <w:tc>
          <w:tcPr>
            <w:tcW w:w="1701" w:type="dxa"/>
            <w:vAlign w:val="center"/>
          </w:tcPr>
          <w:p w:rsidR="002C2E61" w:rsidRPr="00D40DA3" w:rsidRDefault="002C2E61" w:rsidP="00AD55B0">
            <w:pPr>
              <w:pStyle w:val="Tabletext"/>
              <w:jc w:val="center"/>
            </w:pPr>
            <w:r w:rsidRPr="00D40DA3">
              <w:t>16:9</w:t>
            </w:r>
          </w:p>
        </w:tc>
        <w:tc>
          <w:tcPr>
            <w:tcW w:w="1701" w:type="dxa"/>
            <w:vMerge w:val="restart"/>
            <w:vAlign w:val="center"/>
          </w:tcPr>
          <w:p w:rsidR="002C2E61" w:rsidRPr="00D40DA3" w:rsidRDefault="002C2E61" w:rsidP="00AD55B0">
            <w:pPr>
              <w:pStyle w:val="Tabletext"/>
              <w:jc w:val="center"/>
            </w:pPr>
            <w:r w:rsidRPr="00D40DA3">
              <w:t>17</w:t>
            </w:r>
          </w:p>
        </w:tc>
        <w:tc>
          <w:tcPr>
            <w:tcW w:w="1701" w:type="dxa"/>
            <w:vAlign w:val="center"/>
          </w:tcPr>
          <w:p w:rsidR="002C2E61" w:rsidRPr="00D40DA3" w:rsidRDefault="002C2E61" w:rsidP="00AD55B0">
            <w:pPr>
              <w:pStyle w:val="Tabletext"/>
              <w:jc w:val="center"/>
            </w:pPr>
            <w:r w:rsidRPr="00D40DA3">
              <w:t>25</w:t>
            </w:r>
          </w:p>
        </w:tc>
        <w:tc>
          <w:tcPr>
            <w:tcW w:w="1701" w:type="dxa"/>
            <w:vAlign w:val="center"/>
          </w:tcPr>
          <w:p w:rsidR="002C2E61" w:rsidRPr="00D40DA3" w:rsidRDefault="002C2E61" w:rsidP="00AD55B0">
            <w:pPr>
              <w:pStyle w:val="Tabletext"/>
              <w:jc w:val="center"/>
            </w:pPr>
            <w:r w:rsidRPr="00D40DA3">
              <w:t>18</w:t>
            </w:r>
          </w:p>
        </w:tc>
      </w:tr>
      <w:tr w:rsidR="002C2E61" w:rsidRPr="00D40DA3" w:rsidTr="00AD55B0">
        <w:trPr>
          <w:trHeight w:val="20"/>
          <w:jc w:val="center"/>
        </w:trPr>
        <w:tc>
          <w:tcPr>
            <w:tcW w:w="2835" w:type="dxa"/>
            <w:vMerge/>
            <w:tcBorders>
              <w:bottom w:val="single" w:sz="4" w:space="0" w:color="auto"/>
            </w:tcBorders>
            <w:vAlign w:val="center"/>
          </w:tcPr>
          <w:p w:rsidR="002C2E61" w:rsidRPr="00D40DA3" w:rsidRDefault="002C2E61" w:rsidP="00AD55B0">
            <w:pPr>
              <w:pStyle w:val="FootnoteText"/>
              <w:jc w:val="center"/>
            </w:pPr>
          </w:p>
        </w:tc>
        <w:tc>
          <w:tcPr>
            <w:tcW w:w="1701" w:type="dxa"/>
            <w:tcBorders>
              <w:bottom w:val="single" w:sz="4" w:space="0" w:color="auto"/>
            </w:tcBorders>
            <w:vAlign w:val="center"/>
          </w:tcPr>
          <w:p w:rsidR="002C2E61" w:rsidRPr="00D40DA3" w:rsidRDefault="002C2E61" w:rsidP="00AD55B0">
            <w:pPr>
              <w:pStyle w:val="FootnoteText"/>
              <w:jc w:val="center"/>
            </w:pPr>
            <w:r w:rsidRPr="00D40DA3">
              <w:t>4:3</w:t>
            </w:r>
          </w:p>
        </w:tc>
        <w:tc>
          <w:tcPr>
            <w:tcW w:w="1701" w:type="dxa"/>
            <w:vMerge/>
            <w:tcBorders>
              <w:bottom w:val="single" w:sz="4" w:space="0" w:color="auto"/>
            </w:tcBorders>
            <w:vAlign w:val="center"/>
          </w:tcPr>
          <w:p w:rsidR="002C2E61" w:rsidRPr="00D40DA3" w:rsidRDefault="002C2E61" w:rsidP="00AD55B0">
            <w:pPr>
              <w:pStyle w:val="FootnoteText"/>
              <w:jc w:val="center"/>
            </w:pPr>
          </w:p>
        </w:tc>
        <w:tc>
          <w:tcPr>
            <w:tcW w:w="1701" w:type="dxa"/>
            <w:tcBorders>
              <w:bottom w:val="single" w:sz="4" w:space="0" w:color="auto"/>
            </w:tcBorders>
            <w:vAlign w:val="center"/>
          </w:tcPr>
          <w:p w:rsidR="002C2E61" w:rsidRPr="00D40DA3" w:rsidRDefault="002C2E61" w:rsidP="00AD55B0">
            <w:pPr>
              <w:pStyle w:val="Tabletext"/>
              <w:keepNext/>
              <w:keepLines/>
              <w:jc w:val="center"/>
            </w:pPr>
            <w:r w:rsidRPr="00D40DA3">
              <w:t>s/o</w:t>
            </w:r>
          </w:p>
        </w:tc>
        <w:tc>
          <w:tcPr>
            <w:tcW w:w="1701" w:type="dxa"/>
            <w:tcBorders>
              <w:bottom w:val="single" w:sz="4" w:space="0" w:color="auto"/>
            </w:tcBorders>
            <w:vAlign w:val="center"/>
          </w:tcPr>
          <w:p w:rsidR="002C2E61" w:rsidRPr="00D40DA3" w:rsidRDefault="002C2E61" w:rsidP="00AD55B0">
            <w:pPr>
              <w:pStyle w:val="Tabletext"/>
              <w:keepNext/>
              <w:keepLines/>
              <w:jc w:val="center"/>
            </w:pPr>
            <w:r w:rsidRPr="00D40DA3">
              <w:t>25</w:t>
            </w:r>
          </w:p>
        </w:tc>
      </w:tr>
      <w:tr w:rsidR="002C2E61" w:rsidRPr="00D40DA3" w:rsidTr="00AD55B0">
        <w:trPr>
          <w:trHeight w:val="20"/>
          <w:jc w:val="center"/>
        </w:trPr>
        <w:tc>
          <w:tcPr>
            <w:tcW w:w="9639" w:type="dxa"/>
            <w:gridSpan w:val="5"/>
            <w:tcBorders>
              <w:left w:val="nil"/>
              <w:bottom w:val="nil"/>
              <w:right w:val="nil"/>
            </w:tcBorders>
            <w:vAlign w:val="center"/>
          </w:tcPr>
          <w:p w:rsidR="002C2E61" w:rsidRPr="00D40DA3" w:rsidRDefault="002C2E61" w:rsidP="00AD55B0">
            <w:pPr>
              <w:pStyle w:val="Tablelegend"/>
            </w:pPr>
            <w:r w:rsidRPr="00D40DA3">
              <w:rPr>
                <w:szCs w:val="22"/>
                <w:vertAlign w:val="superscript"/>
              </w:rPr>
              <w:t>(1)</w:t>
            </w:r>
            <w:r w:rsidRPr="00D40DA3">
              <w:tab/>
              <w:t>Les valeurs indiquées sont des dimensions idéales. Dans le cas de configurations 4:2:2, des valeurs paires sont recommandées.</w:t>
            </w:r>
          </w:p>
        </w:tc>
      </w:tr>
    </w:tbl>
    <w:p w:rsidR="002C2E61" w:rsidRPr="00D40DA3" w:rsidRDefault="002C2E61" w:rsidP="002C2E61">
      <w:pPr>
        <w:pStyle w:val="Tablefin"/>
        <w:rPr>
          <w:lang w:val="fr-FR"/>
        </w:rPr>
      </w:pPr>
    </w:p>
    <w:p w:rsidR="002C2E61" w:rsidRPr="00D40DA3" w:rsidRDefault="002C2E61" w:rsidP="002C2E61">
      <w:pPr>
        <w:pStyle w:val="Note"/>
      </w:pPr>
      <w:r w:rsidRPr="00D40DA3">
        <w:t>NOTE 1 – Pour une largeur d'image de 720 pixels au format 16:9, utiliser les marqueurs de résolution horizontale en position A. Pour une largeur d'image de 960 pixels au format 16:9 ou pour une image recadrée d'une largeur de 720 pixels au format 4:3, utiliser les marqueurs de résolution horizontale en position B.</w:t>
      </w:r>
    </w:p>
    <w:p w:rsidR="002C2E61" w:rsidRPr="00D40DA3" w:rsidRDefault="002C2E61" w:rsidP="002C2E61">
      <w:r w:rsidRPr="00D40DA3">
        <w:t>Au centre de l'image est situé un grand cercle contenant les Zones 2 à 13. Ce cercle, qui indique le format du signal source, a un diamètre de 93% de la hauteur de l'image et apparaît sur un fond quadrillé gris à 50% (zone 1). La Zone 1 est une grille de dix lignes et dix colonnes.</w:t>
      </w:r>
    </w:p>
    <w:p w:rsidR="002C2E61" w:rsidRPr="00D40DA3" w:rsidRDefault="002C2E61" w:rsidP="002C2E61">
      <w:r w:rsidRPr="00D40DA3">
        <w:t>Les Zones 8 à 10, 14 et 15 contiennent les barres de réponse en fréquence. A ces barres sont associés des marqueurs de couleur indiquant l'extrémité de la bande passante (0,8 × fréquence de Nyquist) et la fréquence de Nyquist des systèmes 483, 576, 720 et 1 080 lignes. Le balayage vertical en fréquence peut être exprimé en signaux trame complète ou demi-trame.</w:t>
      </w:r>
      <w:r w:rsidR="00D40D83">
        <w:t xml:space="preserve"> Pour ce balayage en fréquence, la forme d'onde est sinusoïdale</w:t>
      </w:r>
      <w:r w:rsidR="00D40D83">
        <w:rPr>
          <w:rStyle w:val="FootnoteReference"/>
        </w:rPr>
        <w:footnoteReference w:id="2"/>
      </w:r>
      <w:r w:rsidR="00D40D83">
        <w:t>.</w:t>
      </w:r>
    </w:p>
    <w:p w:rsidR="002C2E61" w:rsidRPr="00D40DA3" w:rsidRDefault="002C2E61" w:rsidP="002C2E61">
      <w:r w:rsidRPr="00D40DA3">
        <w:t xml:space="preserve">La Zone 2, qui est une zone texte définie par l'utilisateur, sert à identifier le canal de transmission ou la source du signal. </w:t>
      </w:r>
    </w:p>
    <w:p w:rsidR="002C2E61" w:rsidRPr="00D40DA3" w:rsidRDefault="002C2E61" w:rsidP="002C2E61">
      <w:r w:rsidRPr="00D40DA3">
        <w:t>La Zone 3 affiche une barre blanche (luminance de 100%) servant de référence pour les barres de couleur situées immédiatement au-dessous.</w:t>
      </w:r>
    </w:p>
    <w:p w:rsidR="002C2E61" w:rsidRPr="00D40DA3" w:rsidRDefault="002C2E61" w:rsidP="002C2E61">
      <w:r w:rsidRPr="00D40DA3">
        <w:t xml:space="preserve">La Zone 4 affiche un ensemble de barres de couleur 100/0/100/0. Ces barres peuvent être utilisées pour vérifier les caméras, codecs et moniteurs dans un quelconque maillon d'une chaîne de </w:t>
      </w:r>
      <w:r w:rsidRPr="00D40DA3">
        <w:lastRenderedPageBreak/>
        <w:t xml:space="preserve">production, ou pour vérifier tout autre équipement utilisé pour l'émission et la présentation de programmes numériques. </w:t>
      </w:r>
    </w:p>
    <w:p w:rsidR="002C2E61" w:rsidRPr="00D40DA3" w:rsidRDefault="002C2E61" w:rsidP="0029105B">
      <w:pPr>
        <w:keepNext/>
        <w:keepLines/>
      </w:pPr>
      <w:r w:rsidRPr="00D40DA3">
        <w:t>La Zone 5 affiche une échelle de luminance qui peut être utilisée pour vérifier qu'un système fonctionne correctement à toutes les valeurs de codage, y compris celles inférieures à 0% ou supérieures à 100% de la luminance, sans toutefois tenir compte du niveau de synchronisation.</w:t>
      </w:r>
    </w:p>
    <w:p w:rsidR="002C2E61" w:rsidRPr="00D40DA3" w:rsidRDefault="002C2E61" w:rsidP="002C2E61">
      <w:r w:rsidRPr="00D40DA3">
        <w:t xml:space="preserve">La Zone 6 affiche une échelle horizontale de différence de couleur </w:t>
      </w:r>
      <w:r w:rsidRPr="00D40DA3">
        <w:rPr>
          <w:i/>
        </w:rPr>
        <w:t>B</w:t>
      </w:r>
      <w:r w:rsidRPr="00D40DA3">
        <w:t>-</w:t>
      </w:r>
      <w:r w:rsidRPr="00D40DA3">
        <w:rPr>
          <w:i/>
        </w:rPr>
        <w:t>Y</w:t>
      </w:r>
      <w:r w:rsidRPr="00D40DA3">
        <w:t>.</w:t>
      </w:r>
    </w:p>
    <w:p w:rsidR="002C2E61" w:rsidRPr="00D40DA3" w:rsidRDefault="002C2E61" w:rsidP="002C2E61">
      <w:r w:rsidRPr="00D40DA3">
        <w:t xml:space="preserve">La Zone 7 affiche une échelle horizontale de différence de couleur </w:t>
      </w:r>
      <w:r w:rsidRPr="00D40DA3">
        <w:rPr>
          <w:i/>
        </w:rPr>
        <w:t>R</w:t>
      </w:r>
      <w:r w:rsidRPr="00D40DA3">
        <w:t>-</w:t>
      </w:r>
      <w:r w:rsidRPr="00D40DA3">
        <w:rPr>
          <w:i/>
        </w:rPr>
        <w:t>Y</w:t>
      </w:r>
      <w:r w:rsidRPr="00D40DA3">
        <w:t>.</w:t>
      </w:r>
    </w:p>
    <w:p w:rsidR="002C2E61" w:rsidRPr="00D40DA3" w:rsidRDefault="002C2E61" w:rsidP="002C2E61">
      <w:r w:rsidRPr="00D40DA3">
        <w:t>La Zone 8 affiche horizontalement le balayage linéaire en fréquence de luminance. Le début du balayage correspond à 1,125 MHz pour les systèmes 483 et 576 lignes et à 2,32 MHz pour les systèmes 720 et 1 080 lignes. La fin du balayage correspond à 18 MHz pour les systèmes 483 et 576 lignes et à 37,125 MHz pour les systèmes 720 et 1 080 lignes.</w:t>
      </w:r>
    </w:p>
    <w:p w:rsidR="002C2E61" w:rsidRPr="00D40DA3" w:rsidRDefault="002C2E61" w:rsidP="002C2E61">
      <w:r w:rsidRPr="00D40DA3">
        <w:t>La Zone 9 affiche horizontalement le balayage linéaire en fréquence de la différence de couleur </w:t>
      </w:r>
      <w:r w:rsidRPr="00D40DA3">
        <w:rPr>
          <w:i/>
        </w:rPr>
        <w:t>B</w:t>
      </w:r>
      <w:r w:rsidRPr="00D40DA3">
        <w:noBreakHyphen/>
      </w:r>
      <w:r w:rsidRPr="00D40DA3">
        <w:rPr>
          <w:i/>
        </w:rPr>
        <w:t>Y</w:t>
      </w:r>
      <w:r w:rsidRPr="00D40DA3">
        <w:t>. Le début du balayage correspond à 0,5625 MHz pour les systèmes 483 et 576 lignes et à 1,16 MHz pour les systèmes 720 et 1 080 lignes. La fin du balayage correspond à 9 MHz pour les systèmes 483 et 576 lignes et à 18,5625 MHz pour les systèmes 720 et 1 080 lignes.</w:t>
      </w:r>
    </w:p>
    <w:p w:rsidR="002C2E61" w:rsidRPr="00D40DA3" w:rsidRDefault="002C2E61" w:rsidP="002C2E61">
      <w:r w:rsidRPr="00D40DA3">
        <w:t>La Zone 10 affiche horizontalement le balayage linéaire en fréquence de la différence de couleur </w:t>
      </w:r>
      <w:r w:rsidRPr="00D40DA3">
        <w:rPr>
          <w:i/>
        </w:rPr>
        <w:t>R</w:t>
      </w:r>
      <w:r w:rsidRPr="00D40DA3">
        <w:noBreakHyphen/>
      </w:r>
      <w:r w:rsidRPr="00D40DA3">
        <w:rPr>
          <w:i/>
        </w:rPr>
        <w:t>Y</w:t>
      </w:r>
      <w:r w:rsidRPr="00D40DA3">
        <w:t>. Le début du balayage correspond à 0,5625 MHz pour les systèmes 483 et 576 lignes et à 1,16 MHz pour les systèmes 720 et 1080 lignes. La fin du balayage correspond à 9 MHz pour les systèmes 483 et 576 lignes et à 18,5625 MHz pour les systèmes 720 et 1080 lignes.</w:t>
      </w:r>
    </w:p>
    <w:p w:rsidR="002C2E61" w:rsidRPr="00D40DA3" w:rsidRDefault="002C2E61" w:rsidP="002C2E61">
      <w:r w:rsidRPr="00D40DA3">
        <w:t>La Zone 11 affiche une échelle horizontale de valeurs de luminance par pas de 10%.</w:t>
      </w:r>
    </w:p>
    <w:p w:rsidR="002C2E61" w:rsidRPr="00D40DA3" w:rsidRDefault="002C2E61" w:rsidP="002C2E61">
      <w:r w:rsidRPr="00D40DA3">
        <w:t>La Zone 12 contient une barre se déplaçant horizontalement en boucle continue (par passe de 1 s) de gauche à droite. Cette zone sert à vérifier la synchronisation audio-vidéo et indique que le canal est actif. Le signal de synchronisation audio est produit lorsque la barre passe le centre. Cette zone est divisée verticalement en trois parties égales: la zone supérieure contient trois marqueurs: +40 ms (le son est en avance sur l'image), 0 ms et –80 ms (l'image est en avance sur le son). Ces marqueurs sont des indicateurs d'état de synchronisation. La partie inférieure contient des marqueurs fixes à intervalles de 100 ms et la partie médiane contient la barre mobile. Les marqueurs fixes tout comme les marqueurs mobiles sont blancs sur un fond noir. Leur largeur est d'environ deux pixels dans un format de 483 lignes ou de 576 lignes.</w:t>
      </w:r>
    </w:p>
    <w:p w:rsidR="002C2E61" w:rsidRPr="00D40DA3" w:rsidRDefault="002C2E61" w:rsidP="002C2E61">
      <w:r w:rsidRPr="00D40DA3">
        <w:t>La Zone 13, qui affiche une barre sur un fond jaune, est utilisée comme signal d'essai de différence chrominance/luminance.</w:t>
      </w:r>
    </w:p>
    <w:p w:rsidR="002C2E61" w:rsidRPr="00D40DA3" w:rsidRDefault="002C2E61" w:rsidP="002C2E61">
      <w:r w:rsidRPr="00D40DA3">
        <w:t xml:space="preserve">La Zone 14 affiche verticalement le balayage en fréquence du signal de luminance, du signal de différence de couleur </w:t>
      </w:r>
      <w:r w:rsidRPr="00D40DA3">
        <w:rPr>
          <w:i/>
        </w:rPr>
        <w:t>R</w:t>
      </w:r>
      <w:r w:rsidRPr="00D40DA3">
        <w:t>-</w:t>
      </w:r>
      <w:r w:rsidRPr="00D40DA3">
        <w:rPr>
          <w:i/>
        </w:rPr>
        <w:t>Y</w:t>
      </w:r>
      <w:r w:rsidRPr="00D40DA3">
        <w:t xml:space="preserve"> et du signal de différence de couleur </w:t>
      </w:r>
      <w:r w:rsidRPr="00D40DA3">
        <w:rPr>
          <w:i/>
        </w:rPr>
        <w:t>B</w:t>
      </w:r>
      <w:r w:rsidRPr="00D40DA3">
        <w:t>-</w:t>
      </w:r>
      <w:r w:rsidRPr="00D40DA3">
        <w:rPr>
          <w:i/>
        </w:rPr>
        <w:t>Y</w:t>
      </w:r>
      <w:r w:rsidRPr="00D40DA3">
        <w:t xml:space="preserve"> pour un échantillonnage 4:2:0. Relativement à la hauteur totale de l'image, l'intervalle de balayage est de 64 à 1 080 lignes pour le signal de luminance et de 32 à 540 lignes pour les signaux de différence de couleur. Les deux marqueurs indiquent les fréquences de Nyquist pour les systèmes 483 lignes et 576 lignes, avec trames entrelacées ou balayage progressif. </w:t>
      </w:r>
    </w:p>
    <w:p w:rsidR="002C2E61" w:rsidRPr="00D40DA3" w:rsidRDefault="002C2E61" w:rsidP="002C2E61">
      <w:r w:rsidRPr="00D40DA3">
        <w:t xml:space="preserve">La Zone 15 affiche verticalement le balayage en fréquence du signal de luminance, du signal de différence de couleur </w:t>
      </w:r>
      <w:r w:rsidRPr="00D40DA3">
        <w:rPr>
          <w:i/>
        </w:rPr>
        <w:t>R</w:t>
      </w:r>
      <w:r w:rsidRPr="00D40DA3">
        <w:t>-</w:t>
      </w:r>
      <w:r w:rsidRPr="00D40DA3">
        <w:rPr>
          <w:i/>
        </w:rPr>
        <w:t>Y</w:t>
      </w:r>
      <w:r w:rsidRPr="00D40DA3">
        <w:t xml:space="preserve"> et du signal de différence de couleur </w:t>
      </w:r>
      <w:r w:rsidRPr="00D40DA3">
        <w:rPr>
          <w:i/>
        </w:rPr>
        <w:t>B</w:t>
      </w:r>
      <w:r w:rsidRPr="00D40DA3">
        <w:t>-</w:t>
      </w:r>
      <w:r w:rsidRPr="00D40DA3">
        <w:rPr>
          <w:i/>
        </w:rPr>
        <w:t>Y</w:t>
      </w:r>
      <w:r w:rsidRPr="00D40DA3">
        <w:t xml:space="preserve"> pour un échantillonnage 4:2:2. Pour ces trois signaux, l'intervalle de balayage est de 64 à 1 080 lignes sur la hauteur totale de l'image. Les deux marqueurs sont les mêmes que pour la Zone 14. </w:t>
      </w:r>
    </w:p>
    <w:p w:rsidR="002C2E61" w:rsidRPr="00D40DA3" w:rsidRDefault="002C2E61" w:rsidP="002C2E61">
      <w:r w:rsidRPr="00D40DA3">
        <w:t>Les fréquences et les positions de balayage des marqueurs de la bande passante et des marqueurs de la bande d'arrêt sont représentées dans les Tableaux 2 et 3.</w:t>
      </w:r>
    </w:p>
    <w:p w:rsidR="002C2E61" w:rsidRPr="00D40DA3" w:rsidRDefault="002C2E61" w:rsidP="002C2E61">
      <w:pPr>
        <w:pStyle w:val="TableNo"/>
      </w:pPr>
      <w:r w:rsidRPr="00D40DA3">
        <w:lastRenderedPageBreak/>
        <w:t>TABLEAU 2</w:t>
      </w:r>
    </w:p>
    <w:p w:rsidR="002C2E61" w:rsidRPr="00D40DA3" w:rsidRDefault="002C2E61" w:rsidP="002C2E61">
      <w:pPr>
        <w:pStyle w:val="Tabletitle"/>
      </w:pPr>
      <w:r w:rsidRPr="00D40DA3">
        <w:t>Marqueurs de résolution horizontale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60"/>
        <w:gridCol w:w="1418"/>
        <w:gridCol w:w="1361"/>
        <w:gridCol w:w="1361"/>
        <w:gridCol w:w="1361"/>
        <w:gridCol w:w="1361"/>
      </w:tblGrid>
      <w:tr w:rsidR="002C2E61" w:rsidRPr="00D40DA3" w:rsidTr="00AD55B0">
        <w:trPr>
          <w:jc w:val="center"/>
        </w:trPr>
        <w:tc>
          <w:tcPr>
            <w:tcW w:w="1417" w:type="dxa"/>
          </w:tcPr>
          <w:p w:rsidR="002C2E61" w:rsidRPr="00D40DA3" w:rsidRDefault="002C2E61" w:rsidP="00AD55B0">
            <w:pPr>
              <w:pStyle w:val="Tablehead"/>
              <w:ind w:left="-57" w:right="-57"/>
            </w:pPr>
            <w:r w:rsidRPr="00D40DA3">
              <w:t>Résolution de l'image</w:t>
            </w:r>
          </w:p>
        </w:tc>
        <w:tc>
          <w:tcPr>
            <w:tcW w:w="1360" w:type="dxa"/>
          </w:tcPr>
          <w:p w:rsidR="002C2E61" w:rsidRPr="00D40DA3" w:rsidRDefault="002C2E61" w:rsidP="00AD55B0">
            <w:pPr>
              <w:pStyle w:val="Tablehead"/>
              <w:ind w:left="-57" w:right="-57"/>
            </w:pPr>
            <w:r w:rsidRPr="00D40DA3">
              <w:t>0,8 </w:t>
            </w:r>
            <w:r w:rsidRPr="00D40DA3">
              <w:sym w:font="Symbol" w:char="F0B4"/>
            </w:r>
            <w:r w:rsidRPr="00D40DA3">
              <w:t> fré</w:t>
            </w:r>
            <w:r w:rsidRPr="00D40DA3">
              <w:softHyphen/>
              <w:t>quence de Nyquist</w:t>
            </w:r>
            <w:r w:rsidRPr="00D40DA3">
              <w:br/>
              <w:t>(MHz)</w:t>
            </w:r>
          </w:p>
        </w:tc>
        <w:tc>
          <w:tcPr>
            <w:tcW w:w="1418" w:type="dxa"/>
          </w:tcPr>
          <w:p w:rsidR="002C2E61" w:rsidRPr="00D40DA3" w:rsidRDefault="002C2E61" w:rsidP="00AD55B0">
            <w:pPr>
              <w:pStyle w:val="Tablehead"/>
              <w:ind w:left="-57" w:right="-57"/>
            </w:pPr>
            <w:r w:rsidRPr="00D40DA3">
              <w:t>Nombre d'échantillons à 0,8 </w:t>
            </w:r>
            <w:r w:rsidRPr="00D40DA3">
              <w:sym w:font="Symbol" w:char="F0B4"/>
            </w:r>
            <w:r w:rsidRPr="00D40DA3">
              <w:t> fré</w:t>
            </w:r>
            <w:r w:rsidRPr="00D40DA3">
              <w:softHyphen/>
              <w:t>quence de Nyquist (équivalent à 16:9)</w:t>
            </w:r>
          </w:p>
        </w:tc>
        <w:tc>
          <w:tcPr>
            <w:tcW w:w="1361" w:type="dxa"/>
          </w:tcPr>
          <w:p w:rsidR="002C2E61" w:rsidRPr="00D40DA3" w:rsidRDefault="002C2E61" w:rsidP="00AD55B0">
            <w:pPr>
              <w:pStyle w:val="Tablehead"/>
              <w:ind w:left="-57" w:right="-57"/>
            </w:pPr>
            <w:r w:rsidRPr="00D40DA3">
              <w:t>% de balayage à 0,8 </w:t>
            </w:r>
            <w:r w:rsidRPr="00D40DA3">
              <w:sym w:font="Symbol" w:char="F0B4"/>
            </w:r>
            <w:r w:rsidRPr="00D40DA3">
              <w:t> fré</w:t>
            </w:r>
            <w:r w:rsidRPr="00D40DA3">
              <w:softHyphen/>
              <w:t>quence de Nyquist</w:t>
            </w:r>
          </w:p>
        </w:tc>
        <w:tc>
          <w:tcPr>
            <w:tcW w:w="1361" w:type="dxa"/>
          </w:tcPr>
          <w:p w:rsidR="002C2E61" w:rsidRPr="00D40DA3" w:rsidRDefault="002C2E61" w:rsidP="00AD55B0">
            <w:pPr>
              <w:pStyle w:val="Tablehead"/>
              <w:ind w:left="-57" w:right="-57"/>
            </w:pPr>
            <w:r w:rsidRPr="00D40DA3">
              <w:t>Fréquence de Nyquist (MHz)</w:t>
            </w:r>
          </w:p>
        </w:tc>
        <w:tc>
          <w:tcPr>
            <w:tcW w:w="1361" w:type="dxa"/>
          </w:tcPr>
          <w:p w:rsidR="002C2E61" w:rsidRPr="00D40DA3" w:rsidRDefault="002C2E61" w:rsidP="00AD55B0">
            <w:pPr>
              <w:pStyle w:val="Tablehead"/>
              <w:ind w:left="-57" w:right="-57"/>
            </w:pPr>
            <w:r w:rsidRPr="00D40DA3">
              <w:t xml:space="preserve">Nombre de lignes à la fréquence de Nyquist </w:t>
            </w:r>
            <w:r w:rsidRPr="00D40DA3">
              <w:br/>
              <w:t>(équivalent à 16:9)</w:t>
            </w:r>
          </w:p>
        </w:tc>
        <w:tc>
          <w:tcPr>
            <w:tcW w:w="1361" w:type="dxa"/>
          </w:tcPr>
          <w:p w:rsidR="002C2E61" w:rsidRPr="00D40DA3" w:rsidRDefault="002C2E61" w:rsidP="00AD55B0">
            <w:pPr>
              <w:pStyle w:val="Tablehead"/>
              <w:ind w:left="-57" w:right="-57"/>
            </w:pPr>
            <w:r w:rsidRPr="00D40DA3">
              <w:t>% de balayage à la fréquence de Nyquist</w:t>
            </w:r>
          </w:p>
        </w:tc>
      </w:tr>
      <w:tr w:rsidR="002C2E61" w:rsidRPr="00D40DA3" w:rsidTr="00AD55B0">
        <w:trPr>
          <w:jc w:val="center"/>
        </w:trPr>
        <w:tc>
          <w:tcPr>
            <w:tcW w:w="1417" w:type="dxa"/>
          </w:tcPr>
          <w:p w:rsidR="002C2E61" w:rsidRPr="00D40DA3" w:rsidRDefault="002C2E61" w:rsidP="00AD55B0">
            <w:pPr>
              <w:pStyle w:val="Tabletext"/>
              <w:jc w:val="center"/>
            </w:pPr>
            <w:r w:rsidRPr="00D40DA3">
              <w:t>720 </w:t>
            </w:r>
            <w:r w:rsidRPr="00D40DA3">
              <w:sym w:font="Symbol" w:char="F0B4"/>
            </w:r>
            <w:r w:rsidRPr="00D40DA3">
              <w:t> 483</w:t>
            </w:r>
          </w:p>
        </w:tc>
        <w:tc>
          <w:tcPr>
            <w:tcW w:w="1360" w:type="dxa"/>
          </w:tcPr>
          <w:p w:rsidR="002C2E61" w:rsidRPr="00D40DA3" w:rsidRDefault="002C2E61" w:rsidP="00AD55B0">
            <w:pPr>
              <w:pStyle w:val="Tabletext"/>
              <w:jc w:val="center"/>
            </w:pPr>
            <w:r w:rsidRPr="00D40DA3">
              <w:t>5,4</w:t>
            </w:r>
          </w:p>
        </w:tc>
        <w:tc>
          <w:tcPr>
            <w:tcW w:w="1418" w:type="dxa"/>
          </w:tcPr>
          <w:p w:rsidR="002C2E61" w:rsidRPr="00D40DA3" w:rsidRDefault="002C2E61" w:rsidP="00AD55B0">
            <w:pPr>
              <w:pStyle w:val="Tabletext"/>
              <w:jc w:val="center"/>
            </w:pPr>
            <w:r w:rsidRPr="00D40DA3">
              <w:t>576</w:t>
            </w:r>
          </w:p>
        </w:tc>
        <w:tc>
          <w:tcPr>
            <w:tcW w:w="1361" w:type="dxa"/>
          </w:tcPr>
          <w:p w:rsidR="002C2E61" w:rsidRPr="00D40DA3" w:rsidRDefault="002C2E61" w:rsidP="00AD55B0">
            <w:pPr>
              <w:pStyle w:val="Tabletext"/>
              <w:jc w:val="center"/>
            </w:pPr>
            <w:r w:rsidRPr="00D40DA3">
              <w:t>25,3</w:t>
            </w:r>
          </w:p>
        </w:tc>
        <w:tc>
          <w:tcPr>
            <w:tcW w:w="1361" w:type="dxa"/>
          </w:tcPr>
          <w:p w:rsidR="002C2E61" w:rsidRPr="00D40DA3" w:rsidRDefault="002C2E61" w:rsidP="00AD55B0">
            <w:pPr>
              <w:pStyle w:val="Tabletext"/>
              <w:jc w:val="center"/>
            </w:pPr>
            <w:r w:rsidRPr="00D40DA3">
              <w:t>6,75</w:t>
            </w:r>
          </w:p>
        </w:tc>
        <w:tc>
          <w:tcPr>
            <w:tcW w:w="1361" w:type="dxa"/>
          </w:tcPr>
          <w:p w:rsidR="002C2E61" w:rsidRPr="00D40DA3" w:rsidRDefault="002C2E61" w:rsidP="00AD55B0">
            <w:pPr>
              <w:pStyle w:val="Tabletext"/>
              <w:jc w:val="center"/>
            </w:pPr>
            <w:r w:rsidRPr="00D40DA3">
              <w:t>720</w:t>
            </w:r>
          </w:p>
        </w:tc>
        <w:tc>
          <w:tcPr>
            <w:tcW w:w="1361" w:type="dxa"/>
          </w:tcPr>
          <w:p w:rsidR="002C2E61" w:rsidRPr="00D40DA3" w:rsidRDefault="002C2E61" w:rsidP="00AD55B0">
            <w:pPr>
              <w:pStyle w:val="Tabletext"/>
              <w:jc w:val="center"/>
            </w:pPr>
            <w:r w:rsidRPr="00D40DA3">
              <w:t>33,3</w:t>
            </w:r>
          </w:p>
        </w:tc>
      </w:tr>
      <w:tr w:rsidR="002C2E61" w:rsidRPr="00D40DA3" w:rsidTr="00AD55B0">
        <w:trPr>
          <w:jc w:val="center"/>
        </w:trPr>
        <w:tc>
          <w:tcPr>
            <w:tcW w:w="1417" w:type="dxa"/>
          </w:tcPr>
          <w:p w:rsidR="002C2E61" w:rsidRPr="00D40DA3" w:rsidRDefault="002C2E61" w:rsidP="00AD55B0">
            <w:pPr>
              <w:pStyle w:val="Tabletext"/>
              <w:jc w:val="center"/>
            </w:pPr>
            <w:r w:rsidRPr="00D40DA3">
              <w:t>720 </w:t>
            </w:r>
            <w:r w:rsidRPr="00D40DA3">
              <w:sym w:font="Symbol" w:char="F0B4"/>
            </w:r>
            <w:r w:rsidRPr="00D40DA3">
              <w:t> 576</w:t>
            </w:r>
          </w:p>
        </w:tc>
        <w:tc>
          <w:tcPr>
            <w:tcW w:w="1360" w:type="dxa"/>
          </w:tcPr>
          <w:p w:rsidR="002C2E61" w:rsidRPr="00D40DA3" w:rsidRDefault="002C2E61" w:rsidP="00AD55B0">
            <w:pPr>
              <w:pStyle w:val="Tabletext"/>
              <w:jc w:val="center"/>
            </w:pPr>
            <w:r w:rsidRPr="00D40DA3">
              <w:t>5,4</w:t>
            </w:r>
          </w:p>
        </w:tc>
        <w:tc>
          <w:tcPr>
            <w:tcW w:w="1418" w:type="dxa"/>
          </w:tcPr>
          <w:p w:rsidR="002C2E61" w:rsidRPr="00D40DA3" w:rsidRDefault="002C2E61" w:rsidP="00AD55B0">
            <w:pPr>
              <w:pStyle w:val="Tabletext"/>
              <w:jc w:val="center"/>
            </w:pPr>
            <w:r w:rsidRPr="00D40DA3">
              <w:t>576</w:t>
            </w:r>
          </w:p>
        </w:tc>
        <w:tc>
          <w:tcPr>
            <w:tcW w:w="1361" w:type="dxa"/>
          </w:tcPr>
          <w:p w:rsidR="002C2E61" w:rsidRPr="00D40DA3" w:rsidRDefault="002C2E61" w:rsidP="00AD55B0">
            <w:pPr>
              <w:pStyle w:val="Tabletext"/>
              <w:jc w:val="center"/>
            </w:pPr>
            <w:r w:rsidRPr="00D40DA3">
              <w:t>25,3</w:t>
            </w:r>
          </w:p>
        </w:tc>
        <w:tc>
          <w:tcPr>
            <w:tcW w:w="1361" w:type="dxa"/>
          </w:tcPr>
          <w:p w:rsidR="002C2E61" w:rsidRPr="00D40DA3" w:rsidRDefault="002C2E61" w:rsidP="00AD55B0">
            <w:pPr>
              <w:pStyle w:val="Tabletext"/>
              <w:jc w:val="center"/>
            </w:pPr>
            <w:r w:rsidRPr="00D40DA3">
              <w:t>6,75</w:t>
            </w:r>
          </w:p>
        </w:tc>
        <w:tc>
          <w:tcPr>
            <w:tcW w:w="1361" w:type="dxa"/>
          </w:tcPr>
          <w:p w:rsidR="002C2E61" w:rsidRPr="00D40DA3" w:rsidRDefault="002C2E61" w:rsidP="00AD55B0">
            <w:pPr>
              <w:pStyle w:val="Tabletext"/>
              <w:jc w:val="center"/>
            </w:pPr>
            <w:r w:rsidRPr="00D40DA3">
              <w:t>720</w:t>
            </w:r>
          </w:p>
        </w:tc>
        <w:tc>
          <w:tcPr>
            <w:tcW w:w="1361" w:type="dxa"/>
          </w:tcPr>
          <w:p w:rsidR="002C2E61" w:rsidRPr="00D40DA3" w:rsidRDefault="002C2E61" w:rsidP="00AD55B0">
            <w:pPr>
              <w:pStyle w:val="Tabletext"/>
              <w:jc w:val="center"/>
            </w:pPr>
            <w:r w:rsidRPr="00D40DA3">
              <w:t>33,3</w:t>
            </w:r>
          </w:p>
        </w:tc>
      </w:tr>
      <w:tr w:rsidR="002C2E61" w:rsidRPr="00D40DA3" w:rsidTr="00AD55B0">
        <w:trPr>
          <w:jc w:val="center"/>
        </w:trPr>
        <w:tc>
          <w:tcPr>
            <w:tcW w:w="1417" w:type="dxa"/>
          </w:tcPr>
          <w:p w:rsidR="002C2E61" w:rsidRPr="00D40DA3" w:rsidRDefault="002C2E61" w:rsidP="00AD55B0">
            <w:pPr>
              <w:pStyle w:val="Tabletext"/>
              <w:jc w:val="center"/>
            </w:pPr>
            <w:r w:rsidRPr="00D40DA3">
              <w:t>960 </w:t>
            </w:r>
            <w:r w:rsidRPr="00D40DA3">
              <w:sym w:font="Symbol" w:char="F0B4"/>
            </w:r>
            <w:r w:rsidRPr="00D40DA3">
              <w:t> 483</w:t>
            </w:r>
          </w:p>
        </w:tc>
        <w:tc>
          <w:tcPr>
            <w:tcW w:w="1360" w:type="dxa"/>
          </w:tcPr>
          <w:p w:rsidR="002C2E61" w:rsidRPr="00D40DA3" w:rsidRDefault="002C2E61" w:rsidP="00AD55B0">
            <w:pPr>
              <w:pStyle w:val="Tabletext"/>
              <w:jc w:val="center"/>
            </w:pPr>
            <w:r w:rsidRPr="00D40DA3">
              <w:t>7,2</w:t>
            </w:r>
          </w:p>
        </w:tc>
        <w:tc>
          <w:tcPr>
            <w:tcW w:w="1418" w:type="dxa"/>
          </w:tcPr>
          <w:p w:rsidR="002C2E61" w:rsidRPr="00D40DA3" w:rsidRDefault="002C2E61" w:rsidP="00AD55B0">
            <w:pPr>
              <w:pStyle w:val="Tabletext"/>
              <w:jc w:val="center"/>
            </w:pPr>
            <w:r w:rsidRPr="00D40DA3">
              <w:t>768</w:t>
            </w:r>
          </w:p>
        </w:tc>
        <w:tc>
          <w:tcPr>
            <w:tcW w:w="1361" w:type="dxa"/>
          </w:tcPr>
          <w:p w:rsidR="002C2E61" w:rsidRPr="00D40DA3" w:rsidRDefault="002C2E61" w:rsidP="00AD55B0">
            <w:pPr>
              <w:pStyle w:val="Tabletext"/>
              <w:jc w:val="center"/>
            </w:pPr>
            <w:r w:rsidRPr="00D40DA3">
              <w:t>36</w:t>
            </w:r>
          </w:p>
        </w:tc>
        <w:tc>
          <w:tcPr>
            <w:tcW w:w="1361" w:type="dxa"/>
          </w:tcPr>
          <w:p w:rsidR="002C2E61" w:rsidRPr="00D40DA3" w:rsidRDefault="002C2E61" w:rsidP="00AD55B0">
            <w:pPr>
              <w:pStyle w:val="Tabletext"/>
              <w:jc w:val="center"/>
            </w:pPr>
            <w:r w:rsidRPr="00D40DA3">
              <w:t>9</w:t>
            </w:r>
          </w:p>
        </w:tc>
        <w:tc>
          <w:tcPr>
            <w:tcW w:w="1361" w:type="dxa"/>
          </w:tcPr>
          <w:p w:rsidR="002C2E61" w:rsidRPr="00D40DA3" w:rsidRDefault="002C2E61" w:rsidP="00AD55B0">
            <w:pPr>
              <w:pStyle w:val="Tabletext"/>
              <w:jc w:val="center"/>
            </w:pPr>
            <w:r w:rsidRPr="00D40DA3">
              <w:t>960</w:t>
            </w:r>
          </w:p>
        </w:tc>
        <w:tc>
          <w:tcPr>
            <w:tcW w:w="1361" w:type="dxa"/>
          </w:tcPr>
          <w:p w:rsidR="002C2E61" w:rsidRPr="00D40DA3" w:rsidRDefault="002C2E61" w:rsidP="00AD55B0">
            <w:pPr>
              <w:pStyle w:val="Tabletext"/>
              <w:jc w:val="center"/>
            </w:pPr>
            <w:r w:rsidRPr="00D40DA3">
              <w:t>46,7</w:t>
            </w:r>
          </w:p>
        </w:tc>
      </w:tr>
      <w:tr w:rsidR="002C2E61" w:rsidRPr="00D40DA3" w:rsidTr="00AD55B0">
        <w:trPr>
          <w:jc w:val="center"/>
        </w:trPr>
        <w:tc>
          <w:tcPr>
            <w:tcW w:w="1417" w:type="dxa"/>
          </w:tcPr>
          <w:p w:rsidR="002C2E61" w:rsidRPr="00D40DA3" w:rsidRDefault="002C2E61" w:rsidP="00AD55B0">
            <w:pPr>
              <w:pStyle w:val="Tabletext"/>
              <w:jc w:val="center"/>
            </w:pPr>
            <w:r w:rsidRPr="00D40DA3">
              <w:t>960 </w:t>
            </w:r>
            <w:r w:rsidRPr="00D40DA3">
              <w:sym w:font="Symbol" w:char="F0B4"/>
            </w:r>
            <w:r w:rsidRPr="00D40DA3">
              <w:t> 576</w:t>
            </w:r>
          </w:p>
        </w:tc>
        <w:tc>
          <w:tcPr>
            <w:tcW w:w="1360" w:type="dxa"/>
          </w:tcPr>
          <w:p w:rsidR="002C2E61" w:rsidRPr="00D40DA3" w:rsidRDefault="002C2E61" w:rsidP="00AD55B0">
            <w:pPr>
              <w:pStyle w:val="Tabletext"/>
              <w:jc w:val="center"/>
            </w:pPr>
            <w:r w:rsidRPr="00D40DA3">
              <w:t>7,2</w:t>
            </w:r>
          </w:p>
        </w:tc>
        <w:tc>
          <w:tcPr>
            <w:tcW w:w="1418" w:type="dxa"/>
          </w:tcPr>
          <w:p w:rsidR="002C2E61" w:rsidRPr="00D40DA3" w:rsidRDefault="002C2E61" w:rsidP="00AD55B0">
            <w:pPr>
              <w:pStyle w:val="Tabletext"/>
              <w:jc w:val="center"/>
            </w:pPr>
            <w:r w:rsidRPr="00D40DA3">
              <w:t>768</w:t>
            </w:r>
          </w:p>
        </w:tc>
        <w:tc>
          <w:tcPr>
            <w:tcW w:w="1361" w:type="dxa"/>
          </w:tcPr>
          <w:p w:rsidR="002C2E61" w:rsidRPr="00D40DA3" w:rsidRDefault="002C2E61" w:rsidP="00AD55B0">
            <w:pPr>
              <w:pStyle w:val="Tabletext"/>
              <w:jc w:val="center"/>
            </w:pPr>
            <w:r w:rsidRPr="00D40DA3">
              <w:t>36</w:t>
            </w:r>
          </w:p>
        </w:tc>
        <w:tc>
          <w:tcPr>
            <w:tcW w:w="1361" w:type="dxa"/>
          </w:tcPr>
          <w:p w:rsidR="002C2E61" w:rsidRPr="00D40DA3" w:rsidRDefault="002C2E61" w:rsidP="00AD55B0">
            <w:pPr>
              <w:pStyle w:val="Tabletext"/>
              <w:jc w:val="center"/>
            </w:pPr>
            <w:r w:rsidRPr="00D40DA3">
              <w:t>9</w:t>
            </w:r>
          </w:p>
        </w:tc>
        <w:tc>
          <w:tcPr>
            <w:tcW w:w="1361" w:type="dxa"/>
          </w:tcPr>
          <w:p w:rsidR="002C2E61" w:rsidRPr="00D40DA3" w:rsidRDefault="002C2E61" w:rsidP="00AD55B0">
            <w:pPr>
              <w:pStyle w:val="Tabletext"/>
              <w:jc w:val="center"/>
            </w:pPr>
            <w:r w:rsidRPr="00D40DA3">
              <w:t>960</w:t>
            </w:r>
          </w:p>
        </w:tc>
        <w:tc>
          <w:tcPr>
            <w:tcW w:w="1361" w:type="dxa"/>
          </w:tcPr>
          <w:p w:rsidR="002C2E61" w:rsidRPr="00D40DA3" w:rsidRDefault="002C2E61" w:rsidP="00AD55B0">
            <w:pPr>
              <w:pStyle w:val="Tabletext"/>
              <w:jc w:val="center"/>
            </w:pPr>
            <w:r w:rsidRPr="00D40DA3">
              <w:t>46,7</w:t>
            </w:r>
          </w:p>
        </w:tc>
      </w:tr>
      <w:tr w:rsidR="002C2E61" w:rsidRPr="00D40DA3" w:rsidTr="00AD55B0">
        <w:trPr>
          <w:jc w:val="center"/>
        </w:trPr>
        <w:tc>
          <w:tcPr>
            <w:tcW w:w="1417" w:type="dxa"/>
          </w:tcPr>
          <w:p w:rsidR="002C2E61" w:rsidRPr="00D40DA3" w:rsidRDefault="002C2E61" w:rsidP="00AD55B0">
            <w:pPr>
              <w:pStyle w:val="Tabletext"/>
              <w:jc w:val="center"/>
            </w:pPr>
            <w:r w:rsidRPr="00D40DA3">
              <w:t>1 280 </w:t>
            </w:r>
            <w:r w:rsidRPr="00D40DA3">
              <w:sym w:font="Symbol" w:char="F0B4"/>
            </w:r>
            <w:r w:rsidRPr="00D40DA3">
              <w:t> 720</w:t>
            </w:r>
          </w:p>
        </w:tc>
        <w:tc>
          <w:tcPr>
            <w:tcW w:w="1360" w:type="dxa"/>
          </w:tcPr>
          <w:p w:rsidR="002C2E61" w:rsidRPr="00D40DA3" w:rsidRDefault="002C2E61" w:rsidP="00AD55B0">
            <w:pPr>
              <w:pStyle w:val="Tabletext"/>
              <w:jc w:val="center"/>
            </w:pPr>
            <w:r w:rsidRPr="00D40DA3">
              <w:t>29,7</w:t>
            </w:r>
          </w:p>
        </w:tc>
        <w:tc>
          <w:tcPr>
            <w:tcW w:w="1418" w:type="dxa"/>
          </w:tcPr>
          <w:p w:rsidR="002C2E61" w:rsidRPr="00D40DA3" w:rsidRDefault="002C2E61" w:rsidP="00AD55B0">
            <w:pPr>
              <w:pStyle w:val="Tabletext"/>
              <w:jc w:val="center"/>
            </w:pPr>
            <w:r w:rsidRPr="00D40DA3">
              <w:t>1 024</w:t>
            </w:r>
          </w:p>
        </w:tc>
        <w:tc>
          <w:tcPr>
            <w:tcW w:w="1361" w:type="dxa"/>
          </w:tcPr>
          <w:p w:rsidR="002C2E61" w:rsidRPr="00D40DA3" w:rsidRDefault="002C2E61" w:rsidP="00AD55B0">
            <w:pPr>
              <w:pStyle w:val="Tabletext"/>
              <w:jc w:val="center"/>
            </w:pPr>
            <w:r w:rsidRPr="00D40DA3">
              <w:t>50,2</w:t>
            </w:r>
          </w:p>
        </w:tc>
        <w:tc>
          <w:tcPr>
            <w:tcW w:w="1361" w:type="dxa"/>
          </w:tcPr>
          <w:p w:rsidR="002C2E61" w:rsidRPr="00D40DA3" w:rsidRDefault="002C2E61" w:rsidP="00AD55B0">
            <w:pPr>
              <w:pStyle w:val="Tabletext"/>
              <w:jc w:val="center"/>
            </w:pPr>
            <w:r w:rsidRPr="00D40DA3">
              <w:t>37,125</w:t>
            </w:r>
          </w:p>
        </w:tc>
        <w:tc>
          <w:tcPr>
            <w:tcW w:w="1361" w:type="dxa"/>
          </w:tcPr>
          <w:p w:rsidR="002C2E61" w:rsidRPr="00D40DA3" w:rsidRDefault="002C2E61" w:rsidP="00AD55B0">
            <w:pPr>
              <w:pStyle w:val="Tabletext"/>
              <w:jc w:val="center"/>
            </w:pPr>
            <w:r w:rsidRPr="00D40DA3">
              <w:t>1 280</w:t>
            </w:r>
          </w:p>
        </w:tc>
        <w:tc>
          <w:tcPr>
            <w:tcW w:w="1361" w:type="dxa"/>
          </w:tcPr>
          <w:p w:rsidR="002C2E61" w:rsidRPr="00D40DA3" w:rsidRDefault="002C2E61" w:rsidP="00AD55B0">
            <w:pPr>
              <w:pStyle w:val="Tabletext"/>
              <w:jc w:val="center"/>
            </w:pPr>
            <w:r w:rsidRPr="00D40DA3">
              <w:t>64,4</w:t>
            </w:r>
          </w:p>
        </w:tc>
      </w:tr>
      <w:tr w:rsidR="002C2E61" w:rsidRPr="00D40DA3" w:rsidTr="00AD55B0">
        <w:trPr>
          <w:jc w:val="center"/>
        </w:trPr>
        <w:tc>
          <w:tcPr>
            <w:tcW w:w="1417" w:type="dxa"/>
          </w:tcPr>
          <w:p w:rsidR="002C2E61" w:rsidRPr="00D40DA3" w:rsidRDefault="002C2E61" w:rsidP="00AD55B0">
            <w:pPr>
              <w:pStyle w:val="Tabletext"/>
              <w:ind w:left="-57" w:right="-57"/>
              <w:jc w:val="center"/>
            </w:pPr>
            <w:r w:rsidRPr="00D40DA3">
              <w:t>1 920 </w:t>
            </w:r>
            <w:r w:rsidRPr="00D40DA3">
              <w:sym w:font="Symbol" w:char="F0B4"/>
            </w:r>
            <w:r w:rsidRPr="00D40DA3">
              <w:t> 1 080</w:t>
            </w:r>
          </w:p>
        </w:tc>
        <w:tc>
          <w:tcPr>
            <w:tcW w:w="1360" w:type="dxa"/>
          </w:tcPr>
          <w:p w:rsidR="002C2E61" w:rsidRPr="00D40DA3" w:rsidRDefault="002C2E61" w:rsidP="00AD55B0">
            <w:pPr>
              <w:pStyle w:val="Tabletext"/>
              <w:jc w:val="center"/>
            </w:pPr>
            <w:r w:rsidRPr="00D40DA3">
              <w:t>29,7</w:t>
            </w:r>
          </w:p>
        </w:tc>
        <w:tc>
          <w:tcPr>
            <w:tcW w:w="1418" w:type="dxa"/>
          </w:tcPr>
          <w:p w:rsidR="002C2E61" w:rsidRPr="00D40DA3" w:rsidRDefault="002C2E61" w:rsidP="00AD55B0">
            <w:pPr>
              <w:pStyle w:val="Tabletext"/>
              <w:jc w:val="center"/>
            </w:pPr>
            <w:r w:rsidRPr="00D40DA3">
              <w:t>1 536</w:t>
            </w:r>
          </w:p>
        </w:tc>
        <w:tc>
          <w:tcPr>
            <w:tcW w:w="1361" w:type="dxa"/>
          </w:tcPr>
          <w:p w:rsidR="002C2E61" w:rsidRPr="00D40DA3" w:rsidRDefault="002C2E61" w:rsidP="00AD55B0">
            <w:pPr>
              <w:pStyle w:val="Tabletext"/>
              <w:jc w:val="center"/>
            </w:pPr>
            <w:r w:rsidRPr="00D40DA3">
              <w:t>78,7</w:t>
            </w:r>
          </w:p>
        </w:tc>
        <w:tc>
          <w:tcPr>
            <w:tcW w:w="1361" w:type="dxa"/>
          </w:tcPr>
          <w:p w:rsidR="002C2E61" w:rsidRPr="00D40DA3" w:rsidRDefault="002C2E61" w:rsidP="00AD55B0">
            <w:pPr>
              <w:pStyle w:val="Tabletext"/>
              <w:jc w:val="center"/>
            </w:pPr>
            <w:r w:rsidRPr="00D40DA3">
              <w:t>37,125</w:t>
            </w:r>
          </w:p>
        </w:tc>
        <w:tc>
          <w:tcPr>
            <w:tcW w:w="1361" w:type="dxa"/>
          </w:tcPr>
          <w:p w:rsidR="002C2E61" w:rsidRPr="00D40DA3" w:rsidRDefault="002C2E61" w:rsidP="00AD55B0">
            <w:pPr>
              <w:pStyle w:val="Tabletext"/>
              <w:jc w:val="center"/>
            </w:pPr>
            <w:r w:rsidRPr="00D40DA3">
              <w:t>1 920</w:t>
            </w:r>
          </w:p>
        </w:tc>
        <w:tc>
          <w:tcPr>
            <w:tcW w:w="1361" w:type="dxa"/>
          </w:tcPr>
          <w:p w:rsidR="002C2E61" w:rsidRPr="00D40DA3" w:rsidRDefault="002C2E61" w:rsidP="00AD55B0">
            <w:pPr>
              <w:pStyle w:val="Tabletext"/>
              <w:jc w:val="center"/>
            </w:pPr>
            <w:r w:rsidRPr="00D40DA3">
              <w:t>100</w:t>
            </w:r>
          </w:p>
        </w:tc>
      </w:tr>
    </w:tbl>
    <w:p w:rsidR="002C2E61" w:rsidRPr="00D40DA3" w:rsidRDefault="002C2E61" w:rsidP="002C2E61">
      <w:pPr>
        <w:pStyle w:val="Tablefin"/>
        <w:rPr>
          <w:lang w:val="fr-FR"/>
        </w:rPr>
      </w:pPr>
    </w:p>
    <w:p w:rsidR="002C2E61" w:rsidRPr="00D40DA3" w:rsidRDefault="002C2E61" w:rsidP="002C2E61"/>
    <w:p w:rsidR="002C2E61" w:rsidRPr="00D40DA3" w:rsidRDefault="002C2E61" w:rsidP="002C2E61">
      <w:pPr>
        <w:pStyle w:val="TableNo"/>
      </w:pPr>
      <w:r w:rsidRPr="00D40DA3">
        <w:t>TABLEAU 3</w:t>
      </w:r>
    </w:p>
    <w:p w:rsidR="002C2E61" w:rsidRPr="00D40DA3" w:rsidRDefault="002C2E61" w:rsidP="002C2E61">
      <w:pPr>
        <w:pStyle w:val="Tabletitle"/>
      </w:pPr>
      <w:r w:rsidRPr="00D40DA3">
        <w:t>Marqueurs de résolution verticale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2C2E61" w:rsidRPr="00D40DA3" w:rsidTr="00AD55B0">
        <w:trPr>
          <w:jc w:val="center"/>
        </w:trPr>
        <w:tc>
          <w:tcPr>
            <w:tcW w:w="2552" w:type="dxa"/>
            <w:vAlign w:val="center"/>
          </w:tcPr>
          <w:p w:rsidR="002C2E61" w:rsidRPr="00D40DA3" w:rsidRDefault="002C2E61" w:rsidP="00AD55B0">
            <w:pPr>
              <w:pStyle w:val="Tablehead"/>
            </w:pPr>
            <w:r w:rsidRPr="00D40DA3">
              <w:t>Résolution de l'image</w:t>
            </w:r>
          </w:p>
        </w:tc>
        <w:tc>
          <w:tcPr>
            <w:tcW w:w="2552" w:type="dxa"/>
          </w:tcPr>
          <w:p w:rsidR="002C2E61" w:rsidRPr="00D40DA3" w:rsidRDefault="002C2E61" w:rsidP="00AD55B0">
            <w:pPr>
              <w:pStyle w:val="Tablehead"/>
            </w:pPr>
            <w:r w:rsidRPr="00D40DA3">
              <w:t xml:space="preserve">Nombre de lignes à la fréquence de Nyquist </w:t>
            </w:r>
          </w:p>
        </w:tc>
        <w:tc>
          <w:tcPr>
            <w:tcW w:w="2552" w:type="dxa"/>
            <w:vAlign w:val="center"/>
          </w:tcPr>
          <w:p w:rsidR="002C2E61" w:rsidRPr="00D40DA3" w:rsidRDefault="002C2E61" w:rsidP="00AD55B0">
            <w:pPr>
              <w:pStyle w:val="Tablehead"/>
            </w:pPr>
            <w:r w:rsidRPr="00D40DA3">
              <w:t>% de balayage à la fréquence de Nyquist</w:t>
            </w:r>
          </w:p>
        </w:tc>
      </w:tr>
      <w:tr w:rsidR="002C2E61" w:rsidRPr="00D40DA3" w:rsidTr="00AD55B0">
        <w:trPr>
          <w:jc w:val="center"/>
        </w:trPr>
        <w:tc>
          <w:tcPr>
            <w:tcW w:w="2552" w:type="dxa"/>
          </w:tcPr>
          <w:p w:rsidR="002C2E61" w:rsidRPr="00D40DA3" w:rsidRDefault="002C2E61" w:rsidP="00AD55B0">
            <w:pPr>
              <w:pStyle w:val="Tabletext"/>
              <w:jc w:val="center"/>
            </w:pPr>
            <w:r w:rsidRPr="00D40DA3">
              <w:t>720 × 483i</w:t>
            </w:r>
          </w:p>
        </w:tc>
        <w:tc>
          <w:tcPr>
            <w:tcW w:w="2552" w:type="dxa"/>
          </w:tcPr>
          <w:p w:rsidR="002C2E61" w:rsidRPr="00D40DA3" w:rsidRDefault="002C2E61" w:rsidP="00AD55B0">
            <w:pPr>
              <w:pStyle w:val="Tabletext"/>
              <w:jc w:val="center"/>
            </w:pPr>
            <w:r w:rsidRPr="00D40DA3">
              <w:t>483 (240)</w:t>
            </w:r>
          </w:p>
        </w:tc>
        <w:tc>
          <w:tcPr>
            <w:tcW w:w="2552" w:type="dxa"/>
          </w:tcPr>
          <w:p w:rsidR="002C2E61" w:rsidRPr="00D40DA3" w:rsidRDefault="002C2E61" w:rsidP="00AD55B0">
            <w:pPr>
              <w:pStyle w:val="Tabletext"/>
              <w:jc w:val="center"/>
            </w:pPr>
            <w:r w:rsidRPr="00D40DA3">
              <w:t>41,2 (17,3)</w:t>
            </w:r>
          </w:p>
        </w:tc>
      </w:tr>
      <w:tr w:rsidR="002C2E61" w:rsidRPr="00D40DA3" w:rsidTr="00AD55B0">
        <w:trPr>
          <w:jc w:val="center"/>
        </w:trPr>
        <w:tc>
          <w:tcPr>
            <w:tcW w:w="2552" w:type="dxa"/>
          </w:tcPr>
          <w:p w:rsidR="002C2E61" w:rsidRPr="00D40DA3" w:rsidRDefault="002C2E61" w:rsidP="00AD55B0">
            <w:pPr>
              <w:pStyle w:val="Tabletext"/>
              <w:jc w:val="center"/>
            </w:pPr>
            <w:r w:rsidRPr="00D40DA3">
              <w:t>720 × 576i</w:t>
            </w:r>
          </w:p>
        </w:tc>
        <w:tc>
          <w:tcPr>
            <w:tcW w:w="2552" w:type="dxa"/>
          </w:tcPr>
          <w:p w:rsidR="002C2E61" w:rsidRPr="00D40DA3" w:rsidRDefault="002C2E61" w:rsidP="00AD55B0">
            <w:pPr>
              <w:pStyle w:val="Tabletext"/>
              <w:jc w:val="center"/>
            </w:pPr>
            <w:r w:rsidRPr="00D40DA3">
              <w:t>5</w:t>
            </w:r>
            <w:r w:rsidR="004D21CA">
              <w:t>7</w:t>
            </w:r>
            <w:r w:rsidRPr="00D40DA3">
              <w:t>6 (288)</w:t>
            </w:r>
          </w:p>
        </w:tc>
        <w:tc>
          <w:tcPr>
            <w:tcW w:w="2552" w:type="dxa"/>
          </w:tcPr>
          <w:p w:rsidR="002C2E61" w:rsidRPr="00D40DA3" w:rsidRDefault="002C2E61" w:rsidP="00AD55B0">
            <w:pPr>
              <w:pStyle w:val="Tabletext"/>
              <w:jc w:val="center"/>
            </w:pPr>
            <w:r w:rsidRPr="00D40DA3">
              <w:t>50,4 (22,0)</w:t>
            </w:r>
          </w:p>
        </w:tc>
      </w:tr>
      <w:tr w:rsidR="002C2E61" w:rsidRPr="00D40DA3" w:rsidTr="00AD55B0">
        <w:trPr>
          <w:jc w:val="center"/>
        </w:trPr>
        <w:tc>
          <w:tcPr>
            <w:tcW w:w="2552" w:type="dxa"/>
          </w:tcPr>
          <w:p w:rsidR="002C2E61" w:rsidRPr="00D40DA3" w:rsidRDefault="002C2E61" w:rsidP="00AD55B0">
            <w:pPr>
              <w:pStyle w:val="Tabletext"/>
              <w:jc w:val="center"/>
            </w:pPr>
            <w:r w:rsidRPr="00D40DA3">
              <w:t>720 × 483p</w:t>
            </w:r>
          </w:p>
        </w:tc>
        <w:tc>
          <w:tcPr>
            <w:tcW w:w="2552" w:type="dxa"/>
          </w:tcPr>
          <w:p w:rsidR="002C2E61" w:rsidRPr="00D40DA3" w:rsidRDefault="002C2E61" w:rsidP="00AD55B0">
            <w:pPr>
              <w:pStyle w:val="Tabletext"/>
              <w:jc w:val="center"/>
            </w:pPr>
            <w:r w:rsidRPr="00D40DA3">
              <w:t>483</w:t>
            </w:r>
          </w:p>
        </w:tc>
        <w:tc>
          <w:tcPr>
            <w:tcW w:w="2552" w:type="dxa"/>
          </w:tcPr>
          <w:p w:rsidR="002C2E61" w:rsidRPr="00D40DA3" w:rsidRDefault="002C2E61" w:rsidP="00AD55B0">
            <w:pPr>
              <w:pStyle w:val="Tabletext"/>
              <w:jc w:val="center"/>
            </w:pPr>
            <w:r w:rsidRPr="00D40DA3">
              <w:t>41,2</w:t>
            </w:r>
          </w:p>
        </w:tc>
      </w:tr>
      <w:tr w:rsidR="002C2E61" w:rsidRPr="00D40DA3" w:rsidTr="00AD55B0">
        <w:trPr>
          <w:jc w:val="center"/>
        </w:trPr>
        <w:tc>
          <w:tcPr>
            <w:tcW w:w="2552" w:type="dxa"/>
          </w:tcPr>
          <w:p w:rsidR="002C2E61" w:rsidRPr="00D40DA3" w:rsidRDefault="002C2E61" w:rsidP="00AD55B0">
            <w:pPr>
              <w:pStyle w:val="Tabletext"/>
              <w:jc w:val="center"/>
            </w:pPr>
            <w:r w:rsidRPr="00D40DA3">
              <w:t>720 × 576p</w:t>
            </w:r>
          </w:p>
        </w:tc>
        <w:tc>
          <w:tcPr>
            <w:tcW w:w="2552" w:type="dxa"/>
          </w:tcPr>
          <w:p w:rsidR="002C2E61" w:rsidRPr="00D40DA3" w:rsidRDefault="002C2E61" w:rsidP="00AD55B0">
            <w:pPr>
              <w:pStyle w:val="Tabletext"/>
              <w:jc w:val="center"/>
            </w:pPr>
            <w:r w:rsidRPr="00D40DA3">
              <w:t>576</w:t>
            </w:r>
          </w:p>
        </w:tc>
        <w:tc>
          <w:tcPr>
            <w:tcW w:w="2552" w:type="dxa"/>
          </w:tcPr>
          <w:p w:rsidR="002C2E61" w:rsidRPr="00D40DA3" w:rsidRDefault="002C2E61" w:rsidP="00AD55B0">
            <w:pPr>
              <w:pStyle w:val="Tabletext"/>
              <w:jc w:val="center"/>
            </w:pPr>
            <w:r w:rsidRPr="00D40DA3">
              <w:t>50,4</w:t>
            </w:r>
          </w:p>
        </w:tc>
      </w:tr>
      <w:tr w:rsidR="002C2E61" w:rsidRPr="00D40DA3" w:rsidTr="00AD55B0">
        <w:trPr>
          <w:jc w:val="center"/>
        </w:trPr>
        <w:tc>
          <w:tcPr>
            <w:tcW w:w="2552" w:type="dxa"/>
          </w:tcPr>
          <w:p w:rsidR="002C2E61" w:rsidRPr="00D40DA3" w:rsidRDefault="002C2E61" w:rsidP="00AD55B0">
            <w:pPr>
              <w:pStyle w:val="Tabletext"/>
              <w:jc w:val="center"/>
            </w:pPr>
            <w:r w:rsidRPr="00D40DA3">
              <w:t>960 × 483i</w:t>
            </w:r>
          </w:p>
        </w:tc>
        <w:tc>
          <w:tcPr>
            <w:tcW w:w="2552" w:type="dxa"/>
          </w:tcPr>
          <w:p w:rsidR="002C2E61" w:rsidRPr="00D40DA3" w:rsidRDefault="002C2E61" w:rsidP="00AD55B0">
            <w:pPr>
              <w:pStyle w:val="Tabletext"/>
              <w:jc w:val="center"/>
            </w:pPr>
            <w:r w:rsidRPr="00D40DA3">
              <w:t>483 (240)</w:t>
            </w:r>
          </w:p>
        </w:tc>
        <w:tc>
          <w:tcPr>
            <w:tcW w:w="2552" w:type="dxa"/>
          </w:tcPr>
          <w:p w:rsidR="002C2E61" w:rsidRPr="00D40DA3" w:rsidRDefault="002C2E61" w:rsidP="00AD55B0">
            <w:pPr>
              <w:pStyle w:val="Tabletext"/>
              <w:jc w:val="center"/>
            </w:pPr>
            <w:r w:rsidRPr="00D40DA3">
              <w:t>41,2 (17,3)</w:t>
            </w:r>
          </w:p>
        </w:tc>
      </w:tr>
      <w:tr w:rsidR="002C2E61" w:rsidRPr="00D40DA3" w:rsidTr="00AD55B0">
        <w:trPr>
          <w:jc w:val="center"/>
        </w:trPr>
        <w:tc>
          <w:tcPr>
            <w:tcW w:w="2552" w:type="dxa"/>
          </w:tcPr>
          <w:p w:rsidR="002C2E61" w:rsidRPr="00D40DA3" w:rsidRDefault="002C2E61" w:rsidP="00AD55B0">
            <w:pPr>
              <w:pStyle w:val="Tabletext"/>
              <w:jc w:val="center"/>
            </w:pPr>
            <w:r w:rsidRPr="00D40DA3">
              <w:t>960 × 576i</w:t>
            </w:r>
          </w:p>
        </w:tc>
        <w:tc>
          <w:tcPr>
            <w:tcW w:w="2552" w:type="dxa"/>
          </w:tcPr>
          <w:p w:rsidR="002C2E61" w:rsidRPr="00D40DA3" w:rsidRDefault="002C2E61" w:rsidP="00AD55B0">
            <w:pPr>
              <w:pStyle w:val="Tabletext"/>
              <w:jc w:val="center"/>
            </w:pPr>
            <w:r w:rsidRPr="00D40DA3">
              <w:t>576 (288)</w:t>
            </w:r>
          </w:p>
        </w:tc>
        <w:tc>
          <w:tcPr>
            <w:tcW w:w="2552" w:type="dxa"/>
          </w:tcPr>
          <w:p w:rsidR="002C2E61" w:rsidRPr="00D40DA3" w:rsidRDefault="002C2E61" w:rsidP="00AD55B0">
            <w:pPr>
              <w:pStyle w:val="Tabletext"/>
              <w:jc w:val="center"/>
            </w:pPr>
            <w:r w:rsidRPr="00D40DA3">
              <w:t>50,4 (22,0)</w:t>
            </w:r>
          </w:p>
        </w:tc>
      </w:tr>
      <w:tr w:rsidR="002C2E61" w:rsidRPr="00D40DA3" w:rsidTr="00AD55B0">
        <w:trPr>
          <w:jc w:val="center"/>
        </w:trPr>
        <w:tc>
          <w:tcPr>
            <w:tcW w:w="2552" w:type="dxa"/>
          </w:tcPr>
          <w:p w:rsidR="002C2E61" w:rsidRPr="00D40DA3" w:rsidRDefault="002C2E61" w:rsidP="00AD55B0">
            <w:pPr>
              <w:pStyle w:val="Tabletext"/>
              <w:jc w:val="center"/>
            </w:pPr>
            <w:r w:rsidRPr="00D40DA3">
              <w:t>1 280 × 720p</w:t>
            </w:r>
          </w:p>
        </w:tc>
        <w:tc>
          <w:tcPr>
            <w:tcW w:w="2552" w:type="dxa"/>
          </w:tcPr>
          <w:p w:rsidR="002C2E61" w:rsidRPr="00D40DA3" w:rsidRDefault="002C2E61" w:rsidP="00AD55B0">
            <w:pPr>
              <w:pStyle w:val="Tabletext"/>
              <w:jc w:val="center"/>
            </w:pPr>
            <w:r w:rsidRPr="00D40DA3">
              <w:t>720</w:t>
            </w:r>
          </w:p>
        </w:tc>
        <w:tc>
          <w:tcPr>
            <w:tcW w:w="2552" w:type="dxa"/>
          </w:tcPr>
          <w:p w:rsidR="002C2E61" w:rsidRPr="00D40DA3" w:rsidRDefault="002C2E61" w:rsidP="00AD55B0">
            <w:pPr>
              <w:pStyle w:val="Tabletext"/>
              <w:jc w:val="center"/>
            </w:pPr>
            <w:r w:rsidRPr="00D40DA3">
              <w:t>64,6</w:t>
            </w:r>
          </w:p>
        </w:tc>
      </w:tr>
      <w:tr w:rsidR="002C2E61" w:rsidRPr="00D40DA3" w:rsidTr="00AD55B0">
        <w:trPr>
          <w:jc w:val="center"/>
        </w:trPr>
        <w:tc>
          <w:tcPr>
            <w:tcW w:w="2552" w:type="dxa"/>
          </w:tcPr>
          <w:p w:rsidR="002C2E61" w:rsidRPr="00D40DA3" w:rsidRDefault="002C2E61" w:rsidP="00AD55B0">
            <w:pPr>
              <w:pStyle w:val="Tabletext"/>
              <w:jc w:val="center"/>
            </w:pPr>
            <w:r w:rsidRPr="00D40DA3">
              <w:t>1 920 × 1 080i</w:t>
            </w:r>
          </w:p>
        </w:tc>
        <w:tc>
          <w:tcPr>
            <w:tcW w:w="2552" w:type="dxa"/>
          </w:tcPr>
          <w:p w:rsidR="002C2E61" w:rsidRPr="00D40DA3" w:rsidRDefault="002C2E61" w:rsidP="00AD55B0">
            <w:pPr>
              <w:pStyle w:val="Tabletext"/>
              <w:jc w:val="center"/>
            </w:pPr>
            <w:r w:rsidRPr="00D40DA3">
              <w:t>1 080 (540)</w:t>
            </w:r>
          </w:p>
        </w:tc>
        <w:tc>
          <w:tcPr>
            <w:tcW w:w="2552" w:type="dxa"/>
          </w:tcPr>
          <w:p w:rsidR="002C2E61" w:rsidRPr="00D40DA3" w:rsidRDefault="002C2E61" w:rsidP="00AD55B0">
            <w:pPr>
              <w:pStyle w:val="Tabletext"/>
              <w:jc w:val="center"/>
            </w:pPr>
            <w:r w:rsidRPr="00D40DA3">
              <w:t>100 (46,9)</w:t>
            </w:r>
          </w:p>
        </w:tc>
      </w:tr>
      <w:tr w:rsidR="002C2E61" w:rsidRPr="00D40DA3" w:rsidTr="00AD55B0">
        <w:trPr>
          <w:jc w:val="center"/>
        </w:trPr>
        <w:tc>
          <w:tcPr>
            <w:tcW w:w="2552" w:type="dxa"/>
            <w:tcBorders>
              <w:bottom w:val="single" w:sz="4" w:space="0" w:color="auto"/>
            </w:tcBorders>
          </w:tcPr>
          <w:p w:rsidR="002C2E61" w:rsidRPr="00D40DA3" w:rsidRDefault="002C2E61" w:rsidP="00AD55B0">
            <w:pPr>
              <w:pStyle w:val="Tabletext"/>
              <w:jc w:val="center"/>
            </w:pPr>
            <w:r w:rsidRPr="00D40DA3">
              <w:t>1 920 × 1 080p</w:t>
            </w:r>
          </w:p>
        </w:tc>
        <w:tc>
          <w:tcPr>
            <w:tcW w:w="2552" w:type="dxa"/>
            <w:tcBorders>
              <w:bottom w:val="single" w:sz="4" w:space="0" w:color="auto"/>
            </w:tcBorders>
          </w:tcPr>
          <w:p w:rsidR="002C2E61" w:rsidRPr="00D40DA3" w:rsidRDefault="002C2E61" w:rsidP="00AD55B0">
            <w:pPr>
              <w:pStyle w:val="Tabletext"/>
              <w:jc w:val="center"/>
            </w:pPr>
            <w:r w:rsidRPr="00D40DA3">
              <w:t>1 080</w:t>
            </w:r>
          </w:p>
        </w:tc>
        <w:tc>
          <w:tcPr>
            <w:tcW w:w="2552" w:type="dxa"/>
            <w:tcBorders>
              <w:bottom w:val="single" w:sz="4" w:space="0" w:color="auto"/>
            </w:tcBorders>
          </w:tcPr>
          <w:p w:rsidR="002C2E61" w:rsidRPr="00D40DA3" w:rsidRDefault="002C2E61" w:rsidP="00AD55B0">
            <w:pPr>
              <w:pStyle w:val="Tabletext"/>
              <w:jc w:val="center"/>
            </w:pPr>
            <w:r w:rsidRPr="00D40DA3">
              <w:t>100</w:t>
            </w:r>
          </w:p>
        </w:tc>
      </w:tr>
      <w:tr w:rsidR="002C2E61" w:rsidRPr="00D40DA3" w:rsidTr="00AD55B0">
        <w:trPr>
          <w:jc w:val="center"/>
        </w:trPr>
        <w:tc>
          <w:tcPr>
            <w:tcW w:w="7656" w:type="dxa"/>
            <w:gridSpan w:val="3"/>
            <w:tcBorders>
              <w:left w:val="nil"/>
              <w:bottom w:val="nil"/>
              <w:right w:val="nil"/>
            </w:tcBorders>
          </w:tcPr>
          <w:p w:rsidR="002C2E61" w:rsidRPr="00D40DA3" w:rsidRDefault="002C2E61" w:rsidP="00AD55B0">
            <w:pPr>
              <w:pStyle w:val="Tablelegend"/>
            </w:pPr>
            <w:r w:rsidRPr="00D40DA3">
              <w:t>NOTE 1 – Les valeurs entre parenthèses correspondent aux signaux demi</w:t>
            </w:r>
            <w:r w:rsidRPr="00D40DA3">
              <w:noBreakHyphen/>
              <w:t>trame.</w:t>
            </w:r>
          </w:p>
        </w:tc>
      </w:tr>
    </w:tbl>
    <w:p w:rsidR="002C2E61" w:rsidRPr="00D40DA3" w:rsidRDefault="002C2E61" w:rsidP="002C2E61">
      <w:pPr>
        <w:pStyle w:val="Tablefin"/>
        <w:rPr>
          <w:lang w:val="fr-FR"/>
        </w:rPr>
      </w:pPr>
    </w:p>
    <w:p w:rsidR="002C2E61" w:rsidRPr="00D40DA3" w:rsidRDefault="002C2E61" w:rsidP="002C2E61">
      <w:pPr>
        <w:keepNext/>
        <w:keepLines/>
      </w:pPr>
      <w:r w:rsidRPr="00D40DA3">
        <w:t>La première et la dernière ligne de chaque demi-trame sont indiquées dans le Tableau 4.</w:t>
      </w:r>
    </w:p>
    <w:p w:rsidR="002C2E61" w:rsidRPr="00D40DA3" w:rsidRDefault="002C2E61" w:rsidP="002C2E61">
      <w:pPr>
        <w:pStyle w:val="TableNo"/>
        <w:keepLines/>
      </w:pPr>
      <w:r w:rsidRPr="00D40DA3">
        <w:t>TABLEAU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2C2E61" w:rsidRPr="00D40DA3" w:rsidTr="00AD55B0">
        <w:trPr>
          <w:jc w:val="center"/>
        </w:trPr>
        <w:tc>
          <w:tcPr>
            <w:tcW w:w="2552" w:type="dxa"/>
            <w:vAlign w:val="center"/>
          </w:tcPr>
          <w:p w:rsidR="002C2E61" w:rsidRPr="00D40DA3" w:rsidRDefault="002C2E61" w:rsidP="00AD55B0">
            <w:pPr>
              <w:pStyle w:val="Tablehead"/>
              <w:keepLines/>
            </w:pPr>
            <w:r w:rsidRPr="00D40DA3">
              <w:t>Système</w:t>
            </w:r>
          </w:p>
        </w:tc>
        <w:tc>
          <w:tcPr>
            <w:tcW w:w="2552" w:type="dxa"/>
            <w:vAlign w:val="center"/>
          </w:tcPr>
          <w:p w:rsidR="002C2E61" w:rsidRPr="00D40DA3" w:rsidRDefault="002C2E61" w:rsidP="00AD55B0">
            <w:pPr>
              <w:pStyle w:val="Tablehead"/>
              <w:keepLines/>
            </w:pPr>
            <w:r w:rsidRPr="00D40DA3">
              <w:t>Premières lignes actives</w:t>
            </w:r>
          </w:p>
        </w:tc>
        <w:tc>
          <w:tcPr>
            <w:tcW w:w="2552" w:type="dxa"/>
            <w:vAlign w:val="center"/>
          </w:tcPr>
          <w:p w:rsidR="002C2E61" w:rsidRPr="00D40DA3" w:rsidRDefault="002C2E61" w:rsidP="00AD55B0">
            <w:pPr>
              <w:pStyle w:val="Tablehead"/>
              <w:keepLines/>
            </w:pPr>
            <w:r w:rsidRPr="00D40DA3">
              <w:t>Dernières lignes actives</w:t>
            </w:r>
          </w:p>
        </w:tc>
      </w:tr>
      <w:tr w:rsidR="002C2E61" w:rsidRPr="00D40DA3" w:rsidTr="00AD55B0">
        <w:trPr>
          <w:jc w:val="center"/>
        </w:trPr>
        <w:tc>
          <w:tcPr>
            <w:tcW w:w="2552" w:type="dxa"/>
          </w:tcPr>
          <w:p w:rsidR="002C2E61" w:rsidRPr="00D40DA3" w:rsidRDefault="002C2E61" w:rsidP="00AD55B0">
            <w:pPr>
              <w:pStyle w:val="Tabletext"/>
              <w:keepNext/>
              <w:keepLines/>
              <w:jc w:val="center"/>
            </w:pPr>
            <w:r w:rsidRPr="00D40DA3">
              <w:t>1 080i</w:t>
            </w:r>
          </w:p>
        </w:tc>
        <w:tc>
          <w:tcPr>
            <w:tcW w:w="2552" w:type="dxa"/>
          </w:tcPr>
          <w:p w:rsidR="002C2E61" w:rsidRPr="00D40DA3" w:rsidRDefault="002C2E61" w:rsidP="00AD55B0">
            <w:pPr>
              <w:pStyle w:val="Tabletext"/>
              <w:keepNext/>
              <w:keepLines/>
              <w:jc w:val="center"/>
            </w:pPr>
            <w:r w:rsidRPr="00D40DA3">
              <w:t>21, 584</w:t>
            </w:r>
          </w:p>
        </w:tc>
        <w:tc>
          <w:tcPr>
            <w:tcW w:w="2552" w:type="dxa"/>
          </w:tcPr>
          <w:p w:rsidR="002C2E61" w:rsidRPr="00D40DA3" w:rsidRDefault="002C2E61" w:rsidP="00AD55B0">
            <w:pPr>
              <w:pStyle w:val="Tabletext"/>
              <w:keepNext/>
              <w:keepLines/>
              <w:jc w:val="center"/>
            </w:pPr>
            <w:r w:rsidRPr="00D40DA3">
              <w:t>560, 1123</w:t>
            </w:r>
          </w:p>
        </w:tc>
      </w:tr>
      <w:tr w:rsidR="002C2E61" w:rsidRPr="00D40DA3" w:rsidTr="00AD55B0">
        <w:trPr>
          <w:jc w:val="center"/>
        </w:trPr>
        <w:tc>
          <w:tcPr>
            <w:tcW w:w="2552" w:type="dxa"/>
          </w:tcPr>
          <w:p w:rsidR="002C2E61" w:rsidRPr="00D40DA3" w:rsidRDefault="002C2E61" w:rsidP="00AD55B0">
            <w:pPr>
              <w:pStyle w:val="Tabletext"/>
              <w:keepNext/>
              <w:keepLines/>
              <w:jc w:val="center"/>
            </w:pPr>
            <w:r w:rsidRPr="00D40DA3">
              <w:t>576i</w:t>
            </w:r>
          </w:p>
        </w:tc>
        <w:tc>
          <w:tcPr>
            <w:tcW w:w="2552" w:type="dxa"/>
          </w:tcPr>
          <w:p w:rsidR="002C2E61" w:rsidRPr="00D40DA3" w:rsidRDefault="002C2E61" w:rsidP="00AD55B0">
            <w:pPr>
              <w:pStyle w:val="Tabletext"/>
              <w:keepNext/>
              <w:keepLines/>
              <w:jc w:val="center"/>
            </w:pPr>
            <w:r w:rsidRPr="00D40DA3">
              <w:t>23,336</w:t>
            </w:r>
          </w:p>
        </w:tc>
        <w:tc>
          <w:tcPr>
            <w:tcW w:w="2552" w:type="dxa"/>
          </w:tcPr>
          <w:p w:rsidR="002C2E61" w:rsidRPr="00D40DA3" w:rsidRDefault="002C2E61" w:rsidP="00AD55B0">
            <w:pPr>
              <w:pStyle w:val="Tabletext"/>
              <w:keepNext/>
              <w:keepLines/>
              <w:jc w:val="center"/>
            </w:pPr>
            <w:r w:rsidRPr="00D40DA3">
              <w:t>310, 623</w:t>
            </w:r>
          </w:p>
        </w:tc>
      </w:tr>
      <w:tr w:rsidR="002C2E61" w:rsidRPr="00D40DA3" w:rsidTr="00AD55B0">
        <w:trPr>
          <w:jc w:val="center"/>
        </w:trPr>
        <w:tc>
          <w:tcPr>
            <w:tcW w:w="2552" w:type="dxa"/>
          </w:tcPr>
          <w:p w:rsidR="002C2E61" w:rsidRPr="00D40DA3" w:rsidRDefault="002C2E61" w:rsidP="00AD55B0">
            <w:pPr>
              <w:pStyle w:val="Tabletext"/>
              <w:keepNext/>
              <w:keepLines/>
              <w:jc w:val="center"/>
            </w:pPr>
            <w:r w:rsidRPr="00D40DA3">
              <w:t>483i</w:t>
            </w:r>
          </w:p>
        </w:tc>
        <w:tc>
          <w:tcPr>
            <w:tcW w:w="2552" w:type="dxa"/>
          </w:tcPr>
          <w:p w:rsidR="002C2E61" w:rsidRPr="00D40DA3" w:rsidRDefault="002C2E61" w:rsidP="00AD55B0">
            <w:pPr>
              <w:pStyle w:val="Tabletext"/>
              <w:keepNext/>
              <w:keepLines/>
              <w:jc w:val="center"/>
            </w:pPr>
            <w:r w:rsidRPr="00D40DA3">
              <w:t>22, 285</w:t>
            </w:r>
          </w:p>
        </w:tc>
        <w:tc>
          <w:tcPr>
            <w:tcW w:w="2552" w:type="dxa"/>
          </w:tcPr>
          <w:p w:rsidR="002C2E61" w:rsidRPr="00D40DA3" w:rsidRDefault="002C2E61" w:rsidP="00AD55B0">
            <w:pPr>
              <w:pStyle w:val="Tabletext"/>
              <w:keepNext/>
              <w:keepLines/>
              <w:jc w:val="center"/>
            </w:pPr>
            <w:r w:rsidRPr="00D40DA3">
              <w:t>262, 525</w:t>
            </w:r>
          </w:p>
        </w:tc>
      </w:tr>
    </w:tbl>
    <w:p w:rsidR="002C2E61" w:rsidRPr="00D40DA3" w:rsidRDefault="002C2E61" w:rsidP="002C2E61">
      <w:pPr>
        <w:pStyle w:val="Tablefin"/>
        <w:keepLines/>
        <w:rPr>
          <w:lang w:val="fr-FR"/>
        </w:rPr>
      </w:pPr>
    </w:p>
    <w:p w:rsidR="002C2E61" w:rsidRPr="00D40DA3" w:rsidRDefault="002C2E61" w:rsidP="002C2E61">
      <w:pPr>
        <w:pStyle w:val="Headingb"/>
      </w:pPr>
      <w:r w:rsidRPr="00D40DA3">
        <w:lastRenderedPageBreak/>
        <w:t>Temps de montée et de descente des transitions entre les barres</w:t>
      </w:r>
    </w:p>
    <w:p w:rsidR="002C2E61" w:rsidRPr="00D40DA3" w:rsidRDefault="002C2E61" w:rsidP="002C2E61">
      <w:r w:rsidRPr="00D40DA3">
        <w:t xml:space="preserve">Pour les barres de couleur, le temps de montée (de 10% à 90%) doit être égal au temps de descente (de 90% à 10%); en outre, ces deux temps doivent être conformes aux spécifications relatives à la réponse en fréquence énoncées dans les Recommandations UIT-R BT.601, UIT-R BT.1358, </w:t>
      </w:r>
      <w:r w:rsidR="004D21CA" w:rsidRPr="00D40DA3">
        <w:t>UIT</w:t>
      </w:r>
      <w:r w:rsidR="004D21CA" w:rsidRPr="00D40DA3">
        <w:noBreakHyphen/>
        <w:t>R BT.</w:t>
      </w:r>
      <w:r w:rsidR="004D21CA">
        <w:t xml:space="preserve">1847, </w:t>
      </w:r>
      <w:r w:rsidRPr="00D40DA3">
        <w:t>UIT-R BT.1543 ou UIT-R BT.709, suivant le format considéré</w:t>
      </w:r>
      <w:r w:rsidRPr="00D40DA3">
        <w:rPr>
          <w:rStyle w:val="FootnoteReference"/>
        </w:rPr>
        <w:footnoteReference w:id="3"/>
      </w:r>
      <w:r w:rsidRPr="00D40DA3">
        <w:t>. La forme des bordures avant et arrière doit être analogue à un cosinus surélevé.</w:t>
      </w:r>
    </w:p>
    <w:p w:rsidR="002C2E61" w:rsidRPr="00D40DA3" w:rsidRDefault="002C2E61" w:rsidP="002C2E61">
      <w:pPr>
        <w:pStyle w:val="Headingb"/>
      </w:pPr>
      <w:r w:rsidRPr="00D40DA3">
        <w:t>Codage du signal de couleur</w:t>
      </w:r>
    </w:p>
    <w:p w:rsidR="002C2E61" w:rsidRPr="00D40DA3" w:rsidRDefault="002C2E61" w:rsidP="004D21CA">
      <w:r w:rsidRPr="00D40DA3">
        <w:t xml:space="preserve">La détermination du signal de luminance et du signal de différence de couleur à partir des composantes </w:t>
      </w:r>
      <w:r w:rsidRPr="00D40DA3">
        <w:rPr>
          <w:i/>
        </w:rPr>
        <w:t>R</w:t>
      </w:r>
      <w:r w:rsidRPr="00D40DA3">
        <w:sym w:font="Symbol" w:char="F0A2"/>
      </w:r>
      <w:r w:rsidRPr="00D40DA3">
        <w:t xml:space="preserve">, </w:t>
      </w:r>
      <w:r w:rsidRPr="00D40DA3">
        <w:rPr>
          <w:i/>
        </w:rPr>
        <w:t>G</w:t>
      </w:r>
      <w:r w:rsidRPr="00D40DA3">
        <w:sym w:font="Symbol" w:char="F0A2"/>
      </w:r>
      <w:r w:rsidRPr="00D40DA3">
        <w:t xml:space="preserve"> et </w:t>
      </w:r>
      <w:r w:rsidRPr="00D40DA3">
        <w:rPr>
          <w:i/>
        </w:rPr>
        <w:t>B</w:t>
      </w:r>
      <w:r w:rsidRPr="00D40DA3">
        <w:sym w:font="Symbol" w:char="F0A2"/>
      </w:r>
      <w:r w:rsidRPr="00D40DA3">
        <w:t xml:space="preserve"> doit se faire conformément à la Recommandation UIT-R BT.709 pour les systèmes 1 080 lignes ou aux Recommandations UIT-R BT.601 ou UIT-R BT.1358 pour les systèmes 483/576 lignes et </w:t>
      </w:r>
      <w:r w:rsidR="004D21CA">
        <w:t xml:space="preserve">aux </w:t>
      </w:r>
      <w:r w:rsidRPr="00D40DA3">
        <w:t>Recommandation</w:t>
      </w:r>
      <w:r w:rsidR="004D21CA">
        <w:t>s</w:t>
      </w:r>
      <w:r w:rsidRPr="00D40DA3">
        <w:t xml:space="preserve"> UIT-R BT.1543 </w:t>
      </w:r>
      <w:r w:rsidR="004D21CA">
        <w:t xml:space="preserve">et </w:t>
      </w:r>
      <w:r w:rsidR="004D21CA" w:rsidRPr="00D40DA3">
        <w:t>UIT</w:t>
      </w:r>
      <w:r w:rsidR="004D21CA" w:rsidRPr="00D40DA3">
        <w:noBreakHyphen/>
        <w:t>R BT.</w:t>
      </w:r>
      <w:r w:rsidR="004D21CA">
        <w:t xml:space="preserve">1847 </w:t>
      </w:r>
      <w:r w:rsidRPr="00D40DA3">
        <w:t>pour les systèmes 720 lignes.</w:t>
      </w:r>
    </w:p>
    <w:p w:rsidR="002C2E61" w:rsidRPr="00D40DA3" w:rsidRDefault="002C2E61" w:rsidP="002C2E61">
      <w:r w:rsidRPr="00D40DA3">
        <w:t>Pour les systèmes 1 080/720 lignes, ces relations sont les suivantes:</w:t>
      </w:r>
    </w:p>
    <w:p w:rsidR="002C2E61" w:rsidRPr="00D40DA3" w:rsidRDefault="002C2E61" w:rsidP="002C2E61">
      <w:pPr>
        <w:pStyle w:val="Equation"/>
      </w:pPr>
      <w:r w:rsidRPr="00D40DA3">
        <w:tab/>
      </w:r>
      <w:r w:rsidRPr="00D40DA3">
        <w:tab/>
      </w:r>
      <w:r w:rsidRPr="00D40DA3">
        <w:rPr>
          <w:i/>
        </w:rPr>
        <w:t>Y</w:t>
      </w:r>
      <w:r w:rsidRPr="00D40DA3">
        <w:sym w:font="Symbol" w:char="F0A2"/>
      </w:r>
      <w:r w:rsidRPr="00D40DA3">
        <w:t xml:space="preserve"> = 0,2126</w:t>
      </w:r>
      <w:r w:rsidRPr="00D40DA3">
        <w:rPr>
          <w:i/>
        </w:rPr>
        <w:t>R</w:t>
      </w:r>
      <w:r w:rsidRPr="00D40DA3">
        <w:sym w:font="Symbol" w:char="F0A2"/>
      </w:r>
      <w:r w:rsidRPr="00D40DA3">
        <w:t xml:space="preserve"> + 0,7152</w:t>
      </w:r>
      <w:r w:rsidRPr="00D40DA3">
        <w:rPr>
          <w:i/>
        </w:rPr>
        <w:t>G</w:t>
      </w:r>
      <w:r w:rsidRPr="00D40DA3">
        <w:sym w:font="Symbol" w:char="F0A2"/>
      </w:r>
      <w:r w:rsidRPr="00D40DA3">
        <w:t xml:space="preserve"> + 0,0722</w:t>
      </w:r>
      <w:r w:rsidRPr="00D40DA3">
        <w:rPr>
          <w:i/>
        </w:rPr>
        <w:t>B</w:t>
      </w:r>
      <w:r w:rsidRPr="00D40DA3">
        <w:sym w:font="Symbol" w:char="F0A2"/>
      </w:r>
    </w:p>
    <w:p w:rsidR="002C2E61" w:rsidRPr="00D40DA3" w:rsidRDefault="002C2E61" w:rsidP="002C2E61">
      <w:pPr>
        <w:pStyle w:val="Equation"/>
        <w:rPr>
          <w:szCs w:val="24"/>
        </w:rPr>
      </w:pPr>
      <w:r w:rsidRPr="00D40DA3">
        <w:tab/>
      </w:r>
      <w:r w:rsidRPr="00D40DA3">
        <w:tab/>
      </w:r>
      <w:r w:rsidRPr="00D40DA3">
        <w:rPr>
          <w:position w:val="-10"/>
        </w:rPr>
        <w:object w:dxaOrig="360" w:dyaOrig="340">
          <v:shape id="_x0000_i1029" type="#_x0000_t75" style="width:18pt;height:17.15pt" o:ole="" o:allowoverlap="f">
            <v:imagedata r:id="rId22" o:title=""/>
          </v:shape>
          <o:OLEObject Type="Embed" ProgID="Equation.3" ShapeID="_x0000_i1029" DrawAspect="Content" ObjectID="_1445156822" r:id="rId23"/>
        </w:object>
      </w:r>
      <w:r w:rsidRPr="00D40DA3">
        <w:rPr>
          <w:szCs w:val="24"/>
        </w:rPr>
        <w:t xml:space="preserve"> = </w:t>
      </w:r>
      <w:r w:rsidRPr="00D40DA3">
        <w:t>(</w:t>
      </w:r>
      <w:r w:rsidRPr="00D40DA3">
        <w:rPr>
          <w:i/>
        </w:rPr>
        <w:t>B</w:t>
      </w:r>
      <w:r w:rsidRPr="00D40DA3">
        <w:rPr>
          <w:szCs w:val="24"/>
        </w:rPr>
        <w:sym w:font="Symbol" w:char="F0A2"/>
      </w:r>
      <w:r w:rsidRPr="00D40DA3">
        <w:rPr>
          <w:szCs w:val="24"/>
        </w:rPr>
        <w:t xml:space="preserve"> </w:t>
      </w:r>
      <w:r w:rsidRPr="00D40DA3">
        <w:t xml:space="preserve">– </w:t>
      </w:r>
      <w:r w:rsidRPr="00D40DA3">
        <w:rPr>
          <w:i/>
        </w:rPr>
        <w:t>Y</w:t>
      </w:r>
      <w:r w:rsidRPr="00D40DA3">
        <w:rPr>
          <w:szCs w:val="24"/>
        </w:rPr>
        <w:sym w:font="Symbol" w:char="F0A2"/>
      </w:r>
      <w:r w:rsidRPr="00D40DA3">
        <w:t>)/1,8556</w:t>
      </w:r>
    </w:p>
    <w:p w:rsidR="002C2E61" w:rsidRPr="00D40DA3" w:rsidRDefault="002C2E61" w:rsidP="002C2E61">
      <w:pPr>
        <w:pStyle w:val="Equation"/>
      </w:pPr>
      <w:r w:rsidRPr="00D40DA3">
        <w:tab/>
      </w:r>
      <w:r w:rsidRPr="00D40DA3">
        <w:tab/>
      </w:r>
      <w:r w:rsidRPr="00D40DA3">
        <w:rPr>
          <w:position w:val="-10"/>
        </w:rPr>
        <w:object w:dxaOrig="360" w:dyaOrig="340">
          <v:shape id="_x0000_i1030" type="#_x0000_t75" style="width:18pt;height:17.15pt" o:ole="">
            <v:imagedata r:id="rId24" o:title=""/>
          </v:shape>
          <o:OLEObject Type="Embed" ProgID="Equation.3" ShapeID="_x0000_i1030" DrawAspect="Content" ObjectID="_1445156823" r:id="rId25"/>
        </w:object>
      </w:r>
      <w:r w:rsidRPr="00D40DA3">
        <w:rPr>
          <w:szCs w:val="24"/>
        </w:rPr>
        <w:t xml:space="preserve"> = </w:t>
      </w:r>
      <w:r w:rsidRPr="00D40DA3">
        <w:t>(</w:t>
      </w:r>
      <w:r w:rsidRPr="00D40DA3">
        <w:rPr>
          <w:i/>
        </w:rPr>
        <w:t>R</w:t>
      </w:r>
      <w:r w:rsidRPr="00D40DA3">
        <w:rPr>
          <w:szCs w:val="24"/>
        </w:rPr>
        <w:sym w:font="Symbol" w:char="F0A2"/>
      </w:r>
      <w:r w:rsidRPr="00D40DA3">
        <w:rPr>
          <w:szCs w:val="24"/>
        </w:rPr>
        <w:t xml:space="preserve"> </w:t>
      </w:r>
      <w:r w:rsidRPr="00D40DA3">
        <w:t xml:space="preserve">– </w:t>
      </w:r>
      <w:r w:rsidRPr="00D40DA3">
        <w:rPr>
          <w:i/>
        </w:rPr>
        <w:t>Y</w:t>
      </w:r>
      <w:r w:rsidRPr="00D40DA3">
        <w:rPr>
          <w:szCs w:val="24"/>
        </w:rPr>
        <w:sym w:font="Symbol" w:char="F0A2"/>
      </w:r>
      <w:r w:rsidRPr="00D40DA3">
        <w:t>)/1,5748</w:t>
      </w:r>
    </w:p>
    <w:p w:rsidR="002C2E61" w:rsidRPr="00D40DA3" w:rsidRDefault="002C2E61" w:rsidP="002C2E61">
      <w:r w:rsidRPr="00D40DA3">
        <w:t>Pour les systèmes 483/576 lignes, ces relations sont les suivantes:</w:t>
      </w:r>
    </w:p>
    <w:p w:rsidR="002C2E61" w:rsidRPr="00D40DA3" w:rsidRDefault="002C2E61" w:rsidP="002C2E61">
      <w:pPr>
        <w:pStyle w:val="Equation"/>
      </w:pPr>
      <w:r w:rsidRPr="00D40DA3">
        <w:tab/>
      </w:r>
      <w:r w:rsidRPr="00D40DA3">
        <w:tab/>
      </w:r>
      <w:r w:rsidRPr="00D40DA3">
        <w:rPr>
          <w:i/>
        </w:rPr>
        <w:t>Y</w:t>
      </w:r>
      <w:r w:rsidRPr="00D40DA3">
        <w:sym w:font="Symbol" w:char="F0A2"/>
      </w:r>
      <w:r w:rsidRPr="00D40DA3">
        <w:t xml:space="preserve"> = 0,299</w:t>
      </w:r>
      <w:r w:rsidRPr="00D40DA3">
        <w:rPr>
          <w:i/>
        </w:rPr>
        <w:t>R</w:t>
      </w:r>
      <w:r w:rsidRPr="00D40DA3">
        <w:sym w:font="Symbol" w:char="F0A2"/>
      </w:r>
      <w:r w:rsidRPr="00D40DA3">
        <w:t xml:space="preserve"> + 0,587</w:t>
      </w:r>
      <w:r w:rsidRPr="00D40DA3">
        <w:rPr>
          <w:i/>
        </w:rPr>
        <w:t>G</w:t>
      </w:r>
      <w:r w:rsidRPr="00D40DA3">
        <w:sym w:font="Symbol" w:char="F0A2"/>
      </w:r>
      <w:r w:rsidRPr="00D40DA3">
        <w:t xml:space="preserve"> + 0,114</w:t>
      </w:r>
      <w:r w:rsidRPr="00D40DA3">
        <w:rPr>
          <w:i/>
        </w:rPr>
        <w:t>B</w:t>
      </w:r>
      <w:r w:rsidRPr="00D40DA3">
        <w:sym w:font="Symbol" w:char="F0A2"/>
      </w:r>
    </w:p>
    <w:p w:rsidR="002C2E61" w:rsidRPr="00D40DA3" w:rsidRDefault="002C2E61" w:rsidP="002C2E61">
      <w:pPr>
        <w:pStyle w:val="Equation"/>
        <w:rPr>
          <w:szCs w:val="24"/>
        </w:rPr>
      </w:pPr>
      <w:r w:rsidRPr="00D40DA3">
        <w:tab/>
      </w:r>
      <w:r w:rsidRPr="00D40DA3">
        <w:tab/>
      </w:r>
      <w:r w:rsidRPr="00D40DA3">
        <w:rPr>
          <w:position w:val="-10"/>
        </w:rPr>
        <w:object w:dxaOrig="360" w:dyaOrig="340">
          <v:shape id="_x0000_i1031" type="#_x0000_t75" style="width:18pt;height:17.15pt" o:ole="" o:allowoverlap="f">
            <v:imagedata r:id="rId22" o:title=""/>
          </v:shape>
          <o:OLEObject Type="Embed" ProgID="Equation.3" ShapeID="_x0000_i1031" DrawAspect="Content" ObjectID="_1445156824" r:id="rId26"/>
        </w:object>
      </w:r>
      <w:r w:rsidRPr="00D40DA3">
        <w:rPr>
          <w:szCs w:val="24"/>
        </w:rPr>
        <w:t xml:space="preserve"> = 0,564  </w:t>
      </w:r>
      <w:r w:rsidRPr="00D40DA3">
        <w:t>(</w:t>
      </w:r>
      <w:r w:rsidRPr="00D40DA3">
        <w:rPr>
          <w:i/>
        </w:rPr>
        <w:t>B</w:t>
      </w:r>
      <w:r w:rsidRPr="00D40DA3">
        <w:rPr>
          <w:szCs w:val="24"/>
        </w:rPr>
        <w:sym w:font="Symbol" w:char="F0A2"/>
      </w:r>
      <w:r w:rsidRPr="00D40DA3">
        <w:rPr>
          <w:szCs w:val="24"/>
        </w:rPr>
        <w:t xml:space="preserve"> </w:t>
      </w:r>
      <w:r w:rsidRPr="00D40DA3">
        <w:t xml:space="preserve">– </w:t>
      </w:r>
      <w:r w:rsidRPr="00D40DA3">
        <w:rPr>
          <w:i/>
        </w:rPr>
        <w:t>Y</w:t>
      </w:r>
      <w:r w:rsidRPr="00D40DA3">
        <w:rPr>
          <w:szCs w:val="24"/>
        </w:rPr>
        <w:sym w:font="Symbol" w:char="F0A2"/>
      </w:r>
      <w:r w:rsidRPr="00D40DA3">
        <w:t>)</w:t>
      </w:r>
    </w:p>
    <w:p w:rsidR="002C2E61" w:rsidRPr="00D40DA3" w:rsidRDefault="002C2E61" w:rsidP="002C2E61">
      <w:pPr>
        <w:pStyle w:val="Equation"/>
      </w:pPr>
      <w:r w:rsidRPr="00D40DA3">
        <w:tab/>
      </w:r>
      <w:r w:rsidRPr="00D40DA3">
        <w:tab/>
      </w:r>
      <w:r w:rsidRPr="00D40DA3">
        <w:rPr>
          <w:position w:val="-10"/>
        </w:rPr>
        <w:object w:dxaOrig="360" w:dyaOrig="340">
          <v:shape id="_x0000_i1032" type="#_x0000_t75" style="width:18pt;height:17.15pt" o:ole="">
            <v:imagedata r:id="rId24" o:title=""/>
          </v:shape>
          <o:OLEObject Type="Embed" ProgID="Equation.3" ShapeID="_x0000_i1032" DrawAspect="Content" ObjectID="_1445156825" r:id="rId27"/>
        </w:object>
      </w:r>
      <w:r w:rsidRPr="00D40DA3">
        <w:rPr>
          <w:szCs w:val="24"/>
        </w:rPr>
        <w:t xml:space="preserve"> = 0,713  </w:t>
      </w:r>
      <w:r w:rsidRPr="00D40DA3">
        <w:t>(</w:t>
      </w:r>
      <w:r w:rsidRPr="00D40DA3">
        <w:rPr>
          <w:i/>
        </w:rPr>
        <w:t>R</w:t>
      </w:r>
      <w:r w:rsidRPr="00D40DA3">
        <w:rPr>
          <w:szCs w:val="24"/>
        </w:rPr>
        <w:sym w:font="Symbol" w:char="F0A2"/>
      </w:r>
      <w:r w:rsidRPr="00D40DA3">
        <w:rPr>
          <w:szCs w:val="24"/>
        </w:rPr>
        <w:t xml:space="preserve"> </w:t>
      </w:r>
      <w:r w:rsidRPr="00D40DA3">
        <w:t xml:space="preserve">– </w:t>
      </w:r>
      <w:r w:rsidRPr="00D40DA3">
        <w:rPr>
          <w:i/>
        </w:rPr>
        <w:t>Y</w:t>
      </w:r>
      <w:r w:rsidRPr="00D40DA3">
        <w:rPr>
          <w:szCs w:val="24"/>
        </w:rPr>
        <w:sym w:font="Symbol" w:char="F0A2"/>
      </w:r>
      <w:r w:rsidRPr="00D40DA3">
        <w:t>)</w:t>
      </w:r>
    </w:p>
    <w:p w:rsidR="002C2E61" w:rsidRPr="00D40DA3" w:rsidRDefault="002C2E61" w:rsidP="002C2E61">
      <w:r w:rsidRPr="00D40DA3">
        <w:t>Les concepteurs et les opérateurs d'équipement doivent savoir qu'il faut prévoir une conversion colorimétrique en cas de conversion de format entre les systèmes 1 080/720 lignes et les systèmes 483/576 lignes.</w:t>
      </w:r>
    </w:p>
    <w:p w:rsidR="002C2E61" w:rsidRPr="00D40DA3" w:rsidRDefault="002C2E61" w:rsidP="002C2E61">
      <w:pPr>
        <w:pStyle w:val="Headingb"/>
      </w:pPr>
      <w:r w:rsidRPr="00D40DA3">
        <w:t>Signaux audio</w:t>
      </w:r>
    </w:p>
    <w:p w:rsidR="002C2E61" w:rsidRPr="00D40DA3" w:rsidRDefault="002C2E61" w:rsidP="002C2E61">
      <w:pPr>
        <w:keepNext/>
        <w:keepLines/>
      </w:pPr>
      <w:r w:rsidRPr="00D40DA3">
        <w:t>Deux types de signaux audio peuvent être utilisés conjointement avec le signal d'essai vidéo:</w:t>
      </w:r>
    </w:p>
    <w:p w:rsidR="002C2E61" w:rsidRPr="00D40DA3" w:rsidRDefault="002C2E61" w:rsidP="002C2E61">
      <w:pPr>
        <w:pStyle w:val="enumlev1"/>
      </w:pPr>
      <w:r w:rsidRPr="00D40DA3">
        <w:rPr>
          <w:i/>
        </w:rPr>
        <w:t>Type 1</w:t>
      </w:r>
      <w:r w:rsidRPr="00D40DA3">
        <w:t>:</w:t>
      </w:r>
      <w:r w:rsidRPr="00D40DA3">
        <w:tab/>
        <w:t>Tonalités sinusoïdales continues sur chaque canal, au moyen des fréquences suivantes</w:t>
      </w:r>
      <w:r w:rsidRPr="00D40DA3">
        <w:rPr>
          <w:rStyle w:val="FootnoteReference"/>
        </w:rPr>
        <w:footnoteReference w:id="4"/>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Gauche:</w:t>
      </w:r>
      <w:r w:rsidRPr="00D40DA3">
        <w:tab/>
        <w:t>392 Hz</w:t>
      </w:r>
      <w:r w:rsidRPr="00D40DA3">
        <w:tab/>
        <w:t>(</w:t>
      </w:r>
      <w:r w:rsidRPr="00D40DA3">
        <w:rPr>
          <w:i/>
        </w:rPr>
        <w:t>G</w:t>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Central:</w:t>
      </w:r>
      <w:r w:rsidRPr="00D40DA3">
        <w:tab/>
        <w:t>493,9 Hz</w:t>
      </w:r>
      <w:r w:rsidRPr="00D40DA3">
        <w:tab/>
        <w:t>(</w:t>
      </w:r>
      <w:r w:rsidRPr="00D40DA3">
        <w:rPr>
          <w:i/>
        </w:rPr>
        <w:t>B</w:t>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Droit:</w:t>
      </w:r>
      <w:r w:rsidRPr="00D40DA3">
        <w:tab/>
        <w:t>587,3 Hz</w:t>
      </w:r>
      <w:r w:rsidRPr="00D40DA3">
        <w:tab/>
        <w:t>(</w:t>
      </w:r>
      <w:r w:rsidRPr="00D40DA3">
        <w:rPr>
          <w:i/>
        </w:rPr>
        <w:t>D</w:t>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 xml:space="preserve">Ambiance (mono) ou ambiance (gauche): </w:t>
      </w:r>
      <w:r w:rsidRPr="00D40DA3">
        <w:tab/>
        <w:t>784 Hz</w:t>
      </w:r>
      <w:r w:rsidRPr="00D40DA3">
        <w:tab/>
        <w:t>(</w:t>
      </w:r>
      <w:r w:rsidRPr="00D40DA3">
        <w:rPr>
          <w:i/>
        </w:rPr>
        <w:t>G</w:t>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Ambiance (droit):</w:t>
      </w:r>
      <w:r w:rsidRPr="00D40DA3">
        <w:tab/>
        <w:t>987,8 Hz</w:t>
      </w:r>
      <w:r w:rsidRPr="00D40DA3">
        <w:tab/>
        <w:t>(</w:t>
      </w:r>
      <w:r w:rsidRPr="00D40DA3">
        <w:rPr>
          <w:i/>
        </w:rPr>
        <w:t>B</w:t>
      </w:r>
      <w:r w:rsidRPr="00D40DA3">
        <w:t>)</w:t>
      </w:r>
    </w:p>
    <w:p w:rsidR="002C2E61" w:rsidRPr="00D40DA3" w:rsidRDefault="002C2E61" w:rsidP="002C2E61">
      <w:pPr>
        <w:pStyle w:val="enumlev1"/>
        <w:tabs>
          <w:tab w:val="clear" w:pos="1588"/>
          <w:tab w:val="clear" w:pos="1985"/>
          <w:tab w:val="left" w:pos="6379"/>
          <w:tab w:val="left" w:pos="7938"/>
        </w:tabs>
      </w:pPr>
      <w:r w:rsidRPr="00D40DA3">
        <w:tab/>
      </w:r>
      <w:r w:rsidRPr="00D40DA3">
        <w:tab/>
        <w:t>Caisson de basses:</w:t>
      </w:r>
      <w:r w:rsidRPr="00D40DA3">
        <w:tab/>
        <w:t>40 Hz</w:t>
      </w:r>
    </w:p>
    <w:p w:rsidR="002C2E61" w:rsidRPr="00D40DA3" w:rsidRDefault="002C2E61" w:rsidP="002C2E61">
      <w:pPr>
        <w:pStyle w:val="enumlev1"/>
      </w:pPr>
      <w:r w:rsidRPr="00D40DA3">
        <w:rPr>
          <w:i/>
        </w:rPr>
        <w:t>Type 2</w:t>
      </w:r>
      <w:r w:rsidRPr="00D40DA3">
        <w:t>:</w:t>
      </w:r>
      <w:r w:rsidRPr="00D40DA3">
        <w:tab/>
        <w:t>Comme pour le Type 1 plus une tonalité à 40 Hz sur chaque canal.</w:t>
      </w:r>
    </w:p>
    <w:p w:rsidR="002C2E61" w:rsidRPr="00D40DA3" w:rsidRDefault="002C2E61" w:rsidP="002C2E61">
      <w:r w:rsidRPr="00D40DA3">
        <w:lastRenderedPageBreak/>
        <w:t>La tonalité de Type 1 est utilisée pour identifier le canal et pour vérifier la synchronisation audio</w:t>
      </w:r>
      <w:r w:rsidRPr="00D40DA3">
        <w:noBreakHyphen/>
        <w:t>vidéo. La tonalité du canal droit doit être annulée une fois par seconde pendant 25 ms coïncidant avec l'indication de synchronisation visuelle. Le point de synchronisation doit correspondre au début de cette période d'annulation.</w:t>
      </w:r>
    </w:p>
    <w:p w:rsidR="002C2E61" w:rsidRPr="00D40DA3" w:rsidRDefault="002C2E61" w:rsidP="002C2E61">
      <w:r w:rsidRPr="00D40DA3">
        <w:t>La tonalité de Type 2 peut être utilisée pour les mêmes fins que la tonalité de Type 1 et pour vérifier la polarité relative des canaux.</w:t>
      </w:r>
    </w:p>
    <w:p w:rsidR="002C2E61" w:rsidRPr="00D40DA3" w:rsidRDefault="002C2E61" w:rsidP="002C2E61">
      <w:r w:rsidRPr="00D40DA3">
        <w:t>Si deux tonalités sont utilisées sur un canal, elles doivent être de niveau égal, c'est-à-dire de 3 dB inférieur au niveau d'alignement</w:t>
      </w:r>
      <w:r w:rsidRPr="00D40DA3">
        <w:rPr>
          <w:rStyle w:val="FootnoteReference"/>
        </w:rPr>
        <w:footnoteReference w:id="5"/>
      </w:r>
      <w:r w:rsidRPr="00D40DA3">
        <w:t>, de sorte que la somme des deux tonalités corresponde au niveau d'alignement.</w:t>
      </w:r>
    </w:p>
    <w:p w:rsidR="002C2E61" w:rsidRPr="00D40DA3" w:rsidRDefault="002C2E61" w:rsidP="00DD2910">
      <w:r w:rsidRPr="00D40DA3">
        <w:t>Si une seule tonalité est utilisée sur un canal, elle doit être au niveau d'alignement.</w:t>
      </w:r>
    </w:p>
    <w:p w:rsidR="002C2E61" w:rsidRPr="00D40DA3" w:rsidRDefault="002C2E61" w:rsidP="00DD2910">
      <w:pPr>
        <w:pStyle w:val="Headingb"/>
        <w:keepNext w:val="0"/>
        <w:keepLines w:val="0"/>
      </w:pPr>
      <w:r w:rsidRPr="00D40DA3">
        <w:lastRenderedPageBreak/>
        <w:t xml:space="preserve">Formes d'onde pour les systèmes 1 080/720 lignes </w:t>
      </w:r>
    </w:p>
    <w:p w:rsidR="002C2E61" w:rsidRPr="00D40DA3" w:rsidRDefault="002C2E61" w:rsidP="00DD2910">
      <w:r w:rsidRPr="00D40DA3">
        <w:t>Les formes d'onde analogiques correspondant au modèle de barres de couleur de la mire d</w:t>
      </w:r>
      <w:bookmarkStart w:id="5" w:name="OLE_LINK2"/>
      <w:r w:rsidRPr="00D40DA3">
        <w:t>e référence pour les systèmes 1 080 lignes et 720</w:t>
      </w:r>
      <w:bookmarkEnd w:id="5"/>
      <w:r w:rsidRPr="00D40DA3">
        <w:t> lignes sont représentées dans la Fig. 5. Les valeurs qui ne figurent pas entre parenthèses sont les mots de code pour un système numérique à 10 bits. Les valeurs figurant entre parenthèses s'ap</w:t>
      </w:r>
      <w:bookmarkStart w:id="6" w:name="_GoBack"/>
      <w:bookmarkEnd w:id="6"/>
      <w:r w:rsidRPr="00D40DA3">
        <w:t xml:space="preserve">pliquent à un système numérique à 8 bits. La largeur de chaque barre, de 100% jaune à 100% bleu inclus, correspond à la grille 10 </w:t>
      </w:r>
      <w:r w:rsidRPr="00D40DA3">
        <w:sym w:font="Symbol" w:char="F0B4"/>
      </w:r>
      <w:r w:rsidRPr="00D40DA3">
        <w:t xml:space="preserve"> 10.</w:t>
      </w:r>
    </w:p>
    <w:p w:rsidR="002C2E61" w:rsidRPr="00D40DA3" w:rsidRDefault="002C2E61" w:rsidP="002C2E61">
      <w:pPr>
        <w:pStyle w:val="FigureNo"/>
      </w:pPr>
      <w:r w:rsidRPr="00D40DA3">
        <w:t>Figure 5</w:t>
      </w:r>
    </w:p>
    <w:p w:rsidR="002C2E61" w:rsidRPr="00D40DA3" w:rsidRDefault="002C2E61" w:rsidP="002C2E61">
      <w:pPr>
        <w:pStyle w:val="Figuretitle"/>
      </w:pPr>
      <w:r w:rsidRPr="00D40DA3">
        <w:t xml:space="preserve">Systèmes 1 080/720 lignes, formes d'onde des barres de couleur, barres 100/0/100/0 </w:t>
      </w:r>
    </w:p>
    <w:p w:rsidR="002C2E61" w:rsidRPr="00D40DA3" w:rsidRDefault="002C2E61" w:rsidP="002C2E61">
      <w:pPr>
        <w:pStyle w:val="Figure"/>
      </w:pPr>
      <w:r w:rsidRPr="00D40DA3">
        <w:object w:dxaOrig="9096" w:dyaOrig="7782">
          <v:shape id="_x0000_i1033" type="#_x0000_t75" style="width:454.3pt;height:389.15pt" o:ole="" o:allowoverlap="f">
            <v:imagedata r:id="rId28" o:title=""/>
          </v:shape>
          <o:OLEObject Type="Embed" ProgID="CorelDraw.Graphic.12" ShapeID="_x0000_i1033" DrawAspect="Content" ObjectID="_1445156826" r:id="rId29"/>
        </w:object>
      </w:r>
    </w:p>
    <w:p w:rsidR="002C2E61" w:rsidRPr="00D40DA3" w:rsidRDefault="002C2E61" w:rsidP="002C2E61">
      <w:pPr>
        <w:pStyle w:val="Headingb"/>
      </w:pPr>
      <w:r w:rsidRPr="00D40DA3">
        <w:t>Formes d'onde des barres de couleur pour les systèmes 483/576 lignes</w:t>
      </w:r>
    </w:p>
    <w:p w:rsidR="002C2E61" w:rsidRPr="00D40DA3" w:rsidRDefault="002C2E61" w:rsidP="002C2E61">
      <w:pPr>
        <w:rPr>
          <w:rFonts w:ascii="TimesNewRoman" w:hAnsi="TimesNewRoman"/>
        </w:rPr>
      </w:pPr>
      <w:r w:rsidRPr="00D40DA3">
        <w:rPr>
          <w:rFonts w:ascii="TimesNewRoman" w:hAnsi="TimesNewRoman"/>
        </w:rPr>
        <w:t xml:space="preserve">La Fig. 6 représente les formes d'onde analogiques correspondant aux quatre modèles de la mire d'essai pour les systèmes numériques 720 × 576 et 720 × 483. Les valeurs ne figurant pas entre parenthèses sont les mots de code pour un système numérique à 10 bits. Les valeurs figurant entre parenthèses s'appliquent à un système numérique à 8 bits. La largeur de chaque barre, de 100% jaune à 100% bleu inclus correspond à la grille 10 </w:t>
      </w:r>
      <w:r w:rsidRPr="00D40DA3">
        <w:rPr>
          <w:rFonts w:ascii="TimesNewRoman" w:hAnsi="TimesNewRoman"/>
        </w:rPr>
        <w:sym w:font="Symbol" w:char="F0B4"/>
      </w:r>
      <w:r w:rsidRPr="00D40DA3">
        <w:rPr>
          <w:rFonts w:ascii="TimesNewRoman" w:hAnsi="TimesNewRoman"/>
        </w:rPr>
        <w:t xml:space="preserve"> 10.</w:t>
      </w:r>
    </w:p>
    <w:p w:rsidR="002C2E61" w:rsidRPr="00D40DA3" w:rsidRDefault="002C2E61" w:rsidP="002C2E61">
      <w:pPr>
        <w:rPr>
          <w:rFonts w:ascii="TimesNewRoman" w:hAnsi="TimesNewRoman"/>
        </w:rPr>
      </w:pPr>
    </w:p>
    <w:p w:rsidR="002C2E61" w:rsidRPr="00D40DA3" w:rsidRDefault="002C2E61" w:rsidP="002C2E61">
      <w:pPr>
        <w:pStyle w:val="FigureNo"/>
      </w:pPr>
      <w:r w:rsidRPr="00D40DA3">
        <w:lastRenderedPageBreak/>
        <w:t>Figure 6</w:t>
      </w:r>
    </w:p>
    <w:p w:rsidR="002C2E61" w:rsidRPr="00D40DA3" w:rsidRDefault="002C2E61" w:rsidP="002C2E61">
      <w:pPr>
        <w:pStyle w:val="Figuretitle"/>
      </w:pPr>
      <w:r w:rsidRPr="00D40DA3">
        <w:t>Systèmes 483/576 lignes, formes d'onde des barres de couleur, barres 100/0/100/0</w:t>
      </w:r>
    </w:p>
    <w:p w:rsidR="002C2E61" w:rsidRPr="00D40DA3" w:rsidRDefault="002C2E61" w:rsidP="002C2E61">
      <w:pPr>
        <w:pStyle w:val="Figure"/>
      </w:pPr>
      <w:r w:rsidRPr="00D40DA3">
        <w:object w:dxaOrig="9114" w:dyaOrig="7805">
          <v:shape id="_x0000_i1034" type="#_x0000_t75" style="width:456pt;height:389.15pt" o:ole="" o:allowoverlap="f">
            <v:imagedata r:id="rId30" o:title=""/>
          </v:shape>
          <o:OLEObject Type="Embed" ProgID="CorelDraw.Graphic.12" ShapeID="_x0000_i1034" DrawAspect="Content" ObjectID="_1445156827" r:id="rId31"/>
        </w:object>
      </w:r>
    </w:p>
    <w:p w:rsidR="002C2E61" w:rsidRPr="00D40DA3" w:rsidRDefault="002C2E61" w:rsidP="0029105B">
      <w:pPr>
        <w:pStyle w:val="Headingb"/>
      </w:pPr>
      <w:r w:rsidRPr="00D40DA3">
        <w:lastRenderedPageBreak/>
        <w:t>Formes d'onde de l'échelle de luminance</w:t>
      </w:r>
    </w:p>
    <w:p w:rsidR="002C2E61" w:rsidRPr="00D40DA3" w:rsidRDefault="002C2E61" w:rsidP="0029105B">
      <w:pPr>
        <w:keepNext/>
        <w:keepLines/>
      </w:pPr>
      <w:r w:rsidRPr="00D40DA3">
        <w:t>Les formes d'onde définissant l'échelle de luminance sont représentées dans la Fig. 7.</w:t>
      </w:r>
    </w:p>
    <w:p w:rsidR="002C2E61" w:rsidRPr="00D40DA3" w:rsidRDefault="002C2E61" w:rsidP="002C2E61">
      <w:pPr>
        <w:pStyle w:val="FigureNo"/>
      </w:pPr>
      <w:r w:rsidRPr="00D40DA3">
        <w:t>Figure 7</w:t>
      </w:r>
    </w:p>
    <w:p w:rsidR="002C2E61" w:rsidRPr="00D40DA3" w:rsidRDefault="002C2E61" w:rsidP="002C2E61">
      <w:pPr>
        <w:pStyle w:val="Figuretitle"/>
      </w:pPr>
      <w:r w:rsidRPr="00D40DA3">
        <w:t>Formes d'onde de l'échelle de luminance pour tous les systèmes</w:t>
      </w:r>
    </w:p>
    <w:p w:rsidR="002C2E61" w:rsidRPr="00D40DA3" w:rsidRDefault="002C2E61" w:rsidP="002C2E61">
      <w:pPr>
        <w:pStyle w:val="Figure"/>
      </w:pPr>
      <w:r w:rsidRPr="00D40DA3">
        <w:object w:dxaOrig="8532" w:dyaOrig="7817">
          <v:shape id="_x0000_i1035" type="#_x0000_t75" style="width:426.85pt;height:390.85pt" o:ole="" o:allowoverlap="f">
            <v:imagedata r:id="rId32" o:title=""/>
          </v:shape>
          <o:OLEObject Type="Embed" ProgID="CorelDraw.Graphic.12" ShapeID="_x0000_i1035" DrawAspect="Content" ObjectID="_1445156828" r:id="rId33"/>
        </w:object>
      </w:r>
    </w:p>
    <w:p w:rsidR="002C2E61" w:rsidRPr="00D40DA3" w:rsidRDefault="002C2E61" w:rsidP="0029105B">
      <w:pPr>
        <w:pStyle w:val="Headingb"/>
      </w:pPr>
      <w:r w:rsidRPr="00D40DA3">
        <w:lastRenderedPageBreak/>
        <w:t xml:space="preserve">Formes d'onde de l'échelle </w:t>
      </w:r>
      <w:r w:rsidRPr="00D40DA3">
        <w:rPr>
          <w:i/>
        </w:rPr>
        <w:t>B</w:t>
      </w:r>
      <w:r w:rsidRPr="00D40DA3">
        <w:t>-</w:t>
      </w:r>
      <w:r w:rsidRPr="00D40DA3">
        <w:rPr>
          <w:i/>
        </w:rPr>
        <w:t>Y</w:t>
      </w:r>
      <w:r w:rsidRPr="00D40DA3">
        <w:t xml:space="preserve"> </w:t>
      </w:r>
    </w:p>
    <w:p w:rsidR="002C2E61" w:rsidRPr="00D40DA3" w:rsidRDefault="002C2E61" w:rsidP="0029105B">
      <w:pPr>
        <w:keepNext/>
        <w:keepLines/>
      </w:pPr>
      <w:r w:rsidRPr="00D40DA3">
        <w:t xml:space="preserve">Les formes d'onde définissant l'échelle de différence de couleur </w:t>
      </w:r>
      <w:r w:rsidRPr="00D40DA3">
        <w:rPr>
          <w:i/>
        </w:rPr>
        <w:t>B</w:t>
      </w:r>
      <w:r w:rsidRPr="00D40DA3">
        <w:t>-</w:t>
      </w:r>
      <w:r w:rsidRPr="00D40DA3">
        <w:rPr>
          <w:i/>
        </w:rPr>
        <w:t>Y</w:t>
      </w:r>
      <w:r w:rsidRPr="00D40DA3">
        <w:t xml:space="preserve"> sont représentées dans la Fig. 8 pour les systèmes 1 080/720 lignes et dans la Fig. 9 pour les systèmes 483/576 lignes.</w:t>
      </w:r>
    </w:p>
    <w:p w:rsidR="002C2E61" w:rsidRPr="00D40DA3" w:rsidRDefault="002C2E61" w:rsidP="002C2E61">
      <w:pPr>
        <w:pStyle w:val="FigureNo"/>
      </w:pPr>
      <w:r w:rsidRPr="00D40DA3">
        <w:t>Figure 8</w:t>
      </w:r>
    </w:p>
    <w:p w:rsidR="002C2E61" w:rsidRPr="00D40DA3" w:rsidRDefault="002C2E61" w:rsidP="002C2E61">
      <w:pPr>
        <w:pStyle w:val="Figuretitle"/>
      </w:pPr>
      <w:r w:rsidRPr="00D40DA3">
        <w:t xml:space="preserve">Formes d'onde de l'échelle </w:t>
      </w:r>
      <w:r w:rsidRPr="00D40DA3">
        <w:rPr>
          <w:i/>
        </w:rPr>
        <w:t>B</w:t>
      </w:r>
      <w:r w:rsidRPr="00D40DA3">
        <w:t>-</w:t>
      </w:r>
      <w:r w:rsidRPr="00D40DA3">
        <w:rPr>
          <w:i/>
        </w:rPr>
        <w:t>Y</w:t>
      </w:r>
      <w:r w:rsidRPr="00D40DA3">
        <w:t xml:space="preserve"> pour les systèmes 1 080/720 lignes </w:t>
      </w:r>
    </w:p>
    <w:p w:rsidR="002C2E61" w:rsidRPr="00D40DA3" w:rsidRDefault="002C2E61" w:rsidP="002C2E61">
      <w:pPr>
        <w:pStyle w:val="Figure"/>
      </w:pPr>
      <w:r w:rsidRPr="00D40DA3">
        <w:object w:dxaOrig="9221" w:dyaOrig="8019">
          <v:shape id="_x0000_i1036" type="#_x0000_t75" style="width:460.3pt;height:401.15pt" o:ole="" o:allowoverlap="f">
            <v:imagedata r:id="rId34" o:title=""/>
          </v:shape>
          <o:OLEObject Type="Embed" ProgID="CorelDraw.Graphic.12" ShapeID="_x0000_i1036" DrawAspect="Content" ObjectID="_1445156829" r:id="rId35"/>
        </w:object>
      </w:r>
    </w:p>
    <w:p w:rsidR="002C2E61" w:rsidRPr="00D40DA3" w:rsidRDefault="002C2E61" w:rsidP="002C2E61">
      <w:pPr>
        <w:pStyle w:val="FigureNo"/>
      </w:pPr>
      <w:r w:rsidRPr="00D40DA3">
        <w:lastRenderedPageBreak/>
        <w:t>Figure 9</w:t>
      </w:r>
    </w:p>
    <w:p w:rsidR="002C2E61" w:rsidRPr="00D40DA3" w:rsidRDefault="002C2E61" w:rsidP="002C2E61">
      <w:pPr>
        <w:pStyle w:val="Figuretitle"/>
      </w:pPr>
      <w:r w:rsidRPr="00D40DA3">
        <w:t xml:space="preserve">Formes d'onde de l'échelle </w:t>
      </w:r>
      <w:r w:rsidRPr="00D40DA3">
        <w:rPr>
          <w:i/>
        </w:rPr>
        <w:t>B</w:t>
      </w:r>
      <w:r w:rsidRPr="00D40DA3">
        <w:t>-</w:t>
      </w:r>
      <w:r w:rsidRPr="00D40DA3">
        <w:rPr>
          <w:i/>
        </w:rPr>
        <w:t>Y</w:t>
      </w:r>
      <w:r w:rsidRPr="00D40DA3">
        <w:t xml:space="preserve"> pour les systèmes 483/576 lignes </w:t>
      </w:r>
    </w:p>
    <w:p w:rsidR="002C2E61" w:rsidRPr="00D40DA3" w:rsidRDefault="002C2E61" w:rsidP="002C2E61">
      <w:pPr>
        <w:pStyle w:val="Figure"/>
      </w:pPr>
      <w:r w:rsidRPr="00D40DA3">
        <w:object w:dxaOrig="9249" w:dyaOrig="8026">
          <v:shape id="_x0000_i1037" type="#_x0000_t75" style="width:463.7pt;height:401.15pt" o:ole="" o:allowoverlap="f">
            <v:imagedata r:id="rId36" o:title=""/>
          </v:shape>
          <o:OLEObject Type="Embed" ProgID="CorelDraw.Graphic.12" ShapeID="_x0000_i1037" DrawAspect="Content" ObjectID="_1445156830" r:id="rId37"/>
        </w:object>
      </w:r>
    </w:p>
    <w:p w:rsidR="002C2E61" w:rsidRPr="00D40DA3" w:rsidRDefault="002C2E61" w:rsidP="0029105B">
      <w:pPr>
        <w:pStyle w:val="Headingb"/>
      </w:pPr>
      <w:r w:rsidRPr="00D40DA3">
        <w:lastRenderedPageBreak/>
        <w:t xml:space="preserve">Formes d'onde de l'échelle </w:t>
      </w:r>
      <w:r w:rsidRPr="00D40DA3">
        <w:rPr>
          <w:i/>
        </w:rPr>
        <w:t>R</w:t>
      </w:r>
      <w:r w:rsidRPr="00D40DA3">
        <w:t>-</w:t>
      </w:r>
      <w:r w:rsidRPr="00D40DA3">
        <w:rPr>
          <w:i/>
        </w:rPr>
        <w:t>Y</w:t>
      </w:r>
      <w:r w:rsidRPr="00D40DA3">
        <w:t xml:space="preserve"> </w:t>
      </w:r>
    </w:p>
    <w:p w:rsidR="002C2E61" w:rsidRPr="00D40DA3" w:rsidRDefault="002C2E61" w:rsidP="0029105B">
      <w:pPr>
        <w:keepNext/>
        <w:keepLines/>
      </w:pPr>
      <w:r w:rsidRPr="00D40DA3">
        <w:t xml:space="preserve">Les formes d'onde définissant l'échelle de différence de couleur </w:t>
      </w:r>
      <w:r w:rsidRPr="00D40DA3">
        <w:rPr>
          <w:i/>
        </w:rPr>
        <w:t>R</w:t>
      </w:r>
      <w:r w:rsidRPr="00D40DA3">
        <w:t>-</w:t>
      </w:r>
      <w:r w:rsidRPr="00D40DA3">
        <w:rPr>
          <w:i/>
        </w:rPr>
        <w:t>Y</w:t>
      </w:r>
      <w:r w:rsidRPr="00D40DA3">
        <w:t xml:space="preserve"> sont représentées dans la Fig. 10 pour les systèmes 1 080/720 lignes et dans la Fig. 11 pour les systèmes 483/576 lignes.</w:t>
      </w:r>
    </w:p>
    <w:p w:rsidR="002C2E61" w:rsidRPr="00D40DA3" w:rsidRDefault="002C2E61" w:rsidP="002C2E61">
      <w:pPr>
        <w:pStyle w:val="FigureNo"/>
      </w:pPr>
      <w:r w:rsidRPr="00D40DA3">
        <w:t>Figure 10</w:t>
      </w:r>
    </w:p>
    <w:p w:rsidR="002C2E61" w:rsidRPr="00D40DA3" w:rsidRDefault="002C2E61" w:rsidP="002C2E61">
      <w:pPr>
        <w:pStyle w:val="Figuretitle"/>
      </w:pPr>
      <w:r w:rsidRPr="00D40DA3">
        <w:t xml:space="preserve">Formes d'onde de l'échelle </w:t>
      </w:r>
      <w:r w:rsidRPr="00D40DA3">
        <w:rPr>
          <w:i/>
        </w:rPr>
        <w:t>R</w:t>
      </w:r>
      <w:r w:rsidRPr="00D40DA3">
        <w:t>-</w:t>
      </w:r>
      <w:r w:rsidRPr="00D40DA3">
        <w:rPr>
          <w:i/>
        </w:rPr>
        <w:t>Y</w:t>
      </w:r>
      <w:r w:rsidRPr="00D40DA3">
        <w:t xml:space="preserve"> pour les systèmes 1 080/720 lignes </w:t>
      </w:r>
    </w:p>
    <w:p w:rsidR="002C2E61" w:rsidRPr="00D40DA3" w:rsidRDefault="002C2E61" w:rsidP="002C2E61">
      <w:pPr>
        <w:pStyle w:val="Figure"/>
      </w:pPr>
      <w:r w:rsidRPr="00D40DA3">
        <w:object w:dxaOrig="9250" w:dyaOrig="8063">
          <v:shape id="_x0000_i1038" type="#_x0000_t75" style="width:463.7pt;height:403.7pt" o:ole="" o:allowoverlap="f">
            <v:imagedata r:id="rId38" o:title=""/>
          </v:shape>
          <o:OLEObject Type="Embed" ProgID="CorelDraw.Graphic.12" ShapeID="_x0000_i1038" DrawAspect="Content" ObjectID="_1445156831" r:id="rId39"/>
        </w:object>
      </w:r>
    </w:p>
    <w:p w:rsidR="002C2E61" w:rsidRPr="00D40DA3" w:rsidRDefault="002C2E61" w:rsidP="002C2E61">
      <w:pPr>
        <w:pStyle w:val="FigureNo"/>
      </w:pPr>
      <w:r w:rsidRPr="00D40DA3">
        <w:lastRenderedPageBreak/>
        <w:t>Figure 11</w:t>
      </w:r>
    </w:p>
    <w:p w:rsidR="002C2E61" w:rsidRPr="00D40DA3" w:rsidRDefault="002C2E61" w:rsidP="002C2E61">
      <w:pPr>
        <w:pStyle w:val="Figuretitle"/>
      </w:pPr>
      <w:r w:rsidRPr="00D40DA3">
        <w:t xml:space="preserve">Formes d'onde de l'échelle </w:t>
      </w:r>
      <w:r w:rsidRPr="00D40DA3">
        <w:rPr>
          <w:i/>
        </w:rPr>
        <w:t>R</w:t>
      </w:r>
      <w:r w:rsidRPr="00D40DA3">
        <w:t>-</w:t>
      </w:r>
      <w:r w:rsidRPr="00D40DA3">
        <w:rPr>
          <w:i/>
        </w:rPr>
        <w:t>Y</w:t>
      </w:r>
      <w:r w:rsidRPr="00D40DA3">
        <w:t xml:space="preserve"> pour les systèmes 483/576 lignes </w:t>
      </w:r>
    </w:p>
    <w:p w:rsidR="002C2E61" w:rsidRPr="00D40DA3" w:rsidRDefault="002C2E61" w:rsidP="002C2E61">
      <w:pPr>
        <w:pStyle w:val="Figure"/>
      </w:pPr>
      <w:r w:rsidRPr="00D40DA3">
        <w:object w:dxaOrig="9238" w:dyaOrig="8036">
          <v:shape id="_x0000_i1039" type="#_x0000_t75" style="width:461.15pt;height:402pt" o:ole="" o:allowoverlap="f">
            <v:imagedata r:id="rId40" o:title=""/>
          </v:shape>
          <o:OLEObject Type="Embed" ProgID="CorelDraw.Graphic.12" ShapeID="_x0000_i1039" DrawAspect="Content" ObjectID="_1445156832" r:id="rId41"/>
        </w:object>
      </w:r>
    </w:p>
    <w:p w:rsidR="002C2E61" w:rsidRPr="00D40DA3" w:rsidRDefault="002C2E61" w:rsidP="002C2E61"/>
    <w:p w:rsidR="002C2E61" w:rsidRPr="00D40DA3" w:rsidRDefault="002C2E61" w:rsidP="002C2E61"/>
    <w:p w:rsidR="002C2E61" w:rsidRPr="00D40DA3" w:rsidRDefault="002C2E61" w:rsidP="002C2E61"/>
    <w:p w:rsidR="009C2100" w:rsidRDefault="002C2E61" w:rsidP="009C2100">
      <w:pPr>
        <w:pStyle w:val="AppendixNoTitle"/>
      </w:pPr>
      <w:bookmarkStart w:id="7" w:name="_Toc120336593"/>
      <w:r w:rsidRPr="00D40DA3">
        <w:t>Appendice 1</w:t>
      </w:r>
      <w:r w:rsidRPr="00D40DA3">
        <w:br/>
        <w:t>à l'Annexe 1</w:t>
      </w:r>
    </w:p>
    <w:p w:rsidR="002C2E61" w:rsidRPr="00D40DA3" w:rsidRDefault="002C2E61" w:rsidP="009C2100">
      <w:pPr>
        <w:pStyle w:val="AppendixNoTitle"/>
      </w:pPr>
      <w:r w:rsidRPr="00D40DA3">
        <w:t xml:space="preserve">Valeurs de codage numérique pour les systèmes numériques 1 080/720 lignes </w:t>
      </w:r>
      <w:r w:rsidRPr="00D40DA3">
        <w:br/>
        <w:t>et valeurs de signal équivalentes pour les systèmes analogiques</w:t>
      </w:r>
      <w:bookmarkEnd w:id="7"/>
      <w:r w:rsidRPr="00D40DA3">
        <w:t xml:space="preserve"> </w:t>
      </w:r>
    </w:p>
    <w:p w:rsidR="002C2E61" w:rsidRPr="00D40DA3" w:rsidRDefault="002C2E61" w:rsidP="002C2E61">
      <w:pPr>
        <w:pStyle w:val="Normalaftertitle"/>
        <w:tabs>
          <w:tab w:val="left" w:pos="7797"/>
        </w:tabs>
      </w:pPr>
      <w:r w:rsidRPr="00D40DA3">
        <w:t>Le Tableau 5 donne les valeurs de codage numérique recommandées pour les configurations à 8 et à 10 bits de la mire de référence, conformément aux Recommandations UIT-R BT.709</w:t>
      </w:r>
      <w:r w:rsidR="004D21CA">
        <w:t xml:space="preserve">, </w:t>
      </w:r>
      <w:r w:rsidR="004D21CA" w:rsidRPr="00D40DA3">
        <w:t>UIT</w:t>
      </w:r>
      <w:r w:rsidR="004D21CA" w:rsidRPr="00D40DA3">
        <w:noBreakHyphen/>
        <w:t>R BT.</w:t>
      </w:r>
      <w:r w:rsidR="004D21CA">
        <w:t>1847</w:t>
      </w:r>
      <w:r w:rsidRPr="00D40DA3">
        <w:t xml:space="preserve"> et UIT</w:t>
      </w:r>
      <w:r w:rsidRPr="00D40DA3">
        <w:noBreakHyphen/>
        <w:t>R BT.1543.</w:t>
      </w:r>
    </w:p>
    <w:p w:rsidR="002C2E61" w:rsidRPr="00D40DA3" w:rsidRDefault="002C2E61" w:rsidP="002C2E61">
      <w:pPr>
        <w:pStyle w:val="TableNo"/>
      </w:pPr>
      <w:r w:rsidRPr="00D40DA3">
        <w:lastRenderedPageBreak/>
        <w:t>TABLEAU 5</w:t>
      </w:r>
    </w:p>
    <w:p w:rsidR="002C2E61" w:rsidRPr="00D40DA3" w:rsidRDefault="002C2E61" w:rsidP="002C2E61">
      <w:pPr>
        <w:pStyle w:val="Tabletitle"/>
      </w:pPr>
      <w:r w:rsidRPr="00D40DA3">
        <w:t>Valeurs de codage numérique pour les barres 100/0/100/0, systèmes 1 080/720 lignes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6"/>
        <w:gridCol w:w="905"/>
        <w:gridCol w:w="905"/>
        <w:gridCol w:w="850"/>
        <w:gridCol w:w="850"/>
        <w:gridCol w:w="850"/>
        <w:gridCol w:w="850"/>
        <w:gridCol w:w="850"/>
        <w:gridCol w:w="859"/>
      </w:tblGrid>
      <w:tr w:rsidR="002C2E61" w:rsidRPr="00D40DA3" w:rsidTr="00AD55B0">
        <w:trPr>
          <w:cantSplit/>
          <w:trHeight w:val="340"/>
          <w:jc w:val="center"/>
        </w:trPr>
        <w:tc>
          <w:tcPr>
            <w:tcW w:w="1802" w:type="dxa"/>
            <w:gridSpan w:val="2"/>
            <w:tcBorders>
              <w:top w:val="single" w:sz="4" w:space="0" w:color="auto"/>
              <w:left w:val="single" w:sz="4" w:space="0" w:color="auto"/>
              <w:bottom w:val="single" w:sz="6" w:space="0" w:color="auto"/>
              <w:right w:val="single" w:sz="6" w:space="0" w:color="auto"/>
            </w:tcBorders>
            <w:vAlign w:val="center"/>
          </w:tcPr>
          <w:p w:rsidR="002C2E61" w:rsidRPr="00D40DA3" w:rsidRDefault="002C2E61" w:rsidP="00AD55B0">
            <w:pPr>
              <w:pStyle w:val="Tablehead"/>
              <w:spacing w:before="40" w:after="40"/>
              <w:rPr>
                <w:sz w:val="20"/>
              </w:rPr>
            </w:pP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0%</w:t>
            </w:r>
            <w:r w:rsidRPr="00D40DA3">
              <w:rPr>
                <w:sz w:val="20"/>
              </w:rPr>
              <w:br/>
            </w:r>
            <w:r w:rsidRPr="00D40DA3">
              <w:rPr>
                <w:i/>
                <w:sz w:val="20"/>
              </w:rPr>
              <w:t>Y</w:t>
            </w: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50%</w:t>
            </w:r>
            <w:r w:rsidRPr="00D40DA3">
              <w:rPr>
                <w:sz w:val="20"/>
              </w:rPr>
              <w:br/>
            </w:r>
            <w:r w:rsidRPr="00D40DA3">
              <w:rPr>
                <w:i/>
                <w:sz w:val="20"/>
              </w:rPr>
              <w:t>Y</w:t>
            </w: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Y</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YL</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CY</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G</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MG</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R</w:t>
            </w:r>
          </w:p>
        </w:tc>
        <w:tc>
          <w:tcPr>
            <w:tcW w:w="854"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B</w:t>
            </w:r>
          </w:p>
        </w:tc>
      </w:tr>
      <w:tr w:rsidR="002C2E61" w:rsidRPr="00D40DA3" w:rsidTr="00AD55B0">
        <w:trPr>
          <w:cantSplit/>
          <w:trHeight w:val="340"/>
          <w:jc w:val="center"/>
        </w:trPr>
        <w:tc>
          <w:tcPr>
            <w:tcW w:w="901" w:type="dxa"/>
            <w:tcBorders>
              <w:top w:val="single" w:sz="4"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r w:rsidRPr="00D40DA3">
              <w:rPr>
                <w:position w:val="-10"/>
                <w:sz w:val="20"/>
              </w:rPr>
              <w:object w:dxaOrig="320" w:dyaOrig="300">
                <v:shape id="_x0000_i1040" type="#_x0000_t75" style="width:16.3pt;height:14.55pt" o:ole="">
                  <v:imagedata r:id="rId42" o:title=""/>
                </v:shape>
                <o:OLEObject Type="Embed" ProgID="Equation.3" ShapeID="_x0000_i1040" DrawAspect="Content" ObjectID="_1445156833" r:id="rId43"/>
              </w:object>
            </w:r>
          </w:p>
        </w:tc>
        <w:tc>
          <w:tcPr>
            <w:tcW w:w="90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mV</w:t>
            </w: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700</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649,5</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551,2</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500,6</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199,4</w:t>
            </w:r>
          </w:p>
        </w:tc>
        <w:tc>
          <w:tcPr>
            <w:tcW w:w="84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148,8</w:t>
            </w:r>
          </w:p>
        </w:tc>
        <w:tc>
          <w:tcPr>
            <w:tcW w:w="854"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50,5</w:t>
            </w:r>
          </w:p>
        </w:tc>
      </w:tr>
      <w:tr w:rsidR="002C2E61" w:rsidRPr="00D40DA3" w:rsidTr="00AD55B0">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Y</w:t>
            </w: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8 bits</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126</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235</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219</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188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173</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63</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32</w:t>
            </w:r>
          </w:p>
        </w:tc>
      </w:tr>
      <w:tr w:rsidR="002C2E61" w:rsidRPr="00D40DA3" w:rsidTr="00AD55B0">
        <w:trPr>
          <w:cantSplit/>
          <w:trHeight w:val="340"/>
          <w:jc w:val="center"/>
        </w:trPr>
        <w:tc>
          <w:tcPr>
            <w:tcW w:w="901" w:type="dxa"/>
            <w:vMerge/>
            <w:tcBorders>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10 bits</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502</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940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877</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754</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691</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313</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250</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127</w:t>
            </w:r>
          </w:p>
        </w:tc>
      </w:tr>
      <w:tr w:rsidR="002C2E61" w:rsidRPr="00D40DA3" w:rsidTr="00AD55B0">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ind w:left="-28" w:right="-28"/>
              <w:jc w:val="center"/>
              <w:rPr>
                <w:sz w:val="20"/>
              </w:rPr>
            </w:pPr>
            <w:r w:rsidRPr="00D40DA3">
              <w:rPr>
                <w:position w:val="-10"/>
                <w:sz w:val="20"/>
              </w:rPr>
              <w:object w:dxaOrig="400" w:dyaOrig="300">
                <v:shape id="_x0000_i1041" type="#_x0000_t75" style="width:19.7pt;height:14.55pt" o:ole="">
                  <v:imagedata r:id="rId44" o:title=""/>
                </v:shape>
                <o:OLEObject Type="Embed" ProgID="Equation.3" ShapeID="_x0000_i1041" DrawAspect="Content" ObjectID="_1445156834" r:id="rId45"/>
              </w:object>
            </w: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mV</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430,2</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80,2</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619,8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269,8</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700</w:t>
            </w:r>
          </w:p>
        </w:tc>
      </w:tr>
      <w:tr w:rsidR="002C2E61" w:rsidRPr="00D40DA3" w:rsidTr="00AD55B0">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C</w:t>
            </w:r>
            <w:r w:rsidRPr="00D40DA3">
              <w:rPr>
                <w:i/>
                <w:sz w:val="20"/>
                <w:vertAlign w:val="subscript"/>
              </w:rPr>
              <w:t>B</w:t>
            </w: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8 bits</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154</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42</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214</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102</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240</w:t>
            </w:r>
          </w:p>
        </w:tc>
      </w:tr>
      <w:tr w:rsidR="002C2E61" w:rsidRPr="00D40DA3" w:rsidTr="00AD55B0">
        <w:trPr>
          <w:cantSplit/>
          <w:trHeight w:val="340"/>
          <w:jc w:val="center"/>
        </w:trPr>
        <w:tc>
          <w:tcPr>
            <w:tcW w:w="901" w:type="dxa"/>
            <w:vMerge/>
            <w:tcBorders>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10 bits</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615</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167</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857</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409</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960</w:t>
            </w:r>
          </w:p>
        </w:tc>
      </w:tr>
      <w:tr w:rsidR="002C2E61" w:rsidRPr="00D40DA3" w:rsidTr="00AD55B0">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ind w:left="-28" w:right="-28"/>
              <w:jc w:val="center"/>
              <w:rPr>
                <w:sz w:val="20"/>
              </w:rPr>
            </w:pPr>
            <w:r w:rsidRPr="00D40DA3">
              <w:rPr>
                <w:position w:val="-10"/>
                <w:sz w:val="20"/>
              </w:rPr>
              <w:object w:dxaOrig="380" w:dyaOrig="300">
                <v:shape id="_x0000_i1042" type="#_x0000_t75" style="width:18.85pt;height:14.55pt" o:ole="">
                  <v:imagedata r:id="rId46" o:title=""/>
                </v:shape>
                <o:OLEObject Type="Embed" ProgID="Equation.3" ShapeID="_x0000_i1042" DrawAspect="Content" ObjectID="_1445156835" r:id="rId47"/>
              </w:object>
            </w: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mV</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382,1</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32,1</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667,9</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700</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317,9</w:t>
            </w:r>
          </w:p>
        </w:tc>
      </w:tr>
      <w:tr w:rsidR="002C2E61" w:rsidRPr="00D40DA3" w:rsidTr="00AD55B0">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C</w:t>
            </w:r>
            <w:r w:rsidRPr="00D40DA3">
              <w:rPr>
                <w:i/>
                <w:sz w:val="20"/>
                <w:vertAlign w:val="subscript"/>
              </w:rPr>
              <w:t>R</w:t>
            </w:r>
          </w:p>
        </w:tc>
        <w:tc>
          <w:tcPr>
            <w:tcW w:w="90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8 bits</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0"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138</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26</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230</w:t>
            </w:r>
          </w:p>
        </w:tc>
        <w:tc>
          <w:tcPr>
            <w:tcW w:w="845"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240</w:t>
            </w:r>
          </w:p>
        </w:tc>
        <w:tc>
          <w:tcPr>
            <w:tcW w:w="854"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118</w:t>
            </w:r>
          </w:p>
        </w:tc>
      </w:tr>
      <w:tr w:rsidR="002C2E61" w:rsidRPr="00D40DA3" w:rsidTr="00AD55B0">
        <w:trPr>
          <w:cantSplit/>
          <w:trHeight w:val="340"/>
          <w:jc w:val="center"/>
        </w:trPr>
        <w:tc>
          <w:tcPr>
            <w:tcW w:w="901" w:type="dxa"/>
            <w:vMerge/>
            <w:tcBorders>
              <w:left w:val="single" w:sz="4" w:space="0" w:color="auto"/>
              <w:bottom w:val="single" w:sz="4" w:space="0" w:color="auto"/>
              <w:right w:val="single" w:sz="6" w:space="0" w:color="auto"/>
            </w:tcBorders>
          </w:tcPr>
          <w:p w:rsidR="002C2E61" w:rsidRPr="00D40DA3" w:rsidRDefault="002C2E61" w:rsidP="00AD55B0">
            <w:pPr>
              <w:pStyle w:val="Tabletext"/>
              <w:jc w:val="center"/>
              <w:rPr>
                <w:sz w:val="20"/>
              </w:rPr>
            </w:pPr>
          </w:p>
        </w:tc>
        <w:tc>
          <w:tcPr>
            <w:tcW w:w="90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ind w:left="-28" w:right="-28"/>
              <w:jc w:val="center"/>
              <w:rPr>
                <w:sz w:val="20"/>
              </w:rPr>
            </w:pPr>
            <w:r w:rsidRPr="00D40DA3">
              <w:rPr>
                <w:sz w:val="20"/>
              </w:rPr>
              <w:t>10 bits</w:t>
            </w:r>
          </w:p>
        </w:tc>
        <w:tc>
          <w:tcPr>
            <w:tcW w:w="900"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0"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0"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845"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553</w:t>
            </w:r>
          </w:p>
        </w:tc>
        <w:tc>
          <w:tcPr>
            <w:tcW w:w="845"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845"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105</w:t>
            </w:r>
          </w:p>
        </w:tc>
        <w:tc>
          <w:tcPr>
            <w:tcW w:w="845"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919</w:t>
            </w:r>
          </w:p>
        </w:tc>
        <w:tc>
          <w:tcPr>
            <w:tcW w:w="845"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960</w:t>
            </w:r>
          </w:p>
        </w:tc>
        <w:tc>
          <w:tcPr>
            <w:tcW w:w="854"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471</w:t>
            </w:r>
          </w:p>
        </w:tc>
      </w:tr>
    </w:tbl>
    <w:p w:rsidR="002C2E61" w:rsidRPr="00D40DA3" w:rsidRDefault="002C2E61" w:rsidP="002C2E61">
      <w:pPr>
        <w:pStyle w:val="Tablefin"/>
        <w:rPr>
          <w:lang w:val="fr-FR"/>
        </w:rPr>
      </w:pPr>
    </w:p>
    <w:p w:rsidR="009C2100" w:rsidRDefault="002C2E61" w:rsidP="009C2100">
      <w:pPr>
        <w:pStyle w:val="AppendixNoTitle"/>
      </w:pPr>
      <w:bookmarkStart w:id="8" w:name="_Toc120336594"/>
      <w:r w:rsidRPr="00D40DA3">
        <w:t>Appendice 2</w:t>
      </w:r>
      <w:r w:rsidRPr="00D40DA3">
        <w:br/>
        <w:t>à l'Annexe 1</w:t>
      </w:r>
    </w:p>
    <w:p w:rsidR="002C2E61" w:rsidRPr="00D40DA3" w:rsidRDefault="002C2E61" w:rsidP="009C2100">
      <w:pPr>
        <w:pStyle w:val="AppendixNoTitle"/>
      </w:pPr>
      <w:r w:rsidRPr="00D40DA3">
        <w:t xml:space="preserve">Valeurs de codage numérique pour les systèmes numériques 483/576 lignes </w:t>
      </w:r>
      <w:r w:rsidRPr="00D40DA3">
        <w:br/>
        <w:t>et valeurs de signal équivalentes pour les systèmes analogiques</w:t>
      </w:r>
      <w:bookmarkEnd w:id="8"/>
    </w:p>
    <w:p w:rsidR="002C2E61" w:rsidRPr="00D40DA3" w:rsidRDefault="002C2E61" w:rsidP="002C2E61">
      <w:pPr>
        <w:pStyle w:val="Normalaftertitle"/>
      </w:pPr>
      <w:r w:rsidRPr="00D40DA3">
        <w:t>Le Tableau 6 donne les valeurs de codage numérique recommandées pour les configurations à 8 et à 10 bits de la mire de référence, conformément aux Recommandations UIT-R BT.601 et UIT</w:t>
      </w:r>
      <w:r w:rsidRPr="00D40DA3">
        <w:noBreakHyphen/>
        <w:t>R. BT.1358.</w:t>
      </w:r>
    </w:p>
    <w:p w:rsidR="002C2E61" w:rsidRPr="00D40DA3" w:rsidRDefault="002C2E61" w:rsidP="002C2E61">
      <w:pPr>
        <w:pStyle w:val="TableNo"/>
      </w:pPr>
      <w:r w:rsidRPr="00D40DA3">
        <w:t>TABLEAU 6</w:t>
      </w:r>
    </w:p>
    <w:p w:rsidR="002C2E61" w:rsidRPr="00D40DA3" w:rsidRDefault="002C2E61" w:rsidP="002C2E61">
      <w:pPr>
        <w:pStyle w:val="Tabletitle"/>
      </w:pPr>
      <w:r w:rsidRPr="00D40DA3">
        <w:t xml:space="preserve">Valeurs de codage numérique pour les barres 100/0/100/0, systèmes 483/576 lignes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7"/>
        <w:gridCol w:w="906"/>
        <w:gridCol w:w="906"/>
        <w:gridCol w:w="906"/>
        <w:gridCol w:w="850"/>
        <w:gridCol w:w="850"/>
        <w:gridCol w:w="850"/>
        <w:gridCol w:w="850"/>
        <w:gridCol w:w="850"/>
        <w:gridCol w:w="858"/>
      </w:tblGrid>
      <w:tr w:rsidR="002C2E61" w:rsidRPr="00D40DA3" w:rsidTr="00AD55B0">
        <w:trPr>
          <w:cantSplit/>
          <w:trHeight w:val="340"/>
          <w:jc w:val="center"/>
        </w:trPr>
        <w:tc>
          <w:tcPr>
            <w:tcW w:w="1814" w:type="dxa"/>
            <w:gridSpan w:val="2"/>
            <w:tcBorders>
              <w:top w:val="single" w:sz="4" w:space="0" w:color="auto"/>
              <w:left w:val="single" w:sz="4" w:space="0" w:color="auto"/>
              <w:bottom w:val="single" w:sz="6" w:space="0" w:color="auto"/>
              <w:right w:val="single" w:sz="6" w:space="0" w:color="auto"/>
            </w:tcBorders>
            <w:vAlign w:val="center"/>
          </w:tcPr>
          <w:p w:rsidR="002C2E61" w:rsidRPr="00D40DA3" w:rsidRDefault="002C2E61" w:rsidP="00AD55B0">
            <w:pPr>
              <w:pStyle w:val="Tablehead"/>
              <w:spacing w:before="40" w:after="40"/>
              <w:rPr>
                <w:sz w:val="20"/>
              </w:rPr>
            </w:pPr>
          </w:p>
        </w:tc>
        <w:tc>
          <w:tcPr>
            <w:tcW w:w="906"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0%</w:t>
            </w:r>
            <w:r w:rsidRPr="00D40DA3">
              <w:rPr>
                <w:sz w:val="20"/>
              </w:rPr>
              <w:br/>
            </w:r>
            <w:r w:rsidRPr="00D40DA3">
              <w:rPr>
                <w:i/>
                <w:sz w:val="20"/>
              </w:rPr>
              <w:t>Y</w:t>
            </w:r>
          </w:p>
        </w:tc>
        <w:tc>
          <w:tcPr>
            <w:tcW w:w="90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50%</w:t>
            </w:r>
            <w:r w:rsidRPr="00D40DA3">
              <w:rPr>
                <w:sz w:val="20"/>
              </w:rPr>
              <w:br/>
            </w:r>
            <w:r w:rsidRPr="00D40DA3">
              <w:rPr>
                <w:i/>
                <w:sz w:val="20"/>
              </w:rPr>
              <w:t>Y</w:t>
            </w:r>
          </w:p>
        </w:tc>
        <w:tc>
          <w:tcPr>
            <w:tcW w:w="905"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Y</w:t>
            </w:r>
          </w:p>
        </w:tc>
        <w:tc>
          <w:tcPr>
            <w:tcW w:w="85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YL</w:t>
            </w:r>
          </w:p>
        </w:tc>
        <w:tc>
          <w:tcPr>
            <w:tcW w:w="85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CY</w:t>
            </w:r>
          </w:p>
        </w:tc>
        <w:tc>
          <w:tcPr>
            <w:tcW w:w="85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G</w:t>
            </w:r>
          </w:p>
        </w:tc>
        <w:tc>
          <w:tcPr>
            <w:tcW w:w="85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MG</w:t>
            </w:r>
          </w:p>
        </w:tc>
        <w:tc>
          <w:tcPr>
            <w:tcW w:w="850"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R</w:t>
            </w:r>
          </w:p>
        </w:tc>
        <w:tc>
          <w:tcPr>
            <w:tcW w:w="859"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head"/>
              <w:spacing w:before="40" w:after="40"/>
              <w:rPr>
                <w:sz w:val="20"/>
              </w:rPr>
            </w:pPr>
            <w:r w:rsidRPr="00D40DA3">
              <w:rPr>
                <w:sz w:val="20"/>
              </w:rPr>
              <w:t>100%</w:t>
            </w:r>
            <w:r w:rsidRPr="00D40DA3">
              <w:rPr>
                <w:sz w:val="20"/>
              </w:rPr>
              <w:br/>
            </w:r>
            <w:r w:rsidRPr="00D40DA3">
              <w:rPr>
                <w:i/>
                <w:sz w:val="20"/>
              </w:rPr>
              <w:t>B</w:t>
            </w:r>
          </w:p>
        </w:tc>
      </w:tr>
      <w:tr w:rsidR="002C2E61" w:rsidRPr="00D40DA3" w:rsidTr="00AD55B0">
        <w:trPr>
          <w:cantSplit/>
          <w:jc w:val="center"/>
        </w:trPr>
        <w:tc>
          <w:tcPr>
            <w:tcW w:w="906" w:type="dxa"/>
            <w:tcBorders>
              <w:top w:val="single" w:sz="4"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r w:rsidRPr="00D40DA3">
              <w:rPr>
                <w:position w:val="-10"/>
                <w:sz w:val="20"/>
              </w:rPr>
              <w:object w:dxaOrig="320" w:dyaOrig="300">
                <v:shape id="_x0000_i1043" type="#_x0000_t75" style="width:16.3pt;height:14.55pt" o:ole="">
                  <v:imagedata r:id="rId42" o:title=""/>
                </v:shape>
                <o:OLEObject Type="Embed" ProgID="Equation.3" ShapeID="_x0000_i1043" DrawAspect="Content" ObjectID="_1445156836" r:id="rId48"/>
              </w:object>
            </w:r>
          </w:p>
        </w:tc>
        <w:tc>
          <w:tcPr>
            <w:tcW w:w="906"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mV</w:t>
            </w:r>
          </w:p>
        </w:tc>
        <w:tc>
          <w:tcPr>
            <w:tcW w:w="907"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907"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7"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700</w:t>
            </w:r>
          </w:p>
        </w:tc>
        <w:tc>
          <w:tcPr>
            <w:tcW w:w="85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620,2</w:t>
            </w:r>
          </w:p>
        </w:tc>
        <w:tc>
          <w:tcPr>
            <w:tcW w:w="85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490,7</w:t>
            </w:r>
          </w:p>
        </w:tc>
        <w:tc>
          <w:tcPr>
            <w:tcW w:w="85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410,9</w:t>
            </w:r>
          </w:p>
        </w:tc>
        <w:tc>
          <w:tcPr>
            <w:tcW w:w="85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289,1</w:t>
            </w:r>
          </w:p>
        </w:tc>
        <w:tc>
          <w:tcPr>
            <w:tcW w:w="851" w:type="dxa"/>
            <w:tcBorders>
              <w:top w:val="single" w:sz="4"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209,3</w:t>
            </w:r>
          </w:p>
        </w:tc>
        <w:tc>
          <w:tcPr>
            <w:tcW w:w="851" w:type="dxa"/>
            <w:tcBorders>
              <w:top w:val="single" w:sz="4"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79,8</w:t>
            </w:r>
          </w:p>
        </w:tc>
      </w:tr>
      <w:tr w:rsidR="002C2E61" w:rsidRPr="00D40DA3" w:rsidTr="00AD55B0">
        <w:trPr>
          <w:cantSplit/>
          <w:jc w:val="center"/>
        </w:trPr>
        <w:tc>
          <w:tcPr>
            <w:tcW w:w="906"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Y</w:t>
            </w: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w:t>
            </w:r>
            <w:r w:rsidR="009C2100">
              <w:rPr>
                <w:sz w:val="20"/>
              </w:rPr>
              <w:t xml:space="preserve"> </w:t>
            </w:r>
            <w:r w:rsidRPr="00D40DA3">
              <w:rPr>
                <w:sz w:val="20"/>
              </w:rPr>
              <w:t>bits</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126</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235</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210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170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145</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106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81</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41</w:t>
            </w:r>
          </w:p>
        </w:tc>
      </w:tr>
      <w:tr w:rsidR="002C2E61" w:rsidRPr="00D40DA3" w:rsidTr="00AD55B0">
        <w:trPr>
          <w:cantSplit/>
          <w:trHeight w:val="340"/>
          <w:jc w:val="center"/>
        </w:trPr>
        <w:tc>
          <w:tcPr>
            <w:tcW w:w="906" w:type="dxa"/>
            <w:vMerge/>
            <w:tcBorders>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9C2100">
            <w:pPr>
              <w:pStyle w:val="Tabletext"/>
              <w:jc w:val="center"/>
              <w:rPr>
                <w:sz w:val="20"/>
              </w:rPr>
            </w:pPr>
            <w:r w:rsidRPr="00D40DA3">
              <w:rPr>
                <w:sz w:val="20"/>
              </w:rPr>
              <w:t>10</w:t>
            </w:r>
            <w:r w:rsidR="009C2100">
              <w:rPr>
                <w:sz w:val="20"/>
              </w:rPr>
              <w:t xml:space="preserve"> </w:t>
            </w:r>
            <w:r w:rsidRPr="00D40DA3">
              <w:rPr>
                <w:sz w:val="20"/>
              </w:rPr>
              <w:t>bits</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502</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940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840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678</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578</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426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326</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164</w:t>
            </w:r>
          </w:p>
        </w:tc>
      </w:tr>
      <w:tr w:rsidR="002C2E61" w:rsidRPr="00D40DA3" w:rsidTr="00AD55B0">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r w:rsidRPr="00D40DA3">
              <w:rPr>
                <w:position w:val="-10"/>
                <w:sz w:val="20"/>
              </w:rPr>
              <w:object w:dxaOrig="400" w:dyaOrig="300">
                <v:shape id="_x0000_i1044" type="#_x0000_t75" style="width:19.7pt;height:14.55pt" o:ole="">
                  <v:imagedata r:id="rId44" o:title=""/>
                </v:shape>
                <o:OLEObject Type="Embed" ProgID="Equation.3" ShapeID="_x0000_i1044" DrawAspect="Content" ObjectID="_1445156837" r:id="rId49"/>
              </w:object>
            </w: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mV</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468,1</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118,3</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581,9</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231,9</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700</w:t>
            </w:r>
          </w:p>
        </w:tc>
      </w:tr>
      <w:tr w:rsidR="002C2E61" w:rsidRPr="00D40DA3" w:rsidTr="00AD55B0">
        <w:trPr>
          <w:cantSplit/>
          <w:jc w:val="center"/>
        </w:trPr>
        <w:tc>
          <w:tcPr>
            <w:tcW w:w="906"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C</w:t>
            </w:r>
            <w:r w:rsidRPr="00D40DA3">
              <w:rPr>
                <w:i/>
                <w:sz w:val="20"/>
                <w:vertAlign w:val="subscript"/>
              </w:rPr>
              <w:t>B</w:t>
            </w: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w:t>
            </w:r>
            <w:r w:rsidR="009C2100">
              <w:rPr>
                <w:sz w:val="20"/>
              </w:rPr>
              <w:t xml:space="preserve"> </w:t>
            </w:r>
            <w:r w:rsidRPr="00D40DA3">
              <w:rPr>
                <w:sz w:val="20"/>
              </w:rPr>
              <w:t>bits</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54</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202</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90</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240</w:t>
            </w:r>
          </w:p>
        </w:tc>
      </w:tr>
      <w:tr w:rsidR="002C2E61" w:rsidRPr="00D40DA3" w:rsidTr="00AD55B0">
        <w:trPr>
          <w:cantSplit/>
          <w:trHeight w:val="340"/>
          <w:jc w:val="center"/>
        </w:trPr>
        <w:tc>
          <w:tcPr>
            <w:tcW w:w="906" w:type="dxa"/>
            <w:vMerge/>
            <w:tcBorders>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9C2100">
            <w:pPr>
              <w:pStyle w:val="Tabletext"/>
              <w:jc w:val="center"/>
              <w:rPr>
                <w:sz w:val="20"/>
              </w:rPr>
            </w:pPr>
            <w:r w:rsidRPr="00D40DA3">
              <w:rPr>
                <w:sz w:val="20"/>
              </w:rPr>
              <w:t>10</w:t>
            </w:r>
            <w:r w:rsidR="009C2100">
              <w:rPr>
                <w:sz w:val="20"/>
              </w:rPr>
              <w:t xml:space="preserve"> </w:t>
            </w:r>
            <w:r w:rsidRPr="00D40DA3">
              <w:rPr>
                <w:sz w:val="20"/>
              </w:rPr>
              <w:t>bits</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663</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215</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809</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361</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960</w:t>
            </w:r>
          </w:p>
        </w:tc>
      </w:tr>
      <w:tr w:rsidR="002C2E61" w:rsidRPr="00D40DA3" w:rsidTr="00AD55B0">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2C2E61" w:rsidRPr="00D40DA3" w:rsidRDefault="002C2E61" w:rsidP="00AD55B0">
            <w:pPr>
              <w:pStyle w:val="Tabletext"/>
              <w:jc w:val="center"/>
              <w:rPr>
                <w:sz w:val="20"/>
              </w:rPr>
            </w:pPr>
            <w:r w:rsidRPr="00D40DA3">
              <w:rPr>
                <w:position w:val="-10"/>
                <w:sz w:val="20"/>
              </w:rPr>
              <w:object w:dxaOrig="380" w:dyaOrig="300">
                <v:shape id="_x0000_i1045" type="#_x0000_t75" style="width:18.85pt;height:14.55pt" o:ole="">
                  <v:imagedata r:id="rId46" o:title=""/>
                </v:shape>
                <o:OLEObject Type="Embed" ProgID="Equation.3" ShapeID="_x0000_i1045" DrawAspect="Content" ObjectID="_1445156838" r:id="rId50"/>
              </w:object>
            </w: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mV</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350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406,9</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57,0</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643,1</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700</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293,1</w:t>
            </w:r>
          </w:p>
        </w:tc>
      </w:tr>
      <w:tr w:rsidR="002C2E61" w:rsidRPr="00D40DA3" w:rsidTr="00AD55B0">
        <w:trPr>
          <w:cantSplit/>
          <w:jc w:val="center"/>
        </w:trPr>
        <w:tc>
          <w:tcPr>
            <w:tcW w:w="906" w:type="dxa"/>
            <w:vMerge w:val="restart"/>
            <w:tcBorders>
              <w:top w:val="single" w:sz="6" w:space="0" w:color="auto"/>
              <w:left w:val="single" w:sz="4" w:space="0" w:color="auto"/>
              <w:right w:val="single" w:sz="6" w:space="0" w:color="auto"/>
            </w:tcBorders>
            <w:vAlign w:val="center"/>
          </w:tcPr>
          <w:p w:rsidR="002C2E61" w:rsidRPr="00D40DA3" w:rsidRDefault="002C2E61" w:rsidP="00AD55B0">
            <w:pPr>
              <w:pStyle w:val="Tabletext"/>
              <w:jc w:val="center"/>
              <w:rPr>
                <w:i/>
                <w:sz w:val="20"/>
              </w:rPr>
            </w:pPr>
            <w:r w:rsidRPr="00D40DA3">
              <w:rPr>
                <w:i/>
                <w:sz w:val="20"/>
              </w:rPr>
              <w:t>C</w:t>
            </w:r>
            <w:r w:rsidRPr="00D40DA3">
              <w:rPr>
                <w:i/>
                <w:sz w:val="20"/>
                <w:vertAlign w:val="subscript"/>
              </w:rPr>
              <w:t>R</w:t>
            </w:r>
          </w:p>
        </w:tc>
        <w:tc>
          <w:tcPr>
            <w:tcW w:w="906"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8</w:t>
            </w:r>
            <w:r w:rsidR="009C2100">
              <w:rPr>
                <w:sz w:val="20"/>
              </w:rPr>
              <w:t xml:space="preserve"> </w:t>
            </w:r>
            <w:r w:rsidRPr="00D40DA3">
              <w:rPr>
                <w:sz w:val="20"/>
              </w:rPr>
              <w:t>bits</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907"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128</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146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16</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34</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222</w:t>
            </w:r>
          </w:p>
        </w:tc>
        <w:tc>
          <w:tcPr>
            <w:tcW w:w="851" w:type="dxa"/>
            <w:tcBorders>
              <w:top w:val="single" w:sz="6" w:space="0" w:color="auto"/>
              <w:left w:val="single" w:sz="6" w:space="0" w:color="auto"/>
              <w:bottom w:val="single" w:sz="6" w:space="0" w:color="auto"/>
              <w:right w:val="single" w:sz="6" w:space="0" w:color="auto"/>
            </w:tcBorders>
          </w:tcPr>
          <w:p w:rsidR="002C2E61" w:rsidRPr="00D40DA3" w:rsidRDefault="002C2E61" w:rsidP="00AD55B0">
            <w:pPr>
              <w:pStyle w:val="Tabletext"/>
              <w:jc w:val="center"/>
              <w:rPr>
                <w:sz w:val="20"/>
              </w:rPr>
            </w:pPr>
            <w:r w:rsidRPr="00D40DA3">
              <w:rPr>
                <w:sz w:val="20"/>
              </w:rPr>
              <w:t>240</w:t>
            </w:r>
          </w:p>
        </w:tc>
        <w:tc>
          <w:tcPr>
            <w:tcW w:w="851" w:type="dxa"/>
            <w:tcBorders>
              <w:top w:val="single" w:sz="6" w:space="0" w:color="auto"/>
              <w:left w:val="single" w:sz="6" w:space="0" w:color="auto"/>
              <w:bottom w:val="single" w:sz="6" w:space="0" w:color="auto"/>
              <w:right w:val="single" w:sz="4" w:space="0" w:color="auto"/>
            </w:tcBorders>
          </w:tcPr>
          <w:p w:rsidR="002C2E61" w:rsidRPr="00D40DA3" w:rsidRDefault="002C2E61" w:rsidP="00AD55B0">
            <w:pPr>
              <w:pStyle w:val="Tabletext"/>
              <w:jc w:val="center"/>
              <w:rPr>
                <w:sz w:val="20"/>
              </w:rPr>
            </w:pPr>
            <w:r w:rsidRPr="00D40DA3">
              <w:rPr>
                <w:sz w:val="20"/>
              </w:rPr>
              <w:t>110</w:t>
            </w:r>
          </w:p>
        </w:tc>
      </w:tr>
      <w:tr w:rsidR="002C2E61" w:rsidRPr="00D40DA3" w:rsidTr="00AD55B0">
        <w:trPr>
          <w:cantSplit/>
          <w:jc w:val="center"/>
        </w:trPr>
        <w:tc>
          <w:tcPr>
            <w:tcW w:w="906" w:type="dxa"/>
            <w:vMerge/>
            <w:tcBorders>
              <w:left w:val="single" w:sz="4" w:space="0" w:color="auto"/>
              <w:bottom w:val="single" w:sz="4" w:space="0" w:color="auto"/>
              <w:right w:val="single" w:sz="6" w:space="0" w:color="auto"/>
            </w:tcBorders>
          </w:tcPr>
          <w:p w:rsidR="002C2E61" w:rsidRPr="00D40DA3" w:rsidRDefault="002C2E61" w:rsidP="00AD55B0">
            <w:pPr>
              <w:pStyle w:val="Tabletext"/>
              <w:jc w:val="center"/>
              <w:rPr>
                <w:sz w:val="20"/>
              </w:rPr>
            </w:pPr>
          </w:p>
        </w:tc>
        <w:tc>
          <w:tcPr>
            <w:tcW w:w="906"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10</w:t>
            </w:r>
            <w:r w:rsidR="009C2100">
              <w:rPr>
                <w:sz w:val="20"/>
              </w:rPr>
              <w:t xml:space="preserve"> </w:t>
            </w:r>
            <w:r w:rsidRPr="00D40DA3">
              <w:rPr>
                <w:sz w:val="20"/>
              </w:rPr>
              <w:t>bits</w:t>
            </w:r>
          </w:p>
        </w:tc>
        <w:tc>
          <w:tcPr>
            <w:tcW w:w="907"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7"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907"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512</w:t>
            </w:r>
          </w:p>
        </w:tc>
        <w:tc>
          <w:tcPr>
            <w:tcW w:w="85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585</w:t>
            </w:r>
          </w:p>
        </w:tc>
        <w:tc>
          <w:tcPr>
            <w:tcW w:w="85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64</w:t>
            </w:r>
          </w:p>
        </w:tc>
        <w:tc>
          <w:tcPr>
            <w:tcW w:w="85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137</w:t>
            </w:r>
          </w:p>
        </w:tc>
        <w:tc>
          <w:tcPr>
            <w:tcW w:w="85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887</w:t>
            </w:r>
          </w:p>
        </w:tc>
        <w:tc>
          <w:tcPr>
            <w:tcW w:w="851" w:type="dxa"/>
            <w:tcBorders>
              <w:top w:val="single" w:sz="6" w:space="0" w:color="auto"/>
              <w:left w:val="single" w:sz="6" w:space="0" w:color="auto"/>
              <w:bottom w:val="single" w:sz="4" w:space="0" w:color="auto"/>
              <w:right w:val="single" w:sz="6" w:space="0" w:color="auto"/>
            </w:tcBorders>
          </w:tcPr>
          <w:p w:rsidR="002C2E61" w:rsidRPr="00D40DA3" w:rsidRDefault="002C2E61" w:rsidP="00AD55B0">
            <w:pPr>
              <w:pStyle w:val="Tabletext"/>
              <w:jc w:val="center"/>
              <w:rPr>
                <w:sz w:val="20"/>
              </w:rPr>
            </w:pPr>
            <w:r w:rsidRPr="00D40DA3">
              <w:rPr>
                <w:sz w:val="20"/>
              </w:rPr>
              <w:t>960</w:t>
            </w:r>
          </w:p>
        </w:tc>
        <w:tc>
          <w:tcPr>
            <w:tcW w:w="851" w:type="dxa"/>
            <w:tcBorders>
              <w:top w:val="single" w:sz="6" w:space="0" w:color="auto"/>
              <w:left w:val="single" w:sz="6" w:space="0" w:color="auto"/>
              <w:bottom w:val="single" w:sz="4" w:space="0" w:color="auto"/>
              <w:right w:val="single" w:sz="4" w:space="0" w:color="auto"/>
            </w:tcBorders>
          </w:tcPr>
          <w:p w:rsidR="002C2E61" w:rsidRPr="00D40DA3" w:rsidRDefault="002C2E61" w:rsidP="00AD55B0">
            <w:pPr>
              <w:pStyle w:val="Tabletext"/>
              <w:jc w:val="center"/>
              <w:rPr>
                <w:sz w:val="20"/>
              </w:rPr>
            </w:pPr>
            <w:r w:rsidRPr="00D40DA3">
              <w:rPr>
                <w:sz w:val="20"/>
              </w:rPr>
              <w:t>439</w:t>
            </w:r>
          </w:p>
        </w:tc>
      </w:tr>
    </w:tbl>
    <w:p w:rsidR="002C2E61" w:rsidRPr="00D40DA3" w:rsidRDefault="002C2E61" w:rsidP="0029105B">
      <w:pPr>
        <w:pStyle w:val="Line"/>
        <w:rPr>
          <w:lang w:val="fr-FR"/>
        </w:rPr>
      </w:pPr>
    </w:p>
    <w:sectPr w:rsidR="002C2E61" w:rsidRPr="00D40DA3" w:rsidSect="001B526B">
      <w:headerReference w:type="even" r:id="rId51"/>
      <w:headerReference w:type="default" r:id="rId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109" w:rsidRDefault="00360109">
      <w:r>
        <w:separator/>
      </w:r>
    </w:p>
  </w:endnote>
  <w:endnote w:type="continuationSeparator" w:id="0">
    <w:p w:rsidR="00360109" w:rsidRDefault="0036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109" w:rsidRDefault="00360109">
      <w:r>
        <w:separator/>
      </w:r>
    </w:p>
  </w:footnote>
  <w:footnote w:type="continuationSeparator" w:id="0">
    <w:p w:rsidR="00360109" w:rsidRDefault="00360109">
      <w:r>
        <w:continuationSeparator/>
      </w:r>
    </w:p>
  </w:footnote>
  <w:footnote w:id="1">
    <w:p w:rsidR="001B526B" w:rsidRPr="00A44863" w:rsidRDefault="001B526B" w:rsidP="004D21CA">
      <w:pPr>
        <w:pStyle w:val="FootnoteText"/>
        <w:rPr>
          <w:lang w:val="fr-CH"/>
        </w:rPr>
      </w:pPr>
      <w:r>
        <w:rPr>
          <w:rStyle w:val="FootnoteReference"/>
        </w:rPr>
        <w:t>*</w:t>
      </w:r>
      <w:r>
        <w:t xml:space="preserve"> </w:t>
      </w:r>
      <w:r w:rsidR="00683C15">
        <w:tab/>
      </w:r>
      <w:r>
        <w:t>La Commission d'études 6 des radiocommunications a apporté des modifications rédactionnelles à la présente Recommandation en mai 2012</w:t>
      </w:r>
      <w:r w:rsidR="004D21CA">
        <w:t xml:space="preserve"> et en avril 2013</w:t>
      </w:r>
      <w:r>
        <w:t xml:space="preserve"> conformément aux dispositions de la Résolution</w:t>
      </w:r>
      <w:r w:rsidR="004D21CA">
        <w:t> </w:t>
      </w:r>
      <w:r>
        <w:t>UIT</w:t>
      </w:r>
      <w:r>
        <w:noBreakHyphen/>
        <w:t>R 1.</w:t>
      </w:r>
    </w:p>
  </w:footnote>
  <w:footnote w:id="2">
    <w:p w:rsidR="00D40D83" w:rsidRPr="00D40D83" w:rsidRDefault="00D40D83">
      <w:pPr>
        <w:pStyle w:val="FootnoteText"/>
        <w:rPr>
          <w:lang w:val="fr-CH"/>
        </w:rPr>
      </w:pPr>
      <w:r>
        <w:rPr>
          <w:rStyle w:val="FootnoteReference"/>
        </w:rPr>
        <w:footnoteRef/>
      </w:r>
      <w:r>
        <w:t xml:space="preserve"> </w:t>
      </w:r>
      <w:r>
        <w:rPr>
          <w:lang w:val="fr-CH"/>
        </w:rPr>
        <w:tab/>
        <w:t>Sur les Figures 2, 3 et 4, ce signal est représenté par une forme d'onde carrée en raison des limitations du logiciel de dessin.</w:t>
      </w:r>
    </w:p>
  </w:footnote>
  <w:footnote w:id="3">
    <w:p w:rsidR="002C2E61" w:rsidRPr="005E5277" w:rsidRDefault="002C2E61" w:rsidP="002C2E61">
      <w:pPr>
        <w:pStyle w:val="FootnoteText"/>
      </w:pPr>
      <w:r>
        <w:rPr>
          <w:rStyle w:val="FootnoteReference"/>
        </w:rPr>
        <w:footnoteRef/>
      </w:r>
      <w:r>
        <w:tab/>
      </w:r>
      <w:r>
        <w:rPr>
          <w:lang w:val="fr-CH"/>
        </w:rPr>
        <w:t>Le temps de montée doit correspondre à celui d'un système analogique à phase minimale présentant la même réponse amplitude/fréquence.</w:t>
      </w:r>
    </w:p>
  </w:footnote>
  <w:footnote w:id="4">
    <w:p w:rsidR="002C2E61" w:rsidRPr="005E5277" w:rsidRDefault="002C2E61" w:rsidP="002C2E61">
      <w:pPr>
        <w:pStyle w:val="FootnoteText"/>
      </w:pPr>
      <w:r>
        <w:rPr>
          <w:rStyle w:val="FootnoteReference"/>
        </w:rPr>
        <w:footnoteRef/>
      </w:r>
      <w:r>
        <w:tab/>
      </w:r>
      <w:r>
        <w:rPr>
          <w:lang w:val="fr-CH"/>
        </w:rPr>
        <w:t>Si on le souhaite, on peut faire varier légèrement les fréquences des tonalités d'identification: les valeurs indiquées ici sont des valeurs à tempérament égal, mais il est également possible d'utiliser des valeurs exactes.</w:t>
      </w:r>
    </w:p>
  </w:footnote>
  <w:footnote w:id="5">
    <w:p w:rsidR="002C2E61" w:rsidRPr="005E5277" w:rsidRDefault="002C2E61" w:rsidP="002C2E61">
      <w:pPr>
        <w:pStyle w:val="FootnoteText"/>
      </w:pPr>
      <w:r>
        <w:rPr>
          <w:rStyle w:val="FootnoteReference"/>
        </w:rPr>
        <w:footnoteRef/>
      </w:r>
      <w:r>
        <w:tab/>
      </w:r>
      <w:r>
        <w:rPr>
          <w:lang w:val="fr-CH"/>
        </w:rPr>
        <w:t>Le niveau d'alignement est défini dans la Recommandation ITU</w:t>
      </w:r>
      <w:r>
        <w:rPr>
          <w:lang w:val="fr-CH"/>
        </w:rPr>
        <w:noBreakHyphen/>
        <w:t>R BS.645.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09" w:rsidRDefault="0036010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09" w:rsidRDefault="00360109" w:rsidP="0014322C">
    <w:pPr>
      <w:pStyle w:val="Header"/>
      <w:ind w:right="360" w:firstLine="360"/>
    </w:pPr>
    <w:r>
      <w:rPr>
        <w:noProof/>
        <w:lang w:val="en-US" w:eastAsia="zh-CN"/>
      </w:rPr>
      <w:drawing>
        <wp:anchor distT="0" distB="0" distL="114300" distR="114300" simplePos="0" relativeHeight="251659264" behindDoc="1" locked="0" layoutInCell="1" allowOverlap="1" wp14:anchorId="5333BD08" wp14:editId="02E7B83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09" w:rsidRDefault="0036010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910">
      <w:rPr>
        <w:rStyle w:val="PageNumber"/>
        <w:b/>
        <w:bCs/>
        <w:noProof/>
        <w:lang w:val="en-US"/>
      </w:rPr>
      <w:t>ii</w:t>
    </w:r>
    <w:r>
      <w:rPr>
        <w:rStyle w:val="PageNumber"/>
        <w:b/>
        <w:bCs/>
      </w:rPr>
      <w:fldChar w:fldCharType="end"/>
    </w:r>
    <w:r>
      <w:rPr>
        <w:lang w:val="en-US"/>
      </w:rPr>
      <w:tab/>
    </w:r>
    <w:fldSimple w:instr=" DOCPROPERTY &quot;Header&quot; \* MERGEFORMAT ">
      <w:r w:rsidR="00DD2910" w:rsidRPr="00DD291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D2910">
      <w:rPr>
        <w:b/>
        <w:bCs/>
        <w:noProof/>
      </w:rPr>
      <w:t>UIT-R  BT.1729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09" w:rsidRDefault="00360109">
    <w:pPr>
      <w:pStyle w:val="Header"/>
    </w:pPr>
    <w:r>
      <w:tab/>
    </w:r>
    <w:fldSimple w:instr=" DOCPROPERTY &quot;Header&quot; \* MERGEFORMAT ">
      <w:r w:rsidR="00DD2910" w:rsidRPr="00DD29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D2910">
      <w:rPr>
        <w:b/>
        <w:bCs/>
        <w:noProof/>
      </w:rPr>
      <w:t>UIT-R  BT.1729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910">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D2910" w:rsidRPr="00DD291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2910">
      <w:rPr>
        <w:b/>
        <w:bCs/>
        <w:noProof/>
      </w:rPr>
      <w:t>UIT-R  BT.1729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1B526B">
    <w:pPr>
      <w:pStyle w:val="Header"/>
    </w:pPr>
    <w:r>
      <w:tab/>
    </w:r>
    <w:r w:rsidR="00DD2910">
      <w:fldChar w:fldCharType="begin"/>
    </w:r>
    <w:r w:rsidR="00DD2910">
      <w:instrText xml:space="preserve"> DOCPROPERTY "Header" \* MERGEFORMAT </w:instrText>
    </w:r>
    <w:r w:rsidR="00DD2910">
      <w:fldChar w:fldCharType="separate"/>
    </w:r>
    <w:r w:rsidR="00DD2910" w:rsidRPr="00DD2910">
      <w:rPr>
        <w:b/>
        <w:bCs/>
      </w:rPr>
      <w:t xml:space="preserve">Rec. </w:t>
    </w:r>
    <w:r w:rsidR="00DD2910">
      <w:rPr>
        <w:b/>
        <w:bCs/>
      </w:rPr>
      <w:fldChar w:fldCharType="end"/>
    </w:r>
    <w:r>
      <w:rPr>
        <w:b/>
        <w:bCs/>
      </w:rPr>
      <w:t xml:space="preserve"> </w:t>
    </w:r>
    <w:r>
      <w:rPr>
        <w:b/>
        <w:bCs/>
      </w:rPr>
      <w:fldChar w:fldCharType="begin"/>
    </w:r>
    <w:r>
      <w:rPr>
        <w:b/>
        <w:bCs/>
      </w:rPr>
      <w:instrText>styleref href</w:instrText>
    </w:r>
    <w:r>
      <w:rPr>
        <w:b/>
        <w:bCs/>
      </w:rPr>
      <w:fldChar w:fldCharType="separate"/>
    </w:r>
    <w:r w:rsidR="00DD2910">
      <w:rPr>
        <w:b/>
        <w:bCs/>
        <w:noProof/>
      </w:rPr>
      <w:t>UIT-R  BT.1729</w:t>
    </w:r>
    <w:r>
      <w:rPr>
        <w:b/>
        <w:bCs/>
      </w:rPr>
      <w:fldChar w:fldCharType="end"/>
    </w:r>
    <w:r>
      <w:tab/>
    </w:r>
    <w:r w:rsidR="001B526B" w:rsidRPr="00683C15">
      <w:rPr>
        <w:b/>
        <w:bCs/>
      </w:rPr>
      <w:fldChar w:fldCharType="begin"/>
    </w:r>
    <w:r w:rsidR="001B526B" w:rsidRPr="00683C15">
      <w:rPr>
        <w:b/>
        <w:bCs/>
      </w:rPr>
      <w:instrText>PAGE   \* MERGEFORMAT</w:instrText>
    </w:r>
    <w:r w:rsidR="001B526B" w:rsidRPr="00683C15">
      <w:rPr>
        <w:b/>
        <w:bCs/>
      </w:rPr>
      <w:fldChar w:fldCharType="separate"/>
    </w:r>
    <w:r w:rsidR="00DD2910">
      <w:rPr>
        <w:b/>
        <w:bCs/>
        <w:noProof/>
      </w:rPr>
      <w:t>11</w:t>
    </w:r>
    <w:r w:rsidR="001B526B" w:rsidRPr="00683C15">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109"/>
    <w:rsid w:val="000B2790"/>
    <w:rsid w:val="001B526B"/>
    <w:rsid w:val="00217EBF"/>
    <w:rsid w:val="00242AEE"/>
    <w:rsid w:val="0029105B"/>
    <w:rsid w:val="002C2E61"/>
    <w:rsid w:val="002D76C4"/>
    <w:rsid w:val="00360109"/>
    <w:rsid w:val="004D21CA"/>
    <w:rsid w:val="0052529D"/>
    <w:rsid w:val="00536BE3"/>
    <w:rsid w:val="00607D68"/>
    <w:rsid w:val="00683C15"/>
    <w:rsid w:val="006E7740"/>
    <w:rsid w:val="007468DA"/>
    <w:rsid w:val="007B75F8"/>
    <w:rsid w:val="009C2100"/>
    <w:rsid w:val="009E00A8"/>
    <w:rsid w:val="00A6617B"/>
    <w:rsid w:val="00AB0DC8"/>
    <w:rsid w:val="00B44E24"/>
    <w:rsid w:val="00B97208"/>
    <w:rsid w:val="00D40D83"/>
    <w:rsid w:val="00D40DA3"/>
    <w:rsid w:val="00DD2910"/>
    <w:rsid w:val="00DF4176"/>
    <w:rsid w:val="00FB4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B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BE3"/>
    <w:pPr>
      <w:keepNext/>
      <w:keepLines/>
      <w:spacing w:before="480"/>
      <w:ind w:left="794" w:hanging="794"/>
      <w:outlineLvl w:val="0"/>
    </w:pPr>
    <w:rPr>
      <w:b/>
    </w:rPr>
  </w:style>
  <w:style w:type="paragraph" w:styleId="Heading2">
    <w:name w:val="heading 2"/>
    <w:basedOn w:val="Heading1"/>
    <w:next w:val="Normal"/>
    <w:qFormat/>
    <w:rsid w:val="00536BE3"/>
    <w:pPr>
      <w:spacing w:before="320"/>
      <w:outlineLvl w:val="1"/>
    </w:pPr>
  </w:style>
  <w:style w:type="paragraph" w:styleId="Heading3">
    <w:name w:val="heading 3"/>
    <w:basedOn w:val="Heading1"/>
    <w:next w:val="Normal"/>
    <w:qFormat/>
    <w:rsid w:val="00536BE3"/>
    <w:pPr>
      <w:spacing w:before="200"/>
      <w:outlineLvl w:val="2"/>
    </w:pPr>
  </w:style>
  <w:style w:type="paragraph" w:styleId="Heading4">
    <w:name w:val="heading 4"/>
    <w:basedOn w:val="Heading3"/>
    <w:next w:val="Normal"/>
    <w:qFormat/>
    <w:rsid w:val="00536BE3"/>
    <w:pPr>
      <w:tabs>
        <w:tab w:val="clear" w:pos="794"/>
        <w:tab w:val="left" w:pos="992"/>
      </w:tabs>
      <w:ind w:left="992" w:hanging="992"/>
      <w:outlineLvl w:val="3"/>
    </w:pPr>
  </w:style>
  <w:style w:type="paragraph" w:styleId="Heading5">
    <w:name w:val="heading 5"/>
    <w:basedOn w:val="Heading4"/>
    <w:next w:val="Normal"/>
    <w:qFormat/>
    <w:rsid w:val="00536BE3"/>
    <w:pPr>
      <w:outlineLvl w:val="4"/>
    </w:pPr>
  </w:style>
  <w:style w:type="paragraph" w:styleId="Heading6">
    <w:name w:val="heading 6"/>
    <w:basedOn w:val="Heading4"/>
    <w:next w:val="Normal"/>
    <w:qFormat/>
    <w:rsid w:val="00536BE3"/>
    <w:pPr>
      <w:tabs>
        <w:tab w:val="clear" w:pos="992"/>
        <w:tab w:val="clear" w:pos="1191"/>
      </w:tabs>
      <w:ind w:left="1588" w:hanging="1588"/>
      <w:outlineLvl w:val="5"/>
    </w:pPr>
  </w:style>
  <w:style w:type="paragraph" w:styleId="Heading7">
    <w:name w:val="heading 7"/>
    <w:basedOn w:val="Heading6"/>
    <w:next w:val="Normal"/>
    <w:qFormat/>
    <w:rsid w:val="00536BE3"/>
    <w:pPr>
      <w:outlineLvl w:val="6"/>
    </w:pPr>
  </w:style>
  <w:style w:type="paragraph" w:styleId="Heading8">
    <w:name w:val="heading 8"/>
    <w:basedOn w:val="Heading6"/>
    <w:next w:val="Normal"/>
    <w:qFormat/>
    <w:rsid w:val="00536BE3"/>
    <w:pPr>
      <w:outlineLvl w:val="7"/>
    </w:pPr>
  </w:style>
  <w:style w:type="paragraph" w:styleId="Heading9">
    <w:name w:val="heading 9"/>
    <w:basedOn w:val="Heading6"/>
    <w:next w:val="Normal"/>
    <w:qFormat/>
    <w:rsid w:val="00536B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B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B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BE3"/>
  </w:style>
  <w:style w:type="paragraph" w:customStyle="1" w:styleId="Headingb">
    <w:name w:val="Heading_b"/>
    <w:basedOn w:val="Heading3"/>
    <w:next w:val="Normal"/>
    <w:rsid w:val="00536BE3"/>
    <w:pPr>
      <w:spacing w:before="160"/>
      <w:ind w:left="0" w:firstLine="0"/>
      <w:outlineLvl w:val="9"/>
    </w:pPr>
  </w:style>
  <w:style w:type="paragraph" w:customStyle="1" w:styleId="Headingi">
    <w:name w:val="Heading_i"/>
    <w:basedOn w:val="Heading3"/>
    <w:next w:val="Normal"/>
    <w:rsid w:val="00536BE3"/>
    <w:pPr>
      <w:spacing w:before="160"/>
      <w:ind w:left="0" w:firstLine="0"/>
    </w:pPr>
    <w:rPr>
      <w:b w:val="0"/>
      <w:i/>
    </w:rPr>
  </w:style>
  <w:style w:type="character" w:customStyle="1" w:styleId="href">
    <w:name w:val="href"/>
    <w:basedOn w:val="DefaultParagraphFont"/>
    <w:rsid w:val="00536BE3"/>
  </w:style>
  <w:style w:type="paragraph" w:customStyle="1" w:styleId="enumlev1">
    <w:name w:val="enumlev1"/>
    <w:basedOn w:val="Normal"/>
    <w:rsid w:val="00536BE3"/>
    <w:pPr>
      <w:spacing w:before="80"/>
      <w:ind w:left="794" w:hanging="794"/>
    </w:pPr>
  </w:style>
  <w:style w:type="paragraph" w:customStyle="1" w:styleId="enumlev2">
    <w:name w:val="enumlev2"/>
    <w:basedOn w:val="enumlev1"/>
    <w:rsid w:val="00536BE3"/>
    <w:pPr>
      <w:ind w:left="1191" w:hanging="397"/>
    </w:pPr>
  </w:style>
  <w:style w:type="paragraph" w:customStyle="1" w:styleId="enumlev3">
    <w:name w:val="enumlev3"/>
    <w:basedOn w:val="enumlev2"/>
    <w:rsid w:val="00536BE3"/>
    <w:pPr>
      <w:ind w:left="1588"/>
    </w:pPr>
  </w:style>
  <w:style w:type="paragraph" w:customStyle="1" w:styleId="Normalaftertitle">
    <w:name w:val="Normal_after_title"/>
    <w:basedOn w:val="Normal"/>
    <w:next w:val="Normal"/>
    <w:rsid w:val="00536BE3"/>
    <w:pPr>
      <w:spacing w:before="320"/>
    </w:pPr>
  </w:style>
  <w:style w:type="paragraph" w:customStyle="1" w:styleId="Note">
    <w:name w:val="Note"/>
    <w:basedOn w:val="Normal"/>
    <w:rsid w:val="00536B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B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6BE3"/>
    <w:pPr>
      <w:spacing w:before="240"/>
    </w:pPr>
    <w:rPr>
      <w:sz w:val="22"/>
      <w:lang w:val="es-ES_tradnl"/>
    </w:rPr>
  </w:style>
  <w:style w:type="paragraph" w:customStyle="1" w:styleId="Recref">
    <w:name w:val="Rec_ref"/>
    <w:basedOn w:val="Normal"/>
    <w:next w:val="Recdate"/>
    <w:rsid w:val="00536BE3"/>
    <w:pPr>
      <w:jc w:val="center"/>
    </w:pPr>
  </w:style>
  <w:style w:type="paragraph" w:customStyle="1" w:styleId="Recdate">
    <w:name w:val="Rec_date"/>
    <w:basedOn w:val="Recref"/>
    <w:next w:val="Normalaftertitle"/>
    <w:rsid w:val="00536BE3"/>
    <w:pPr>
      <w:jc w:val="right"/>
    </w:pPr>
  </w:style>
  <w:style w:type="paragraph" w:customStyle="1" w:styleId="AnnexNoTitle">
    <w:name w:val="Annex_NoTitle"/>
    <w:basedOn w:val="Normal"/>
    <w:next w:val="Normalaftertitle"/>
    <w:rsid w:val="00536BE3"/>
    <w:pPr>
      <w:keepNext/>
      <w:keepLines/>
      <w:spacing w:before="480" w:after="80"/>
      <w:jc w:val="center"/>
    </w:pPr>
    <w:rPr>
      <w:b/>
      <w:sz w:val="28"/>
    </w:rPr>
  </w:style>
  <w:style w:type="paragraph" w:customStyle="1" w:styleId="AppendixNoTitle">
    <w:name w:val="Appendix_NoTitle"/>
    <w:basedOn w:val="AnnexNoTitle"/>
    <w:next w:val="Normal"/>
    <w:rsid w:val="00536BE3"/>
  </w:style>
  <w:style w:type="paragraph" w:customStyle="1" w:styleId="Tablefin">
    <w:name w:val="Table_fin"/>
    <w:basedOn w:val="Normal"/>
    <w:next w:val="Normal"/>
    <w:rsid w:val="00536BE3"/>
    <w:pPr>
      <w:spacing w:before="0"/>
    </w:pPr>
    <w:rPr>
      <w:sz w:val="20"/>
      <w:lang w:val="en-GB"/>
    </w:rPr>
  </w:style>
  <w:style w:type="paragraph" w:customStyle="1" w:styleId="Tablehead">
    <w:name w:val="Table_head"/>
    <w:basedOn w:val="Normal"/>
    <w:next w:val="Normal"/>
    <w:rsid w:val="00536B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BE3"/>
    <w:pPr>
      <w:keepNext/>
      <w:spacing w:before="360" w:after="120"/>
      <w:jc w:val="center"/>
    </w:pPr>
  </w:style>
  <w:style w:type="paragraph" w:customStyle="1" w:styleId="Tabletext">
    <w:name w:val="Table_text"/>
    <w:basedOn w:val="Normal"/>
    <w:rsid w:val="0053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BE3"/>
    <w:pPr>
      <w:tabs>
        <w:tab w:val="clear" w:pos="1191"/>
        <w:tab w:val="clear" w:pos="1588"/>
        <w:tab w:val="clear" w:pos="1985"/>
        <w:tab w:val="center" w:pos="4820"/>
        <w:tab w:val="right" w:pos="9639"/>
      </w:tabs>
    </w:pPr>
  </w:style>
  <w:style w:type="paragraph" w:customStyle="1" w:styleId="Equationlegend">
    <w:name w:val="Equation_legend"/>
    <w:basedOn w:val="NormalIndent"/>
    <w:rsid w:val="00536B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BE3"/>
    <w:pPr>
      <w:ind w:left="794"/>
    </w:pPr>
  </w:style>
  <w:style w:type="paragraph" w:customStyle="1" w:styleId="Figurelegend">
    <w:name w:val="Figure_legend"/>
    <w:basedOn w:val="Normal"/>
    <w:rsid w:val="00536B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BE3"/>
    <w:pPr>
      <w:keepNext/>
      <w:keepLines/>
      <w:spacing w:before="480" w:after="80"/>
      <w:jc w:val="center"/>
    </w:pPr>
    <w:rPr>
      <w:caps/>
      <w:sz w:val="18"/>
    </w:rPr>
  </w:style>
  <w:style w:type="paragraph" w:customStyle="1" w:styleId="tocpart">
    <w:name w:val="tocpart"/>
    <w:basedOn w:val="Normal"/>
    <w:rsid w:val="00536B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BE3"/>
    <w:pPr>
      <w:keepNext/>
      <w:keepLines/>
      <w:spacing w:before="480"/>
      <w:jc w:val="center"/>
    </w:pPr>
    <w:rPr>
      <w:sz w:val="28"/>
    </w:rPr>
  </w:style>
  <w:style w:type="paragraph" w:customStyle="1" w:styleId="Arttitle">
    <w:name w:val="Art_title"/>
    <w:basedOn w:val="Normal"/>
    <w:next w:val="Normalaftertitle"/>
    <w:rsid w:val="00536BE3"/>
    <w:pPr>
      <w:keepNext/>
      <w:keepLines/>
      <w:spacing w:before="240"/>
      <w:jc w:val="center"/>
    </w:pPr>
    <w:rPr>
      <w:b/>
      <w:sz w:val="28"/>
    </w:rPr>
  </w:style>
  <w:style w:type="paragraph" w:customStyle="1" w:styleId="Blanc">
    <w:name w:val="Blanc"/>
    <w:basedOn w:val="Normal"/>
    <w:next w:val="Tabletext"/>
    <w:rsid w:val="00536B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B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BE3"/>
    <w:pPr>
      <w:keepNext/>
      <w:keepLines/>
      <w:spacing w:before="160"/>
      <w:ind w:left="794"/>
    </w:pPr>
    <w:rPr>
      <w:i/>
    </w:rPr>
  </w:style>
  <w:style w:type="paragraph" w:customStyle="1" w:styleId="ChapNo">
    <w:name w:val="Chap_No"/>
    <w:basedOn w:val="ArtNo"/>
    <w:next w:val="Chaptitle"/>
    <w:rsid w:val="00536BE3"/>
    <w:rPr>
      <w:b/>
    </w:rPr>
  </w:style>
  <w:style w:type="paragraph" w:customStyle="1" w:styleId="Chaptitle">
    <w:name w:val="Chap_title"/>
    <w:basedOn w:val="Arttitle"/>
    <w:next w:val="Normalaftertitle"/>
    <w:rsid w:val="00536BE3"/>
  </w:style>
  <w:style w:type="character" w:styleId="FootnoteReference">
    <w:name w:val="footnote reference"/>
    <w:basedOn w:val="DefaultParagraphFont"/>
    <w:semiHidden/>
    <w:rsid w:val="00536BE3"/>
    <w:rPr>
      <w:position w:val="6"/>
      <w:sz w:val="18"/>
    </w:rPr>
  </w:style>
  <w:style w:type="paragraph" w:styleId="FootnoteText">
    <w:name w:val="footnote text"/>
    <w:basedOn w:val="Normal"/>
    <w:semiHidden/>
    <w:rsid w:val="00536BE3"/>
    <w:pPr>
      <w:keepLines/>
      <w:tabs>
        <w:tab w:val="left" w:pos="255"/>
      </w:tabs>
      <w:ind w:left="255" w:hanging="255"/>
    </w:pPr>
    <w:rPr>
      <w:sz w:val="22"/>
    </w:rPr>
  </w:style>
  <w:style w:type="paragraph" w:styleId="Index1">
    <w:name w:val="index 1"/>
    <w:basedOn w:val="Normal"/>
    <w:next w:val="Normal"/>
    <w:semiHidden/>
    <w:rsid w:val="00536BE3"/>
  </w:style>
  <w:style w:type="paragraph" w:styleId="Index2">
    <w:name w:val="index 2"/>
    <w:basedOn w:val="Normal"/>
    <w:next w:val="Normal"/>
    <w:semiHidden/>
    <w:rsid w:val="00536BE3"/>
    <w:pPr>
      <w:ind w:left="283"/>
    </w:pPr>
  </w:style>
  <w:style w:type="paragraph" w:styleId="Index3">
    <w:name w:val="index 3"/>
    <w:basedOn w:val="Normal"/>
    <w:next w:val="Normal"/>
    <w:semiHidden/>
    <w:rsid w:val="00536BE3"/>
    <w:pPr>
      <w:ind w:left="566"/>
    </w:pPr>
  </w:style>
  <w:style w:type="paragraph" w:styleId="IndexHeading">
    <w:name w:val="index heading"/>
    <w:basedOn w:val="Normal"/>
    <w:next w:val="Index1"/>
    <w:semiHidden/>
    <w:rsid w:val="00536BE3"/>
  </w:style>
  <w:style w:type="paragraph" w:customStyle="1" w:styleId="Line">
    <w:name w:val="Line"/>
    <w:basedOn w:val="Normal"/>
    <w:next w:val="Normal"/>
    <w:rsid w:val="00536B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B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BE3"/>
  </w:style>
  <w:style w:type="paragraph" w:customStyle="1" w:styleId="Partref">
    <w:name w:val="Part_ref"/>
    <w:basedOn w:val="Normal"/>
    <w:next w:val="Normal"/>
    <w:rsid w:val="00536BE3"/>
    <w:pPr>
      <w:keepNext/>
      <w:keepLines/>
      <w:spacing w:after="280"/>
      <w:jc w:val="center"/>
    </w:pPr>
  </w:style>
  <w:style w:type="paragraph" w:customStyle="1" w:styleId="Parttitle">
    <w:name w:val="Part_title"/>
    <w:basedOn w:val="Normal"/>
    <w:next w:val="Normalaftertitle"/>
    <w:rsid w:val="00536B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BE3"/>
  </w:style>
  <w:style w:type="paragraph" w:customStyle="1" w:styleId="QuestionNo">
    <w:name w:val="Question_No"/>
    <w:basedOn w:val="RecNo"/>
    <w:next w:val="Normal"/>
    <w:rsid w:val="00536BE3"/>
  </w:style>
  <w:style w:type="paragraph" w:customStyle="1" w:styleId="Questionref">
    <w:name w:val="Question_ref"/>
    <w:basedOn w:val="Recref"/>
    <w:next w:val="Questiondate"/>
    <w:rsid w:val="00536BE3"/>
  </w:style>
  <w:style w:type="paragraph" w:customStyle="1" w:styleId="Questiontitle">
    <w:name w:val="Question_title"/>
    <w:basedOn w:val="Normal"/>
    <w:next w:val="Questionref"/>
    <w:rsid w:val="00536BE3"/>
  </w:style>
  <w:style w:type="paragraph" w:customStyle="1" w:styleId="Reftext">
    <w:name w:val="Ref_text"/>
    <w:basedOn w:val="Normal"/>
    <w:rsid w:val="00536BE3"/>
    <w:pPr>
      <w:ind w:left="794" w:hanging="794"/>
    </w:pPr>
    <w:rPr>
      <w:sz w:val="22"/>
    </w:rPr>
  </w:style>
  <w:style w:type="paragraph" w:customStyle="1" w:styleId="Reftitle">
    <w:name w:val="Ref_title"/>
    <w:basedOn w:val="Normal"/>
    <w:next w:val="Reftext"/>
    <w:rsid w:val="00536B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BE3"/>
  </w:style>
  <w:style w:type="paragraph" w:customStyle="1" w:styleId="RepNo">
    <w:name w:val="Rep_No"/>
    <w:basedOn w:val="RecNo"/>
    <w:next w:val="Reptitle"/>
    <w:rsid w:val="00536BE3"/>
  </w:style>
  <w:style w:type="paragraph" w:customStyle="1" w:styleId="Repref">
    <w:name w:val="Rep_ref"/>
    <w:basedOn w:val="Recref"/>
    <w:next w:val="Repdate"/>
    <w:rsid w:val="00536BE3"/>
  </w:style>
  <w:style w:type="paragraph" w:customStyle="1" w:styleId="Reptitle">
    <w:name w:val="Rep_title"/>
    <w:basedOn w:val="Rectitle"/>
    <w:next w:val="Repref"/>
    <w:rsid w:val="00536BE3"/>
  </w:style>
  <w:style w:type="paragraph" w:customStyle="1" w:styleId="Resdate">
    <w:name w:val="Res_date"/>
    <w:basedOn w:val="Recdate"/>
    <w:next w:val="Normalaftertitle"/>
    <w:rsid w:val="00536BE3"/>
  </w:style>
  <w:style w:type="paragraph" w:customStyle="1" w:styleId="ResNo">
    <w:name w:val="Res_No"/>
    <w:basedOn w:val="RecNo"/>
    <w:next w:val="Restitle"/>
    <w:rsid w:val="00536BE3"/>
  </w:style>
  <w:style w:type="paragraph" w:customStyle="1" w:styleId="Resref">
    <w:name w:val="Res_ref"/>
    <w:basedOn w:val="Recref"/>
    <w:next w:val="Resdate"/>
    <w:rsid w:val="00536BE3"/>
  </w:style>
  <w:style w:type="paragraph" w:customStyle="1" w:styleId="Restitle">
    <w:name w:val="Res_title"/>
    <w:basedOn w:val="Normal"/>
    <w:next w:val="Resref"/>
    <w:rsid w:val="00536BE3"/>
    <w:pPr>
      <w:spacing w:before="240"/>
      <w:jc w:val="center"/>
    </w:pPr>
    <w:rPr>
      <w:b/>
      <w:sz w:val="28"/>
    </w:rPr>
  </w:style>
  <w:style w:type="paragraph" w:customStyle="1" w:styleId="SectionNo">
    <w:name w:val="Section_No"/>
    <w:basedOn w:val="Normal"/>
    <w:next w:val="Normal"/>
    <w:rsid w:val="00536BE3"/>
  </w:style>
  <w:style w:type="paragraph" w:customStyle="1" w:styleId="Sectiontitle">
    <w:name w:val="Section_title"/>
    <w:basedOn w:val="Normal"/>
    <w:next w:val="Normalaftertitle"/>
    <w:rsid w:val="00536B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BE3"/>
    <w:pPr>
      <w:tabs>
        <w:tab w:val="clear" w:pos="794"/>
        <w:tab w:val="clear" w:pos="1191"/>
        <w:tab w:val="clear" w:pos="1588"/>
        <w:tab w:val="clear" w:pos="1985"/>
        <w:tab w:val="right" w:pos="9611"/>
      </w:tabs>
    </w:pPr>
    <w:rPr>
      <w:i/>
    </w:rPr>
  </w:style>
  <w:style w:type="paragraph" w:styleId="TOC1">
    <w:name w:val="toc 1"/>
    <w:basedOn w:val="Normal"/>
    <w:semiHidden/>
    <w:rsid w:val="00536B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BE3"/>
    <w:pPr>
      <w:tabs>
        <w:tab w:val="clear" w:pos="567"/>
        <w:tab w:val="left" w:pos="1276"/>
      </w:tabs>
      <w:spacing w:before="160"/>
      <w:ind w:left="1276" w:hanging="709"/>
    </w:pPr>
  </w:style>
  <w:style w:type="paragraph" w:styleId="TOC3">
    <w:name w:val="toc 3"/>
    <w:basedOn w:val="TOC2"/>
    <w:semiHidden/>
    <w:rsid w:val="00536BE3"/>
    <w:pPr>
      <w:tabs>
        <w:tab w:val="clear" w:pos="1276"/>
        <w:tab w:val="left" w:pos="2155"/>
      </w:tabs>
      <w:ind w:left="2155" w:hanging="879"/>
    </w:pPr>
  </w:style>
  <w:style w:type="paragraph" w:styleId="TOC4">
    <w:name w:val="toc 4"/>
    <w:basedOn w:val="TOC3"/>
    <w:semiHidden/>
    <w:rsid w:val="00536BE3"/>
    <w:pPr>
      <w:tabs>
        <w:tab w:val="left" w:pos="3261"/>
      </w:tabs>
      <w:spacing w:before="80"/>
      <w:ind w:left="3261" w:hanging="993"/>
    </w:pPr>
  </w:style>
  <w:style w:type="paragraph" w:styleId="TOC5">
    <w:name w:val="toc 5"/>
    <w:basedOn w:val="TOC4"/>
    <w:semiHidden/>
    <w:rsid w:val="00536BE3"/>
  </w:style>
  <w:style w:type="paragraph" w:styleId="TOC6">
    <w:name w:val="toc 6"/>
    <w:basedOn w:val="TOC4"/>
    <w:semiHidden/>
    <w:rsid w:val="00536BE3"/>
  </w:style>
  <w:style w:type="paragraph" w:styleId="TOC7">
    <w:name w:val="toc 7"/>
    <w:basedOn w:val="TOC4"/>
    <w:semiHidden/>
    <w:rsid w:val="00536BE3"/>
  </w:style>
  <w:style w:type="paragraph" w:styleId="TOC8">
    <w:name w:val="toc 8"/>
    <w:basedOn w:val="TOC4"/>
    <w:semiHidden/>
    <w:rsid w:val="00536BE3"/>
  </w:style>
  <w:style w:type="paragraph" w:customStyle="1" w:styleId="Rectitle">
    <w:name w:val="Rec_title"/>
    <w:basedOn w:val="Normal"/>
    <w:next w:val="Recref"/>
    <w:rsid w:val="00536BE3"/>
    <w:pPr>
      <w:keepNext/>
      <w:keepLines/>
      <w:spacing w:before="240"/>
      <w:jc w:val="center"/>
    </w:pPr>
    <w:rPr>
      <w:b/>
      <w:sz w:val="28"/>
    </w:rPr>
  </w:style>
  <w:style w:type="paragraph" w:customStyle="1" w:styleId="Annexref">
    <w:name w:val="Annex_ref"/>
    <w:basedOn w:val="Normal"/>
    <w:next w:val="Normalaftertitle"/>
    <w:rsid w:val="00536BE3"/>
    <w:pPr>
      <w:keepNext/>
      <w:keepLines/>
      <w:spacing w:after="280"/>
      <w:jc w:val="center"/>
    </w:pPr>
  </w:style>
  <w:style w:type="paragraph" w:customStyle="1" w:styleId="Appendixref">
    <w:name w:val="Appendix_ref"/>
    <w:basedOn w:val="Annexref"/>
    <w:next w:val="Normalaftertitle"/>
    <w:rsid w:val="00536BE3"/>
  </w:style>
  <w:style w:type="paragraph" w:customStyle="1" w:styleId="Figuretitle">
    <w:name w:val="Figure_title"/>
    <w:basedOn w:val="Normal"/>
    <w:next w:val="Figure"/>
    <w:rsid w:val="00536BE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6BE3"/>
    <w:pPr>
      <w:keepNext/>
      <w:spacing w:before="0" w:after="120"/>
      <w:jc w:val="center"/>
    </w:pPr>
    <w:rPr>
      <w:b/>
    </w:rPr>
  </w:style>
  <w:style w:type="paragraph" w:customStyle="1" w:styleId="Summary">
    <w:name w:val="Summary"/>
    <w:basedOn w:val="Normal"/>
    <w:next w:val="Normalaftertitle"/>
    <w:autoRedefine/>
    <w:rsid w:val="00536BE3"/>
    <w:pPr>
      <w:spacing w:after="480"/>
    </w:pPr>
    <w:rPr>
      <w:sz w:val="22"/>
      <w:lang w:val="es-ES_tradnl"/>
    </w:rPr>
  </w:style>
  <w:style w:type="paragraph" w:customStyle="1" w:styleId="TableLegendNote">
    <w:name w:val="Table_Legend_Note"/>
    <w:basedOn w:val="Tablelegend"/>
    <w:next w:val="Tablelegend"/>
    <w:rsid w:val="00536BE3"/>
    <w:pPr>
      <w:ind w:left="-85" w:firstLine="0"/>
    </w:pPr>
    <w:rPr>
      <w:lang w:val="en-US"/>
    </w:rPr>
  </w:style>
  <w:style w:type="paragraph" w:customStyle="1" w:styleId="Figure">
    <w:name w:val="Figure"/>
    <w:basedOn w:val="FigureNo"/>
    <w:next w:val="Normal"/>
    <w:rsid w:val="00536BE3"/>
    <w:pPr>
      <w:keepNext w:val="0"/>
      <w:spacing w:before="0" w:after="240"/>
    </w:pPr>
  </w:style>
  <w:style w:type="character" w:styleId="Hyperlink">
    <w:name w:val="Hyperlink"/>
    <w:basedOn w:val="DefaultParagraphFont"/>
    <w:rsid w:val="00360109"/>
    <w:rPr>
      <w:color w:val="0000FF"/>
      <w:u w:val="single"/>
    </w:rPr>
  </w:style>
  <w:style w:type="paragraph" w:styleId="BalloonText">
    <w:name w:val="Balloon Text"/>
    <w:basedOn w:val="Normal"/>
    <w:link w:val="BalloonTextChar"/>
    <w:rsid w:val="002C2E61"/>
    <w:pPr>
      <w:spacing w:before="0"/>
    </w:pPr>
    <w:rPr>
      <w:rFonts w:ascii="Tahoma" w:hAnsi="Tahoma" w:cs="Tahoma"/>
      <w:sz w:val="16"/>
      <w:szCs w:val="16"/>
    </w:rPr>
  </w:style>
  <w:style w:type="character" w:customStyle="1" w:styleId="BalloonTextChar">
    <w:name w:val="Balloon Text Char"/>
    <w:basedOn w:val="DefaultParagraphFont"/>
    <w:link w:val="BalloonText"/>
    <w:rsid w:val="002C2E6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B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BE3"/>
    <w:pPr>
      <w:keepNext/>
      <w:keepLines/>
      <w:spacing w:before="480"/>
      <w:ind w:left="794" w:hanging="794"/>
      <w:outlineLvl w:val="0"/>
    </w:pPr>
    <w:rPr>
      <w:b/>
    </w:rPr>
  </w:style>
  <w:style w:type="paragraph" w:styleId="Heading2">
    <w:name w:val="heading 2"/>
    <w:basedOn w:val="Heading1"/>
    <w:next w:val="Normal"/>
    <w:qFormat/>
    <w:rsid w:val="00536BE3"/>
    <w:pPr>
      <w:spacing w:before="320"/>
      <w:outlineLvl w:val="1"/>
    </w:pPr>
  </w:style>
  <w:style w:type="paragraph" w:styleId="Heading3">
    <w:name w:val="heading 3"/>
    <w:basedOn w:val="Heading1"/>
    <w:next w:val="Normal"/>
    <w:qFormat/>
    <w:rsid w:val="00536BE3"/>
    <w:pPr>
      <w:spacing w:before="200"/>
      <w:outlineLvl w:val="2"/>
    </w:pPr>
  </w:style>
  <w:style w:type="paragraph" w:styleId="Heading4">
    <w:name w:val="heading 4"/>
    <w:basedOn w:val="Heading3"/>
    <w:next w:val="Normal"/>
    <w:qFormat/>
    <w:rsid w:val="00536BE3"/>
    <w:pPr>
      <w:tabs>
        <w:tab w:val="clear" w:pos="794"/>
        <w:tab w:val="left" w:pos="992"/>
      </w:tabs>
      <w:ind w:left="992" w:hanging="992"/>
      <w:outlineLvl w:val="3"/>
    </w:pPr>
  </w:style>
  <w:style w:type="paragraph" w:styleId="Heading5">
    <w:name w:val="heading 5"/>
    <w:basedOn w:val="Heading4"/>
    <w:next w:val="Normal"/>
    <w:qFormat/>
    <w:rsid w:val="00536BE3"/>
    <w:pPr>
      <w:outlineLvl w:val="4"/>
    </w:pPr>
  </w:style>
  <w:style w:type="paragraph" w:styleId="Heading6">
    <w:name w:val="heading 6"/>
    <w:basedOn w:val="Heading4"/>
    <w:next w:val="Normal"/>
    <w:qFormat/>
    <w:rsid w:val="00536BE3"/>
    <w:pPr>
      <w:tabs>
        <w:tab w:val="clear" w:pos="992"/>
        <w:tab w:val="clear" w:pos="1191"/>
      </w:tabs>
      <w:ind w:left="1588" w:hanging="1588"/>
      <w:outlineLvl w:val="5"/>
    </w:pPr>
  </w:style>
  <w:style w:type="paragraph" w:styleId="Heading7">
    <w:name w:val="heading 7"/>
    <w:basedOn w:val="Heading6"/>
    <w:next w:val="Normal"/>
    <w:qFormat/>
    <w:rsid w:val="00536BE3"/>
    <w:pPr>
      <w:outlineLvl w:val="6"/>
    </w:pPr>
  </w:style>
  <w:style w:type="paragraph" w:styleId="Heading8">
    <w:name w:val="heading 8"/>
    <w:basedOn w:val="Heading6"/>
    <w:next w:val="Normal"/>
    <w:qFormat/>
    <w:rsid w:val="00536BE3"/>
    <w:pPr>
      <w:outlineLvl w:val="7"/>
    </w:pPr>
  </w:style>
  <w:style w:type="paragraph" w:styleId="Heading9">
    <w:name w:val="heading 9"/>
    <w:basedOn w:val="Heading6"/>
    <w:next w:val="Normal"/>
    <w:qFormat/>
    <w:rsid w:val="00536B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B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B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BE3"/>
  </w:style>
  <w:style w:type="paragraph" w:customStyle="1" w:styleId="Headingb">
    <w:name w:val="Heading_b"/>
    <w:basedOn w:val="Heading3"/>
    <w:next w:val="Normal"/>
    <w:rsid w:val="00536BE3"/>
    <w:pPr>
      <w:spacing w:before="160"/>
      <w:ind w:left="0" w:firstLine="0"/>
      <w:outlineLvl w:val="9"/>
    </w:pPr>
  </w:style>
  <w:style w:type="paragraph" w:customStyle="1" w:styleId="Headingi">
    <w:name w:val="Heading_i"/>
    <w:basedOn w:val="Heading3"/>
    <w:next w:val="Normal"/>
    <w:rsid w:val="00536BE3"/>
    <w:pPr>
      <w:spacing w:before="160"/>
      <w:ind w:left="0" w:firstLine="0"/>
    </w:pPr>
    <w:rPr>
      <w:b w:val="0"/>
      <w:i/>
    </w:rPr>
  </w:style>
  <w:style w:type="character" w:customStyle="1" w:styleId="href">
    <w:name w:val="href"/>
    <w:basedOn w:val="DefaultParagraphFont"/>
    <w:rsid w:val="00536BE3"/>
  </w:style>
  <w:style w:type="paragraph" w:customStyle="1" w:styleId="enumlev1">
    <w:name w:val="enumlev1"/>
    <w:basedOn w:val="Normal"/>
    <w:rsid w:val="00536BE3"/>
    <w:pPr>
      <w:spacing w:before="80"/>
      <w:ind w:left="794" w:hanging="794"/>
    </w:pPr>
  </w:style>
  <w:style w:type="paragraph" w:customStyle="1" w:styleId="enumlev2">
    <w:name w:val="enumlev2"/>
    <w:basedOn w:val="enumlev1"/>
    <w:rsid w:val="00536BE3"/>
    <w:pPr>
      <w:ind w:left="1191" w:hanging="397"/>
    </w:pPr>
  </w:style>
  <w:style w:type="paragraph" w:customStyle="1" w:styleId="enumlev3">
    <w:name w:val="enumlev3"/>
    <w:basedOn w:val="enumlev2"/>
    <w:rsid w:val="00536BE3"/>
    <w:pPr>
      <w:ind w:left="1588"/>
    </w:pPr>
  </w:style>
  <w:style w:type="paragraph" w:customStyle="1" w:styleId="Normalaftertitle">
    <w:name w:val="Normal_after_title"/>
    <w:basedOn w:val="Normal"/>
    <w:next w:val="Normal"/>
    <w:rsid w:val="00536BE3"/>
    <w:pPr>
      <w:spacing w:before="320"/>
    </w:pPr>
  </w:style>
  <w:style w:type="paragraph" w:customStyle="1" w:styleId="Note">
    <w:name w:val="Note"/>
    <w:basedOn w:val="Normal"/>
    <w:rsid w:val="00536B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B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6BE3"/>
    <w:pPr>
      <w:spacing w:before="240"/>
    </w:pPr>
    <w:rPr>
      <w:sz w:val="22"/>
      <w:lang w:val="es-ES_tradnl"/>
    </w:rPr>
  </w:style>
  <w:style w:type="paragraph" w:customStyle="1" w:styleId="Recref">
    <w:name w:val="Rec_ref"/>
    <w:basedOn w:val="Normal"/>
    <w:next w:val="Recdate"/>
    <w:rsid w:val="00536BE3"/>
    <w:pPr>
      <w:jc w:val="center"/>
    </w:pPr>
  </w:style>
  <w:style w:type="paragraph" w:customStyle="1" w:styleId="Recdate">
    <w:name w:val="Rec_date"/>
    <w:basedOn w:val="Recref"/>
    <w:next w:val="Normalaftertitle"/>
    <w:rsid w:val="00536BE3"/>
    <w:pPr>
      <w:jc w:val="right"/>
    </w:pPr>
  </w:style>
  <w:style w:type="paragraph" w:customStyle="1" w:styleId="AnnexNoTitle">
    <w:name w:val="Annex_NoTitle"/>
    <w:basedOn w:val="Normal"/>
    <w:next w:val="Normalaftertitle"/>
    <w:rsid w:val="00536BE3"/>
    <w:pPr>
      <w:keepNext/>
      <w:keepLines/>
      <w:spacing w:before="480" w:after="80"/>
      <w:jc w:val="center"/>
    </w:pPr>
    <w:rPr>
      <w:b/>
      <w:sz w:val="28"/>
    </w:rPr>
  </w:style>
  <w:style w:type="paragraph" w:customStyle="1" w:styleId="AppendixNoTitle">
    <w:name w:val="Appendix_NoTitle"/>
    <w:basedOn w:val="AnnexNoTitle"/>
    <w:next w:val="Normal"/>
    <w:rsid w:val="00536BE3"/>
  </w:style>
  <w:style w:type="paragraph" w:customStyle="1" w:styleId="Tablefin">
    <w:name w:val="Table_fin"/>
    <w:basedOn w:val="Normal"/>
    <w:next w:val="Normal"/>
    <w:rsid w:val="00536BE3"/>
    <w:pPr>
      <w:spacing w:before="0"/>
    </w:pPr>
    <w:rPr>
      <w:sz w:val="20"/>
      <w:lang w:val="en-GB"/>
    </w:rPr>
  </w:style>
  <w:style w:type="paragraph" w:customStyle="1" w:styleId="Tablehead">
    <w:name w:val="Table_head"/>
    <w:basedOn w:val="Normal"/>
    <w:next w:val="Normal"/>
    <w:rsid w:val="00536B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BE3"/>
    <w:pPr>
      <w:keepNext/>
      <w:spacing w:before="360" w:after="120"/>
      <w:jc w:val="center"/>
    </w:pPr>
  </w:style>
  <w:style w:type="paragraph" w:customStyle="1" w:styleId="Tabletext">
    <w:name w:val="Table_text"/>
    <w:basedOn w:val="Normal"/>
    <w:rsid w:val="00536B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BE3"/>
    <w:pPr>
      <w:tabs>
        <w:tab w:val="clear" w:pos="1191"/>
        <w:tab w:val="clear" w:pos="1588"/>
        <w:tab w:val="clear" w:pos="1985"/>
        <w:tab w:val="center" w:pos="4820"/>
        <w:tab w:val="right" w:pos="9639"/>
      </w:tabs>
    </w:pPr>
  </w:style>
  <w:style w:type="paragraph" w:customStyle="1" w:styleId="Equationlegend">
    <w:name w:val="Equation_legend"/>
    <w:basedOn w:val="NormalIndent"/>
    <w:rsid w:val="00536B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BE3"/>
    <w:pPr>
      <w:ind w:left="794"/>
    </w:pPr>
  </w:style>
  <w:style w:type="paragraph" w:customStyle="1" w:styleId="Figurelegend">
    <w:name w:val="Figure_legend"/>
    <w:basedOn w:val="Normal"/>
    <w:rsid w:val="00536B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BE3"/>
    <w:pPr>
      <w:keepNext/>
      <w:keepLines/>
      <w:spacing w:before="480" w:after="80"/>
      <w:jc w:val="center"/>
    </w:pPr>
    <w:rPr>
      <w:caps/>
      <w:sz w:val="18"/>
    </w:rPr>
  </w:style>
  <w:style w:type="paragraph" w:customStyle="1" w:styleId="tocpart">
    <w:name w:val="tocpart"/>
    <w:basedOn w:val="Normal"/>
    <w:rsid w:val="00536B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BE3"/>
    <w:pPr>
      <w:keepNext/>
      <w:keepLines/>
      <w:spacing w:before="480"/>
      <w:jc w:val="center"/>
    </w:pPr>
    <w:rPr>
      <w:sz w:val="28"/>
    </w:rPr>
  </w:style>
  <w:style w:type="paragraph" w:customStyle="1" w:styleId="Arttitle">
    <w:name w:val="Art_title"/>
    <w:basedOn w:val="Normal"/>
    <w:next w:val="Normalaftertitle"/>
    <w:rsid w:val="00536BE3"/>
    <w:pPr>
      <w:keepNext/>
      <w:keepLines/>
      <w:spacing w:before="240"/>
      <w:jc w:val="center"/>
    </w:pPr>
    <w:rPr>
      <w:b/>
      <w:sz w:val="28"/>
    </w:rPr>
  </w:style>
  <w:style w:type="paragraph" w:customStyle="1" w:styleId="Blanc">
    <w:name w:val="Blanc"/>
    <w:basedOn w:val="Normal"/>
    <w:next w:val="Tabletext"/>
    <w:rsid w:val="00536B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B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BE3"/>
    <w:pPr>
      <w:keepNext/>
      <w:keepLines/>
      <w:spacing w:before="160"/>
      <w:ind w:left="794"/>
    </w:pPr>
    <w:rPr>
      <w:i/>
    </w:rPr>
  </w:style>
  <w:style w:type="paragraph" w:customStyle="1" w:styleId="ChapNo">
    <w:name w:val="Chap_No"/>
    <w:basedOn w:val="ArtNo"/>
    <w:next w:val="Chaptitle"/>
    <w:rsid w:val="00536BE3"/>
    <w:rPr>
      <w:b/>
    </w:rPr>
  </w:style>
  <w:style w:type="paragraph" w:customStyle="1" w:styleId="Chaptitle">
    <w:name w:val="Chap_title"/>
    <w:basedOn w:val="Arttitle"/>
    <w:next w:val="Normalaftertitle"/>
    <w:rsid w:val="00536BE3"/>
  </w:style>
  <w:style w:type="character" w:styleId="FootnoteReference">
    <w:name w:val="footnote reference"/>
    <w:basedOn w:val="DefaultParagraphFont"/>
    <w:semiHidden/>
    <w:rsid w:val="00536BE3"/>
    <w:rPr>
      <w:position w:val="6"/>
      <w:sz w:val="18"/>
    </w:rPr>
  </w:style>
  <w:style w:type="paragraph" w:styleId="FootnoteText">
    <w:name w:val="footnote text"/>
    <w:basedOn w:val="Normal"/>
    <w:semiHidden/>
    <w:rsid w:val="00536BE3"/>
    <w:pPr>
      <w:keepLines/>
      <w:tabs>
        <w:tab w:val="left" w:pos="255"/>
      </w:tabs>
      <w:ind w:left="255" w:hanging="255"/>
    </w:pPr>
    <w:rPr>
      <w:sz w:val="22"/>
    </w:rPr>
  </w:style>
  <w:style w:type="paragraph" w:styleId="Index1">
    <w:name w:val="index 1"/>
    <w:basedOn w:val="Normal"/>
    <w:next w:val="Normal"/>
    <w:semiHidden/>
    <w:rsid w:val="00536BE3"/>
  </w:style>
  <w:style w:type="paragraph" w:styleId="Index2">
    <w:name w:val="index 2"/>
    <w:basedOn w:val="Normal"/>
    <w:next w:val="Normal"/>
    <w:semiHidden/>
    <w:rsid w:val="00536BE3"/>
    <w:pPr>
      <w:ind w:left="283"/>
    </w:pPr>
  </w:style>
  <w:style w:type="paragraph" w:styleId="Index3">
    <w:name w:val="index 3"/>
    <w:basedOn w:val="Normal"/>
    <w:next w:val="Normal"/>
    <w:semiHidden/>
    <w:rsid w:val="00536BE3"/>
    <w:pPr>
      <w:ind w:left="566"/>
    </w:pPr>
  </w:style>
  <w:style w:type="paragraph" w:styleId="IndexHeading">
    <w:name w:val="index heading"/>
    <w:basedOn w:val="Normal"/>
    <w:next w:val="Index1"/>
    <w:semiHidden/>
    <w:rsid w:val="00536BE3"/>
  </w:style>
  <w:style w:type="paragraph" w:customStyle="1" w:styleId="Line">
    <w:name w:val="Line"/>
    <w:basedOn w:val="Normal"/>
    <w:next w:val="Normal"/>
    <w:rsid w:val="00536B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B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BE3"/>
  </w:style>
  <w:style w:type="paragraph" w:customStyle="1" w:styleId="Partref">
    <w:name w:val="Part_ref"/>
    <w:basedOn w:val="Normal"/>
    <w:next w:val="Normal"/>
    <w:rsid w:val="00536BE3"/>
    <w:pPr>
      <w:keepNext/>
      <w:keepLines/>
      <w:spacing w:after="280"/>
      <w:jc w:val="center"/>
    </w:pPr>
  </w:style>
  <w:style w:type="paragraph" w:customStyle="1" w:styleId="Parttitle">
    <w:name w:val="Part_title"/>
    <w:basedOn w:val="Normal"/>
    <w:next w:val="Normalaftertitle"/>
    <w:rsid w:val="00536B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BE3"/>
  </w:style>
  <w:style w:type="paragraph" w:customStyle="1" w:styleId="QuestionNo">
    <w:name w:val="Question_No"/>
    <w:basedOn w:val="RecNo"/>
    <w:next w:val="Normal"/>
    <w:rsid w:val="00536BE3"/>
  </w:style>
  <w:style w:type="paragraph" w:customStyle="1" w:styleId="Questionref">
    <w:name w:val="Question_ref"/>
    <w:basedOn w:val="Recref"/>
    <w:next w:val="Questiondate"/>
    <w:rsid w:val="00536BE3"/>
  </w:style>
  <w:style w:type="paragraph" w:customStyle="1" w:styleId="Questiontitle">
    <w:name w:val="Question_title"/>
    <w:basedOn w:val="Normal"/>
    <w:next w:val="Questionref"/>
    <w:rsid w:val="00536BE3"/>
  </w:style>
  <w:style w:type="paragraph" w:customStyle="1" w:styleId="Reftext">
    <w:name w:val="Ref_text"/>
    <w:basedOn w:val="Normal"/>
    <w:rsid w:val="00536BE3"/>
    <w:pPr>
      <w:ind w:left="794" w:hanging="794"/>
    </w:pPr>
    <w:rPr>
      <w:sz w:val="22"/>
    </w:rPr>
  </w:style>
  <w:style w:type="paragraph" w:customStyle="1" w:styleId="Reftitle">
    <w:name w:val="Ref_title"/>
    <w:basedOn w:val="Normal"/>
    <w:next w:val="Reftext"/>
    <w:rsid w:val="00536B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BE3"/>
  </w:style>
  <w:style w:type="paragraph" w:customStyle="1" w:styleId="RepNo">
    <w:name w:val="Rep_No"/>
    <w:basedOn w:val="RecNo"/>
    <w:next w:val="Reptitle"/>
    <w:rsid w:val="00536BE3"/>
  </w:style>
  <w:style w:type="paragraph" w:customStyle="1" w:styleId="Repref">
    <w:name w:val="Rep_ref"/>
    <w:basedOn w:val="Recref"/>
    <w:next w:val="Repdate"/>
    <w:rsid w:val="00536BE3"/>
  </w:style>
  <w:style w:type="paragraph" w:customStyle="1" w:styleId="Reptitle">
    <w:name w:val="Rep_title"/>
    <w:basedOn w:val="Rectitle"/>
    <w:next w:val="Repref"/>
    <w:rsid w:val="00536BE3"/>
  </w:style>
  <w:style w:type="paragraph" w:customStyle="1" w:styleId="Resdate">
    <w:name w:val="Res_date"/>
    <w:basedOn w:val="Recdate"/>
    <w:next w:val="Normalaftertitle"/>
    <w:rsid w:val="00536BE3"/>
  </w:style>
  <w:style w:type="paragraph" w:customStyle="1" w:styleId="ResNo">
    <w:name w:val="Res_No"/>
    <w:basedOn w:val="RecNo"/>
    <w:next w:val="Restitle"/>
    <w:rsid w:val="00536BE3"/>
  </w:style>
  <w:style w:type="paragraph" w:customStyle="1" w:styleId="Resref">
    <w:name w:val="Res_ref"/>
    <w:basedOn w:val="Recref"/>
    <w:next w:val="Resdate"/>
    <w:rsid w:val="00536BE3"/>
  </w:style>
  <w:style w:type="paragraph" w:customStyle="1" w:styleId="Restitle">
    <w:name w:val="Res_title"/>
    <w:basedOn w:val="Normal"/>
    <w:next w:val="Resref"/>
    <w:rsid w:val="00536BE3"/>
    <w:pPr>
      <w:spacing w:before="240"/>
      <w:jc w:val="center"/>
    </w:pPr>
    <w:rPr>
      <w:b/>
      <w:sz w:val="28"/>
    </w:rPr>
  </w:style>
  <w:style w:type="paragraph" w:customStyle="1" w:styleId="SectionNo">
    <w:name w:val="Section_No"/>
    <w:basedOn w:val="Normal"/>
    <w:next w:val="Normal"/>
    <w:rsid w:val="00536BE3"/>
  </w:style>
  <w:style w:type="paragraph" w:customStyle="1" w:styleId="Sectiontitle">
    <w:name w:val="Section_title"/>
    <w:basedOn w:val="Normal"/>
    <w:next w:val="Normalaftertitle"/>
    <w:rsid w:val="00536B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BE3"/>
    <w:pPr>
      <w:tabs>
        <w:tab w:val="clear" w:pos="794"/>
        <w:tab w:val="clear" w:pos="1191"/>
        <w:tab w:val="clear" w:pos="1588"/>
        <w:tab w:val="clear" w:pos="1985"/>
        <w:tab w:val="right" w:pos="9611"/>
      </w:tabs>
    </w:pPr>
    <w:rPr>
      <w:i/>
    </w:rPr>
  </w:style>
  <w:style w:type="paragraph" w:styleId="TOC1">
    <w:name w:val="toc 1"/>
    <w:basedOn w:val="Normal"/>
    <w:semiHidden/>
    <w:rsid w:val="00536B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BE3"/>
    <w:pPr>
      <w:tabs>
        <w:tab w:val="clear" w:pos="567"/>
        <w:tab w:val="left" w:pos="1276"/>
      </w:tabs>
      <w:spacing w:before="160"/>
      <w:ind w:left="1276" w:hanging="709"/>
    </w:pPr>
  </w:style>
  <w:style w:type="paragraph" w:styleId="TOC3">
    <w:name w:val="toc 3"/>
    <w:basedOn w:val="TOC2"/>
    <w:semiHidden/>
    <w:rsid w:val="00536BE3"/>
    <w:pPr>
      <w:tabs>
        <w:tab w:val="clear" w:pos="1276"/>
        <w:tab w:val="left" w:pos="2155"/>
      </w:tabs>
      <w:ind w:left="2155" w:hanging="879"/>
    </w:pPr>
  </w:style>
  <w:style w:type="paragraph" w:styleId="TOC4">
    <w:name w:val="toc 4"/>
    <w:basedOn w:val="TOC3"/>
    <w:semiHidden/>
    <w:rsid w:val="00536BE3"/>
    <w:pPr>
      <w:tabs>
        <w:tab w:val="left" w:pos="3261"/>
      </w:tabs>
      <w:spacing w:before="80"/>
      <w:ind w:left="3261" w:hanging="993"/>
    </w:pPr>
  </w:style>
  <w:style w:type="paragraph" w:styleId="TOC5">
    <w:name w:val="toc 5"/>
    <w:basedOn w:val="TOC4"/>
    <w:semiHidden/>
    <w:rsid w:val="00536BE3"/>
  </w:style>
  <w:style w:type="paragraph" w:styleId="TOC6">
    <w:name w:val="toc 6"/>
    <w:basedOn w:val="TOC4"/>
    <w:semiHidden/>
    <w:rsid w:val="00536BE3"/>
  </w:style>
  <w:style w:type="paragraph" w:styleId="TOC7">
    <w:name w:val="toc 7"/>
    <w:basedOn w:val="TOC4"/>
    <w:semiHidden/>
    <w:rsid w:val="00536BE3"/>
  </w:style>
  <w:style w:type="paragraph" w:styleId="TOC8">
    <w:name w:val="toc 8"/>
    <w:basedOn w:val="TOC4"/>
    <w:semiHidden/>
    <w:rsid w:val="00536BE3"/>
  </w:style>
  <w:style w:type="paragraph" w:customStyle="1" w:styleId="Rectitle">
    <w:name w:val="Rec_title"/>
    <w:basedOn w:val="Normal"/>
    <w:next w:val="Recref"/>
    <w:rsid w:val="00536BE3"/>
    <w:pPr>
      <w:keepNext/>
      <w:keepLines/>
      <w:spacing w:before="240"/>
      <w:jc w:val="center"/>
    </w:pPr>
    <w:rPr>
      <w:b/>
      <w:sz w:val="28"/>
    </w:rPr>
  </w:style>
  <w:style w:type="paragraph" w:customStyle="1" w:styleId="Annexref">
    <w:name w:val="Annex_ref"/>
    <w:basedOn w:val="Normal"/>
    <w:next w:val="Normalaftertitle"/>
    <w:rsid w:val="00536BE3"/>
    <w:pPr>
      <w:keepNext/>
      <w:keepLines/>
      <w:spacing w:after="280"/>
      <w:jc w:val="center"/>
    </w:pPr>
  </w:style>
  <w:style w:type="paragraph" w:customStyle="1" w:styleId="Appendixref">
    <w:name w:val="Appendix_ref"/>
    <w:basedOn w:val="Annexref"/>
    <w:next w:val="Normalaftertitle"/>
    <w:rsid w:val="00536BE3"/>
  </w:style>
  <w:style w:type="paragraph" w:customStyle="1" w:styleId="Figuretitle">
    <w:name w:val="Figure_title"/>
    <w:basedOn w:val="Normal"/>
    <w:next w:val="Figure"/>
    <w:rsid w:val="00536BE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6BE3"/>
    <w:pPr>
      <w:keepNext/>
      <w:spacing w:before="0" w:after="120"/>
      <w:jc w:val="center"/>
    </w:pPr>
    <w:rPr>
      <w:b/>
    </w:rPr>
  </w:style>
  <w:style w:type="paragraph" w:customStyle="1" w:styleId="Summary">
    <w:name w:val="Summary"/>
    <w:basedOn w:val="Normal"/>
    <w:next w:val="Normalaftertitle"/>
    <w:autoRedefine/>
    <w:rsid w:val="00536BE3"/>
    <w:pPr>
      <w:spacing w:after="480"/>
    </w:pPr>
    <w:rPr>
      <w:sz w:val="22"/>
      <w:lang w:val="es-ES_tradnl"/>
    </w:rPr>
  </w:style>
  <w:style w:type="paragraph" w:customStyle="1" w:styleId="TableLegendNote">
    <w:name w:val="Table_Legend_Note"/>
    <w:basedOn w:val="Tablelegend"/>
    <w:next w:val="Tablelegend"/>
    <w:rsid w:val="00536BE3"/>
    <w:pPr>
      <w:ind w:left="-85" w:firstLine="0"/>
    </w:pPr>
    <w:rPr>
      <w:lang w:val="en-US"/>
    </w:rPr>
  </w:style>
  <w:style w:type="paragraph" w:customStyle="1" w:styleId="Figure">
    <w:name w:val="Figure"/>
    <w:basedOn w:val="FigureNo"/>
    <w:next w:val="Normal"/>
    <w:rsid w:val="00536BE3"/>
    <w:pPr>
      <w:keepNext w:val="0"/>
      <w:spacing w:before="0" w:after="240"/>
    </w:pPr>
  </w:style>
  <w:style w:type="character" w:styleId="Hyperlink">
    <w:name w:val="Hyperlink"/>
    <w:basedOn w:val="DefaultParagraphFont"/>
    <w:rsid w:val="00360109"/>
    <w:rPr>
      <w:color w:val="0000FF"/>
      <w:u w:val="single"/>
    </w:rPr>
  </w:style>
  <w:style w:type="paragraph" w:styleId="BalloonText">
    <w:name w:val="Balloon Text"/>
    <w:basedOn w:val="Normal"/>
    <w:link w:val="BalloonTextChar"/>
    <w:rsid w:val="002C2E61"/>
    <w:pPr>
      <w:spacing w:before="0"/>
    </w:pPr>
    <w:rPr>
      <w:rFonts w:ascii="Tahoma" w:hAnsi="Tahoma" w:cs="Tahoma"/>
      <w:sz w:val="16"/>
      <w:szCs w:val="16"/>
    </w:rPr>
  </w:style>
  <w:style w:type="character" w:customStyle="1" w:styleId="BalloonTextChar">
    <w:name w:val="Balloon Text Char"/>
    <w:basedOn w:val="DefaultParagraphFont"/>
    <w:link w:val="BalloonText"/>
    <w:rsid w:val="002C2E6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20.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8" Type="http://schemas.openxmlformats.org/officeDocument/2006/relationships/header" Target="header1.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41C8D-9E51-4B14-B3A1-A508A55C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20</Pages>
  <Words>3546</Words>
  <Characters>18331</Characters>
  <Application>Microsoft Office Word</Application>
  <DocSecurity>0</DocSecurity>
  <Lines>495</Lines>
  <Paragraphs>104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Gachet, Christelle</cp:lastModifiedBy>
  <cp:revision>5</cp:revision>
  <cp:lastPrinted>2005-02-10T15:54:00Z</cp:lastPrinted>
  <dcterms:created xsi:type="dcterms:W3CDTF">2013-09-20T14:07:00Z</dcterms:created>
  <dcterms:modified xsi:type="dcterms:W3CDTF">2013-11-05T10:36:00Z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