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Pr>
        <w:rPr>
          <w:rFonts w:hint="cs"/>
          <w:lang w:bidi="ar-EG"/>
        </w:rPr>
      </w:pPr>
    </w:p>
    <w:p w:rsidR="005E066B" w:rsidRDefault="00C67490"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3" type="#_x0000_t202" style="position:absolute;left:0;text-align:left;margin-left:29.7pt;margin-top:340.85pt;width:325.2pt;height:135pt;z-index:251655680" filled="f" stroked="f">
            <v:textbox style="mso-next-textbox:#_x0000_s3883">
              <w:txbxContent>
                <w:p w:rsidR="00197749" w:rsidRPr="005F01A2" w:rsidRDefault="00026911" w:rsidP="005F01A2">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تعظيم جودة استنساخ الألوان في التلفزيون الرقمي</w:t>
                  </w:r>
                </w:p>
              </w:txbxContent>
            </v:textbox>
          </v:shape>
        </w:pict>
      </w:r>
      <w:r>
        <w:rPr>
          <w:b/>
          <w:bCs/>
          <w:noProof/>
          <w:sz w:val="32"/>
          <w:szCs w:val="32"/>
          <w:rtl/>
          <w:lang w:eastAsia="en-US"/>
        </w:rPr>
        <w:pict>
          <v:shape id="_x0000_s3885" type="#_x0000_t202" style="position:absolute;left:0;text-align:left;margin-left:29.7pt;margin-top:259.85pt;width:440.85pt;height:1in;z-index:251657728" filled="f" stroked="f">
            <v:textbox style="mso-next-textbox:#_x0000_s3885">
              <w:txbxContent>
                <w:p w:rsidR="00197749" w:rsidRPr="009C6655" w:rsidRDefault="00197749" w:rsidP="00026911">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952B02">
                    <w:rPr>
                      <w:rFonts w:ascii="Tahoma" w:hAnsi="Tahoma"/>
                      <w:b/>
                      <w:bCs/>
                      <w:color w:val="000068"/>
                      <w:sz w:val="36"/>
                      <w:szCs w:val="56"/>
                      <w:lang w:bidi="ar-EG"/>
                    </w:rPr>
                    <w:t>BT</w:t>
                  </w:r>
                  <w:r w:rsidRPr="005F01A2">
                    <w:rPr>
                      <w:rFonts w:ascii="Tahoma" w:hAnsi="Tahoma"/>
                      <w:b/>
                      <w:bCs/>
                      <w:color w:val="000068"/>
                      <w:sz w:val="36"/>
                      <w:szCs w:val="56"/>
                      <w:lang w:bidi="ar-EG"/>
                    </w:rPr>
                    <w:t>.</w:t>
                  </w:r>
                  <w:r w:rsidR="00952B02">
                    <w:rPr>
                      <w:rFonts w:ascii="Tahoma" w:hAnsi="Tahoma"/>
                      <w:b/>
                      <w:bCs/>
                      <w:color w:val="000068"/>
                      <w:sz w:val="36"/>
                      <w:szCs w:val="56"/>
                      <w:lang w:bidi="ar-EG"/>
                    </w:rPr>
                    <w:t>169</w:t>
                  </w:r>
                  <w:r w:rsidR="00026911">
                    <w:rPr>
                      <w:rFonts w:ascii="Tahoma" w:hAnsi="Tahoma"/>
                      <w:b/>
                      <w:bCs/>
                      <w:color w:val="000068"/>
                      <w:sz w:val="36"/>
                      <w:szCs w:val="56"/>
                      <w:lang w:bidi="ar-EG"/>
                    </w:rPr>
                    <w:t>2</w:t>
                  </w:r>
                  <w:r w:rsidR="00952B02">
                    <w:rPr>
                      <w:rFonts w:ascii="Tahoma" w:hAnsi="Tahoma"/>
                      <w:b/>
                      <w:bCs/>
                      <w:color w:val="000068"/>
                      <w:sz w:val="36"/>
                      <w:szCs w:val="56"/>
                      <w:lang w:bidi="ar-EG"/>
                    </w:rPr>
                    <w:t>-1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(200</w:t>
                  </w:r>
                  <w:r w:rsidR="00952B02">
                    <w:rPr>
                      <w:rFonts w:ascii="Tahoma" w:hAnsi="Tahoma" w:cs="Tahoma"/>
                      <w:b/>
                      <w:bCs/>
                      <w:color w:val="000068"/>
                      <w:sz w:val="24"/>
                      <w:szCs w:val="24"/>
                      <w:lang w:bidi="ar-EG"/>
                    </w:rPr>
                    <w:t>9</w:t>
                  </w:r>
                  <w:r>
                    <w:rPr>
                      <w:rFonts w:ascii="Tahoma" w:hAnsi="Tahoma" w:cs="Tahoma"/>
                      <w:b/>
                      <w:bCs/>
                      <w:color w:val="000068"/>
                      <w:sz w:val="24"/>
                      <w:szCs w:val="24"/>
                      <w:lang w:bidi="ar-EG"/>
                    </w:rPr>
                    <w:t>/</w:t>
                  </w:r>
                  <w:r w:rsidR="00952B02">
                    <w:rPr>
                      <w:rFonts w:ascii="Tahoma" w:hAnsi="Tahoma" w:cs="Tahoma"/>
                      <w:b/>
                      <w:bCs/>
                      <w:color w:val="000068"/>
                      <w:sz w:val="24"/>
                      <w:szCs w:val="24"/>
                      <w:lang w:bidi="ar-EG"/>
                    </w:rPr>
                    <w:t>09</w:t>
                  </w:r>
                  <w:r w:rsidRPr="005F01A2">
                    <w:rPr>
                      <w:rFonts w:ascii="Tahoma" w:hAnsi="Tahoma" w:cs="Tahoma"/>
                      <w:b/>
                      <w:bCs/>
                      <w:color w:val="000068"/>
                      <w:sz w:val="24"/>
                      <w:szCs w:val="24"/>
                      <w:lang w:bidi="ar-EG"/>
                    </w:rPr>
                    <w:t>)</w:t>
                  </w:r>
                </w:p>
              </w:txbxContent>
            </v:textbox>
          </v:shape>
        </w:pict>
      </w:r>
      <w:r>
        <w:rPr>
          <w:b/>
          <w:bCs/>
          <w:noProof/>
          <w:sz w:val="32"/>
          <w:szCs w:val="32"/>
          <w:rtl/>
          <w:lang w:eastAsia="en-US"/>
        </w:rPr>
        <w:pict>
          <v:shape id="_x0000_s3886" type="#_x0000_t202" style="position:absolute;left:0;text-align:left;margin-left:29.7pt;margin-top:538.85pt;width:261pt;height:108pt;z-index:251658752" filled="f" stroked="f">
            <v:textbox style="mso-next-textbox:#_x0000_s3886">
              <w:txbxContent>
                <w:p w:rsidR="00197749" w:rsidRPr="005F01A2" w:rsidRDefault="00197749" w:rsidP="00952B0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952B02">
                    <w:rPr>
                      <w:rFonts w:ascii="Tahoma" w:hAnsi="Tahoma"/>
                      <w:b/>
                      <w:bCs/>
                      <w:color w:val="000068"/>
                      <w:sz w:val="36"/>
                      <w:szCs w:val="56"/>
                      <w:lang w:bidi="ar-EG"/>
                    </w:rPr>
                    <w:t>BT</w:t>
                  </w:r>
                </w:p>
                <w:p w:rsidR="00197749" w:rsidRPr="005F01A2" w:rsidRDefault="00952B02"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(التلفزيونية)</w:t>
                  </w:r>
                </w:p>
              </w:txbxContent>
            </v:textbox>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197749">
      <w:pPr>
        <w:jc w:val="center"/>
        <w:outlineLvl w:val="0"/>
        <w:rPr>
          <w:rFonts w:ascii="Times New Roman Bold" w:hAnsi="Times New Roman Bold"/>
          <w:b/>
          <w:bCs/>
          <w:sz w:val="24"/>
          <w:szCs w:val="32"/>
        </w:rPr>
      </w:pPr>
      <w:r w:rsidRPr="001231D6">
        <w:rPr>
          <w:rFonts w:ascii="Times New Roman Bold" w:hAnsi="Times New Roman Bold" w:hint="cs"/>
          <w:b/>
          <w:bCs/>
          <w:sz w:val="24"/>
          <w:szCs w:val="32"/>
          <w:rtl/>
          <w:lang w:val="ru-RU"/>
        </w:rPr>
        <w:t xml:space="preserve">سياسة قطاع الاتصالات الراديوية بشأن حقوق الملكية الفكرية </w:t>
      </w:r>
      <w:r w:rsidRPr="001231D6">
        <w:rPr>
          <w:rFonts w:ascii="Times New Roman Bold" w:hAnsi="Times New Roman Bold"/>
          <w:b/>
          <w:bCs/>
          <w:sz w:val="24"/>
          <w:szCs w:val="32"/>
        </w:rPr>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BO</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البث الساتلي</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BR</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التسجيل من أجل الإنتاج والأرشفة والعرض؛ الأفلام التلفزيونية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color w:val="000080"/>
                <w:sz w:val="20"/>
                <w:szCs w:val="26"/>
              </w:rPr>
            </w:pPr>
            <w:r w:rsidRPr="00952B02">
              <w:rPr>
                <w:b/>
                <w:bCs/>
                <w:sz w:val="20"/>
                <w:szCs w:val="26"/>
              </w:rPr>
              <w:t>BS</w:t>
            </w:r>
          </w:p>
        </w:tc>
        <w:tc>
          <w:tcPr>
            <w:tcW w:w="7914" w:type="dxa"/>
            <w:tcBorders>
              <w:right w:val="single" w:sz="12" w:space="0" w:color="000080"/>
            </w:tcBorders>
          </w:tcPr>
          <w:p w:rsidR="005E066B" w:rsidRPr="00D30FE6" w:rsidRDefault="005E066B" w:rsidP="003D40E1">
            <w:pPr>
              <w:spacing w:before="20" w:after="40" w:line="240" w:lineRule="exact"/>
              <w:rPr>
                <w:sz w:val="20"/>
                <w:szCs w:val="26"/>
                <w:lang w:val="ru-RU"/>
              </w:rPr>
            </w:pPr>
            <w:r w:rsidRPr="00D30FE6">
              <w:rPr>
                <w:rFonts w:hint="cs"/>
                <w:sz w:val="20"/>
                <w:szCs w:val="26"/>
                <w:rtl/>
                <w:lang w:val="ru-RU"/>
              </w:rPr>
              <w:t>الخدمة الإذاعية (الصوتية)</w:t>
            </w:r>
          </w:p>
        </w:tc>
      </w:tr>
      <w:tr w:rsidR="00952B02" w:rsidRPr="00952B02" w:rsidTr="007473FD">
        <w:trPr>
          <w:jc w:val="center"/>
        </w:trPr>
        <w:tc>
          <w:tcPr>
            <w:tcW w:w="9394" w:type="dxa"/>
            <w:gridSpan w:val="2"/>
            <w:tcBorders>
              <w:left w:val="single" w:sz="12" w:space="0" w:color="000080"/>
              <w:right w:val="single" w:sz="12" w:space="0" w:color="000080"/>
            </w:tcBorders>
            <w:shd w:val="clear" w:color="auto" w:fill="EEECE1" w:themeFill="background2"/>
          </w:tcPr>
          <w:p w:rsidR="00952B02" w:rsidRPr="00952B02" w:rsidRDefault="00952B02" w:rsidP="00952B02">
            <w:pPr>
              <w:tabs>
                <w:tab w:val="clear" w:pos="794"/>
                <w:tab w:val="left" w:pos="1471"/>
              </w:tabs>
              <w:spacing w:before="20" w:after="40" w:line="240" w:lineRule="exact"/>
              <w:rPr>
                <w:b/>
                <w:bCs/>
                <w:color w:val="000080"/>
                <w:sz w:val="20"/>
                <w:szCs w:val="26"/>
              </w:rPr>
            </w:pPr>
            <w:r w:rsidRPr="00952B02">
              <w:rPr>
                <w:b/>
                <w:bCs/>
                <w:color w:val="000080"/>
                <w:sz w:val="20"/>
                <w:szCs w:val="26"/>
              </w:rPr>
              <w:t>BT</w:t>
            </w:r>
            <w:r>
              <w:rPr>
                <w:rFonts w:hint="cs"/>
                <w:b/>
                <w:bCs/>
                <w:color w:val="000080"/>
                <w:sz w:val="20"/>
                <w:szCs w:val="26"/>
                <w:rtl/>
              </w:rPr>
              <w:tab/>
            </w:r>
            <w:r w:rsidRPr="00952B02">
              <w:rPr>
                <w:rFonts w:hint="cs"/>
                <w:b/>
                <w:bCs/>
                <w:color w:val="000080"/>
                <w:sz w:val="20"/>
                <w:szCs w:val="26"/>
                <w:rtl/>
              </w:rPr>
              <w:t>الخدمة الإذاعية (التلفزيونية)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F</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الثابتة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M</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P</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انتشار الموجات الراديوية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RA</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علم الفلك الراديوي</w:t>
            </w:r>
          </w:p>
        </w:tc>
      </w:tr>
      <w:tr w:rsidR="00A163C1" w:rsidRPr="00440F51" w:rsidTr="008113E9">
        <w:trPr>
          <w:jc w:val="center"/>
        </w:trPr>
        <w:tc>
          <w:tcPr>
            <w:tcW w:w="1480" w:type="dxa"/>
            <w:tcBorders>
              <w:left w:val="single" w:sz="12" w:space="0" w:color="000080"/>
            </w:tcBorders>
          </w:tcPr>
          <w:p w:rsidR="00A163C1" w:rsidRPr="008113E9" w:rsidRDefault="00A163C1" w:rsidP="003D40E1">
            <w:pPr>
              <w:spacing w:before="20" w:after="40" w:line="240" w:lineRule="exact"/>
              <w:rPr>
                <w:b/>
                <w:bCs/>
                <w:sz w:val="20"/>
                <w:szCs w:val="26"/>
              </w:rPr>
            </w:pPr>
            <w:r w:rsidRPr="008113E9">
              <w:rPr>
                <w:b/>
                <w:bCs/>
                <w:sz w:val="20"/>
                <w:szCs w:val="26"/>
              </w:rPr>
              <w:t>S</w:t>
            </w:r>
          </w:p>
        </w:tc>
        <w:tc>
          <w:tcPr>
            <w:tcW w:w="7914" w:type="dxa"/>
            <w:tcBorders>
              <w:right w:val="single" w:sz="12" w:space="0" w:color="000080"/>
            </w:tcBorders>
          </w:tcPr>
          <w:p w:rsidR="00A163C1" w:rsidRPr="00C71576" w:rsidRDefault="00A163C1" w:rsidP="003D40E1">
            <w:pPr>
              <w:spacing w:before="20" w:after="40" w:line="240" w:lineRule="exact"/>
              <w:rPr>
                <w:sz w:val="20"/>
                <w:szCs w:val="26"/>
                <w:rtl/>
                <w:lang w:val="ru-RU" w:bidi="ar-EG"/>
              </w:rPr>
            </w:pPr>
            <w:r w:rsidRPr="00C71576">
              <w:rPr>
                <w:rFonts w:hint="cs"/>
                <w:sz w:val="20"/>
                <w:szCs w:val="26"/>
                <w:rtl/>
                <w:lang w:val="ru-RU" w:bidi="ar-EG"/>
              </w:rPr>
              <w:t>الخدمة الثابتة الساتلية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RS</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أنظمة الاستشعار عن بعد</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SA</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التطبيقات الفضائية والأرصاد الجوية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SF</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تقاسم الترددات والتنسيق بين أنظمة الخدمة الثابتة الساتلية والخدمة الثابتة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SM</w:t>
            </w:r>
          </w:p>
        </w:tc>
        <w:tc>
          <w:tcPr>
            <w:tcW w:w="7914" w:type="dxa"/>
            <w:tcBorders>
              <w:right w:val="single" w:sz="12" w:space="0" w:color="000080"/>
            </w:tcBorders>
          </w:tcPr>
          <w:p w:rsidR="005E066B" w:rsidRPr="008113E9" w:rsidRDefault="005E066B" w:rsidP="003D40E1">
            <w:pPr>
              <w:spacing w:before="20" w:after="40" w:line="240" w:lineRule="exact"/>
              <w:rPr>
                <w:sz w:val="20"/>
                <w:szCs w:val="26"/>
                <w:rtl/>
                <w:lang w:val="ru-RU" w:bidi="ar-EG"/>
              </w:rPr>
            </w:pPr>
            <w:r w:rsidRPr="008113E9">
              <w:rPr>
                <w:rFonts w:hint="cs"/>
                <w:sz w:val="20"/>
                <w:szCs w:val="26"/>
                <w:rtl/>
                <w:lang w:val="ru-RU"/>
              </w:rPr>
              <w:t>إدارة الطيف</w:t>
            </w:r>
          </w:p>
        </w:tc>
      </w:tr>
      <w:tr w:rsidR="008C733D" w:rsidRPr="00440F51" w:rsidTr="008113E9">
        <w:trPr>
          <w:jc w:val="center"/>
        </w:trPr>
        <w:tc>
          <w:tcPr>
            <w:tcW w:w="1480" w:type="dxa"/>
            <w:tcBorders>
              <w:left w:val="single" w:sz="12" w:space="0" w:color="000080"/>
            </w:tcBorders>
          </w:tcPr>
          <w:p w:rsidR="008C733D" w:rsidRPr="008113E9" w:rsidRDefault="008C733D" w:rsidP="003D40E1">
            <w:pPr>
              <w:spacing w:before="20" w:after="40" w:line="240" w:lineRule="exact"/>
              <w:rPr>
                <w:b/>
                <w:bCs/>
                <w:sz w:val="20"/>
                <w:szCs w:val="26"/>
              </w:rPr>
            </w:pPr>
            <w:r>
              <w:rPr>
                <w:b/>
                <w:bCs/>
                <w:sz w:val="20"/>
                <w:szCs w:val="26"/>
              </w:rPr>
              <w:t>SNG</w:t>
            </w:r>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التجميع الساتلي للأخبار</w:t>
            </w:r>
          </w:p>
        </w:tc>
      </w:tr>
      <w:tr w:rsidR="008C733D" w:rsidRPr="00440F51" w:rsidTr="008113E9">
        <w:trPr>
          <w:jc w:val="center"/>
        </w:trPr>
        <w:tc>
          <w:tcPr>
            <w:tcW w:w="1480" w:type="dxa"/>
            <w:tcBorders>
              <w:left w:val="single" w:sz="12" w:space="0" w:color="000080"/>
            </w:tcBorders>
          </w:tcPr>
          <w:p w:rsidR="008C733D" w:rsidRPr="008113E9" w:rsidRDefault="008C733D" w:rsidP="003D40E1">
            <w:pPr>
              <w:spacing w:before="20" w:after="40" w:line="240" w:lineRule="exact"/>
              <w:rPr>
                <w:b/>
                <w:bCs/>
                <w:sz w:val="20"/>
                <w:szCs w:val="26"/>
                <w:lang w:bidi="ar-EG"/>
              </w:rPr>
            </w:pPr>
            <w:r>
              <w:rPr>
                <w:b/>
                <w:bCs/>
                <w:sz w:val="20"/>
                <w:szCs w:val="26"/>
                <w:lang w:bidi="ar-EG"/>
              </w:rPr>
              <w:t>TF</w:t>
            </w:r>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إرسالات الترددات المعيارية وإشارات التوقيت</w:t>
            </w:r>
          </w:p>
        </w:tc>
      </w:tr>
      <w:tr w:rsidR="008C733D" w:rsidRPr="00440F51" w:rsidTr="008113E9">
        <w:trPr>
          <w:jc w:val="center"/>
        </w:trPr>
        <w:tc>
          <w:tcPr>
            <w:tcW w:w="1480" w:type="dxa"/>
            <w:tcBorders>
              <w:left w:val="single" w:sz="12" w:space="0" w:color="000080"/>
              <w:bottom w:val="single" w:sz="12" w:space="0" w:color="000080"/>
            </w:tcBorders>
          </w:tcPr>
          <w:p w:rsidR="008C733D" w:rsidRPr="008113E9" w:rsidRDefault="008C733D" w:rsidP="003D40E1">
            <w:pPr>
              <w:spacing w:before="20" w:after="40" w:line="240" w:lineRule="exact"/>
              <w:rPr>
                <w:b/>
                <w:bCs/>
                <w:sz w:val="20"/>
                <w:szCs w:val="26"/>
                <w:lang w:bidi="ar-EG"/>
              </w:rPr>
            </w:pPr>
            <w:r>
              <w:rPr>
                <w:b/>
                <w:bCs/>
                <w:sz w:val="20"/>
                <w:szCs w:val="26"/>
                <w:lang w:bidi="ar-EG"/>
              </w:rPr>
              <w:t>V</w:t>
            </w:r>
          </w:p>
        </w:tc>
        <w:tc>
          <w:tcPr>
            <w:tcW w:w="7914" w:type="dxa"/>
            <w:tcBorders>
              <w:bottom w:val="single" w:sz="12" w:space="0" w:color="000080"/>
              <w:right w:val="single" w:sz="12" w:space="0" w:color="000080"/>
            </w:tcBorders>
          </w:tcPr>
          <w:p w:rsidR="008C733D" w:rsidRPr="008C733D" w:rsidRDefault="008C733D" w:rsidP="008C733D">
            <w:pPr>
              <w:spacing w:before="20" w:after="80" w:line="240" w:lineRule="exact"/>
              <w:rPr>
                <w:sz w:val="20"/>
                <w:szCs w:val="26"/>
                <w:lang w:val="ru-RU"/>
              </w:rPr>
            </w:pP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952B02" w:rsidRDefault="005E066B" w:rsidP="003D017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952B02">
        <w:rPr>
          <w:rFonts w:hint="cs"/>
          <w:sz w:val="20"/>
          <w:szCs w:val="26"/>
          <w:rtl/>
          <w:lang w:val="ru-RU"/>
        </w:rPr>
        <w:t xml:space="preserve">جنيف، </w:t>
      </w:r>
      <w:r w:rsidR="003D017C" w:rsidRPr="00952B02">
        <w:rPr>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E1601B" w:rsidRPr="00422D17" w:rsidRDefault="00AE2234" w:rsidP="00026911">
      <w:pPr>
        <w:pStyle w:val="RecNo"/>
        <w:rPr>
          <w:rtl/>
        </w:rPr>
      </w:pPr>
      <w:r w:rsidRPr="00422D17">
        <w:rPr>
          <w:rFonts w:hint="cs"/>
          <w:rtl/>
        </w:rPr>
        <w:lastRenderedPageBreak/>
        <w:t>التوصي</w:t>
      </w:r>
      <w:r w:rsidR="005E066B" w:rsidRPr="00422D17">
        <w:rPr>
          <w:rFonts w:hint="cs"/>
          <w:rtl/>
        </w:rPr>
        <w:t>ـ</w:t>
      </w:r>
      <w:r w:rsidRPr="00422D17">
        <w:rPr>
          <w:rFonts w:hint="cs"/>
          <w:rtl/>
        </w:rPr>
        <w:t>ة</w:t>
      </w:r>
      <w:r w:rsidR="005E066B" w:rsidRPr="00422D17">
        <w:rPr>
          <w:rFonts w:hint="cs"/>
          <w:rtl/>
        </w:rPr>
        <w:t xml:space="preserve"> </w:t>
      </w:r>
      <w:r w:rsidRPr="00422D17">
        <w:rPr>
          <w:rFonts w:hint="cs"/>
          <w:rtl/>
        </w:rPr>
        <w:t xml:space="preserve"> </w:t>
      </w:r>
      <w:r w:rsidR="005D6A35" w:rsidRPr="00422D17">
        <w:t>ITU-R </w:t>
      </w:r>
      <w:r w:rsidR="005E066B" w:rsidRPr="00422D17">
        <w:t> </w:t>
      </w:r>
      <w:r w:rsidR="00952B02">
        <w:t>BT</w:t>
      </w:r>
      <w:r w:rsidR="00304728" w:rsidRPr="00422D17">
        <w:t>.</w:t>
      </w:r>
      <w:r w:rsidR="00952B02">
        <w:t>169</w:t>
      </w:r>
      <w:r w:rsidR="00026911">
        <w:t>2</w:t>
      </w:r>
      <w:r w:rsidR="00952B02">
        <w:t>-1</w:t>
      </w:r>
    </w:p>
    <w:p w:rsidR="00AE2234" w:rsidRDefault="00026911" w:rsidP="005E066B">
      <w:pPr>
        <w:pStyle w:val="Rectitle"/>
        <w:rPr>
          <w:rtl/>
        </w:rPr>
      </w:pPr>
      <w:r>
        <w:rPr>
          <w:rFonts w:hint="cs"/>
          <w:rtl/>
        </w:rPr>
        <w:t>تعظيم جودة استنساخ الألوان في التلفزيون الرقمي</w:t>
      </w:r>
    </w:p>
    <w:p w:rsidR="00B16E8C" w:rsidRPr="00B16E8C" w:rsidRDefault="00B16E8C" w:rsidP="00952B02">
      <w:pPr>
        <w:pStyle w:val="Normalaftertitle"/>
        <w:bidi w:val="0"/>
        <w:spacing w:before="480"/>
      </w:pPr>
      <w:r>
        <w:t>(200</w:t>
      </w:r>
      <w:r w:rsidR="00952B02">
        <w:t>9-2004</w:t>
      </w:r>
      <w:r>
        <w:t>)</w:t>
      </w:r>
    </w:p>
    <w:p w:rsidR="00026911" w:rsidRPr="00026911" w:rsidRDefault="00026911" w:rsidP="00743AC4">
      <w:pPr>
        <w:pStyle w:val="Headingb"/>
        <w:spacing w:before="240"/>
        <w:outlineLvl w:val="0"/>
        <w:rPr>
          <w:rtl/>
        </w:rPr>
      </w:pPr>
      <w:r w:rsidRPr="00026911">
        <w:rPr>
          <w:rFonts w:hint="cs"/>
          <w:rtl/>
          <w:lang w:bidi="ar-EG"/>
        </w:rPr>
        <w:t xml:space="preserve">مجال </w:t>
      </w:r>
      <w:r w:rsidRPr="00026911">
        <w:rPr>
          <w:rFonts w:hint="cs"/>
          <w:sz w:val="24"/>
          <w:szCs w:val="32"/>
          <w:rtl/>
          <w:lang w:bidi="ar-SY"/>
        </w:rPr>
        <w:t>التطبيق</w:t>
      </w:r>
    </w:p>
    <w:p w:rsidR="00026911" w:rsidRDefault="00026911" w:rsidP="00026911">
      <w:pPr>
        <w:rPr>
          <w:rtl/>
        </w:rPr>
      </w:pPr>
      <w:r w:rsidRPr="00026911">
        <w:rPr>
          <w:rFonts w:hint="cs"/>
          <w:rtl/>
        </w:rPr>
        <w:t>تحدد هذه التوصية أن الحلول التقنية للأنظمة التلفزيونية ذات الألوان التكييفية ينبغي أن تقوم على استعمال نماذج الألوان المصممة مع مراعاة تكييف النظام البصري للإنسان مع ظروف المشاهدة (التي تختلف أحياناً) عند طرفي الإرسال والاستقبال للمسار التلفزيوني من طرف إلى طرف.</w:t>
      </w:r>
    </w:p>
    <w:p w:rsidR="00743AC4" w:rsidRDefault="00743AC4" w:rsidP="00026911">
      <w:pPr>
        <w:rPr>
          <w:rtl/>
          <w:lang w:bidi="ar-EG"/>
        </w:rPr>
      </w:pPr>
    </w:p>
    <w:p w:rsidR="00026911" w:rsidRPr="00026911" w:rsidRDefault="00026911" w:rsidP="00026911">
      <w:pPr>
        <w:rPr>
          <w:rtl/>
        </w:rPr>
      </w:pPr>
    </w:p>
    <w:p w:rsidR="00026911" w:rsidRPr="00026911" w:rsidRDefault="00026911" w:rsidP="00026911">
      <w:pPr>
        <w:rPr>
          <w:rtl/>
        </w:rPr>
      </w:pPr>
      <w:r w:rsidRPr="00026911">
        <w:rPr>
          <w:rtl/>
        </w:rPr>
        <w:t>إن جمعية الاتصالات الراديوية للاتحاد الدولي للاتصالات،</w:t>
      </w:r>
    </w:p>
    <w:p w:rsidR="00026911" w:rsidRPr="00026911" w:rsidRDefault="00026911" w:rsidP="00026911">
      <w:pPr>
        <w:pStyle w:val="Call"/>
        <w:rPr>
          <w:rtl/>
        </w:rPr>
      </w:pPr>
      <w:r w:rsidRPr="00026911">
        <w:rPr>
          <w:rtl/>
        </w:rPr>
        <w:t>إذ تضع في اعتبارها</w:t>
      </w:r>
    </w:p>
    <w:p w:rsidR="00026911" w:rsidRPr="00026911" w:rsidRDefault="00026911" w:rsidP="00026911">
      <w:pPr>
        <w:rPr>
          <w:rtl/>
        </w:rPr>
      </w:pPr>
      <w:r w:rsidRPr="00026911">
        <w:rPr>
          <w:rFonts w:hint="cs"/>
          <w:rtl/>
        </w:rPr>
        <w:t xml:space="preserve"> </w:t>
      </w:r>
      <w:r w:rsidRPr="00026911">
        <w:rPr>
          <w:rtl/>
        </w:rPr>
        <w:t>أ )</w:t>
      </w:r>
      <w:r w:rsidRPr="00026911">
        <w:rPr>
          <w:rtl/>
        </w:rPr>
        <w:tab/>
        <w:t>أن</w:t>
      </w:r>
      <w:r w:rsidRPr="00026911">
        <w:rPr>
          <w:rFonts w:hint="cs"/>
          <w:rtl/>
        </w:rPr>
        <w:t xml:space="preserve"> جودة</w:t>
      </w:r>
      <w:r w:rsidRPr="00026911">
        <w:rPr>
          <w:rtl/>
        </w:rPr>
        <w:t xml:space="preserve"> </w:t>
      </w:r>
      <w:r w:rsidRPr="00026911">
        <w:rPr>
          <w:rFonts w:hint="cs"/>
          <w:rtl/>
        </w:rPr>
        <w:t>استنساخ الألوان في التلفزيون الرقمي جزء هام من الجودة الشاملة للصورة التلفزيونية والخدمة التلفزيونية ذاتها؛</w:t>
      </w:r>
    </w:p>
    <w:p w:rsidR="00026911" w:rsidRPr="00026911" w:rsidRDefault="00026911" w:rsidP="00026911">
      <w:pPr>
        <w:rPr>
          <w:rtl/>
        </w:rPr>
      </w:pPr>
      <w:r w:rsidRPr="00026911">
        <w:rPr>
          <w:rtl/>
        </w:rPr>
        <w:t>ب)</w:t>
      </w:r>
      <w:r w:rsidRPr="00026911">
        <w:rPr>
          <w:rtl/>
        </w:rPr>
        <w:tab/>
      </w:r>
      <w:r w:rsidRPr="00026911">
        <w:rPr>
          <w:rFonts w:hint="cs"/>
          <w:rtl/>
        </w:rPr>
        <w:t>أنه يبدو أن الهيئات الإذاعية في المستقبل ستواصل اهتمامها بزيادة تعظيم الجودة اللونية للصور في التلفزيون الرقمي؛</w:t>
      </w:r>
    </w:p>
    <w:p w:rsidR="00026911" w:rsidRPr="00026911" w:rsidRDefault="00026911" w:rsidP="00026911">
      <w:pPr>
        <w:rPr>
          <w:rtl/>
        </w:rPr>
      </w:pPr>
      <w:r w:rsidRPr="00026911">
        <w:rPr>
          <w:rtl/>
        </w:rPr>
        <w:t>ج)</w:t>
      </w:r>
      <w:r w:rsidRPr="00026911">
        <w:rPr>
          <w:rtl/>
        </w:rPr>
        <w:tab/>
      </w:r>
      <w:r w:rsidRPr="00026911">
        <w:rPr>
          <w:rFonts w:hint="cs"/>
          <w:rtl/>
        </w:rPr>
        <w:t>أن المعارف الحديثة للقياسات اللونية يمكن أن تكون أساساً لزيادة تطوير طرائق تعظيم جودة استنساخ الألوان في</w:t>
      </w:r>
      <w:r w:rsidRPr="00026911">
        <w:rPr>
          <w:rFonts w:hint="eastAsia"/>
          <w:rtl/>
        </w:rPr>
        <w:t> </w:t>
      </w:r>
      <w:r w:rsidRPr="00026911">
        <w:rPr>
          <w:rFonts w:hint="cs"/>
          <w:rtl/>
        </w:rPr>
        <w:t>التلفزيون الرقمي؛</w:t>
      </w:r>
    </w:p>
    <w:p w:rsidR="00026911" w:rsidRPr="00026911" w:rsidRDefault="00026911" w:rsidP="00026911">
      <w:pPr>
        <w:rPr>
          <w:rtl/>
        </w:rPr>
      </w:pPr>
      <w:r w:rsidRPr="00026911">
        <w:rPr>
          <w:rtl/>
        </w:rPr>
        <w:t>د )</w:t>
      </w:r>
      <w:r w:rsidRPr="00026911">
        <w:rPr>
          <w:rtl/>
        </w:rPr>
        <w:tab/>
      </w:r>
      <w:r w:rsidRPr="00026911">
        <w:rPr>
          <w:rFonts w:hint="cs"/>
          <w:rtl/>
        </w:rPr>
        <w:t>أن تطوير نظام التلفزيون الرقمي يقوم، في جميع أنحاء العالم على إرسال التدفق الرقمي الذي يحتوي بوجه خاص على بيانات إضافية تتصل بمعلومات الخدمة التي يمكن استعمالها لتعظيم الإرسال الفيديوي في سلسلة التلفزيون الرقمي من طرف إلى طرف بالكامل. وأصبح من الممكن تعظيم جودة استنساخ الألوان بواسطة معالجة الصورة التلفزيونية عند طرفي سلسلة الإرسال بالكامل، بما في ذلك ظروف المشاهدة؛</w:t>
      </w:r>
    </w:p>
    <w:p w:rsidR="00026911" w:rsidRPr="00026911" w:rsidRDefault="00026911" w:rsidP="00026911">
      <w:pPr>
        <w:rPr>
          <w:rtl/>
        </w:rPr>
      </w:pPr>
      <w:r w:rsidRPr="00026911">
        <w:rPr>
          <w:rFonts w:hint="cs"/>
          <w:rtl/>
        </w:rPr>
        <w:t xml:space="preserve">ﻫ </w:t>
      </w:r>
      <w:r w:rsidRPr="00026911">
        <w:rPr>
          <w:rtl/>
        </w:rPr>
        <w:t>)</w:t>
      </w:r>
      <w:r w:rsidRPr="00026911">
        <w:rPr>
          <w:rtl/>
        </w:rPr>
        <w:tab/>
        <w:t xml:space="preserve">أن </w:t>
      </w:r>
      <w:r w:rsidRPr="00026911">
        <w:rPr>
          <w:rFonts w:hint="cs"/>
          <w:rtl/>
        </w:rPr>
        <w:t>استعمال إحصاءات الصورة الملونة، والخصائص الإدراكية البشرية للألوان ونموذج مناسب للألوان، يمكن أن يسمح بزيادة تحسين انضغاط الصورة، وينبغي اتخاذ قرار على أساس التوفيق بين جودة الصورة ولا سيما جودة استنساخ الصورة ودرجة تخفيض معدل البتات؛</w:t>
      </w:r>
    </w:p>
    <w:p w:rsidR="00026911" w:rsidRPr="00026911" w:rsidRDefault="00026911" w:rsidP="00026911">
      <w:pPr>
        <w:rPr>
          <w:rtl/>
        </w:rPr>
      </w:pPr>
      <w:r w:rsidRPr="00026911">
        <w:rPr>
          <w:rtl/>
        </w:rPr>
        <w:t>و )</w:t>
      </w:r>
      <w:r w:rsidRPr="00026911">
        <w:rPr>
          <w:rtl/>
        </w:rPr>
        <w:tab/>
        <w:t>أن</w:t>
      </w:r>
      <w:r w:rsidRPr="00026911">
        <w:rPr>
          <w:rFonts w:hint="cs"/>
          <w:rtl/>
        </w:rPr>
        <w:t xml:space="preserve"> استعمال طرائق جديدة لمعالجة انضغاط الصورة الملونة من شأنه أن يؤدي إلى إمكانيات جديدة لاستنساخ الألوان في التلفزيون الرقمي؛</w:t>
      </w:r>
    </w:p>
    <w:p w:rsidR="00026911" w:rsidRPr="00026911" w:rsidRDefault="00026911" w:rsidP="00026911">
      <w:pPr>
        <w:rPr>
          <w:rtl/>
        </w:rPr>
      </w:pPr>
      <w:r w:rsidRPr="00026911">
        <w:rPr>
          <w:rtl/>
        </w:rPr>
        <w:t>ز )</w:t>
      </w:r>
      <w:r w:rsidRPr="00026911">
        <w:rPr>
          <w:rtl/>
        </w:rPr>
        <w:tab/>
      </w:r>
      <w:r w:rsidRPr="00026911">
        <w:rPr>
          <w:rFonts w:hint="cs"/>
          <w:rtl/>
        </w:rPr>
        <w:t>أن الطرائق الجديدة لتشفير الفيديو الرقمي من أجل عرض الصور موجهة نحو تشفير عينة الصورة أو التشفير القائم على الأشياء. ويسمح استعمال العرض القائم على الأشياء للمعلومات الفيديوية بتحقيق انخفاض كبير في معدل البتات ويخضع استعماله في الإذاعة التلفزيونية ل</w:t>
      </w:r>
      <w:r w:rsidRPr="00026911">
        <w:rPr>
          <w:rFonts w:hint="cs"/>
          <w:rtl/>
          <w:lang w:bidi="ar-EG"/>
        </w:rPr>
        <w:t>ل</w:t>
      </w:r>
      <w:r w:rsidRPr="00026911">
        <w:rPr>
          <w:rFonts w:hint="cs"/>
          <w:rtl/>
        </w:rPr>
        <w:t xml:space="preserve">دراسة على الصعيد العالمي. </w:t>
      </w:r>
    </w:p>
    <w:p w:rsidR="00026911" w:rsidRPr="00026911" w:rsidRDefault="00026911" w:rsidP="00026911">
      <w:pPr>
        <w:rPr>
          <w:rtl/>
          <w:lang w:bidi="ar-EG"/>
        </w:rPr>
      </w:pPr>
      <w:r w:rsidRPr="00026911">
        <w:rPr>
          <w:rFonts w:hint="cs"/>
          <w:rtl/>
        </w:rPr>
        <w:t>ح)</w:t>
      </w:r>
      <w:r w:rsidRPr="00026911">
        <w:rPr>
          <w:rFonts w:hint="cs"/>
          <w:rtl/>
        </w:rPr>
        <w:tab/>
        <w:t>أن استعمال العرض القائم على الأشياء للمعلومات الفيديوية يعني إمكانية الاختلاف في ظروف التقاط الأشياء المنفصلة واستنساخها ومعالجتها، وأنه ينبغي توفير إمكانية التوفيق بين معلومات الأشياء المنفصلة بواسطة بيانات إضافية في</w:t>
      </w:r>
      <w:r w:rsidRPr="00026911">
        <w:rPr>
          <w:rFonts w:hint="eastAsia"/>
          <w:rtl/>
        </w:rPr>
        <w:t> </w:t>
      </w:r>
      <w:r w:rsidRPr="00026911">
        <w:rPr>
          <w:rFonts w:hint="cs"/>
          <w:rtl/>
        </w:rPr>
        <w:t xml:space="preserve">عملية إنتاج البرامج أو في معالجة فيديوية أخرى في سلسلة التلفزيون من طرف إلى طرف، وينبغي توفير هذه المعلومات </w:t>
      </w:r>
      <w:r w:rsidRPr="00026911">
        <w:rPr>
          <w:rFonts w:hint="cs"/>
          <w:rtl/>
          <w:lang w:bidi="ar-EG"/>
        </w:rPr>
        <w:t>في</w:t>
      </w:r>
      <w:r w:rsidRPr="00026911">
        <w:rPr>
          <w:rFonts w:hint="eastAsia"/>
          <w:rtl/>
          <w:lang w:bidi="ar-EG"/>
        </w:rPr>
        <w:t> </w:t>
      </w:r>
      <w:r w:rsidRPr="00026911">
        <w:rPr>
          <w:rFonts w:hint="cs"/>
          <w:rtl/>
          <w:lang w:bidi="ar-EG"/>
        </w:rPr>
        <w:t>ظروف المشاهدة العامة عند الإرسال و/أو الاستقبال؛</w:t>
      </w:r>
    </w:p>
    <w:p w:rsidR="00026911" w:rsidRPr="00026911" w:rsidRDefault="00026911" w:rsidP="00026911">
      <w:pPr>
        <w:rPr>
          <w:rtl/>
          <w:lang w:bidi="ar-EG"/>
        </w:rPr>
      </w:pPr>
      <w:r w:rsidRPr="00026911">
        <w:rPr>
          <w:rFonts w:hint="cs"/>
          <w:rtl/>
          <w:lang w:bidi="ar-EG"/>
        </w:rPr>
        <w:lastRenderedPageBreak/>
        <w:t>ط)</w:t>
      </w:r>
      <w:r w:rsidRPr="00026911">
        <w:rPr>
          <w:rFonts w:hint="cs"/>
          <w:rtl/>
          <w:lang w:bidi="ar-EG"/>
        </w:rPr>
        <w:tab/>
        <w:t>أن بعض أجهزة الاستقبال قد تستعمل في المستقبل خوارزميات لتنفيذ إجراء يسمح بالحصول على استنساخ أمثل للألوان على أساس ذاتي؛</w:t>
      </w:r>
    </w:p>
    <w:p w:rsidR="00026911" w:rsidRPr="00026911" w:rsidRDefault="00026911" w:rsidP="00026911">
      <w:pPr>
        <w:rPr>
          <w:rtl/>
          <w:lang w:bidi="ar-EG"/>
        </w:rPr>
      </w:pPr>
      <w:r w:rsidRPr="00026911">
        <w:rPr>
          <w:rFonts w:hint="cs"/>
          <w:rtl/>
          <w:lang w:bidi="ar-EG"/>
        </w:rPr>
        <w:t>ي)</w:t>
      </w:r>
      <w:r w:rsidRPr="00026911">
        <w:rPr>
          <w:rFonts w:hint="cs"/>
          <w:rtl/>
          <w:lang w:bidi="ar-EG"/>
        </w:rPr>
        <w:tab/>
        <w:t xml:space="preserve">أن مجموعة واحدة من المعلمات اللونية والخصائص المتصلة بها اللازمة لجميع الأنظمة التلفزيونية الرقمية في المستقبل، محددة في التوصية </w:t>
      </w:r>
      <w:r w:rsidRPr="00026911">
        <w:t>ITU-R BT.1361</w:t>
      </w:r>
      <w:r w:rsidRPr="00026911">
        <w:rPr>
          <w:rFonts w:hint="cs"/>
          <w:rtl/>
          <w:lang w:bidi="ar-EG"/>
        </w:rPr>
        <w:t xml:space="preserve"> فيما يتعلق بسلم الألوان التقليدي والموسع؛ </w:t>
      </w:r>
    </w:p>
    <w:p w:rsidR="00026911" w:rsidRPr="00026911" w:rsidRDefault="00026911" w:rsidP="00026911">
      <w:pPr>
        <w:rPr>
          <w:rtl/>
          <w:lang w:bidi="ar-EG"/>
        </w:rPr>
      </w:pPr>
      <w:r w:rsidRPr="00026911">
        <w:rPr>
          <w:rFonts w:hint="cs"/>
          <w:rtl/>
          <w:lang w:bidi="ar-EG"/>
        </w:rPr>
        <w:t>ك)</w:t>
      </w:r>
      <w:r w:rsidRPr="00026911">
        <w:rPr>
          <w:rFonts w:hint="cs"/>
          <w:rtl/>
          <w:lang w:bidi="ar-EG"/>
        </w:rPr>
        <w:tab/>
        <w:t>أن الطرائق الجديدة ينبغي أن تكون متوافقة مع الطرائق الحالية لإرسال اللون الرقمي، بحيث يمكن تشغيل الأنظمة بأحد الأسلوبين:</w:t>
      </w:r>
    </w:p>
    <w:p w:rsidR="00026911" w:rsidRPr="00026911" w:rsidRDefault="00026911" w:rsidP="00026911">
      <w:pPr>
        <w:rPr>
          <w:rtl/>
          <w:lang w:bidi="ar-EG"/>
        </w:rPr>
      </w:pPr>
      <w:r w:rsidRPr="00026911">
        <w:rPr>
          <w:rFonts w:hint="cs"/>
          <w:rtl/>
          <w:lang w:bidi="ar-EG"/>
        </w:rPr>
        <w:t>-</w:t>
      </w:r>
      <w:r w:rsidRPr="00026911">
        <w:rPr>
          <w:rFonts w:hint="cs"/>
          <w:rtl/>
          <w:lang w:bidi="ar-EG"/>
        </w:rPr>
        <w:tab/>
        <w:t>أنظمة تلفزيونية رقمية ذات ألوان غير تكييفية؛</w:t>
      </w:r>
    </w:p>
    <w:p w:rsidR="00026911" w:rsidRPr="00026911" w:rsidRDefault="00026911" w:rsidP="00026911">
      <w:pPr>
        <w:rPr>
          <w:rtl/>
          <w:lang w:bidi="ar-EG"/>
        </w:rPr>
      </w:pPr>
      <w:r w:rsidRPr="00026911">
        <w:rPr>
          <w:rFonts w:hint="cs"/>
          <w:rtl/>
          <w:lang w:bidi="ar-EG"/>
        </w:rPr>
        <w:t>-</w:t>
      </w:r>
      <w:r w:rsidRPr="00026911">
        <w:rPr>
          <w:rFonts w:hint="cs"/>
          <w:rtl/>
          <w:lang w:bidi="ar-EG"/>
        </w:rPr>
        <w:tab/>
        <w:t>أنظمة تلفزيونية رقمية ذات ألوان تكييفية،</w:t>
      </w:r>
    </w:p>
    <w:p w:rsidR="00026911" w:rsidRPr="00026911" w:rsidRDefault="00026911" w:rsidP="00026911">
      <w:pPr>
        <w:pStyle w:val="Call"/>
        <w:rPr>
          <w:rtl/>
        </w:rPr>
      </w:pPr>
      <w:r w:rsidRPr="00026911">
        <w:rPr>
          <w:rtl/>
        </w:rPr>
        <w:t>توص</w:t>
      </w:r>
      <w:r w:rsidRPr="00026911">
        <w:rPr>
          <w:rFonts w:hint="cs"/>
          <w:rtl/>
        </w:rPr>
        <w:t>ـ</w:t>
      </w:r>
      <w:r w:rsidRPr="00026911">
        <w:rPr>
          <w:rtl/>
        </w:rPr>
        <w:t>ي</w:t>
      </w:r>
    </w:p>
    <w:p w:rsidR="00026911" w:rsidRPr="00026911" w:rsidRDefault="00026911" w:rsidP="00026911">
      <w:pPr>
        <w:rPr>
          <w:rtl/>
          <w:lang w:bidi="ar-EG"/>
        </w:rPr>
      </w:pPr>
      <w:r w:rsidRPr="00026911">
        <w:rPr>
          <w:b/>
        </w:rPr>
        <w:t>1</w:t>
      </w:r>
      <w:r w:rsidRPr="00026911">
        <w:rPr>
          <w:rtl/>
        </w:rPr>
        <w:tab/>
      </w:r>
      <w:r w:rsidRPr="00026911">
        <w:rPr>
          <w:rFonts w:hint="cs"/>
          <w:rtl/>
        </w:rPr>
        <w:t>أن تقوم الحلول التقنية للأنظمة التلفزيونية ذات الألوان التكييفية على استعمال نماذج الألوان المصممة مع مراعاة تكييف النظام البصري للإنسان مع ظروف المشاهدة (التي تختلف أحياناً) عند طرفي الإرسال والاستقبال للمسار التلفزيوني من طرف إلى طرف؛</w:t>
      </w:r>
    </w:p>
    <w:p w:rsidR="00026911" w:rsidRPr="00026911" w:rsidRDefault="00026911" w:rsidP="00026911">
      <w:pPr>
        <w:rPr>
          <w:rtl/>
        </w:rPr>
      </w:pPr>
      <w:r w:rsidRPr="00026911">
        <w:rPr>
          <w:b/>
        </w:rPr>
        <w:t>2</w:t>
      </w:r>
      <w:r w:rsidRPr="00026911">
        <w:rPr>
          <w:rtl/>
        </w:rPr>
        <w:tab/>
      </w:r>
      <w:r w:rsidRPr="00026911">
        <w:rPr>
          <w:rFonts w:hint="cs"/>
          <w:rtl/>
        </w:rPr>
        <w:t xml:space="preserve">أن تتضمن البيانات الإضافية معلمات تتصل بالتقاط الشيء المحدد ومعالجته وإرساله، إلخ، في حالة عرض الصور القائم على الأشياء؛ </w:t>
      </w:r>
    </w:p>
    <w:p w:rsidR="00026911" w:rsidRPr="00026911" w:rsidRDefault="00026911" w:rsidP="00026911">
      <w:pPr>
        <w:rPr>
          <w:rtl/>
        </w:rPr>
      </w:pPr>
      <w:r w:rsidRPr="00026911">
        <w:rPr>
          <w:b/>
        </w:rPr>
        <w:t>3</w:t>
      </w:r>
      <w:r w:rsidRPr="00026911">
        <w:rPr>
          <w:rtl/>
        </w:rPr>
        <w:tab/>
      </w:r>
      <w:r w:rsidRPr="00026911">
        <w:rPr>
          <w:rFonts w:hint="cs"/>
          <w:rtl/>
        </w:rPr>
        <w:t>أن نماذج الألوان (القائمة على أساس العتبة أو غير العتبة) يمكن أن تشكل جزءاً من الأنظمة المستقبلية، وفي هذه الحالة يصبح النظام من الأنظمة التلفزيونية الرقمية ذات الألوان التكييفية؛</w:t>
      </w:r>
    </w:p>
    <w:p w:rsidR="00026911" w:rsidRPr="00026911" w:rsidRDefault="00026911" w:rsidP="00026911">
      <w:pPr>
        <w:rPr>
          <w:b/>
          <w:rtl/>
        </w:rPr>
      </w:pPr>
      <w:r w:rsidRPr="00026911">
        <w:rPr>
          <w:b/>
        </w:rPr>
        <w:t>4</w:t>
      </w:r>
      <w:r w:rsidRPr="00026911">
        <w:rPr>
          <w:rtl/>
        </w:rPr>
        <w:tab/>
      </w:r>
      <w:r w:rsidRPr="00026911">
        <w:rPr>
          <w:rFonts w:hint="cs"/>
          <w:rtl/>
          <w:lang w:bidi="ar-EG"/>
        </w:rPr>
        <w:t xml:space="preserve">أن التوافق مع السابق ضروري </w:t>
      </w:r>
      <w:r w:rsidRPr="00026911">
        <w:rPr>
          <w:rFonts w:hint="cs"/>
          <w:rtl/>
        </w:rPr>
        <w:t>للأنظمة التلفزيونية الرقمية ذات الألوان التكييفية</w:t>
      </w:r>
      <w:r w:rsidRPr="00026911">
        <w:rPr>
          <w:rFonts w:hint="cs"/>
          <w:b/>
          <w:rtl/>
        </w:rPr>
        <w:t xml:space="preserve">، وأنه ينبغي استعمال المعلمات اللونية والخصائص المرتبطة بها كما يرد وصفها في التوصية </w:t>
      </w:r>
      <w:r w:rsidRPr="00026911">
        <w:t>ITU-R BT.1361</w:t>
      </w:r>
      <w:r w:rsidRPr="00026911">
        <w:rPr>
          <w:rFonts w:hint="cs"/>
          <w:b/>
          <w:rtl/>
        </w:rPr>
        <w:t xml:space="preserve"> من أجل </w:t>
      </w:r>
      <w:r w:rsidRPr="00026911">
        <w:rPr>
          <w:rFonts w:hint="cs"/>
          <w:rtl/>
        </w:rPr>
        <w:t>الأنظمة التلفزيونية الرقمية ذات الألوان التكييفية</w:t>
      </w:r>
      <w:r w:rsidRPr="00026911">
        <w:rPr>
          <w:rFonts w:hint="cs"/>
          <w:b/>
          <w:rtl/>
        </w:rPr>
        <w:t>؛</w:t>
      </w:r>
    </w:p>
    <w:p w:rsidR="00026911" w:rsidRPr="00026911" w:rsidRDefault="00026911" w:rsidP="00026911">
      <w:pPr>
        <w:rPr>
          <w:rtl/>
        </w:rPr>
      </w:pPr>
      <w:r w:rsidRPr="00026911">
        <w:rPr>
          <w:b/>
        </w:rPr>
        <w:t>5</w:t>
      </w:r>
      <w:r w:rsidRPr="00026911">
        <w:rPr>
          <w:b/>
          <w:rtl/>
        </w:rPr>
        <w:tab/>
      </w:r>
      <w:r w:rsidRPr="00026911">
        <w:rPr>
          <w:rFonts w:hint="cs"/>
          <w:rtl/>
        </w:rPr>
        <w:t>أن يوصى في المستقبل بظروف المشاهدة الإضافية من أجل مشاهدة التلفزيون الملون.</w:t>
      </w:r>
    </w:p>
    <w:p w:rsidR="0009455D" w:rsidRPr="00952B02" w:rsidRDefault="0009455D" w:rsidP="0009455D">
      <w:pPr>
        <w:rPr>
          <w:rtl/>
        </w:rPr>
      </w:pPr>
    </w:p>
    <w:p w:rsidR="00952B02" w:rsidRPr="00952B02" w:rsidRDefault="00952B02" w:rsidP="0009455D">
      <w:pPr>
        <w:pStyle w:val="TOC1"/>
        <w:rPr>
          <w:rtl/>
        </w:rPr>
      </w:pPr>
      <w:r w:rsidRPr="00952B02">
        <w:rPr>
          <w:rFonts w:hint="cs"/>
          <w:rtl/>
        </w:rPr>
        <w:t>__________</w:t>
      </w:r>
    </w:p>
    <w:sectPr w:rsidR="00952B02" w:rsidRPr="00952B02" w:rsidSect="00026911">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2B02" w:rsidRDefault="00952B02">
      <w:r>
        <w:separator/>
      </w:r>
    </w:p>
  </w:endnote>
  <w:endnote w:type="continuationSeparator" w:id="0">
    <w:p w:rsidR="00952B02" w:rsidRDefault="00952B0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19774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5E066B" w:rsidRDefault="00197749" w:rsidP="005E066B">
    <w:pPr>
      <w:pStyle w:val="Footer"/>
      <w:rPr>
        <w:szCs w:val="18"/>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C67490">
    <w:pPr>
      <w:pStyle w:val="Footer"/>
    </w:pPr>
    <w:fldSimple w:instr=" FILENAME \p \* MERGEFORMAT ">
      <w:r w:rsidR="00C63199">
        <w:t>P:\QPUB\BR\REC\BT\1692-1\BT1692-1A.docx</w:t>
      </w:r>
    </w:fldSimple>
    <w:r w:rsidR="00197749">
      <w:tab/>
    </w:r>
    <w:r>
      <w:fldChar w:fldCharType="begin"/>
    </w:r>
    <w:r w:rsidR="00197749">
      <w:instrText xml:space="preserve"> savedate \@ dd.MM.yy </w:instrText>
    </w:r>
    <w:r>
      <w:fldChar w:fldCharType="separate"/>
    </w:r>
    <w:r w:rsidR="00C63199">
      <w:t>25.02.10</w:t>
    </w:r>
    <w:r>
      <w:fldChar w:fldCharType="end"/>
    </w:r>
    <w:r w:rsidR="00197749">
      <w:tab/>
    </w:r>
    <w:r>
      <w:fldChar w:fldCharType="begin"/>
    </w:r>
    <w:r w:rsidR="00197749">
      <w:instrText xml:space="preserve"> printdate \@ dd.MM.yy </w:instrText>
    </w:r>
    <w:r>
      <w:fldChar w:fldCharType="separate"/>
    </w:r>
    <w:r w:rsidR="00C63199">
      <w:t>25.02.10</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2B02" w:rsidRDefault="00952B02" w:rsidP="00E1601B">
      <w:pPr>
        <w:spacing w:line="240" w:lineRule="auto"/>
      </w:pPr>
      <w:r>
        <w:t>____________________</w:t>
      </w:r>
    </w:p>
  </w:footnote>
  <w:footnote w:type="continuationSeparator" w:id="0">
    <w:p w:rsidR="00952B02" w:rsidRDefault="00952B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17C" w:rsidRPr="003D017C" w:rsidRDefault="003D017C"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3D017C">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17C" w:rsidRPr="003D017C" w:rsidRDefault="00C67490" w:rsidP="00026911">
    <w:pPr>
      <w:pStyle w:val="Header"/>
      <w:tabs>
        <w:tab w:val="center" w:pos="4819"/>
        <w:tab w:val="right" w:pos="9639"/>
      </w:tabs>
      <w:jc w:val="both"/>
      <w:rPr>
        <w:b w:val="0"/>
        <w:bCs w:val="0"/>
        <w:rtl/>
        <w:lang w:bidi="ar-EG"/>
      </w:rPr>
    </w:pPr>
    <w:r w:rsidRPr="003D017C">
      <w:rPr>
        <w:b w:val="0"/>
        <w:bCs w:val="0"/>
      </w:rPr>
      <w:fldChar w:fldCharType="begin"/>
    </w:r>
    <w:r w:rsidR="00952B02" w:rsidRPr="003D017C">
      <w:rPr>
        <w:b w:val="0"/>
        <w:bCs w:val="0"/>
      </w:rPr>
      <w:instrText xml:space="preserve"> PAGE   \* MERGEFORMAT </w:instrText>
    </w:r>
    <w:r w:rsidRPr="003D017C">
      <w:rPr>
        <w:b w:val="0"/>
        <w:bCs w:val="0"/>
      </w:rPr>
      <w:fldChar w:fldCharType="separate"/>
    </w:r>
    <w:r w:rsidR="00026911">
      <w:rPr>
        <w:b w:val="0"/>
        <w:bCs w:val="0"/>
        <w:noProof/>
      </w:rPr>
      <w:t>ii</w:t>
    </w:r>
    <w:r w:rsidRPr="003D017C">
      <w:rPr>
        <w:b w:val="0"/>
        <w:bCs w:val="0"/>
      </w:rPr>
      <w:fldChar w:fldCharType="end"/>
    </w:r>
    <w:r w:rsidR="003D017C">
      <w:tab/>
    </w:r>
    <w:r w:rsidR="003D017C" w:rsidRPr="00E1601B">
      <w:rPr>
        <w:rtl/>
      </w:rPr>
      <w:t>التوصية</w:t>
    </w:r>
    <w:r w:rsidR="003D017C">
      <w:rPr>
        <w:rFonts w:hint="cs"/>
        <w:b w:val="0"/>
        <w:bCs w:val="0"/>
        <w:rtl/>
      </w:rPr>
      <w:t xml:space="preserve"> </w:t>
    </w:r>
    <w:r w:rsidR="003D017C" w:rsidRPr="002C0F17">
      <w:rPr>
        <w:b w:val="0"/>
        <w:bCs w:val="0"/>
        <w:rtl/>
      </w:rPr>
      <w:t xml:space="preserve"> </w:t>
    </w:r>
    <w:r w:rsidR="003D017C" w:rsidRPr="002C0F17">
      <w:rPr>
        <w:b w:val="0"/>
        <w:bCs w:val="0"/>
      </w:rPr>
      <w:t>ITU-R</w:t>
    </w:r>
    <w:r w:rsidR="003D017C">
      <w:rPr>
        <w:b w:val="0"/>
        <w:bCs w:val="0"/>
      </w:rPr>
      <w:t xml:space="preserve"> </w:t>
    </w:r>
    <w:r w:rsidR="003D017C" w:rsidRPr="002C0F17">
      <w:rPr>
        <w:b w:val="0"/>
        <w:bCs w:val="0"/>
      </w:rPr>
      <w:t xml:space="preserve"> </w:t>
    </w:r>
    <w:r w:rsidR="00952B02">
      <w:rPr>
        <w:b w:val="0"/>
        <w:bCs w:val="0"/>
      </w:rPr>
      <w:t>BT</w:t>
    </w:r>
    <w:r w:rsidR="003D017C">
      <w:rPr>
        <w:b w:val="0"/>
        <w:bCs w:val="0"/>
      </w:rPr>
      <w:t>.</w:t>
    </w:r>
    <w:r w:rsidR="00952B02">
      <w:rPr>
        <w:b w:val="0"/>
        <w:bCs w:val="0"/>
      </w:rPr>
      <w:t>169</w:t>
    </w:r>
    <w:r w:rsidR="00026911">
      <w:rPr>
        <w:b w:val="0"/>
        <w:bCs w:val="0"/>
      </w:rPr>
      <w:t>2</w:t>
    </w:r>
    <w:r w:rsidR="00952B02">
      <w:rPr>
        <w:b w:val="0"/>
        <w:bCs w:val="0"/>
      </w:rPr>
      <w:t>-1</w:t>
    </w:r>
    <w:r w:rsidR="003D017C">
      <w:rPr>
        <w:b w:val="0"/>
        <w:bCs w:val="0"/>
      </w:rP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3D017C" w:rsidRDefault="00C67490" w:rsidP="00743AC4">
    <w:pPr>
      <w:pStyle w:val="Header"/>
      <w:tabs>
        <w:tab w:val="center" w:pos="4819"/>
      </w:tabs>
      <w:jc w:val="both"/>
      <w:rPr>
        <w:b w:val="0"/>
        <w:bCs w:val="0"/>
        <w:lang w:bidi="ar-EG"/>
      </w:rPr>
    </w:pPr>
    <w:r>
      <w:rPr>
        <w:lang w:bidi="ar-EG"/>
      </w:rPr>
      <w:fldChar w:fldCharType="begin"/>
    </w:r>
    <w:r w:rsidR="00743AC4">
      <w:rPr>
        <w:lang w:bidi="ar-EG"/>
      </w:rPr>
      <w:instrText xml:space="preserve"> PAGE   \* MERGEFORMAT </w:instrText>
    </w:r>
    <w:r>
      <w:rPr>
        <w:lang w:bidi="ar-EG"/>
      </w:rPr>
      <w:fldChar w:fldCharType="separate"/>
    </w:r>
    <w:r w:rsidR="00C63199">
      <w:rPr>
        <w:noProof/>
        <w:lang w:bidi="ar-EG"/>
      </w:rPr>
      <w:t>ii</w:t>
    </w:r>
    <w:r>
      <w:rPr>
        <w:lang w:bidi="ar-EG"/>
      </w:rPr>
      <w:fldChar w:fldCharType="end"/>
    </w:r>
    <w:r w:rsidR="00743AC4">
      <w:rPr>
        <w:rFonts w:hint="cs"/>
        <w:rtl/>
        <w:lang w:bidi="ar-EG"/>
      </w:rPr>
      <w:tab/>
    </w:r>
    <w:r w:rsidR="003D017C" w:rsidRPr="00E1601B">
      <w:rPr>
        <w:rtl/>
      </w:rPr>
      <w:t>التوصية</w:t>
    </w:r>
    <w:r w:rsidR="003D017C">
      <w:rPr>
        <w:rFonts w:hint="cs"/>
        <w:b w:val="0"/>
        <w:bCs w:val="0"/>
        <w:rtl/>
      </w:rPr>
      <w:t xml:space="preserve"> </w:t>
    </w:r>
    <w:r w:rsidR="003D017C" w:rsidRPr="002C0F17">
      <w:rPr>
        <w:b w:val="0"/>
        <w:bCs w:val="0"/>
        <w:rtl/>
      </w:rPr>
      <w:t xml:space="preserve"> </w:t>
    </w:r>
    <w:r w:rsidR="003D017C" w:rsidRPr="002C0F17">
      <w:rPr>
        <w:b w:val="0"/>
        <w:bCs w:val="0"/>
      </w:rPr>
      <w:t>ITU-R</w:t>
    </w:r>
    <w:r w:rsidR="003D017C">
      <w:rPr>
        <w:b w:val="0"/>
        <w:bCs w:val="0"/>
      </w:rPr>
      <w:t xml:space="preserve"> </w:t>
    </w:r>
    <w:r w:rsidR="003D017C" w:rsidRPr="002C0F17">
      <w:rPr>
        <w:b w:val="0"/>
        <w:bCs w:val="0"/>
      </w:rPr>
      <w:t xml:space="preserve"> </w:t>
    </w:r>
    <w:r w:rsidR="00743AC4">
      <w:rPr>
        <w:b w:val="0"/>
        <w:bCs w:val="0"/>
      </w:rPr>
      <w:t>BT</w:t>
    </w:r>
    <w:r w:rsidR="003D017C">
      <w:rPr>
        <w:b w:val="0"/>
        <w:bCs w:val="0"/>
      </w:rPr>
      <w:t>.</w:t>
    </w:r>
    <w:r w:rsidR="00743AC4">
      <w:rPr>
        <w:b w:val="0"/>
        <w:bCs w:val="0"/>
      </w:rPr>
      <w:t>1692-1</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C67490" w:rsidP="008B76A0">
    <w:pPr>
      <w:pStyle w:val="Header"/>
      <w:framePr w:wrap="around" w:vAnchor="text" w:hAnchor="text" w:xAlign="inside" w:y="1"/>
      <w:rPr>
        <w:rStyle w:val="PageNumber"/>
      </w:rPr>
    </w:pPr>
    <w:r>
      <w:rPr>
        <w:rStyle w:val="PageNumber"/>
        <w:rtl/>
      </w:rPr>
      <w:fldChar w:fldCharType="begin"/>
    </w:r>
    <w:r w:rsidR="00197749">
      <w:rPr>
        <w:rStyle w:val="PageNumber"/>
      </w:rPr>
      <w:instrText xml:space="preserve">PAGE  </w:instrText>
    </w:r>
    <w:r>
      <w:rPr>
        <w:rStyle w:val="PageNumber"/>
        <w:rtl/>
      </w:rPr>
      <w:fldChar w:fldCharType="separate"/>
    </w:r>
    <w:r w:rsidR="00026911">
      <w:rPr>
        <w:rStyle w:val="PageNumber"/>
        <w:noProof/>
        <w:rtl/>
      </w:rPr>
      <w:t>2</w:t>
    </w:r>
    <w:r>
      <w:rPr>
        <w:rStyle w:val="PageNumber"/>
        <w:rtl/>
      </w:rPr>
      <w:fldChar w:fldCharType="end"/>
    </w:r>
  </w:p>
  <w:p w:rsidR="00197749" w:rsidRDefault="00197749" w:rsidP="00A0453F">
    <w:pPr>
      <w:pStyle w:val="Header"/>
      <w:ind w:right="360"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5E066B" w:rsidRDefault="00C67490"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00197749"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C63199">
      <w:rPr>
        <w:rStyle w:val="PageNumber"/>
        <w:rFonts w:ascii="Times New Roman" w:hAnsi="Times New Roman" w:cs="Times New Roman"/>
        <w:noProof/>
        <w:szCs w:val="22"/>
        <w:rtl/>
      </w:rPr>
      <w:t>1</w:t>
    </w:r>
    <w:r w:rsidRPr="005E066B">
      <w:rPr>
        <w:rStyle w:val="PageNumber"/>
        <w:rFonts w:ascii="Times New Roman" w:hAnsi="Times New Roman" w:cs="Times New Roman"/>
        <w:szCs w:val="22"/>
        <w:rtl/>
      </w:rPr>
      <w:fldChar w:fldCharType="end"/>
    </w:r>
  </w:p>
  <w:p w:rsidR="00197749" w:rsidRPr="002C0F17" w:rsidRDefault="00197749" w:rsidP="00026911">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00952B02">
      <w:rPr>
        <w:b w:val="0"/>
        <w:bCs w:val="0"/>
      </w:rPr>
      <w:t>BT</w:t>
    </w:r>
    <w:r>
      <w:rPr>
        <w:b w:val="0"/>
        <w:bCs w:val="0"/>
      </w:rPr>
      <w:t>.</w:t>
    </w:r>
    <w:r w:rsidR="00952B02">
      <w:rPr>
        <w:b w:val="0"/>
        <w:bCs w:val="0"/>
      </w:rPr>
      <w:t>169</w:t>
    </w:r>
    <w:r w:rsidR="00026911">
      <w:rPr>
        <w:b w:val="0"/>
        <w:bCs w:val="0"/>
      </w:rPr>
      <w:t>2</w:t>
    </w:r>
    <w:r w:rsidR="00952B02">
      <w:rPr>
        <w:b w:val="0"/>
        <w:bCs w:val="0"/>
      </w:rPr>
      <w:t>-1</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19774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001"/>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3313"/>
  </w:hdrShapeDefaults>
  <w:footnotePr>
    <w:footnote w:id="-1"/>
    <w:footnote w:id="0"/>
  </w:footnotePr>
  <w:endnotePr>
    <w:endnote w:id="-1"/>
    <w:endnote w:id="0"/>
  </w:endnotePr>
  <w:compat/>
  <w:rsids>
    <w:rsidRoot w:val="0009455D"/>
    <w:rsid w:val="00002849"/>
    <w:rsid w:val="00004474"/>
    <w:rsid w:val="00012FA3"/>
    <w:rsid w:val="00026911"/>
    <w:rsid w:val="00027907"/>
    <w:rsid w:val="000473FF"/>
    <w:rsid w:val="000522D1"/>
    <w:rsid w:val="00067954"/>
    <w:rsid w:val="00081122"/>
    <w:rsid w:val="0009455D"/>
    <w:rsid w:val="00096F01"/>
    <w:rsid w:val="000A079C"/>
    <w:rsid w:val="000B30D7"/>
    <w:rsid w:val="000F6D38"/>
    <w:rsid w:val="001048FC"/>
    <w:rsid w:val="00113EE4"/>
    <w:rsid w:val="001231D6"/>
    <w:rsid w:val="00132731"/>
    <w:rsid w:val="00140B98"/>
    <w:rsid w:val="001568ED"/>
    <w:rsid w:val="0017413D"/>
    <w:rsid w:val="00182385"/>
    <w:rsid w:val="00183CAB"/>
    <w:rsid w:val="00197749"/>
    <w:rsid w:val="001B03B8"/>
    <w:rsid w:val="001D2146"/>
    <w:rsid w:val="001E0B6B"/>
    <w:rsid w:val="001F23C7"/>
    <w:rsid w:val="00201143"/>
    <w:rsid w:val="002137FD"/>
    <w:rsid w:val="002144CB"/>
    <w:rsid w:val="00230502"/>
    <w:rsid w:val="00271843"/>
    <w:rsid w:val="002971E7"/>
    <w:rsid w:val="002B261D"/>
    <w:rsid w:val="002C0F17"/>
    <w:rsid w:val="002C1FE8"/>
    <w:rsid w:val="002D3483"/>
    <w:rsid w:val="002E7058"/>
    <w:rsid w:val="00303491"/>
    <w:rsid w:val="00304728"/>
    <w:rsid w:val="0030719D"/>
    <w:rsid w:val="00314E5F"/>
    <w:rsid w:val="00340205"/>
    <w:rsid w:val="00380511"/>
    <w:rsid w:val="003D017C"/>
    <w:rsid w:val="003D307E"/>
    <w:rsid w:val="003D40E1"/>
    <w:rsid w:val="003F15D8"/>
    <w:rsid w:val="00402F6B"/>
    <w:rsid w:val="0041016E"/>
    <w:rsid w:val="00422D17"/>
    <w:rsid w:val="0042647B"/>
    <w:rsid w:val="0044201D"/>
    <w:rsid w:val="004910A2"/>
    <w:rsid w:val="004B094A"/>
    <w:rsid w:val="004D79B4"/>
    <w:rsid w:val="004E1620"/>
    <w:rsid w:val="004E7D1E"/>
    <w:rsid w:val="00506547"/>
    <w:rsid w:val="00511801"/>
    <w:rsid w:val="00527EAF"/>
    <w:rsid w:val="005514CA"/>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67C08"/>
    <w:rsid w:val="00686ACA"/>
    <w:rsid w:val="006F0DD4"/>
    <w:rsid w:val="007362CE"/>
    <w:rsid w:val="00743AC4"/>
    <w:rsid w:val="00794E1C"/>
    <w:rsid w:val="00796F0C"/>
    <w:rsid w:val="007B1739"/>
    <w:rsid w:val="007C58FE"/>
    <w:rsid w:val="007D7E68"/>
    <w:rsid w:val="00802B34"/>
    <w:rsid w:val="00811188"/>
    <w:rsid w:val="008113E9"/>
    <w:rsid w:val="00815E12"/>
    <w:rsid w:val="0083115C"/>
    <w:rsid w:val="00846C0D"/>
    <w:rsid w:val="008656C3"/>
    <w:rsid w:val="0087705A"/>
    <w:rsid w:val="00894394"/>
    <w:rsid w:val="008B76A0"/>
    <w:rsid w:val="008C5CCB"/>
    <w:rsid w:val="008C6A66"/>
    <w:rsid w:val="008C733D"/>
    <w:rsid w:val="00904910"/>
    <w:rsid w:val="00912A86"/>
    <w:rsid w:val="00925FAA"/>
    <w:rsid w:val="00930F9D"/>
    <w:rsid w:val="009352F6"/>
    <w:rsid w:val="00936CB4"/>
    <w:rsid w:val="00952B02"/>
    <w:rsid w:val="009533AE"/>
    <w:rsid w:val="0096112A"/>
    <w:rsid w:val="009643BD"/>
    <w:rsid w:val="00964A11"/>
    <w:rsid w:val="00972570"/>
    <w:rsid w:val="009845C0"/>
    <w:rsid w:val="009C6655"/>
    <w:rsid w:val="00A0453F"/>
    <w:rsid w:val="00A163C1"/>
    <w:rsid w:val="00A177D7"/>
    <w:rsid w:val="00A2420C"/>
    <w:rsid w:val="00A56CCF"/>
    <w:rsid w:val="00A70D90"/>
    <w:rsid w:val="00A96D62"/>
    <w:rsid w:val="00AB2BD9"/>
    <w:rsid w:val="00AE09F4"/>
    <w:rsid w:val="00AE2234"/>
    <w:rsid w:val="00AE46C8"/>
    <w:rsid w:val="00AE7C5A"/>
    <w:rsid w:val="00AF5F81"/>
    <w:rsid w:val="00AF6ABB"/>
    <w:rsid w:val="00B16E8C"/>
    <w:rsid w:val="00B22D33"/>
    <w:rsid w:val="00B244FA"/>
    <w:rsid w:val="00B452E5"/>
    <w:rsid w:val="00B978E1"/>
    <w:rsid w:val="00BE0D0E"/>
    <w:rsid w:val="00BF3DD6"/>
    <w:rsid w:val="00C04244"/>
    <w:rsid w:val="00C1100F"/>
    <w:rsid w:val="00C46925"/>
    <w:rsid w:val="00C50B28"/>
    <w:rsid w:val="00C53F27"/>
    <w:rsid w:val="00C63199"/>
    <w:rsid w:val="00C67490"/>
    <w:rsid w:val="00C71576"/>
    <w:rsid w:val="00C93F89"/>
    <w:rsid w:val="00C94B6E"/>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670F"/>
    <w:rsid w:val="00E103BB"/>
    <w:rsid w:val="00E12EB0"/>
    <w:rsid w:val="00E1601B"/>
    <w:rsid w:val="00E3032C"/>
    <w:rsid w:val="00E45AFF"/>
    <w:rsid w:val="00E577A6"/>
    <w:rsid w:val="00E6418C"/>
    <w:rsid w:val="00E650A3"/>
    <w:rsid w:val="00E736B4"/>
    <w:rsid w:val="00E9048A"/>
    <w:rsid w:val="00EC2BCA"/>
    <w:rsid w:val="00EF0744"/>
    <w:rsid w:val="00EF7CB5"/>
    <w:rsid w:val="00F22C87"/>
    <w:rsid w:val="00F3359B"/>
    <w:rsid w:val="00F40BC5"/>
    <w:rsid w:val="00F82FD6"/>
    <w:rsid w:val="00F95755"/>
    <w:rsid w:val="00FA3938"/>
    <w:rsid w:val="00FF030F"/>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2,3"/>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A177D7"/>
    <w:pPr>
      <w:tabs>
        <w:tab w:val="right" w:pos="1814"/>
      </w:tabs>
      <w:spacing w:before="80"/>
      <w:ind w:left="1985" w:righ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A177D7"/>
    <w:pPr>
      <w:keepNext/>
      <w:keepLines/>
      <w:jc w:val="right"/>
    </w:pPr>
    <w:rPr>
      <w:i/>
    </w:r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autoRedefine/>
    <w:rsid w:val="0009455D"/>
    <w:pPr>
      <w:ind w:left="794" w:hanging="794"/>
      <w:jc w:val="center"/>
    </w:pPr>
    <w:rPr>
      <w:lang w:bidi="ar-SY"/>
    </w:rPr>
  </w:style>
  <w:style w:type="paragraph" w:styleId="TOC2">
    <w:name w:val="toc 2"/>
    <w:basedOn w:val="TOC1"/>
    <w:rsid w:val="00A177D7"/>
    <w:pPr>
      <w:spacing w:before="80"/>
      <w:ind w:left="1531" w:right="1531" w:hanging="851"/>
    </w:pPr>
  </w:style>
  <w:style w:type="paragraph" w:styleId="TOC3">
    <w:name w:val="toc 3"/>
    <w:basedOn w:val="TOC2"/>
    <w:rsid w:val="002971E7"/>
    <w:pPr>
      <w:spacing w:before="0"/>
      <w:ind w:hanging="737"/>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AB2BD9"/>
    <w:pPr>
      <w:spacing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183CAB"/>
    <w:rPr>
      <w:rFonts w:ascii="Times New Roman Bold"/>
      <w:b/>
      <w:bCs/>
    </w:rPr>
  </w:style>
  <w:style w:type="character" w:styleId="FollowedHyperlink">
    <w:name w:val="FollowedHyperlink"/>
    <w:basedOn w:val="DefaultParagraphFont"/>
    <w:rsid w:val="00D2107D"/>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QPUB\BR\COUVERTURES\Couvertures_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4DBE1C-D7BA-4C2D-82D7-691F95FC0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Couvertures_A.dotx</Template>
  <TotalTime>12</TotalTime>
  <Pages>4</Pages>
  <Words>875</Words>
  <Characters>5002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5866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4</cp:revision>
  <cp:lastPrinted>2010-02-25T09:39:00Z</cp:lastPrinted>
  <dcterms:created xsi:type="dcterms:W3CDTF">2010-02-25T09:31:00Z</dcterms:created>
  <dcterms:modified xsi:type="dcterms:W3CDTF">2010-02-25T09:40:00Z</dcterms:modified>
</cp:coreProperties>
</file>