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7C2CA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7C2CA6">
              <w:rPr>
                <w:rFonts w:ascii="Tahoma" w:hAnsi="Tahoma" w:cs="Tahoma"/>
                <w:b/>
                <w:bCs/>
                <w:iCs/>
                <w:color w:val="243285"/>
                <w:sz w:val="36"/>
                <w:szCs w:val="36"/>
                <w:lang w:val="es-ES_tradnl"/>
              </w:rPr>
              <w:t>1299-1</w:t>
            </w:r>
          </w:p>
          <w:p w:rsidR="00227CED" w:rsidRPr="0010336F" w:rsidRDefault="00227CED" w:rsidP="007C2CA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7C2CA6">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7C2CA6">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27CED" w:rsidRPr="00EC52FA"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7C2CA6" w:rsidP="007C2CA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Elementos básicos de una familia mundial común de sistemas de radiodifusión</w:t>
            </w:r>
            <w:r>
              <w:rPr>
                <w:rFonts w:ascii="Tahoma" w:hAnsi="Tahoma" w:cs="Tahoma"/>
                <w:b/>
                <w:bCs/>
                <w:color w:val="243285"/>
                <w:sz w:val="44"/>
                <w:szCs w:val="44"/>
                <w:lang w:val="es-ES_tradnl"/>
              </w:rPr>
              <w:br/>
              <w:t>de televisión digital terrenal</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EC52FA"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EC52FA"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EC52FA"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EC52FA"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EC52FA"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EC52F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EC52F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EC52F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EC52FA"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F77F28" w:rsidRDefault="007C2CA6" w:rsidP="007C2CA6">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BT.1299-1</w:t>
      </w:r>
      <w:r w:rsidRPr="0092719F">
        <w:rPr>
          <w:rStyle w:val="FootnoteReference"/>
          <w:lang w:val="es-ES_tradnl"/>
        </w:rPr>
        <w:footnoteReference w:customMarkFollows="1" w:id="1"/>
        <w:t>*</w:t>
      </w:r>
    </w:p>
    <w:p w:rsidR="007C2CA6" w:rsidRPr="0092719F" w:rsidRDefault="007C2CA6" w:rsidP="004733ED">
      <w:pPr>
        <w:pStyle w:val="Rectitle"/>
        <w:rPr>
          <w:lang w:val="es-ES_tradnl"/>
        </w:rPr>
      </w:pPr>
      <w:r>
        <w:rPr>
          <w:lang w:val="es-ES_tradnl"/>
        </w:rPr>
        <w:t>Elem</w:t>
      </w:r>
      <w:r w:rsidRPr="0092719F">
        <w:rPr>
          <w:lang w:val="es-ES_tradnl"/>
        </w:rPr>
        <w:t>e</w:t>
      </w:r>
      <w:r>
        <w:rPr>
          <w:lang w:val="es-ES_tradnl"/>
        </w:rPr>
        <w:t>ntos básicos de una familia mundial común de</w:t>
      </w:r>
      <w:r w:rsidR="004733ED">
        <w:rPr>
          <w:lang w:val="es-ES_tradnl"/>
        </w:rPr>
        <w:t xml:space="preserve"> </w:t>
      </w:r>
      <w:r>
        <w:rPr>
          <w:lang w:val="es-ES_tradnl"/>
        </w:rPr>
        <w:t>sistemas</w:t>
      </w:r>
      <w:r w:rsidR="004733ED">
        <w:rPr>
          <w:lang w:val="es-ES_tradnl"/>
        </w:rPr>
        <w:br/>
      </w:r>
      <w:r>
        <w:rPr>
          <w:lang w:val="es-ES_tradnl"/>
        </w:rPr>
        <w:t>de radiodifusión de televisión digital terrenal</w:t>
      </w:r>
      <w:r>
        <w:rPr>
          <w:rStyle w:val="FootnoteReference"/>
          <w:lang w:val="es-ES_tradnl"/>
        </w:rPr>
        <w:footnoteReference w:customMarkFollows="1" w:id="2"/>
        <w:t>**</w:t>
      </w:r>
    </w:p>
    <w:p w:rsidR="007C2CA6" w:rsidRPr="0092719F" w:rsidRDefault="007C2CA6" w:rsidP="007C2CA6">
      <w:pPr>
        <w:pStyle w:val="Recdate"/>
        <w:rPr>
          <w:lang w:val="es-ES_tradnl"/>
        </w:rPr>
      </w:pPr>
    </w:p>
    <w:p w:rsidR="007C2CA6" w:rsidRPr="0092719F" w:rsidRDefault="007C2CA6" w:rsidP="007C2CA6">
      <w:pPr>
        <w:pStyle w:val="Recdate"/>
        <w:rPr>
          <w:lang w:val="es-ES_tradnl"/>
        </w:rPr>
      </w:pPr>
      <w:r>
        <w:rPr>
          <w:lang w:val="es-ES_tradnl"/>
        </w:rPr>
        <w:t>(19</w:t>
      </w:r>
      <w:r w:rsidRPr="0092719F">
        <w:rPr>
          <w:lang w:val="es-ES_tradnl"/>
        </w:rPr>
        <w:t>9</w:t>
      </w:r>
      <w:r>
        <w:rPr>
          <w:lang w:val="es-ES_tradnl"/>
        </w:rPr>
        <w:t>7</w:t>
      </w:r>
      <w:r w:rsidRPr="0092719F">
        <w:rPr>
          <w:lang w:val="es-ES_tradnl"/>
        </w:rPr>
        <w:t>-2010)</w:t>
      </w:r>
    </w:p>
    <w:p w:rsidR="004733ED" w:rsidRPr="00EC52FA" w:rsidRDefault="004733ED" w:rsidP="004733ED">
      <w:pPr>
        <w:rPr>
          <w:lang w:val="es-ES_tradnl" w:eastAsia="ja-JP"/>
        </w:rPr>
      </w:pPr>
    </w:p>
    <w:p w:rsidR="007C2CA6" w:rsidRPr="0092719F" w:rsidRDefault="007C2CA6" w:rsidP="007C2CA6">
      <w:pPr>
        <w:pStyle w:val="HeadingSum"/>
        <w:rPr>
          <w:lang w:eastAsia="ja-JP"/>
        </w:rPr>
      </w:pPr>
      <w:r w:rsidRPr="0092719F">
        <w:rPr>
          <w:lang w:eastAsia="ja-JP"/>
        </w:rPr>
        <w:t>Cometido</w:t>
      </w:r>
    </w:p>
    <w:p w:rsidR="007C2CA6" w:rsidRPr="0092719F" w:rsidRDefault="007C2CA6" w:rsidP="007C2CA6">
      <w:pPr>
        <w:pStyle w:val="Summary"/>
        <w:rPr>
          <w:lang w:eastAsia="ja-JP"/>
        </w:rPr>
      </w:pPr>
      <w:r>
        <w:t>Esta Recomendación describe los principios de los elementos comunes, incluida la codificación de fuente en banda base, la multiplexión y la modulación y codificación de canal para los sistemas de radiodifusión de televisión digital terrenal</w:t>
      </w:r>
      <w:r w:rsidRPr="0092719F">
        <w:rPr>
          <w:lang w:eastAsia="ja-JP"/>
        </w:rPr>
        <w:t>.</w:t>
      </w:r>
    </w:p>
    <w:p w:rsidR="007C2CA6" w:rsidRPr="00DA6AB0" w:rsidRDefault="007C2CA6" w:rsidP="007C2CA6">
      <w:pPr>
        <w:pStyle w:val="Normalaftertitle"/>
        <w:rPr>
          <w:lang w:val="es-ES_tradnl"/>
        </w:rPr>
      </w:pPr>
      <w:r w:rsidRPr="00DA6AB0">
        <w:rPr>
          <w:lang w:val="es-ES_tradnl"/>
        </w:rPr>
        <w:t>La Asamblea de Radiocomunicaciones de la UIT,</w:t>
      </w:r>
    </w:p>
    <w:p w:rsidR="007C2CA6" w:rsidRPr="0092719F" w:rsidRDefault="007C2CA6" w:rsidP="007C2CA6">
      <w:pPr>
        <w:pStyle w:val="Call"/>
        <w:rPr>
          <w:lang w:val="es-ES_tradnl"/>
        </w:rPr>
      </w:pPr>
      <w:r w:rsidRPr="0092719F">
        <w:rPr>
          <w:lang w:val="es-ES_tradnl"/>
        </w:rPr>
        <w:t>considerando</w:t>
      </w:r>
    </w:p>
    <w:p w:rsidR="007C2CA6" w:rsidRPr="0092719F" w:rsidRDefault="007C2CA6" w:rsidP="007C2CA6">
      <w:pPr>
        <w:rPr>
          <w:lang w:val="es-ES_tradnl"/>
        </w:rPr>
      </w:pPr>
      <w:r w:rsidRPr="0092719F">
        <w:rPr>
          <w:lang w:val="es-ES_tradnl"/>
        </w:rPr>
        <w:t>a)</w:t>
      </w:r>
      <w:r w:rsidRPr="0092719F">
        <w:rPr>
          <w:lang w:val="es-ES_tradnl"/>
        </w:rPr>
        <w:tab/>
      </w:r>
      <w:r>
        <w:rPr>
          <w:lang w:val="es-ES_tradnl"/>
        </w:rPr>
        <w:t xml:space="preserve">las numerosas ventajas </w:t>
      </w:r>
      <w:r w:rsidRPr="0092719F">
        <w:rPr>
          <w:lang w:val="es-ES_tradnl"/>
        </w:rPr>
        <w:t xml:space="preserve">que </w:t>
      </w:r>
      <w:r>
        <w:rPr>
          <w:lang w:val="es-ES_tradnl"/>
        </w:rPr>
        <w:t>ofrece la existencia de normas comunes para la radiodifusión de televisión</w:t>
      </w:r>
      <w:r w:rsidRPr="0092719F">
        <w:rPr>
          <w:lang w:val="es-ES_tradnl"/>
        </w:rPr>
        <w:t>;</w:t>
      </w:r>
    </w:p>
    <w:p w:rsidR="007C2CA6" w:rsidRPr="0092719F" w:rsidRDefault="007C2CA6" w:rsidP="007C2CA6">
      <w:pPr>
        <w:rPr>
          <w:lang w:val="es-ES_tradnl"/>
        </w:rPr>
      </w:pPr>
      <w:r w:rsidRPr="0092719F">
        <w:rPr>
          <w:lang w:val="es-ES_tradnl"/>
        </w:rPr>
        <w:t>b)</w:t>
      </w:r>
      <w:r w:rsidRPr="0092719F">
        <w:rPr>
          <w:lang w:val="es-ES_tradnl"/>
        </w:rPr>
        <w:tab/>
        <w:t xml:space="preserve">que </w:t>
      </w:r>
      <w:r>
        <w:rPr>
          <w:lang w:val="es-ES_tradnl"/>
        </w:rPr>
        <w:t>el UIT-R ha elaborado una serie de Recomendaciones sobre codificación de fuente de audio y vídeo, codificación de datos, multiplexión</w:t>
      </w:r>
      <w:r w:rsidR="00D379DC">
        <w:rPr>
          <w:lang w:val="es-ES_tradnl"/>
        </w:rPr>
        <w:t>,</w:t>
      </w:r>
      <w:r>
        <w:rPr>
          <w:lang w:val="es-ES_tradnl"/>
        </w:rPr>
        <w:t xml:space="preserve"> y modulación y codificación de canal para la radiodifusión de televisión digital terrenal</w:t>
      </w:r>
      <w:r w:rsidRPr="0092719F">
        <w:rPr>
          <w:lang w:val="es-ES_tradnl"/>
        </w:rPr>
        <w:t>;</w:t>
      </w:r>
    </w:p>
    <w:p w:rsidR="007C2CA6" w:rsidRPr="0092719F" w:rsidRDefault="007C2CA6" w:rsidP="007C2CA6">
      <w:pPr>
        <w:rPr>
          <w:lang w:val="es-ES_tradnl"/>
        </w:rPr>
      </w:pPr>
      <w:r w:rsidRPr="0092719F">
        <w:rPr>
          <w:lang w:val="es-ES_tradnl"/>
        </w:rPr>
        <w:t>c)</w:t>
      </w:r>
      <w:r w:rsidRPr="0092719F">
        <w:rPr>
          <w:lang w:val="es-ES_tradnl"/>
        </w:rPr>
        <w:tab/>
        <w:t>que</w:t>
      </w:r>
      <w:r>
        <w:rPr>
          <w:lang w:val="es-ES_tradnl"/>
        </w:rPr>
        <w:t xml:space="preserve"> continúa llevándose a cabo en todo el mundo la transición de la televisión analógica terrenal a la televisión digital terrenal</w:t>
      </w:r>
      <w:r w:rsidRPr="0092719F">
        <w:rPr>
          <w:lang w:val="es-ES_tradnl"/>
        </w:rPr>
        <w:t>;</w:t>
      </w:r>
    </w:p>
    <w:p w:rsidR="007C2CA6" w:rsidRPr="0092719F" w:rsidRDefault="007C2CA6" w:rsidP="007C2CA6">
      <w:pPr>
        <w:rPr>
          <w:lang w:val="es-ES_tradnl"/>
        </w:rPr>
      </w:pPr>
      <w:r w:rsidRPr="0092719F">
        <w:rPr>
          <w:lang w:val="es-ES_tradnl"/>
        </w:rPr>
        <w:t>d)</w:t>
      </w:r>
      <w:r w:rsidRPr="0092719F">
        <w:rPr>
          <w:lang w:val="es-ES_tradnl"/>
        </w:rPr>
        <w:tab/>
        <w:t>que</w:t>
      </w:r>
      <w:r>
        <w:rPr>
          <w:lang w:val="es-ES_tradnl"/>
        </w:rPr>
        <w:t xml:space="preserve"> en distintas partes del mundo existen diferentes entornos reglamentarios, de comercialización y de distribución y que éstos y otros factores tendrán influencia en la elección del sistema,</w:t>
      </w:r>
    </w:p>
    <w:p w:rsidR="007C2CA6" w:rsidRPr="0092719F" w:rsidRDefault="007C2CA6" w:rsidP="007C2CA6">
      <w:pPr>
        <w:pStyle w:val="Call"/>
        <w:rPr>
          <w:lang w:val="es-ES_tradnl"/>
        </w:rPr>
      </w:pPr>
      <w:r w:rsidRPr="0092719F">
        <w:rPr>
          <w:lang w:val="es-ES_tradnl"/>
        </w:rPr>
        <w:t>recomienda</w:t>
      </w:r>
    </w:p>
    <w:p w:rsidR="007C2CA6" w:rsidRDefault="007C2CA6" w:rsidP="007C2CA6">
      <w:pPr>
        <w:rPr>
          <w:bCs/>
          <w:lang w:val="es-ES_tradnl"/>
        </w:rPr>
      </w:pPr>
      <w:r>
        <w:rPr>
          <w:bCs/>
          <w:lang w:val="es-ES_tradnl"/>
        </w:rPr>
        <w:t>que los elementos de una familia mundial común de sistemas de radiodifusión de televisión digital terrenal se ajusten a los siguientes criterios:</w:t>
      </w:r>
    </w:p>
    <w:p w:rsidR="007C2CA6" w:rsidRPr="0092719F" w:rsidRDefault="007C2CA6" w:rsidP="007C2CA6">
      <w:pPr>
        <w:pStyle w:val="Heading1"/>
        <w:rPr>
          <w:lang w:val="es-ES_tradnl"/>
        </w:rPr>
      </w:pPr>
      <w:r>
        <w:rPr>
          <w:lang w:val="es-ES_tradnl"/>
        </w:rPr>
        <w:t>1</w:t>
      </w:r>
      <w:r>
        <w:rPr>
          <w:lang w:val="es-ES_tradnl"/>
        </w:rPr>
        <w:tab/>
        <w:t>Principios relativos al sistema</w:t>
      </w:r>
    </w:p>
    <w:p w:rsidR="007C2CA6" w:rsidRDefault="007C2CA6" w:rsidP="007C2CA6">
      <w:pPr>
        <w:rPr>
          <w:bCs/>
          <w:lang w:val="es-ES_tradnl" w:eastAsia="ja-JP"/>
        </w:rPr>
      </w:pPr>
      <w:r w:rsidRPr="00FE10DE">
        <w:rPr>
          <w:b/>
          <w:lang w:val="es-ES_tradnl" w:eastAsia="ja-JP"/>
        </w:rPr>
        <w:t>1.1</w:t>
      </w:r>
      <w:r>
        <w:rPr>
          <w:bCs/>
          <w:lang w:val="es-ES_tradnl" w:eastAsia="ja-JP"/>
        </w:rPr>
        <w:tab/>
        <w:t>El sistema terrenal debe tener el mayor número posible de características comunes con otros sistemas de distribución de televisión digital, como los sistemas por satélite, de cable, etc.</w:t>
      </w:r>
    </w:p>
    <w:p w:rsidR="007C2CA6" w:rsidRDefault="007C2CA6" w:rsidP="007C2CA6">
      <w:pPr>
        <w:rPr>
          <w:bCs/>
          <w:lang w:val="es-ES_tradnl" w:eastAsia="ja-JP"/>
        </w:rPr>
      </w:pPr>
      <w:r w:rsidRPr="00FE10DE">
        <w:rPr>
          <w:b/>
          <w:lang w:val="es-ES_tradnl" w:eastAsia="ja-JP"/>
        </w:rPr>
        <w:t>1.2</w:t>
      </w:r>
      <w:r>
        <w:rPr>
          <w:bCs/>
          <w:lang w:val="es-ES_tradnl" w:eastAsia="ja-JP"/>
        </w:rPr>
        <w:tab/>
        <w:t>Los sistemas de radiodifusión deben diseñarse como un «contenedor» capaz de transportar servicios de vídeo y de audio u otros servicios de datos de forma transparente y flexible (véanse las Recomendaciones UIT-R BT.1207 y UIT-R BT.1209).</w:t>
      </w:r>
    </w:p>
    <w:p w:rsidR="007C2CA6" w:rsidRDefault="007C2CA6" w:rsidP="00EC52FA">
      <w:pPr>
        <w:keepNext/>
        <w:keepLines/>
        <w:rPr>
          <w:bCs/>
          <w:lang w:val="es-ES_tradnl" w:eastAsia="ja-JP"/>
        </w:rPr>
      </w:pPr>
      <w:r w:rsidRPr="00A0560F">
        <w:rPr>
          <w:b/>
          <w:lang w:val="es-ES_tradnl" w:eastAsia="ja-JP"/>
        </w:rPr>
        <w:lastRenderedPageBreak/>
        <w:t>1.3</w:t>
      </w:r>
      <w:r>
        <w:rPr>
          <w:b/>
          <w:lang w:val="es-ES_tradnl" w:eastAsia="ja-JP"/>
        </w:rPr>
        <w:tab/>
      </w:r>
      <w:r>
        <w:rPr>
          <w:bCs/>
          <w:lang w:val="es-ES_tradnl" w:eastAsia="ja-JP"/>
        </w:rPr>
        <w:t>Los sistemas deben permitir la multiplexión estadística</w:t>
      </w:r>
      <w:r>
        <w:rPr>
          <w:rStyle w:val="FootnoteReference"/>
          <w:bCs/>
          <w:lang w:val="es-ES_tradnl" w:eastAsia="ja-JP"/>
        </w:rPr>
        <w:footnoteReference w:id="3"/>
      </w:r>
      <w:r>
        <w:rPr>
          <w:bCs/>
          <w:lang w:val="es-ES_tradnl" w:eastAsia="ja-JP"/>
        </w:rPr>
        <w:t>.</w:t>
      </w:r>
    </w:p>
    <w:p w:rsidR="007C2CA6" w:rsidRDefault="007C2CA6" w:rsidP="007C2CA6">
      <w:pPr>
        <w:rPr>
          <w:bCs/>
          <w:lang w:val="es-ES_tradnl" w:eastAsia="ja-JP"/>
        </w:rPr>
      </w:pPr>
      <w:r w:rsidRPr="00883C1E">
        <w:rPr>
          <w:b/>
          <w:lang w:val="es-ES_tradnl" w:eastAsia="ja-JP"/>
        </w:rPr>
        <w:t>1.4</w:t>
      </w:r>
      <w:r w:rsidRPr="00883C1E">
        <w:rPr>
          <w:b/>
          <w:lang w:val="es-ES_tradnl" w:eastAsia="ja-JP"/>
        </w:rPr>
        <w:tab/>
      </w:r>
      <w:r>
        <w:rPr>
          <w:bCs/>
          <w:lang w:val="es-ES_tradnl" w:eastAsia="ja-JP"/>
        </w:rPr>
        <w:t>El sistema de base debe ser un sistema monocapaz de transportar, por ejemplo, un servicio de TVAD o varios servicios de calidad de TV convencional. El número de servicio por canal dependerá de la velocidad de transmisión de datos total disponible, de la calidad requerida, del contenido del programa y de si se utiliza multiplexión estadística.</w:t>
      </w:r>
    </w:p>
    <w:p w:rsidR="007C2CA6" w:rsidRDefault="007C2CA6" w:rsidP="007C2CA6">
      <w:pPr>
        <w:rPr>
          <w:bCs/>
          <w:lang w:val="es-ES_tradnl" w:eastAsia="ja-JP"/>
        </w:rPr>
      </w:pPr>
      <w:r w:rsidRPr="00883C1E">
        <w:rPr>
          <w:b/>
          <w:lang w:val="es-ES_tradnl" w:eastAsia="ja-JP"/>
        </w:rPr>
        <w:t>1.5</w:t>
      </w:r>
      <w:r>
        <w:rPr>
          <w:b/>
          <w:lang w:val="es-ES_tradnl" w:eastAsia="ja-JP"/>
        </w:rPr>
        <w:tab/>
      </w:r>
      <w:r>
        <w:rPr>
          <w:bCs/>
          <w:lang w:val="es-ES_tradnl" w:eastAsia="ja-JP"/>
        </w:rPr>
        <w:t>Debe implementarse un sistema descriptor de información de servicio y encabezamiento (véase la Recomendación UIT-R BT.1300).</w:t>
      </w:r>
    </w:p>
    <w:p w:rsidR="007C2CA6" w:rsidRPr="00640BE3" w:rsidRDefault="007C2CA6" w:rsidP="007C2CA6">
      <w:pPr>
        <w:pStyle w:val="Heading1"/>
        <w:rPr>
          <w:lang w:val="es-ES_tradnl"/>
        </w:rPr>
      </w:pPr>
      <w:r>
        <w:rPr>
          <w:lang w:val="es-ES_tradnl"/>
        </w:rPr>
        <w:t>2</w:t>
      </w:r>
      <w:r>
        <w:rPr>
          <w:lang w:val="es-ES_tradnl"/>
        </w:rPr>
        <w:tab/>
        <w:t xml:space="preserve">Principio de codificación </w:t>
      </w:r>
      <w:r w:rsidRPr="00640BE3">
        <w:rPr>
          <w:lang w:val="es-ES_tradnl"/>
        </w:rPr>
        <w:t>en banda base</w:t>
      </w:r>
    </w:p>
    <w:p w:rsidR="007C2CA6" w:rsidRPr="00F159E2" w:rsidRDefault="007C2CA6" w:rsidP="007C2CA6">
      <w:pPr>
        <w:rPr>
          <w:lang w:val="es-ES_tradnl" w:eastAsia="ja-JP"/>
        </w:rPr>
      </w:pPr>
      <w:r w:rsidRPr="00F159E2">
        <w:rPr>
          <w:b/>
          <w:lang w:val="es-ES_tradnl"/>
        </w:rPr>
        <w:t>2.1</w:t>
      </w:r>
      <w:r w:rsidRPr="00F159E2">
        <w:rPr>
          <w:lang w:val="es-ES_tradnl"/>
        </w:rPr>
        <w:tab/>
        <w:t>El sistema de cofidificación de imagen debe ser el indicado en la Recomendaci</w:t>
      </w:r>
      <w:r>
        <w:rPr>
          <w:lang w:val="es-ES_tradnl"/>
        </w:rPr>
        <w:t xml:space="preserve">ón </w:t>
      </w:r>
      <w:r>
        <w:rPr>
          <w:lang w:val="es-ES_tradnl" w:eastAsia="ja-JP"/>
        </w:rPr>
        <w:t>UIT</w:t>
      </w:r>
      <w:r>
        <w:rPr>
          <w:lang w:val="es-ES_tradnl" w:eastAsia="ja-JP"/>
        </w:rPr>
        <w:noBreakHyphen/>
      </w:r>
      <w:r w:rsidRPr="00F159E2">
        <w:rPr>
          <w:lang w:val="es-ES_tradnl" w:eastAsia="ja-JP"/>
        </w:rPr>
        <w:t>R</w:t>
      </w:r>
      <w:r>
        <w:rPr>
          <w:lang w:val="es-ES_tradnl" w:eastAsia="ja-JP"/>
        </w:rPr>
        <w:t> BT.1870 (véase la Nota</w:t>
      </w:r>
      <w:r w:rsidRPr="00F159E2">
        <w:rPr>
          <w:lang w:val="es-ES_tradnl" w:eastAsia="ja-JP"/>
        </w:rPr>
        <w:t xml:space="preserve"> 1)</w:t>
      </w:r>
      <w:r w:rsidRPr="00F159E2">
        <w:rPr>
          <w:lang w:val="es-ES_tradnl"/>
        </w:rPr>
        <w:t>.</w:t>
      </w:r>
    </w:p>
    <w:p w:rsidR="007C2CA6" w:rsidRPr="00F159E2" w:rsidRDefault="007C2CA6" w:rsidP="00063AE9">
      <w:pPr>
        <w:rPr>
          <w:lang w:val="es-ES_tradnl" w:eastAsia="ja-JP"/>
        </w:rPr>
      </w:pPr>
      <w:r>
        <w:rPr>
          <w:lang w:val="es-ES_tradnl"/>
        </w:rPr>
        <w:t>NOTA</w:t>
      </w:r>
      <w:r w:rsidRPr="00F159E2">
        <w:rPr>
          <w:lang w:val="es-ES_tradnl"/>
        </w:rPr>
        <w:t> </w:t>
      </w:r>
      <w:r w:rsidRPr="00F159E2">
        <w:rPr>
          <w:lang w:val="es-ES_tradnl" w:eastAsia="ja-JP"/>
        </w:rPr>
        <w:t>1</w:t>
      </w:r>
      <w:r w:rsidRPr="00F159E2">
        <w:rPr>
          <w:lang w:val="es-ES_tradnl"/>
        </w:rPr>
        <w:t> – </w:t>
      </w:r>
      <w:r>
        <w:rPr>
          <w:lang w:val="es-ES_tradnl"/>
        </w:rPr>
        <w:t>La Recomendación</w:t>
      </w:r>
      <w:r w:rsidRPr="00F159E2">
        <w:rPr>
          <w:lang w:val="es-ES_tradnl"/>
        </w:rPr>
        <w:t xml:space="preserve"> UIT-R B</w:t>
      </w:r>
      <w:r w:rsidRPr="00F159E2">
        <w:rPr>
          <w:lang w:val="es-ES_tradnl" w:eastAsia="ja-JP"/>
        </w:rPr>
        <w:t>T</w:t>
      </w:r>
      <w:r w:rsidRPr="00F159E2">
        <w:rPr>
          <w:lang w:val="es-ES_tradnl"/>
        </w:rPr>
        <w:t xml:space="preserve">.1870 </w:t>
      </w:r>
      <w:r>
        <w:rPr>
          <w:lang w:val="es-ES_tradnl"/>
        </w:rPr>
        <w:t>p</w:t>
      </w:r>
      <w:r w:rsidRPr="00F159E2">
        <w:rPr>
          <w:lang w:val="es-ES_tradnl"/>
        </w:rPr>
        <w:t>reco</w:t>
      </w:r>
      <w:r>
        <w:rPr>
          <w:lang w:val="es-ES_tradnl"/>
        </w:rPr>
        <w:t>niza</w:t>
      </w:r>
      <w:r w:rsidRPr="00F159E2">
        <w:rPr>
          <w:lang w:val="es-ES_tradnl"/>
        </w:rPr>
        <w:t xml:space="preserve"> </w:t>
      </w:r>
      <w:r>
        <w:rPr>
          <w:lang w:val="es-ES_tradnl"/>
        </w:rPr>
        <w:t xml:space="preserve">el empleo de la </w:t>
      </w:r>
      <w:r>
        <w:rPr>
          <w:lang w:val="es-ES_tradnl" w:eastAsia="ja-JP"/>
        </w:rPr>
        <w:t>Recomendación</w:t>
      </w:r>
      <w:r w:rsidRPr="00F159E2">
        <w:rPr>
          <w:lang w:val="es-ES_tradnl" w:eastAsia="ja-JP"/>
        </w:rPr>
        <w:t xml:space="preserve"> </w:t>
      </w:r>
      <w:r>
        <w:rPr>
          <w:lang w:val="es-ES_tradnl" w:eastAsia="ja-JP"/>
        </w:rPr>
        <w:t>UIT</w:t>
      </w:r>
      <w:r>
        <w:rPr>
          <w:lang w:val="es-ES_tradnl" w:eastAsia="ja-JP"/>
        </w:rPr>
        <w:noBreakHyphen/>
        <w:t>T </w:t>
      </w:r>
      <w:r w:rsidRPr="00F159E2">
        <w:rPr>
          <w:lang w:val="es-ES_tradnl" w:eastAsia="ja-JP"/>
        </w:rPr>
        <w:t>H.262 (ISO/C</w:t>
      </w:r>
      <w:r>
        <w:rPr>
          <w:lang w:val="es-ES_tradnl" w:eastAsia="ja-JP"/>
        </w:rPr>
        <w:t>EI</w:t>
      </w:r>
      <w:r w:rsidR="00063AE9">
        <w:rPr>
          <w:lang w:val="es-ES_tradnl" w:eastAsia="ja-JP"/>
        </w:rPr>
        <w:t> </w:t>
      </w:r>
      <w:r w:rsidRPr="00F159E2">
        <w:rPr>
          <w:lang w:val="es-ES_tradnl" w:eastAsia="ja-JP"/>
        </w:rPr>
        <w:t xml:space="preserve">13818-2 (MPEG-2 Video)) </w:t>
      </w:r>
      <w:r>
        <w:rPr>
          <w:lang w:val="es-ES_tradnl" w:eastAsia="ja-JP"/>
        </w:rPr>
        <w:t>y la Recomendación</w:t>
      </w:r>
      <w:r w:rsidRPr="00F159E2">
        <w:rPr>
          <w:lang w:val="es-ES_tradnl" w:eastAsia="ja-JP"/>
        </w:rPr>
        <w:t xml:space="preserve"> UIT-T</w:t>
      </w:r>
      <w:r w:rsidR="00063AE9">
        <w:rPr>
          <w:lang w:val="es-ES_tradnl" w:eastAsia="ja-JP"/>
        </w:rPr>
        <w:t> </w:t>
      </w:r>
      <w:r w:rsidRPr="00F159E2">
        <w:rPr>
          <w:lang w:val="es-ES_tradnl" w:eastAsia="ja-JP"/>
        </w:rPr>
        <w:t>H.264 (ISO/C</w:t>
      </w:r>
      <w:r>
        <w:rPr>
          <w:lang w:val="es-ES_tradnl" w:eastAsia="ja-JP"/>
        </w:rPr>
        <w:t>EI</w:t>
      </w:r>
      <w:r w:rsidR="00063AE9">
        <w:rPr>
          <w:lang w:val="es-ES_tradnl" w:eastAsia="ja-JP"/>
        </w:rPr>
        <w:t xml:space="preserve"> </w:t>
      </w:r>
      <w:r w:rsidRPr="00F159E2">
        <w:rPr>
          <w:lang w:val="es-ES_tradnl" w:eastAsia="ja-JP"/>
        </w:rPr>
        <w:t>14496</w:t>
      </w:r>
      <w:r w:rsidRPr="00F159E2">
        <w:rPr>
          <w:lang w:val="es-ES_tradnl" w:eastAsia="ja-JP"/>
        </w:rPr>
        <w:noBreakHyphen/>
        <w:t>10 (MPEG</w:t>
      </w:r>
      <w:r w:rsidRPr="00F159E2">
        <w:rPr>
          <w:lang w:val="es-ES_tradnl" w:eastAsia="ja-JP"/>
        </w:rPr>
        <w:noBreakHyphen/>
        <w:t>4 AVC))</w:t>
      </w:r>
      <w:r>
        <w:rPr>
          <w:lang w:val="es-ES_tradnl"/>
        </w:rPr>
        <w:t>.</w:t>
      </w:r>
    </w:p>
    <w:p w:rsidR="007C2CA6" w:rsidRPr="00F16668" w:rsidRDefault="007C2CA6" w:rsidP="007C2CA6">
      <w:pPr>
        <w:rPr>
          <w:lang w:val="es-ES_tradnl"/>
        </w:rPr>
      </w:pPr>
      <w:r w:rsidRPr="00F16668">
        <w:rPr>
          <w:b/>
          <w:lang w:val="es-ES_tradnl"/>
        </w:rPr>
        <w:t>2.2</w:t>
      </w:r>
      <w:r w:rsidRPr="00F16668">
        <w:rPr>
          <w:lang w:val="es-ES_tradnl"/>
        </w:rPr>
        <w:tab/>
        <w:t>El sistema de codificación del sonido debe ser el indicado en la Recomendación UIT-R BS.</w:t>
      </w:r>
      <w:r w:rsidRPr="00F16668">
        <w:rPr>
          <w:lang w:val="es-ES_tradnl" w:eastAsia="ja-JP"/>
        </w:rPr>
        <w:t xml:space="preserve">1196 </w:t>
      </w:r>
      <w:r w:rsidRPr="00F16668">
        <w:rPr>
          <w:lang w:val="es-ES_tradnl"/>
        </w:rPr>
        <w:t>(</w:t>
      </w:r>
      <w:r>
        <w:rPr>
          <w:lang w:val="es-ES_tradnl" w:eastAsia="ja-JP"/>
        </w:rPr>
        <w:t>véase la Nota</w:t>
      </w:r>
      <w:r w:rsidRPr="00F159E2">
        <w:rPr>
          <w:lang w:val="es-ES_tradnl" w:eastAsia="ja-JP"/>
        </w:rPr>
        <w:t xml:space="preserve"> 1</w:t>
      </w:r>
      <w:r w:rsidRPr="00F16668">
        <w:rPr>
          <w:lang w:val="es-ES_tradnl"/>
        </w:rPr>
        <w:t>).</w:t>
      </w:r>
    </w:p>
    <w:p w:rsidR="007C2CA6" w:rsidRPr="00D85F5E" w:rsidRDefault="007C2CA6" w:rsidP="00063AE9">
      <w:pPr>
        <w:rPr>
          <w:lang w:val="es-ES_tradnl"/>
        </w:rPr>
      </w:pPr>
      <w:r w:rsidRPr="00D85F5E">
        <w:rPr>
          <w:lang w:val="es-ES_tradnl"/>
        </w:rPr>
        <w:t>NOTA </w:t>
      </w:r>
      <w:r w:rsidRPr="00D85F5E">
        <w:rPr>
          <w:lang w:val="es-ES_tradnl" w:eastAsia="ja-JP"/>
        </w:rPr>
        <w:t>1</w:t>
      </w:r>
      <w:r w:rsidRPr="00D85F5E">
        <w:rPr>
          <w:lang w:val="es-ES_tradnl"/>
        </w:rPr>
        <w:t xml:space="preserve"> – La Recomendación UIT-R BS.1196 </w:t>
      </w:r>
      <w:r>
        <w:rPr>
          <w:lang w:val="es-ES_tradnl"/>
        </w:rPr>
        <w:t xml:space="preserve">preconiza el uso de las normas </w:t>
      </w:r>
      <w:r w:rsidRPr="00D85F5E">
        <w:rPr>
          <w:lang w:val="es-ES_tradnl" w:eastAsia="ja-JP"/>
        </w:rPr>
        <w:t>ISO/C</w:t>
      </w:r>
      <w:r>
        <w:rPr>
          <w:lang w:val="es-ES_tradnl" w:eastAsia="ja-JP"/>
        </w:rPr>
        <w:t>EI</w:t>
      </w:r>
      <w:r w:rsidRPr="00D85F5E">
        <w:rPr>
          <w:lang w:val="es-ES_tradnl" w:eastAsia="ja-JP"/>
        </w:rPr>
        <w:t xml:space="preserve"> 11172-3 (MPEG</w:t>
      </w:r>
      <w:r w:rsidRPr="00D85F5E">
        <w:rPr>
          <w:lang w:val="es-ES_tradnl" w:eastAsia="ja-JP"/>
        </w:rPr>
        <w:noBreakHyphen/>
        <w:t xml:space="preserve">1 Audio) </w:t>
      </w:r>
      <w:r>
        <w:rPr>
          <w:lang w:val="es-ES_tradnl" w:eastAsia="ja-JP"/>
        </w:rPr>
        <w:t xml:space="preserve">Capa </w:t>
      </w:r>
      <w:r w:rsidRPr="00D85F5E">
        <w:rPr>
          <w:lang w:val="es-ES_tradnl" w:eastAsia="ja-JP"/>
        </w:rPr>
        <w:t>II, IS</w:t>
      </w:r>
      <w:r>
        <w:rPr>
          <w:lang w:val="es-ES_tradnl" w:eastAsia="ja-JP"/>
        </w:rPr>
        <w:t>O/CEI 13818-7 (MPEG-2 AAC) LC o</w:t>
      </w:r>
      <w:r w:rsidRPr="00D85F5E">
        <w:rPr>
          <w:lang w:val="es-ES_tradnl" w:eastAsia="ja-JP"/>
        </w:rPr>
        <w:t xml:space="preserve"> LC </w:t>
      </w:r>
      <w:r>
        <w:rPr>
          <w:lang w:val="es-ES_tradnl" w:eastAsia="ja-JP"/>
        </w:rPr>
        <w:t xml:space="preserve">con </w:t>
      </w:r>
      <w:r w:rsidRPr="00D85F5E">
        <w:rPr>
          <w:lang w:val="es-ES_tradnl" w:eastAsia="ja-JP"/>
        </w:rPr>
        <w:t>SBR, ISO/</w:t>
      </w:r>
      <w:r>
        <w:rPr>
          <w:lang w:val="es-ES_tradnl" w:eastAsia="ja-JP"/>
        </w:rPr>
        <w:t>CEI</w:t>
      </w:r>
      <w:r w:rsidRPr="00D85F5E">
        <w:rPr>
          <w:lang w:val="es-ES_tradnl" w:eastAsia="ja-JP"/>
        </w:rPr>
        <w:t xml:space="preserve"> 14496-3 </w:t>
      </w:r>
      <w:r>
        <w:rPr>
          <w:lang w:val="es-ES_tradnl" w:eastAsia="ja-JP"/>
        </w:rPr>
        <w:t>(MPEG-4 Audio) AAC</w:t>
      </w:r>
      <w:r>
        <w:rPr>
          <w:lang w:val="es-ES_tradnl" w:eastAsia="ja-JP"/>
        </w:rPr>
        <w:noBreakHyphen/>
        <w:t>LC, HE-AAC o HE-AACv2, o</w:t>
      </w:r>
      <w:r w:rsidRPr="00D85F5E">
        <w:rPr>
          <w:lang w:val="es-ES_tradnl" w:eastAsia="ja-JP"/>
        </w:rPr>
        <w:t xml:space="preserve"> </w:t>
      </w:r>
      <w:r w:rsidRPr="00D85F5E">
        <w:rPr>
          <w:lang w:val="es-ES_tradnl"/>
        </w:rPr>
        <w:t>ETSI TS 102 366</w:t>
      </w:r>
      <w:r>
        <w:rPr>
          <w:lang w:val="es-ES_tradnl" w:eastAsia="ja-JP"/>
        </w:rPr>
        <w:t xml:space="preserve"> (AC</w:t>
      </w:r>
      <w:r w:rsidR="00063AE9">
        <w:rPr>
          <w:lang w:val="es-ES_tradnl" w:eastAsia="ja-JP"/>
        </w:rPr>
        <w:t> </w:t>
      </w:r>
      <w:r>
        <w:rPr>
          <w:lang w:val="es-ES_tradnl" w:eastAsia="ja-JP"/>
        </w:rPr>
        <w:t>3 o</w:t>
      </w:r>
      <w:r w:rsidRPr="00D85F5E">
        <w:rPr>
          <w:lang w:val="es-ES_tradnl" w:eastAsia="ja-JP"/>
        </w:rPr>
        <w:t xml:space="preserve"> E</w:t>
      </w:r>
      <w:r w:rsidRPr="00D85F5E">
        <w:rPr>
          <w:lang w:val="es-ES_tradnl" w:eastAsia="ja-JP"/>
        </w:rPr>
        <w:noBreakHyphen/>
        <w:t xml:space="preserve">AC-3) </w:t>
      </w:r>
      <w:r>
        <w:rPr>
          <w:lang w:val="es-ES_tradnl" w:eastAsia="ja-JP"/>
        </w:rPr>
        <w:t>para las emisiones de radiodifusión de televisión digital</w:t>
      </w:r>
      <w:r w:rsidRPr="00D85F5E">
        <w:rPr>
          <w:lang w:val="es-ES_tradnl" w:eastAsia="ja-JP"/>
        </w:rPr>
        <w:t>.</w:t>
      </w:r>
    </w:p>
    <w:p w:rsidR="007C2CA6" w:rsidRPr="000F0B9A" w:rsidRDefault="007C2CA6" w:rsidP="007C2CA6">
      <w:pPr>
        <w:rPr>
          <w:lang w:val="es-ES_tradnl" w:eastAsia="ja-JP"/>
        </w:rPr>
      </w:pPr>
      <w:r w:rsidRPr="000F0B9A">
        <w:rPr>
          <w:b/>
          <w:lang w:val="es-ES_tradnl"/>
        </w:rPr>
        <w:t>2.3</w:t>
      </w:r>
      <w:r w:rsidRPr="000F0B9A">
        <w:rPr>
          <w:lang w:val="es-ES_tradnl"/>
        </w:rPr>
        <w:tab/>
        <w:t>Deben tenerse debidamente en cuenta los requisitos de calidad de funcionamiento del sistema de codificaci</w:t>
      </w:r>
      <w:r>
        <w:rPr>
          <w:lang w:val="es-ES_tradnl"/>
        </w:rPr>
        <w:t xml:space="preserve">ón de vídeo y audio indicados en las </w:t>
      </w:r>
      <w:r>
        <w:rPr>
          <w:lang w:val="es-ES_tradnl" w:eastAsia="ja-JP"/>
        </w:rPr>
        <w:t>Recomendacio</w:t>
      </w:r>
      <w:r w:rsidRPr="000F0B9A">
        <w:rPr>
          <w:lang w:val="es-ES_tradnl" w:eastAsia="ja-JP"/>
        </w:rPr>
        <w:t>n</w:t>
      </w:r>
      <w:r>
        <w:rPr>
          <w:lang w:val="es-ES_tradnl" w:eastAsia="ja-JP"/>
        </w:rPr>
        <w:t>e</w:t>
      </w:r>
      <w:r w:rsidRPr="000F0B9A">
        <w:rPr>
          <w:lang w:val="es-ES_tradnl" w:eastAsia="ja-JP"/>
        </w:rPr>
        <w:t>s UIT</w:t>
      </w:r>
      <w:r>
        <w:rPr>
          <w:lang w:val="es-ES_tradnl" w:eastAsia="ja-JP"/>
        </w:rPr>
        <w:t>-R BT.1122 y</w:t>
      </w:r>
      <w:r w:rsidRPr="000F0B9A">
        <w:rPr>
          <w:lang w:val="es-ES_tradnl" w:eastAsia="ja-JP"/>
        </w:rPr>
        <w:t xml:space="preserve"> UIT</w:t>
      </w:r>
      <w:r>
        <w:rPr>
          <w:lang w:val="es-ES_tradnl" w:eastAsia="ja-JP"/>
        </w:rPr>
        <w:noBreakHyphen/>
      </w:r>
      <w:r w:rsidRPr="000F0B9A">
        <w:rPr>
          <w:lang w:val="es-ES_tradnl" w:eastAsia="ja-JP"/>
        </w:rPr>
        <w:t>R BS.1548 (</w:t>
      </w:r>
      <w:r>
        <w:rPr>
          <w:lang w:val="es-ES_tradnl" w:eastAsia="ja-JP"/>
        </w:rPr>
        <w:t>véase la Nota</w:t>
      </w:r>
      <w:r w:rsidRPr="00F159E2">
        <w:rPr>
          <w:lang w:val="es-ES_tradnl" w:eastAsia="ja-JP"/>
        </w:rPr>
        <w:t xml:space="preserve"> 1</w:t>
      </w:r>
      <w:r w:rsidRPr="000F0B9A">
        <w:rPr>
          <w:lang w:val="es-ES_tradnl" w:eastAsia="ja-JP"/>
        </w:rPr>
        <w:t>)</w:t>
      </w:r>
      <w:r>
        <w:rPr>
          <w:lang w:val="es-ES_tradnl"/>
        </w:rPr>
        <w:t>.</w:t>
      </w:r>
    </w:p>
    <w:p w:rsidR="007C2CA6" w:rsidRPr="00C250B8" w:rsidRDefault="007C2CA6" w:rsidP="00EC52FA">
      <w:pPr>
        <w:rPr>
          <w:lang w:val="es-ES_tradnl"/>
        </w:rPr>
      </w:pPr>
      <w:r>
        <w:rPr>
          <w:lang w:val="es-ES_tradnl"/>
        </w:rPr>
        <w:t>NOTA</w:t>
      </w:r>
      <w:r w:rsidRPr="00C250B8">
        <w:rPr>
          <w:lang w:val="es-ES_tradnl"/>
        </w:rPr>
        <w:t xml:space="preserve"> 1 – Las especificaciones básicas de codificación de audio y </w:t>
      </w:r>
      <w:r>
        <w:rPr>
          <w:lang w:val="es-ES_tradnl"/>
        </w:rPr>
        <w:t>vídeo</w:t>
      </w:r>
      <w:r w:rsidRPr="00C250B8">
        <w:rPr>
          <w:lang w:val="es-ES_tradnl"/>
        </w:rPr>
        <w:t xml:space="preserve"> se refieren únicamente a la sintaxis y dejan margen para incrementar la calidad debido a las posibles mejoras en el diseño del codificador</w:t>
      </w:r>
      <w:r>
        <w:rPr>
          <w:lang w:val="es-ES_tradnl"/>
        </w:rPr>
        <w:t>.</w:t>
      </w:r>
    </w:p>
    <w:p w:rsidR="007C2CA6" w:rsidRPr="00C250B8" w:rsidRDefault="007C2CA6" w:rsidP="007C2CA6">
      <w:pPr>
        <w:pStyle w:val="Heading1"/>
        <w:rPr>
          <w:lang w:val="es-ES_tradnl"/>
        </w:rPr>
      </w:pPr>
      <w:r w:rsidRPr="00C250B8">
        <w:rPr>
          <w:lang w:val="es-ES_tradnl"/>
        </w:rPr>
        <w:t>3</w:t>
      </w:r>
      <w:r w:rsidRPr="00C250B8">
        <w:rPr>
          <w:lang w:val="es-ES_tradnl"/>
        </w:rPr>
        <w:tab/>
        <w:t>Principios relativos a la modulación y la codificaci</w:t>
      </w:r>
      <w:r>
        <w:rPr>
          <w:lang w:val="es-ES_tradnl"/>
        </w:rPr>
        <w:t>ón del canal</w:t>
      </w:r>
    </w:p>
    <w:p w:rsidR="007C2CA6" w:rsidRDefault="007C2CA6" w:rsidP="007C2CA6">
      <w:pPr>
        <w:rPr>
          <w:lang w:val="es-ES_tradnl"/>
        </w:rPr>
      </w:pPr>
      <w:r w:rsidRPr="00C250B8">
        <w:rPr>
          <w:b/>
          <w:lang w:val="es-ES_tradnl"/>
        </w:rPr>
        <w:t>3.1</w:t>
      </w:r>
      <w:r w:rsidRPr="00C250B8">
        <w:rPr>
          <w:lang w:val="es-ES_tradnl"/>
        </w:rPr>
        <w:tab/>
        <w:t>La modulación y la codificación del canal deben elegirse de manera tal que permitan aplicar el m</w:t>
      </w:r>
      <w:r>
        <w:rPr>
          <w:lang w:val="es-ES_tradnl"/>
        </w:rPr>
        <w:t xml:space="preserve">étodo de entrega requerido. </w:t>
      </w:r>
      <w:r w:rsidRPr="00C250B8">
        <w:rPr>
          <w:lang w:val="es-ES_tradnl"/>
        </w:rPr>
        <w:t>Son posibles los métodos de entrega basados en el empleo de un solo transmisor por canal (como en la televisi</w:t>
      </w:r>
      <w:r>
        <w:rPr>
          <w:lang w:val="es-ES_tradnl"/>
        </w:rPr>
        <w:t xml:space="preserve">ón analógica convencional), repetidores en el canal, rellenadores de huecos o redes monofrecuenica en los planos local y regional. </w:t>
      </w:r>
      <w:r w:rsidRPr="00C250B8">
        <w:rPr>
          <w:lang w:val="es-ES_tradnl"/>
        </w:rPr>
        <w:t>Debe utilizarse la multiplexación por división de frecuencia ortogonal (MDFO) u 8-BLR (banda lateral residual) en funci</w:t>
      </w:r>
      <w:r>
        <w:rPr>
          <w:lang w:val="es-ES_tradnl"/>
        </w:rPr>
        <w:t xml:space="preserve">ón, entre otras cosas, del entorno existente en materia de entrega (véase la Recomendación </w:t>
      </w:r>
      <w:r w:rsidRPr="00C250B8">
        <w:rPr>
          <w:lang w:val="es-ES_tradnl" w:eastAsia="ja-JP"/>
        </w:rPr>
        <w:t>UIT-R BT.1306)</w:t>
      </w:r>
      <w:r w:rsidRPr="00C250B8">
        <w:rPr>
          <w:lang w:val="es-ES_tradnl"/>
        </w:rPr>
        <w:t>.</w:t>
      </w:r>
    </w:p>
    <w:p w:rsidR="007C2CA6" w:rsidRDefault="007C2CA6" w:rsidP="007C2CA6">
      <w:pPr>
        <w:rPr>
          <w:lang w:val="es-ES_tradnl"/>
        </w:rPr>
      </w:pPr>
    </w:p>
    <w:p w:rsidR="007C2CA6" w:rsidRPr="00EC52FA" w:rsidRDefault="007C2CA6" w:rsidP="007C2CA6">
      <w:pPr>
        <w:pStyle w:val="Line"/>
        <w:rPr>
          <w:lang w:val="es-ES_tradnl"/>
        </w:rPr>
      </w:pPr>
    </w:p>
    <w:sectPr w:rsidR="007C2CA6" w:rsidRPr="00EC52FA" w:rsidSect="0034412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C" w:rsidRDefault="00AE798C">
      <w:r>
        <w:separator/>
      </w:r>
    </w:p>
  </w:footnote>
  <w:footnote w:type="continuationSeparator" w:id="0">
    <w:p w:rsidR="00AE798C" w:rsidRDefault="00AE798C">
      <w:r>
        <w:continuationSeparator/>
      </w:r>
    </w:p>
  </w:footnote>
  <w:footnote w:id="1">
    <w:p w:rsidR="007C2CA6" w:rsidRPr="00EE44E7" w:rsidRDefault="007C2CA6" w:rsidP="007C2CA6">
      <w:pPr>
        <w:pStyle w:val="FootnoteText"/>
        <w:rPr>
          <w:lang w:val="es-ES_tradnl"/>
        </w:rPr>
      </w:pPr>
      <w:r w:rsidRPr="00EE44E7">
        <w:rPr>
          <w:rStyle w:val="FootnoteReference"/>
          <w:lang w:val="es-ES_tradnl"/>
        </w:rPr>
        <w:t>*</w:t>
      </w:r>
      <w:r w:rsidRPr="00EE44E7">
        <w:rPr>
          <w:lang w:val="es-ES_tradnl"/>
        </w:rPr>
        <w:tab/>
      </w:r>
      <w:r>
        <w:rPr>
          <w:lang w:val="es-ES_tradnl"/>
        </w:rPr>
        <w:t>La Comisión de Estudio 6 de Radiocomunicaciones efectuó modificaciones de redacción en esta Recomendación en 2002 de conformidad con la Resolución UIT-R 44</w:t>
      </w:r>
      <w:r w:rsidRPr="00EE44E7">
        <w:rPr>
          <w:lang w:val="es-ES_tradnl"/>
        </w:rPr>
        <w:t>.</w:t>
      </w:r>
    </w:p>
  </w:footnote>
  <w:footnote w:id="2">
    <w:p w:rsidR="007C2CA6" w:rsidRPr="00EC52FA" w:rsidRDefault="007C2CA6">
      <w:pPr>
        <w:pStyle w:val="FootnoteText"/>
        <w:rPr>
          <w:lang w:val="es-ES_tradnl"/>
        </w:rPr>
      </w:pPr>
      <w:r w:rsidRPr="00EC52FA">
        <w:rPr>
          <w:rStyle w:val="FootnoteReference"/>
          <w:lang w:val="es-ES_tradnl"/>
        </w:rPr>
        <w:t>**</w:t>
      </w:r>
      <w:r w:rsidRPr="00EC52FA">
        <w:rPr>
          <w:lang w:val="es-ES_tradnl"/>
        </w:rPr>
        <w:tab/>
      </w:r>
      <w:r>
        <w:rPr>
          <w:lang w:val="es-ES_tradnl"/>
        </w:rPr>
        <w:t>Esta Recomendación debe señalarse a la atención de la Comisión de Estudio 9 de Normalización de las Telecomunicaciones.</w:t>
      </w:r>
    </w:p>
  </w:footnote>
  <w:footnote w:id="3">
    <w:p w:rsidR="007C2CA6" w:rsidRPr="00A0560F" w:rsidRDefault="007C2CA6" w:rsidP="007C2CA6">
      <w:pPr>
        <w:pStyle w:val="FootnoteText"/>
        <w:rPr>
          <w:lang w:val="es-ES_tradnl"/>
        </w:rPr>
      </w:pPr>
      <w:r>
        <w:rPr>
          <w:rStyle w:val="FootnoteReference"/>
        </w:rPr>
        <w:footnoteRef/>
      </w:r>
      <w:r w:rsidRPr="00A0560F">
        <w:rPr>
          <w:lang w:val="es-ES_tradnl"/>
        </w:rPr>
        <w:t xml:space="preserve"> </w:t>
      </w:r>
      <w:r>
        <w:rPr>
          <w:lang w:val="es-ES_tradnl"/>
        </w:rPr>
        <w:tab/>
        <w:t>La multiplexión estadística es una técnica utilizada para la transmisión multiprograma en un solo canal a fin de mejorar la calidad global del programa o utilizar de manera eficaz la capacidad de canal mediante asignación dinámica de la velocidad binaria a cada programa que comparte una determinada capacidad de canal.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B02269"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D379DC">
      <w:rPr>
        <w:rStyle w:val="PageNumber"/>
        <w:b/>
        <w:bCs/>
        <w:noProof/>
      </w:rPr>
      <w:t>ii</w:t>
    </w:r>
    <w:r>
      <w:rPr>
        <w:rStyle w:val="PageNumber"/>
        <w:b/>
        <w:bCs/>
      </w:rPr>
      <w:fldChar w:fldCharType="end"/>
    </w:r>
    <w:r w:rsidR="00987473">
      <w:tab/>
    </w:r>
    <w:fldSimple w:instr=" DOCPROPERTY &quot;Header&quot; \* MERGEFORMAT ">
      <w:r w:rsidR="00EC52FA" w:rsidRPr="00EC52FA">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D379DC">
      <w:rPr>
        <w:b/>
        <w:bCs/>
        <w:noProof/>
      </w:rPr>
      <w:t>UIT-R  BT.1299-1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EC52FA" w:rsidRPr="00EC52FA">
        <w:rPr>
          <w:b/>
          <w:bCs/>
        </w:rPr>
        <w:t xml:space="preserve">Rec. </w:t>
      </w:r>
    </w:fldSimple>
    <w:r>
      <w:rPr>
        <w:b/>
        <w:bCs/>
      </w:rPr>
      <w:t xml:space="preserve"> </w:t>
    </w:r>
    <w:r w:rsidR="00B02269">
      <w:rPr>
        <w:b/>
        <w:bCs/>
      </w:rPr>
      <w:fldChar w:fldCharType="begin"/>
    </w:r>
    <w:r>
      <w:rPr>
        <w:b/>
        <w:bCs/>
      </w:rPr>
      <w:instrText>styleref href</w:instrText>
    </w:r>
    <w:r w:rsidR="00B02269">
      <w:rPr>
        <w:b/>
        <w:bCs/>
      </w:rPr>
      <w:fldChar w:fldCharType="separate"/>
    </w:r>
    <w:r w:rsidR="00EC52FA">
      <w:rPr>
        <w:b/>
        <w:bCs/>
        <w:noProof/>
      </w:rPr>
      <w:t>UIT-R  BT.1299-1</w:t>
    </w:r>
    <w:r w:rsidR="00B02269">
      <w:rPr>
        <w:b/>
        <w:bCs/>
      </w:rPr>
      <w:fldChar w:fldCharType="end"/>
    </w:r>
    <w:r>
      <w:tab/>
    </w:r>
    <w:r w:rsidR="00B02269">
      <w:rPr>
        <w:rStyle w:val="PageNumber"/>
        <w:b/>
        <w:bCs/>
      </w:rPr>
      <w:fldChar w:fldCharType="begin"/>
    </w:r>
    <w:r>
      <w:rPr>
        <w:rStyle w:val="PageNumber"/>
        <w:b/>
        <w:bCs/>
      </w:rPr>
      <w:instrText xml:space="preserve"> PAGE </w:instrText>
    </w:r>
    <w:r w:rsidR="00B02269">
      <w:rPr>
        <w:rStyle w:val="PageNumber"/>
        <w:b/>
        <w:bCs/>
      </w:rPr>
      <w:fldChar w:fldCharType="separate"/>
    </w:r>
    <w:r>
      <w:rPr>
        <w:rStyle w:val="PageNumber"/>
        <w:b/>
        <w:bCs/>
        <w:noProof/>
      </w:rPr>
      <w:t>3</w:t>
    </w:r>
    <w:r w:rsidR="00B0226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B02269">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063AE9">
      <w:rPr>
        <w:rStyle w:val="PageNumber"/>
        <w:b/>
        <w:bCs/>
        <w:noProof/>
        <w:lang w:val="en-US"/>
      </w:rPr>
      <w:t>2</w:t>
    </w:r>
    <w:r>
      <w:rPr>
        <w:rStyle w:val="PageNumber"/>
        <w:b/>
        <w:bCs/>
      </w:rPr>
      <w:fldChar w:fldCharType="end"/>
    </w:r>
    <w:r w:rsidR="00987473">
      <w:rPr>
        <w:lang w:val="en-US"/>
      </w:rPr>
      <w:tab/>
    </w:r>
    <w:fldSimple w:instr=" DOCPROPERTY &quot;Header&quot; \* MERGEFORMAT ">
      <w:r w:rsidR="00EC52FA" w:rsidRPr="00EC52FA">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063AE9">
      <w:rPr>
        <w:b/>
        <w:bCs/>
        <w:noProof/>
      </w:rPr>
      <w:t>UIT-R  BT.1299-1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EC52FA" w:rsidRPr="00EC52FA">
        <w:rPr>
          <w:b/>
          <w:bCs/>
        </w:rPr>
        <w:t xml:space="preserve">Rec. </w:t>
      </w:r>
    </w:fldSimple>
    <w:r>
      <w:rPr>
        <w:b/>
        <w:bCs/>
      </w:rPr>
      <w:t xml:space="preserve"> </w:t>
    </w:r>
    <w:r w:rsidR="00B02269">
      <w:rPr>
        <w:b/>
        <w:bCs/>
      </w:rPr>
      <w:fldChar w:fldCharType="begin"/>
    </w:r>
    <w:r>
      <w:rPr>
        <w:b/>
        <w:bCs/>
      </w:rPr>
      <w:instrText>styleref href</w:instrText>
    </w:r>
    <w:r w:rsidR="00B02269">
      <w:rPr>
        <w:b/>
        <w:bCs/>
      </w:rPr>
      <w:fldChar w:fldCharType="separate"/>
    </w:r>
    <w:r w:rsidR="00D379DC">
      <w:rPr>
        <w:b/>
        <w:bCs/>
        <w:noProof/>
      </w:rPr>
      <w:t>UIT-R  BT.1299-1</w:t>
    </w:r>
    <w:r w:rsidR="00B02269">
      <w:rPr>
        <w:b/>
        <w:bCs/>
      </w:rPr>
      <w:fldChar w:fldCharType="end"/>
    </w:r>
    <w:r>
      <w:tab/>
    </w:r>
    <w:r w:rsidR="00B02269">
      <w:rPr>
        <w:rStyle w:val="PageNumber"/>
        <w:b/>
        <w:bCs/>
      </w:rPr>
      <w:fldChar w:fldCharType="begin"/>
    </w:r>
    <w:r>
      <w:rPr>
        <w:rStyle w:val="PageNumber"/>
        <w:b/>
        <w:bCs/>
      </w:rPr>
      <w:instrText xml:space="preserve"> PAGE </w:instrText>
    </w:r>
    <w:r w:rsidR="00B02269">
      <w:rPr>
        <w:rStyle w:val="PageNumber"/>
        <w:b/>
        <w:bCs/>
      </w:rPr>
      <w:fldChar w:fldCharType="separate"/>
    </w:r>
    <w:r w:rsidR="00D379DC">
      <w:rPr>
        <w:rStyle w:val="PageNumber"/>
        <w:b/>
        <w:bCs/>
        <w:noProof/>
      </w:rPr>
      <w:t>1</w:t>
    </w:r>
    <w:r w:rsidR="00B0226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7169"/>
  </w:hdrShapeDefaults>
  <w:footnotePr>
    <w:footnote w:id="-1"/>
    <w:footnote w:id="0"/>
  </w:footnotePr>
  <w:endnotePr>
    <w:endnote w:id="-1"/>
    <w:endnote w:id="0"/>
  </w:endnotePr>
  <w:compat/>
  <w:rsids>
    <w:rsidRoot w:val="00F77F28"/>
    <w:rsid w:val="00063AE9"/>
    <w:rsid w:val="00091138"/>
    <w:rsid w:val="001E29DB"/>
    <w:rsid w:val="00227CED"/>
    <w:rsid w:val="00284AF8"/>
    <w:rsid w:val="002D76C4"/>
    <w:rsid w:val="0032222F"/>
    <w:rsid w:val="00344123"/>
    <w:rsid w:val="00363854"/>
    <w:rsid w:val="003829F0"/>
    <w:rsid w:val="004156D2"/>
    <w:rsid w:val="004452A9"/>
    <w:rsid w:val="004733ED"/>
    <w:rsid w:val="00474E13"/>
    <w:rsid w:val="00486B06"/>
    <w:rsid w:val="005726A7"/>
    <w:rsid w:val="005777F3"/>
    <w:rsid w:val="005F43D1"/>
    <w:rsid w:val="00607D68"/>
    <w:rsid w:val="00633625"/>
    <w:rsid w:val="006553B9"/>
    <w:rsid w:val="006818DE"/>
    <w:rsid w:val="00684CC5"/>
    <w:rsid w:val="006C7692"/>
    <w:rsid w:val="00721270"/>
    <w:rsid w:val="007C2CA6"/>
    <w:rsid w:val="00841C89"/>
    <w:rsid w:val="008B6031"/>
    <w:rsid w:val="00930489"/>
    <w:rsid w:val="00965853"/>
    <w:rsid w:val="00987473"/>
    <w:rsid w:val="009940E7"/>
    <w:rsid w:val="009E1F8B"/>
    <w:rsid w:val="009E470E"/>
    <w:rsid w:val="00A26FDC"/>
    <w:rsid w:val="00A43420"/>
    <w:rsid w:val="00A6617B"/>
    <w:rsid w:val="00AB0DC8"/>
    <w:rsid w:val="00AE798C"/>
    <w:rsid w:val="00AF6707"/>
    <w:rsid w:val="00B02269"/>
    <w:rsid w:val="00B44E24"/>
    <w:rsid w:val="00C058C9"/>
    <w:rsid w:val="00C23DBD"/>
    <w:rsid w:val="00CC6858"/>
    <w:rsid w:val="00CD276D"/>
    <w:rsid w:val="00D379DC"/>
    <w:rsid w:val="00DF4176"/>
    <w:rsid w:val="00E35FD1"/>
    <w:rsid w:val="00EB1B24"/>
    <w:rsid w:val="00EC52FA"/>
    <w:rsid w:val="00F16D82"/>
    <w:rsid w:val="00F77F28"/>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link w:val="FootnoteTextChar"/>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Heading1Char">
    <w:name w:val="Heading 1 Char"/>
    <w:basedOn w:val="DefaultParagraphFont"/>
    <w:link w:val="Heading1"/>
    <w:rsid w:val="007C2CA6"/>
    <w:rPr>
      <w:b/>
      <w:sz w:val="24"/>
      <w:lang w:val="fr-FR" w:eastAsia="en-US"/>
    </w:rPr>
  </w:style>
  <w:style w:type="character" w:customStyle="1" w:styleId="FootnoteTextChar">
    <w:name w:val="Footnote Text Char"/>
    <w:basedOn w:val="DefaultParagraphFont"/>
    <w:link w:val="FootnoteText"/>
    <w:semiHidden/>
    <w:rsid w:val="007C2CA6"/>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344C2-6A1E-4FFB-BF54-A44BDFA3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TotalTime>
  <Pages>4</Pages>
  <Words>1004</Words>
  <Characters>6012</Characters>
  <Application>Microsoft Office Word</Application>
  <DocSecurity>0</DocSecurity>
  <Lines>171</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6857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6</cp:revision>
  <cp:lastPrinted>2009-08-04T08:05:00Z</cp:lastPrinted>
  <dcterms:created xsi:type="dcterms:W3CDTF">2010-11-29T12:55:00Z</dcterms:created>
  <dcterms:modified xsi:type="dcterms:W3CDTF">2010-12-06T10:53:00Z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