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F23" w:rsidRPr="00575CB8" w:rsidRDefault="00513F23" w:rsidP="00CB101E">
      <w:pPr>
        <w:rPr>
          <w:lang w:val="en-US"/>
        </w:rPr>
      </w:pPr>
      <w:bookmarkStart w:id="0" w:name="dbreak"/>
      <w:bookmarkEnd w:id="0"/>
    </w:p>
    <w:p w:rsidR="00513F23" w:rsidRDefault="00513F23" w:rsidP="00CB101E"/>
    <w:p w:rsidR="00513F23" w:rsidRDefault="00513F23" w:rsidP="00CB101E"/>
    <w:p w:rsidR="00513F23" w:rsidRDefault="00513F23" w:rsidP="00CB101E"/>
    <w:p w:rsidR="00513F23" w:rsidRDefault="00513F23" w:rsidP="00CB101E"/>
    <w:p w:rsidR="00513F23" w:rsidRDefault="00513F23" w:rsidP="00CB101E"/>
    <w:p w:rsidR="00513F23" w:rsidRDefault="00513F23" w:rsidP="00CB101E"/>
    <w:p w:rsidR="00513F23" w:rsidRDefault="00513F23" w:rsidP="00CB101E"/>
    <w:p w:rsidR="00513F23" w:rsidRDefault="00513F23" w:rsidP="00CB101E"/>
    <w:p w:rsidR="00513F23" w:rsidRDefault="00513F23" w:rsidP="00CB101E"/>
    <w:p w:rsidR="00513F23" w:rsidRDefault="00513F23" w:rsidP="00CB101E"/>
    <w:p w:rsidR="00513F23" w:rsidRDefault="00513F23" w:rsidP="00CB101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13F23" w:rsidRPr="00513F23" w:rsidTr="00CB101E">
        <w:tc>
          <w:tcPr>
            <w:tcW w:w="10089" w:type="dxa"/>
          </w:tcPr>
          <w:p w:rsidR="00513F23" w:rsidRPr="0010336F" w:rsidRDefault="00513F23" w:rsidP="00CB101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13F23" w:rsidRPr="0010336F" w:rsidRDefault="00513F23" w:rsidP="00513F2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1122-2</w:t>
            </w:r>
          </w:p>
          <w:p w:rsidR="00513F23" w:rsidRPr="0010336F" w:rsidRDefault="00513F23" w:rsidP="00513F2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513F23" w:rsidRPr="00CB101E" w:rsidTr="00CB101E">
        <w:tc>
          <w:tcPr>
            <w:tcW w:w="10089" w:type="dxa"/>
          </w:tcPr>
          <w:p w:rsidR="00513F23" w:rsidRPr="00CB101E" w:rsidRDefault="00513F23" w:rsidP="00CB101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513F23" w:rsidRPr="00CB101E" w:rsidRDefault="00CB101E" w:rsidP="00FF47F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CB101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Requisitos de usuario relativos</w:t>
            </w:r>
            <w:r w:rsidR="00F36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CB101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a los códecs para los sistemas</w:t>
            </w:r>
            <w:r w:rsidR="00F36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CB101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de emisión y de distribución</w:t>
            </w:r>
            <w:r w:rsidR="00F36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CB101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secundaria para SDTV</w:t>
            </w:r>
            <w:r w:rsidR="00FF47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CB101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y TVAD</w:t>
            </w:r>
          </w:p>
          <w:p w:rsidR="00513F23" w:rsidRPr="00CB101E" w:rsidRDefault="00513F23" w:rsidP="00CB101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513F23" w:rsidRPr="00513F23" w:rsidTr="00CB101E">
        <w:tc>
          <w:tcPr>
            <w:tcW w:w="10089" w:type="dxa"/>
          </w:tcPr>
          <w:p w:rsidR="00513F23" w:rsidRPr="0010336F" w:rsidRDefault="00513F23" w:rsidP="00CB101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513F23" w:rsidRPr="0010336F" w:rsidRDefault="00513F23" w:rsidP="00CB101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513F23" w:rsidRPr="0010336F" w:rsidRDefault="00513F23" w:rsidP="00CB101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513F23" w:rsidRPr="0010336F" w:rsidRDefault="00513F23" w:rsidP="00CB101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513F23" w:rsidRPr="009E1F8B" w:rsidRDefault="00513F23" w:rsidP="00CB101E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Servicio de radiodifusión (televisión)</w:t>
            </w:r>
          </w:p>
        </w:tc>
      </w:tr>
    </w:tbl>
    <w:p w:rsidR="00513F23" w:rsidRPr="0026666F" w:rsidRDefault="00513F23" w:rsidP="00CB101E">
      <w:pPr>
        <w:spacing w:before="80"/>
        <w:rPr>
          <w:i/>
          <w:sz w:val="22"/>
          <w:lang w:val="es-ES_tradnl"/>
        </w:rPr>
      </w:pPr>
    </w:p>
    <w:p w:rsidR="00513F23" w:rsidRPr="0026666F" w:rsidRDefault="00513F23" w:rsidP="00CB101E">
      <w:pPr>
        <w:spacing w:before="80"/>
        <w:rPr>
          <w:i/>
          <w:sz w:val="22"/>
          <w:lang w:val="es-ES_tradnl"/>
        </w:rPr>
      </w:pPr>
    </w:p>
    <w:p w:rsidR="00513F23" w:rsidRPr="0026666F" w:rsidRDefault="00513F23" w:rsidP="00CB101E">
      <w:pPr>
        <w:spacing w:before="80"/>
        <w:rPr>
          <w:i/>
          <w:sz w:val="22"/>
          <w:lang w:val="es-ES_tradnl"/>
        </w:rPr>
      </w:pPr>
    </w:p>
    <w:p w:rsidR="00513F23" w:rsidRPr="0026666F" w:rsidRDefault="00513F23" w:rsidP="00CB101E">
      <w:pPr>
        <w:spacing w:before="80"/>
        <w:rPr>
          <w:i/>
          <w:sz w:val="22"/>
          <w:lang w:val="es-ES_tradnl"/>
        </w:rPr>
      </w:pPr>
    </w:p>
    <w:p w:rsidR="00513F23" w:rsidRPr="0026666F" w:rsidRDefault="00513F23" w:rsidP="00CB101E">
      <w:pPr>
        <w:spacing w:before="80"/>
        <w:rPr>
          <w:i/>
          <w:sz w:val="22"/>
          <w:lang w:val="es-ES_tradnl"/>
        </w:rPr>
      </w:pPr>
    </w:p>
    <w:p w:rsidR="00513F23" w:rsidRPr="0026666F" w:rsidRDefault="00513F23" w:rsidP="00CB101E">
      <w:pPr>
        <w:spacing w:before="80"/>
        <w:rPr>
          <w:i/>
          <w:sz w:val="22"/>
          <w:lang w:val="es-ES_tradnl"/>
        </w:rPr>
      </w:pPr>
    </w:p>
    <w:p w:rsidR="00513F23" w:rsidRPr="0026666F" w:rsidRDefault="00513F23" w:rsidP="00CB101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513F23" w:rsidRPr="0026666F" w:rsidSect="00CB101E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513F23" w:rsidRPr="006C718C" w:rsidRDefault="00513F23" w:rsidP="00CB101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513F23" w:rsidRPr="006C718C" w:rsidRDefault="00513F23" w:rsidP="00CB101E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513F23" w:rsidRPr="006C718C" w:rsidRDefault="00513F23" w:rsidP="00CB101E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513F23" w:rsidRPr="00021E8A" w:rsidRDefault="00513F23" w:rsidP="00CB101E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513F23" w:rsidRPr="00021E8A" w:rsidRDefault="00513F23" w:rsidP="00CB101E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513F23" w:rsidRPr="007C36CA" w:rsidRDefault="00513F23" w:rsidP="00CB101E">
      <w:pPr>
        <w:spacing w:before="0"/>
        <w:jc w:val="center"/>
        <w:rPr>
          <w:sz w:val="22"/>
          <w:lang w:val="es-ES_tradnl"/>
        </w:rPr>
      </w:pPr>
    </w:p>
    <w:p w:rsidR="00513F23" w:rsidRPr="007C36CA" w:rsidRDefault="00513F23" w:rsidP="00CB101E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513F23" w:rsidRPr="00513F23" w:rsidTr="00CB101E">
        <w:tc>
          <w:tcPr>
            <w:tcW w:w="9360" w:type="dxa"/>
            <w:gridSpan w:val="2"/>
          </w:tcPr>
          <w:p w:rsidR="00513F23" w:rsidRPr="00021E8A" w:rsidRDefault="00513F23" w:rsidP="00CB101E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513F23" w:rsidRPr="00763D08" w:rsidRDefault="00513F23" w:rsidP="00CB101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1" w:history="1">
              <w:hyperlink r:id="rId12" w:history="1">
                <w:r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513F23" w:rsidRPr="00036EE3" w:rsidTr="00CB101E">
        <w:tc>
          <w:tcPr>
            <w:tcW w:w="1140" w:type="dxa"/>
          </w:tcPr>
          <w:p w:rsidR="00513F23" w:rsidRPr="00036EE3" w:rsidRDefault="00513F23" w:rsidP="00CB101E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513F23" w:rsidRPr="00036EE3" w:rsidRDefault="00513F23" w:rsidP="00CB101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513F23" w:rsidRPr="00036EE3" w:rsidTr="00CB101E">
        <w:tc>
          <w:tcPr>
            <w:tcW w:w="1140" w:type="dxa"/>
            <w:tcBorders>
              <w:bottom w:val="nil"/>
            </w:tcBorders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513F23" w:rsidRPr="00021E8A" w:rsidRDefault="00513F23" w:rsidP="00CB101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513F23" w:rsidRPr="00513F23" w:rsidTr="00CB101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13F23" w:rsidRPr="009E1F8B" w:rsidRDefault="00513F23" w:rsidP="00CB101E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13F23" w:rsidRPr="009E1F8B" w:rsidRDefault="00513F23" w:rsidP="00CB101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513F23" w:rsidRPr="00036EE3" w:rsidTr="00CB101E">
        <w:tc>
          <w:tcPr>
            <w:tcW w:w="1140" w:type="dxa"/>
            <w:tcBorders>
              <w:top w:val="nil"/>
              <w:bottom w:val="nil"/>
            </w:tcBorders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513F23" w:rsidRPr="00021E8A" w:rsidRDefault="00513F23" w:rsidP="00CB101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</w:p>
        </w:tc>
      </w:tr>
      <w:tr w:rsidR="00513F23" w:rsidRPr="009E1F8B" w:rsidTr="00CB101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513F23" w:rsidRPr="009E1F8B" w:rsidRDefault="00513F23" w:rsidP="00CB101E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513F23" w:rsidRPr="009E1F8B" w:rsidRDefault="00513F23" w:rsidP="00CB101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proofErr w:type="spellStart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</w:t>
            </w:r>
            <w:proofErr w:type="spellEnd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 xml:space="preserve"> de </w:t>
            </w:r>
            <w:proofErr w:type="spellStart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radiodifusión</w:t>
            </w:r>
            <w:proofErr w:type="spellEnd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 xml:space="preserve"> (</w:t>
            </w:r>
            <w:proofErr w:type="spellStart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televisión</w:t>
            </w:r>
            <w:proofErr w:type="spellEnd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)</w:t>
            </w:r>
          </w:p>
        </w:tc>
      </w:tr>
      <w:tr w:rsidR="00513F23" w:rsidRPr="00036EE3" w:rsidTr="00CB101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13F23" w:rsidRPr="00021E8A" w:rsidRDefault="00513F23" w:rsidP="00CB101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513F23" w:rsidRPr="00513F23" w:rsidTr="00CB101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13F23" w:rsidRPr="0010336F" w:rsidRDefault="00513F23" w:rsidP="00CB101E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13F23" w:rsidRPr="0022785C" w:rsidRDefault="00513F23" w:rsidP="0022785C">
            <w:pPr>
              <w:pStyle w:val="Tabletext"/>
              <w:spacing w:before="30" w:after="30"/>
              <w:rPr>
                <w:bCs/>
                <w:sz w:val="20"/>
                <w:lang w:val="es-ES_tradnl"/>
              </w:rPr>
            </w:pPr>
            <w:r w:rsidRPr="0022785C">
              <w:rPr>
                <w:bCs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513F23" w:rsidRPr="00513F23" w:rsidTr="00CB101E">
        <w:tc>
          <w:tcPr>
            <w:tcW w:w="1140" w:type="dxa"/>
            <w:tcBorders>
              <w:top w:val="nil"/>
            </w:tcBorders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513F23" w:rsidRPr="00021E8A" w:rsidRDefault="00513F23" w:rsidP="00CB101E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513F23" w:rsidRPr="00036EE3" w:rsidTr="00CB101E">
        <w:tc>
          <w:tcPr>
            <w:tcW w:w="1140" w:type="dxa"/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513F23" w:rsidRPr="00021E8A" w:rsidRDefault="0022785C" w:rsidP="00CB101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</w:rPr>
              <w:t>Radio</w:t>
            </w:r>
            <w:r w:rsidR="00513F23" w:rsidRPr="00021E8A">
              <w:rPr>
                <w:bCs/>
                <w:sz w:val="20"/>
              </w:rPr>
              <w:t>astronomía</w:t>
            </w:r>
            <w:proofErr w:type="spellEnd"/>
          </w:p>
        </w:tc>
      </w:tr>
      <w:tr w:rsidR="00513F23" w:rsidRPr="00513F23" w:rsidTr="00CB101E">
        <w:tc>
          <w:tcPr>
            <w:tcW w:w="1140" w:type="dxa"/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513F23" w:rsidRPr="00021E8A" w:rsidRDefault="00513F23" w:rsidP="00CB101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513F23" w:rsidRPr="00036EE3" w:rsidTr="00CB101E">
        <w:tc>
          <w:tcPr>
            <w:tcW w:w="1140" w:type="dxa"/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513F23" w:rsidRPr="00021E8A" w:rsidRDefault="00513F23" w:rsidP="00CB101E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513F23" w:rsidRPr="00036EE3" w:rsidTr="00CB101E">
        <w:tc>
          <w:tcPr>
            <w:tcW w:w="1140" w:type="dxa"/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513F23" w:rsidRPr="00021E8A" w:rsidRDefault="00513F23" w:rsidP="00CB101E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513F23" w:rsidRPr="00513F23" w:rsidTr="00CB101E">
        <w:tc>
          <w:tcPr>
            <w:tcW w:w="1140" w:type="dxa"/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513F23" w:rsidRPr="00021E8A" w:rsidRDefault="00513F23" w:rsidP="00CB101E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513F23" w:rsidRPr="00036EE3" w:rsidTr="00CB101E">
        <w:tc>
          <w:tcPr>
            <w:tcW w:w="1140" w:type="dxa"/>
            <w:shd w:val="clear" w:color="auto" w:fill="auto"/>
          </w:tcPr>
          <w:p w:rsidR="00513F23" w:rsidRPr="001240BC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513F23" w:rsidRPr="001240BC" w:rsidRDefault="00513F23" w:rsidP="00CB101E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513F23" w:rsidRPr="00036EE3" w:rsidTr="00CB101E">
        <w:tc>
          <w:tcPr>
            <w:tcW w:w="1140" w:type="dxa"/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513F23" w:rsidRPr="00021E8A" w:rsidRDefault="00513F23" w:rsidP="00CB101E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513F23" w:rsidRPr="00513F23" w:rsidTr="00CB101E">
        <w:tc>
          <w:tcPr>
            <w:tcW w:w="1140" w:type="dxa"/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513F23" w:rsidRPr="00021E8A" w:rsidRDefault="00513F23" w:rsidP="00CB101E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513F23" w:rsidRPr="00036EE3" w:rsidTr="00CB101E">
        <w:tc>
          <w:tcPr>
            <w:tcW w:w="1140" w:type="dxa"/>
          </w:tcPr>
          <w:p w:rsidR="00513F23" w:rsidRPr="00036EE3" w:rsidRDefault="00513F23" w:rsidP="00CB101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513F23" w:rsidRPr="00021E8A" w:rsidRDefault="00513F23" w:rsidP="00CB101E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513F23" w:rsidRPr="00036EE3" w:rsidRDefault="00513F23" w:rsidP="00CB101E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513F23" w:rsidTr="00CB101E">
        <w:tc>
          <w:tcPr>
            <w:tcW w:w="720" w:type="dxa"/>
          </w:tcPr>
          <w:p w:rsidR="00513F23" w:rsidRDefault="00513F23" w:rsidP="00CB101E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513F23" w:rsidRPr="00513F23" w:rsidTr="00CB101E">
        <w:tc>
          <w:tcPr>
            <w:tcW w:w="9360" w:type="dxa"/>
          </w:tcPr>
          <w:p w:rsidR="00513F23" w:rsidRPr="00763D08" w:rsidRDefault="00513F23" w:rsidP="00CB101E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513F23" w:rsidRPr="00763D08" w:rsidRDefault="00513F23" w:rsidP="00CB101E">
      <w:pPr>
        <w:spacing w:before="0"/>
        <w:jc w:val="center"/>
        <w:rPr>
          <w:sz w:val="22"/>
          <w:lang w:val="es-ES_tradnl"/>
        </w:rPr>
      </w:pPr>
    </w:p>
    <w:p w:rsidR="00513F23" w:rsidRPr="00763D08" w:rsidRDefault="00513F23" w:rsidP="00CB101E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513F23" w:rsidRPr="00763D08" w:rsidRDefault="00513F23" w:rsidP="00CB101E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11</w:t>
      </w:r>
    </w:p>
    <w:p w:rsidR="00513F23" w:rsidRPr="00763D08" w:rsidRDefault="00513F23" w:rsidP="00CB101E">
      <w:pPr>
        <w:spacing w:before="0"/>
        <w:jc w:val="center"/>
        <w:rPr>
          <w:sz w:val="22"/>
          <w:lang w:val="es-ES_tradnl"/>
        </w:rPr>
      </w:pPr>
    </w:p>
    <w:p w:rsidR="00513F23" w:rsidRPr="00763D08" w:rsidRDefault="00513F23" w:rsidP="00CB101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11</w:t>
      </w:r>
    </w:p>
    <w:p w:rsidR="00513F23" w:rsidRPr="006C718C" w:rsidRDefault="00513F23" w:rsidP="00CB101E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513F23" w:rsidRPr="006C718C" w:rsidRDefault="00513F23" w:rsidP="00CB101E">
      <w:pPr>
        <w:spacing w:before="160"/>
        <w:rPr>
          <w:i/>
          <w:sz w:val="20"/>
          <w:highlight w:val="yellow"/>
          <w:lang w:val="es-ES_tradnl"/>
        </w:rPr>
        <w:sectPr w:rsidR="00513F23" w:rsidRPr="006C718C" w:rsidSect="00CB101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13F23" w:rsidRPr="00653A75" w:rsidRDefault="00513F23" w:rsidP="00F24810">
      <w:pPr>
        <w:pStyle w:val="RecNo"/>
        <w:spacing w:before="0"/>
        <w:rPr>
          <w:lang w:val="es-ES"/>
        </w:rPr>
      </w:pPr>
      <w:bookmarkStart w:id="3" w:name="irecnoe"/>
      <w:bookmarkEnd w:id="3"/>
      <w:r w:rsidRPr="00653A75">
        <w:rPr>
          <w:lang w:val="es-ES"/>
        </w:rPr>
        <w:lastRenderedPageBreak/>
        <w:t xml:space="preserve">RECOMENDACIÓN  </w:t>
      </w:r>
      <w:r w:rsidRPr="00653A75">
        <w:rPr>
          <w:rStyle w:val="href"/>
          <w:lang w:val="es-ES"/>
        </w:rPr>
        <w:t>UIT-R  BT.1122-2</w:t>
      </w:r>
      <w:r w:rsidR="00CB101E">
        <w:rPr>
          <w:rStyle w:val="FootnoteReference"/>
          <w:lang w:val="es-ES"/>
        </w:rPr>
        <w:footnoteReference w:id="1"/>
      </w:r>
    </w:p>
    <w:p w:rsidR="00513F23" w:rsidRDefault="00513F23" w:rsidP="00513F23">
      <w:pPr>
        <w:pStyle w:val="Rectitle"/>
        <w:rPr>
          <w:lang w:val="es-ES"/>
        </w:rPr>
      </w:pPr>
      <w:r w:rsidRPr="00653A75">
        <w:rPr>
          <w:lang w:val="es-ES"/>
        </w:rPr>
        <w:t xml:space="preserve">Requisitos de usuario relativos a los </w:t>
      </w:r>
      <w:proofErr w:type="spellStart"/>
      <w:r w:rsidRPr="00653A75">
        <w:rPr>
          <w:lang w:val="es-ES"/>
        </w:rPr>
        <w:t>códecs</w:t>
      </w:r>
      <w:proofErr w:type="spellEnd"/>
      <w:r w:rsidRPr="00653A75">
        <w:rPr>
          <w:lang w:val="es-ES"/>
        </w:rPr>
        <w:t xml:space="preserve"> para los sistemas de emisión </w:t>
      </w:r>
      <w:r w:rsidR="00CB101E">
        <w:rPr>
          <w:lang w:val="es-ES"/>
        </w:rPr>
        <w:br/>
      </w:r>
      <w:r w:rsidRPr="00653A75">
        <w:rPr>
          <w:lang w:val="es-ES"/>
        </w:rPr>
        <w:t>y de distribución secundaria para SDTV y</w:t>
      </w:r>
      <w:r w:rsidR="00CB101E">
        <w:rPr>
          <w:lang w:val="es-ES"/>
        </w:rPr>
        <w:t xml:space="preserve"> TVAD</w:t>
      </w:r>
    </w:p>
    <w:p w:rsidR="00462F84" w:rsidRPr="00462F84" w:rsidRDefault="00462F84" w:rsidP="004A3A1E">
      <w:pPr>
        <w:pStyle w:val="Blanc"/>
      </w:pPr>
    </w:p>
    <w:p w:rsidR="00513F23" w:rsidRPr="00653A75" w:rsidRDefault="00513F23" w:rsidP="00513F23">
      <w:pPr>
        <w:pStyle w:val="Recdate"/>
        <w:rPr>
          <w:lang w:val="es-ES"/>
        </w:rPr>
      </w:pPr>
      <w:r w:rsidRPr="00653A75">
        <w:rPr>
          <w:lang w:val="es-ES"/>
        </w:rPr>
        <w:t>(1994-1995-2011)</w:t>
      </w:r>
    </w:p>
    <w:p w:rsidR="004A3A1E" w:rsidRPr="00462F84" w:rsidRDefault="004A3A1E" w:rsidP="004A3A1E">
      <w:pPr>
        <w:pStyle w:val="Blanc"/>
      </w:pPr>
    </w:p>
    <w:p w:rsidR="00513F23" w:rsidRPr="00653A75" w:rsidRDefault="00F24810" w:rsidP="00617E5D">
      <w:pPr>
        <w:pStyle w:val="HeadingSum"/>
      </w:pPr>
      <w:r w:rsidRPr="00617E5D">
        <w:t>Cometido</w:t>
      </w:r>
    </w:p>
    <w:p w:rsidR="00513F23" w:rsidRPr="00653A75" w:rsidRDefault="00513F23" w:rsidP="00F24810">
      <w:pPr>
        <w:pStyle w:val="Summary"/>
      </w:pPr>
      <w:r w:rsidRPr="00653A75">
        <w:t>En esta Recomendación se definen los requisitos de usuario que deben aplicarse a efectos de las especificaciones, el diseño y las pruebas de sistemas para la emisión y distribución secundaria de señales de SDTV y TVAD.</w:t>
      </w:r>
    </w:p>
    <w:p w:rsidR="00513F23" w:rsidRPr="00653A75" w:rsidRDefault="00513F23" w:rsidP="00462F84">
      <w:pPr>
        <w:pStyle w:val="Normalaftertitle"/>
        <w:rPr>
          <w:lang w:val="es-ES"/>
        </w:rPr>
      </w:pPr>
      <w:r w:rsidRPr="00653A75">
        <w:rPr>
          <w:lang w:val="es-ES"/>
        </w:rPr>
        <w:t>La Asamblea de Radiocomunicaciones de la UIT,</w:t>
      </w:r>
    </w:p>
    <w:p w:rsidR="00513F23" w:rsidRPr="00653A75" w:rsidRDefault="00513F23" w:rsidP="00617E5D">
      <w:pPr>
        <w:pStyle w:val="Call"/>
        <w:rPr>
          <w:lang w:val="es-ES"/>
        </w:rPr>
      </w:pPr>
      <w:proofErr w:type="spellStart"/>
      <w:proofErr w:type="gramStart"/>
      <w:r w:rsidRPr="00617E5D">
        <w:t>considerando</w:t>
      </w:r>
      <w:proofErr w:type="spellEnd"/>
      <w:proofErr w:type="gramEnd"/>
    </w:p>
    <w:p w:rsidR="00513F23" w:rsidRPr="00653A75" w:rsidRDefault="00513F23" w:rsidP="00513F23">
      <w:pPr>
        <w:rPr>
          <w:lang w:val="es-ES"/>
        </w:rPr>
      </w:pPr>
      <w:r w:rsidRPr="00653A75">
        <w:rPr>
          <w:lang w:val="es-ES"/>
        </w:rPr>
        <w:t>a)</w:t>
      </w:r>
      <w:r w:rsidRPr="00653A75">
        <w:rPr>
          <w:lang w:val="es-ES"/>
        </w:rPr>
        <w:tab/>
        <w:t xml:space="preserve">que las Recomendaciones UIT-R BT.601 y UIT-R BT.709 definen los parámetros de las señales digitales </w:t>
      </w:r>
      <w:r w:rsidRPr="00653A75">
        <w:rPr>
          <w:i/>
          <w:lang w:val="es-ES"/>
        </w:rPr>
        <w:t>Y</w:t>
      </w:r>
      <w:r w:rsidRPr="00653A75">
        <w:rPr>
          <w:lang w:val="es-ES"/>
        </w:rPr>
        <w:t xml:space="preserve">, </w:t>
      </w:r>
      <w:r w:rsidRPr="00653A75">
        <w:rPr>
          <w:i/>
          <w:lang w:val="es-ES"/>
        </w:rPr>
        <w:t>C</w:t>
      </w:r>
      <w:r w:rsidRPr="00653A75">
        <w:rPr>
          <w:i/>
          <w:iCs/>
          <w:vertAlign w:val="subscript"/>
          <w:lang w:val="es-ES"/>
        </w:rPr>
        <w:t>B</w:t>
      </w:r>
      <w:r w:rsidRPr="00653A75">
        <w:rPr>
          <w:lang w:val="es-ES"/>
        </w:rPr>
        <w:t xml:space="preserve">, </w:t>
      </w:r>
      <w:r w:rsidRPr="00653A75">
        <w:rPr>
          <w:i/>
          <w:lang w:val="es-ES"/>
        </w:rPr>
        <w:t>C</w:t>
      </w:r>
      <w:r w:rsidRPr="00653A75">
        <w:rPr>
          <w:i/>
          <w:iCs/>
          <w:vertAlign w:val="subscript"/>
          <w:lang w:val="es-ES"/>
        </w:rPr>
        <w:t>R</w:t>
      </w:r>
      <w:r w:rsidRPr="00653A75">
        <w:rPr>
          <w:lang w:val="es-ES"/>
        </w:rPr>
        <w:t xml:space="preserve"> de luminancia y de diferencia de color;</w:t>
      </w:r>
    </w:p>
    <w:p w:rsidR="00513F23" w:rsidRPr="00653A75" w:rsidRDefault="00513F23" w:rsidP="00F24810">
      <w:pPr>
        <w:rPr>
          <w:lang w:val="es-ES"/>
        </w:rPr>
      </w:pPr>
      <w:r w:rsidRPr="00653A75">
        <w:rPr>
          <w:lang w:val="es-ES"/>
        </w:rPr>
        <w:t>b)</w:t>
      </w:r>
      <w:r w:rsidRPr="00653A75">
        <w:rPr>
          <w:lang w:val="es-ES"/>
        </w:rPr>
        <w:tab/>
        <w:t>que es necesario transmitir señales conformes a dicha norma mediante redes de distribución secundaria o de sistemas de emisión (terrenales, por satélite, por cable,</w:t>
      </w:r>
      <w:r w:rsidR="00F24810">
        <w:rPr>
          <w:lang w:val="es-ES"/>
        </w:rPr>
        <w:t xml:space="preserve"> </w:t>
      </w:r>
      <w:r w:rsidRPr="00653A75">
        <w:rPr>
          <w:lang w:val="es-ES"/>
        </w:rPr>
        <w:t>etc.);</w:t>
      </w:r>
    </w:p>
    <w:p w:rsidR="00513F23" w:rsidRPr="00653A75" w:rsidRDefault="00513F23" w:rsidP="00513F23">
      <w:pPr>
        <w:rPr>
          <w:lang w:val="es-ES"/>
        </w:rPr>
      </w:pPr>
      <w:r w:rsidRPr="00653A75">
        <w:rPr>
          <w:lang w:val="es-ES"/>
        </w:rPr>
        <w:t>c)</w:t>
      </w:r>
      <w:r w:rsidRPr="00653A75">
        <w:rPr>
          <w:lang w:val="es-ES"/>
        </w:rPr>
        <w:tab/>
        <w:t>que se han desarrollado algoritmos de codificación y establecido o propuesto normas que permiten efectuar dicha transmisión utilizando técnicas de reducción de la velocidad binaria;</w:t>
      </w:r>
    </w:p>
    <w:p w:rsidR="00513F23" w:rsidRPr="00653A75" w:rsidRDefault="00513F23" w:rsidP="00513F23">
      <w:pPr>
        <w:rPr>
          <w:lang w:val="es-ES"/>
        </w:rPr>
      </w:pPr>
      <w:r w:rsidRPr="00653A75">
        <w:rPr>
          <w:lang w:val="es-ES"/>
        </w:rPr>
        <w:t>d)</w:t>
      </w:r>
      <w:r w:rsidRPr="00653A75">
        <w:rPr>
          <w:lang w:val="es-ES"/>
        </w:rPr>
        <w:tab/>
        <w:t>que en los textos UIT-R figuran guías de carácter general para los métodos de evaluación y que, en particular, los métodos de evaluación subjetiva se definen en las Recomen</w:t>
      </w:r>
      <w:r w:rsidRPr="00653A75">
        <w:rPr>
          <w:lang w:val="es-ES"/>
        </w:rPr>
        <w:softHyphen/>
        <w:t>daciones UIT</w:t>
      </w:r>
      <w:r w:rsidRPr="00653A75">
        <w:rPr>
          <w:lang w:val="es-ES"/>
        </w:rPr>
        <w:noBreakHyphen/>
        <w:t>R BT.500, UIT-R BT.710 y UIT-R BT.1129;</w:t>
      </w:r>
    </w:p>
    <w:p w:rsidR="00513F23" w:rsidRPr="00653A75" w:rsidRDefault="00513F23" w:rsidP="00513F23">
      <w:pPr>
        <w:rPr>
          <w:lang w:val="es-ES"/>
        </w:rPr>
      </w:pPr>
      <w:r w:rsidRPr="00653A75">
        <w:rPr>
          <w:lang w:val="es-ES"/>
        </w:rPr>
        <w:t>e)</w:t>
      </w:r>
      <w:r w:rsidRPr="00653A75">
        <w:rPr>
          <w:lang w:val="es-ES"/>
        </w:rPr>
        <w:tab/>
        <w:t>que una evaluación de este tipo tendrá que tener en cuenta la calidad de la imagen básica y la característica de fallo en presencia de errores de transmisión y el enlace de emisión;</w:t>
      </w:r>
    </w:p>
    <w:p w:rsidR="00513F23" w:rsidRPr="00653A75" w:rsidRDefault="00513F23" w:rsidP="00513F23">
      <w:pPr>
        <w:rPr>
          <w:lang w:val="es-ES"/>
        </w:rPr>
      </w:pPr>
      <w:r w:rsidRPr="00653A75">
        <w:rPr>
          <w:lang w:val="es-ES"/>
        </w:rPr>
        <w:t>f)</w:t>
      </w:r>
      <w:r w:rsidRPr="00653A75">
        <w:rPr>
          <w:lang w:val="es-ES"/>
        </w:rPr>
        <w:tab/>
        <w:t xml:space="preserve">que en el diseño de los </w:t>
      </w:r>
      <w:proofErr w:type="spellStart"/>
      <w:r w:rsidRPr="00653A75">
        <w:rPr>
          <w:lang w:val="es-ES"/>
        </w:rPr>
        <w:t>códecs</w:t>
      </w:r>
      <w:proofErr w:type="spellEnd"/>
      <w:r w:rsidRPr="00653A75">
        <w:rPr>
          <w:lang w:val="es-ES"/>
        </w:rPr>
        <w:t xml:space="preserve"> y en su evaluación habrán de tenerse en cuenta los requisitos de usuario;</w:t>
      </w:r>
    </w:p>
    <w:p w:rsidR="00513F23" w:rsidRPr="00653A75" w:rsidRDefault="00513F23" w:rsidP="00513F23">
      <w:pPr>
        <w:rPr>
          <w:lang w:val="es-ES"/>
        </w:rPr>
      </w:pPr>
      <w:r w:rsidRPr="00653A75">
        <w:rPr>
          <w:lang w:val="es-ES"/>
        </w:rPr>
        <w:t>g)</w:t>
      </w:r>
      <w:r w:rsidRPr="00653A75">
        <w:rPr>
          <w:lang w:val="es-ES"/>
        </w:rPr>
        <w:tab/>
        <w:t>que si han de ser completos, los requisitos de usuario deben especificar los procedimientos de prueba y el material de prueba a utilizar para comprobar el cumplimiento de dichos requisitos,</w:t>
      </w:r>
    </w:p>
    <w:p w:rsidR="00513F23" w:rsidRPr="00653A75" w:rsidRDefault="00513F23" w:rsidP="00617E5D">
      <w:pPr>
        <w:pStyle w:val="Call"/>
        <w:rPr>
          <w:lang w:val="es-ES"/>
        </w:rPr>
      </w:pPr>
      <w:proofErr w:type="spellStart"/>
      <w:proofErr w:type="gramStart"/>
      <w:r w:rsidRPr="00617E5D">
        <w:t>observando</w:t>
      </w:r>
      <w:proofErr w:type="spellEnd"/>
      <w:proofErr w:type="gramEnd"/>
    </w:p>
    <w:p w:rsidR="00513F23" w:rsidRPr="00653A75" w:rsidRDefault="00513F23" w:rsidP="00513F23">
      <w:pPr>
        <w:rPr>
          <w:lang w:val="es-ES"/>
        </w:rPr>
      </w:pPr>
      <w:r w:rsidRPr="00653A75">
        <w:rPr>
          <w:lang w:val="es-ES"/>
        </w:rPr>
        <w:t>a)</w:t>
      </w:r>
      <w:r w:rsidRPr="00653A75">
        <w:rPr>
          <w:lang w:val="es-ES"/>
        </w:rPr>
        <w:tab/>
        <w:t>que en la Recomendación UIT-R BS.1548 se especifican los requisitos para sistemas de codificación de audio en radiodifusión digital para la radiodifusión de sonido y televisión;</w:t>
      </w:r>
    </w:p>
    <w:p w:rsidR="00513F23" w:rsidRPr="00653A75" w:rsidRDefault="00513F23" w:rsidP="00513F23">
      <w:pPr>
        <w:rPr>
          <w:lang w:val="es-ES"/>
        </w:rPr>
      </w:pPr>
      <w:r w:rsidRPr="00653A75">
        <w:rPr>
          <w:lang w:val="es-ES"/>
        </w:rPr>
        <w:t>b)</w:t>
      </w:r>
      <w:r w:rsidRPr="00653A75">
        <w:rPr>
          <w:lang w:val="es-ES"/>
        </w:rPr>
        <w:tab/>
        <w:t>que en la Recomendación UIT-R BT.1203 facilita los requisitos de usuario para la codificación genérica con reducción de velocidad binaria de vídeo de señales digitales de televisión para un sistema de televisión de extremo a extremo;</w:t>
      </w:r>
    </w:p>
    <w:p w:rsidR="00513F23" w:rsidRPr="00653A75" w:rsidRDefault="00513F23" w:rsidP="00F24810">
      <w:pPr>
        <w:rPr>
          <w:lang w:val="es-ES"/>
        </w:rPr>
      </w:pPr>
      <w:r w:rsidRPr="00653A75">
        <w:rPr>
          <w:lang w:val="es-ES"/>
        </w:rPr>
        <w:t>c)</w:t>
      </w:r>
      <w:r w:rsidRPr="00653A75">
        <w:rPr>
          <w:lang w:val="es-ES"/>
        </w:rPr>
        <w:tab/>
        <w:t xml:space="preserve">que en la Recomendación UIT-R BT.1868 se describen los requisitos de usuario relativos a los </w:t>
      </w:r>
      <w:proofErr w:type="spellStart"/>
      <w:r w:rsidRPr="00653A75">
        <w:rPr>
          <w:lang w:val="es-ES"/>
        </w:rPr>
        <w:t>códecs</w:t>
      </w:r>
      <w:proofErr w:type="spellEnd"/>
      <w:r w:rsidRPr="00653A75">
        <w:rPr>
          <w:lang w:val="es-ES"/>
        </w:rPr>
        <w:t xml:space="preserve"> para redes de contribución, de distribución primaria y de periodismo electrónico por satélite,</w:t>
      </w:r>
    </w:p>
    <w:p w:rsidR="00513F23" w:rsidRPr="00653A75" w:rsidRDefault="00513F23" w:rsidP="00617E5D">
      <w:pPr>
        <w:pStyle w:val="Call"/>
        <w:rPr>
          <w:lang w:val="es-ES"/>
        </w:rPr>
      </w:pPr>
      <w:proofErr w:type="spellStart"/>
      <w:proofErr w:type="gramStart"/>
      <w:r w:rsidRPr="00617E5D">
        <w:lastRenderedPageBreak/>
        <w:t>recomienda</w:t>
      </w:r>
      <w:proofErr w:type="spellEnd"/>
      <w:proofErr w:type="gramEnd"/>
    </w:p>
    <w:p w:rsidR="00513F23" w:rsidRPr="00653A75" w:rsidRDefault="00513F23" w:rsidP="00F24810">
      <w:pPr>
        <w:rPr>
          <w:lang w:val="es-ES"/>
        </w:rPr>
      </w:pPr>
      <w:r w:rsidRPr="00653A75">
        <w:rPr>
          <w:b/>
          <w:lang w:val="es-ES"/>
        </w:rPr>
        <w:t>1</w:t>
      </w:r>
      <w:r w:rsidRPr="00653A75">
        <w:rPr>
          <w:lang w:val="es-ES"/>
        </w:rPr>
        <w:tab/>
        <w:t xml:space="preserve">que deberían aplicarse los siguientes requisitos de usuario para las especificaciones, el diseño y las pruebas de los sistemas de distribución secundaria y emisión de señales </w:t>
      </w:r>
      <w:r w:rsidRPr="00653A75">
        <w:rPr>
          <w:iCs/>
          <w:lang w:val="es-ES"/>
        </w:rPr>
        <w:t>de</w:t>
      </w:r>
      <w:r w:rsidRPr="00653A75">
        <w:rPr>
          <w:lang w:val="es-ES"/>
        </w:rPr>
        <w:t xml:space="preserve"> SDTV y TVAD.</w:t>
      </w:r>
    </w:p>
    <w:p w:rsidR="00513F23" w:rsidRPr="00144FE7" w:rsidRDefault="00513F23" w:rsidP="00617E5D">
      <w:pPr>
        <w:pStyle w:val="TableNo"/>
        <w:rPr>
          <w:sz w:val="20"/>
          <w:lang w:val="es-ES"/>
        </w:rPr>
      </w:pPr>
      <w:r w:rsidRPr="00144FE7">
        <w:rPr>
          <w:sz w:val="20"/>
          <w:lang w:val="es-ES"/>
        </w:rPr>
        <w:t>CUADRO  1</w:t>
      </w:r>
    </w:p>
    <w:p w:rsidR="00513F23" w:rsidRPr="00144FE7" w:rsidRDefault="00513F23" w:rsidP="00F24810">
      <w:pPr>
        <w:pStyle w:val="Tabletitle"/>
        <w:rPr>
          <w:sz w:val="20"/>
          <w:lang w:val="es-ES"/>
        </w:rPr>
      </w:pPr>
      <w:r w:rsidRPr="00144FE7">
        <w:rPr>
          <w:sz w:val="20"/>
          <w:lang w:val="es-ES"/>
        </w:rPr>
        <w:t xml:space="preserve">Requisitos de usuario para los </w:t>
      </w:r>
      <w:proofErr w:type="spellStart"/>
      <w:r w:rsidRPr="00144FE7">
        <w:rPr>
          <w:sz w:val="20"/>
          <w:lang w:val="es-ES"/>
        </w:rPr>
        <w:t>códecs</w:t>
      </w:r>
      <w:proofErr w:type="spellEnd"/>
      <w:r w:rsidRPr="00144FE7">
        <w:rPr>
          <w:sz w:val="20"/>
          <w:lang w:val="es-ES"/>
        </w:rPr>
        <w:t xml:space="preserve"> de distribución secundaria y emisión</w:t>
      </w:r>
    </w:p>
    <w:tbl>
      <w:tblPr>
        <w:tblW w:w="9639" w:type="dxa"/>
        <w:jc w:val="center"/>
        <w:tblInd w:w="6" w:type="dxa"/>
        <w:tblBorders>
          <w:top w:val="single" w:sz="4" w:space="0" w:color="auto"/>
          <w:left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2132"/>
        <w:gridCol w:w="2043"/>
        <w:gridCol w:w="5464"/>
      </w:tblGrid>
      <w:tr w:rsidR="00513F23" w:rsidRPr="00144FE7" w:rsidTr="00AF4C86">
        <w:trPr>
          <w:cantSplit/>
          <w:jc w:val="center"/>
        </w:trPr>
        <w:tc>
          <w:tcPr>
            <w:tcW w:w="3215" w:type="dxa"/>
            <w:gridSpan w:val="2"/>
            <w:shd w:val="clear" w:color="auto" w:fill="auto"/>
          </w:tcPr>
          <w:p w:rsidR="00513F23" w:rsidRPr="00144FE7" w:rsidRDefault="00513F23" w:rsidP="00F24810">
            <w:pPr>
              <w:pStyle w:val="Tablehead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 w:eastAsia="ja-JP"/>
              </w:rPr>
              <w:t>Asunto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513F23" w:rsidP="00F24810">
            <w:pPr>
              <w:pStyle w:val="Tablehead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>Especificación</w:t>
            </w:r>
          </w:p>
        </w:tc>
      </w:tr>
      <w:tr w:rsidR="00513F23" w:rsidRPr="00144FE7" w:rsidTr="00AF4C86">
        <w:trPr>
          <w:cantSplit/>
          <w:jc w:val="center"/>
        </w:trPr>
        <w:tc>
          <w:tcPr>
            <w:tcW w:w="3215" w:type="dxa"/>
            <w:gridSpan w:val="2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/>
              </w:rPr>
              <w:t>Formato de la señal vídeo de entrada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>Muestreo: 4:2:2 (</w:t>
            </w:r>
            <w:r w:rsidRPr="00144FE7">
              <w:rPr>
                <w:i/>
                <w:sz w:val="20"/>
                <w:lang w:val="es-ES"/>
              </w:rPr>
              <w:t>Y</w:t>
            </w:r>
            <w:r w:rsidRPr="00144FE7">
              <w:rPr>
                <w:sz w:val="20"/>
                <w:lang w:val="es-ES"/>
              </w:rPr>
              <w:t xml:space="preserve">, </w:t>
            </w:r>
            <w:r w:rsidRPr="00144FE7">
              <w:rPr>
                <w:i/>
                <w:sz w:val="20"/>
                <w:lang w:val="es-ES"/>
              </w:rPr>
              <w:t>C</w:t>
            </w:r>
            <w:r w:rsidRPr="00144FE7">
              <w:rPr>
                <w:i/>
                <w:sz w:val="20"/>
                <w:vertAlign w:val="subscript"/>
                <w:lang w:val="es-ES"/>
              </w:rPr>
              <w:t>B</w:t>
            </w:r>
            <w:r w:rsidRPr="00144FE7">
              <w:rPr>
                <w:sz w:val="20"/>
                <w:lang w:val="es-ES"/>
              </w:rPr>
              <w:t xml:space="preserve">, </w:t>
            </w:r>
            <w:r w:rsidRPr="00144FE7">
              <w:rPr>
                <w:i/>
                <w:sz w:val="20"/>
                <w:lang w:val="es-ES"/>
              </w:rPr>
              <w:t>C</w:t>
            </w:r>
            <w:r w:rsidRPr="00144FE7">
              <w:rPr>
                <w:i/>
                <w:sz w:val="20"/>
                <w:vertAlign w:val="subscript"/>
                <w:lang w:val="es-ES"/>
              </w:rPr>
              <w:t>R</w:t>
            </w:r>
            <w:r w:rsidRPr="00144FE7">
              <w:rPr>
                <w:sz w:val="20"/>
                <w:lang w:val="es-ES"/>
              </w:rPr>
              <w:t>)</w:t>
            </w:r>
            <w:r w:rsidRPr="00144FE7">
              <w:rPr>
                <w:sz w:val="20"/>
                <w:lang w:val="es-ES"/>
              </w:rPr>
              <w:br/>
              <w:t xml:space="preserve">8 </w:t>
            </w:r>
            <w:r w:rsidR="00865B6C" w:rsidRPr="00144FE7">
              <w:rPr>
                <w:sz w:val="20"/>
                <w:lang w:val="es-ES"/>
              </w:rPr>
              <w:t>ó</w:t>
            </w:r>
            <w:r w:rsidRPr="00144FE7">
              <w:rPr>
                <w:sz w:val="20"/>
                <w:lang w:val="es-ES"/>
              </w:rPr>
              <w:t xml:space="preserve"> 10 bits por muestra para cada componente</w:t>
            </w:r>
          </w:p>
        </w:tc>
      </w:tr>
      <w:tr w:rsidR="00513F23" w:rsidRPr="00144FE7" w:rsidTr="00AF4C86">
        <w:trPr>
          <w:cantSplit/>
          <w:jc w:val="center"/>
        </w:trPr>
        <w:tc>
          <w:tcPr>
            <w:tcW w:w="3215" w:type="dxa"/>
            <w:gridSpan w:val="2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>Formato de la señal audio de entrada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 w:eastAsia="ja-JP"/>
              </w:rPr>
              <w:t>Muestreo: 48 kHz</w:t>
            </w:r>
            <w:r w:rsidRPr="00144FE7">
              <w:rPr>
                <w:sz w:val="20"/>
                <w:lang w:val="es-ES" w:eastAsia="ja-JP"/>
              </w:rPr>
              <w:br/>
              <w:t>16 bits o más</w:t>
            </w:r>
          </w:p>
        </w:tc>
      </w:tr>
      <w:tr w:rsidR="00513F23" w:rsidRPr="00144FE7" w:rsidTr="00AF4C86">
        <w:trPr>
          <w:cantSplit/>
          <w:jc w:val="center"/>
        </w:trPr>
        <w:tc>
          <w:tcPr>
            <w:tcW w:w="3215" w:type="dxa"/>
            <w:gridSpan w:val="2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>Número de canales audio</w:t>
            </w:r>
          </w:p>
        </w:tc>
        <w:tc>
          <w:tcPr>
            <w:tcW w:w="4207" w:type="dxa"/>
            <w:shd w:val="clear" w:color="auto" w:fill="auto"/>
          </w:tcPr>
          <w:p w:rsidR="00AF4C86" w:rsidRPr="00144FE7" w:rsidRDefault="00513F23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 w:eastAsia="ja-JP"/>
              </w:rPr>
              <w:t>Seis canales para un servicio de audio principal (típico, incluyendo la LFE).</w:t>
            </w:r>
          </w:p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 w:eastAsia="ja-JP"/>
              </w:rPr>
              <w:t>Pueden preverse canales adicionales para un servicio multilingüe y servicios de audio para personas con discapacidades de visión o auditivas</w:t>
            </w:r>
          </w:p>
        </w:tc>
      </w:tr>
      <w:tr w:rsidR="00513F23" w:rsidRPr="00144FE7" w:rsidTr="00AF4C86">
        <w:trPr>
          <w:cantSplit/>
          <w:jc w:val="center"/>
        </w:trPr>
        <w:tc>
          <w:tcPr>
            <w:tcW w:w="3215" w:type="dxa"/>
            <w:gridSpan w:val="2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bookmarkStart w:id="4" w:name="asunto"/>
            <w:bookmarkEnd w:id="4"/>
            <w:r w:rsidRPr="00144FE7">
              <w:rPr>
                <w:sz w:val="20"/>
                <w:lang w:val="es-ES" w:eastAsia="ja-JP"/>
              </w:rPr>
              <w:t xml:space="preserve">Retardo máximo de sonido/imagen 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865B6C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/>
              </w:rPr>
              <w:sym w:font="Symbol" w:char="F0B1"/>
            </w:r>
            <w:r w:rsidR="00513F23" w:rsidRPr="00144FE7">
              <w:rPr>
                <w:sz w:val="20"/>
                <w:lang w:val="es-ES"/>
              </w:rPr>
              <w:t>2 ms</w:t>
            </w:r>
            <w:r w:rsidR="00513F23" w:rsidRPr="00144FE7">
              <w:rPr>
                <w:sz w:val="20"/>
                <w:lang w:val="es-ES" w:eastAsia="ja-JP"/>
              </w:rPr>
              <w:t xml:space="preserve"> por códec</w:t>
            </w:r>
          </w:p>
        </w:tc>
      </w:tr>
      <w:tr w:rsidR="00513F23" w:rsidRPr="00144FE7" w:rsidTr="00AF4C86">
        <w:trPr>
          <w:cantSplit/>
          <w:jc w:val="center"/>
        </w:trPr>
        <w:tc>
          <w:tcPr>
            <w:tcW w:w="1642" w:type="dxa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>Calidad básica de la imagen (en condición libre de errores)</w:t>
            </w:r>
            <w:r w:rsidRPr="00144FE7">
              <w:rPr>
                <w:position w:val="6"/>
                <w:sz w:val="16"/>
                <w:szCs w:val="16"/>
                <w:lang w:val="es-ES"/>
              </w:rPr>
              <w:t>(1)</w:t>
            </w:r>
          </w:p>
        </w:tc>
        <w:tc>
          <w:tcPr>
            <w:tcW w:w="1573" w:type="dxa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 w:eastAsia="ja-JP"/>
              </w:rPr>
              <w:t>Códec único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513F23" w:rsidP="007276D2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 xml:space="preserve">Diferencia de calidad: </w:t>
            </w:r>
            <w:r w:rsidR="00AF4C86" w:rsidRPr="00144FE7">
              <w:rPr>
                <w:sz w:val="20"/>
                <w:lang w:val="es-ES"/>
              </w:rPr>
              <w:sym w:font="Symbol" w:char="F0A3"/>
            </w:r>
            <w:r w:rsidR="007276D2">
              <w:rPr>
                <w:sz w:val="12"/>
                <w:lang w:val="es-ES"/>
              </w:rPr>
              <w:t> </w:t>
            </w:r>
            <w:r w:rsidRPr="00144FE7">
              <w:rPr>
                <w:sz w:val="20"/>
                <w:lang w:val="es-ES"/>
              </w:rPr>
              <w:t>12% con método DSCQS utilizando al</w:t>
            </w:r>
            <w:r w:rsidR="004A3A1E">
              <w:rPr>
                <w:sz w:val="20"/>
                <w:lang w:val="es-ES"/>
              </w:rPr>
              <w:t> </w:t>
            </w:r>
            <w:r w:rsidRPr="00144FE7">
              <w:rPr>
                <w:sz w:val="20"/>
                <w:lang w:val="es-ES"/>
              </w:rPr>
              <w:t>menos cuatro secuencias tomadas de la Recomendación UIT</w:t>
            </w:r>
            <w:r w:rsidR="008C6FE2">
              <w:rPr>
                <w:sz w:val="20"/>
                <w:lang w:val="es-ES"/>
              </w:rPr>
              <w:noBreakHyphen/>
            </w:r>
            <w:r w:rsidRPr="00144FE7">
              <w:rPr>
                <w:sz w:val="20"/>
                <w:lang w:val="es-ES"/>
              </w:rPr>
              <w:t>R</w:t>
            </w:r>
            <w:r w:rsidR="008C6FE2">
              <w:rPr>
                <w:sz w:val="20"/>
                <w:lang w:val="es-ES"/>
              </w:rPr>
              <w:t> </w:t>
            </w:r>
            <w:r w:rsidRPr="00144FE7">
              <w:rPr>
                <w:sz w:val="20"/>
                <w:lang w:val="es-ES"/>
              </w:rPr>
              <w:t xml:space="preserve">BT.1210, de las cuales por lo menos la mitad deben ser secuencias de elevada actividad. La nota de calidad dada debe alcanzarse utilizando al menos el 75% de las secuencias escogidas; el resto debe lograr </w:t>
            </w:r>
            <w:r w:rsidR="00AF4C86" w:rsidRPr="00144FE7">
              <w:rPr>
                <w:sz w:val="20"/>
                <w:lang w:val="es-ES"/>
              </w:rPr>
              <w:sym w:font="Symbol" w:char="F0A3"/>
            </w:r>
            <w:r w:rsidRPr="00144FE7">
              <w:rPr>
                <w:sz w:val="20"/>
                <w:lang w:val="es-ES"/>
              </w:rPr>
              <w:t> </w:t>
            </w:r>
            <w:r w:rsidRPr="00144FE7">
              <w:rPr>
                <w:sz w:val="20"/>
                <w:lang w:val="es-ES" w:eastAsia="ja-JP"/>
              </w:rPr>
              <w:t>3</w:t>
            </w:r>
            <w:r w:rsidRPr="00144FE7">
              <w:rPr>
                <w:sz w:val="20"/>
                <w:lang w:val="es-ES"/>
              </w:rPr>
              <w:t>0%</w:t>
            </w:r>
          </w:p>
        </w:tc>
      </w:tr>
      <w:tr w:rsidR="00513F23" w:rsidRPr="00144FE7" w:rsidTr="008C6FE2">
        <w:trPr>
          <w:cantSplit/>
          <w:jc w:val="center"/>
        </w:trPr>
        <w:tc>
          <w:tcPr>
            <w:tcW w:w="1642" w:type="dxa"/>
            <w:tcBorders>
              <w:bottom w:val="nil"/>
            </w:tcBorders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</w:p>
        </w:tc>
        <w:tc>
          <w:tcPr>
            <w:tcW w:w="1573" w:type="dxa"/>
            <w:tcBorders>
              <w:bottom w:val="nil"/>
            </w:tcBorders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proofErr w:type="spellStart"/>
            <w:r w:rsidRPr="00144FE7">
              <w:rPr>
                <w:sz w:val="20"/>
                <w:lang w:val="es-ES"/>
              </w:rPr>
              <w:t>Códecs</w:t>
            </w:r>
            <w:proofErr w:type="spellEnd"/>
            <w:r w:rsidRPr="00144FE7">
              <w:rPr>
                <w:sz w:val="20"/>
                <w:lang w:val="es-ES"/>
              </w:rPr>
              <w:t xml:space="preserve"> en cascada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>Un códec de contribución, un códec de distribución primaria y un códec de dis</w:t>
            </w:r>
            <w:r w:rsidR="00AF4C86" w:rsidRPr="00144FE7">
              <w:rPr>
                <w:sz w:val="20"/>
                <w:lang w:val="es-ES"/>
              </w:rPr>
              <w:t>tribución secundaria en cascada</w:t>
            </w:r>
          </w:p>
        </w:tc>
      </w:tr>
      <w:tr w:rsidR="00AF4C86" w:rsidRPr="00144FE7" w:rsidTr="008C6FE2">
        <w:trPr>
          <w:cantSplit/>
          <w:jc w:val="center"/>
        </w:trPr>
        <w:tc>
          <w:tcPr>
            <w:tcW w:w="1642" w:type="dxa"/>
            <w:tcBorders>
              <w:top w:val="nil"/>
              <w:bottom w:val="single" w:sz="2" w:space="0" w:color="auto"/>
            </w:tcBorders>
            <w:shd w:val="clear" w:color="auto" w:fill="auto"/>
          </w:tcPr>
          <w:p w:rsidR="00AF4C86" w:rsidRPr="00144FE7" w:rsidRDefault="00AF4C86" w:rsidP="00F24810">
            <w:pPr>
              <w:pStyle w:val="Tabletext"/>
              <w:jc w:val="left"/>
              <w:rPr>
                <w:sz w:val="20"/>
                <w:lang w:val="es-ES"/>
              </w:rPr>
            </w:pPr>
          </w:p>
        </w:tc>
        <w:tc>
          <w:tcPr>
            <w:tcW w:w="1573" w:type="dxa"/>
            <w:tcBorders>
              <w:top w:val="nil"/>
              <w:bottom w:val="single" w:sz="2" w:space="0" w:color="auto"/>
            </w:tcBorders>
            <w:shd w:val="clear" w:color="auto" w:fill="auto"/>
          </w:tcPr>
          <w:p w:rsidR="00AF4C86" w:rsidRPr="00144FE7" w:rsidRDefault="00AF4C86" w:rsidP="00F24810">
            <w:pPr>
              <w:pStyle w:val="Tabletext"/>
              <w:jc w:val="left"/>
              <w:rPr>
                <w:sz w:val="20"/>
                <w:lang w:val="es-ES"/>
              </w:rPr>
            </w:pPr>
          </w:p>
        </w:tc>
        <w:tc>
          <w:tcPr>
            <w:tcW w:w="4207" w:type="dxa"/>
            <w:shd w:val="clear" w:color="auto" w:fill="auto"/>
          </w:tcPr>
          <w:p w:rsidR="00AF4C86" w:rsidRPr="00144FE7" w:rsidRDefault="00AF4C86" w:rsidP="004A3A1E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 xml:space="preserve">Diferencia de calidad: </w:t>
            </w:r>
            <w:r w:rsidRPr="00144FE7">
              <w:rPr>
                <w:sz w:val="20"/>
                <w:lang w:val="es-ES"/>
              </w:rPr>
              <w:sym w:font="Symbol" w:char="F0A3"/>
            </w:r>
            <w:r w:rsidR="007276D2">
              <w:rPr>
                <w:sz w:val="12"/>
                <w:lang w:val="es-ES"/>
              </w:rPr>
              <w:t> </w:t>
            </w:r>
            <w:r w:rsidRPr="00144FE7">
              <w:rPr>
                <w:sz w:val="20"/>
                <w:lang w:val="es-ES"/>
              </w:rPr>
              <w:t>1</w:t>
            </w:r>
            <w:r w:rsidRPr="00144FE7">
              <w:rPr>
                <w:sz w:val="20"/>
                <w:lang w:val="es-ES" w:eastAsia="ja-JP"/>
              </w:rPr>
              <w:t>8</w:t>
            </w:r>
            <w:r w:rsidRPr="00144FE7">
              <w:rPr>
                <w:sz w:val="20"/>
                <w:lang w:val="es-ES"/>
              </w:rPr>
              <w:t>% con método DSCQS utilizando al</w:t>
            </w:r>
            <w:r w:rsidR="004A3A1E">
              <w:rPr>
                <w:sz w:val="20"/>
                <w:lang w:val="es-ES"/>
              </w:rPr>
              <w:t> </w:t>
            </w:r>
            <w:r w:rsidRPr="00144FE7">
              <w:rPr>
                <w:sz w:val="20"/>
                <w:lang w:val="es-ES"/>
              </w:rPr>
              <w:t>menos cuatro secuencias tomadas de la Recomendación UIT</w:t>
            </w:r>
            <w:r w:rsidR="008C6FE2">
              <w:rPr>
                <w:sz w:val="20"/>
                <w:lang w:val="es-ES"/>
              </w:rPr>
              <w:noBreakHyphen/>
            </w:r>
            <w:r w:rsidRPr="00144FE7">
              <w:rPr>
                <w:sz w:val="20"/>
                <w:lang w:val="es-ES"/>
              </w:rPr>
              <w:t>R</w:t>
            </w:r>
            <w:r w:rsidR="008C6FE2">
              <w:rPr>
                <w:sz w:val="20"/>
                <w:lang w:val="es-ES"/>
              </w:rPr>
              <w:t> </w:t>
            </w:r>
            <w:r w:rsidRPr="00144FE7">
              <w:rPr>
                <w:sz w:val="20"/>
                <w:lang w:val="es-ES"/>
              </w:rPr>
              <w:t xml:space="preserve">BT.1210, de las cuales por lo menos la mitad deben ser secuencias de elevada actividad. La nota de calidad dada debe alcanzarse utilizando al menos el 75% de las secuencias escogidas; el resto debe lograr </w:t>
            </w:r>
            <w:r w:rsidRPr="00144FE7">
              <w:rPr>
                <w:sz w:val="20"/>
                <w:lang w:val="es-ES"/>
              </w:rPr>
              <w:sym w:font="Symbol" w:char="F0A3"/>
            </w:r>
            <w:r w:rsidR="007276D2">
              <w:rPr>
                <w:sz w:val="12"/>
                <w:lang w:val="es-ES"/>
              </w:rPr>
              <w:t> </w:t>
            </w:r>
            <w:r w:rsidRPr="00144FE7">
              <w:rPr>
                <w:sz w:val="20"/>
                <w:lang w:val="es-ES" w:eastAsia="ja-JP"/>
              </w:rPr>
              <w:t>36</w:t>
            </w:r>
            <w:r w:rsidRPr="00144FE7">
              <w:rPr>
                <w:sz w:val="20"/>
                <w:lang w:val="es-ES"/>
              </w:rPr>
              <w:t>%</w:t>
            </w:r>
          </w:p>
        </w:tc>
      </w:tr>
      <w:tr w:rsidR="00513F23" w:rsidRPr="00144FE7" w:rsidTr="008C6FE2">
        <w:trPr>
          <w:cantSplit/>
          <w:jc w:val="center"/>
        </w:trPr>
        <w:tc>
          <w:tcPr>
            <w:tcW w:w="3215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 w:eastAsia="ja-JP"/>
              </w:rPr>
              <w:t>Calidad de sonido básica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 w:eastAsia="ja-JP"/>
              </w:rPr>
              <w:t>Véase la Recomendación UIT-R</w:t>
            </w:r>
            <w:bookmarkStart w:id="5" w:name="_GoBack"/>
            <w:bookmarkEnd w:id="5"/>
            <w:r w:rsidRPr="00144FE7">
              <w:rPr>
                <w:sz w:val="20"/>
                <w:lang w:val="es-ES" w:eastAsia="ja-JP"/>
              </w:rPr>
              <w:t xml:space="preserve"> BS.1548, Anexo 2</w:t>
            </w:r>
          </w:p>
        </w:tc>
      </w:tr>
      <w:tr w:rsidR="00513F23" w:rsidRPr="00144FE7" w:rsidTr="00AF4C86">
        <w:trPr>
          <w:cantSplit/>
          <w:jc w:val="center"/>
        </w:trPr>
        <w:tc>
          <w:tcPr>
            <w:tcW w:w="3215" w:type="dxa"/>
            <w:gridSpan w:val="2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 w:eastAsia="ja-JP"/>
              </w:rPr>
              <w:t>Características de fallo/error</w:t>
            </w:r>
          </w:p>
        </w:tc>
        <w:tc>
          <w:tcPr>
            <w:tcW w:w="4207" w:type="dxa"/>
            <w:shd w:val="clear" w:color="auto" w:fill="auto"/>
          </w:tcPr>
          <w:p w:rsidR="00AF4C86" w:rsidRPr="00144FE7" w:rsidRDefault="00513F23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 w:eastAsia="ja-JP"/>
              </w:rPr>
              <w:t>Casi sin error en la entrada del de</w:t>
            </w:r>
            <w:r w:rsidR="00AF4C86" w:rsidRPr="00144FE7">
              <w:rPr>
                <w:sz w:val="20"/>
                <w:lang w:val="es-ES" w:eastAsia="ja-JP"/>
              </w:rPr>
              <w:t>codificador en condición normal.</w:t>
            </w:r>
          </w:p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 w:eastAsia="ja-JP"/>
              </w:rPr>
              <w:t>Es deseable la funcionalidad de ocultación de errores para los decodificadores</w:t>
            </w:r>
          </w:p>
        </w:tc>
      </w:tr>
      <w:tr w:rsidR="00513F23" w:rsidRPr="00144FE7" w:rsidTr="00AF4C86">
        <w:trPr>
          <w:cantSplit/>
          <w:jc w:val="center"/>
        </w:trPr>
        <w:tc>
          <w:tcPr>
            <w:tcW w:w="3215" w:type="dxa"/>
            <w:gridSpan w:val="2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 w:eastAsia="ja-JP"/>
              </w:rPr>
              <w:t xml:space="preserve">Características de fallo de imagen/sonido 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/>
              </w:rPr>
              <w:t xml:space="preserve">Primero el fallo de imagen </w:t>
            </w:r>
          </w:p>
        </w:tc>
      </w:tr>
      <w:tr w:rsidR="00513F23" w:rsidRPr="00144FE7" w:rsidTr="00AF4C86">
        <w:trPr>
          <w:cantSplit/>
          <w:jc w:val="center"/>
        </w:trPr>
        <w:tc>
          <w:tcPr>
            <w:tcW w:w="3215" w:type="dxa"/>
            <w:gridSpan w:val="2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 w:eastAsia="ja-JP"/>
              </w:rPr>
              <w:t>Tiempo de recuperación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>500 ms tras una interrupción de 50 ms</w:t>
            </w:r>
          </w:p>
        </w:tc>
      </w:tr>
      <w:tr w:rsidR="00513F23" w:rsidRPr="00144FE7" w:rsidTr="00AF4C86">
        <w:trPr>
          <w:cantSplit/>
          <w:jc w:val="center"/>
        </w:trPr>
        <w:tc>
          <w:tcPr>
            <w:tcW w:w="3215" w:type="dxa"/>
            <w:gridSpan w:val="2"/>
            <w:shd w:val="clear" w:color="auto" w:fill="auto"/>
          </w:tcPr>
          <w:p w:rsidR="00513F23" w:rsidRPr="00144FE7" w:rsidRDefault="00513F23" w:rsidP="004A3A1E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 w:eastAsia="ja-JP"/>
              </w:rPr>
              <w:t>Cambio del retardo global tras una interrupción/</w:t>
            </w:r>
            <w:r w:rsidR="004A3A1E">
              <w:rPr>
                <w:sz w:val="20"/>
                <w:lang w:val="es-ES" w:eastAsia="ja-JP"/>
              </w:rPr>
              <w:br/>
            </w:r>
            <w:r w:rsidRPr="00144FE7">
              <w:rPr>
                <w:sz w:val="20"/>
                <w:lang w:val="es-ES" w:eastAsia="ja-JP"/>
              </w:rPr>
              <w:t>perturbación importante de la señal</w:t>
            </w:r>
          </w:p>
        </w:tc>
        <w:tc>
          <w:tcPr>
            <w:tcW w:w="4207" w:type="dxa"/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 w:eastAsia="ja-JP"/>
              </w:rPr>
            </w:pPr>
            <w:r w:rsidRPr="00144FE7">
              <w:rPr>
                <w:sz w:val="20"/>
                <w:lang w:val="es-ES"/>
              </w:rPr>
              <w:t xml:space="preserve">Menos de 20 </w:t>
            </w:r>
            <w:r w:rsidR="00AF4C86" w:rsidRPr="00144FE7">
              <w:rPr>
                <w:sz w:val="20"/>
                <w:lang w:val="es-ES"/>
              </w:rPr>
              <w:sym w:font="Symbol" w:char="F06D"/>
            </w:r>
            <w:r w:rsidRPr="00144FE7">
              <w:rPr>
                <w:sz w:val="20"/>
                <w:lang w:val="es-ES"/>
              </w:rPr>
              <w:t>s</w:t>
            </w:r>
          </w:p>
        </w:tc>
      </w:tr>
      <w:tr w:rsidR="00513F23" w:rsidRPr="00144FE7" w:rsidTr="00D13A10">
        <w:trPr>
          <w:cantSplit/>
          <w:jc w:val="center"/>
        </w:trPr>
        <w:tc>
          <w:tcPr>
            <w:tcW w:w="3215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b/>
                <w:sz w:val="20"/>
                <w:lang w:val="es-ES"/>
              </w:rPr>
            </w:pPr>
            <w:r w:rsidRPr="00144FE7">
              <w:rPr>
                <w:sz w:val="20"/>
                <w:lang w:val="es-ES" w:eastAsia="ja-JP"/>
              </w:rPr>
              <w:t>Señal auxiliar</w:t>
            </w:r>
          </w:p>
        </w:tc>
        <w:tc>
          <w:tcPr>
            <w:tcW w:w="4207" w:type="dxa"/>
            <w:tcBorders>
              <w:bottom w:val="single" w:sz="2" w:space="0" w:color="auto"/>
            </w:tcBorders>
            <w:shd w:val="clear" w:color="auto" w:fill="auto"/>
          </w:tcPr>
          <w:p w:rsidR="00513F23" w:rsidRPr="00144FE7" w:rsidRDefault="00513F23" w:rsidP="00F24810">
            <w:pPr>
              <w:pStyle w:val="Tabletext"/>
              <w:jc w:val="left"/>
              <w:rPr>
                <w:sz w:val="20"/>
                <w:lang w:val="es-ES"/>
              </w:rPr>
            </w:pPr>
            <w:r w:rsidRPr="00144FE7">
              <w:rPr>
                <w:sz w:val="20"/>
                <w:lang w:val="es-ES" w:eastAsia="ja-JP"/>
              </w:rPr>
              <w:t>Cabe prever señales auxiliares para servicios de datos y control de acceso.</w:t>
            </w:r>
          </w:p>
        </w:tc>
      </w:tr>
      <w:tr w:rsidR="00513F23" w:rsidRPr="00144FE7" w:rsidTr="00D13A10">
        <w:trPr>
          <w:cantSplit/>
          <w:jc w:val="center"/>
        </w:trPr>
        <w:tc>
          <w:tcPr>
            <w:tcW w:w="7422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13F23" w:rsidRPr="00144FE7" w:rsidRDefault="00513F23" w:rsidP="00F24810">
            <w:pPr>
              <w:pStyle w:val="Tablelegend"/>
              <w:rPr>
                <w:sz w:val="20"/>
                <w:lang w:val="es-ES"/>
              </w:rPr>
            </w:pPr>
            <w:r w:rsidRPr="00144FE7">
              <w:rPr>
                <w:sz w:val="20"/>
                <w:lang w:val="es-ES"/>
              </w:rPr>
              <w:t>DSCQS:</w:t>
            </w:r>
            <w:r w:rsidRPr="00144FE7">
              <w:rPr>
                <w:sz w:val="20"/>
                <w:lang w:val="es-ES"/>
              </w:rPr>
              <w:tab/>
              <w:t xml:space="preserve">Escala de calidad </w:t>
            </w:r>
            <w:proofErr w:type="gramStart"/>
            <w:r w:rsidRPr="00144FE7">
              <w:rPr>
                <w:sz w:val="20"/>
                <w:lang w:val="es-ES"/>
              </w:rPr>
              <w:t>continua</w:t>
            </w:r>
            <w:proofErr w:type="gramEnd"/>
            <w:r w:rsidRPr="00144FE7">
              <w:rPr>
                <w:sz w:val="20"/>
                <w:lang w:val="es-ES"/>
              </w:rPr>
              <w:t xml:space="preserve"> de doble estímulo.</w:t>
            </w:r>
          </w:p>
          <w:p w:rsidR="00513F23" w:rsidRPr="00144FE7" w:rsidRDefault="00513F23" w:rsidP="00F24810">
            <w:pPr>
              <w:pStyle w:val="Tablelegend"/>
              <w:rPr>
                <w:rFonts w:eastAsia="MS Mincho"/>
                <w:sz w:val="20"/>
                <w:lang w:val="es-ES"/>
              </w:rPr>
            </w:pPr>
            <w:r w:rsidRPr="00144FE7">
              <w:rPr>
                <w:sz w:val="20"/>
                <w:vertAlign w:val="superscript"/>
                <w:lang w:val="es-ES"/>
              </w:rPr>
              <w:t>(1)</w:t>
            </w:r>
            <w:r w:rsidRPr="00144FE7">
              <w:rPr>
                <w:sz w:val="20"/>
                <w:lang w:val="es-ES"/>
              </w:rPr>
              <w:tab/>
            </w:r>
            <w:r w:rsidRPr="00144FE7">
              <w:rPr>
                <w:sz w:val="20"/>
              </w:rPr>
              <w:t xml:space="preserve">La </w:t>
            </w:r>
            <w:proofErr w:type="spellStart"/>
            <w:r w:rsidRPr="00144FE7">
              <w:rPr>
                <w:sz w:val="20"/>
              </w:rPr>
              <w:t>evaluación</w:t>
            </w:r>
            <w:proofErr w:type="spellEnd"/>
            <w:r w:rsidRPr="00144FE7">
              <w:rPr>
                <w:sz w:val="20"/>
              </w:rPr>
              <w:t xml:space="preserve"> </w:t>
            </w:r>
            <w:proofErr w:type="spellStart"/>
            <w:r w:rsidRPr="00144FE7">
              <w:rPr>
                <w:sz w:val="20"/>
              </w:rPr>
              <w:t>subjetiva</w:t>
            </w:r>
            <w:proofErr w:type="spellEnd"/>
            <w:r w:rsidRPr="00144FE7">
              <w:rPr>
                <w:sz w:val="20"/>
              </w:rPr>
              <w:t xml:space="preserve"> de la </w:t>
            </w:r>
            <w:proofErr w:type="spellStart"/>
            <w:r w:rsidRPr="00144FE7">
              <w:rPr>
                <w:sz w:val="20"/>
              </w:rPr>
              <w:t>calidad</w:t>
            </w:r>
            <w:proofErr w:type="spellEnd"/>
            <w:r w:rsidRPr="00144FE7">
              <w:rPr>
                <w:sz w:val="20"/>
              </w:rPr>
              <w:t xml:space="preserve"> </w:t>
            </w:r>
            <w:proofErr w:type="spellStart"/>
            <w:r w:rsidRPr="00144FE7">
              <w:rPr>
                <w:sz w:val="20"/>
              </w:rPr>
              <w:t>debería</w:t>
            </w:r>
            <w:proofErr w:type="spellEnd"/>
            <w:r w:rsidRPr="00144FE7">
              <w:rPr>
                <w:sz w:val="20"/>
              </w:rPr>
              <w:t xml:space="preserve"> </w:t>
            </w:r>
            <w:proofErr w:type="spellStart"/>
            <w:r w:rsidRPr="00144FE7">
              <w:rPr>
                <w:sz w:val="20"/>
              </w:rPr>
              <w:t>llevarse</w:t>
            </w:r>
            <w:proofErr w:type="spellEnd"/>
            <w:r w:rsidRPr="00144FE7">
              <w:rPr>
                <w:sz w:val="20"/>
              </w:rPr>
              <w:t xml:space="preserve"> a </w:t>
            </w:r>
            <w:proofErr w:type="spellStart"/>
            <w:r w:rsidRPr="00144FE7">
              <w:rPr>
                <w:sz w:val="20"/>
              </w:rPr>
              <w:t>cabo</w:t>
            </w:r>
            <w:proofErr w:type="spellEnd"/>
            <w:r w:rsidRPr="00144FE7">
              <w:rPr>
                <w:sz w:val="20"/>
              </w:rPr>
              <w:t xml:space="preserve"> de </w:t>
            </w:r>
            <w:proofErr w:type="spellStart"/>
            <w:r w:rsidRPr="00144FE7">
              <w:rPr>
                <w:sz w:val="20"/>
              </w:rPr>
              <w:t>acuerdo</w:t>
            </w:r>
            <w:proofErr w:type="spellEnd"/>
            <w:r w:rsidRPr="00144FE7">
              <w:rPr>
                <w:sz w:val="20"/>
              </w:rPr>
              <w:t xml:space="preserve"> con </w:t>
            </w:r>
            <w:proofErr w:type="spellStart"/>
            <w:r w:rsidRPr="00144FE7">
              <w:rPr>
                <w:sz w:val="20"/>
              </w:rPr>
              <w:t>lo</w:t>
            </w:r>
            <w:proofErr w:type="spellEnd"/>
            <w:r w:rsidRPr="00144FE7">
              <w:rPr>
                <w:sz w:val="20"/>
              </w:rPr>
              <w:t xml:space="preserve"> </w:t>
            </w:r>
            <w:proofErr w:type="spellStart"/>
            <w:r w:rsidRPr="00144FE7">
              <w:rPr>
                <w:sz w:val="20"/>
              </w:rPr>
              <w:t>dispuesto</w:t>
            </w:r>
            <w:proofErr w:type="spellEnd"/>
            <w:r w:rsidRPr="00144FE7">
              <w:rPr>
                <w:sz w:val="20"/>
              </w:rPr>
              <w:t xml:space="preserve"> en las </w:t>
            </w:r>
            <w:proofErr w:type="spellStart"/>
            <w:r w:rsidRPr="00144FE7">
              <w:rPr>
                <w:sz w:val="20"/>
              </w:rPr>
              <w:t>Recomendaciones</w:t>
            </w:r>
            <w:proofErr w:type="spellEnd"/>
            <w:r w:rsidRPr="00144FE7">
              <w:rPr>
                <w:sz w:val="20"/>
              </w:rPr>
              <w:t xml:space="preserve"> UIT</w:t>
            </w:r>
            <w:r w:rsidRPr="00144FE7">
              <w:rPr>
                <w:sz w:val="20"/>
              </w:rPr>
              <w:noBreakHyphen/>
              <w:t>R BT.500, UIT-R BT.710 y UIT-R BT.1129.</w:t>
            </w:r>
          </w:p>
        </w:tc>
      </w:tr>
    </w:tbl>
    <w:p w:rsidR="00513F23" w:rsidRPr="00653A75" w:rsidRDefault="00513F23" w:rsidP="00F24810">
      <w:pPr>
        <w:pStyle w:val="Tablefin"/>
        <w:rPr>
          <w:lang w:val="es-ES"/>
        </w:rPr>
      </w:pPr>
    </w:p>
    <w:p w:rsidR="00513F23" w:rsidRDefault="00513F23" w:rsidP="00F24810">
      <w:pPr>
        <w:pStyle w:val="Tablefin"/>
        <w:rPr>
          <w:lang w:val="es-ES"/>
        </w:rPr>
      </w:pPr>
    </w:p>
    <w:p w:rsidR="00513F23" w:rsidRPr="00653A75" w:rsidRDefault="00513F23" w:rsidP="00F24810">
      <w:pPr>
        <w:pStyle w:val="Line"/>
        <w:rPr>
          <w:lang w:val="es-ES"/>
        </w:rPr>
      </w:pPr>
    </w:p>
    <w:sectPr w:rsidR="00513F23" w:rsidRPr="00653A75" w:rsidSect="00CB101E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810" w:rsidRDefault="00F24810">
      <w:r>
        <w:separator/>
      </w:r>
    </w:p>
  </w:endnote>
  <w:endnote w:type="continuationSeparator" w:id="0">
    <w:p w:rsidR="00F24810" w:rsidRDefault="00F24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810" w:rsidRDefault="00F24810">
      <w:r>
        <w:separator/>
      </w:r>
    </w:p>
  </w:footnote>
  <w:footnote w:type="continuationSeparator" w:id="0">
    <w:p w:rsidR="00F24810" w:rsidRDefault="00F24810">
      <w:r>
        <w:continuationSeparator/>
      </w:r>
    </w:p>
  </w:footnote>
  <w:footnote w:id="1">
    <w:p w:rsidR="00F24810" w:rsidRPr="00CB101E" w:rsidRDefault="00F24810" w:rsidP="00CB101E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>
        <w:rPr>
          <w:lang w:val="es-ES_tradnl"/>
        </w:rPr>
        <w:tab/>
        <w:t>La presente Recomendación debe señalarse a la atención de la Comisión de Estudio 9 de Normalización de las Telecomunicaciones.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810" w:rsidRDefault="00F2481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810" w:rsidRDefault="00F24810" w:rsidP="00CB101E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9264" behindDoc="1" locked="0" layoutInCell="1" allowOverlap="1" wp14:anchorId="5036133D" wp14:editId="458CF2D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810" w:rsidRDefault="00F24810" w:rsidP="00CB101E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D5A3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Pr="00D13A1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D5A34">
      <w:rPr>
        <w:b/>
        <w:bCs/>
        <w:noProof/>
      </w:rPr>
      <w:t>UIT-R  BT.1122-2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810" w:rsidRDefault="00F24810">
    <w:pPr>
      <w:pStyle w:val="Header"/>
    </w:pPr>
    <w:r>
      <w:tab/>
    </w:r>
    <w:fldSimple w:instr=" DOCPROPERTY &quot;Header&quot; \* MERGEFORMAT ">
      <w:r w:rsidRPr="00D13A1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BT.1122-2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810" w:rsidRDefault="00F24810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276D2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Pr="00D13A10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276D2">
      <w:rPr>
        <w:b/>
        <w:bCs/>
        <w:noProof/>
      </w:rPr>
      <w:t>UIT-R  BT.1122-2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810" w:rsidRDefault="00F24810" w:rsidP="008200ED">
    <w:pPr>
      <w:pStyle w:val="Header"/>
      <w:jc w:val="left"/>
    </w:pPr>
    <w:r>
      <w:ptab w:relativeTo="margin" w:alignment="center" w:leader="none"/>
    </w:r>
    <w:fldSimple w:instr=" DOCPROPERTY &quot;Header&quot; \* MERGEFORMAT ">
      <w:r w:rsidRPr="00D13A1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D5A34">
      <w:rPr>
        <w:b/>
        <w:bCs/>
        <w:noProof/>
      </w:rPr>
      <w:t>UIT-R  BT.1122-2</w:t>
    </w:r>
    <w:r>
      <w:rPr>
        <w:b/>
        <w:bCs/>
      </w:rPr>
      <w:fldChar w:fldCharType="end"/>
    </w:r>
    <w:r>
      <w:tab/>
    </w:r>
    <w:r w:rsidRPr="00CB101E">
      <w:rPr>
        <w:b/>
        <w:bCs/>
      </w:rPr>
      <w:fldChar w:fldCharType="begin"/>
    </w:r>
    <w:r w:rsidRPr="00CB101E">
      <w:rPr>
        <w:b/>
        <w:bCs/>
      </w:rPr>
      <w:instrText xml:space="preserve"> PAGE   \* MERGEFORMAT </w:instrText>
    </w:r>
    <w:r w:rsidRPr="00CB101E">
      <w:rPr>
        <w:b/>
        <w:bCs/>
      </w:rPr>
      <w:fldChar w:fldCharType="separate"/>
    </w:r>
    <w:r w:rsidR="00CD5A34">
      <w:rPr>
        <w:b/>
        <w:bCs/>
        <w:noProof/>
      </w:rPr>
      <w:t>1</w:t>
    </w:r>
    <w:r w:rsidRPr="00CB101E">
      <w:rPr>
        <w:b/>
        <w:bCs/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F23"/>
    <w:rsid w:val="00144FE7"/>
    <w:rsid w:val="001B5A33"/>
    <w:rsid w:val="00217EBF"/>
    <w:rsid w:val="0022785C"/>
    <w:rsid w:val="002D76C4"/>
    <w:rsid w:val="00462F84"/>
    <w:rsid w:val="004A3A1E"/>
    <w:rsid w:val="00513F23"/>
    <w:rsid w:val="00583230"/>
    <w:rsid w:val="00587754"/>
    <w:rsid w:val="00607D68"/>
    <w:rsid w:val="00617E5D"/>
    <w:rsid w:val="007276D2"/>
    <w:rsid w:val="007468DA"/>
    <w:rsid w:val="008200ED"/>
    <w:rsid w:val="00865B6C"/>
    <w:rsid w:val="008C6FE2"/>
    <w:rsid w:val="00A6617B"/>
    <w:rsid w:val="00AB0DC8"/>
    <w:rsid w:val="00AF4C86"/>
    <w:rsid w:val="00B44E24"/>
    <w:rsid w:val="00CB101E"/>
    <w:rsid w:val="00CD5A34"/>
    <w:rsid w:val="00D13A10"/>
    <w:rsid w:val="00D433E9"/>
    <w:rsid w:val="00DF4176"/>
    <w:rsid w:val="00F15256"/>
    <w:rsid w:val="00F24810"/>
    <w:rsid w:val="00F36750"/>
    <w:rsid w:val="00FF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513F23"/>
    <w:rPr>
      <w:color w:val="0000FF"/>
      <w:u w:val="single"/>
    </w:rPr>
  </w:style>
  <w:style w:type="character" w:customStyle="1" w:styleId="TablelegendChar">
    <w:name w:val="Table_legend Char"/>
    <w:basedOn w:val="DefaultParagraphFont"/>
    <w:link w:val="Tablelegend"/>
    <w:rsid w:val="00513F23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513F23"/>
    <w:rPr>
      <w:sz w:val="22"/>
      <w:lang w:val="fr-FR" w:eastAsia="en-US"/>
    </w:rPr>
  </w:style>
  <w:style w:type="paragraph" w:customStyle="1" w:styleId="TableTitle0">
    <w:name w:val="Table_Title"/>
    <w:basedOn w:val="Table"/>
    <w:next w:val="Blanc"/>
    <w:rsid w:val="00513F23"/>
    <w:pPr>
      <w:spacing w:before="0"/>
    </w:pPr>
    <w:rPr>
      <w:b/>
    </w:rPr>
  </w:style>
  <w:style w:type="paragraph" w:customStyle="1" w:styleId="Table">
    <w:name w:val="Table_#"/>
    <w:basedOn w:val="Normal"/>
    <w:next w:val="TableTitle0"/>
    <w:rsid w:val="00513F23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513F23"/>
    <w:rPr>
      <w:color w:val="0000FF"/>
      <w:u w:val="single"/>
    </w:rPr>
  </w:style>
  <w:style w:type="character" w:customStyle="1" w:styleId="TablelegendChar">
    <w:name w:val="Table_legend Char"/>
    <w:basedOn w:val="DefaultParagraphFont"/>
    <w:link w:val="Tablelegend"/>
    <w:rsid w:val="00513F23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513F23"/>
    <w:rPr>
      <w:sz w:val="22"/>
      <w:lang w:val="fr-FR" w:eastAsia="en-US"/>
    </w:rPr>
  </w:style>
  <w:style w:type="paragraph" w:customStyle="1" w:styleId="TableTitle0">
    <w:name w:val="Table_Title"/>
    <w:basedOn w:val="Table"/>
    <w:next w:val="Blanc"/>
    <w:rsid w:val="00513F23"/>
    <w:pPr>
      <w:spacing w:before="0"/>
    </w:pPr>
    <w:rPr>
      <w:b/>
    </w:rPr>
  </w:style>
  <w:style w:type="paragraph" w:customStyle="1" w:styleId="Table">
    <w:name w:val="Table_#"/>
    <w:basedOn w:val="Normal"/>
    <w:next w:val="TableTitle0"/>
    <w:rsid w:val="00513F23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)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s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45AA8-58F1-4EAE-96E9-5A528838F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211</TotalTime>
  <Pages>4</Pages>
  <Words>1125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christe</dc:creator>
  <cp:keywords/>
  <dc:description/>
  <cp:lastModifiedBy>martiner</cp:lastModifiedBy>
  <cp:revision>17</cp:revision>
  <cp:lastPrinted>2005-02-10T15:54:00Z</cp:lastPrinted>
  <dcterms:created xsi:type="dcterms:W3CDTF">2011-05-12T08:49:00Z</dcterms:created>
  <dcterms:modified xsi:type="dcterms:W3CDTF">2011-05-13T13:17:00Z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