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101">
      <w:pPr>
        <w:pStyle w:val="RecNo"/>
        <w:spacing w:before="0"/>
        <w:rPr>
          <w:lang w:val="es-ES_tradnl"/>
        </w:rPr>
      </w:pPr>
      <w:bookmarkStart w:id="0" w:name="Doc_title"/>
      <w:r>
        <w:rPr>
          <w:lang w:val="es-ES_tradnl"/>
        </w:rPr>
        <w:t xml:space="preserve">RECOMENDACIÓN  </w:t>
      </w:r>
      <w:r>
        <w:rPr>
          <w:rStyle w:val="href"/>
          <w:lang w:val="es-ES_tradnl"/>
        </w:rPr>
        <w:t xml:space="preserve">UIT-R </w:t>
      </w:r>
      <w:r>
        <w:rPr>
          <w:rStyle w:val="href"/>
        </w:rPr>
        <w:t xml:space="preserve"> </w:t>
      </w:r>
      <w:r>
        <w:rPr>
          <w:rStyle w:val="href"/>
          <w:lang w:val="es-ES_tradnl"/>
        </w:rPr>
        <w:t>BS.450-</w:t>
      </w:r>
      <w:r>
        <w:rPr>
          <w:rStyle w:val="href"/>
        </w:rPr>
        <w:t>3</w:t>
      </w:r>
      <w:bookmarkEnd w:id="0"/>
      <w:r w:rsidR="00A847CB">
        <w:rPr>
          <w:rStyle w:val="FootnoteReference"/>
        </w:rPr>
        <w:footnoteReference w:customMarkFollows="1" w:id="1"/>
        <w:t>*</w:t>
      </w:r>
    </w:p>
    <w:p w:rsidR="00000000" w:rsidRDefault="00CA0101" w:rsidP="00A847CB">
      <w:pPr>
        <w:pStyle w:val="Rectitle"/>
        <w:spacing w:before="120"/>
        <w:rPr>
          <w:lang w:val="es-ES_tradnl"/>
        </w:rPr>
      </w:pPr>
      <w:bookmarkStart w:id="1" w:name="Pre_title"/>
      <w:r>
        <w:rPr>
          <w:lang w:val="es-ES_tradnl"/>
        </w:rPr>
        <w:t>Normas de transmisión para radiodifusión sonora con modulación de frecuencia en ondas métricas</w:t>
      </w:r>
      <w:bookmarkEnd w:id="1"/>
      <w:r w:rsidR="00E149BE">
        <w:rPr>
          <w:rStyle w:val="FootnoteReference"/>
          <w:lang w:val="es-ES_tradnl"/>
        </w:rPr>
        <w:footnoteReference w:customMarkFollows="1" w:id="2"/>
        <w:t>**</w:t>
      </w:r>
    </w:p>
    <w:p w:rsidR="00000000" w:rsidRDefault="00CA0101">
      <w:pPr>
        <w:pStyle w:val="Recdate"/>
        <w:rPr>
          <w:sz w:val="24"/>
          <w:lang w:val="es-ES_tradnl"/>
        </w:rPr>
      </w:pPr>
      <w:bookmarkStart w:id="2" w:name="Related_Questions"/>
      <w:bookmarkStart w:id="3" w:name="Revision_history"/>
      <w:bookmarkEnd w:id="2"/>
      <w:r>
        <w:rPr>
          <w:sz w:val="24"/>
          <w:lang w:val="es-ES_tradnl"/>
        </w:rPr>
        <w:t>(1982-1995-2001)</w:t>
      </w:r>
      <w:bookmarkEnd w:id="3"/>
    </w:p>
    <w:p w:rsidR="00000000" w:rsidRDefault="00CA0101" w:rsidP="00A847CB">
      <w:pPr>
        <w:pStyle w:val="Normalaftertitle"/>
        <w:spacing w:before="0"/>
        <w:rPr>
          <w:lang w:val="es-ES_tradnl"/>
        </w:rPr>
      </w:pPr>
      <w:r>
        <w:rPr>
          <w:lang w:val="es-ES_tradnl"/>
        </w:rPr>
        <w:t>La Asamblea de Radiocomunicaciones,</w:t>
      </w:r>
    </w:p>
    <w:p w:rsidR="00000000" w:rsidRDefault="00CA0101">
      <w:pPr>
        <w:pStyle w:val="Call"/>
        <w:spacing w:before="140"/>
        <w:rPr>
          <w:lang w:val="es-ES_tradnl"/>
        </w:rPr>
      </w:pPr>
      <w:r>
        <w:rPr>
          <w:lang w:val="es-ES_tradnl"/>
        </w:rPr>
        <w:t>recomienda</w:t>
      </w:r>
    </w:p>
    <w:p w:rsidR="00000000" w:rsidRDefault="00CA0101">
      <w:pPr>
        <w:spacing w:before="80"/>
        <w:rPr>
          <w:lang w:val="es-ES_tradnl"/>
        </w:rPr>
      </w:pPr>
      <w:r>
        <w:rPr>
          <w:b/>
          <w:bCs/>
          <w:lang w:val="es-ES_tradnl"/>
        </w:rPr>
        <w:t>1</w:t>
      </w:r>
      <w:r>
        <w:rPr>
          <w:lang w:val="es-ES_tradnl"/>
        </w:rPr>
        <w:tab/>
        <w:t xml:space="preserve">que para la radiodifusión sonora con modulación de frecuencia </w:t>
      </w:r>
      <w:r>
        <w:rPr>
          <w:lang w:val="es-ES_tradnl"/>
        </w:rPr>
        <w:t>en la banda 8 (ondas métricas) se utilicen las normas de transmisión siguientes:</w:t>
      </w:r>
    </w:p>
    <w:p w:rsidR="00000000" w:rsidRDefault="00CA0101">
      <w:pPr>
        <w:pStyle w:val="Heading1"/>
        <w:spacing w:before="400"/>
      </w:pPr>
      <w:r>
        <w:t>1</w:t>
      </w:r>
      <w:r>
        <w:tab/>
        <w:t>Transmisiones monofónicas</w:t>
      </w:r>
    </w:p>
    <w:p w:rsidR="00000000" w:rsidRDefault="00CA0101">
      <w:pPr>
        <w:pStyle w:val="Heading2"/>
        <w:spacing w:before="260"/>
      </w:pPr>
      <w:r>
        <w:t>1.1</w:t>
      </w:r>
      <w:r>
        <w:tab/>
        <w:t>Señal de radiofrecuencia (RF)</w:t>
      </w:r>
    </w:p>
    <w:p w:rsidR="00000000" w:rsidRDefault="00CA0101">
      <w:pPr>
        <w:spacing w:before="80"/>
      </w:pPr>
      <w:r>
        <w:t>La señal de RF está constituida por una portadora modulada en frecuencia por la señal sonora que ha de transmitir</w:t>
      </w:r>
      <w:r>
        <w:t>se, después de la preacentuación, con una excursión máxima de frecuencia igual a:</w:t>
      </w:r>
    </w:p>
    <w:p w:rsidR="00000000" w:rsidRDefault="00CA0101">
      <w:pPr>
        <w:spacing w:before="80"/>
        <w:rPr>
          <w:lang w:val="es-ES_tradnl"/>
        </w:rPr>
      </w:pPr>
      <w:r>
        <w:tab/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 xml:space="preserve">75 kHz o 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50 kHz.</w:t>
      </w:r>
    </w:p>
    <w:p w:rsidR="00000000" w:rsidRDefault="00CA0101">
      <w:pPr>
        <w:pStyle w:val="Note"/>
        <w:rPr>
          <w:lang w:val="es-ES_tradnl"/>
        </w:rPr>
      </w:pPr>
      <w:r>
        <w:rPr>
          <w:lang w:val="es-ES_tradnl"/>
        </w:rPr>
        <w:t xml:space="preserve">NOTA 1 – En los países de Europa Occidental y en Estados Unidos de América, la excursión máxima es de 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75 kHz. En la antigua URSS y en otros países eur</w:t>
      </w:r>
      <w:r>
        <w:rPr>
          <w:lang w:val="es-ES_tradnl"/>
        </w:rPr>
        <w:t xml:space="preserve">opeos, la excursión máxima es de 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50 kHz.</w:t>
      </w:r>
    </w:p>
    <w:p w:rsidR="00000000" w:rsidRDefault="00CA0101">
      <w:pPr>
        <w:pStyle w:val="Heading2"/>
        <w:spacing w:before="260"/>
      </w:pPr>
      <w:r>
        <w:t>1.2</w:t>
      </w:r>
      <w:r>
        <w:tab/>
        <w:t>Preacentuación de la señal sonora</w:t>
      </w:r>
    </w:p>
    <w:p w:rsidR="00000000" w:rsidRDefault="00CA0101">
      <w:pPr>
        <w:spacing w:before="80"/>
      </w:pPr>
      <w:r>
        <w:t>La característica de preacentuación de la señal sonora es idéntica a la curva admitancia-frecuencia de un circuito resistencia-capacidad en paralelo, que tiene una constante d</w:t>
      </w:r>
      <w:r>
        <w:t>e tiempo de:</w:t>
      </w:r>
    </w:p>
    <w:p w:rsidR="00000000" w:rsidRDefault="00CA0101">
      <w:pPr>
        <w:spacing w:before="80"/>
        <w:rPr>
          <w:lang w:val="es-ES_tradnl"/>
        </w:rPr>
      </w:pPr>
      <w:r>
        <w:tab/>
      </w:r>
      <w:r>
        <w:rPr>
          <w:lang w:val="es-ES_tradnl"/>
        </w:rPr>
        <w:t xml:space="preserve">50 </w:t>
      </w:r>
      <w:r>
        <w:rPr>
          <w:rFonts w:ascii="Symbol" w:hAnsi="Symbol"/>
        </w:rPr>
        <w:t></w:t>
      </w:r>
      <w:r>
        <w:rPr>
          <w:lang w:val="es-ES_tradnl"/>
        </w:rPr>
        <w:t xml:space="preserve">s ó 75 </w:t>
      </w:r>
      <w:r>
        <w:rPr>
          <w:rFonts w:ascii="Symbol" w:hAnsi="Symbol"/>
        </w:rPr>
        <w:t></w:t>
      </w:r>
      <w:r>
        <w:rPr>
          <w:lang w:val="es-ES_tradnl"/>
        </w:rPr>
        <w:t>s.</w:t>
      </w:r>
    </w:p>
    <w:p w:rsidR="00000000" w:rsidRDefault="00CA0101">
      <w:pPr>
        <w:pStyle w:val="Note"/>
      </w:pPr>
      <w:r>
        <w:t xml:space="preserve">NOTA 2 – En Europa, la preacentuación es de 50 </w:t>
      </w:r>
      <w:r>
        <w:rPr>
          <w:rFonts w:ascii="Symbol" w:hAnsi="Symbol"/>
        </w:rPr>
        <w:t></w:t>
      </w:r>
      <w:r>
        <w:t xml:space="preserve">s. En Estados Unidos de América, la preacentuación es de 75 </w:t>
      </w:r>
      <w:r>
        <w:rPr>
          <w:rFonts w:ascii="Symbol" w:hAnsi="Symbol"/>
        </w:rPr>
        <w:t></w:t>
      </w:r>
      <w:r>
        <w:t>s.</w:t>
      </w:r>
    </w:p>
    <w:p w:rsidR="00000000" w:rsidRDefault="00CA0101">
      <w:pPr>
        <w:pStyle w:val="Heading1"/>
        <w:spacing w:before="400"/>
      </w:pPr>
      <w:r>
        <w:t>2</w:t>
      </w:r>
      <w:r>
        <w:tab/>
        <w:t>Transmisiones estereofónicas</w:t>
      </w:r>
    </w:p>
    <w:p w:rsidR="00000000" w:rsidRDefault="00CA0101">
      <w:pPr>
        <w:pStyle w:val="Heading2"/>
        <w:spacing w:before="260"/>
      </w:pPr>
      <w:r>
        <w:t>2.1</w:t>
      </w:r>
      <w:r>
        <w:tab/>
        <w:t>Sistema de modulación polar</w:t>
      </w:r>
    </w:p>
    <w:p w:rsidR="00000000" w:rsidRDefault="00CA0101">
      <w:pPr>
        <w:pStyle w:val="Heading3"/>
        <w:spacing w:before="160"/>
        <w:rPr>
          <w:lang w:val="es-ES_tradnl"/>
        </w:rPr>
      </w:pPr>
      <w:r>
        <w:rPr>
          <w:lang w:val="es-ES_tradnl"/>
        </w:rPr>
        <w:t>2.1.1</w:t>
      </w:r>
      <w:r>
        <w:rPr>
          <w:lang w:val="es-ES_tradnl"/>
        </w:rPr>
        <w:tab/>
        <w:t>Señal de RF</w:t>
      </w:r>
    </w:p>
    <w:p w:rsidR="00000000" w:rsidRDefault="00CA0101">
      <w:pPr>
        <w:spacing w:before="80"/>
        <w:rPr>
          <w:lang w:val="es-ES_tradnl"/>
        </w:rPr>
      </w:pPr>
      <w:r>
        <w:rPr>
          <w:lang w:val="es-ES_tradnl"/>
        </w:rPr>
        <w:t>La señal de RF se compone de una p</w:t>
      </w:r>
      <w:r>
        <w:rPr>
          <w:lang w:val="es-ES_tradnl"/>
        </w:rPr>
        <w:t>ortadora modulada en frecuencia por una señal en banda de base, denominada en este caso «señal múltiplex estereofónica», con una excursión máxima de frecuencia de:</w:t>
      </w:r>
    </w:p>
    <w:p w:rsidR="00000000" w:rsidRDefault="00CA0101">
      <w:pPr>
        <w:spacing w:before="80"/>
        <w:rPr>
          <w:lang w:val="es-ES_tradnl"/>
        </w:rPr>
      </w:pPr>
      <w:r>
        <w:rPr>
          <w:lang w:val="es-ES_tradnl"/>
        </w:rPr>
        <w:tab/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 xml:space="preserve">75 kHz o 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50 kHz (véase la Nota 1 del § 1).</w:t>
      </w:r>
    </w:p>
    <w:p w:rsidR="00000000" w:rsidRDefault="00CA0101">
      <w:pPr>
        <w:pStyle w:val="Heading3"/>
        <w:spacing w:before="160"/>
      </w:pPr>
      <w:r>
        <w:t>2.1.2</w:t>
      </w:r>
      <w:r>
        <w:tab/>
        <w:t>Señal múltiplex estereofónica</w:t>
      </w:r>
    </w:p>
    <w:p w:rsidR="00000000" w:rsidRDefault="00CA0101">
      <w:pPr>
        <w:spacing w:before="80"/>
      </w:pPr>
      <w:r>
        <w:t>Esta señ</w:t>
      </w:r>
      <w:r>
        <w:t>al se constituye de la siguiente manera:</w:t>
      </w:r>
    </w:p>
    <w:p w:rsidR="00000000" w:rsidRDefault="00CA0101">
      <w:pPr>
        <w:spacing w:before="80"/>
        <w:rPr>
          <w:lang w:val="es-ES_tradnl"/>
        </w:rPr>
      </w:pPr>
      <w:r>
        <w:rPr>
          <w:b/>
          <w:lang w:val="es-ES_tradnl"/>
        </w:rPr>
        <w:t>2.1.2.1</w:t>
      </w:r>
      <w:r>
        <w:rPr>
          <w:lang w:val="es-ES_tradnl"/>
        </w:rPr>
        <w:tab/>
        <w:t>Se forma una señal</w:t>
      </w:r>
      <w:r>
        <w:rPr>
          <w:i/>
          <w:lang w:val="es-ES_tradnl"/>
        </w:rPr>
        <w:t xml:space="preserve"> M</w:t>
      </w:r>
      <w:r>
        <w:rPr>
          <w:lang w:val="es-ES_tradnl"/>
        </w:rPr>
        <w:t>, igual a la mitad de la suma de las señales «izquierda»</w:t>
      </w:r>
      <w:r>
        <w:rPr>
          <w:i/>
          <w:lang w:val="es-ES_tradnl"/>
        </w:rPr>
        <w:t xml:space="preserve"> A</w:t>
      </w:r>
      <w:r>
        <w:rPr>
          <w:lang w:val="es-ES_tradnl"/>
        </w:rPr>
        <w:t xml:space="preserve"> y «derecha»</w:t>
      </w:r>
      <w:r>
        <w:rPr>
          <w:i/>
          <w:lang w:val="es-ES_tradnl"/>
        </w:rPr>
        <w:t> B</w:t>
      </w:r>
      <w:r>
        <w:rPr>
          <w:lang w:val="es-ES_tradnl"/>
        </w:rPr>
        <w:t xml:space="preserve"> correspondientes a los dos canales estereofónicos. Esta señal</w:t>
      </w:r>
      <w:r>
        <w:rPr>
          <w:i/>
          <w:lang w:val="es-ES_tradnl"/>
        </w:rPr>
        <w:t xml:space="preserve"> M</w:t>
      </w:r>
      <w:r>
        <w:rPr>
          <w:lang w:val="es-ES_tradnl"/>
        </w:rPr>
        <w:t xml:space="preserve"> está preacentuada de la misma manera que la señal </w:t>
      </w:r>
      <w:r>
        <w:rPr>
          <w:lang w:val="es-ES_tradnl"/>
        </w:rPr>
        <w:t>monofónica (véase el § 1).</w:t>
      </w:r>
    </w:p>
    <w:p w:rsidR="00000000" w:rsidRDefault="00CA0101">
      <w:pPr>
        <w:pStyle w:val="Note"/>
        <w:rPr>
          <w:lang w:val="es-ES_tradnl"/>
        </w:rPr>
      </w:pPr>
      <w:r>
        <w:rPr>
          <w:lang w:val="es-ES_tradnl"/>
        </w:rPr>
        <w:br w:type="page"/>
      </w:r>
      <w:r>
        <w:rPr>
          <w:lang w:val="es-ES_tradnl"/>
        </w:rPr>
        <w:lastRenderedPageBreak/>
        <w:t>NOTA 1 – Esta señal</w:t>
      </w:r>
      <w:r>
        <w:rPr>
          <w:i/>
          <w:lang w:val="es-ES_tradnl"/>
        </w:rPr>
        <w:t xml:space="preserve"> M</w:t>
      </w:r>
      <w:r>
        <w:rPr>
          <w:lang w:val="es-ES_tradnl"/>
        </w:rPr>
        <w:t xml:space="preserve"> es una señal «compatible», en el sentido que la emisión estereofónica puede recibirse con un receptor monofónico previsto para la misma excursión máxima de frecuencia y la misma preacentuación.</w:t>
      </w:r>
    </w:p>
    <w:p w:rsidR="00000000" w:rsidRDefault="00CA0101">
      <w:pPr>
        <w:rPr>
          <w:lang w:val="es-ES_tradnl"/>
        </w:rPr>
      </w:pPr>
      <w:r>
        <w:rPr>
          <w:b/>
        </w:rPr>
        <w:t>2.1.2.2</w:t>
      </w:r>
      <w:r>
        <w:tab/>
        <w:t>Se f</w:t>
      </w:r>
      <w:r>
        <w:t>orma una señal</w:t>
      </w:r>
      <w:r>
        <w:rPr>
          <w:i/>
        </w:rPr>
        <w:t xml:space="preserve"> S</w:t>
      </w:r>
      <w:r>
        <w:t>, igual a la mitad de la diferencia entre las señales</w:t>
      </w:r>
      <w:r>
        <w:rPr>
          <w:i/>
        </w:rPr>
        <w:t xml:space="preserve"> A</w:t>
      </w:r>
      <w:r>
        <w:t xml:space="preserve"> y</w:t>
      </w:r>
      <w:r>
        <w:rPr>
          <w:i/>
        </w:rPr>
        <w:t xml:space="preserve"> B</w:t>
      </w:r>
      <w:r>
        <w:t xml:space="preserve"> precedentes. </w:t>
      </w:r>
      <w:r>
        <w:rPr>
          <w:lang w:val="es-ES_tradnl"/>
        </w:rPr>
        <w:t xml:space="preserve">Esta señal </w:t>
      </w:r>
      <w:r>
        <w:rPr>
          <w:i/>
          <w:lang w:val="es-ES_tradnl"/>
        </w:rPr>
        <w:t>S</w:t>
      </w:r>
      <w:r>
        <w:rPr>
          <w:lang w:val="es-ES_tradnl"/>
        </w:rPr>
        <w:t xml:space="preserve"> está preacentuada de la misma manera que la señal</w:t>
      </w:r>
      <w:r>
        <w:rPr>
          <w:i/>
          <w:lang w:val="es-ES_tradnl"/>
        </w:rPr>
        <w:t xml:space="preserve"> M</w:t>
      </w:r>
      <w:r>
        <w:rPr>
          <w:lang w:val="es-ES_tradnl"/>
        </w:rPr>
        <w:t>. La señal preacentuada</w:t>
      </w:r>
      <w:r>
        <w:rPr>
          <w:i/>
          <w:lang w:val="es-ES_tradnl"/>
        </w:rPr>
        <w:t xml:space="preserve"> S</w:t>
      </w:r>
      <w:r>
        <w:rPr>
          <w:lang w:val="es-ES_tradnl"/>
        </w:rPr>
        <w:t xml:space="preserve"> se utiliza para la modulación en amplitud de una subportadora en 31,25 kHz; s</w:t>
      </w:r>
      <w:r>
        <w:rPr>
          <w:lang w:val="es-ES_tradnl"/>
        </w:rPr>
        <w:t>e forma el espectro de la subportadora modulada en amplitud de manera que la amplitud de la subportadora se reduce en 14 dB, y las componentes espectrales de dicha señal modulada se transforman como sigue:</w:t>
      </w:r>
    </w:p>
    <w:p w:rsidR="00000000" w:rsidRDefault="00CA0101">
      <w:pPr>
        <w:pStyle w:val="Equation"/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position w:val="-30"/>
        </w:rPr>
        <w:object w:dxaOrig="1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33.8pt" o:ole="">
            <v:imagedata r:id="rId8" o:title=""/>
          </v:shape>
          <o:OLEObject Type="Embed" ProgID="Equation.3" ShapeID="_x0000_i1025" DrawAspect="Content" ObjectID="_1605420435" r:id="rId9"/>
        </w:object>
      </w:r>
    </w:p>
    <w:p w:rsidR="00000000" w:rsidRDefault="00CA0101">
      <w:r>
        <w:t>donde</w:t>
      </w:r>
      <w:r>
        <w:rPr>
          <w:i/>
        </w:rPr>
        <w:t xml:space="preserve"> f</w:t>
      </w:r>
      <w:r>
        <w:t xml:space="preserve"> es igual a cada </w:t>
      </w:r>
      <w:r>
        <w:t>componente de frecuencia (kHz).</w:t>
      </w:r>
    </w:p>
    <w:p w:rsidR="00000000" w:rsidRDefault="00CA0101">
      <w:r>
        <w:rPr>
          <w:b/>
          <w:bCs/>
        </w:rPr>
        <w:t>2.1.2.3</w:t>
      </w:r>
      <w:r>
        <w:tab/>
        <w:t>La señal múltiplex estereofónica es la suma de:</w:t>
      </w:r>
    </w:p>
    <w:p w:rsidR="00000000" w:rsidRDefault="00CA0101">
      <w:pPr>
        <w:pStyle w:val="enumlev1"/>
      </w:pPr>
      <w:r>
        <w:t>–</w:t>
      </w:r>
      <w:r>
        <w:tab/>
        <w:t>la señal preacentuada,</w:t>
      </w:r>
      <w:r>
        <w:rPr>
          <w:i/>
        </w:rPr>
        <w:t xml:space="preserve"> M</w:t>
      </w:r>
      <w:r>
        <w:t>;</w:t>
      </w:r>
    </w:p>
    <w:p w:rsidR="00000000" w:rsidRDefault="00CA0101">
      <w:pPr>
        <w:pStyle w:val="enumlev1"/>
        <w:spacing w:line="270" w:lineRule="exact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de las componentes espectrales de banda lateral que son el producto de la portadora no suprimida modulada en amplitud por una señal preace</w:t>
      </w:r>
      <w:r>
        <w:rPr>
          <w:lang w:val="es-ES_tradnl"/>
        </w:rPr>
        <w:t>ntuada,</w:t>
      </w:r>
      <w:r>
        <w:rPr>
          <w:i/>
          <w:lang w:val="es-ES_tradnl"/>
        </w:rPr>
        <w:t xml:space="preserve"> S</w:t>
      </w:r>
      <w:r>
        <w:rPr>
          <w:lang w:val="es-ES_tradnl"/>
        </w:rPr>
        <w:t xml:space="preserve">, transformada adicionalmente mediante la ley </w:t>
      </w:r>
      <w:r>
        <w:rPr>
          <w:position w:val="-10"/>
        </w:rPr>
        <w:object w:dxaOrig="700" w:dyaOrig="380">
          <v:shape id="_x0000_i1026" type="#_x0000_t75" style="width:35.05pt;height:18.8pt" o:ole="">
            <v:imagedata r:id="rId10" o:title=""/>
          </v:shape>
          <o:OLEObject Type="Embed" ProgID="Equation.3" ShapeID="_x0000_i1026" DrawAspect="Content" ObjectID="_1605420436" r:id="rId11"/>
        </w:objec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la subportadora con la amplitud reducida en 14 dB.</w:t>
      </w:r>
    </w:p>
    <w:p w:rsidR="00000000" w:rsidRDefault="00CA0101">
      <w:r>
        <w:rPr>
          <w:b/>
        </w:rPr>
        <w:t>2.1.2.4</w:t>
      </w:r>
      <w:r>
        <w:tab/>
        <w:t>Las amplitudes de las diversas señales que componen la señal múltiplex estereofónica, relacionadas con la amplitud m</w:t>
      </w:r>
      <w:r>
        <w:t>áxima de esta señal (que corresponde a la excursión máxima de frecuencia) son:</w: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señal</w:t>
      </w:r>
      <w:r>
        <w:rPr>
          <w:i/>
          <w:lang w:val="es-ES_tradnl"/>
        </w:rPr>
        <w:t xml:space="preserve"> M</w:t>
      </w:r>
      <w:r>
        <w:rPr>
          <w:rFonts w:ascii="Courier" w:hAnsi="Courier"/>
          <w:sz w:val="12"/>
          <w:lang w:val="es-ES_tradnl"/>
        </w:rPr>
        <w:t> </w:t>
      </w:r>
      <w:r>
        <w:rPr>
          <w:lang w:val="es-ES_tradnl"/>
        </w:rPr>
        <w:t>: valor máximo 80% (siendo</w:t>
      </w:r>
      <w:r>
        <w:rPr>
          <w:i/>
          <w:lang w:val="es-ES_tradnl"/>
        </w:rPr>
        <w:t xml:space="preserve"> A</w:t>
      </w:r>
      <w:r>
        <w:rPr>
          <w:lang w:val="es-ES_tradnl"/>
        </w:rPr>
        <w:t xml:space="preserve"> y</w:t>
      </w:r>
      <w:r>
        <w:rPr>
          <w:i/>
          <w:lang w:val="es-ES_tradnl"/>
        </w:rPr>
        <w:t xml:space="preserve"> B</w:t>
      </w:r>
      <w:r>
        <w:rPr>
          <w:lang w:val="es-ES_tradnl"/>
        </w:rPr>
        <w:t xml:space="preserve"> iguales, y estando en fase);</w: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señal</w:t>
      </w:r>
      <w:r>
        <w:rPr>
          <w:i/>
          <w:lang w:val="es-ES_tradnl"/>
        </w:rPr>
        <w:t xml:space="preserve"> S</w:t>
      </w:r>
      <w:r>
        <w:rPr>
          <w:rFonts w:ascii="Courier" w:hAnsi="Courier"/>
          <w:sz w:val="12"/>
          <w:lang w:val="es-ES_tradnl"/>
        </w:rPr>
        <w:t> </w:t>
      </w:r>
      <w:r>
        <w:rPr>
          <w:lang w:val="es-ES_tradnl"/>
        </w:rPr>
        <w:t>: valor máximo 80% (siendo</w:t>
      </w:r>
      <w:r>
        <w:rPr>
          <w:i/>
          <w:lang w:val="es-ES_tradnl"/>
        </w:rPr>
        <w:t xml:space="preserve"> A</w:t>
      </w:r>
      <w:r>
        <w:rPr>
          <w:lang w:val="es-ES_tradnl"/>
        </w:rPr>
        <w:t xml:space="preserve"> y</w:t>
      </w:r>
      <w:r>
        <w:rPr>
          <w:i/>
          <w:lang w:val="es-ES_tradnl"/>
        </w:rPr>
        <w:t xml:space="preserve"> B</w:t>
      </w:r>
      <w:r>
        <w:rPr>
          <w:lang w:val="es-ES_tradnl"/>
        </w:rPr>
        <w:t xml:space="preserve"> iguales pero de fase opuesta);</w: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subportadora reducida a 31,25</w:t>
      </w:r>
      <w:r>
        <w:rPr>
          <w:lang w:val="es-ES_tradnl"/>
        </w:rPr>
        <w:t xml:space="preserve"> kHz; amplitud residual máxima: 20%.</w:t>
      </w:r>
    </w:p>
    <w:p w:rsidR="00000000" w:rsidRDefault="00CA0101">
      <w:r>
        <w:rPr>
          <w:b/>
        </w:rPr>
        <w:t>2.1.2.5</w:t>
      </w:r>
      <w:r>
        <w:tab/>
        <w:t>La modulación de frecuencia se dispone de manera que los valores positivos de la señal múltiplex correspondan a una excursión de frecuencia positiva de la portadora principal, y los valores negativos, a una excu</w:t>
      </w:r>
      <w:r>
        <w:t>rsión de frecuencia negativa.</w:t>
      </w:r>
    </w:p>
    <w:p w:rsidR="00000000" w:rsidRDefault="00CA0101">
      <w:pPr>
        <w:pStyle w:val="Heading2"/>
        <w:rPr>
          <w:lang w:val="es-ES_tradnl"/>
        </w:rPr>
      </w:pPr>
      <w:r>
        <w:rPr>
          <w:lang w:val="es-ES_tradnl"/>
        </w:rPr>
        <w:t>2.2</w:t>
      </w:r>
      <w:r>
        <w:rPr>
          <w:lang w:val="es-ES_tradnl"/>
        </w:rPr>
        <w:tab/>
        <w:t>Sistema de frecuencia piloto</w:t>
      </w:r>
    </w:p>
    <w:p w:rsidR="00000000" w:rsidRDefault="00CA0101">
      <w:pPr>
        <w:pStyle w:val="Heading3"/>
        <w:rPr>
          <w:lang w:val="es-ES_tradnl"/>
        </w:rPr>
      </w:pPr>
      <w:r>
        <w:rPr>
          <w:lang w:val="es-ES_tradnl"/>
        </w:rPr>
        <w:t>2.2.1</w:t>
      </w:r>
      <w:r>
        <w:rPr>
          <w:lang w:val="es-ES_tradnl"/>
        </w:rPr>
        <w:tab/>
        <w:t>Señal de RF</w:t>
      </w:r>
    </w:p>
    <w:p w:rsidR="00000000" w:rsidRDefault="00CA0101">
      <w:pPr>
        <w:rPr>
          <w:lang w:val="es-ES_tradnl"/>
        </w:rPr>
      </w:pPr>
      <w:r>
        <w:rPr>
          <w:lang w:val="es-ES_tradnl"/>
        </w:rPr>
        <w:t>La señal de RF se compone de una portadora modulada en frecuencia por una señal en banda de base, denominada en este caso «señal múltiplex estereofónica», con una excursión má</w:t>
      </w:r>
      <w:r>
        <w:rPr>
          <w:lang w:val="es-ES_tradnl"/>
        </w:rPr>
        <w:t>xima de frecuencia de:</w:t>
      </w:r>
    </w:p>
    <w:p w:rsidR="00000000" w:rsidRDefault="00CA0101">
      <w:pPr>
        <w:spacing w:before="80"/>
        <w:rPr>
          <w:lang w:val="es-ES_tradnl"/>
        </w:rPr>
      </w:pPr>
      <w:r>
        <w:rPr>
          <w:lang w:val="es-ES_tradnl"/>
        </w:rPr>
        <w:tab/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 xml:space="preserve">75 kHz o 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50 kHz (véase la Nota 1 del § 1).</w:t>
      </w:r>
    </w:p>
    <w:p w:rsidR="00000000" w:rsidRDefault="00CA0101">
      <w:pPr>
        <w:pStyle w:val="Heading3"/>
      </w:pPr>
      <w:r>
        <w:t>2.2.2</w:t>
      </w:r>
      <w:r>
        <w:tab/>
        <w:t>Señal múltiplex estereofónica</w:t>
      </w:r>
    </w:p>
    <w:p w:rsidR="00000000" w:rsidRDefault="00CA0101">
      <w:r>
        <w:t>Esta señal está constituida de la manera siguiente:</w:t>
      </w:r>
    </w:p>
    <w:p w:rsidR="00000000" w:rsidRDefault="00CA0101">
      <w:pPr>
        <w:rPr>
          <w:lang w:val="es-ES_tradnl"/>
        </w:rPr>
      </w:pPr>
      <w:r>
        <w:rPr>
          <w:b/>
          <w:lang w:val="es-ES_tradnl"/>
        </w:rPr>
        <w:t>2.2.2.1</w:t>
      </w:r>
      <w:r>
        <w:rPr>
          <w:lang w:val="es-ES_tradnl"/>
        </w:rPr>
        <w:tab/>
        <w:t>Se forma una señal</w:t>
      </w:r>
      <w:r>
        <w:rPr>
          <w:i/>
          <w:lang w:val="es-ES_tradnl"/>
        </w:rPr>
        <w:t xml:space="preserve"> M</w:t>
      </w:r>
      <w:r>
        <w:rPr>
          <w:lang w:val="es-ES_tradnl"/>
        </w:rPr>
        <w:t>, igual a la mitad de la suma de las señales «izquierda»</w:t>
      </w:r>
      <w:r>
        <w:rPr>
          <w:i/>
          <w:lang w:val="es-ES_tradnl"/>
        </w:rPr>
        <w:t xml:space="preserve"> A</w:t>
      </w:r>
      <w:r>
        <w:rPr>
          <w:lang w:val="es-ES_tradnl"/>
        </w:rPr>
        <w:t xml:space="preserve"> y «derecha»</w:t>
      </w:r>
      <w:r>
        <w:rPr>
          <w:i/>
          <w:lang w:val="es-ES_tradnl"/>
        </w:rPr>
        <w:t> B</w:t>
      </w:r>
      <w:r>
        <w:rPr>
          <w:lang w:val="es-ES_tradnl"/>
        </w:rPr>
        <w:t xml:space="preserve"> correspondientes a l</w:t>
      </w:r>
      <w:r>
        <w:rPr>
          <w:lang w:val="es-ES_tradnl"/>
        </w:rPr>
        <w:t>os dos canales estereofónicos. Esta señal</w:t>
      </w:r>
      <w:r>
        <w:rPr>
          <w:i/>
          <w:lang w:val="es-ES_tradnl"/>
        </w:rPr>
        <w:t xml:space="preserve"> M</w:t>
      </w:r>
      <w:r>
        <w:rPr>
          <w:lang w:val="es-ES_tradnl"/>
        </w:rPr>
        <w:t xml:space="preserve"> está preacentuada de la misma manera que la señal monofónica (véase el § 1) (véase la Nota 1 del § 2).</w:t>
      </w:r>
    </w:p>
    <w:p w:rsidR="00000000" w:rsidRDefault="00CA0101">
      <w:pPr>
        <w:spacing w:line="270" w:lineRule="exact"/>
        <w:rPr>
          <w:lang w:val="es-ES_tradnl"/>
        </w:rPr>
      </w:pPr>
      <w:r>
        <w:rPr>
          <w:b/>
        </w:rPr>
        <w:t>2.2.2.2</w:t>
      </w:r>
      <w:r>
        <w:tab/>
        <w:t>Se forma una señal</w:t>
      </w:r>
      <w:r>
        <w:rPr>
          <w:i/>
        </w:rPr>
        <w:t xml:space="preserve"> S</w:t>
      </w:r>
      <w:r>
        <w:t>, igual a la mitad de la diferencia entre las señales</w:t>
      </w:r>
      <w:r>
        <w:rPr>
          <w:i/>
        </w:rPr>
        <w:t xml:space="preserve"> A</w:t>
      </w:r>
      <w:r>
        <w:t xml:space="preserve"> y</w:t>
      </w:r>
      <w:r>
        <w:rPr>
          <w:i/>
        </w:rPr>
        <w:t xml:space="preserve"> B</w:t>
      </w:r>
      <w:r>
        <w:t xml:space="preserve"> precedentes. </w:t>
      </w:r>
      <w:r>
        <w:rPr>
          <w:lang w:val="es-ES_tradnl"/>
        </w:rPr>
        <w:t>Esta señ</w:t>
      </w:r>
      <w:r>
        <w:rPr>
          <w:lang w:val="es-ES_tradnl"/>
        </w:rPr>
        <w:t xml:space="preserve">al </w:t>
      </w:r>
      <w:r>
        <w:rPr>
          <w:i/>
          <w:lang w:val="es-ES_tradnl"/>
        </w:rPr>
        <w:t>S</w:t>
      </w:r>
      <w:r>
        <w:rPr>
          <w:lang w:val="es-ES_tradnl"/>
        </w:rPr>
        <w:t xml:space="preserve"> está preacentuada de la misma manera que la señal</w:t>
      </w:r>
      <w:r>
        <w:rPr>
          <w:i/>
          <w:lang w:val="es-ES_tradnl"/>
        </w:rPr>
        <w:t xml:space="preserve"> M</w:t>
      </w:r>
      <w:r>
        <w:rPr>
          <w:lang w:val="es-ES_tradnl"/>
        </w:rPr>
        <w:t>. Con esta señal</w:t>
      </w:r>
      <w:r>
        <w:rPr>
          <w:i/>
          <w:lang w:val="es-ES_tradnl"/>
        </w:rPr>
        <w:t xml:space="preserve"> S</w:t>
      </w:r>
      <w:r>
        <w:rPr>
          <w:lang w:val="es-ES_tradnl"/>
        </w:rPr>
        <w:t xml:space="preserve"> preacentuada, se modula en amplitud, con portadora suprimida, una subportadora de 38 kHz 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4 Hz.</w:t>
      </w:r>
    </w:p>
    <w:p w:rsidR="00000000" w:rsidRDefault="00CA0101">
      <w:pPr>
        <w:pStyle w:val="Note"/>
        <w:spacing w:before="136"/>
        <w:rPr>
          <w:lang w:val="es-ES_tradnl"/>
        </w:rPr>
      </w:pPr>
      <w:r>
        <w:rPr>
          <w:lang w:val="es-ES_tradnl"/>
        </w:rPr>
        <w:br w:type="page"/>
      </w:r>
      <w:r>
        <w:rPr>
          <w:lang w:val="es-ES_tradnl"/>
        </w:rPr>
        <w:lastRenderedPageBreak/>
        <w:t>NOTA 2 – El mismo efecto se obtiene preacentuando la señal «izquierda»</w:t>
      </w:r>
      <w:r>
        <w:rPr>
          <w:i/>
          <w:lang w:val="es-ES_tradnl"/>
        </w:rPr>
        <w:t xml:space="preserve"> A</w:t>
      </w:r>
      <w:r>
        <w:rPr>
          <w:lang w:val="es-ES_tradnl"/>
        </w:rPr>
        <w:t xml:space="preserve"> y la señal «derecha»</w:t>
      </w:r>
      <w:r>
        <w:rPr>
          <w:i/>
          <w:lang w:val="es-ES_tradnl"/>
        </w:rPr>
        <w:t xml:space="preserve"> B</w:t>
      </w:r>
      <w:r>
        <w:rPr>
          <w:lang w:val="es-ES_tradnl"/>
        </w:rPr>
        <w:t>, antes de la decodificación. A veces se prefiere este procedimiento, por razones técnicas.</w:t>
      </w:r>
    </w:p>
    <w:p w:rsidR="00000000" w:rsidRDefault="00CA0101">
      <w:r>
        <w:rPr>
          <w:b/>
          <w:bCs/>
        </w:rPr>
        <w:t>2.2.2.3</w:t>
      </w:r>
      <w:r>
        <w:tab/>
        <w:t>La señal múltiplex estereofónica es la suma:</w:t>
      </w:r>
    </w:p>
    <w:p w:rsidR="00000000" w:rsidRDefault="00CA0101">
      <w:pPr>
        <w:pStyle w:val="enumlev1"/>
      </w:pPr>
      <w:r>
        <w:t>–</w:t>
      </w:r>
      <w:r>
        <w:tab/>
        <w:t>de la</w:t>
      </w:r>
      <w:r>
        <w:t xml:space="preserve"> señal</w:t>
      </w:r>
      <w:r>
        <w:rPr>
          <w:i/>
        </w:rPr>
        <w:t xml:space="preserve"> M</w:t>
      </w:r>
      <w:r>
        <w:t xml:space="preserve"> preacentuada,</w:t>
      </w:r>
    </w:p>
    <w:p w:rsidR="00000000" w:rsidRDefault="00CA0101">
      <w:pPr>
        <w:pStyle w:val="enumlev1"/>
      </w:pPr>
      <w:r>
        <w:t>–</w:t>
      </w:r>
      <w:r>
        <w:tab/>
        <w:t>de las bandas laterales de la subportadora suprimida modulada en amplitud por la señal</w:t>
      </w:r>
      <w:r>
        <w:rPr>
          <w:i/>
        </w:rPr>
        <w:t xml:space="preserve"> S</w:t>
      </w:r>
      <w:r>
        <w:t xml:space="preserve"> preacentuada,</w: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de una señal denominada «señal piloto» cuya frecuencia es de 19 kHz (exactamente la mitad de la subportadora).</w:t>
      </w:r>
    </w:p>
    <w:p w:rsidR="00000000" w:rsidRDefault="00CA0101">
      <w:r>
        <w:rPr>
          <w:b/>
        </w:rPr>
        <w:t>2.2.2.4</w:t>
      </w:r>
      <w:r>
        <w:tab/>
        <w:t>Las amp</w:t>
      </w:r>
      <w:r>
        <w:t>litudes de las diversas señales que componen la señal múltiplex estereofónica, relacionadas con la amplitud máxima de esta señal (que corresponde a la excursión máxima de frecuencia) son:</w: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señal</w:t>
      </w:r>
      <w:r>
        <w:rPr>
          <w:i/>
          <w:lang w:val="es-ES_tradnl"/>
        </w:rPr>
        <w:t xml:space="preserve"> M</w:t>
      </w:r>
      <w:r>
        <w:rPr>
          <w:rFonts w:ascii="Courier" w:hAnsi="Courier"/>
          <w:sz w:val="12"/>
          <w:lang w:val="es-ES_tradnl"/>
        </w:rPr>
        <w:t> </w:t>
      </w:r>
      <w:r>
        <w:rPr>
          <w:lang w:val="es-ES_tradnl"/>
        </w:rPr>
        <w:t>: valor máximo 90% (lo que corresponde a</w:t>
      </w:r>
      <w:r>
        <w:rPr>
          <w:i/>
          <w:lang w:val="es-ES_tradnl"/>
        </w:rPr>
        <w:t xml:space="preserve"> A</w:t>
      </w:r>
      <w:r>
        <w:rPr>
          <w:lang w:val="es-ES_tradnl"/>
        </w:rPr>
        <w:t xml:space="preserve"> y</w:t>
      </w:r>
      <w:r>
        <w:rPr>
          <w:i/>
          <w:lang w:val="es-ES_tradnl"/>
        </w:rPr>
        <w:t xml:space="preserve"> B</w:t>
      </w:r>
      <w:r>
        <w:rPr>
          <w:lang w:val="es-ES_tradnl"/>
        </w:rPr>
        <w:t xml:space="preserve"> iguales y e</w:t>
      </w:r>
      <w:r>
        <w:rPr>
          <w:lang w:val="es-ES_tradnl"/>
        </w:rPr>
        <w:t>n fase);</w: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señal</w:t>
      </w:r>
      <w:r>
        <w:rPr>
          <w:i/>
          <w:lang w:val="es-ES_tradnl"/>
        </w:rPr>
        <w:t xml:space="preserve"> S</w:t>
      </w:r>
      <w:r>
        <w:rPr>
          <w:rFonts w:ascii="Courier" w:hAnsi="Courier"/>
          <w:sz w:val="12"/>
          <w:lang w:val="es-ES_tradnl"/>
        </w:rPr>
        <w:t> </w:t>
      </w:r>
      <w:r>
        <w:rPr>
          <w:lang w:val="es-ES_tradnl"/>
        </w:rPr>
        <w:t>: valor máximo de la suma de las amplitudes de las dos bandas laterales: 90% (lo que corresponde a</w:t>
      </w:r>
      <w:r>
        <w:rPr>
          <w:i/>
          <w:lang w:val="es-ES_tradnl"/>
        </w:rPr>
        <w:t xml:space="preserve"> A</w:t>
      </w:r>
      <w:r>
        <w:rPr>
          <w:lang w:val="es-ES_tradnl"/>
        </w:rPr>
        <w:t xml:space="preserve"> y</w:t>
      </w:r>
      <w:r>
        <w:rPr>
          <w:i/>
          <w:lang w:val="es-ES_tradnl"/>
        </w:rPr>
        <w:t xml:space="preserve"> B</w:t>
      </w:r>
      <w:r>
        <w:rPr>
          <w:lang w:val="es-ES_tradnl"/>
        </w:rPr>
        <w:t xml:space="preserve"> iguales y en oposición de fase);</w: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señal piloto: 8 a 10%;</w:t>
      </w:r>
    </w:p>
    <w:p w:rsidR="00000000" w:rsidRDefault="00CA010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subportadora de 38 kHz suprimida: amplitud residual máxima 1%.</w:t>
      </w:r>
    </w:p>
    <w:p w:rsidR="00000000" w:rsidRDefault="00CA0101">
      <w:r>
        <w:rPr>
          <w:b/>
        </w:rPr>
        <w:t>2.2.2.5</w:t>
      </w:r>
      <w:r>
        <w:tab/>
        <w:t>L</w:t>
      </w:r>
      <w:r>
        <w:t>a relación de fase entre la señal piloto y la subportadora es tal que, cuando el transmisor es modulado por una señal múltiplex en la cual</w:t>
      </w:r>
      <w:r>
        <w:rPr>
          <w:i/>
        </w:rPr>
        <w:t xml:space="preserve"> A</w:t>
      </w:r>
      <w:r>
        <w:t xml:space="preserve"> es positiva y</w:t>
      </w:r>
      <w:r>
        <w:rPr>
          <w:i/>
        </w:rPr>
        <w:t xml:space="preserve"> B</w:t>
      </w:r>
      <w:r>
        <w:t> </w:t>
      </w:r>
      <w:r>
        <w:rPr>
          <w:rFonts w:ascii="Symbol" w:hAnsi="Symbol"/>
        </w:rPr>
        <w:t></w:t>
      </w:r>
      <w:r>
        <w:t> – </w:t>
      </w:r>
      <w:r>
        <w:rPr>
          <w:i/>
        </w:rPr>
        <w:t>A</w:t>
      </w:r>
      <w:r>
        <w:t xml:space="preserve">, esta señal corta el eje de tiempos con una pendiente positiva cada vez que el valor instantáneo de la señal piloto es nulo. </w:t>
      </w:r>
      <w:r>
        <w:rPr>
          <w:lang w:val="es-ES_tradnl"/>
        </w:rPr>
        <w:t xml:space="preserve">La tolerancia de fase de la señal piloto no debe exceder de 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3</w:t>
      </w:r>
      <w:r>
        <w:rPr>
          <w:rFonts w:ascii="Symbol" w:hAnsi="Symbol"/>
        </w:rPr>
        <w:t></w:t>
      </w:r>
      <w:r>
        <w:rPr>
          <w:lang w:val="es-ES_tradnl"/>
        </w:rPr>
        <w:t xml:space="preserve"> con relación a la condición anterior. </w:t>
      </w:r>
      <w:r>
        <w:t>Por otra parte, cuando</w:t>
      </w:r>
      <w:r>
        <w:t xml:space="preserve"> la señal múltiplex tiene valor positivo, la excursión de la portadora principal es también positiva.</w:t>
      </w:r>
    </w:p>
    <w:p w:rsidR="00000000" w:rsidRDefault="00CA0101">
      <w:pPr>
        <w:pStyle w:val="Heading3"/>
      </w:pPr>
      <w:r>
        <w:t>2.2.3</w:t>
      </w:r>
      <w:r>
        <w:tab/>
        <w:t>Señal en banda de base en el caso de transmisión de señales suplementarias</w:t>
      </w:r>
    </w:p>
    <w:p w:rsidR="00000000" w:rsidRDefault="00CA0101">
      <w:pPr>
        <w:rPr>
          <w:lang w:val="es-ES_tradnl"/>
        </w:rPr>
      </w:pPr>
      <w:r>
        <w:rPr>
          <w:lang w:val="es-ES_tradnl"/>
        </w:rPr>
        <w:t>En el caso en que se desee transmitir, además del programa monofónico o e</w:t>
      </w:r>
      <w:r>
        <w:rPr>
          <w:lang w:val="es-ES_tradnl"/>
        </w:rPr>
        <w:t xml:space="preserve">stereofónico, un programa monofónico suplementario y/o señales de informaciones suplementarias, y en el caso de una excursión máxima de frecuencia de 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75 kHz, deben cumplirse las condiciones siguientes:</w:t>
      </w:r>
    </w:p>
    <w:p w:rsidR="00000000" w:rsidRDefault="00CA0101">
      <w:pPr>
        <w:rPr>
          <w:lang w:val="es-ES_tradnl"/>
        </w:rPr>
      </w:pPr>
      <w:r>
        <w:rPr>
          <w:b/>
          <w:lang w:val="es-ES_tradnl"/>
        </w:rPr>
        <w:t>2.2.3.1</w:t>
      </w:r>
      <w:r>
        <w:rPr>
          <w:lang w:val="es-ES_tradnl"/>
        </w:rPr>
        <w:tab/>
        <w:t>La inserción del programa o de las señales suplementarias en la señal en banda de base debe permitir la compatibilidad con los receptores existentes, es decir, que estas señales adicionales no d</w:t>
      </w:r>
      <w:r>
        <w:rPr>
          <w:lang w:val="es-ES_tradnl"/>
        </w:rPr>
        <w:t>eben degradar la calidad de recepción del programa principal, monofónico o estereofónico.</w:t>
      </w:r>
    </w:p>
    <w:p w:rsidR="00000000" w:rsidRDefault="00CA0101">
      <w:pPr>
        <w:rPr>
          <w:lang w:val="es-ES_tradnl"/>
        </w:rPr>
      </w:pPr>
      <w:r>
        <w:rPr>
          <w:b/>
          <w:lang w:val="es-ES_tradnl"/>
        </w:rPr>
        <w:t>2.2.3.2</w:t>
      </w:r>
      <w:r>
        <w:rPr>
          <w:lang w:val="es-ES_tradnl"/>
        </w:rPr>
        <w:tab/>
        <w:t>La señal de banda de base está constituida por la señal monofónica o la señal múltiplex estereofónica precedentemente descritas cuya amplitud es al menos igua</w:t>
      </w:r>
      <w:r>
        <w:rPr>
          <w:lang w:val="es-ES_tradnl"/>
        </w:rPr>
        <w:t>l al 90% de la amplitud de la señal en banda de base, y por señales suplementarias cuya amplitud máxima es a lo sumo igual al 10% de este mismo valor.</w:t>
      </w:r>
    </w:p>
    <w:p w:rsidR="00000000" w:rsidRDefault="00CA0101">
      <w:r>
        <w:rPr>
          <w:b/>
        </w:rPr>
        <w:t>2.2.3.3</w:t>
      </w:r>
      <w:r>
        <w:tab/>
        <w:t xml:space="preserve">En el caso de un programa monofónico suplementario, la subportadora y su excursión de frecuencia </w:t>
      </w:r>
      <w:r>
        <w:t>deben ser tales que la frecuencia instantánea correspondiente de la señal esté comprendida entre 53 y 76 kHz.</w:t>
      </w:r>
    </w:p>
    <w:p w:rsidR="00000000" w:rsidRDefault="00CA0101">
      <w:r>
        <w:rPr>
          <w:b/>
        </w:rPr>
        <w:t>2.2.3.4</w:t>
      </w:r>
      <w:r>
        <w:tab/>
        <w:t>En el caso de señales de informaciones suplementarias, la frecuencia de la subportadora adicional debe estar comprendida entre 15 y 23 kHz</w:t>
      </w:r>
      <w:r>
        <w:t xml:space="preserve"> o entre 53 y 76 kHz.</w:t>
      </w:r>
    </w:p>
    <w:p w:rsidR="00000000" w:rsidRDefault="00CA0101">
      <w:pPr>
        <w:rPr>
          <w:lang w:val="es-ES_tradnl"/>
        </w:rPr>
      </w:pPr>
      <w:r>
        <w:rPr>
          <w:b/>
          <w:lang w:val="es-ES_tradnl"/>
        </w:rPr>
        <w:t>2.2.3.5</w:t>
      </w:r>
      <w:r>
        <w:rPr>
          <w:lang w:val="es-ES_tradnl"/>
        </w:rPr>
        <w:tab/>
        <w:t>En ningún caso la excursión máxima de la portadora principal por la señal de base total podrá exceder de </w:t>
      </w:r>
      <w:r>
        <w:rPr>
          <w:rFonts w:ascii="Symbol" w:hAnsi="Symbol"/>
        </w:rPr>
        <w:t></w:t>
      </w:r>
      <w:r>
        <w:rPr>
          <w:rFonts w:ascii="Tms Rmn" w:hAnsi="Tms Rmn"/>
          <w:sz w:val="4"/>
          <w:lang w:val="es-ES_tradnl"/>
        </w:rPr>
        <w:t> </w:t>
      </w:r>
      <w:r>
        <w:rPr>
          <w:lang w:val="es-ES_tradnl"/>
        </w:rPr>
        <w:t>75 kHz.</w:t>
      </w:r>
    </w:p>
    <w:p w:rsidR="00000000" w:rsidRDefault="00CA0101">
      <w:pPr>
        <w:pStyle w:val="Heading1"/>
      </w:pPr>
      <w:r>
        <w:t>3</w:t>
      </w:r>
      <w:r>
        <w:tab/>
        <w:t>Parámetros del sistema</w:t>
      </w:r>
    </w:p>
    <w:p w:rsidR="00000000" w:rsidRDefault="00CA0101" w:rsidP="00DF6FC7">
      <w:pPr>
        <w:rPr>
          <w:lang w:val="es-ES_tradnl"/>
        </w:rPr>
      </w:pPr>
      <w:r>
        <w:rPr>
          <w:lang w:val="es-ES_tradnl"/>
        </w:rPr>
        <w:t>Los parámetros del sistema utilizados en distintos países aparecen en el Anexo 1.</w:t>
      </w:r>
    </w:p>
    <w:p w:rsidR="00000000" w:rsidRDefault="00CA0101">
      <w:pPr>
        <w:rPr>
          <w:lang w:val="es-ES_tradnl"/>
        </w:rPr>
        <w:sectPr w:rsidR="00000000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cols w:space="720"/>
          <w:vAlign w:val="both"/>
        </w:sectPr>
      </w:pPr>
    </w:p>
    <w:p w:rsidR="00DF6FC7" w:rsidRDefault="00DF6FC7" w:rsidP="00DF6FC7">
      <w:pPr>
        <w:pStyle w:val="AnnexNo"/>
        <w:spacing w:before="0" w:after="0"/>
        <w:rPr>
          <w:lang w:val="es-ES_tradnl"/>
        </w:rPr>
      </w:pPr>
      <w:r>
        <w:rPr>
          <w:lang w:val="es-ES_tradnl"/>
        </w:rPr>
        <w:lastRenderedPageBreak/>
        <w:t>ANEXO  1</w:t>
      </w:r>
    </w:p>
    <w:p w:rsidR="00DF6FC7" w:rsidRDefault="00DF6FC7" w:rsidP="00DF6FC7">
      <w:pPr>
        <w:pStyle w:val="Annextitle"/>
        <w:keepNext w:val="0"/>
        <w:spacing w:before="0" w:after="0"/>
        <w:rPr>
          <w:lang w:val="es-ES_tradnl"/>
        </w:rPr>
      </w:pPr>
      <w:r>
        <w:rPr>
          <w:lang w:val="es-ES_tradnl"/>
        </w:rPr>
        <w:t>Sistema de radiodifusión sonora actuales en las bandas incluidas en el Reglamento de Radiocomunicaciones (RR) utilizadas en distintos países/zonas del mundo</w:t>
      </w:r>
    </w:p>
    <w:p w:rsidR="00DF6FC7" w:rsidRPr="005D1837" w:rsidRDefault="00DF6FC7" w:rsidP="00625261">
      <w:pPr>
        <w:pStyle w:val="TableNo"/>
        <w:keepNext w:val="0"/>
        <w:rPr>
          <w:lang w:val="es-ES_tradnl"/>
        </w:rPr>
      </w:pPr>
      <w:r w:rsidRPr="005D1837">
        <w:rPr>
          <w:lang w:val="es-ES_tradnl"/>
        </w:rPr>
        <w:t>CUADRO 1A</w:t>
      </w:r>
    </w:p>
    <w:p w:rsidR="00DF6FC7" w:rsidRPr="00C31C60" w:rsidRDefault="00DF6FC7" w:rsidP="00625261">
      <w:pPr>
        <w:pStyle w:val="Tabletitle"/>
        <w:keepNext w:val="0"/>
        <w:rPr>
          <w:lang w:val="es-ES_tradnl"/>
        </w:rPr>
      </w:pPr>
      <w:r>
        <w:rPr>
          <w:lang w:val="es-ES_tradnl"/>
        </w:rPr>
        <w:t>Radiodifusión sonora terrenal con modulación de frecuencia (por encima de 30 MHz)</w:t>
      </w:r>
    </w:p>
    <w:tbl>
      <w:tblPr>
        <w:tblStyle w:val="TableGrid"/>
        <w:tblW w:w="14459" w:type="dxa"/>
        <w:tblLayout w:type="fixed"/>
        <w:tblLook w:val="04A0" w:firstRow="1" w:lastRow="0" w:firstColumn="1" w:lastColumn="0" w:noHBand="0" w:noVBand="1"/>
      </w:tblPr>
      <w:tblGrid>
        <w:gridCol w:w="3162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631"/>
        <w:gridCol w:w="432"/>
        <w:gridCol w:w="631"/>
        <w:gridCol w:w="631"/>
        <w:gridCol w:w="631"/>
        <w:gridCol w:w="432"/>
        <w:gridCol w:w="432"/>
        <w:gridCol w:w="432"/>
        <w:gridCol w:w="681"/>
        <w:gridCol w:w="753"/>
      </w:tblGrid>
      <w:tr w:rsidR="00DF6FC7" w:rsidRPr="00643D51" w:rsidTr="006D7D8A">
        <w:trPr>
          <w:trHeight w:val="283"/>
        </w:trPr>
        <w:tc>
          <w:tcPr>
            <w:tcW w:w="3162" w:type="dxa"/>
            <w:vMerge w:val="restart"/>
            <w:vAlign w:val="center"/>
          </w:tcPr>
          <w:p w:rsidR="00DF6FC7" w:rsidRPr="00C31C60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C31C60">
              <w:rPr>
                <w:b/>
                <w:bCs/>
                <w:sz w:val="20"/>
                <w:lang w:val="es-ES_tradnl"/>
              </w:rPr>
              <w:t>Pa</w:t>
            </w:r>
            <w:r w:rsidRPr="00C31C60">
              <w:rPr>
                <w:b/>
                <w:bCs/>
                <w:lang w:val="es-ES_tradnl"/>
              </w:rPr>
              <w:t>í</w:t>
            </w:r>
            <w:r w:rsidRPr="00C31C60">
              <w:rPr>
                <w:b/>
                <w:bCs/>
                <w:sz w:val="20"/>
                <w:lang w:val="es-ES_tradnl"/>
              </w:rPr>
              <w:t>s/zona geográfica</w:t>
            </w:r>
          </w:p>
        </w:tc>
        <w:tc>
          <w:tcPr>
            <w:tcW w:w="1724" w:type="dxa"/>
            <w:gridSpan w:val="4"/>
            <w:vMerge w:val="restart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Acuerdos internacionales</w:t>
            </w:r>
          </w:p>
        </w:tc>
        <w:tc>
          <w:tcPr>
            <w:tcW w:w="8139" w:type="dxa"/>
            <w:gridSpan w:val="17"/>
            <w:vAlign w:val="center"/>
          </w:tcPr>
          <w:p w:rsidR="00DF6FC7" w:rsidRPr="00643D51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Información relativa a aplicaciones de emisiones actuales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DF6FC7" w:rsidRPr="00643D51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Tolerancias en la frecuencia del transmisor (Artículo 1 del RR)</w:t>
            </w:r>
          </w:p>
        </w:tc>
      </w:tr>
      <w:tr w:rsidR="00DF6FC7" w:rsidRPr="00B76CD6" w:rsidTr="006D7D8A">
        <w:trPr>
          <w:trHeight w:val="624"/>
        </w:trPr>
        <w:tc>
          <w:tcPr>
            <w:tcW w:w="3162" w:type="dxa"/>
            <w:vMerge/>
            <w:vAlign w:val="center"/>
          </w:tcPr>
          <w:p w:rsidR="00DF6FC7" w:rsidRPr="00643D51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72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F6FC7" w:rsidRPr="00643D51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</w:p>
        </w:tc>
        <w:tc>
          <w:tcPr>
            <w:tcW w:w="3023" w:type="dxa"/>
            <w:gridSpan w:val="7"/>
            <w:tcBorders>
              <w:bottom w:val="single" w:sz="4" w:space="0" w:color="auto"/>
            </w:tcBorders>
            <w:vAlign w:val="center"/>
          </w:tcPr>
          <w:p w:rsidR="00DF6FC7" w:rsidRPr="00643D51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Bandas de frecuencias utilizadas (MHz)</w:t>
            </w:r>
          </w:p>
        </w:tc>
        <w:tc>
          <w:tcPr>
            <w:tcW w:w="3820" w:type="dxa"/>
            <w:gridSpan w:val="7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Características de la modulación</w:t>
            </w: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Polarización</w:t>
            </w:r>
          </w:p>
        </w:tc>
        <w:tc>
          <w:tcPr>
            <w:tcW w:w="14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</w:p>
        </w:tc>
      </w:tr>
      <w:tr w:rsidR="00DF6FC7" w:rsidRPr="009F72B8" w:rsidTr="006D7D8A">
        <w:trPr>
          <w:cantSplit/>
          <w:trHeight w:val="1680"/>
        </w:trPr>
        <w:tc>
          <w:tcPr>
            <w:tcW w:w="3162" w:type="dxa"/>
            <w:vMerge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ind w:right="113"/>
              <w:jc w:val="left"/>
              <w:rPr>
                <w:sz w:val="17"/>
                <w:szCs w:val="17"/>
                <w:lang w:val="en-US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Ginebra </w:t>
            </w:r>
            <w:r w:rsidRPr="00051AED">
              <w:rPr>
                <w:sz w:val="17"/>
                <w:szCs w:val="17"/>
                <w:lang w:val="en-US"/>
              </w:rPr>
              <w:t>60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Estocolmo </w:t>
            </w:r>
            <w:r w:rsidRPr="00051AED">
              <w:rPr>
                <w:sz w:val="17"/>
                <w:szCs w:val="17"/>
                <w:lang w:val="en-US"/>
              </w:rPr>
              <w:t>61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Ginebra </w:t>
            </w:r>
            <w:r w:rsidRPr="00051AED">
              <w:rPr>
                <w:sz w:val="17"/>
                <w:szCs w:val="17"/>
                <w:lang w:val="en-US"/>
              </w:rPr>
              <w:t>84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Otros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66-68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68-73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73-74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76-87</w:t>
            </w:r>
            <w:r>
              <w:rPr>
                <w:sz w:val="17"/>
                <w:szCs w:val="17"/>
                <w:lang w:val="en-US"/>
              </w:rPr>
              <w:t>,</w:t>
            </w:r>
            <w:r w:rsidRPr="00051AED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87</w:t>
            </w:r>
            <w:r>
              <w:rPr>
                <w:sz w:val="17"/>
                <w:szCs w:val="17"/>
                <w:lang w:val="en-US"/>
              </w:rPr>
              <w:t>,</w:t>
            </w:r>
            <w:r w:rsidRPr="00051AED">
              <w:rPr>
                <w:sz w:val="17"/>
                <w:szCs w:val="17"/>
                <w:lang w:val="en-US"/>
              </w:rPr>
              <w:t>5-108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88.0-108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Otros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>Monofónica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>Estereofónica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Sistema de modulación polar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7D3B14">
            <w:pPr>
              <w:spacing w:before="0"/>
              <w:ind w:right="113"/>
              <w:jc w:val="left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Sistema de frecuencia piloto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DF6FC7" w:rsidRPr="00221A37" w:rsidRDefault="00DF6FC7" w:rsidP="007D3B14">
            <w:pPr>
              <w:spacing w:before="0"/>
              <w:ind w:right="113"/>
              <w:jc w:val="left"/>
              <w:rPr>
                <w:sz w:val="17"/>
                <w:szCs w:val="17"/>
                <w:lang w:val="fr-CH"/>
              </w:rPr>
            </w:pPr>
            <w:r w:rsidRPr="009F72B8">
              <w:rPr>
                <w:sz w:val="17"/>
                <w:szCs w:val="17"/>
                <w:lang w:val="en-GB"/>
              </w:rPr>
              <w:t>Separación entre canales</w:t>
            </w:r>
            <w:r w:rsidRPr="00221A37">
              <w:rPr>
                <w:sz w:val="17"/>
                <w:szCs w:val="17"/>
                <w:lang w:val="fr-CH"/>
              </w:rPr>
              <w:t xml:space="preserve"> </w:t>
            </w:r>
            <w:r w:rsidRPr="00221A37">
              <w:rPr>
                <w:rStyle w:val="FootnoteReference"/>
                <w:szCs w:val="17"/>
                <w:lang w:val="fr-CH"/>
              </w:rPr>
              <w:footnoteReference w:customMarkFollows="1" w:id="3"/>
              <w:t>(1)</w:t>
            </w:r>
            <w:r w:rsidRPr="00221A37">
              <w:rPr>
                <w:sz w:val="17"/>
                <w:szCs w:val="17"/>
                <w:lang w:val="fr-CH"/>
              </w:rPr>
              <w:t xml:space="preserve"> (kHz)</w:t>
            </w:r>
            <w:r w:rsidRPr="00221A37">
              <w:rPr>
                <w:rStyle w:val="FootnoteReference"/>
                <w:szCs w:val="17"/>
                <w:lang w:val="fr-CH"/>
              </w:rPr>
              <w:t xml:space="preserve"> 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DF6FC7" w:rsidRPr="00E0677A" w:rsidRDefault="00DF6FC7" w:rsidP="007D3B14">
            <w:pPr>
              <w:spacing w:before="0"/>
              <w:ind w:right="113"/>
              <w:jc w:val="left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 xml:space="preserve">Preacentuación/ desacentuación </w:t>
            </w:r>
            <w:r w:rsidRPr="00051AED">
              <w:rPr>
                <w:sz w:val="17"/>
                <w:szCs w:val="17"/>
                <w:lang w:val="en-US"/>
              </w:rPr>
              <w:t>(μs)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DF6FC7" w:rsidRPr="009F72B8" w:rsidRDefault="00DF6FC7" w:rsidP="00625261">
            <w:pPr>
              <w:spacing w:before="0"/>
              <w:ind w:right="113"/>
              <w:rPr>
                <w:sz w:val="17"/>
                <w:szCs w:val="17"/>
                <w:lang w:val="es-ES_tradnl"/>
              </w:rPr>
            </w:pPr>
            <w:r w:rsidRPr="009F72B8">
              <w:rPr>
                <w:sz w:val="17"/>
                <w:szCs w:val="17"/>
                <w:lang w:val="es-ES_tradnl"/>
              </w:rPr>
              <w:t>Desviación de frecuencia máxima (kHz)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Horizontal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Vertical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Mixta</w:t>
            </w:r>
          </w:p>
        </w:tc>
        <w:tc>
          <w:tcPr>
            <w:tcW w:w="681" w:type="dxa"/>
            <w:tcBorders>
              <w:bottom w:val="nil"/>
            </w:tcBorders>
            <w:textDirection w:val="btLr"/>
            <w:vAlign w:val="center"/>
          </w:tcPr>
          <w:p w:rsidR="00DF6FC7" w:rsidRPr="00051AED" w:rsidRDefault="00DF6FC7" w:rsidP="00625261">
            <w:pPr>
              <w:spacing w:before="0"/>
              <w:ind w:right="113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Requisitos actuales</w:t>
            </w:r>
          </w:p>
        </w:tc>
        <w:tc>
          <w:tcPr>
            <w:tcW w:w="753" w:type="dxa"/>
            <w:tcBorders>
              <w:bottom w:val="nil"/>
            </w:tcBorders>
            <w:textDirection w:val="btLr"/>
            <w:vAlign w:val="center"/>
          </w:tcPr>
          <w:p w:rsidR="00DF6FC7" w:rsidRPr="009F72B8" w:rsidRDefault="00DF6FC7" w:rsidP="00625261">
            <w:pPr>
              <w:spacing w:before="0"/>
              <w:ind w:right="113"/>
              <w:rPr>
                <w:sz w:val="17"/>
                <w:szCs w:val="17"/>
                <w:lang w:val="es-ES_tradnl"/>
              </w:rPr>
            </w:pPr>
            <w:r w:rsidRPr="009F72B8">
              <w:rPr>
                <w:sz w:val="17"/>
                <w:szCs w:val="17"/>
                <w:lang w:val="es-ES_tradnl"/>
              </w:rPr>
              <w:t>Objetivos de diseño a largo plazo</w:t>
            </w:r>
          </w:p>
        </w:tc>
      </w:tr>
      <w:tr w:rsidR="00DF6FC7" w:rsidRPr="00B76CD6" w:rsidTr="006D7D8A">
        <w:tc>
          <w:tcPr>
            <w:tcW w:w="3162" w:type="dxa"/>
            <w:vMerge/>
            <w:tcBorders>
              <w:bottom w:val="single" w:sz="4" w:space="0" w:color="auto"/>
            </w:tcBorders>
          </w:tcPr>
          <w:p w:rsidR="00DF6FC7" w:rsidRPr="009F72B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8"/>
                <w:szCs w:val="24"/>
                <w:lang w:val="es-ES_tradnl"/>
              </w:rPr>
            </w:pP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DF6FC7" w:rsidRPr="00160E58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es-ES_tradnl"/>
              </w:rPr>
              <w:t>Alemania (República Federal de)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E5FA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20"/>
                <w:sz w:val="12"/>
                <w:szCs w:val="12"/>
                <w:lang w:val="en-US"/>
              </w:rPr>
            </w:pPr>
            <w:r w:rsidRPr="00B36525">
              <w:rPr>
                <w:spacing w:val="-20"/>
                <w:sz w:val="12"/>
                <w:szCs w:val="12"/>
                <w:lang w:val="en-GB"/>
              </w:rPr>
              <w:t>Except. casos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DA3536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Aruba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Australi</w:t>
            </w:r>
            <w:r w:rsidR="005D1837">
              <w:rPr>
                <w:sz w:val="16"/>
                <w:szCs w:val="24"/>
                <w:lang w:val="en-US"/>
              </w:rPr>
              <w:t>a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5D183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5D1837">
              <w:rPr>
                <w:sz w:val="16"/>
                <w:szCs w:val="24"/>
              </w:rPr>
              <w:t>Bahamas (Commonwealth de las)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es-ES_tradnl"/>
              </w:rPr>
              <w:t>Bangladesh (República Popular de)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5D183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5D1837">
              <w:rPr>
                <w:sz w:val="16"/>
                <w:szCs w:val="24"/>
              </w:rPr>
              <w:t>Brasil (República Federativa del)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051AED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es-ES_tradnl"/>
              </w:rPr>
              <w:t>Chipre (República de)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Pr="00C31C60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s-ES_tradnl"/>
              </w:rPr>
            </w:pPr>
            <w:r w:rsidRPr="00C31C60">
              <w:rPr>
                <w:sz w:val="16"/>
                <w:szCs w:val="24"/>
                <w:lang w:val="es-ES_tradnl"/>
              </w:rPr>
              <w:t>Ciudad del Vaticano (Estado de la)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C31C60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s-ES_tradnl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es-ES_tradnl"/>
              </w:rPr>
              <w:t>Colombia (República de)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es-ES_tradnl"/>
              </w:rPr>
              <w:t>Corea (República de)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25261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fr-CH"/>
              </w:rPr>
              <w:t>Dinamarca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25261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fr-CH"/>
              </w:rPr>
              <w:t>Ecuador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</w:tbl>
    <w:p w:rsidR="00625261" w:rsidRPr="005D1837" w:rsidRDefault="00625261" w:rsidP="00625261">
      <w:pPr>
        <w:pStyle w:val="TableNo"/>
        <w:keepNext w:val="0"/>
        <w:rPr>
          <w:lang w:val="es-ES_tradnl"/>
        </w:rPr>
      </w:pPr>
      <w:r w:rsidRPr="005D1837">
        <w:rPr>
          <w:lang w:val="es-ES_tradnl"/>
        </w:rPr>
        <w:lastRenderedPageBreak/>
        <w:t>CUADRO 1</w:t>
      </w:r>
      <w:r>
        <w:rPr>
          <w:lang w:val="es-ES_tradnl"/>
        </w:rPr>
        <w:t xml:space="preserve">A </w:t>
      </w:r>
      <w:r w:rsidR="006774EE">
        <w:rPr>
          <w:lang w:val="es-ES_tradnl"/>
        </w:rPr>
        <w:t>(</w:t>
      </w:r>
      <w:r w:rsidR="006774EE">
        <w:rPr>
          <w:i/>
          <w:iCs/>
          <w:lang w:val="es-ES_tradnl"/>
        </w:rPr>
        <w:t>Continuación</w:t>
      </w:r>
      <w:r w:rsidR="006774EE">
        <w:rPr>
          <w:lang w:val="es-ES_tradnl"/>
        </w:rPr>
        <w:t>)</w:t>
      </w:r>
    </w:p>
    <w:tbl>
      <w:tblPr>
        <w:tblStyle w:val="TableGrid"/>
        <w:tblW w:w="14459" w:type="dxa"/>
        <w:tblLayout w:type="fixed"/>
        <w:tblLook w:val="04A0" w:firstRow="1" w:lastRow="0" w:firstColumn="1" w:lastColumn="0" w:noHBand="0" w:noVBand="1"/>
      </w:tblPr>
      <w:tblGrid>
        <w:gridCol w:w="3162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631"/>
        <w:gridCol w:w="432"/>
        <w:gridCol w:w="631"/>
        <w:gridCol w:w="631"/>
        <w:gridCol w:w="631"/>
        <w:gridCol w:w="432"/>
        <w:gridCol w:w="432"/>
        <w:gridCol w:w="432"/>
        <w:gridCol w:w="681"/>
        <w:gridCol w:w="753"/>
      </w:tblGrid>
      <w:tr w:rsidR="00625261" w:rsidRPr="00643D51" w:rsidTr="006D7D8A">
        <w:trPr>
          <w:trHeight w:val="283"/>
        </w:trPr>
        <w:tc>
          <w:tcPr>
            <w:tcW w:w="3162" w:type="dxa"/>
            <w:vMerge w:val="restart"/>
            <w:vAlign w:val="center"/>
          </w:tcPr>
          <w:p w:rsidR="00625261" w:rsidRPr="00C31C60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C31C60">
              <w:rPr>
                <w:b/>
                <w:bCs/>
                <w:sz w:val="20"/>
                <w:lang w:val="es-ES_tradnl"/>
              </w:rPr>
              <w:t>Pa</w:t>
            </w:r>
            <w:r w:rsidRPr="00C31C60">
              <w:rPr>
                <w:b/>
                <w:bCs/>
                <w:lang w:val="es-ES_tradnl"/>
              </w:rPr>
              <w:t>í</w:t>
            </w:r>
            <w:r w:rsidRPr="00C31C60">
              <w:rPr>
                <w:b/>
                <w:bCs/>
                <w:sz w:val="20"/>
                <w:lang w:val="es-ES_tradnl"/>
              </w:rPr>
              <w:t>s/zona geográfica</w:t>
            </w:r>
          </w:p>
        </w:tc>
        <w:tc>
          <w:tcPr>
            <w:tcW w:w="1724" w:type="dxa"/>
            <w:gridSpan w:val="4"/>
            <w:vMerge w:val="restart"/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Acuerdos internacionales</w:t>
            </w:r>
          </w:p>
        </w:tc>
        <w:tc>
          <w:tcPr>
            <w:tcW w:w="8139" w:type="dxa"/>
            <w:gridSpan w:val="17"/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Información relativa a aplicaciones de emisiones actuales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Tolerancias en la frecuencia del transmisor (Artículo 1 del RR)</w:t>
            </w:r>
          </w:p>
        </w:tc>
      </w:tr>
      <w:tr w:rsidR="00625261" w:rsidRPr="00B76CD6" w:rsidTr="006D7D8A">
        <w:trPr>
          <w:trHeight w:val="624"/>
        </w:trPr>
        <w:tc>
          <w:tcPr>
            <w:tcW w:w="3162" w:type="dxa"/>
            <w:vMerge/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72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</w:p>
        </w:tc>
        <w:tc>
          <w:tcPr>
            <w:tcW w:w="3023" w:type="dxa"/>
            <w:gridSpan w:val="7"/>
            <w:tcBorders>
              <w:bottom w:val="single" w:sz="4" w:space="0" w:color="auto"/>
            </w:tcBorders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Bandas de frecuencias utilizadas (MHz)</w:t>
            </w:r>
          </w:p>
        </w:tc>
        <w:tc>
          <w:tcPr>
            <w:tcW w:w="3820" w:type="dxa"/>
            <w:gridSpan w:val="7"/>
            <w:tcBorders>
              <w:bottom w:val="single" w:sz="4" w:space="0" w:color="auto"/>
            </w:tcBorders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Características de la modulación</w:t>
            </w: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Polarización</w:t>
            </w:r>
          </w:p>
        </w:tc>
        <w:tc>
          <w:tcPr>
            <w:tcW w:w="14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</w:p>
        </w:tc>
      </w:tr>
      <w:tr w:rsidR="00625261" w:rsidRPr="009F72B8" w:rsidTr="006D7D8A">
        <w:trPr>
          <w:cantSplit/>
          <w:trHeight w:val="1680"/>
        </w:trPr>
        <w:tc>
          <w:tcPr>
            <w:tcW w:w="3162" w:type="dxa"/>
            <w:vMerge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ind w:right="113"/>
              <w:jc w:val="left"/>
              <w:rPr>
                <w:sz w:val="17"/>
                <w:szCs w:val="17"/>
                <w:lang w:val="en-US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Ginebra </w:t>
            </w:r>
            <w:r w:rsidRPr="00051AED">
              <w:rPr>
                <w:sz w:val="17"/>
                <w:szCs w:val="17"/>
                <w:lang w:val="en-US"/>
              </w:rPr>
              <w:t>60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Estocolmo </w:t>
            </w:r>
            <w:r w:rsidRPr="00051AED">
              <w:rPr>
                <w:sz w:val="17"/>
                <w:szCs w:val="17"/>
                <w:lang w:val="en-US"/>
              </w:rPr>
              <w:t>61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Ginebra </w:t>
            </w:r>
            <w:r w:rsidRPr="00051AED">
              <w:rPr>
                <w:sz w:val="17"/>
                <w:szCs w:val="17"/>
                <w:lang w:val="en-US"/>
              </w:rPr>
              <w:t>84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Otros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66-68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68-73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73-74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76-87</w:t>
            </w:r>
            <w:r>
              <w:rPr>
                <w:sz w:val="17"/>
                <w:szCs w:val="17"/>
                <w:lang w:val="en-US"/>
              </w:rPr>
              <w:t>,</w:t>
            </w:r>
            <w:r w:rsidRPr="00051AED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87</w:t>
            </w:r>
            <w:r>
              <w:rPr>
                <w:sz w:val="17"/>
                <w:szCs w:val="17"/>
                <w:lang w:val="en-US"/>
              </w:rPr>
              <w:t>,</w:t>
            </w:r>
            <w:r w:rsidRPr="00051AED">
              <w:rPr>
                <w:sz w:val="17"/>
                <w:szCs w:val="17"/>
                <w:lang w:val="en-US"/>
              </w:rPr>
              <w:t>5-108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88.0-108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Otros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>Monofónica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>Estereofónica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Sistema de modulación polar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Sistema de frecuencia piloto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625261" w:rsidRPr="00221A37" w:rsidRDefault="00625261" w:rsidP="007D3B14">
            <w:pPr>
              <w:spacing w:before="0"/>
              <w:ind w:right="113"/>
              <w:jc w:val="left"/>
              <w:rPr>
                <w:sz w:val="17"/>
                <w:szCs w:val="17"/>
                <w:lang w:val="fr-CH"/>
              </w:rPr>
            </w:pPr>
            <w:r w:rsidRPr="009F72B8">
              <w:rPr>
                <w:sz w:val="17"/>
                <w:szCs w:val="17"/>
                <w:lang w:val="en-GB"/>
              </w:rPr>
              <w:t>Separación entre canales</w:t>
            </w:r>
            <w:r w:rsidRPr="00221A37">
              <w:rPr>
                <w:sz w:val="17"/>
                <w:szCs w:val="17"/>
                <w:lang w:val="fr-CH"/>
              </w:rPr>
              <w:t xml:space="preserve"> </w:t>
            </w:r>
            <w:r w:rsidR="007D3B14">
              <w:rPr>
                <w:sz w:val="17"/>
                <w:szCs w:val="17"/>
                <w:lang w:val="fr-CH"/>
              </w:rPr>
              <w:t xml:space="preserve"> </w:t>
            </w:r>
            <w:r w:rsidR="007D3B14" w:rsidRPr="007D3B14">
              <w:rPr>
                <w:sz w:val="17"/>
                <w:szCs w:val="17"/>
                <w:vertAlign w:val="superscript"/>
                <w:lang w:val="fr-CH"/>
              </w:rPr>
              <w:t>(1)</w:t>
            </w:r>
            <w:r w:rsidR="007D3B14">
              <w:rPr>
                <w:sz w:val="17"/>
                <w:szCs w:val="17"/>
                <w:lang w:val="fr-CH"/>
              </w:rPr>
              <w:t xml:space="preserve"> </w:t>
            </w:r>
            <w:r w:rsidRPr="00221A37">
              <w:rPr>
                <w:sz w:val="17"/>
                <w:szCs w:val="17"/>
                <w:lang w:val="fr-CH"/>
              </w:rPr>
              <w:t>(kHz)</w:t>
            </w:r>
            <w:r w:rsidRPr="00221A37">
              <w:rPr>
                <w:rStyle w:val="FootnoteReference"/>
                <w:szCs w:val="17"/>
                <w:lang w:val="fr-CH"/>
              </w:rPr>
              <w:t xml:space="preserve"> 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625261" w:rsidRPr="00E0677A" w:rsidRDefault="00625261" w:rsidP="007D3B14">
            <w:pPr>
              <w:spacing w:before="0"/>
              <w:ind w:right="113"/>
              <w:jc w:val="left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 xml:space="preserve">Preacentuación/ desacentuación </w:t>
            </w:r>
            <w:r w:rsidRPr="00051AED">
              <w:rPr>
                <w:sz w:val="17"/>
                <w:szCs w:val="17"/>
                <w:lang w:val="en-US"/>
              </w:rPr>
              <w:t>(μs)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625261" w:rsidRPr="009F72B8" w:rsidRDefault="00625261" w:rsidP="007D3B14">
            <w:pPr>
              <w:spacing w:before="0"/>
              <w:ind w:right="113"/>
              <w:jc w:val="left"/>
              <w:rPr>
                <w:sz w:val="17"/>
                <w:szCs w:val="17"/>
                <w:lang w:val="es-ES_tradnl"/>
              </w:rPr>
            </w:pPr>
            <w:r w:rsidRPr="009F72B8">
              <w:rPr>
                <w:sz w:val="17"/>
                <w:szCs w:val="17"/>
                <w:lang w:val="es-ES_tradnl"/>
              </w:rPr>
              <w:t>Desviación de frecuencia máxima (kHz)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Horizontal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Vertical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Mixta</w:t>
            </w:r>
          </w:p>
        </w:tc>
        <w:tc>
          <w:tcPr>
            <w:tcW w:w="68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Requisitos actuales</w:t>
            </w:r>
          </w:p>
        </w:tc>
        <w:tc>
          <w:tcPr>
            <w:tcW w:w="753" w:type="dxa"/>
            <w:tcBorders>
              <w:bottom w:val="nil"/>
            </w:tcBorders>
            <w:textDirection w:val="btLr"/>
            <w:vAlign w:val="center"/>
          </w:tcPr>
          <w:p w:rsidR="00625261" w:rsidRPr="009F72B8" w:rsidRDefault="00625261" w:rsidP="006D7D8A">
            <w:pPr>
              <w:spacing w:before="0"/>
              <w:ind w:right="113"/>
              <w:rPr>
                <w:sz w:val="17"/>
                <w:szCs w:val="17"/>
                <w:lang w:val="es-ES_tradnl"/>
              </w:rPr>
            </w:pPr>
            <w:r w:rsidRPr="009F72B8">
              <w:rPr>
                <w:sz w:val="17"/>
                <w:szCs w:val="17"/>
                <w:lang w:val="es-ES_tradnl"/>
              </w:rPr>
              <w:t>Objetivos de diseño a largo plazo</w:t>
            </w:r>
          </w:p>
        </w:tc>
      </w:tr>
      <w:tr w:rsidR="00625261" w:rsidRPr="00B76CD6" w:rsidTr="006D7D8A">
        <w:tc>
          <w:tcPr>
            <w:tcW w:w="3162" w:type="dxa"/>
            <w:vMerge/>
            <w:tcBorders>
              <w:bottom w:val="single" w:sz="4" w:space="0" w:color="auto"/>
            </w:tcBorders>
          </w:tcPr>
          <w:p w:rsidR="00625261" w:rsidRPr="009F72B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18"/>
                <w:szCs w:val="24"/>
                <w:lang w:val="es-ES_tradnl"/>
              </w:rPr>
            </w:pP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fr-CH"/>
              </w:rPr>
              <w:t>Espa</w:t>
            </w:r>
            <w:r w:rsidRPr="00C31C60">
              <w:rPr>
                <w:sz w:val="16"/>
                <w:szCs w:val="24"/>
                <w:lang w:val="en-GB"/>
              </w:rPr>
              <w:t>ñ</w:t>
            </w:r>
            <w:r w:rsidRPr="00C31C60">
              <w:rPr>
                <w:sz w:val="16"/>
                <w:szCs w:val="24"/>
                <w:lang w:val="fr-CH"/>
              </w:rPr>
              <w:t>a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es-ES_tradnl"/>
              </w:rPr>
              <w:t>Estados Unidos de América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6"/>
                <w:sz w:val="16"/>
                <w:szCs w:val="16"/>
                <w:lang w:val="en-US"/>
              </w:rPr>
            </w:pPr>
            <w:r w:rsidRPr="00613C22">
              <w:rPr>
                <w:spacing w:val="-16"/>
                <w:sz w:val="16"/>
                <w:szCs w:val="16"/>
                <w:lang w:val="en-US"/>
              </w:rPr>
              <w:t>87</w:t>
            </w:r>
            <w:r>
              <w:rPr>
                <w:spacing w:val="-16"/>
                <w:sz w:val="16"/>
                <w:szCs w:val="16"/>
                <w:lang w:val="en-US"/>
              </w:rPr>
              <w:t>,</w:t>
            </w:r>
            <w:r w:rsidRPr="00613C22">
              <w:rPr>
                <w:spacing w:val="-16"/>
                <w:sz w:val="16"/>
                <w:szCs w:val="16"/>
                <w:lang w:val="en-US"/>
              </w:rPr>
              <w:t>8</w:t>
            </w:r>
            <w:r w:rsidRPr="00613C22">
              <w:rPr>
                <w:spacing w:val="-16"/>
                <w:sz w:val="16"/>
                <w:szCs w:val="16"/>
                <w:lang w:val="en-US"/>
              </w:rPr>
              <w:br/>
              <w:t>108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25261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Finlandia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25261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Francia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20"/>
                <w:sz w:val="16"/>
                <w:szCs w:val="16"/>
                <w:lang w:val="en-US"/>
              </w:rPr>
            </w:pPr>
            <w:r w:rsidRPr="00613C22">
              <w:rPr>
                <w:spacing w:val="-20"/>
                <w:sz w:val="16"/>
                <w:szCs w:val="16"/>
                <w:lang w:val="en-US"/>
              </w:rPr>
              <w:t>20×10</w:t>
            </w:r>
            <w:r w:rsidRPr="00613C22">
              <w:rPr>
                <w:spacing w:val="-20"/>
                <w:sz w:val="16"/>
                <w:szCs w:val="16"/>
                <w:vertAlign w:val="superscript"/>
                <w:lang w:val="en-US"/>
              </w:rPr>
              <w:t>−6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972137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6"/>
                <w:szCs w:val="24"/>
                <w:lang w:val="en-US"/>
              </w:rPr>
            </w:pPr>
            <w:r w:rsidRPr="00C31C60">
              <w:rPr>
                <w:sz w:val="16"/>
                <w:szCs w:val="24"/>
                <w:lang w:val="es-ES_tradnl"/>
              </w:rPr>
              <w:t>Gambia (República de)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97213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6"/>
                <w:szCs w:val="24"/>
                <w:lang w:val="en-US"/>
              </w:rPr>
            </w:pPr>
          </w:p>
        </w:tc>
      </w:tr>
      <w:tr w:rsidR="00DF6FC7" w:rsidRPr="00051AED" w:rsidTr="006D7D8A">
        <w:trPr>
          <w:trHeight w:val="283"/>
        </w:trPr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Hungría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051AED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051AED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051AED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051AED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F6FC7" w:rsidRPr="0094074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940742"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F6FC7" w:rsidRPr="0046354B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46354B"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F6FC7" w:rsidRPr="0033296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33296D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051AED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India (República de la)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20"/>
                <w:sz w:val="16"/>
                <w:szCs w:val="16"/>
                <w:lang w:val="en-US"/>
              </w:rPr>
            </w:pPr>
            <w:r w:rsidRPr="00613C22">
              <w:rPr>
                <w:spacing w:val="-20"/>
                <w:sz w:val="16"/>
                <w:szCs w:val="16"/>
                <w:lang w:val="en-US"/>
              </w:rPr>
              <w:t>100-108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Irán (República Islámica del)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Italia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051AED" w:rsidTr="006D7D8A">
        <w:trPr>
          <w:trHeight w:val="283"/>
        </w:trPr>
        <w:tc>
          <w:tcPr>
            <w:tcW w:w="316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 w:eastAsia="zh-CN"/>
              </w:rPr>
            </w:pPr>
            <w:r w:rsidRPr="00C31C60">
              <w:rPr>
                <w:sz w:val="17"/>
                <w:szCs w:val="17"/>
                <w:lang w:val="fr-CH" w:eastAsia="zh-CN"/>
              </w:rPr>
              <w:t>Jap</w:t>
            </w:r>
            <w:r w:rsidRPr="00C31C60">
              <w:rPr>
                <w:sz w:val="17"/>
                <w:szCs w:val="17"/>
                <w:lang w:val="es-ES_tradnl" w:eastAsia="zh-CN"/>
              </w:rPr>
              <w:t>ó</w:t>
            </w:r>
            <w:r w:rsidRPr="00C31C60">
              <w:rPr>
                <w:sz w:val="17"/>
                <w:szCs w:val="17"/>
                <w:lang w:val="fr-CH" w:eastAsia="zh-CN"/>
              </w:rPr>
              <w:t>n</w:t>
            </w:r>
          </w:p>
        </w:tc>
        <w:tc>
          <w:tcPr>
            <w:tcW w:w="431" w:type="dxa"/>
            <w:vAlign w:val="center"/>
          </w:tcPr>
          <w:p w:rsidR="00DF6FC7" w:rsidRPr="00051AED" w:rsidDel="0046354B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DF6FC7" w:rsidRPr="00051AED" w:rsidDel="0046354B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z w:val="17"/>
                <w:szCs w:val="17"/>
                <w:lang w:val="en-US" w:eastAsia="zh-CN"/>
              </w:rPr>
              <w:t>X</w:t>
            </w:r>
          </w:p>
        </w:tc>
        <w:tc>
          <w:tcPr>
            <w:tcW w:w="431" w:type="dxa"/>
            <w:vAlign w:val="center"/>
          </w:tcPr>
          <w:p w:rsidR="00DF6FC7" w:rsidRPr="00051AED" w:rsidDel="0046354B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DF6FC7" w:rsidRPr="00051AED" w:rsidDel="0046354B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6"/>
                <w:szCs w:val="16"/>
                <w:lang w:val="en-US"/>
              </w:rPr>
            </w:pPr>
            <w:r w:rsidRPr="00613C22">
              <w:rPr>
                <w:rFonts w:hint="eastAsia"/>
                <w:spacing w:val="-12"/>
                <w:sz w:val="16"/>
                <w:szCs w:val="16"/>
                <w:lang w:val="en-US"/>
              </w:rPr>
              <w:t>76</w:t>
            </w:r>
            <w:r>
              <w:rPr>
                <w:spacing w:val="-12"/>
                <w:sz w:val="16"/>
                <w:szCs w:val="16"/>
                <w:lang w:val="en-US"/>
              </w:rPr>
              <w:t>-</w:t>
            </w:r>
          </w:p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6"/>
                <w:szCs w:val="16"/>
                <w:lang w:val="en-US"/>
              </w:rPr>
            </w:pPr>
            <w:r w:rsidRPr="00613C22">
              <w:rPr>
                <w:spacing w:val="-12"/>
                <w:sz w:val="16"/>
                <w:szCs w:val="16"/>
                <w:lang w:val="en-US"/>
              </w:rPr>
              <w:t>9</w:t>
            </w:r>
            <w:r>
              <w:rPr>
                <w:spacing w:val="-12"/>
                <w:sz w:val="16"/>
                <w:szCs w:val="16"/>
                <w:lang w:val="en-US"/>
              </w:rPr>
              <w:t>5</w:t>
            </w:r>
          </w:p>
        </w:tc>
        <w:tc>
          <w:tcPr>
            <w:tcW w:w="43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051AED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vAlign w:val="center"/>
          </w:tcPr>
          <w:p w:rsidR="00DF6FC7" w:rsidRPr="0046354B" w:rsidDel="0046354B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vAlign w:val="center"/>
          </w:tcPr>
          <w:p w:rsidR="00DF6FC7" w:rsidRPr="0046354B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vAlign w:val="center"/>
          </w:tcPr>
          <w:p w:rsidR="00DF6FC7" w:rsidRPr="0046354B" w:rsidDel="0046354B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DF6FC7" w:rsidRPr="00051A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Kuwait (Estado de)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Lituania (República de)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6"/>
                <w:szCs w:val="16"/>
                <w:lang w:val="en-US"/>
              </w:rPr>
            </w:pPr>
            <w:r w:rsidRPr="00613C22">
              <w:rPr>
                <w:spacing w:val="-12"/>
                <w:sz w:val="16"/>
                <w:szCs w:val="16"/>
                <w:lang w:val="en-US"/>
              </w:rPr>
              <w:t>30</w:t>
            </w:r>
            <w:r w:rsidRPr="00613C22">
              <w:rPr>
                <w:spacing w:val="-12"/>
                <w:sz w:val="16"/>
                <w:szCs w:val="16"/>
                <w:lang w:val="en-US"/>
              </w:rPr>
              <w:br/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6"/>
                <w:szCs w:val="16"/>
                <w:lang w:val="en-US"/>
              </w:rPr>
            </w:pPr>
            <w:r w:rsidRPr="00613C22">
              <w:rPr>
                <w:spacing w:val="-12"/>
                <w:sz w:val="16"/>
                <w:szCs w:val="16"/>
                <w:lang w:val="en-US"/>
              </w:rPr>
              <w:t>50</w:t>
            </w:r>
            <w:r w:rsidRPr="00613C22">
              <w:rPr>
                <w:spacing w:val="-12"/>
                <w:sz w:val="16"/>
                <w:szCs w:val="16"/>
                <w:lang w:val="en-US"/>
              </w:rPr>
              <w:br/>
              <w:t>75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6"/>
                <w:szCs w:val="16"/>
                <w:lang w:val="en-US"/>
              </w:rPr>
            </w:pPr>
            <w:r w:rsidRPr="00613C22">
              <w:rPr>
                <w:spacing w:val="-12"/>
                <w:sz w:val="16"/>
                <w:szCs w:val="16"/>
                <w:lang w:val="en-US"/>
              </w:rPr>
              <w:t>±50</w:t>
            </w:r>
            <w:r w:rsidRPr="00613C22">
              <w:rPr>
                <w:spacing w:val="-12"/>
                <w:sz w:val="16"/>
                <w:szCs w:val="16"/>
                <w:lang w:val="en-US"/>
              </w:rPr>
              <w:br/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Malí (República de)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Marruecos (Reino de)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A3536" w:rsidTr="00625261">
        <w:trPr>
          <w:trHeight w:val="283"/>
        </w:trPr>
        <w:tc>
          <w:tcPr>
            <w:tcW w:w="316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México</w:t>
            </w:r>
          </w:p>
        </w:tc>
        <w:tc>
          <w:tcPr>
            <w:tcW w:w="4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200</w:t>
            </w:r>
          </w:p>
        </w:tc>
        <w:tc>
          <w:tcPr>
            <w:tcW w:w="6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75</w:t>
            </w:r>
          </w:p>
        </w:tc>
        <w:tc>
          <w:tcPr>
            <w:tcW w:w="631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DF6FC7" w:rsidRPr="00DA3536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25261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fr-CH"/>
              </w:rPr>
              <w:t>Noruega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C278ED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6"/>
                <w:szCs w:val="16"/>
                <w:lang w:val="en-US"/>
              </w:rPr>
            </w:pPr>
            <w:r w:rsidRPr="00643D51">
              <w:rPr>
                <w:spacing w:val="-12"/>
                <w:sz w:val="12"/>
                <w:szCs w:val="12"/>
                <w:lang w:val="en-US"/>
              </w:rPr>
              <w:t>poco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625261" w:rsidRPr="005D1837" w:rsidRDefault="00625261" w:rsidP="00625261">
      <w:pPr>
        <w:pStyle w:val="TableNo"/>
        <w:keepNext w:val="0"/>
        <w:rPr>
          <w:lang w:val="es-ES_tradnl"/>
        </w:rPr>
      </w:pPr>
      <w:r>
        <w:br w:type="page"/>
      </w:r>
      <w:r w:rsidRPr="005D1837">
        <w:rPr>
          <w:lang w:val="es-ES_tradnl"/>
        </w:rPr>
        <w:lastRenderedPageBreak/>
        <w:t>CUADRO 1</w:t>
      </w:r>
      <w:r>
        <w:rPr>
          <w:lang w:val="es-ES_tradnl"/>
        </w:rPr>
        <w:t xml:space="preserve">A </w:t>
      </w:r>
      <w:r>
        <w:rPr>
          <w:lang w:val="es-ES_tradnl"/>
        </w:rPr>
        <w:t>(</w:t>
      </w:r>
      <w:r w:rsidRPr="00625261">
        <w:rPr>
          <w:i/>
          <w:iCs/>
          <w:lang w:val="es-ES_tradnl"/>
        </w:rPr>
        <w:t>fin</w:t>
      </w:r>
      <w:r>
        <w:rPr>
          <w:lang w:val="es-ES_tradnl"/>
        </w:rPr>
        <w:t>)</w:t>
      </w:r>
    </w:p>
    <w:tbl>
      <w:tblPr>
        <w:tblStyle w:val="TableGrid"/>
        <w:tblW w:w="14459" w:type="dxa"/>
        <w:tblLayout w:type="fixed"/>
        <w:tblLook w:val="04A0" w:firstRow="1" w:lastRow="0" w:firstColumn="1" w:lastColumn="0" w:noHBand="0" w:noVBand="1"/>
      </w:tblPr>
      <w:tblGrid>
        <w:gridCol w:w="3162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631"/>
        <w:gridCol w:w="432"/>
        <w:gridCol w:w="631"/>
        <w:gridCol w:w="631"/>
        <w:gridCol w:w="631"/>
        <w:gridCol w:w="432"/>
        <w:gridCol w:w="432"/>
        <w:gridCol w:w="432"/>
        <w:gridCol w:w="681"/>
        <w:gridCol w:w="753"/>
      </w:tblGrid>
      <w:tr w:rsidR="00625261" w:rsidRPr="00643D51" w:rsidTr="006D7D8A">
        <w:trPr>
          <w:trHeight w:val="283"/>
        </w:trPr>
        <w:tc>
          <w:tcPr>
            <w:tcW w:w="3162" w:type="dxa"/>
            <w:vMerge w:val="restart"/>
            <w:vAlign w:val="center"/>
          </w:tcPr>
          <w:p w:rsidR="00625261" w:rsidRPr="00C31C60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C31C60">
              <w:rPr>
                <w:b/>
                <w:bCs/>
                <w:sz w:val="20"/>
                <w:lang w:val="es-ES_tradnl"/>
              </w:rPr>
              <w:t>Pa</w:t>
            </w:r>
            <w:r w:rsidRPr="00C31C60">
              <w:rPr>
                <w:b/>
                <w:bCs/>
                <w:lang w:val="es-ES_tradnl"/>
              </w:rPr>
              <w:t>í</w:t>
            </w:r>
            <w:r w:rsidRPr="00C31C60">
              <w:rPr>
                <w:b/>
                <w:bCs/>
                <w:sz w:val="20"/>
                <w:lang w:val="es-ES_tradnl"/>
              </w:rPr>
              <w:t>s/zona geográfica</w:t>
            </w:r>
          </w:p>
        </w:tc>
        <w:tc>
          <w:tcPr>
            <w:tcW w:w="1724" w:type="dxa"/>
            <w:gridSpan w:val="4"/>
            <w:vMerge w:val="restart"/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Acuerdos internacionales</w:t>
            </w:r>
          </w:p>
        </w:tc>
        <w:tc>
          <w:tcPr>
            <w:tcW w:w="8139" w:type="dxa"/>
            <w:gridSpan w:val="17"/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Información relativa a aplicaciones de emisiones actuales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Tolerancias en la frecuencia del transmisor (Artículo 1 del RR)</w:t>
            </w:r>
          </w:p>
        </w:tc>
      </w:tr>
      <w:tr w:rsidR="00625261" w:rsidRPr="00B76CD6" w:rsidTr="006D7D8A">
        <w:trPr>
          <w:trHeight w:val="624"/>
        </w:trPr>
        <w:tc>
          <w:tcPr>
            <w:tcW w:w="3162" w:type="dxa"/>
            <w:vMerge/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72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</w:p>
        </w:tc>
        <w:tc>
          <w:tcPr>
            <w:tcW w:w="3023" w:type="dxa"/>
            <w:gridSpan w:val="7"/>
            <w:tcBorders>
              <w:bottom w:val="single" w:sz="4" w:space="0" w:color="auto"/>
            </w:tcBorders>
            <w:vAlign w:val="center"/>
          </w:tcPr>
          <w:p w:rsidR="00625261" w:rsidRPr="00643D51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s-ES_tradnl"/>
              </w:rPr>
            </w:pPr>
            <w:r w:rsidRPr="00643D51">
              <w:rPr>
                <w:b/>
                <w:sz w:val="17"/>
                <w:szCs w:val="17"/>
                <w:lang w:val="es-ES_tradnl"/>
              </w:rPr>
              <w:t>Bandas de frecuencias utilizadas (MHz)</w:t>
            </w:r>
          </w:p>
        </w:tc>
        <w:tc>
          <w:tcPr>
            <w:tcW w:w="3820" w:type="dxa"/>
            <w:gridSpan w:val="7"/>
            <w:tcBorders>
              <w:bottom w:val="single" w:sz="4" w:space="0" w:color="auto"/>
            </w:tcBorders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Características de la modulación</w:t>
            </w: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  <w:r w:rsidRPr="00643D51">
              <w:rPr>
                <w:b/>
                <w:sz w:val="17"/>
                <w:szCs w:val="17"/>
                <w:lang w:val="en-GB"/>
              </w:rPr>
              <w:t>Polarización</w:t>
            </w:r>
          </w:p>
        </w:tc>
        <w:tc>
          <w:tcPr>
            <w:tcW w:w="14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b/>
                <w:sz w:val="17"/>
                <w:szCs w:val="17"/>
                <w:lang w:val="en-US"/>
              </w:rPr>
            </w:pPr>
          </w:p>
        </w:tc>
      </w:tr>
      <w:tr w:rsidR="00625261" w:rsidRPr="009F72B8" w:rsidTr="006D7D8A">
        <w:trPr>
          <w:cantSplit/>
          <w:trHeight w:val="1680"/>
        </w:trPr>
        <w:tc>
          <w:tcPr>
            <w:tcW w:w="3162" w:type="dxa"/>
            <w:vMerge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pStyle w:val="Repdate"/>
              <w:keepNext w:val="0"/>
              <w:keepLines w:val="0"/>
              <w:spacing w:before="0"/>
              <w:ind w:right="113"/>
              <w:jc w:val="left"/>
              <w:rPr>
                <w:sz w:val="17"/>
                <w:szCs w:val="17"/>
                <w:lang w:val="en-US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Ginebra </w:t>
            </w:r>
            <w:r w:rsidRPr="00051AED">
              <w:rPr>
                <w:sz w:val="17"/>
                <w:szCs w:val="17"/>
                <w:lang w:val="en-US"/>
              </w:rPr>
              <w:t>60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Estocolmo </w:t>
            </w:r>
            <w:r w:rsidRPr="00051AED">
              <w:rPr>
                <w:sz w:val="17"/>
                <w:szCs w:val="17"/>
                <w:lang w:val="en-US"/>
              </w:rPr>
              <w:t>61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 xml:space="preserve">Ginebra </w:t>
            </w:r>
            <w:r w:rsidRPr="00051AED">
              <w:rPr>
                <w:sz w:val="17"/>
                <w:szCs w:val="17"/>
                <w:lang w:val="en-US"/>
              </w:rPr>
              <w:t>84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Otros</w:t>
            </w:r>
          </w:p>
        </w:tc>
        <w:tc>
          <w:tcPr>
            <w:tcW w:w="4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66-68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68-73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73-74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76-87</w:t>
            </w:r>
            <w:r>
              <w:rPr>
                <w:sz w:val="17"/>
                <w:szCs w:val="17"/>
                <w:lang w:val="en-US"/>
              </w:rPr>
              <w:t>,</w:t>
            </w:r>
            <w:r w:rsidRPr="00051AED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87</w:t>
            </w:r>
            <w:r>
              <w:rPr>
                <w:sz w:val="17"/>
                <w:szCs w:val="17"/>
                <w:lang w:val="en-US"/>
              </w:rPr>
              <w:t>,</w:t>
            </w:r>
            <w:r w:rsidRPr="00051AED">
              <w:rPr>
                <w:sz w:val="17"/>
                <w:szCs w:val="17"/>
                <w:lang w:val="en-US"/>
              </w:rPr>
              <w:t>5-108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88.0-108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Otros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>Monofónica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B36525">
              <w:rPr>
                <w:sz w:val="17"/>
                <w:szCs w:val="17"/>
                <w:lang w:val="en-GB"/>
              </w:rPr>
              <w:t>Estereofónica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Sistema de modulación polar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7D3B14">
            <w:pPr>
              <w:spacing w:before="0"/>
              <w:ind w:right="113"/>
              <w:jc w:val="left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Sistema de frecuencia piloto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625261" w:rsidRPr="00221A37" w:rsidRDefault="00625261" w:rsidP="007D3B14">
            <w:pPr>
              <w:spacing w:before="0"/>
              <w:ind w:right="113"/>
              <w:jc w:val="left"/>
              <w:rPr>
                <w:sz w:val="17"/>
                <w:szCs w:val="17"/>
                <w:lang w:val="fr-CH"/>
              </w:rPr>
            </w:pPr>
            <w:r w:rsidRPr="009F72B8">
              <w:rPr>
                <w:sz w:val="17"/>
                <w:szCs w:val="17"/>
                <w:lang w:val="en-GB"/>
              </w:rPr>
              <w:t>Separación entre canales</w:t>
            </w:r>
            <w:r w:rsidRPr="00221A37">
              <w:rPr>
                <w:sz w:val="17"/>
                <w:szCs w:val="17"/>
                <w:lang w:val="fr-CH"/>
              </w:rPr>
              <w:t xml:space="preserve"> </w:t>
            </w:r>
            <w:r w:rsidR="007D3B14" w:rsidRPr="007D3B14">
              <w:rPr>
                <w:sz w:val="17"/>
                <w:szCs w:val="17"/>
                <w:vertAlign w:val="superscript"/>
                <w:lang w:val="fr-CH"/>
              </w:rPr>
              <w:t>(1)</w:t>
            </w:r>
            <w:r w:rsidR="007D3B14" w:rsidRPr="00221A37">
              <w:rPr>
                <w:sz w:val="17"/>
                <w:szCs w:val="17"/>
                <w:lang w:val="fr-CH"/>
              </w:rPr>
              <w:t xml:space="preserve"> </w:t>
            </w:r>
            <w:r w:rsidRPr="00221A37">
              <w:rPr>
                <w:sz w:val="17"/>
                <w:szCs w:val="17"/>
                <w:lang w:val="fr-CH"/>
              </w:rPr>
              <w:t>(kHz)</w:t>
            </w:r>
            <w:r w:rsidRPr="00221A37">
              <w:rPr>
                <w:rStyle w:val="FootnoteReference"/>
                <w:szCs w:val="17"/>
                <w:lang w:val="fr-CH"/>
              </w:rPr>
              <w:t xml:space="preserve"> 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625261" w:rsidRPr="00E0677A" w:rsidRDefault="00625261" w:rsidP="007D3B14">
            <w:pPr>
              <w:spacing w:before="0"/>
              <w:ind w:right="113"/>
              <w:jc w:val="left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 xml:space="preserve">Preacentuación/ desacentuación </w:t>
            </w:r>
            <w:r w:rsidRPr="00051AED">
              <w:rPr>
                <w:sz w:val="17"/>
                <w:szCs w:val="17"/>
                <w:lang w:val="en-US"/>
              </w:rPr>
              <w:t>(μs)</w:t>
            </w:r>
          </w:p>
        </w:tc>
        <w:tc>
          <w:tcPr>
            <w:tcW w:w="631" w:type="dxa"/>
            <w:tcBorders>
              <w:bottom w:val="nil"/>
            </w:tcBorders>
            <w:textDirection w:val="btLr"/>
            <w:vAlign w:val="center"/>
          </w:tcPr>
          <w:p w:rsidR="00625261" w:rsidRPr="009F72B8" w:rsidRDefault="00625261" w:rsidP="007D3B14">
            <w:pPr>
              <w:spacing w:before="0"/>
              <w:ind w:right="113"/>
              <w:jc w:val="left"/>
              <w:rPr>
                <w:sz w:val="17"/>
                <w:szCs w:val="17"/>
                <w:lang w:val="es-ES_tradnl"/>
              </w:rPr>
            </w:pPr>
            <w:r w:rsidRPr="009F72B8">
              <w:rPr>
                <w:sz w:val="17"/>
                <w:szCs w:val="17"/>
                <w:lang w:val="es-ES_tradnl"/>
              </w:rPr>
              <w:t>Desviación de frecuencia máxima (kHz)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Horizontal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051AED">
              <w:rPr>
                <w:sz w:val="17"/>
                <w:szCs w:val="17"/>
                <w:lang w:val="en-US"/>
              </w:rPr>
              <w:t>Vertical</w:t>
            </w:r>
          </w:p>
        </w:tc>
        <w:tc>
          <w:tcPr>
            <w:tcW w:w="432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Mixta</w:t>
            </w:r>
          </w:p>
        </w:tc>
        <w:tc>
          <w:tcPr>
            <w:tcW w:w="681" w:type="dxa"/>
            <w:tcBorders>
              <w:bottom w:val="nil"/>
            </w:tcBorders>
            <w:textDirection w:val="btLr"/>
            <w:vAlign w:val="center"/>
          </w:tcPr>
          <w:p w:rsidR="00625261" w:rsidRPr="00051AED" w:rsidRDefault="00625261" w:rsidP="006D7D8A">
            <w:pPr>
              <w:spacing w:before="0"/>
              <w:ind w:right="113"/>
              <w:rPr>
                <w:sz w:val="17"/>
                <w:szCs w:val="17"/>
              </w:rPr>
            </w:pPr>
            <w:r w:rsidRPr="009F72B8">
              <w:rPr>
                <w:sz w:val="17"/>
                <w:szCs w:val="17"/>
                <w:lang w:val="en-GB"/>
              </w:rPr>
              <w:t>Requisitos actuales</w:t>
            </w:r>
          </w:p>
        </w:tc>
        <w:tc>
          <w:tcPr>
            <w:tcW w:w="753" w:type="dxa"/>
            <w:tcBorders>
              <w:bottom w:val="nil"/>
            </w:tcBorders>
            <w:textDirection w:val="btLr"/>
            <w:vAlign w:val="center"/>
          </w:tcPr>
          <w:p w:rsidR="00625261" w:rsidRPr="009F72B8" w:rsidRDefault="00625261" w:rsidP="006D7D8A">
            <w:pPr>
              <w:spacing w:before="0"/>
              <w:ind w:right="113"/>
              <w:rPr>
                <w:sz w:val="17"/>
                <w:szCs w:val="17"/>
                <w:lang w:val="es-ES_tradnl"/>
              </w:rPr>
            </w:pPr>
            <w:r w:rsidRPr="009F72B8">
              <w:rPr>
                <w:sz w:val="17"/>
                <w:szCs w:val="17"/>
                <w:lang w:val="es-ES_tradnl"/>
              </w:rPr>
              <w:t>Objetivos de diseño a largo plazo</w:t>
            </w:r>
          </w:p>
        </w:tc>
      </w:tr>
      <w:tr w:rsidR="00625261" w:rsidRPr="00B76CD6" w:rsidTr="006D7D8A">
        <w:tc>
          <w:tcPr>
            <w:tcW w:w="3162" w:type="dxa"/>
            <w:vMerge/>
            <w:tcBorders>
              <w:bottom w:val="single" w:sz="4" w:space="0" w:color="auto"/>
            </w:tcBorders>
          </w:tcPr>
          <w:p w:rsidR="00625261" w:rsidRPr="009F72B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18"/>
                <w:szCs w:val="24"/>
                <w:lang w:val="es-ES_tradnl"/>
              </w:rPr>
            </w:pP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3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  <w:r w:rsidRPr="00160E58">
              <w:rPr>
                <w:sz w:val="20"/>
                <w:szCs w:val="24"/>
                <w:lang w:val="en-US"/>
              </w:rPr>
              <w:t>□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625261" w:rsidRPr="00160E58" w:rsidRDefault="00625261" w:rsidP="006D7D8A">
            <w:pPr>
              <w:pStyle w:val="Repdate"/>
              <w:keepNext w:val="0"/>
              <w:keepLines w:val="0"/>
              <w:spacing w:before="0"/>
              <w:jc w:val="center"/>
              <w:rPr>
                <w:sz w:val="20"/>
                <w:szCs w:val="24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fr-CH"/>
              </w:rPr>
              <w:t>Nueva Zelandia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427FAF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20"/>
                <w:sz w:val="10"/>
                <w:szCs w:val="10"/>
                <w:lang w:val="en-US"/>
              </w:rPr>
            </w:pPr>
            <w:r w:rsidRPr="00427FAF">
              <w:rPr>
                <w:spacing w:val="-20"/>
                <w:sz w:val="10"/>
                <w:szCs w:val="10"/>
                <w:lang w:val="en-US"/>
              </w:rPr>
              <w:t xml:space="preserve">Rec. </w:t>
            </w:r>
            <w:r>
              <w:rPr>
                <w:spacing w:val="-20"/>
                <w:sz w:val="10"/>
                <w:szCs w:val="10"/>
                <w:lang w:val="en-US"/>
              </w:rPr>
              <w:t>UIT-R</w:t>
            </w:r>
            <w:r w:rsidRPr="00427FAF">
              <w:rPr>
                <w:spacing w:val="-20"/>
                <w:sz w:val="10"/>
                <w:szCs w:val="10"/>
                <w:lang w:val="en-US"/>
              </w:rPr>
              <w:t xml:space="preserve"> BS.412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C3620C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6"/>
                <w:szCs w:val="16"/>
                <w:lang w:val="en-US"/>
              </w:rPr>
            </w:pPr>
            <w:r w:rsidRPr="00C3620C">
              <w:rPr>
                <w:spacing w:val="-12"/>
                <w:sz w:val="16"/>
                <w:szCs w:val="16"/>
                <w:lang w:val="en-US"/>
              </w:rPr>
              <w:t>88-100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Omán (Sultanía de)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Papua Nueva Guinea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C31C60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s-ES_tradnl"/>
              </w:rPr>
            </w:pPr>
            <w:r w:rsidRPr="00C31C60">
              <w:rPr>
                <w:sz w:val="17"/>
                <w:szCs w:val="17"/>
                <w:lang w:val="es-ES_tradnl"/>
              </w:rPr>
              <w:t>Países Bajos (Reino de los)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C31C60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s-ES_tradnl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C31C60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s-ES_tradnl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es-ES_tradnl"/>
              </w:rPr>
              <w:t>Qatar (Estado de)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200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n-US"/>
              </w:rPr>
            </w:pPr>
            <w:r w:rsidRPr="00C31C60">
              <w:rPr>
                <w:sz w:val="17"/>
                <w:szCs w:val="17"/>
                <w:lang w:val="fr-CH"/>
              </w:rPr>
              <w:t>Rep</w:t>
            </w:r>
            <w:r w:rsidRPr="00C31C60">
              <w:rPr>
                <w:sz w:val="17"/>
                <w:szCs w:val="17"/>
                <w:lang w:val="es-ES_tradnl"/>
              </w:rPr>
              <w:t>ú</w:t>
            </w:r>
            <w:r w:rsidRPr="00C31C60">
              <w:rPr>
                <w:sz w:val="17"/>
                <w:szCs w:val="17"/>
                <w:lang w:val="fr-CH"/>
              </w:rPr>
              <w:t>blica Checa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42435A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  <w:lang w:val="es-ES_tradnl"/>
              </w:rPr>
            </w:pPr>
            <w:r w:rsidRPr="0042435A">
              <w:rPr>
                <w:sz w:val="17"/>
                <w:szCs w:val="17"/>
                <w:lang w:val="es-ES_tradnl"/>
              </w:rPr>
              <w:t>Reino Unido de Gran Bretaña e Irlanda del Norte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42435A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s-ES_tradnl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42435A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s-ES_tradnl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940742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  <w:lang w:val="fr-CH"/>
              </w:rPr>
              <w:t>Rwandesa (Rep</w:t>
            </w:r>
            <w:r w:rsidRPr="0042435A">
              <w:rPr>
                <w:sz w:val="17"/>
                <w:szCs w:val="17"/>
                <w:lang w:val="es-ES_tradnl"/>
              </w:rPr>
              <w:t>ú</w:t>
            </w:r>
            <w:r w:rsidRPr="0042435A">
              <w:rPr>
                <w:sz w:val="17"/>
                <w:szCs w:val="17"/>
                <w:lang w:val="fr-CH"/>
              </w:rPr>
              <w:t>blica)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  <w:lang w:val="es-ES_tradnl"/>
              </w:rPr>
              <w:t>Senegal (República del)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940742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  <w:lang w:val="es-ES_tradnl"/>
              </w:rPr>
              <w:t>Singapur (República de)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300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940742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  <w:lang w:val="es-ES_tradnl"/>
              </w:rPr>
              <w:t>Eslovenia (República de)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940742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  <w:lang w:val="fr-CH"/>
              </w:rPr>
              <w:t>Sudafricana (Rep</w:t>
            </w:r>
            <w:r w:rsidRPr="0042435A">
              <w:rPr>
                <w:sz w:val="17"/>
                <w:szCs w:val="17"/>
                <w:lang w:val="es-ES_tradnl"/>
              </w:rPr>
              <w:t>ú</w:t>
            </w:r>
            <w:r w:rsidRPr="0042435A">
              <w:rPr>
                <w:sz w:val="17"/>
                <w:szCs w:val="17"/>
                <w:lang w:val="fr-CH"/>
              </w:rPr>
              <w:t>blica)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940742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  <w:lang w:val="fr-CH"/>
              </w:rPr>
              <w:t>Suecia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  <w:lang w:val="fr-CH"/>
              </w:rPr>
              <w:t>Suiza (Confederaci</w:t>
            </w:r>
            <w:r w:rsidRPr="0042435A">
              <w:rPr>
                <w:sz w:val="17"/>
                <w:szCs w:val="17"/>
                <w:lang w:val="es-ES_tradnl"/>
              </w:rPr>
              <w:t>ó</w:t>
            </w:r>
            <w:r w:rsidRPr="0042435A">
              <w:rPr>
                <w:sz w:val="17"/>
                <w:szCs w:val="17"/>
                <w:lang w:val="fr-CH"/>
              </w:rPr>
              <w:t>n)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643D51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2"/>
                <w:szCs w:val="12"/>
                <w:lang w:val="en-US"/>
              </w:rPr>
            </w:pPr>
            <w:r w:rsidRPr="00643D51">
              <w:rPr>
                <w:spacing w:val="-12"/>
                <w:sz w:val="12"/>
                <w:szCs w:val="12"/>
                <w:lang w:val="en-US"/>
              </w:rPr>
              <w:t>poco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613C22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pacing w:val="-12"/>
                <w:sz w:val="16"/>
                <w:szCs w:val="16"/>
                <w:lang w:val="en-US"/>
              </w:rPr>
            </w:pPr>
            <w:r w:rsidRPr="00643D51">
              <w:rPr>
                <w:spacing w:val="-12"/>
                <w:sz w:val="12"/>
                <w:szCs w:val="12"/>
                <w:lang w:val="en-US"/>
              </w:rPr>
              <w:t>poco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940742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  <w:lang w:val="fr-CH"/>
              </w:rPr>
              <w:t>Turqu</w:t>
            </w:r>
            <w:r w:rsidRPr="0042435A">
              <w:rPr>
                <w:sz w:val="17"/>
                <w:szCs w:val="17"/>
                <w:lang w:val="es-ES_tradnl"/>
              </w:rPr>
              <w:t>í</w:t>
            </w:r>
            <w:r w:rsidRPr="0042435A">
              <w:rPr>
                <w:sz w:val="17"/>
                <w:szCs w:val="17"/>
                <w:lang w:val="fr-CH"/>
              </w:rPr>
              <w:t>a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75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</w:t>
            </w:r>
            <w:r>
              <w:rPr>
                <w:sz w:val="17"/>
                <w:szCs w:val="17"/>
                <w:lang w:val="en-US"/>
              </w:rPr>
              <w:t>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DF6FC7" w:rsidRPr="00DB1B03" w:rsidTr="006D7D8A">
        <w:trPr>
          <w:trHeight w:val="283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Default="00DF6FC7" w:rsidP="00625261">
            <w:pPr>
              <w:pStyle w:val="Repdate"/>
              <w:keepNext w:val="0"/>
              <w:keepLines w:val="0"/>
              <w:spacing w:before="0"/>
              <w:jc w:val="left"/>
              <w:rPr>
                <w:sz w:val="17"/>
                <w:szCs w:val="17"/>
              </w:rPr>
            </w:pPr>
            <w:r w:rsidRPr="0042435A">
              <w:rPr>
                <w:sz w:val="17"/>
                <w:szCs w:val="17"/>
              </w:rPr>
              <w:t>Ucrania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Del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30</w:t>
            </w:r>
            <w:r>
              <w:rPr>
                <w:sz w:val="17"/>
                <w:szCs w:val="17"/>
                <w:lang w:val="en-US"/>
              </w:rPr>
              <w:br/>
              <w:t>100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50</w:t>
            </w:r>
            <w:r>
              <w:rPr>
                <w:sz w:val="17"/>
                <w:szCs w:val="17"/>
                <w:lang w:val="en-US"/>
              </w:rPr>
              <w:br/>
              <w:t>75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 w:rsidRPr="00DB1B03">
              <w:rPr>
                <w:sz w:val="17"/>
                <w:szCs w:val="17"/>
                <w:lang w:val="en-US"/>
              </w:rPr>
              <w:t>±5</w:t>
            </w: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  <w:lang w:val="en-US"/>
              </w:rPr>
              <w:br/>
            </w:r>
            <w:r w:rsidRPr="00DB1B03">
              <w:rPr>
                <w:sz w:val="17"/>
                <w:szCs w:val="17"/>
                <w:lang w:val="en-US"/>
              </w:rPr>
              <w:t>±75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6FC7" w:rsidRPr="00DB1B03" w:rsidRDefault="00DF6FC7" w:rsidP="00625261">
            <w:pPr>
              <w:pStyle w:val="Repdate"/>
              <w:keepNext w:val="0"/>
              <w:keepLines w:val="0"/>
              <w:spacing w:before="0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000000" w:rsidRDefault="00CA0101">
      <w:pPr>
        <w:pStyle w:val="TableNo"/>
        <w:rPr>
          <w:lang w:val="es-ES_tradnl"/>
        </w:rPr>
      </w:pPr>
      <w:r>
        <w:rPr>
          <w:lang w:val="es-ES_tradnl"/>
        </w:rPr>
        <w:lastRenderedPageBreak/>
        <w:t>CUADRO  1b</w:t>
      </w:r>
    </w:p>
    <w:p w:rsidR="00000000" w:rsidRDefault="00CA0101">
      <w:pPr>
        <w:pStyle w:val="Tabletitle"/>
        <w:rPr>
          <w:lang w:val="es-ES_tradnl"/>
        </w:rPr>
      </w:pPr>
      <w:r>
        <w:rPr>
          <w:lang w:val="es-ES_tradnl"/>
        </w:rPr>
        <w:t>Radiodifusión sonora terrenal con modulación de frecuencia (por encima de 30 MHz)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1814"/>
        <w:gridCol w:w="794"/>
        <w:gridCol w:w="794"/>
        <w:gridCol w:w="1871"/>
        <w:gridCol w:w="1814"/>
        <w:gridCol w:w="1814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Pa</w:t>
            </w:r>
            <w:r>
              <w:rPr>
                <w:lang w:val="es-ES_tradnl"/>
              </w:rPr>
              <w:t>í</w:t>
            </w:r>
            <w:r>
              <w:rPr>
                <w:sz w:val="20"/>
                <w:lang w:val="es-ES_tradnl"/>
              </w:rPr>
              <w:t>s/zona geográfica</w:t>
            </w: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Información relativa a aplicaciones de recepción actuales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Información adicional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Observaciones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FI recomen</w:t>
            </w:r>
            <w:r>
              <w:rPr>
                <w:sz w:val="20"/>
                <w:lang w:val="es-ES_tradnl"/>
              </w:rPr>
              <w:t>dada o utilizada</w:t>
            </w:r>
            <w:r>
              <w:rPr>
                <w:sz w:val="20"/>
                <w:lang w:val="es-ES_tradnl"/>
              </w:rPr>
              <w:br/>
              <w:t>(MHz)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Posición del oscilador</w:t>
            </w:r>
          </w:p>
        </w:tc>
        <w:tc>
          <w:tcPr>
            <w:tcW w:w="18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ind w:left="-113" w:right="-1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Requisitos de inmunidad electromagnética de los receptores</w:t>
            </w: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Compresor o sistemas del compansor</w:t>
            </w: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Información suplementaria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Alta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Baja</w:t>
            </w: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Alemania (República Federal 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EN 55 020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</w:t>
            </w:r>
            <w:r>
              <w:rPr>
                <w:lang w:val="es-ES_tradnl"/>
              </w:rPr>
              <w:t>í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ARI, 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10" w:lineRule="exact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Preacentuación variable en el emplazamiento del transmisor para evitar un exceso en los </w:t>
            </w:r>
            <w:r>
              <w:rPr>
                <w:rFonts w:ascii="Symbol" w:hAnsi="Symbol"/>
                <w:sz w:val="21"/>
              </w:rPr>
              <w:t></w:t>
            </w:r>
            <w:r>
              <w:rPr>
                <w:rFonts w:ascii="Tms Rmn" w:hAnsi="Tms Rmn"/>
                <w:sz w:val="4"/>
                <w:szCs w:val="12"/>
                <w:lang w:val="es-ES_tradnl"/>
              </w:rPr>
              <w:t> </w:t>
            </w:r>
            <w:r>
              <w:rPr>
                <w:sz w:val="20"/>
                <w:lang w:val="es-ES_tradnl"/>
              </w:rPr>
              <w:t>75 kHz de desviación de frecuencia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Aruba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Australia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left="-113" w:right="-113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ACS en 57 kHz (RDS)</w:t>
            </w:r>
            <w:r>
              <w:rPr>
                <w:sz w:val="20"/>
                <w:lang w:val="es-ES_tradnl"/>
              </w:rPr>
              <w:br/>
              <w:t>67 kHz y por debajo de 95 kHz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Bahamas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pacing w:val="-5"/>
                <w:sz w:val="20"/>
                <w:lang w:val="es-ES_tradnl"/>
              </w:rPr>
              <w:t>Bangladesh (Rep</w:t>
            </w:r>
            <w:r>
              <w:rPr>
                <w:sz w:val="20"/>
                <w:lang w:val="es-ES_tradnl"/>
              </w:rPr>
              <w:t>ú</w:t>
            </w:r>
            <w:r>
              <w:rPr>
                <w:spacing w:val="-5"/>
                <w:sz w:val="20"/>
                <w:lang w:val="es-ES_tradnl"/>
              </w:rPr>
              <w:t>blica Popular 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</w:p>
        </w:tc>
      </w:tr>
      <w:tr w:rsidR="005D1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 w:rsidRPr="005D1837">
              <w:rPr>
                <w:sz w:val="20"/>
              </w:rPr>
              <w:t>Brasil (República Federativa del)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left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pacing w:val="-5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Chipre (República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113"/>
              <w:jc w:val="left"/>
              <w:rPr>
                <w:spacing w:val="-5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Ciudad del Vaticano (Estado de la)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left="-57" w:right="-57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Compresi</w:t>
            </w:r>
            <w:r>
              <w:rPr>
                <w:sz w:val="20"/>
                <w:lang w:val="es-ES_tradnl"/>
              </w:rPr>
              <w:t>ó</w:t>
            </w:r>
            <w:r>
              <w:rPr>
                <w:sz w:val="20"/>
                <w:lang w:val="fr-CH"/>
              </w:rPr>
              <w:t xml:space="preserve">n </w:t>
            </w:r>
            <w:r>
              <w:rPr>
                <w:rFonts w:ascii="Symbol" w:hAnsi="Symbol"/>
                <w:sz w:val="20"/>
              </w:rPr>
              <w:t></w:t>
            </w:r>
            <w:r>
              <w:rPr>
                <w:sz w:val="20"/>
                <w:lang w:val="fr-CH"/>
              </w:rPr>
              <w:t>10 dB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pacing w:val="-5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Colombia (República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SCA (67 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Corea (República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left="-57" w:right="-57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Optimod FM 8200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Dinamarca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EMC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</w:t>
            </w:r>
            <w:r>
              <w:rPr>
                <w:lang w:val="es-ES_tradnl"/>
              </w:rPr>
              <w:t>í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Ecuador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Espa</w:t>
            </w:r>
            <w:r>
              <w:rPr>
                <w:sz w:val="20"/>
              </w:rPr>
              <w:t>ñ</w:t>
            </w:r>
            <w:r>
              <w:rPr>
                <w:sz w:val="20"/>
                <w:lang w:val="fr-CH"/>
              </w:rPr>
              <w:t>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  <w:lang w:val="fr-CH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left="-57" w:right="-57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RDS, SCA (67 kHz)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Estados Unidos de América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 definida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FCC 47 CFR 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Facultativo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left="-113" w:right="-113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SCA RBDS (RDS)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Finlandia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Compresor ORBAN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es-ES_tradnl"/>
              </w:rPr>
            </w:pPr>
          </w:p>
        </w:tc>
      </w:tr>
    </w:tbl>
    <w:p w:rsidR="00000000" w:rsidRDefault="00CA0101">
      <w:pPr>
        <w:pStyle w:val="Tablefin"/>
        <w:spacing w:before="0"/>
        <w:rPr>
          <w:sz w:val="2"/>
          <w:lang w:val="es-ES_tradnl"/>
        </w:rPr>
      </w:pPr>
    </w:p>
    <w:p w:rsidR="00000000" w:rsidRDefault="00CA0101">
      <w:pPr>
        <w:spacing w:after="120"/>
        <w:jc w:val="center"/>
        <w:rPr>
          <w:lang w:val="es-ES_tradnl"/>
        </w:rPr>
      </w:pPr>
      <w:r>
        <w:rPr>
          <w:lang w:val="es-ES_tradnl"/>
        </w:rPr>
        <w:br w:type="page"/>
      </w:r>
      <w:r>
        <w:rPr>
          <w:lang w:val="es-ES_tradnl"/>
        </w:rPr>
        <w:lastRenderedPageBreak/>
        <w:t>CUADRO  1b (</w:t>
      </w:r>
      <w:r>
        <w:rPr>
          <w:i/>
          <w:iCs/>
          <w:lang w:val="es-ES_tradnl"/>
        </w:rPr>
        <w:t>Continuación</w:t>
      </w:r>
      <w:r>
        <w:rPr>
          <w:lang w:val="es-ES_tradnl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1814"/>
        <w:gridCol w:w="794"/>
        <w:gridCol w:w="794"/>
        <w:gridCol w:w="1871"/>
        <w:gridCol w:w="1814"/>
        <w:gridCol w:w="1814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Pa</w:t>
            </w:r>
            <w:r>
              <w:rPr>
                <w:lang w:val="es-ES_tradnl"/>
              </w:rPr>
              <w:t>í</w:t>
            </w:r>
            <w:r>
              <w:rPr>
                <w:sz w:val="20"/>
                <w:lang w:val="es-ES_tradnl"/>
              </w:rPr>
              <w:t>s/zona geográfica</w:t>
            </w: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</w:t>
            </w:r>
            <w:r>
              <w:rPr>
                <w:sz w:val="20"/>
                <w:lang w:val="es-ES_tradnl"/>
              </w:rPr>
              <w:t>ión relativa a aplicaciones de recepción actuales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Información adicional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Observaciones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FI recomendada o utilizada</w:t>
            </w:r>
            <w:r>
              <w:rPr>
                <w:sz w:val="20"/>
                <w:lang w:val="es-ES_tradnl"/>
              </w:rPr>
              <w:br/>
              <w:t>(MHz)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Posición del oscilador</w:t>
            </w:r>
          </w:p>
        </w:tc>
        <w:tc>
          <w:tcPr>
            <w:tcW w:w="18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ind w:left="-113" w:right="-1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Requisitos de inmunidad electromagnética de los receptores</w:t>
            </w: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Compresor o sistemas del compansor</w:t>
            </w: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Información suplem</w:t>
            </w:r>
            <w:r>
              <w:rPr>
                <w:sz w:val="20"/>
                <w:lang w:val="es-ES_tradnl"/>
              </w:rPr>
              <w:t>entaria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Alta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Baja</w:t>
            </w: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Francia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</w:t>
            </w:r>
            <w:r>
              <w:rPr>
                <w:lang w:val="es-ES_tradnl"/>
              </w:rPr>
              <w:t>í</w:t>
            </w:r>
            <w:r>
              <w:rPr>
                <w:sz w:val="20"/>
                <w:lang w:val="es-ES_tradnl"/>
              </w:rPr>
              <w:t>, principalmente en radiocomu</w:t>
            </w:r>
            <w:r>
              <w:rPr>
                <w:sz w:val="20"/>
                <w:lang w:val="es-ES_tradnl"/>
              </w:rPr>
              <w:softHyphen/>
              <w:t>nicaciones locales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Servicio con MF en la banda de ondas métricas con frecuencia síncrona en modo estereofónico para vehículos circulando por carreteras. Tolerancia de frecuencia entre transmisores: 10</w:t>
            </w:r>
            <w:r>
              <w:rPr>
                <w:position w:val="6"/>
                <w:sz w:val="16"/>
                <w:lang w:val="es-ES_tradnl"/>
              </w:rPr>
              <w:t>–9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Gambia (Repú</w:t>
            </w:r>
            <w:r>
              <w:rPr>
                <w:sz w:val="20"/>
                <w:lang w:val="es-ES_tradnl"/>
              </w:rPr>
              <w:t>blica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Hungría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</w:t>
            </w:r>
            <w:r>
              <w:rPr>
                <w:sz w:val="20"/>
                <w:lang w:val="fr-CH"/>
              </w:rPr>
              <w:t>0,7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No definida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left="-57" w:right="-57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EN 55020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India (República de la)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RDS, SCA (transmisiones experimentales)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Irán (República Islámica del)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It</w:t>
            </w:r>
            <w:r>
              <w:rPr>
                <w:sz w:val="20"/>
                <w:lang w:val="es-ES_tradnl"/>
              </w:rPr>
              <w:t>alia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Control del compresor de desviación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«ISORADIO» – Servicio con MF en la banda de ondas métricas y frecuencia ISO en modo monofónico para vehículos circulando por carreteras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Jap</w:t>
            </w:r>
            <w:r>
              <w:rPr>
                <w:sz w:val="20"/>
                <w:lang w:val="es-ES_tradnl"/>
              </w:rPr>
              <w:t>ó</w:t>
            </w:r>
            <w:r>
              <w:rPr>
                <w:sz w:val="20"/>
                <w:lang w:val="fr-CH"/>
              </w:rPr>
              <w:t>n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DARC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Kuwait (Estado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Lituania (Rep</w:t>
            </w:r>
            <w:r>
              <w:rPr>
                <w:sz w:val="20"/>
                <w:lang w:val="es-ES_tradnl"/>
              </w:rPr>
              <w:t>ública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Malí (República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Marruecos (Reino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es-ES_tradnl"/>
              </w:rPr>
            </w:pPr>
          </w:p>
        </w:tc>
      </w:tr>
      <w:tr w:rsidR="005D1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ind w:right="-57"/>
              <w:jc w:val="left"/>
              <w:rPr>
                <w:sz w:val="20"/>
                <w:lang w:val="es-ES_tradnl"/>
              </w:rPr>
            </w:pPr>
            <w:r w:rsidRPr="005D1837">
              <w:rPr>
                <w:sz w:val="20"/>
              </w:rPr>
              <w:t>México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 w:line="240" w:lineRule="exact"/>
              <w:jc w:val="center"/>
              <w:rPr>
                <w:rFonts w:ascii="Symbol" w:hAnsi="Symbol"/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37" w:rsidRDefault="005D1837" w:rsidP="005D1837">
            <w:pPr>
              <w:pStyle w:val="Tabletext"/>
              <w:spacing w:before="30" w:after="30" w:line="240" w:lineRule="exact"/>
              <w:jc w:val="left"/>
              <w:rPr>
                <w:sz w:val="20"/>
                <w:lang w:val="es-ES_tradnl"/>
              </w:rPr>
            </w:pPr>
          </w:p>
        </w:tc>
      </w:tr>
    </w:tbl>
    <w:p w:rsidR="00000000" w:rsidRDefault="00CA0101">
      <w:pPr>
        <w:pStyle w:val="Tablefin"/>
        <w:spacing w:before="0"/>
        <w:rPr>
          <w:sz w:val="2"/>
          <w:lang w:val="es-ES_tradnl"/>
        </w:rPr>
      </w:pPr>
    </w:p>
    <w:p w:rsidR="00000000" w:rsidRDefault="00CA0101">
      <w:pPr>
        <w:pStyle w:val="TableNo"/>
        <w:spacing w:before="0"/>
        <w:rPr>
          <w:iCs/>
          <w:lang w:val="es-ES_tradnl"/>
        </w:rPr>
      </w:pPr>
      <w:r>
        <w:rPr>
          <w:lang w:val="es-ES_tradnl"/>
        </w:rPr>
        <w:br w:type="page"/>
      </w:r>
      <w:r>
        <w:rPr>
          <w:lang w:val="es-ES_tradnl"/>
        </w:rPr>
        <w:lastRenderedPageBreak/>
        <w:t xml:space="preserve">CUADRO  1b </w:t>
      </w:r>
      <w:r>
        <w:rPr>
          <w:iCs/>
          <w:lang w:val="es-ES_tradnl"/>
        </w:rPr>
        <w:t>(</w:t>
      </w:r>
      <w:r>
        <w:rPr>
          <w:i/>
          <w:lang w:val="es-ES_tradnl"/>
        </w:rPr>
        <w:t>Fin</w:t>
      </w:r>
      <w:r>
        <w:rPr>
          <w:iCs/>
          <w:lang w:val="es-ES_tradnl"/>
        </w:rPr>
        <w:t>)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52"/>
        <w:gridCol w:w="1814"/>
        <w:gridCol w:w="794"/>
        <w:gridCol w:w="794"/>
        <w:gridCol w:w="1871"/>
        <w:gridCol w:w="1814"/>
        <w:gridCol w:w="1814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Pa</w:t>
            </w:r>
            <w:r>
              <w:rPr>
                <w:lang w:val="es-ES_tradnl"/>
              </w:rPr>
              <w:t>í</w:t>
            </w:r>
            <w:r>
              <w:rPr>
                <w:sz w:val="20"/>
                <w:lang w:val="es-ES_tradnl"/>
              </w:rPr>
              <w:t>s/zona geográfica</w:t>
            </w: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Información relativa a aplicaciones de recepción actuales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Información adicional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Observaciones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FI recomendada o utilizada</w:t>
            </w:r>
            <w:r>
              <w:rPr>
                <w:sz w:val="20"/>
                <w:lang w:val="es-ES_tradnl"/>
              </w:rPr>
              <w:br/>
              <w:t>(MHz)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</w:t>
            </w:r>
            <w:r>
              <w:rPr>
                <w:sz w:val="20"/>
                <w:lang w:val="es-ES_tradnl"/>
              </w:rPr>
              <w:t>osición del oscilador</w:t>
            </w:r>
          </w:p>
        </w:tc>
        <w:tc>
          <w:tcPr>
            <w:tcW w:w="18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ind w:left="-113" w:right="-1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Requisitos de inmunidad electromagnética de los receptores</w:t>
            </w: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Compresor o sistemas del compansor</w:t>
            </w:r>
          </w:p>
        </w:tc>
        <w:tc>
          <w:tcPr>
            <w:tcW w:w="18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Información suplementaria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Alta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Baja</w:t>
            </w: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5D1837">
            <w:pPr>
              <w:pStyle w:val="Tablehead"/>
              <w:spacing w:before="40" w:after="40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Noruega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</w:t>
            </w:r>
            <w:r>
              <w:rPr>
                <w:sz w:val="20"/>
                <w:lang w:val="es-ES_tradnl"/>
              </w:rPr>
              <w:t>í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Nueva Zelandia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Se está desarrollando la utilización SCA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La </w:t>
            </w:r>
            <w:r>
              <w:rPr>
                <w:sz w:val="20"/>
                <w:lang w:val="es-ES_tradnl"/>
              </w:rPr>
              <w:t>banda 100-108 MHz se utiliza actualmente para servicios nacionales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Omán (Sultanía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Ninguno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Ninguna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Papua Nueva Guinea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  <w:lang w:val="es-ES_tradnl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Ninguno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Ninguna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Países Bajos (Reino de los)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 criterio del fabricante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Se adapta a las normas de la CEE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Sí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RDS, CSI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Qatar (Estado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Rep</w:t>
            </w:r>
            <w:r>
              <w:rPr>
                <w:sz w:val="20"/>
                <w:lang w:val="es-ES_tradnl"/>
              </w:rPr>
              <w:t>ú</w:t>
            </w:r>
            <w:r>
              <w:rPr>
                <w:sz w:val="20"/>
                <w:lang w:val="fr-CH"/>
              </w:rPr>
              <w:t>blica Checa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Compresi</w:t>
            </w:r>
            <w:r>
              <w:rPr>
                <w:sz w:val="20"/>
                <w:lang w:val="es-ES_tradnl"/>
              </w:rPr>
              <w:t>ó</w:t>
            </w:r>
            <w:r>
              <w:rPr>
                <w:sz w:val="20"/>
                <w:lang w:val="fr-CH"/>
              </w:rPr>
              <w:t>n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Reino Unido de Gran Bretaña e Irlanda del Norte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left="-57" w:right="-57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REC, directiva sobre compatibilidad electromagnética de la CEE; Rad</w:t>
            </w:r>
            <w:bookmarkStart w:id="4" w:name="_GoBack"/>
            <w:bookmarkEnd w:id="4"/>
            <w:r>
              <w:rPr>
                <w:sz w:val="20"/>
                <w:lang w:val="es-ES_tradnl"/>
              </w:rPr>
              <w:t>iación EN 55013; Inmunidad 55020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Sí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Rwandesa (Rep</w:t>
            </w:r>
            <w:r>
              <w:rPr>
                <w:sz w:val="20"/>
                <w:lang w:val="es-ES_tradnl"/>
              </w:rPr>
              <w:t>ú</w:t>
            </w:r>
            <w:r>
              <w:rPr>
                <w:sz w:val="20"/>
                <w:lang w:val="fr-CH"/>
              </w:rPr>
              <w:t>blica)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Senegal (República del)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Singapur (República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Optimod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Eslovenia (República de)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es-ES_tradnl"/>
              </w:rPr>
              <w:t>Sí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Sudafricana (Rep</w:t>
            </w:r>
            <w:r>
              <w:rPr>
                <w:sz w:val="20"/>
                <w:lang w:val="es-ES_tradnl"/>
              </w:rPr>
              <w:t>ú</w:t>
            </w:r>
            <w:r>
              <w:rPr>
                <w:sz w:val="20"/>
                <w:lang w:val="fr-CH"/>
              </w:rPr>
              <w:t>blica)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Optimod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RDS, SST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Se está probando SST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Suecia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left="-57" w:right="-57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Sí, audioprocesa</w:t>
            </w:r>
            <w:r>
              <w:rPr>
                <w:sz w:val="20"/>
                <w:lang w:val="es-ES_tradnl"/>
              </w:rPr>
              <w:softHyphen/>
            </w:r>
            <w:r>
              <w:rPr>
                <w:sz w:val="20"/>
                <w:lang w:val="es-ES_tradnl"/>
              </w:rPr>
              <w:t>miento (compresión, limitador)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R</w:t>
            </w:r>
            <w:r>
              <w:rPr>
                <w:sz w:val="20"/>
                <w:lang w:val="fr-CH"/>
              </w:rPr>
              <w:t>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Suiza (Confederaci</w:t>
            </w:r>
            <w:r>
              <w:rPr>
                <w:sz w:val="20"/>
                <w:lang w:val="es-ES_tradnl"/>
              </w:rPr>
              <w:t>ó</w:t>
            </w:r>
            <w:r>
              <w:rPr>
                <w:sz w:val="20"/>
                <w:lang w:val="fr-CH"/>
              </w:rPr>
              <w:t>n)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ARI, RDS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Turqu</w:t>
            </w:r>
            <w:r>
              <w:rPr>
                <w:sz w:val="20"/>
                <w:lang w:val="es-ES_tradnl"/>
              </w:rPr>
              <w:t>í</w:t>
            </w:r>
            <w:r>
              <w:rPr>
                <w:sz w:val="20"/>
                <w:lang w:val="fr-CH"/>
              </w:rPr>
              <w:t>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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ind w:right="-57"/>
              <w:jc w:val="left"/>
              <w:rPr>
                <w:sz w:val="20"/>
                <w:lang w:val="fr-CH"/>
              </w:rPr>
            </w:pPr>
            <w:r>
              <w:rPr>
                <w:sz w:val="20"/>
              </w:rPr>
              <w:t>Ucrania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rFonts w:ascii="Symbol" w:hAnsi="Symbol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/>
              <w:jc w:val="center"/>
              <w:rPr>
                <w:sz w:val="20"/>
                <w:lang w:val="fr-CH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0101" w:rsidP="007326E2">
            <w:pPr>
              <w:pStyle w:val="Tabletext"/>
              <w:spacing w:before="0" w:after="30" w:line="240" w:lineRule="exact"/>
              <w:jc w:val="left"/>
              <w:rPr>
                <w:sz w:val="20"/>
                <w:lang w:val="fr-CH"/>
              </w:rPr>
            </w:pPr>
          </w:p>
        </w:tc>
      </w:tr>
    </w:tbl>
    <w:p w:rsidR="00000000" w:rsidRDefault="00CA0101">
      <w:pPr>
        <w:pStyle w:val="Tablefin"/>
        <w:spacing w:before="0"/>
        <w:rPr>
          <w:sz w:val="2"/>
        </w:rPr>
      </w:pPr>
    </w:p>
    <w:p w:rsidR="00000000" w:rsidRDefault="007326E2" w:rsidP="007326E2">
      <w:pPr>
        <w:spacing w:before="240"/>
        <w:jc w:val="center"/>
        <w:rPr>
          <w:lang w:val="es-ES_tradnl"/>
        </w:rPr>
      </w:pPr>
      <w:r>
        <w:rPr>
          <w:lang w:val="es-ES_tradnl"/>
        </w:rPr>
        <w:t>________________</w:t>
      </w:r>
    </w:p>
    <w:sectPr w:rsidR="00000000" w:rsidSect="007326E2">
      <w:headerReference w:type="even" r:id="rId14"/>
      <w:headerReference w:type="default" r:id="rId15"/>
      <w:pgSz w:w="16834" w:h="11907" w:orient="landscape" w:code="9"/>
      <w:pgMar w:top="1134" w:right="1418" w:bottom="1134" w:left="1134" w:header="720" w:footer="48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0101">
      <w:pPr>
        <w:spacing w:before="0"/>
      </w:pPr>
      <w:r>
        <w:separator/>
      </w:r>
    </w:p>
  </w:endnote>
  <w:endnote w:type="continuationSeparator" w:id="0">
    <w:p w:rsidR="00000000" w:rsidRDefault="00CA01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0101">
      <w:r>
        <w:t>____________________</w:t>
      </w:r>
    </w:p>
  </w:footnote>
  <w:footnote w:type="continuationSeparator" w:id="0">
    <w:p w:rsidR="00000000" w:rsidRDefault="00CA0101">
      <w:pPr>
        <w:spacing w:before="0"/>
      </w:pPr>
      <w:r>
        <w:continuationSeparator/>
      </w:r>
    </w:p>
  </w:footnote>
  <w:footnote w:id="1">
    <w:p w:rsidR="00A847CB" w:rsidRPr="00A847CB" w:rsidRDefault="00A847CB" w:rsidP="00A847CB">
      <w:pPr>
        <w:pStyle w:val="FootnoteText"/>
        <w:rPr>
          <w:lang w:val="es-ES_tradnl"/>
        </w:rPr>
      </w:pPr>
      <w:r w:rsidRPr="00A847CB">
        <w:rPr>
          <w:rStyle w:val="FootnoteReference"/>
          <w:lang w:val="es-ES_tradnl"/>
        </w:rPr>
        <w:t>*</w:t>
      </w:r>
      <w:r w:rsidRPr="00A847CB"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>La Comisión de Estudio 6 de Radiocomunicaciones introdujo modificaciones redaccionales en esta Recomendación en octubre de 201</w:t>
      </w:r>
      <w:r>
        <w:rPr>
          <w:lang w:val="es-ES_tradnl"/>
        </w:rPr>
        <w:t>8</w:t>
      </w:r>
      <w:r>
        <w:rPr>
          <w:lang w:val="es-ES_tradnl"/>
        </w:rPr>
        <w:t>, de conformidad con la Resolución UIT-R 1.</w:t>
      </w:r>
    </w:p>
  </w:footnote>
  <w:footnote w:id="2">
    <w:p w:rsidR="00E149BE" w:rsidRPr="00E149BE" w:rsidRDefault="00E149BE">
      <w:pPr>
        <w:pStyle w:val="FootnoteText"/>
        <w:rPr>
          <w:lang w:val="es-ES_tradnl"/>
        </w:rPr>
      </w:pPr>
      <w:r w:rsidRPr="00E149BE">
        <w:rPr>
          <w:rStyle w:val="FootnoteReference"/>
          <w:lang w:val="es-ES_tradnl"/>
        </w:rPr>
        <w:t>**</w:t>
      </w:r>
      <w:r w:rsidRPr="00E149BE">
        <w:rPr>
          <w:lang w:val="es-ES_tradnl"/>
        </w:rPr>
        <w:t xml:space="preserve"> </w:t>
      </w:r>
      <w:r w:rsidRPr="00E149BE">
        <w:rPr>
          <w:lang w:val="es-ES_tradnl"/>
        </w:rPr>
        <w:tab/>
      </w:r>
      <w:r>
        <w:rPr>
          <w:lang w:val="es-ES_tradnl"/>
        </w:rPr>
        <w:t>Se invita a las administraciones a que proporcionen más información sobre los parámetros de los sistemas, especialmente en lo relativo a nuevos cuadros sobre tolerancias de frecuencias.</w:t>
      </w:r>
    </w:p>
  </w:footnote>
  <w:footnote w:id="3">
    <w:p w:rsidR="00DF6FC7" w:rsidRPr="00096939" w:rsidRDefault="00DF6FC7" w:rsidP="00DF6FC7">
      <w:pPr>
        <w:pStyle w:val="FootnoteText"/>
        <w:rPr>
          <w:lang w:val="es-ES_tradnl"/>
        </w:rPr>
      </w:pPr>
      <w:r w:rsidRPr="00096939">
        <w:rPr>
          <w:rStyle w:val="FootnoteReference"/>
          <w:lang w:val="es-ES_tradnl"/>
        </w:rPr>
        <w:t>(1)</w:t>
      </w:r>
      <w:r w:rsidRPr="00096939">
        <w:rPr>
          <w:lang w:val="es-ES_tradnl"/>
        </w:rPr>
        <w:tab/>
        <w:t>Para la definición véase la Recomendación UIT-R BS.412. No significa la separación de frecuencias en las zonas de servicio superpuestas o pasos de sintonía del receptor.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0101">
    <w:pPr>
      <w:pStyle w:val="Header"/>
      <w:tabs>
        <w:tab w:val="clear" w:pos="9696"/>
        <w:tab w:val="right" w:pos="9639"/>
      </w:tabs>
      <w:jc w:val="left"/>
      <w:rPr>
        <w:lang w:val="fr-CH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fr-CH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fr-CH"/>
      </w:rPr>
      <w:t>2</w:t>
    </w:r>
    <w:r>
      <w:rPr>
        <w:rStyle w:val="PageNumber"/>
        <w:b/>
        <w:bCs/>
      </w:rPr>
      <w:fldChar w:fldCharType="end"/>
    </w:r>
    <w:r>
      <w:rPr>
        <w:b/>
        <w:bCs/>
        <w:lang w:val="fr-CH"/>
      </w:rPr>
      <w:tab/>
    </w:r>
    <w:r>
      <w:rPr>
        <w:b/>
        <w:bCs/>
      </w:rPr>
      <w:fldChar w:fldCharType="begin"/>
    </w:r>
    <w:r>
      <w:rPr>
        <w:b/>
        <w:bCs/>
        <w:lang w:val="fr-CH"/>
      </w:rPr>
      <w:instrText xml:space="preserve"> DOCPROPERTY "Header" \* MERGEFORMAT </w:instrText>
    </w:r>
    <w:r>
      <w:rPr>
        <w:b/>
        <w:bCs/>
      </w:rPr>
      <w:fldChar w:fldCharType="separate"/>
    </w:r>
    <w:r>
      <w:rPr>
        <w:b/>
        <w:bCs/>
        <w:lang w:val="fr-CH"/>
      </w:rPr>
      <w:t xml:space="preserve">Rec.  </w:t>
    </w:r>
    <w:r>
      <w:rPr>
        <w:b/>
        <w:bCs/>
      </w:rPr>
      <w:fldChar w:fldCharType="end"/>
    </w:r>
    <w:r>
      <w:rPr>
        <w:b/>
        <w:bCs/>
      </w:rPr>
      <w:fldChar w:fldCharType="begin"/>
    </w:r>
    <w:r>
      <w:rPr>
        <w:b/>
        <w:bCs/>
        <w:lang w:val="fr-CH"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UIT-R  BS.450-3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0101">
    <w:pPr>
      <w:pStyle w:val="Header"/>
      <w:tabs>
        <w:tab w:val="clear" w:pos="9696"/>
        <w:tab w:val="right" w:pos="9639"/>
      </w:tabs>
      <w:jc w:val="left"/>
      <w:rPr>
        <w:b/>
        <w:bCs/>
        <w:lang w:val="fr-CH"/>
      </w:rPr>
    </w:pP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  <w:lang w:val="fr-CH"/>
      </w:rPr>
      <w:instrText xml:space="preserve"> DOCPROPERTY "Header" \* MERGEFORMAT </w:instrText>
    </w:r>
    <w:r>
      <w:rPr>
        <w:b/>
        <w:bCs/>
      </w:rPr>
      <w:fldChar w:fldCharType="separate"/>
    </w:r>
    <w:r>
      <w:rPr>
        <w:b/>
        <w:bCs/>
        <w:lang w:val="fr-CH"/>
      </w:rPr>
      <w:t xml:space="preserve">Rec.  </w:t>
    </w:r>
    <w:r>
      <w:rPr>
        <w:b/>
        <w:bCs/>
      </w:rPr>
      <w:fldChar w:fldCharType="end"/>
    </w:r>
    <w:r>
      <w:rPr>
        <w:b/>
        <w:bCs/>
      </w:rPr>
      <w:fldChar w:fldCharType="begin"/>
    </w:r>
    <w:r>
      <w:rPr>
        <w:b/>
        <w:bCs/>
        <w:lang w:val="fr-CH"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UIT-R  BS.450-3</w:t>
    </w:r>
    <w:r>
      <w:rPr>
        <w:b/>
        <w:bCs/>
      </w:rPr>
      <w:fldChar w:fldCharType="end"/>
    </w:r>
    <w:r>
      <w:rPr>
        <w:b/>
        <w:bCs/>
        <w:lang w:val="fr-CH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fr-CH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fr-CH"/>
      </w:rPr>
      <w:t>3</w:t>
    </w:r>
    <w:r>
      <w:rPr>
        <w:rStyle w:val="PageNumber"/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0101" w:rsidP="007D3B14">
    <w:pPr>
      <w:pStyle w:val="Header"/>
      <w:tabs>
        <w:tab w:val="clear" w:pos="4848"/>
        <w:tab w:val="clear" w:pos="9696"/>
        <w:tab w:val="center" w:pos="7088"/>
        <w:tab w:val="right" w:pos="9639"/>
      </w:tabs>
      <w:jc w:val="left"/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8</w:t>
    </w:r>
    <w:r>
      <w:rPr>
        <w:rStyle w:val="PageNumber"/>
        <w:b/>
        <w:bCs/>
      </w:rPr>
      <w:fldChar w:fldCharType="end"/>
    </w: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</w:instrText>
    </w:r>
    <w:r>
      <w:rPr>
        <w:b/>
        <w:bCs/>
      </w:rPr>
      <w:instrText xml:space="preserve">RGEFORMAT </w:instrText>
    </w:r>
    <w:r>
      <w:rPr>
        <w:b/>
        <w:bCs/>
      </w:rPr>
      <w:fldChar w:fldCharType="separate"/>
    </w:r>
    <w:r>
      <w:rPr>
        <w:b/>
        <w:bCs/>
      </w:rPr>
      <w:t xml:space="preserve">Rec.  </w:t>
    </w:r>
    <w:r>
      <w:rPr>
        <w:b/>
        <w:bCs/>
      </w:rPr>
      <w:fldChar w:fldCharType="end"/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UIT-R  BS.450-3</w:t>
    </w:r>
    <w:r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7D3B14" w:rsidRDefault="007D3B14" w:rsidP="007D3B14">
    <w:pPr>
      <w:pStyle w:val="Header"/>
      <w:tabs>
        <w:tab w:val="clear" w:pos="4848"/>
        <w:tab w:val="clear" w:pos="9696"/>
        <w:tab w:val="center" w:pos="7088"/>
        <w:tab w:val="right" w:pos="14034"/>
      </w:tabs>
      <w:jc w:val="left"/>
    </w:pP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CA0101">
      <w:rPr>
        <w:b/>
        <w:bCs/>
      </w:rPr>
      <w:t xml:space="preserve">Rec.  </w:t>
    </w:r>
    <w:r>
      <w:rPr>
        <w:b/>
        <w:bCs/>
      </w:rPr>
      <w:fldChar w:fldCharType="end"/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CA0101">
      <w:rPr>
        <w:b/>
        <w:bCs/>
        <w:noProof/>
      </w:rPr>
      <w:t>UIT-R  BS.450-3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CA0101">
      <w:rPr>
        <w:rStyle w:val="PageNumber"/>
        <w:b/>
        <w:bCs/>
        <w:noProof/>
      </w:rPr>
      <w:t>9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96AD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2276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3EB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F4D3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C6F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C4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641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46B3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F0D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2219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D669F"/>
    <w:multiLevelType w:val="singleLevel"/>
    <w:tmpl w:val="4A585F4E"/>
    <w:lvl w:ilvl="0">
      <w:start w:val="1"/>
      <w:numFmt w:val="decimal"/>
      <w:lvlText w:val="%1"/>
      <w:legacy w:legacy="1" w:legacySpace="0" w:legacyIndent="795"/>
      <w:lvlJc w:val="left"/>
      <w:pPr>
        <w:ind w:left="795" w:hanging="795"/>
      </w:pPr>
    </w:lvl>
  </w:abstractNum>
  <w:abstractNum w:abstractNumId="12" w15:restartNumberingAfterBreak="0">
    <w:nsid w:val="0CB243D9"/>
    <w:multiLevelType w:val="singleLevel"/>
    <w:tmpl w:val="C1404BDE"/>
    <w:lvl w:ilvl="0"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Times New Roman" w:eastAsia="MS Mincho" w:hAnsi="Times New Roman" w:hint="default"/>
      </w:rPr>
    </w:lvl>
  </w:abstractNum>
  <w:abstractNum w:abstractNumId="13" w15:restartNumberingAfterBreak="0">
    <w:nsid w:val="100712E9"/>
    <w:multiLevelType w:val="singleLevel"/>
    <w:tmpl w:val="42F87AF8"/>
    <w:lvl w:ilvl="0">
      <w:start w:val="3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14" w15:restartNumberingAfterBreak="0">
    <w:nsid w:val="16A160C2"/>
    <w:multiLevelType w:val="singleLevel"/>
    <w:tmpl w:val="098C8E1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</w:abstractNum>
  <w:abstractNum w:abstractNumId="15" w15:restartNumberingAfterBreak="0">
    <w:nsid w:val="17346CFE"/>
    <w:multiLevelType w:val="singleLevel"/>
    <w:tmpl w:val="702CA3D8"/>
    <w:lvl w:ilvl="0">
      <w:start w:val="1"/>
      <w:numFmt w:val="decimal"/>
      <w:lvlText w:val="(%1) "/>
      <w:legacy w:legacy="1" w:legacySpace="0" w:legacyIndent="425"/>
      <w:lvlJc w:val="left"/>
      <w:pPr>
        <w:ind w:left="114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16A6E02"/>
    <w:multiLevelType w:val="singleLevel"/>
    <w:tmpl w:val="098C8E1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</w:abstractNum>
  <w:abstractNum w:abstractNumId="17" w15:restartNumberingAfterBreak="0">
    <w:nsid w:val="33DC35F5"/>
    <w:multiLevelType w:val="singleLevel"/>
    <w:tmpl w:val="74BE1188"/>
    <w:lvl w:ilvl="0">
      <w:start w:val="7"/>
      <w:numFmt w:val="decimal"/>
      <w:lvlText w:val="%1"/>
      <w:legacy w:legacy="1" w:legacySpace="0" w:legacyIndent="795"/>
      <w:lvlJc w:val="left"/>
      <w:pPr>
        <w:ind w:left="795" w:hanging="795"/>
      </w:pPr>
    </w:lvl>
  </w:abstractNum>
  <w:abstractNum w:abstractNumId="18" w15:restartNumberingAfterBreak="0">
    <w:nsid w:val="375D1754"/>
    <w:multiLevelType w:val="singleLevel"/>
    <w:tmpl w:val="35684DB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19" w15:restartNumberingAfterBreak="0">
    <w:nsid w:val="39681A93"/>
    <w:multiLevelType w:val="singleLevel"/>
    <w:tmpl w:val="59BC0F5A"/>
    <w:lvl w:ilvl="0">
      <w:numFmt w:val="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eastAsia="MS Mincho" w:hAnsi="Times New Roman" w:hint="default"/>
      </w:rPr>
    </w:lvl>
  </w:abstractNum>
  <w:abstractNum w:abstractNumId="20" w15:restartNumberingAfterBreak="0">
    <w:nsid w:val="4705559E"/>
    <w:multiLevelType w:val="singleLevel"/>
    <w:tmpl w:val="C2D62D78"/>
    <w:lvl w:ilvl="0">
      <w:start w:val="4"/>
      <w:numFmt w:val="decimal"/>
      <w:lvlText w:val="%1"/>
      <w:legacy w:legacy="1" w:legacySpace="0" w:legacyIndent="795"/>
      <w:lvlJc w:val="left"/>
      <w:pPr>
        <w:ind w:left="795" w:hanging="795"/>
      </w:pPr>
    </w:lvl>
  </w:abstractNum>
  <w:abstractNum w:abstractNumId="21" w15:restartNumberingAfterBreak="0">
    <w:nsid w:val="4B153102"/>
    <w:multiLevelType w:val="singleLevel"/>
    <w:tmpl w:val="78188F3C"/>
    <w:lvl w:ilvl="0"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eastAsia="MS Mincho" w:hAnsi="Times New Roman" w:hint="default"/>
      </w:rPr>
    </w:lvl>
  </w:abstractNum>
  <w:abstractNum w:abstractNumId="22" w15:restartNumberingAfterBreak="0">
    <w:nsid w:val="52EF5824"/>
    <w:multiLevelType w:val="singleLevel"/>
    <w:tmpl w:val="332EFC0E"/>
    <w:lvl w:ilvl="0">
      <w:start w:val="2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23" w15:restartNumberingAfterBreak="0">
    <w:nsid w:val="5D0A06E3"/>
    <w:multiLevelType w:val="singleLevel"/>
    <w:tmpl w:val="D1D8FB28"/>
    <w:lvl w:ilvl="0">
      <w:start w:val="6"/>
      <w:numFmt w:val="decimal"/>
      <w:lvlText w:val="%1"/>
      <w:legacy w:legacy="1" w:legacySpace="0" w:legacyIndent="795"/>
      <w:lvlJc w:val="left"/>
      <w:pPr>
        <w:ind w:left="795" w:hanging="795"/>
      </w:pPr>
    </w:lvl>
  </w:abstractNum>
  <w:abstractNum w:abstractNumId="24" w15:restartNumberingAfterBreak="0">
    <w:nsid w:val="637840FF"/>
    <w:multiLevelType w:val="singleLevel"/>
    <w:tmpl w:val="6A6E9A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55B32C8"/>
    <w:multiLevelType w:val="singleLevel"/>
    <w:tmpl w:val="D4DC71EA"/>
    <w:lvl w:ilvl="0">
      <w:start w:val="2"/>
      <w:numFmt w:val="decimal"/>
      <w:lvlText w:val="%1"/>
      <w:legacy w:legacy="1" w:legacySpace="0" w:legacyIndent="795"/>
      <w:lvlJc w:val="left"/>
      <w:pPr>
        <w:ind w:left="795" w:hanging="795"/>
      </w:pPr>
    </w:lvl>
  </w:abstractNum>
  <w:abstractNum w:abstractNumId="26" w15:restartNumberingAfterBreak="0">
    <w:nsid w:val="6A940A5B"/>
    <w:multiLevelType w:val="singleLevel"/>
    <w:tmpl w:val="74BE1188"/>
    <w:lvl w:ilvl="0">
      <w:start w:val="7"/>
      <w:numFmt w:val="decimal"/>
      <w:lvlText w:val="%1"/>
      <w:legacy w:legacy="1" w:legacySpace="0" w:legacyIndent="795"/>
      <w:lvlJc w:val="left"/>
      <w:pPr>
        <w:ind w:left="795" w:hanging="795"/>
      </w:pPr>
    </w:lvl>
  </w:abstractNum>
  <w:abstractNum w:abstractNumId="27" w15:restartNumberingAfterBreak="0">
    <w:nsid w:val="70B929A6"/>
    <w:multiLevelType w:val="singleLevel"/>
    <w:tmpl w:val="1EF62A9A"/>
    <w:lvl w:ilvl="0">
      <w:start w:val="5"/>
      <w:numFmt w:val="decimal"/>
      <w:lvlText w:val="%1"/>
      <w:legacy w:legacy="1" w:legacySpace="0" w:legacyIndent="795"/>
      <w:lvlJc w:val="left"/>
      <w:pPr>
        <w:ind w:left="795" w:hanging="795"/>
      </w:pPr>
    </w:lvl>
  </w:abstractNum>
  <w:abstractNum w:abstractNumId="28" w15:restartNumberingAfterBreak="0">
    <w:nsid w:val="75CE3900"/>
    <w:multiLevelType w:val="singleLevel"/>
    <w:tmpl w:val="098C8E1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</w:abstractNum>
  <w:abstractNum w:abstractNumId="29" w15:restartNumberingAfterBreak="0">
    <w:nsid w:val="762D6617"/>
    <w:multiLevelType w:val="singleLevel"/>
    <w:tmpl w:val="ADF4FE94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8775134"/>
    <w:multiLevelType w:val="singleLevel"/>
    <w:tmpl w:val="163E8E58"/>
    <w:lvl w:ilvl="0">
      <w:start w:val="13"/>
      <w:numFmt w:val="decimal"/>
      <w:lvlText w:val="%1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31" w15:restartNumberingAfterBreak="0">
    <w:nsid w:val="7CC2032A"/>
    <w:multiLevelType w:val="singleLevel"/>
    <w:tmpl w:val="37BA5D70"/>
    <w:lvl w:ilvl="0">
      <w:start w:val="1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28"/>
  </w:num>
  <w:num w:numId="2">
    <w:abstractNumId w:val="16"/>
  </w:num>
  <w:num w:numId="3">
    <w:abstractNumId w:val="14"/>
  </w:num>
  <w:num w:numId="4">
    <w:abstractNumId w:val="21"/>
  </w:num>
  <w:num w:numId="5">
    <w:abstractNumId w:val="12"/>
  </w:num>
  <w:num w:numId="6">
    <w:abstractNumId w:val="19"/>
  </w:num>
  <w:num w:numId="7">
    <w:abstractNumId w:val="29"/>
  </w:num>
  <w:num w:numId="8">
    <w:abstractNumId w:val="15"/>
  </w:num>
  <w:num w:numId="9">
    <w:abstractNumId w:val="11"/>
  </w:num>
  <w:num w:numId="10">
    <w:abstractNumId w:val="22"/>
  </w:num>
  <w:num w:numId="11">
    <w:abstractNumId w:val="17"/>
  </w:num>
  <w:num w:numId="12">
    <w:abstractNumId w:val="31"/>
  </w:num>
  <w:num w:numId="13">
    <w:abstractNumId w:val="31"/>
    <w:lvlOverride w:ilvl="0">
      <w:lvl w:ilvl="0">
        <w:start w:val="2"/>
        <w:numFmt w:val="lowerLetter"/>
        <w:lvlText w:val="%1)"/>
        <w:legacy w:legacy="1" w:legacySpace="0" w:legacyIndent="720"/>
        <w:lvlJc w:val="left"/>
        <w:pPr>
          <w:ind w:left="720" w:hanging="720"/>
        </w:pPr>
      </w:lvl>
    </w:lvlOverride>
  </w:num>
  <w:num w:numId="14">
    <w:abstractNumId w:val="13"/>
  </w:num>
  <w:num w:numId="15">
    <w:abstractNumId w:val="30"/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25"/>
  </w:num>
  <w:num w:numId="19">
    <w:abstractNumId w:val="20"/>
  </w:num>
  <w:num w:numId="20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sz w:val="16"/>
        </w:rPr>
      </w:lvl>
    </w:lvlOverride>
  </w:num>
  <w:num w:numId="21">
    <w:abstractNumId w:val="27"/>
  </w:num>
  <w:num w:numId="22">
    <w:abstractNumId w:val="23"/>
  </w:num>
  <w:num w:numId="23">
    <w:abstractNumId w:val="24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ttachedTemplate r:id="rId1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B61"/>
    <w:rsid w:val="0028233C"/>
    <w:rsid w:val="00537DE9"/>
    <w:rsid w:val="005D1837"/>
    <w:rsid w:val="00625261"/>
    <w:rsid w:val="006774EE"/>
    <w:rsid w:val="007326E2"/>
    <w:rsid w:val="007D3B14"/>
    <w:rsid w:val="0088175C"/>
    <w:rsid w:val="00A847CB"/>
    <w:rsid w:val="00CA0101"/>
    <w:rsid w:val="00DF6FC7"/>
    <w:rsid w:val="00E149BE"/>
    <w:rsid w:val="00E91B61"/>
    <w:rsid w:val="00F1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FDDA7A"/>
  <w15:chartTrackingRefBased/>
  <w15:docId w15:val="{90295C88-4AB4-4DA9-B315-4809E05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jc w:val="left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AnnexNo">
    <w:name w:val="Annex_No"/>
    <w:basedOn w:val="Normal"/>
    <w:next w:val="Annextitle"/>
    <w:rsid w:val="00625261"/>
    <w:pPr>
      <w:keepNext/>
      <w:keepLines/>
      <w:spacing w:before="480" w:after="80"/>
      <w:jc w:val="center"/>
      <w:outlineLvl w:val="0"/>
    </w:pPr>
    <w:rPr>
      <w:sz w:val="28"/>
    </w:rPr>
  </w:style>
  <w:style w:type="paragraph" w:customStyle="1" w:styleId="Annextitle">
    <w:name w:val="Annex_title"/>
    <w:basedOn w:val="Arttitle"/>
    <w:next w:val="Normalaftertitle"/>
    <w:pPr>
      <w:tabs>
        <w:tab w:val="clear" w:pos="794"/>
        <w:tab w:val="clear" w:pos="1191"/>
        <w:tab w:val="clear" w:pos="1588"/>
        <w:tab w:val="clear" w:pos="1985"/>
      </w:tabs>
      <w:spacing w:before="280" w:after="40"/>
    </w:p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customStyle="1" w:styleId="FirstFooter">
    <w:name w:val="FirstFooter"/>
    <w:basedOn w:val="Footer"/>
    <w:pPr>
      <w:overflowPunct/>
      <w:autoSpaceDE/>
      <w:autoSpaceDN/>
      <w:adjustRightInd/>
      <w:spacing w:before="40"/>
      <w:textAlignment w:val="auto"/>
    </w:pPr>
    <w:rPr>
      <w:caps/>
      <w:noProof w:val="0"/>
      <w:lang w:val="en-GB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pPr>
      <w:spacing w:before="240"/>
    </w:pPr>
  </w:style>
  <w:style w:type="paragraph" w:customStyle="1" w:styleId="Title4">
    <w:name w:val="Title 4"/>
    <w:basedOn w:val="Title3"/>
    <w:next w:val="Heading1"/>
    <w:rPr>
      <w:rFonts w:ascii="Times New Roman Bold" w:hAnsi="Times New Roman Bold"/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Appendixtitle">
    <w:name w:val="Appendix_title"/>
    <w:basedOn w:val="Annextitle"/>
    <w:next w:val="Normalaftertitle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  <w:tab w:val="left" w:pos="1985"/>
      </w:tabs>
      <w:spacing w:before="80"/>
      <w:ind w:left="1985" w:hanging="1985"/>
    </w:pPr>
    <w:rPr>
      <w:lang w:val="en-US"/>
    </w:rPr>
  </w:style>
  <w:style w:type="paragraph" w:customStyle="1" w:styleId="FigureNo">
    <w:name w:val="Figure_No"/>
    <w:basedOn w:val="Normal"/>
    <w:next w:val="Normal"/>
    <w:pPr>
      <w:keepNext/>
      <w:keepLines/>
      <w:spacing w:before="480" w:after="24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styleId="BodyText3">
    <w:name w:val="Body Text 3"/>
    <w:basedOn w:val="Normal"/>
    <w:link w:val="BodyText3Char"/>
    <w:semiHidden/>
    <w:pPr>
      <w:spacing w:after="120"/>
    </w:pPr>
    <w:rPr>
      <w:sz w:val="16"/>
      <w:szCs w:val="16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aftertitle"/>
    <w:pPr>
      <w:keepNext w:val="0"/>
    </w:pPr>
  </w:style>
  <w:style w:type="character" w:customStyle="1" w:styleId="href">
    <w:name w:val="href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paragraph" w:customStyle="1" w:styleId="PartNo">
    <w:name w:val="Part_No"/>
    <w:basedOn w:val="Normal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paragraph" w:customStyle="1" w:styleId="Tablelegend">
    <w:name w:val="Table_legend"/>
    <w:basedOn w:val="Tabletext"/>
    <w:pPr>
      <w:spacing w:before="120"/>
      <w:ind w:left="284" w:right="-85" w:hanging="369"/>
    </w:p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fin">
    <w:name w:val="Table_fin"/>
    <w:basedOn w:val="Normal"/>
    <w:next w:val="Normal"/>
    <w:pPr>
      <w:spacing w:before="284"/>
    </w:pPr>
    <w:rPr>
      <w:sz w:val="20"/>
      <w:lang w:val="en-GB"/>
    </w:rPr>
  </w:style>
  <w:style w:type="character" w:styleId="PageNumber">
    <w:name w:val="page number"/>
    <w:basedOn w:val="DefaultParagraphFont"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AppendixNo">
    <w:name w:val="Appendix_No"/>
    <w:basedOn w:val="AnnexNo"/>
    <w:next w:val="Appendixtitle"/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qFormat/>
    <w:rPr>
      <w:i/>
      <w:iCs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/>
    </w:rPr>
  </w:style>
  <w:style w:type="character" w:styleId="HTMLTypewriter">
    <w:name w:val="HTML Typewriter"/>
    <w:basedOn w:val="DefaultParagraphFont"/>
    <w:semi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8">
    <w:name w:val="index 8"/>
    <w:basedOn w:val="Normal"/>
    <w:next w:val="Normal"/>
    <w:autoRedefine/>
    <w:semiHidden/>
    <w:pPr>
      <w:tabs>
        <w:tab w:val="clear" w:pos="794"/>
        <w:tab w:val="clear" w:pos="1191"/>
        <w:tab w:val="clear" w:pos="1588"/>
        <w:tab w:val="clear" w:pos="1985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pPr>
      <w:tabs>
        <w:tab w:val="clear" w:pos="794"/>
        <w:tab w:val="clear" w:pos="1191"/>
        <w:tab w:val="clear" w:pos="1588"/>
        <w:tab w:val="clear" w:pos="1985"/>
      </w:tabs>
      <w:ind w:left="2160" w:hanging="240"/>
    </w:p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5"/>
      </w:numPr>
    </w:pPr>
  </w:style>
  <w:style w:type="paragraph" w:styleId="ListBullet2">
    <w:name w:val="List Bullet 2"/>
    <w:basedOn w:val="Normal"/>
    <w:autoRedefine/>
    <w:semiHidden/>
    <w:pPr>
      <w:numPr>
        <w:numId w:val="26"/>
      </w:numPr>
    </w:pPr>
  </w:style>
  <w:style w:type="paragraph" w:styleId="ListBullet3">
    <w:name w:val="List Bullet 3"/>
    <w:basedOn w:val="Normal"/>
    <w:autoRedefine/>
    <w:semiHidden/>
    <w:pPr>
      <w:numPr>
        <w:numId w:val="27"/>
      </w:numPr>
    </w:pPr>
  </w:style>
  <w:style w:type="paragraph" w:styleId="ListBullet4">
    <w:name w:val="List Bullet 4"/>
    <w:basedOn w:val="Normal"/>
    <w:autoRedefine/>
    <w:semiHidden/>
    <w:pPr>
      <w:numPr>
        <w:numId w:val="28"/>
      </w:numPr>
    </w:pPr>
  </w:style>
  <w:style w:type="paragraph" w:styleId="ListBullet5">
    <w:name w:val="List Bullet 5"/>
    <w:basedOn w:val="Normal"/>
    <w:autoRedefine/>
    <w:semiHidden/>
    <w:pPr>
      <w:numPr>
        <w:numId w:val="29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30"/>
      </w:numPr>
    </w:pPr>
  </w:style>
  <w:style w:type="paragraph" w:styleId="ListNumber2">
    <w:name w:val="List Number 2"/>
    <w:basedOn w:val="Normal"/>
    <w:semiHidden/>
    <w:pPr>
      <w:numPr>
        <w:numId w:val="31"/>
      </w:numPr>
    </w:pPr>
  </w:style>
  <w:style w:type="paragraph" w:styleId="ListNumber3">
    <w:name w:val="List Number 3"/>
    <w:basedOn w:val="Normal"/>
    <w:semiHidden/>
    <w:pPr>
      <w:numPr>
        <w:numId w:val="32"/>
      </w:numPr>
    </w:pPr>
  </w:style>
  <w:style w:type="paragraph" w:styleId="ListNumber4">
    <w:name w:val="List Number 4"/>
    <w:basedOn w:val="Normal"/>
    <w:semiHidden/>
    <w:pPr>
      <w:numPr>
        <w:numId w:val="33"/>
      </w:numPr>
    </w:pPr>
  </w:style>
  <w:style w:type="paragraph" w:styleId="ListNumber5">
    <w:name w:val="List Number 5"/>
    <w:basedOn w:val="Normal"/>
    <w:semiHidden/>
    <w:pPr>
      <w:numPr>
        <w:numId w:val="3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ourier New" w:hAnsi="Courier New" w:cs="Courier New"/>
      <w:lang w:val="fr-FR"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</w:tabs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Pr>
      <w:rFonts w:ascii="Arial" w:hAnsi="Arial" w:cs="Arial"/>
      <w:b/>
      <w:bCs/>
      <w:szCs w:val="24"/>
    </w:rPr>
  </w:style>
  <w:style w:type="paragraph" w:styleId="TOC9">
    <w:name w:val="toc 9"/>
    <w:basedOn w:val="Normal"/>
    <w:next w:val="Normal"/>
    <w:autoRedefine/>
    <w:semiHidden/>
    <w:pPr>
      <w:tabs>
        <w:tab w:val="clear" w:pos="794"/>
        <w:tab w:val="clear" w:pos="1191"/>
        <w:tab w:val="clear" w:pos="1588"/>
        <w:tab w:val="clear" w:pos="1985"/>
      </w:tabs>
      <w:ind w:left="1920"/>
    </w:pPr>
  </w:style>
  <w:style w:type="paragraph" w:customStyle="1" w:styleId="HeadingSum">
    <w:name w:val="Heading_Sum"/>
    <w:basedOn w:val="Headingb"/>
    <w:next w:val="Normal"/>
    <w:autoRedefine/>
    <w:rsid w:val="00DF6F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DF6FC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b/>
      <w:sz w:val="28"/>
      <w:lang w:val="en-GB"/>
    </w:rPr>
  </w:style>
  <w:style w:type="paragraph" w:customStyle="1" w:styleId="AppendixNoTitle">
    <w:name w:val="Appendix_NoTitle"/>
    <w:basedOn w:val="AnnexNoTitle"/>
    <w:next w:val="Normal"/>
    <w:rsid w:val="00DF6FC7"/>
  </w:style>
  <w:style w:type="paragraph" w:customStyle="1" w:styleId="tocpart">
    <w:name w:val="tocpart"/>
    <w:basedOn w:val="Normal"/>
    <w:rsid w:val="00DF6F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left" w:pos="2693"/>
        <w:tab w:val="left" w:pos="8789"/>
        <w:tab w:val="right" w:pos="9639"/>
      </w:tabs>
      <w:ind w:left="2693" w:hanging="2693"/>
      <w:jc w:val="left"/>
    </w:pPr>
    <w:rPr>
      <w:lang w:val="en-GB"/>
    </w:rPr>
  </w:style>
  <w:style w:type="paragraph" w:customStyle="1" w:styleId="toctemp">
    <w:name w:val="toctemp"/>
    <w:basedOn w:val="Normal"/>
    <w:rsid w:val="00DF6F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left" w:pos="2693"/>
        <w:tab w:val="left" w:leader="dot" w:pos="8789"/>
        <w:tab w:val="right" w:pos="9639"/>
      </w:tabs>
      <w:ind w:left="2693" w:right="964" w:hanging="2693"/>
      <w:jc w:val="left"/>
    </w:pPr>
    <w:rPr>
      <w:lang w:val="en-GB"/>
    </w:rPr>
  </w:style>
  <w:style w:type="paragraph" w:customStyle="1" w:styleId="Summary">
    <w:name w:val="Summary"/>
    <w:basedOn w:val="Normal"/>
    <w:next w:val="Normalaftertitle"/>
    <w:autoRedefine/>
    <w:rsid w:val="00DF6F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  <w:jc w:val="left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rsid w:val="00DF6FC7"/>
    <w:pPr>
      <w:tabs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firstLine="0"/>
      <w:jc w:val="left"/>
    </w:pPr>
    <w:rPr>
      <w:lang w:val="en-US"/>
    </w:rPr>
  </w:style>
  <w:style w:type="paragraph" w:customStyle="1" w:styleId="Figure">
    <w:name w:val="Figure"/>
    <w:basedOn w:val="FigureNo"/>
    <w:next w:val="Normal"/>
    <w:rsid w:val="00DF6FC7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sz w:val="18"/>
      <w:lang w:val="en-GB"/>
    </w:rPr>
  </w:style>
  <w:style w:type="paragraph" w:customStyle="1" w:styleId="Normalaftertitle0">
    <w:name w:val="Normal after title"/>
    <w:basedOn w:val="Normal"/>
    <w:next w:val="Normal"/>
    <w:rsid w:val="00DF6F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lang w:val="en-GB"/>
    </w:rPr>
  </w:style>
  <w:style w:type="table" w:styleId="TableGrid">
    <w:name w:val="Table Grid"/>
    <w:basedOn w:val="TableNormal"/>
    <w:rsid w:val="00DF6FC7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semiHidden/>
    <w:rsid w:val="00DF6F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6F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b/>
      <w:bCs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DF6FC7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DF6FC7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DF6FC7"/>
    <w:rPr>
      <w:rFonts w:ascii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F6F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F6FC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link w:val="Heading1"/>
    <w:rsid w:val="00DF6FC7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link w:val="Heading2"/>
    <w:rsid w:val="00DF6FC7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DF6FC7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link w:val="Heading4"/>
    <w:rsid w:val="00DF6FC7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link w:val="Heading5"/>
    <w:rsid w:val="00DF6FC7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link w:val="Heading6"/>
    <w:rsid w:val="00DF6FC7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link w:val="Heading7"/>
    <w:rsid w:val="00DF6FC7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link w:val="Heading8"/>
    <w:rsid w:val="00DF6FC7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link w:val="Heading9"/>
    <w:rsid w:val="00DF6FC7"/>
    <w:rPr>
      <w:rFonts w:ascii="Times New Roman" w:hAnsi="Times New Roman"/>
      <w:b/>
      <w:sz w:val="24"/>
      <w:lang w:val="fr-FR" w:eastAsia="en-US"/>
    </w:rPr>
  </w:style>
  <w:style w:type="character" w:customStyle="1" w:styleId="FooterChar">
    <w:name w:val="Footer Char"/>
    <w:link w:val="Footer"/>
    <w:rsid w:val="00DF6FC7"/>
    <w:rPr>
      <w:rFonts w:ascii="Times New Roman" w:hAnsi="Times New Roman"/>
      <w:noProof/>
      <w:sz w:val="18"/>
      <w:lang w:val="fr-FR" w:eastAsia="en-US"/>
    </w:rPr>
  </w:style>
  <w:style w:type="character" w:customStyle="1" w:styleId="HeaderChar">
    <w:name w:val="Header Char"/>
    <w:link w:val="Header"/>
    <w:rsid w:val="00DF6FC7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link w:val="FootnoteText"/>
    <w:semiHidden/>
    <w:rsid w:val="00DF6FC7"/>
    <w:rPr>
      <w:rFonts w:ascii="Times New Roman" w:hAnsi="Times New Roman"/>
      <w:sz w:val="22"/>
      <w:lang w:val="fr-FR" w:eastAsia="en-US"/>
    </w:rPr>
  </w:style>
  <w:style w:type="character" w:customStyle="1" w:styleId="BodyText3Char">
    <w:name w:val="Body Text 3 Char"/>
    <w:link w:val="BodyText3"/>
    <w:semiHidden/>
    <w:rsid w:val="00DF6FC7"/>
    <w:rPr>
      <w:rFonts w:ascii="Times New Roman" w:hAnsi="Times New Roman"/>
      <w:sz w:val="16"/>
      <w:szCs w:val="16"/>
      <w:lang w:val="fr-FR" w:eastAsia="en-US"/>
    </w:rPr>
  </w:style>
  <w:style w:type="paragraph" w:customStyle="1" w:styleId="TableText0">
    <w:name w:val="Table_Text"/>
    <w:basedOn w:val="Normal"/>
    <w:rsid w:val="00DF6FC7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R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EEAA-F3B3-4685-9637-BEFB68E4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BR2001.dot</Template>
  <TotalTime>17</TotalTime>
  <Pages>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RECOMENDACIÓN  UIT-R  BS.450-3 - Normas de transmisión para radiodifusión sonora con modulación de frecuencia en ondas métricas*</vt:lpstr>
    </vt:vector>
  </TitlesOfParts>
  <Manager>CP..2500/NM</Manager>
  <Company>International Telecommunication Union (ITU)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 UIT-R  BS.450-3 - Normas de transmisión para radiodifusión sonora con modulación de frecuencia en ondas métricas*</dc:title>
  <dc:subject>Serie BS = Servicio de radiodifusión (radiofonía)</dc:subject>
  <dc:creator>Oficina de Radiocomunicaciones del UIT (BR)</dc:creator>
  <cp:keywords>BS,450-3; Folios 1 - 8</cp:keywords>
  <dc:description>Saisie + Recup.: 17.12.01/NM_x000d_
M.E.P.: 17.12.01/NM_x000d_
Originaux: 21.12.01/NM_x000d_
Ultimes: 10.01.02/NM</dc:description>
  <cp:lastModifiedBy>Gachet, Christelle</cp:lastModifiedBy>
  <cp:revision>15</cp:revision>
  <cp:lastPrinted>2018-12-04T08:18:00Z</cp:lastPrinted>
  <dcterms:created xsi:type="dcterms:W3CDTF">2018-12-04T08:00:00Z</dcterms:created>
  <dcterms:modified xsi:type="dcterms:W3CDTF">2018-12-04T08:19:00Z</dcterms:modified>
  <cp:category>Template: Recommandation UIT-R - dès 2001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title">
    <vt:lpwstr>BR2001.dot</vt:lpwstr>
  </property>
  <property fmtid="{D5CDD505-2E9C-101B-9397-08002B2CF9AE}" pid="3" name="Pre_title">
    <vt:lpwstr>BR2001.dot</vt:lpwstr>
  </property>
  <property fmtid="{D5CDD505-2E9C-101B-9397-08002B2CF9AE}" pid="4" name="Related_Questions">
    <vt:lpwstr>BR2001.dot</vt:lpwstr>
  </property>
  <property fmtid="{D5CDD505-2E9C-101B-9397-08002B2CF9AE}" pid="5" name="Revision_history">
    <vt:lpwstr>BR2001.dot</vt:lpwstr>
  </property>
  <property fmtid="{D5CDD505-2E9C-101B-9397-08002B2CF9AE}" pid="6" name="Header">
    <vt:lpwstr>Rec.  </vt:lpwstr>
  </property>
</Properties>
</file>