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7BF" w:rsidRPr="009617BF" w:rsidRDefault="009617BF" w:rsidP="009617BF">
      <w:pPr>
        <w:textAlignment w:val="baseline"/>
      </w:pPr>
      <w:r w:rsidRPr="009617BF">
        <w:rPr>
          <w:noProof/>
          <w:lang w:val="en-US" w:eastAsia="zh-CN"/>
        </w:rPr>
        <w:drawing>
          <wp:anchor distT="0" distB="0" distL="114300" distR="114300" simplePos="0" relativeHeight="251661312" behindDoc="1" locked="0" layoutInCell="1" allowOverlap="0" wp14:anchorId="2C6EDCD3" wp14:editId="341A446C">
            <wp:simplePos x="0" y="0"/>
            <wp:positionH relativeFrom="column">
              <wp:posOffset>-748665</wp:posOffset>
            </wp:positionH>
            <wp:positionV relativeFrom="paragraph">
              <wp:posOffset>-891540</wp:posOffset>
            </wp:positionV>
            <wp:extent cx="7696200" cy="10877550"/>
            <wp:effectExtent l="0" t="0" r="0" b="0"/>
            <wp:wrapNone/>
            <wp:docPr id="1" name="Picture 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696200" cy="10877550"/>
                    </a:xfrm>
                    <a:prstGeom prst="rect">
                      <a:avLst/>
                    </a:prstGeom>
                    <a:noFill/>
                  </pic:spPr>
                </pic:pic>
              </a:graphicData>
            </a:graphic>
            <wp14:sizeRelV relativeFrom="margin">
              <wp14:pctHeight>0</wp14:pctHeight>
            </wp14:sizeRelV>
          </wp:anchor>
        </w:drawing>
      </w:r>
    </w:p>
    <w:p w:rsidR="009617BF" w:rsidRPr="009617BF" w:rsidRDefault="009617BF" w:rsidP="009617BF">
      <w:pPr>
        <w:textAlignment w:val="baseline"/>
      </w:pPr>
    </w:p>
    <w:p w:rsidR="009617BF" w:rsidRPr="009617BF" w:rsidRDefault="009617BF" w:rsidP="009617BF">
      <w:pPr>
        <w:textAlignment w:val="baseline"/>
      </w:pPr>
    </w:p>
    <w:p w:rsidR="009617BF" w:rsidRPr="009617BF" w:rsidRDefault="009617BF" w:rsidP="009617BF">
      <w:pPr>
        <w:textAlignment w:val="baseline"/>
      </w:pPr>
    </w:p>
    <w:p w:rsidR="009617BF" w:rsidRPr="009617BF" w:rsidRDefault="009617BF" w:rsidP="009617BF">
      <w:pPr>
        <w:textAlignment w:val="baseline"/>
      </w:pPr>
    </w:p>
    <w:p w:rsidR="009617BF" w:rsidRPr="009617BF" w:rsidRDefault="009617BF" w:rsidP="009617BF">
      <w:pPr>
        <w:textAlignment w:val="baseline"/>
      </w:pPr>
    </w:p>
    <w:p w:rsidR="009617BF" w:rsidRPr="009617BF" w:rsidRDefault="009617BF" w:rsidP="009617BF">
      <w:pPr>
        <w:textAlignment w:val="baseline"/>
      </w:pPr>
    </w:p>
    <w:p w:rsidR="009617BF" w:rsidRPr="009617BF" w:rsidRDefault="009617BF" w:rsidP="009617BF">
      <w:pPr>
        <w:textAlignment w:val="baseline"/>
      </w:pPr>
    </w:p>
    <w:p w:rsidR="009617BF" w:rsidRPr="009617BF" w:rsidRDefault="009617BF" w:rsidP="009617BF">
      <w:pPr>
        <w:textAlignment w:val="baseline"/>
      </w:pPr>
    </w:p>
    <w:p w:rsidR="009617BF" w:rsidRPr="009617BF" w:rsidRDefault="009617BF" w:rsidP="009617BF">
      <w:pPr>
        <w:textAlignment w:val="baseline"/>
      </w:pPr>
    </w:p>
    <w:p w:rsidR="009617BF" w:rsidRPr="009617BF" w:rsidRDefault="009617BF" w:rsidP="009617BF">
      <w:pPr>
        <w:textAlignment w:val="baseline"/>
      </w:pPr>
    </w:p>
    <w:p w:rsidR="009617BF" w:rsidRPr="009617BF" w:rsidRDefault="009617BF" w:rsidP="009617BF">
      <w:pPr>
        <w:textAlignment w:val="baseline"/>
      </w:pPr>
    </w:p>
    <w:tbl>
      <w:tblPr>
        <w:tblW w:w="10089" w:type="dxa"/>
        <w:tblLook w:val="01E0" w:firstRow="1" w:lastRow="1" w:firstColumn="1" w:lastColumn="1" w:noHBand="0" w:noVBand="0"/>
      </w:tblPr>
      <w:tblGrid>
        <w:gridCol w:w="10089"/>
      </w:tblGrid>
      <w:tr w:rsidR="009617BF" w:rsidRPr="009617BF" w:rsidTr="009617BF">
        <w:tc>
          <w:tcPr>
            <w:tcW w:w="10089" w:type="dxa"/>
          </w:tcPr>
          <w:p w:rsidR="009617BF" w:rsidRPr="009617BF" w:rsidRDefault="009617BF" w:rsidP="009617BF">
            <w:pPr>
              <w:spacing w:before="380"/>
              <w:jc w:val="right"/>
              <w:textAlignment w:val="baseline"/>
              <w:rPr>
                <w:rFonts w:ascii="Tahoma" w:hAnsi="Tahoma" w:cs="Tahoma"/>
                <w:b/>
                <w:bCs/>
                <w:iCs/>
                <w:color w:val="243285"/>
                <w:sz w:val="32"/>
                <w:szCs w:val="32"/>
                <w:lang w:val="en-US"/>
              </w:rPr>
            </w:pPr>
          </w:p>
          <w:p w:rsidR="009617BF" w:rsidRPr="009617BF" w:rsidRDefault="009617BF" w:rsidP="009617BF">
            <w:pPr>
              <w:keepNext/>
              <w:keepLines/>
              <w:tabs>
                <w:tab w:val="clear" w:pos="794"/>
                <w:tab w:val="clear" w:pos="1191"/>
                <w:tab w:val="clear" w:pos="1588"/>
                <w:tab w:val="clear" w:pos="1985"/>
              </w:tabs>
              <w:spacing w:before="0"/>
              <w:jc w:val="right"/>
              <w:textAlignment w:val="baseline"/>
              <w:rPr>
                <w:rFonts w:ascii="Tahoma" w:eastAsia="SimHei" w:hAnsi="Tahoma" w:cs="Tahoma"/>
                <w:sz w:val="36"/>
                <w:szCs w:val="36"/>
                <w:lang w:eastAsia="zh-CN"/>
              </w:rPr>
            </w:pPr>
            <w:r w:rsidRPr="009617BF">
              <w:rPr>
                <w:rFonts w:ascii="Tahoma" w:eastAsia="SimHei" w:hAnsi="Tahoma" w:cs="Tahoma"/>
                <w:b/>
                <w:bCs/>
                <w:color w:val="243285"/>
                <w:sz w:val="36"/>
                <w:szCs w:val="36"/>
                <w:lang w:val="en-US" w:eastAsia="zh-CN"/>
              </w:rPr>
              <w:t xml:space="preserve">ITU-R  </w:t>
            </w:r>
            <w:r>
              <w:rPr>
                <w:rFonts w:ascii="Tahoma" w:eastAsia="SimHei" w:hAnsi="Tahoma" w:cs="Tahoma" w:hint="eastAsia"/>
                <w:b/>
                <w:bCs/>
                <w:color w:val="243285"/>
                <w:sz w:val="36"/>
                <w:szCs w:val="36"/>
                <w:lang w:val="en-US" w:eastAsia="zh-CN"/>
              </w:rPr>
              <w:t>BS.1771</w:t>
            </w:r>
            <w:r w:rsidRPr="009617BF">
              <w:rPr>
                <w:rFonts w:ascii="Tahoma" w:eastAsia="SimHei" w:hAnsi="Tahoma" w:cs="Tahoma" w:hint="eastAsia"/>
                <w:b/>
                <w:bCs/>
                <w:color w:val="243285"/>
                <w:sz w:val="36"/>
                <w:szCs w:val="36"/>
                <w:lang w:val="en-US" w:eastAsia="zh-CN"/>
              </w:rPr>
              <w:t xml:space="preserve"> </w:t>
            </w:r>
            <w:r w:rsidRPr="009617BF">
              <w:rPr>
                <w:rFonts w:ascii="Tahoma" w:eastAsia="SimHei" w:hAnsi="Tahoma" w:cs="Tahoma" w:hint="eastAsia"/>
                <w:b/>
                <w:bCs/>
                <w:color w:val="243285"/>
                <w:sz w:val="36"/>
                <w:szCs w:val="36"/>
                <w:lang w:val="en-US" w:eastAsia="zh-CN"/>
              </w:rPr>
              <w:t>建议书</w:t>
            </w:r>
          </w:p>
          <w:p w:rsidR="009617BF" w:rsidRPr="009617BF" w:rsidRDefault="009617BF" w:rsidP="009617BF">
            <w:pPr>
              <w:spacing w:before="80"/>
              <w:jc w:val="right"/>
              <w:textAlignment w:val="baseline"/>
              <w:rPr>
                <w:rFonts w:ascii="Tahoma" w:hAnsi="Tahoma" w:cs="Tahoma"/>
                <w:b/>
                <w:bCs/>
                <w:iCs/>
                <w:color w:val="243285"/>
                <w:szCs w:val="24"/>
              </w:rPr>
            </w:pPr>
            <w:r w:rsidRPr="009617BF">
              <w:rPr>
                <w:rFonts w:ascii="Tahoma" w:hAnsi="Tahoma" w:cs="Tahoma"/>
                <w:b/>
                <w:bCs/>
                <w:iCs/>
                <w:color w:val="243285"/>
                <w:szCs w:val="24"/>
              </w:rPr>
              <w:t>(</w:t>
            </w:r>
            <w:r w:rsidRPr="009617BF">
              <w:rPr>
                <w:rFonts w:ascii="Tahoma" w:hAnsi="Tahoma" w:cs="Tahoma" w:hint="eastAsia"/>
                <w:b/>
                <w:bCs/>
                <w:iCs/>
                <w:color w:val="243285"/>
                <w:szCs w:val="24"/>
                <w:lang w:eastAsia="zh-CN"/>
              </w:rPr>
              <w:t>0</w:t>
            </w:r>
            <w:r>
              <w:rPr>
                <w:rFonts w:ascii="Tahoma" w:hAnsi="Tahoma" w:cs="Tahoma" w:hint="eastAsia"/>
                <w:b/>
                <w:bCs/>
                <w:iCs/>
                <w:color w:val="243285"/>
                <w:szCs w:val="24"/>
                <w:lang w:eastAsia="zh-CN"/>
              </w:rPr>
              <w:t>7</w:t>
            </w:r>
            <w:r w:rsidRPr="009617BF">
              <w:rPr>
                <w:rFonts w:ascii="Tahoma" w:hAnsi="Tahoma" w:cs="Tahoma"/>
                <w:b/>
                <w:bCs/>
                <w:iCs/>
                <w:color w:val="243285"/>
                <w:szCs w:val="24"/>
              </w:rPr>
              <w:t>/</w:t>
            </w:r>
            <w:r w:rsidRPr="009617BF">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06</w:t>
            </w:r>
            <w:r w:rsidRPr="009617BF">
              <w:rPr>
                <w:rFonts w:ascii="Tahoma" w:hAnsi="Tahoma" w:cs="Tahoma"/>
                <w:b/>
                <w:bCs/>
                <w:iCs/>
                <w:color w:val="243285"/>
                <w:szCs w:val="24"/>
              </w:rPr>
              <w:t>)</w:t>
            </w:r>
          </w:p>
        </w:tc>
      </w:tr>
      <w:tr w:rsidR="009617BF" w:rsidRPr="009617BF" w:rsidTr="009617BF">
        <w:tc>
          <w:tcPr>
            <w:tcW w:w="10089" w:type="dxa"/>
          </w:tcPr>
          <w:p w:rsidR="009617BF" w:rsidRPr="009617BF" w:rsidRDefault="009617BF" w:rsidP="009617BF">
            <w:pPr>
              <w:spacing w:before="80"/>
              <w:jc w:val="right"/>
              <w:textAlignment w:val="baseline"/>
              <w:rPr>
                <w:rFonts w:ascii="Tahoma" w:hAnsi="Tahoma" w:cs="Tahoma"/>
                <w:b/>
                <w:bCs/>
                <w:iCs/>
                <w:color w:val="243285"/>
                <w:sz w:val="44"/>
                <w:szCs w:val="44"/>
                <w:lang w:eastAsia="zh-CN"/>
              </w:rPr>
            </w:pPr>
          </w:p>
          <w:p w:rsidR="009617BF" w:rsidRPr="009617BF" w:rsidRDefault="009617BF" w:rsidP="009617BF">
            <w:pPr>
              <w:tabs>
                <w:tab w:val="clear" w:pos="794"/>
                <w:tab w:val="clear" w:pos="1191"/>
                <w:tab w:val="clear" w:pos="1588"/>
                <w:tab w:val="clear" w:pos="1985"/>
              </w:tabs>
              <w:spacing w:before="240"/>
              <w:jc w:val="right"/>
              <w:textAlignment w:val="baseline"/>
              <w:rPr>
                <w:rFonts w:ascii="SimHei" w:eastAsia="SimHei" w:hAnsi="Tahoma" w:cs="Tahoma"/>
                <w:b/>
                <w:bCs/>
                <w:color w:val="242484"/>
                <w:sz w:val="44"/>
                <w:szCs w:val="44"/>
                <w:lang w:val="en-US" w:eastAsia="zh-CN"/>
              </w:rPr>
            </w:pPr>
            <w:r w:rsidRPr="009617BF">
              <w:rPr>
                <w:rFonts w:ascii="SimHei" w:eastAsia="SimHei" w:hint="eastAsia"/>
                <w:b/>
                <w:color w:val="242484"/>
                <w:sz w:val="44"/>
                <w:szCs w:val="44"/>
                <w:lang w:val="en-US" w:eastAsia="zh-CN"/>
              </w:rPr>
              <w:t>对响度和实际峰值</w:t>
            </w:r>
            <w:r>
              <w:rPr>
                <w:rFonts w:ascii="SimHei" w:eastAsia="SimHei"/>
                <w:b/>
                <w:color w:val="242484"/>
                <w:sz w:val="44"/>
                <w:szCs w:val="44"/>
                <w:lang w:val="en-US" w:eastAsia="zh-CN"/>
              </w:rPr>
              <w:br/>
            </w:r>
            <w:r w:rsidRPr="009617BF">
              <w:rPr>
                <w:rFonts w:ascii="SimHei" w:eastAsia="SimHei" w:hint="eastAsia"/>
                <w:b/>
                <w:color w:val="242484"/>
                <w:sz w:val="44"/>
                <w:szCs w:val="44"/>
                <w:lang w:val="en-US" w:eastAsia="zh-CN"/>
              </w:rPr>
              <w:t>指示表的要求</w:t>
            </w:r>
          </w:p>
          <w:p w:rsidR="009617BF" w:rsidRPr="009617BF" w:rsidRDefault="009617BF" w:rsidP="009617BF">
            <w:pPr>
              <w:spacing w:before="80"/>
              <w:jc w:val="right"/>
              <w:textAlignment w:val="baseline"/>
              <w:rPr>
                <w:rFonts w:ascii="Tahoma" w:hAnsi="Tahoma" w:cs="Tahoma"/>
                <w:b/>
                <w:bCs/>
                <w:iCs/>
                <w:color w:val="243285"/>
                <w:sz w:val="44"/>
                <w:szCs w:val="44"/>
                <w:lang w:val="en-US" w:eastAsia="zh-CN"/>
              </w:rPr>
            </w:pPr>
            <w:r w:rsidRPr="009617BF">
              <w:rPr>
                <w:rFonts w:ascii="Tahoma" w:hAnsi="Tahoma" w:cs="Tahoma"/>
                <w:b/>
                <w:bCs/>
                <w:iCs/>
                <w:color w:val="243285"/>
                <w:sz w:val="44"/>
                <w:szCs w:val="44"/>
                <w:lang w:val="en-US" w:eastAsia="zh-CN"/>
              </w:rPr>
              <w:t xml:space="preserve"> </w:t>
            </w:r>
          </w:p>
        </w:tc>
      </w:tr>
      <w:tr w:rsidR="009617BF" w:rsidRPr="009617BF" w:rsidTr="009617BF">
        <w:tc>
          <w:tcPr>
            <w:tcW w:w="10089" w:type="dxa"/>
          </w:tcPr>
          <w:p w:rsidR="009617BF" w:rsidRPr="009617BF" w:rsidRDefault="009617BF" w:rsidP="009617BF">
            <w:pPr>
              <w:spacing w:before="80"/>
              <w:ind w:right="640"/>
              <w:textAlignment w:val="baseline"/>
              <w:rPr>
                <w:rFonts w:ascii="Tahoma" w:hAnsi="Tahoma" w:cs="Tahoma"/>
                <w:b/>
                <w:bCs/>
                <w:iCs/>
                <w:color w:val="243285"/>
                <w:sz w:val="32"/>
                <w:szCs w:val="32"/>
                <w:lang w:val="en-US" w:eastAsia="zh-CN"/>
              </w:rPr>
            </w:pPr>
          </w:p>
          <w:p w:rsidR="009617BF" w:rsidRPr="009617BF" w:rsidRDefault="009617BF" w:rsidP="009617BF">
            <w:pPr>
              <w:spacing w:before="80" w:after="180"/>
              <w:ind w:right="720"/>
              <w:textAlignment w:val="baseline"/>
              <w:rPr>
                <w:rFonts w:ascii="Tahoma" w:hAnsi="Tahoma" w:cs="Tahoma"/>
                <w:b/>
                <w:bCs/>
                <w:iCs/>
                <w:color w:val="243285"/>
                <w:sz w:val="36"/>
                <w:szCs w:val="36"/>
                <w:lang w:val="en-US" w:eastAsia="zh-CN"/>
              </w:rPr>
            </w:pPr>
          </w:p>
          <w:p w:rsidR="009617BF" w:rsidRPr="009617BF" w:rsidRDefault="009617BF" w:rsidP="009617BF">
            <w:pPr>
              <w:spacing w:before="80" w:after="180"/>
              <w:jc w:val="right"/>
              <w:textAlignment w:val="baseline"/>
              <w:rPr>
                <w:rFonts w:ascii="Tahoma" w:hAnsi="Tahoma" w:cs="Tahoma"/>
                <w:b/>
                <w:bCs/>
                <w:iCs/>
                <w:color w:val="243285"/>
                <w:sz w:val="36"/>
                <w:szCs w:val="36"/>
                <w:lang w:val="en-US" w:eastAsia="zh-CN"/>
              </w:rPr>
            </w:pPr>
            <w:r w:rsidRPr="009617BF">
              <w:rPr>
                <w:rFonts w:ascii="Tahoma" w:hAnsi="Tahoma" w:cs="Tahoma"/>
                <w:b/>
                <w:bCs/>
                <w:iCs/>
                <w:color w:val="243285"/>
                <w:sz w:val="36"/>
                <w:szCs w:val="36"/>
                <w:lang w:val="en-US" w:eastAsia="zh-CN"/>
              </w:rPr>
              <w:t>B</w:t>
            </w:r>
            <w:r w:rsidRPr="009617BF">
              <w:rPr>
                <w:rFonts w:ascii="Tahoma" w:hAnsi="Tahoma" w:cs="Tahoma" w:hint="eastAsia"/>
                <w:b/>
                <w:bCs/>
                <w:iCs/>
                <w:color w:val="243285"/>
                <w:sz w:val="36"/>
                <w:szCs w:val="36"/>
                <w:lang w:val="en-US" w:eastAsia="zh-CN"/>
              </w:rPr>
              <w:t>S</w:t>
            </w:r>
            <w:r w:rsidRPr="009617BF">
              <w:rPr>
                <w:rFonts w:ascii="SimHei" w:eastAsia="SimHei" w:hAnsi="Tahoma" w:cs="Tahoma" w:hint="eastAsia"/>
                <w:b/>
                <w:bCs/>
                <w:iCs/>
                <w:color w:val="243285"/>
                <w:sz w:val="36"/>
                <w:szCs w:val="36"/>
                <w:lang w:val="en-US" w:eastAsia="zh-CN"/>
              </w:rPr>
              <w:t>系列</w:t>
            </w:r>
          </w:p>
          <w:p w:rsidR="009617BF" w:rsidRPr="009617BF" w:rsidRDefault="009617BF" w:rsidP="009617BF">
            <w:pPr>
              <w:spacing w:before="80"/>
              <w:jc w:val="right"/>
              <w:textAlignment w:val="baseline"/>
              <w:rPr>
                <w:rFonts w:ascii="Tahoma" w:hAnsi="Tahoma" w:cs="Tahoma"/>
                <w:b/>
                <w:bCs/>
                <w:iCs/>
                <w:color w:val="243285"/>
                <w:sz w:val="36"/>
                <w:szCs w:val="36"/>
                <w:lang w:val="en-US" w:eastAsia="zh-CN"/>
              </w:rPr>
            </w:pPr>
            <w:r w:rsidRPr="009617BF">
              <w:rPr>
                <w:rFonts w:ascii="SimHei" w:eastAsia="SimHei" w:hAnsi="Tahoma" w:cs="Tahoma" w:hint="eastAsia"/>
                <w:b/>
                <w:bCs/>
                <w:iCs/>
                <w:color w:val="243285"/>
                <w:sz w:val="36"/>
                <w:szCs w:val="36"/>
                <w:lang w:val="en-US" w:eastAsia="zh-CN"/>
              </w:rPr>
              <w:t>广播业务</w:t>
            </w:r>
            <w:r w:rsidRPr="009617BF">
              <w:rPr>
                <w:rFonts w:ascii="Tahoma" w:hAnsi="Tahoma" w:cs="Tahoma" w:hint="eastAsia"/>
                <w:b/>
                <w:bCs/>
                <w:iCs/>
                <w:color w:val="243285"/>
                <w:sz w:val="36"/>
                <w:szCs w:val="36"/>
                <w:lang w:val="en-US" w:eastAsia="zh-CN"/>
              </w:rPr>
              <w:t>(</w:t>
            </w:r>
            <w:r w:rsidRPr="009617BF">
              <w:rPr>
                <w:rFonts w:ascii="SimHei" w:eastAsia="SimHei" w:hAnsi="Tahoma" w:cs="Tahoma" w:hint="eastAsia"/>
                <w:b/>
                <w:bCs/>
                <w:iCs/>
                <w:color w:val="243285"/>
                <w:sz w:val="36"/>
                <w:szCs w:val="36"/>
                <w:lang w:val="en-US" w:eastAsia="zh-CN"/>
              </w:rPr>
              <w:t>声音</w:t>
            </w:r>
            <w:r w:rsidRPr="009617BF">
              <w:rPr>
                <w:rFonts w:ascii="Tahoma" w:hAnsi="Tahoma" w:cs="Tahoma" w:hint="eastAsia"/>
                <w:b/>
                <w:bCs/>
                <w:iCs/>
                <w:color w:val="243285"/>
                <w:sz w:val="36"/>
                <w:szCs w:val="36"/>
                <w:lang w:val="en-US" w:eastAsia="zh-CN"/>
              </w:rPr>
              <w:t>)</w:t>
            </w:r>
          </w:p>
          <w:p w:rsidR="009617BF" w:rsidRPr="009617BF" w:rsidRDefault="009617BF" w:rsidP="009617BF">
            <w:pPr>
              <w:spacing w:before="80"/>
              <w:jc w:val="right"/>
              <w:textAlignment w:val="baseline"/>
              <w:rPr>
                <w:rFonts w:ascii="Tahoma" w:hAnsi="Tahoma" w:cs="Tahoma"/>
                <w:b/>
                <w:bCs/>
                <w:iCs/>
                <w:color w:val="243285"/>
                <w:sz w:val="32"/>
                <w:szCs w:val="32"/>
                <w:lang w:val="en-US" w:eastAsia="zh-CN"/>
              </w:rPr>
            </w:pPr>
          </w:p>
        </w:tc>
      </w:tr>
    </w:tbl>
    <w:p w:rsidR="009617BF" w:rsidRPr="009617BF" w:rsidRDefault="009617BF" w:rsidP="009617BF">
      <w:pPr>
        <w:spacing w:before="80"/>
        <w:textAlignment w:val="baseline"/>
        <w:rPr>
          <w:i/>
          <w:sz w:val="22"/>
          <w:lang w:val="en-US" w:eastAsia="zh-CN"/>
        </w:rPr>
      </w:pPr>
    </w:p>
    <w:p w:rsidR="009617BF" w:rsidRPr="009617BF" w:rsidRDefault="009617BF" w:rsidP="009617BF">
      <w:pPr>
        <w:spacing w:before="80"/>
        <w:textAlignment w:val="baseline"/>
        <w:rPr>
          <w:i/>
          <w:sz w:val="22"/>
          <w:lang w:val="en-US" w:eastAsia="zh-CN"/>
        </w:rPr>
      </w:pPr>
    </w:p>
    <w:p w:rsidR="009617BF" w:rsidRPr="009617BF" w:rsidRDefault="009617BF" w:rsidP="009617BF">
      <w:pPr>
        <w:spacing w:before="80"/>
        <w:textAlignment w:val="baseline"/>
        <w:rPr>
          <w:i/>
          <w:sz w:val="22"/>
          <w:lang w:val="en-US" w:eastAsia="zh-CN"/>
        </w:rPr>
      </w:pPr>
    </w:p>
    <w:p w:rsidR="009617BF" w:rsidRPr="009617BF" w:rsidRDefault="009617BF" w:rsidP="009617BF">
      <w:pPr>
        <w:spacing w:before="80"/>
        <w:textAlignment w:val="baseline"/>
        <w:rPr>
          <w:i/>
          <w:sz w:val="22"/>
          <w:lang w:val="en-US" w:eastAsia="zh-CN"/>
        </w:rPr>
      </w:pPr>
    </w:p>
    <w:p w:rsidR="009617BF" w:rsidRPr="009617BF" w:rsidRDefault="009617BF" w:rsidP="009617BF">
      <w:pPr>
        <w:spacing w:before="80"/>
        <w:textAlignment w:val="baseline"/>
        <w:rPr>
          <w:i/>
          <w:sz w:val="22"/>
          <w:lang w:val="en-US" w:eastAsia="zh-CN"/>
        </w:rPr>
      </w:pPr>
    </w:p>
    <w:p w:rsidR="009617BF" w:rsidRPr="009617BF" w:rsidRDefault="009617BF" w:rsidP="009617BF">
      <w:pPr>
        <w:textAlignment w:val="baseline"/>
        <w:rPr>
          <w:lang w:val="en-US" w:eastAsia="zh-CN"/>
        </w:rPr>
      </w:pPr>
    </w:p>
    <w:p w:rsidR="009617BF" w:rsidRPr="009617BF" w:rsidRDefault="009617BF" w:rsidP="009617BF">
      <w:pPr>
        <w:keepNext/>
        <w:keepLines/>
        <w:tabs>
          <w:tab w:val="clear" w:pos="794"/>
          <w:tab w:val="clear" w:pos="1191"/>
          <w:tab w:val="clear" w:pos="1588"/>
          <w:tab w:val="clear" w:pos="1985"/>
        </w:tabs>
        <w:spacing w:before="240"/>
        <w:jc w:val="center"/>
        <w:textAlignment w:val="baseline"/>
        <w:rPr>
          <w:sz w:val="28"/>
          <w:lang w:val="en-US" w:eastAsia="zh-CN"/>
        </w:rPr>
        <w:sectPr w:rsidR="009617BF" w:rsidRPr="009617BF" w:rsidSect="009617BF">
          <w:headerReference w:type="even" r:id="rId9"/>
          <w:headerReference w:type="default" r:id="rId10"/>
          <w:footerReference w:type="default" r:id="rId11"/>
          <w:pgSz w:w="11907" w:h="16834" w:code="9"/>
          <w:pgMar w:top="1089" w:right="1089" w:bottom="284" w:left="1089" w:header="567" w:footer="284" w:gutter="0"/>
          <w:paperSrc w:first="15" w:other="15"/>
          <w:cols w:space="720"/>
        </w:sectPr>
      </w:pPr>
    </w:p>
    <w:p w:rsidR="009617BF" w:rsidRPr="009617BF" w:rsidRDefault="009617BF" w:rsidP="009617BF">
      <w:pPr>
        <w:spacing w:before="0"/>
        <w:textAlignment w:val="baseline"/>
        <w:rPr>
          <w:sz w:val="6"/>
          <w:szCs w:val="6"/>
          <w:lang w:val="en-US" w:eastAsia="zh-CN"/>
        </w:rPr>
      </w:pPr>
    </w:p>
    <w:p w:rsidR="009617BF" w:rsidRPr="009617BF" w:rsidRDefault="009617BF" w:rsidP="000753AE">
      <w:pPr>
        <w:pStyle w:val="Heading1"/>
        <w:spacing w:before="240"/>
        <w:jc w:val="center"/>
        <w:rPr>
          <w:lang w:val="en-US" w:eastAsia="zh-CN"/>
        </w:rPr>
      </w:pPr>
      <w:r w:rsidRPr="009617BF">
        <w:rPr>
          <w:rFonts w:hint="eastAsia"/>
          <w:lang w:val="fr-CH" w:eastAsia="zh-CN"/>
        </w:rPr>
        <w:t>前言</w:t>
      </w:r>
    </w:p>
    <w:p w:rsidR="009617BF" w:rsidRPr="009617BF" w:rsidRDefault="009617BF" w:rsidP="009617BF">
      <w:pPr>
        <w:spacing w:before="240"/>
        <w:ind w:firstLineChars="200" w:firstLine="400"/>
        <w:jc w:val="left"/>
        <w:textAlignment w:val="baseline"/>
        <w:rPr>
          <w:sz w:val="20"/>
          <w:lang w:val="en-US" w:eastAsia="zh-CN"/>
        </w:rPr>
      </w:pPr>
      <w:r w:rsidRPr="009617BF">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617BF" w:rsidRPr="009617BF" w:rsidRDefault="009617BF" w:rsidP="009617BF">
      <w:pPr>
        <w:ind w:firstLineChars="200" w:firstLine="400"/>
        <w:jc w:val="left"/>
        <w:textAlignment w:val="baseline"/>
        <w:rPr>
          <w:sz w:val="20"/>
          <w:lang w:val="en-US" w:eastAsia="zh-CN"/>
        </w:rPr>
      </w:pPr>
      <w:r w:rsidRPr="009617BF">
        <w:rPr>
          <w:rFonts w:hint="eastAsia"/>
          <w:sz w:val="20"/>
          <w:lang w:val="en-US" w:eastAsia="zh-CN"/>
        </w:rPr>
        <w:t>无线电通信部门的规则和政策职能由世界或区域无线电通信大会以及无线电通信全会在研究组的支持下履行。</w:t>
      </w:r>
    </w:p>
    <w:p w:rsidR="009617BF" w:rsidRPr="009617BF" w:rsidRDefault="009617BF" w:rsidP="009617BF">
      <w:pPr>
        <w:spacing w:before="480"/>
        <w:jc w:val="center"/>
        <w:textAlignment w:val="baseline"/>
        <w:rPr>
          <w:b/>
          <w:bCs/>
          <w:lang w:val="en-US" w:eastAsia="zh-CN"/>
        </w:rPr>
      </w:pPr>
      <w:r w:rsidRPr="009617BF">
        <w:rPr>
          <w:rFonts w:hint="eastAsia"/>
          <w:b/>
          <w:bCs/>
          <w:lang w:val="en-US" w:eastAsia="zh-CN"/>
        </w:rPr>
        <w:t>知识产权政策（</w:t>
      </w:r>
      <w:r w:rsidRPr="009617BF">
        <w:rPr>
          <w:b/>
          <w:bCs/>
          <w:lang w:val="en-US" w:eastAsia="zh-CN"/>
        </w:rPr>
        <w:t>IPR</w:t>
      </w:r>
      <w:r w:rsidRPr="009617BF">
        <w:rPr>
          <w:rFonts w:hint="eastAsia"/>
          <w:b/>
          <w:bCs/>
          <w:lang w:val="en-US" w:eastAsia="zh-CN"/>
        </w:rPr>
        <w:t>）</w:t>
      </w:r>
    </w:p>
    <w:p w:rsidR="009617BF" w:rsidRPr="009617BF" w:rsidRDefault="009617BF" w:rsidP="009617BF">
      <w:pPr>
        <w:tabs>
          <w:tab w:val="clear" w:pos="794"/>
          <w:tab w:val="clear" w:pos="1191"/>
          <w:tab w:val="clear" w:pos="1588"/>
          <w:tab w:val="clear" w:pos="1985"/>
        </w:tabs>
        <w:spacing w:before="240"/>
        <w:ind w:firstLineChars="200" w:firstLine="400"/>
        <w:jc w:val="left"/>
        <w:textAlignment w:val="baseline"/>
        <w:rPr>
          <w:sz w:val="20"/>
          <w:lang w:val="en-US" w:eastAsia="zh-CN"/>
        </w:rPr>
      </w:pPr>
      <w:r w:rsidRPr="009617BF">
        <w:rPr>
          <w:sz w:val="20"/>
          <w:lang w:val="en-US"/>
        </w:rPr>
        <w:t>ITU-R</w:t>
      </w:r>
      <w:r w:rsidRPr="009617BF">
        <w:rPr>
          <w:rFonts w:hint="eastAsia"/>
          <w:sz w:val="20"/>
          <w:lang w:val="en-US" w:eastAsia="zh-CN"/>
        </w:rPr>
        <w:t>的</w:t>
      </w:r>
      <w:r w:rsidRPr="009617BF">
        <w:rPr>
          <w:sz w:val="20"/>
          <w:lang w:val="en-US"/>
        </w:rPr>
        <w:t>IPR</w:t>
      </w:r>
      <w:r w:rsidRPr="009617BF">
        <w:rPr>
          <w:rFonts w:hint="eastAsia"/>
          <w:sz w:val="20"/>
          <w:lang w:val="en-US" w:eastAsia="zh-CN"/>
        </w:rPr>
        <w:t>政策述于</w:t>
      </w:r>
      <w:r w:rsidRPr="009617BF">
        <w:rPr>
          <w:sz w:val="20"/>
          <w:lang w:val="en-US"/>
        </w:rPr>
        <w:t>ITU-R</w:t>
      </w:r>
      <w:r w:rsidRPr="009617BF">
        <w:rPr>
          <w:rFonts w:hint="eastAsia"/>
          <w:sz w:val="20"/>
          <w:lang w:val="en-US" w:eastAsia="zh-CN"/>
        </w:rPr>
        <w:t>第</w:t>
      </w:r>
      <w:r w:rsidRPr="009617BF">
        <w:rPr>
          <w:rFonts w:hint="eastAsia"/>
          <w:sz w:val="20"/>
          <w:lang w:val="en-US" w:eastAsia="zh-CN"/>
        </w:rPr>
        <w:t>1</w:t>
      </w:r>
      <w:r w:rsidRPr="009617BF">
        <w:rPr>
          <w:rFonts w:hint="eastAsia"/>
          <w:sz w:val="20"/>
          <w:lang w:val="en-US" w:eastAsia="zh-CN"/>
        </w:rPr>
        <w:t>号决议的附件</w:t>
      </w:r>
      <w:r w:rsidRPr="009617BF">
        <w:rPr>
          <w:rFonts w:hint="eastAsia"/>
          <w:sz w:val="20"/>
          <w:lang w:val="en-US" w:eastAsia="zh-CN"/>
        </w:rPr>
        <w:t>1</w:t>
      </w:r>
      <w:r w:rsidRPr="009617BF">
        <w:rPr>
          <w:rFonts w:hint="eastAsia"/>
          <w:sz w:val="20"/>
          <w:lang w:val="en-US" w:eastAsia="zh-CN"/>
        </w:rPr>
        <w:t>中所参引的《</w:t>
      </w:r>
      <w:r w:rsidRPr="009617BF">
        <w:rPr>
          <w:sz w:val="20"/>
          <w:lang w:val="en-US" w:eastAsia="zh-CN"/>
        </w:rPr>
        <w:t>ITU-T/ITU-R/ISO/IEC</w:t>
      </w:r>
      <w:r w:rsidRPr="009617BF">
        <w:rPr>
          <w:rFonts w:hint="eastAsia"/>
          <w:sz w:val="20"/>
          <w:lang w:val="en-US" w:eastAsia="zh-CN"/>
        </w:rPr>
        <w:t>的通用专利政策》。专利持有人用于提交专利声明和许可声明的表格可从</w:t>
      </w:r>
      <w:hyperlink r:id="rId12" w:history="1">
        <w:r w:rsidRPr="009617BF">
          <w:rPr>
            <w:color w:val="0000FF"/>
            <w:sz w:val="20"/>
            <w:u w:val="single"/>
            <w:lang w:val="en-US" w:eastAsia="zh-CN"/>
          </w:rPr>
          <w:t>http://www.itu.int/ITU-R/go/patents/en</w:t>
        </w:r>
      </w:hyperlink>
      <w:r w:rsidRPr="009617BF">
        <w:rPr>
          <w:rFonts w:hint="eastAsia"/>
          <w:sz w:val="20"/>
          <w:lang w:eastAsia="zh-CN"/>
        </w:rPr>
        <w:t>获得</w:t>
      </w:r>
      <w:r w:rsidRPr="009617BF">
        <w:rPr>
          <w:rFonts w:hint="eastAsia"/>
          <w:sz w:val="20"/>
          <w:lang w:val="en-US" w:eastAsia="zh-CN"/>
        </w:rPr>
        <w:t>，</w:t>
      </w:r>
      <w:r w:rsidRPr="009617BF">
        <w:rPr>
          <w:rFonts w:hint="eastAsia"/>
          <w:sz w:val="20"/>
          <w:lang w:eastAsia="zh-CN"/>
        </w:rPr>
        <w:t>在此处也可获取</w:t>
      </w:r>
      <w:r w:rsidRPr="009617BF">
        <w:rPr>
          <w:rFonts w:hint="eastAsia"/>
          <w:sz w:val="20"/>
          <w:lang w:val="en-US" w:eastAsia="zh-CN"/>
        </w:rPr>
        <w:t>《</w:t>
      </w:r>
      <w:r w:rsidRPr="009617BF">
        <w:rPr>
          <w:sz w:val="20"/>
          <w:lang w:val="en-US" w:eastAsia="zh-CN"/>
        </w:rPr>
        <w:t>ITU-T/ITU-R/ISO/IEC</w:t>
      </w:r>
      <w:r w:rsidRPr="009617BF">
        <w:rPr>
          <w:rFonts w:hint="eastAsia"/>
          <w:sz w:val="20"/>
          <w:lang w:val="en-US" w:eastAsia="zh-CN"/>
        </w:rPr>
        <w:t>的通用专利政策实施指南》和</w:t>
      </w:r>
      <w:r w:rsidRPr="009617BF">
        <w:rPr>
          <w:sz w:val="20"/>
          <w:lang w:val="en-US" w:eastAsia="zh-CN"/>
        </w:rPr>
        <w:t>ITU-R</w:t>
      </w:r>
      <w:r w:rsidRPr="009617BF">
        <w:rPr>
          <w:rFonts w:hint="eastAsia"/>
          <w:sz w:val="20"/>
          <w:lang w:val="en-US" w:eastAsia="zh-CN"/>
        </w:rPr>
        <w:t>专利信息数据库。</w:t>
      </w:r>
    </w:p>
    <w:p w:rsidR="009617BF" w:rsidRPr="009617BF" w:rsidRDefault="009617BF" w:rsidP="009617BF">
      <w:pPr>
        <w:jc w:val="center"/>
        <w:textAlignment w:val="baseline"/>
        <w:rPr>
          <w:sz w:val="22"/>
          <w:lang w:val="en-US" w:eastAsia="zh-CN"/>
        </w:rPr>
      </w:pPr>
    </w:p>
    <w:p w:rsidR="009617BF" w:rsidRPr="009617BF" w:rsidRDefault="009617BF" w:rsidP="009617BF">
      <w:pPr>
        <w:jc w:val="center"/>
        <w:textAlignment w:val="baseline"/>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617BF" w:rsidRPr="009617BF" w:rsidTr="009617BF">
        <w:tc>
          <w:tcPr>
            <w:tcW w:w="9748" w:type="dxa"/>
            <w:gridSpan w:val="2"/>
          </w:tcPr>
          <w:p w:rsidR="009617BF" w:rsidRPr="009617BF" w:rsidRDefault="009617BF" w:rsidP="009617BF">
            <w:pPr>
              <w:keepNext/>
              <w:spacing w:after="40"/>
              <w:jc w:val="center"/>
              <w:textAlignment w:val="baseline"/>
              <w:rPr>
                <w:b/>
                <w:bCs/>
                <w:sz w:val="22"/>
                <w:lang w:val="en-US" w:eastAsia="zh-CN"/>
              </w:rPr>
            </w:pPr>
            <w:r w:rsidRPr="009617BF">
              <w:rPr>
                <w:rFonts w:hint="eastAsia"/>
                <w:b/>
                <w:bCs/>
                <w:sz w:val="22"/>
                <w:lang w:val="en-US" w:eastAsia="zh-CN"/>
              </w:rPr>
              <w:t xml:space="preserve">ITU-R </w:t>
            </w:r>
            <w:r w:rsidRPr="009617BF">
              <w:rPr>
                <w:rFonts w:hint="eastAsia"/>
                <w:b/>
                <w:bCs/>
                <w:sz w:val="22"/>
                <w:lang w:val="en-US" w:eastAsia="zh-CN"/>
              </w:rPr>
              <w:t>系列建议书</w:t>
            </w:r>
          </w:p>
          <w:p w:rsidR="009617BF" w:rsidRPr="009617BF" w:rsidRDefault="009617BF" w:rsidP="009617BF">
            <w:pPr>
              <w:jc w:val="center"/>
              <w:textAlignment w:val="baseline"/>
              <w:rPr>
                <w:sz w:val="18"/>
                <w:szCs w:val="18"/>
                <w:lang w:val="en-US" w:eastAsia="zh-CN"/>
              </w:rPr>
            </w:pPr>
            <w:r w:rsidRPr="009617BF">
              <w:rPr>
                <w:rFonts w:hint="eastAsia"/>
                <w:sz w:val="18"/>
                <w:szCs w:val="18"/>
                <w:lang w:val="en-US" w:eastAsia="zh-CN"/>
              </w:rPr>
              <w:t>（也可在线查询</w:t>
            </w:r>
            <w:r w:rsidRPr="009617BF">
              <w:rPr>
                <w:rFonts w:hint="eastAsia"/>
                <w:sz w:val="18"/>
                <w:szCs w:val="18"/>
                <w:lang w:val="en-US" w:eastAsia="zh-CN"/>
              </w:rPr>
              <w:t xml:space="preserve"> </w:t>
            </w:r>
            <w:hyperlink r:id="rId13" w:history="1">
              <w:r w:rsidRPr="009617BF">
                <w:rPr>
                  <w:bCs/>
                  <w:color w:val="0000FF"/>
                  <w:sz w:val="18"/>
                  <w:szCs w:val="18"/>
                  <w:u w:val="single"/>
                  <w:lang w:val="en-US" w:eastAsia="zh-CN"/>
                </w:rPr>
                <w:t>http://www.itu.int/publ/R-REC/en</w:t>
              </w:r>
            </w:hyperlink>
            <w:r w:rsidRPr="009617BF">
              <w:rPr>
                <w:rFonts w:hint="eastAsia"/>
                <w:sz w:val="18"/>
                <w:szCs w:val="18"/>
                <w:lang w:val="en-US" w:eastAsia="zh-CN"/>
              </w:rPr>
              <w:t>）</w:t>
            </w:r>
          </w:p>
        </w:tc>
      </w:tr>
      <w:tr w:rsidR="009617BF" w:rsidRPr="009617BF" w:rsidTr="009617BF">
        <w:tc>
          <w:tcPr>
            <w:tcW w:w="960" w:type="dxa"/>
          </w:tcPr>
          <w:p w:rsidR="009617BF" w:rsidRPr="009617BF" w:rsidRDefault="009617BF" w:rsidP="009617BF">
            <w:pPr>
              <w:spacing w:after="40"/>
              <w:ind w:left="57"/>
              <w:textAlignment w:val="baseline"/>
              <w:rPr>
                <w:b/>
                <w:bCs/>
                <w:sz w:val="20"/>
                <w:lang w:val="en-US"/>
              </w:rPr>
            </w:pPr>
            <w:r w:rsidRPr="009617BF">
              <w:rPr>
                <w:rFonts w:ascii="SimSun" w:hAnsi="SimSun" w:hint="eastAsia"/>
                <w:b/>
                <w:bCs/>
                <w:sz w:val="20"/>
                <w:lang w:val="en-US" w:eastAsia="zh-CN"/>
              </w:rPr>
              <w:t>系列</w:t>
            </w:r>
          </w:p>
        </w:tc>
        <w:tc>
          <w:tcPr>
            <w:tcW w:w="8788" w:type="dxa"/>
          </w:tcPr>
          <w:p w:rsidR="009617BF" w:rsidRPr="009617BF" w:rsidRDefault="009617BF" w:rsidP="009617BF">
            <w:pPr>
              <w:keepNext/>
              <w:spacing w:after="40"/>
              <w:ind w:hanging="1040"/>
              <w:jc w:val="center"/>
              <w:textAlignment w:val="baseline"/>
              <w:rPr>
                <w:b/>
                <w:bCs/>
                <w:sz w:val="20"/>
                <w:lang w:val="en-US"/>
              </w:rPr>
            </w:pPr>
            <w:r w:rsidRPr="009617BF">
              <w:rPr>
                <w:rFonts w:ascii="SimSun" w:hAnsi="SimSun" w:hint="eastAsia"/>
                <w:b/>
                <w:bCs/>
                <w:sz w:val="20"/>
                <w:lang w:val="en-US" w:eastAsia="zh-CN"/>
              </w:rPr>
              <w:t>标题</w:t>
            </w:r>
          </w:p>
        </w:tc>
      </w:tr>
      <w:tr w:rsidR="009617BF" w:rsidRPr="009617BF" w:rsidTr="009617BF">
        <w:tc>
          <w:tcPr>
            <w:tcW w:w="960" w:type="dxa"/>
          </w:tcPr>
          <w:p w:rsidR="009617BF" w:rsidRPr="009617BF" w:rsidRDefault="009617BF" w:rsidP="009617BF">
            <w:pPr>
              <w:spacing w:before="30" w:after="30"/>
              <w:ind w:left="57"/>
              <w:jc w:val="left"/>
              <w:textAlignment w:val="baseline"/>
              <w:rPr>
                <w:b/>
                <w:bCs/>
                <w:sz w:val="20"/>
                <w:lang w:val="en-US"/>
              </w:rPr>
            </w:pPr>
            <w:r w:rsidRPr="009617BF">
              <w:rPr>
                <w:b/>
                <w:bCs/>
                <w:sz w:val="20"/>
                <w:lang w:val="en-US"/>
              </w:rPr>
              <w:t>BO</w:t>
            </w:r>
          </w:p>
        </w:tc>
        <w:tc>
          <w:tcPr>
            <w:tcW w:w="8788" w:type="dxa"/>
          </w:tcPr>
          <w:p w:rsidR="009617BF" w:rsidRPr="009617BF" w:rsidRDefault="009617BF" w:rsidP="009617BF">
            <w:pPr>
              <w:keepNext/>
              <w:spacing w:before="30" w:after="30"/>
              <w:jc w:val="left"/>
              <w:textAlignment w:val="baseline"/>
              <w:rPr>
                <w:bCs/>
                <w:sz w:val="20"/>
                <w:lang w:val="en-US"/>
              </w:rPr>
            </w:pPr>
            <w:r w:rsidRPr="009617BF">
              <w:rPr>
                <w:rFonts w:hint="eastAsia"/>
                <w:bCs/>
                <w:sz w:val="20"/>
                <w:lang w:val="en-US" w:eastAsia="zh-CN"/>
              </w:rPr>
              <w:t>卫星传送</w:t>
            </w:r>
          </w:p>
        </w:tc>
      </w:tr>
      <w:tr w:rsidR="009617BF" w:rsidRPr="009617BF" w:rsidTr="009617BF">
        <w:tc>
          <w:tcPr>
            <w:tcW w:w="960" w:type="dxa"/>
            <w:tcBorders>
              <w:bottom w:val="nil"/>
            </w:tcBorders>
          </w:tcPr>
          <w:p w:rsidR="009617BF" w:rsidRPr="009617BF" w:rsidRDefault="009617BF" w:rsidP="009617BF">
            <w:pPr>
              <w:spacing w:before="30" w:after="30"/>
              <w:ind w:left="57"/>
              <w:jc w:val="left"/>
              <w:textAlignment w:val="baseline"/>
              <w:rPr>
                <w:b/>
                <w:bCs/>
                <w:sz w:val="20"/>
                <w:lang w:val="en-US"/>
              </w:rPr>
            </w:pPr>
            <w:r w:rsidRPr="009617BF">
              <w:rPr>
                <w:b/>
                <w:bCs/>
                <w:sz w:val="20"/>
                <w:lang w:val="en-US"/>
              </w:rPr>
              <w:t>BR</w:t>
            </w:r>
          </w:p>
        </w:tc>
        <w:tc>
          <w:tcPr>
            <w:tcW w:w="8788" w:type="dxa"/>
            <w:tcBorders>
              <w:bottom w:val="nil"/>
            </w:tcBorders>
          </w:tcPr>
          <w:p w:rsidR="009617BF" w:rsidRPr="009617BF" w:rsidRDefault="009617BF" w:rsidP="009617BF">
            <w:pPr>
              <w:keepNext/>
              <w:spacing w:before="30" w:after="30"/>
              <w:jc w:val="left"/>
              <w:textAlignment w:val="baseline"/>
              <w:rPr>
                <w:sz w:val="20"/>
                <w:lang w:val="en-US" w:eastAsia="zh-CN"/>
              </w:rPr>
            </w:pPr>
            <w:r w:rsidRPr="009617BF">
              <w:rPr>
                <w:rFonts w:hint="eastAsia"/>
                <w:sz w:val="20"/>
                <w:lang w:val="en-US" w:eastAsia="zh-CN"/>
              </w:rPr>
              <w:t>用于制作、存档和播出的录制；电视电影</w:t>
            </w:r>
          </w:p>
        </w:tc>
      </w:tr>
      <w:tr w:rsidR="009617BF" w:rsidRPr="009617BF" w:rsidTr="009617BF">
        <w:tc>
          <w:tcPr>
            <w:tcW w:w="960" w:type="dxa"/>
            <w:tcBorders>
              <w:top w:val="nil"/>
              <w:bottom w:val="nil"/>
            </w:tcBorders>
            <w:shd w:val="pct5" w:color="auto" w:fill="auto"/>
          </w:tcPr>
          <w:p w:rsidR="009617BF" w:rsidRPr="009617BF" w:rsidRDefault="009617BF" w:rsidP="009617BF">
            <w:pPr>
              <w:spacing w:before="30" w:after="30"/>
              <w:ind w:left="57"/>
              <w:jc w:val="left"/>
              <w:textAlignment w:val="baseline"/>
              <w:rPr>
                <w:b/>
                <w:bCs/>
                <w:color w:val="000080"/>
                <w:sz w:val="20"/>
                <w:lang w:val="en-US"/>
              </w:rPr>
            </w:pPr>
            <w:r w:rsidRPr="009617BF">
              <w:rPr>
                <w:b/>
                <w:bCs/>
                <w:color w:val="000080"/>
                <w:sz w:val="20"/>
                <w:lang w:val="en-US"/>
              </w:rPr>
              <w:t>BS</w:t>
            </w:r>
          </w:p>
        </w:tc>
        <w:tc>
          <w:tcPr>
            <w:tcW w:w="8788" w:type="dxa"/>
            <w:tcBorders>
              <w:top w:val="nil"/>
              <w:bottom w:val="nil"/>
            </w:tcBorders>
            <w:shd w:val="pct5" w:color="auto" w:fill="auto"/>
          </w:tcPr>
          <w:p w:rsidR="009617BF" w:rsidRPr="009617BF" w:rsidRDefault="009617BF" w:rsidP="009617BF">
            <w:pPr>
              <w:keepNext/>
              <w:spacing w:before="30" w:after="30"/>
              <w:jc w:val="left"/>
              <w:textAlignment w:val="baseline"/>
              <w:rPr>
                <w:b/>
                <w:bCs/>
                <w:color w:val="000080"/>
                <w:sz w:val="20"/>
                <w:lang w:val="en-US"/>
              </w:rPr>
            </w:pPr>
            <w:r w:rsidRPr="009617BF">
              <w:rPr>
                <w:rFonts w:hint="eastAsia"/>
                <w:b/>
                <w:bCs/>
                <w:color w:val="000080"/>
                <w:sz w:val="20"/>
                <w:lang w:val="en-US"/>
              </w:rPr>
              <w:t>广播业务（声音）</w:t>
            </w:r>
          </w:p>
        </w:tc>
      </w:tr>
      <w:tr w:rsidR="009617BF" w:rsidRPr="009617BF" w:rsidTr="009617BF">
        <w:tc>
          <w:tcPr>
            <w:tcW w:w="960" w:type="dxa"/>
            <w:tcBorders>
              <w:top w:val="nil"/>
              <w:bottom w:val="nil"/>
            </w:tcBorders>
            <w:shd w:val="clear" w:color="auto" w:fill="FFFFFF" w:themeFill="background1"/>
          </w:tcPr>
          <w:p w:rsidR="009617BF" w:rsidRPr="009617BF" w:rsidRDefault="009617BF" w:rsidP="009617BF">
            <w:pPr>
              <w:spacing w:before="30" w:after="30"/>
              <w:ind w:left="57"/>
              <w:jc w:val="left"/>
              <w:textAlignment w:val="baseline"/>
              <w:rPr>
                <w:b/>
                <w:bCs/>
                <w:sz w:val="20"/>
                <w:lang w:val="en-US"/>
              </w:rPr>
            </w:pPr>
            <w:r w:rsidRPr="009617BF">
              <w:rPr>
                <w:b/>
                <w:bCs/>
                <w:sz w:val="20"/>
                <w:lang w:val="en-US"/>
              </w:rPr>
              <w:t>BT</w:t>
            </w:r>
          </w:p>
        </w:tc>
        <w:tc>
          <w:tcPr>
            <w:tcW w:w="8788" w:type="dxa"/>
            <w:tcBorders>
              <w:top w:val="nil"/>
              <w:bottom w:val="nil"/>
            </w:tcBorders>
            <w:shd w:val="clear" w:color="auto" w:fill="FFFFFF" w:themeFill="background1"/>
          </w:tcPr>
          <w:p w:rsidR="009617BF" w:rsidRPr="009617BF" w:rsidRDefault="009617BF" w:rsidP="009617BF">
            <w:pPr>
              <w:spacing w:before="30" w:after="30"/>
              <w:ind w:left="57" w:hanging="61"/>
              <w:jc w:val="left"/>
              <w:textAlignment w:val="baseline"/>
              <w:rPr>
                <w:sz w:val="20"/>
                <w:lang w:val="en-US"/>
              </w:rPr>
            </w:pPr>
            <w:r w:rsidRPr="009617BF">
              <w:rPr>
                <w:rFonts w:hint="eastAsia"/>
                <w:sz w:val="20"/>
                <w:lang w:val="en-US"/>
              </w:rPr>
              <w:t>广播业务（电视）</w:t>
            </w:r>
          </w:p>
        </w:tc>
      </w:tr>
      <w:tr w:rsidR="009617BF" w:rsidRPr="009617BF" w:rsidTr="009617BF">
        <w:tc>
          <w:tcPr>
            <w:tcW w:w="960" w:type="dxa"/>
            <w:tcBorders>
              <w:top w:val="nil"/>
            </w:tcBorders>
          </w:tcPr>
          <w:p w:rsidR="009617BF" w:rsidRPr="009617BF" w:rsidRDefault="009617BF" w:rsidP="009617BF">
            <w:pPr>
              <w:spacing w:before="30" w:after="30"/>
              <w:ind w:left="57"/>
              <w:jc w:val="left"/>
              <w:textAlignment w:val="baseline"/>
              <w:rPr>
                <w:b/>
                <w:bCs/>
                <w:sz w:val="20"/>
                <w:lang w:val="fr-CH"/>
              </w:rPr>
            </w:pPr>
            <w:r w:rsidRPr="009617BF">
              <w:rPr>
                <w:b/>
                <w:bCs/>
                <w:sz w:val="20"/>
                <w:lang w:val="fr-CH"/>
              </w:rPr>
              <w:t>F</w:t>
            </w:r>
          </w:p>
        </w:tc>
        <w:tc>
          <w:tcPr>
            <w:tcW w:w="8788" w:type="dxa"/>
            <w:tcBorders>
              <w:top w:val="nil"/>
            </w:tcBorders>
          </w:tcPr>
          <w:p w:rsidR="009617BF" w:rsidRPr="009617BF" w:rsidRDefault="009617BF" w:rsidP="009617BF">
            <w:pPr>
              <w:spacing w:before="30" w:after="30"/>
              <w:textAlignment w:val="baseline"/>
              <w:rPr>
                <w:sz w:val="20"/>
                <w:lang w:val="fr-CH"/>
              </w:rPr>
            </w:pPr>
            <w:r w:rsidRPr="009617BF">
              <w:rPr>
                <w:rFonts w:hint="eastAsia"/>
                <w:sz w:val="20"/>
                <w:lang w:val="fr-CH" w:eastAsia="zh-CN"/>
              </w:rPr>
              <w:t>固定业务</w:t>
            </w:r>
          </w:p>
        </w:tc>
      </w:tr>
      <w:tr w:rsidR="009617BF" w:rsidRPr="009617BF" w:rsidTr="009617BF">
        <w:tc>
          <w:tcPr>
            <w:tcW w:w="960" w:type="dxa"/>
          </w:tcPr>
          <w:p w:rsidR="009617BF" w:rsidRPr="009617BF" w:rsidRDefault="009617BF" w:rsidP="009617BF">
            <w:pPr>
              <w:spacing w:before="30" w:after="30"/>
              <w:ind w:left="57"/>
              <w:jc w:val="left"/>
              <w:textAlignment w:val="baseline"/>
              <w:rPr>
                <w:b/>
                <w:bCs/>
                <w:sz w:val="20"/>
                <w:lang w:val="en-US"/>
              </w:rPr>
            </w:pPr>
            <w:r w:rsidRPr="009617BF">
              <w:rPr>
                <w:b/>
                <w:bCs/>
                <w:sz w:val="20"/>
                <w:lang w:val="en-US"/>
              </w:rPr>
              <w:t>M</w:t>
            </w:r>
          </w:p>
        </w:tc>
        <w:tc>
          <w:tcPr>
            <w:tcW w:w="8788" w:type="dxa"/>
          </w:tcPr>
          <w:p w:rsidR="009617BF" w:rsidRPr="009617BF" w:rsidRDefault="009617BF" w:rsidP="009617BF">
            <w:pPr>
              <w:keepNext/>
              <w:spacing w:before="30" w:after="30"/>
              <w:jc w:val="left"/>
              <w:textAlignment w:val="baseline"/>
              <w:rPr>
                <w:sz w:val="20"/>
                <w:lang w:val="en-US" w:eastAsia="zh-CN"/>
              </w:rPr>
            </w:pPr>
            <w:r w:rsidRPr="009617BF">
              <w:rPr>
                <w:rFonts w:hint="eastAsia"/>
                <w:sz w:val="20"/>
                <w:lang w:val="en-US" w:eastAsia="zh-CN"/>
              </w:rPr>
              <w:t>移动、无线电定位、业余和相关卫星业务</w:t>
            </w:r>
          </w:p>
        </w:tc>
      </w:tr>
      <w:tr w:rsidR="009617BF" w:rsidRPr="009617BF" w:rsidTr="009617BF">
        <w:tc>
          <w:tcPr>
            <w:tcW w:w="960" w:type="dxa"/>
          </w:tcPr>
          <w:p w:rsidR="009617BF" w:rsidRPr="009617BF" w:rsidRDefault="009617BF" w:rsidP="009617BF">
            <w:pPr>
              <w:spacing w:before="30" w:after="30"/>
              <w:ind w:left="57"/>
              <w:jc w:val="left"/>
              <w:textAlignment w:val="baseline"/>
              <w:rPr>
                <w:b/>
                <w:bCs/>
                <w:sz w:val="20"/>
                <w:lang w:val="fr-CH"/>
              </w:rPr>
            </w:pPr>
            <w:r w:rsidRPr="009617BF">
              <w:rPr>
                <w:b/>
                <w:bCs/>
                <w:sz w:val="20"/>
                <w:lang w:val="fr-CH"/>
              </w:rPr>
              <w:t>P</w:t>
            </w:r>
          </w:p>
        </w:tc>
        <w:tc>
          <w:tcPr>
            <w:tcW w:w="8788" w:type="dxa"/>
          </w:tcPr>
          <w:p w:rsidR="009617BF" w:rsidRPr="009617BF" w:rsidRDefault="009617BF" w:rsidP="009617BF">
            <w:pPr>
              <w:spacing w:before="30" w:after="30"/>
              <w:jc w:val="left"/>
              <w:textAlignment w:val="baseline"/>
              <w:rPr>
                <w:sz w:val="20"/>
                <w:lang w:val="fr-CH"/>
              </w:rPr>
            </w:pPr>
            <w:r w:rsidRPr="009617BF">
              <w:rPr>
                <w:rFonts w:hint="eastAsia"/>
                <w:sz w:val="20"/>
                <w:lang w:val="fr-CH" w:eastAsia="zh-CN"/>
              </w:rPr>
              <w:t>无线电波传播</w:t>
            </w:r>
          </w:p>
        </w:tc>
      </w:tr>
      <w:tr w:rsidR="009617BF" w:rsidRPr="009617BF" w:rsidTr="009617BF">
        <w:tc>
          <w:tcPr>
            <w:tcW w:w="960" w:type="dxa"/>
          </w:tcPr>
          <w:p w:rsidR="009617BF" w:rsidRPr="009617BF" w:rsidRDefault="009617BF" w:rsidP="009617BF">
            <w:pPr>
              <w:spacing w:before="30" w:after="30"/>
              <w:ind w:left="57"/>
              <w:jc w:val="left"/>
              <w:textAlignment w:val="baseline"/>
              <w:rPr>
                <w:b/>
                <w:bCs/>
                <w:sz w:val="20"/>
                <w:lang w:val="en-US"/>
              </w:rPr>
            </w:pPr>
            <w:r w:rsidRPr="009617BF">
              <w:rPr>
                <w:b/>
                <w:bCs/>
                <w:sz w:val="20"/>
                <w:lang w:val="en-US"/>
              </w:rPr>
              <w:t>RA</w:t>
            </w:r>
          </w:p>
        </w:tc>
        <w:tc>
          <w:tcPr>
            <w:tcW w:w="8788" w:type="dxa"/>
          </w:tcPr>
          <w:p w:rsidR="009617BF" w:rsidRPr="009617BF" w:rsidRDefault="009617BF" w:rsidP="009617BF">
            <w:pPr>
              <w:spacing w:before="30" w:after="30"/>
              <w:textAlignment w:val="baseline"/>
              <w:rPr>
                <w:sz w:val="20"/>
                <w:lang w:val="en-US"/>
              </w:rPr>
            </w:pPr>
            <w:r w:rsidRPr="009617BF">
              <w:rPr>
                <w:rFonts w:hint="eastAsia"/>
                <w:sz w:val="20"/>
                <w:lang w:val="en-US" w:eastAsia="zh-CN"/>
              </w:rPr>
              <w:t>射电天文</w:t>
            </w:r>
          </w:p>
        </w:tc>
      </w:tr>
      <w:tr w:rsidR="009617BF" w:rsidRPr="009617BF" w:rsidTr="009617BF">
        <w:tc>
          <w:tcPr>
            <w:tcW w:w="960" w:type="dxa"/>
            <w:tcBorders>
              <w:bottom w:val="nil"/>
            </w:tcBorders>
          </w:tcPr>
          <w:p w:rsidR="009617BF" w:rsidRPr="009617BF" w:rsidRDefault="009617BF" w:rsidP="009617BF">
            <w:pPr>
              <w:spacing w:before="30" w:after="30"/>
              <w:ind w:left="57"/>
              <w:jc w:val="left"/>
              <w:textAlignment w:val="baseline"/>
              <w:rPr>
                <w:b/>
                <w:bCs/>
                <w:sz w:val="20"/>
                <w:lang w:val="en-US"/>
              </w:rPr>
            </w:pPr>
            <w:r w:rsidRPr="009617BF">
              <w:rPr>
                <w:b/>
                <w:bCs/>
                <w:sz w:val="20"/>
                <w:lang w:val="en-US"/>
              </w:rPr>
              <w:t>RS</w:t>
            </w:r>
          </w:p>
        </w:tc>
        <w:tc>
          <w:tcPr>
            <w:tcW w:w="8788" w:type="dxa"/>
            <w:tcBorders>
              <w:bottom w:val="nil"/>
            </w:tcBorders>
          </w:tcPr>
          <w:p w:rsidR="009617BF" w:rsidRPr="009617BF" w:rsidRDefault="009617BF" w:rsidP="009617BF">
            <w:pPr>
              <w:spacing w:before="30" w:after="30"/>
              <w:textAlignment w:val="baseline"/>
              <w:rPr>
                <w:sz w:val="20"/>
                <w:lang w:val="en-US"/>
              </w:rPr>
            </w:pPr>
            <w:r w:rsidRPr="009617BF">
              <w:rPr>
                <w:rFonts w:hint="eastAsia"/>
                <w:sz w:val="20"/>
                <w:lang w:val="en-US" w:eastAsia="zh-CN"/>
              </w:rPr>
              <w:t>遥感系统</w:t>
            </w:r>
          </w:p>
        </w:tc>
      </w:tr>
      <w:tr w:rsidR="009617BF" w:rsidRPr="009617BF" w:rsidTr="009617BF">
        <w:tc>
          <w:tcPr>
            <w:tcW w:w="960" w:type="dxa"/>
            <w:tcBorders>
              <w:top w:val="nil"/>
              <w:bottom w:val="nil"/>
            </w:tcBorders>
            <w:shd w:val="clear" w:color="auto" w:fill="FFFFFF"/>
          </w:tcPr>
          <w:p w:rsidR="009617BF" w:rsidRPr="009617BF" w:rsidRDefault="009617BF" w:rsidP="009617BF">
            <w:pPr>
              <w:spacing w:before="30" w:after="30"/>
              <w:ind w:left="57"/>
              <w:jc w:val="left"/>
              <w:textAlignment w:val="baseline"/>
              <w:rPr>
                <w:b/>
                <w:bCs/>
                <w:sz w:val="20"/>
                <w:lang w:val="en-US"/>
              </w:rPr>
            </w:pPr>
            <w:r w:rsidRPr="009617BF">
              <w:rPr>
                <w:b/>
                <w:bCs/>
                <w:sz w:val="20"/>
                <w:lang w:val="en-US"/>
              </w:rPr>
              <w:t>S</w:t>
            </w:r>
          </w:p>
        </w:tc>
        <w:tc>
          <w:tcPr>
            <w:tcW w:w="8788" w:type="dxa"/>
            <w:tcBorders>
              <w:top w:val="nil"/>
              <w:bottom w:val="nil"/>
            </w:tcBorders>
            <w:shd w:val="clear" w:color="auto" w:fill="FFFFFF"/>
          </w:tcPr>
          <w:p w:rsidR="009617BF" w:rsidRPr="009617BF" w:rsidRDefault="009617BF" w:rsidP="009617BF">
            <w:pPr>
              <w:spacing w:before="30" w:after="30"/>
              <w:ind w:left="57" w:hanging="61"/>
              <w:jc w:val="left"/>
              <w:textAlignment w:val="baseline"/>
              <w:rPr>
                <w:sz w:val="20"/>
                <w:lang w:val="en-US"/>
              </w:rPr>
            </w:pPr>
            <w:r w:rsidRPr="009617BF">
              <w:rPr>
                <w:rFonts w:hint="eastAsia"/>
                <w:sz w:val="20"/>
                <w:lang w:val="en-US"/>
              </w:rPr>
              <w:t>卫星固定业务</w:t>
            </w:r>
          </w:p>
        </w:tc>
      </w:tr>
      <w:tr w:rsidR="009617BF" w:rsidRPr="009617BF" w:rsidTr="009617BF">
        <w:tc>
          <w:tcPr>
            <w:tcW w:w="960" w:type="dxa"/>
            <w:tcBorders>
              <w:top w:val="nil"/>
            </w:tcBorders>
          </w:tcPr>
          <w:p w:rsidR="009617BF" w:rsidRPr="009617BF" w:rsidRDefault="009617BF" w:rsidP="009617BF">
            <w:pPr>
              <w:spacing w:before="30" w:after="30"/>
              <w:ind w:left="57"/>
              <w:jc w:val="left"/>
              <w:textAlignment w:val="baseline"/>
              <w:rPr>
                <w:b/>
                <w:bCs/>
                <w:sz w:val="20"/>
                <w:lang w:val="en-US"/>
              </w:rPr>
            </w:pPr>
            <w:r w:rsidRPr="009617BF">
              <w:rPr>
                <w:b/>
                <w:bCs/>
                <w:sz w:val="20"/>
                <w:lang w:val="en-US"/>
              </w:rPr>
              <w:t>SA</w:t>
            </w:r>
          </w:p>
        </w:tc>
        <w:tc>
          <w:tcPr>
            <w:tcW w:w="8788" w:type="dxa"/>
            <w:tcBorders>
              <w:top w:val="nil"/>
            </w:tcBorders>
          </w:tcPr>
          <w:p w:rsidR="009617BF" w:rsidRPr="009617BF" w:rsidRDefault="009617BF" w:rsidP="009617BF">
            <w:pPr>
              <w:spacing w:before="30" w:after="30"/>
              <w:jc w:val="left"/>
              <w:textAlignment w:val="baseline"/>
              <w:rPr>
                <w:sz w:val="20"/>
                <w:lang w:val="en-US"/>
              </w:rPr>
            </w:pPr>
            <w:r w:rsidRPr="009617BF">
              <w:rPr>
                <w:rFonts w:hint="eastAsia"/>
                <w:sz w:val="20"/>
                <w:lang w:val="en-US" w:eastAsia="zh-CN"/>
              </w:rPr>
              <w:t>空间应用和气象</w:t>
            </w:r>
          </w:p>
        </w:tc>
      </w:tr>
      <w:tr w:rsidR="009617BF" w:rsidRPr="009617BF" w:rsidTr="009617BF">
        <w:tc>
          <w:tcPr>
            <w:tcW w:w="960" w:type="dxa"/>
          </w:tcPr>
          <w:p w:rsidR="009617BF" w:rsidRPr="009617BF" w:rsidRDefault="009617BF" w:rsidP="009617BF">
            <w:pPr>
              <w:spacing w:before="30" w:after="30"/>
              <w:ind w:left="57"/>
              <w:jc w:val="left"/>
              <w:textAlignment w:val="baseline"/>
              <w:rPr>
                <w:b/>
                <w:bCs/>
                <w:sz w:val="20"/>
                <w:lang w:val="en-US"/>
              </w:rPr>
            </w:pPr>
            <w:r w:rsidRPr="009617BF">
              <w:rPr>
                <w:b/>
                <w:bCs/>
                <w:sz w:val="20"/>
                <w:lang w:val="en-US"/>
              </w:rPr>
              <w:t>SF</w:t>
            </w:r>
          </w:p>
        </w:tc>
        <w:tc>
          <w:tcPr>
            <w:tcW w:w="8788" w:type="dxa"/>
          </w:tcPr>
          <w:p w:rsidR="009617BF" w:rsidRPr="009617BF" w:rsidRDefault="009617BF" w:rsidP="009617BF">
            <w:pPr>
              <w:spacing w:before="30" w:after="30"/>
              <w:jc w:val="left"/>
              <w:textAlignment w:val="baseline"/>
              <w:rPr>
                <w:sz w:val="20"/>
                <w:lang w:val="en-US" w:eastAsia="zh-CN"/>
              </w:rPr>
            </w:pPr>
            <w:r w:rsidRPr="009617BF">
              <w:rPr>
                <w:rFonts w:hint="eastAsia"/>
                <w:sz w:val="20"/>
                <w:lang w:val="en-US" w:eastAsia="zh-CN"/>
              </w:rPr>
              <w:t>卫星固定业务和固定业务系统间的频率共用和协调</w:t>
            </w:r>
          </w:p>
        </w:tc>
      </w:tr>
      <w:tr w:rsidR="009617BF" w:rsidRPr="009617BF" w:rsidTr="009617BF">
        <w:tc>
          <w:tcPr>
            <w:tcW w:w="960" w:type="dxa"/>
          </w:tcPr>
          <w:p w:rsidR="009617BF" w:rsidRPr="009617BF" w:rsidRDefault="009617BF" w:rsidP="009617BF">
            <w:pPr>
              <w:spacing w:before="30" w:after="30"/>
              <w:ind w:left="57"/>
              <w:jc w:val="left"/>
              <w:textAlignment w:val="baseline"/>
              <w:rPr>
                <w:b/>
                <w:bCs/>
                <w:sz w:val="20"/>
                <w:lang w:val="en-US"/>
              </w:rPr>
            </w:pPr>
            <w:r w:rsidRPr="009617BF">
              <w:rPr>
                <w:b/>
                <w:bCs/>
                <w:sz w:val="20"/>
                <w:lang w:val="en-US"/>
              </w:rPr>
              <w:t>SM</w:t>
            </w:r>
          </w:p>
        </w:tc>
        <w:tc>
          <w:tcPr>
            <w:tcW w:w="8788" w:type="dxa"/>
          </w:tcPr>
          <w:p w:rsidR="009617BF" w:rsidRPr="009617BF" w:rsidRDefault="009617BF" w:rsidP="009617BF">
            <w:pPr>
              <w:spacing w:before="30" w:after="30"/>
              <w:textAlignment w:val="baseline"/>
              <w:rPr>
                <w:sz w:val="20"/>
                <w:lang w:val="en-US"/>
              </w:rPr>
            </w:pPr>
            <w:r w:rsidRPr="009617BF">
              <w:rPr>
                <w:rFonts w:hint="eastAsia"/>
                <w:sz w:val="20"/>
                <w:lang w:val="en-US" w:eastAsia="zh-CN"/>
              </w:rPr>
              <w:t>频谱管理</w:t>
            </w:r>
          </w:p>
        </w:tc>
      </w:tr>
      <w:tr w:rsidR="009617BF" w:rsidRPr="009617BF" w:rsidTr="009617BF">
        <w:tc>
          <w:tcPr>
            <w:tcW w:w="960" w:type="dxa"/>
          </w:tcPr>
          <w:p w:rsidR="009617BF" w:rsidRPr="009617BF" w:rsidRDefault="009617BF" w:rsidP="009617BF">
            <w:pPr>
              <w:spacing w:before="30" w:after="30"/>
              <w:ind w:left="57"/>
              <w:jc w:val="left"/>
              <w:textAlignment w:val="baseline"/>
              <w:rPr>
                <w:b/>
                <w:bCs/>
                <w:sz w:val="20"/>
                <w:lang w:val="en-US"/>
              </w:rPr>
            </w:pPr>
            <w:r w:rsidRPr="009617BF">
              <w:rPr>
                <w:b/>
                <w:bCs/>
                <w:sz w:val="20"/>
                <w:lang w:val="en-US"/>
              </w:rPr>
              <w:t>SNG</w:t>
            </w:r>
          </w:p>
        </w:tc>
        <w:tc>
          <w:tcPr>
            <w:tcW w:w="8788" w:type="dxa"/>
          </w:tcPr>
          <w:p w:rsidR="009617BF" w:rsidRPr="009617BF" w:rsidRDefault="009617BF" w:rsidP="009617BF">
            <w:pPr>
              <w:spacing w:before="30" w:after="30"/>
              <w:jc w:val="left"/>
              <w:textAlignment w:val="baseline"/>
              <w:rPr>
                <w:sz w:val="20"/>
                <w:lang w:val="en-US"/>
              </w:rPr>
            </w:pPr>
            <w:r w:rsidRPr="009617BF">
              <w:rPr>
                <w:rFonts w:hint="eastAsia"/>
                <w:sz w:val="20"/>
                <w:lang w:val="en-US" w:eastAsia="zh-CN"/>
              </w:rPr>
              <w:t>卫星新闻采集</w:t>
            </w:r>
          </w:p>
        </w:tc>
      </w:tr>
      <w:tr w:rsidR="009617BF" w:rsidRPr="009617BF" w:rsidTr="009617BF">
        <w:tc>
          <w:tcPr>
            <w:tcW w:w="960" w:type="dxa"/>
          </w:tcPr>
          <w:p w:rsidR="009617BF" w:rsidRPr="009617BF" w:rsidRDefault="009617BF" w:rsidP="009617BF">
            <w:pPr>
              <w:spacing w:before="30" w:after="30"/>
              <w:ind w:left="57"/>
              <w:jc w:val="left"/>
              <w:textAlignment w:val="baseline"/>
              <w:rPr>
                <w:b/>
                <w:bCs/>
                <w:sz w:val="20"/>
                <w:lang w:val="en-US"/>
              </w:rPr>
            </w:pPr>
            <w:r w:rsidRPr="009617BF">
              <w:rPr>
                <w:b/>
                <w:bCs/>
                <w:sz w:val="20"/>
                <w:lang w:val="en-US"/>
              </w:rPr>
              <w:t>TF</w:t>
            </w:r>
          </w:p>
        </w:tc>
        <w:tc>
          <w:tcPr>
            <w:tcW w:w="8788" w:type="dxa"/>
          </w:tcPr>
          <w:p w:rsidR="009617BF" w:rsidRPr="009617BF" w:rsidRDefault="009617BF" w:rsidP="009617BF">
            <w:pPr>
              <w:spacing w:before="30" w:after="30"/>
              <w:jc w:val="left"/>
              <w:textAlignment w:val="baseline"/>
              <w:rPr>
                <w:sz w:val="20"/>
                <w:lang w:val="en-US" w:eastAsia="zh-CN"/>
              </w:rPr>
            </w:pPr>
            <w:r w:rsidRPr="009617BF">
              <w:rPr>
                <w:rFonts w:hint="eastAsia"/>
                <w:sz w:val="20"/>
                <w:lang w:val="en-US" w:eastAsia="zh-CN"/>
              </w:rPr>
              <w:t>时间信号和频率标准发射</w:t>
            </w:r>
          </w:p>
        </w:tc>
      </w:tr>
      <w:tr w:rsidR="009617BF" w:rsidRPr="009617BF" w:rsidTr="009617BF">
        <w:tc>
          <w:tcPr>
            <w:tcW w:w="960" w:type="dxa"/>
          </w:tcPr>
          <w:p w:rsidR="009617BF" w:rsidRPr="009617BF" w:rsidRDefault="009617BF" w:rsidP="009617BF">
            <w:pPr>
              <w:spacing w:before="30" w:after="30"/>
              <w:ind w:left="57"/>
              <w:jc w:val="left"/>
              <w:textAlignment w:val="baseline"/>
              <w:rPr>
                <w:b/>
                <w:bCs/>
                <w:sz w:val="20"/>
                <w:lang w:val="en-US"/>
              </w:rPr>
            </w:pPr>
            <w:r w:rsidRPr="009617BF">
              <w:rPr>
                <w:b/>
                <w:bCs/>
                <w:sz w:val="20"/>
                <w:lang w:val="en-US"/>
              </w:rPr>
              <w:t>V</w:t>
            </w:r>
          </w:p>
        </w:tc>
        <w:tc>
          <w:tcPr>
            <w:tcW w:w="8788" w:type="dxa"/>
          </w:tcPr>
          <w:p w:rsidR="009617BF" w:rsidRPr="009617BF" w:rsidRDefault="009617BF" w:rsidP="009617BF">
            <w:pPr>
              <w:spacing w:before="30" w:after="180"/>
              <w:jc w:val="left"/>
              <w:textAlignment w:val="baseline"/>
              <w:rPr>
                <w:sz w:val="20"/>
                <w:lang w:val="en-US"/>
              </w:rPr>
            </w:pPr>
            <w:r w:rsidRPr="009617BF">
              <w:rPr>
                <w:rFonts w:hint="eastAsia"/>
                <w:sz w:val="20"/>
                <w:lang w:val="en-US" w:eastAsia="zh-CN"/>
              </w:rPr>
              <w:t>词汇和相关问题</w:t>
            </w:r>
          </w:p>
        </w:tc>
      </w:tr>
    </w:tbl>
    <w:p w:rsidR="009617BF" w:rsidRPr="009617BF" w:rsidRDefault="009617BF" w:rsidP="009617BF">
      <w:pPr>
        <w:spacing w:before="240"/>
        <w:textAlignment w:val="baseline"/>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617BF" w:rsidRPr="009617BF" w:rsidTr="009617BF">
        <w:tc>
          <w:tcPr>
            <w:tcW w:w="9775" w:type="dxa"/>
          </w:tcPr>
          <w:p w:rsidR="009617BF" w:rsidRPr="009617BF" w:rsidRDefault="009617BF" w:rsidP="009617BF">
            <w:pPr>
              <w:spacing w:after="120"/>
              <w:rPr>
                <w:rFonts w:eastAsia="STKaiti"/>
                <w:sz w:val="20"/>
                <w:lang w:eastAsia="zh-CN"/>
              </w:rPr>
            </w:pPr>
            <w:r w:rsidRPr="009617BF">
              <w:rPr>
                <w:rFonts w:eastAsia="STKaiti" w:hint="eastAsia"/>
                <w:b/>
                <w:sz w:val="20"/>
                <w:lang w:eastAsia="zh-CN"/>
              </w:rPr>
              <w:t>说明：</w:t>
            </w:r>
            <w:r w:rsidRPr="009617BF">
              <w:rPr>
                <w:rFonts w:eastAsia="STKaiti" w:hint="eastAsia"/>
                <w:sz w:val="20"/>
                <w:lang w:eastAsia="zh-CN"/>
              </w:rPr>
              <w:t>该</w:t>
            </w:r>
            <w:r w:rsidRPr="009617BF">
              <w:rPr>
                <w:rFonts w:eastAsia="STKaiti" w:hint="eastAsia"/>
                <w:sz w:val="20"/>
                <w:lang w:eastAsia="zh-CN"/>
              </w:rPr>
              <w:t>ITU-R</w:t>
            </w:r>
            <w:r w:rsidRPr="009617BF">
              <w:rPr>
                <w:rFonts w:eastAsia="STKaiti" w:hint="eastAsia"/>
                <w:sz w:val="20"/>
                <w:lang w:eastAsia="zh-CN"/>
              </w:rPr>
              <w:t>建议书的英文版本根据</w:t>
            </w:r>
            <w:r w:rsidRPr="009617BF">
              <w:rPr>
                <w:rFonts w:eastAsia="STKaiti" w:hint="eastAsia"/>
                <w:sz w:val="20"/>
                <w:lang w:eastAsia="zh-CN"/>
              </w:rPr>
              <w:t>ITU-R</w:t>
            </w:r>
            <w:r w:rsidRPr="009617BF">
              <w:rPr>
                <w:rFonts w:eastAsia="STKaiti" w:hint="eastAsia"/>
                <w:sz w:val="20"/>
                <w:lang w:eastAsia="zh-CN"/>
              </w:rPr>
              <w:t>第</w:t>
            </w:r>
            <w:r w:rsidRPr="009617BF">
              <w:rPr>
                <w:rFonts w:eastAsia="STKaiti" w:hint="eastAsia"/>
                <w:sz w:val="20"/>
                <w:lang w:eastAsia="zh-CN"/>
              </w:rPr>
              <w:t>1</w:t>
            </w:r>
            <w:r w:rsidRPr="009617BF">
              <w:rPr>
                <w:rFonts w:eastAsia="STKaiti" w:hint="eastAsia"/>
                <w:sz w:val="20"/>
                <w:lang w:eastAsia="zh-CN"/>
              </w:rPr>
              <w:t>号决议详述的程序予以批准。</w:t>
            </w:r>
          </w:p>
        </w:tc>
      </w:tr>
    </w:tbl>
    <w:p w:rsidR="009617BF" w:rsidRPr="009617BF" w:rsidRDefault="009617BF" w:rsidP="009617BF">
      <w:pPr>
        <w:tabs>
          <w:tab w:val="left" w:pos="9540"/>
        </w:tabs>
        <w:spacing w:before="360"/>
        <w:ind w:right="99"/>
        <w:jc w:val="right"/>
        <w:textAlignment w:val="baseline"/>
        <w:rPr>
          <w:sz w:val="20"/>
          <w:lang w:eastAsia="zh-CN"/>
        </w:rPr>
      </w:pPr>
      <w:r w:rsidRPr="009617BF">
        <w:rPr>
          <w:rFonts w:ascii="STKaiti" w:eastAsia="STKaiti" w:hAnsi="STKaiti" w:hint="eastAsia"/>
          <w:sz w:val="20"/>
          <w:lang w:eastAsia="zh-CN"/>
        </w:rPr>
        <w:t>电子出版</w:t>
      </w:r>
      <w:r w:rsidRPr="009617BF">
        <w:rPr>
          <w:rFonts w:ascii="STKaiti" w:eastAsia="STKaiti" w:hAnsi="STKaiti"/>
          <w:sz w:val="20"/>
          <w:lang w:eastAsia="zh-CN"/>
        </w:rPr>
        <w:br/>
      </w:r>
      <w:r w:rsidRPr="009617BF">
        <w:rPr>
          <w:rFonts w:hint="eastAsia"/>
          <w:sz w:val="20"/>
          <w:lang w:eastAsia="zh-CN"/>
        </w:rPr>
        <w:t>20</w:t>
      </w:r>
      <w:r>
        <w:rPr>
          <w:rFonts w:hint="eastAsia"/>
          <w:sz w:val="20"/>
          <w:lang w:eastAsia="zh-CN"/>
        </w:rPr>
        <w:t>11</w:t>
      </w:r>
      <w:r w:rsidRPr="009617BF">
        <w:rPr>
          <w:rFonts w:hint="eastAsia"/>
          <w:sz w:val="20"/>
          <w:lang w:eastAsia="zh-CN"/>
        </w:rPr>
        <w:t>年，日内瓦</w:t>
      </w:r>
    </w:p>
    <w:p w:rsidR="009617BF" w:rsidRPr="009617BF" w:rsidRDefault="009617BF" w:rsidP="009617BF">
      <w:pPr>
        <w:textAlignment w:val="baseline"/>
        <w:rPr>
          <w:szCs w:val="24"/>
          <w:lang w:eastAsia="zh-CN"/>
        </w:rPr>
      </w:pPr>
    </w:p>
    <w:p w:rsidR="009617BF" w:rsidRPr="009617BF" w:rsidRDefault="009617BF" w:rsidP="009617BF">
      <w:pPr>
        <w:jc w:val="center"/>
        <w:textAlignment w:val="baseline"/>
        <w:rPr>
          <w:sz w:val="20"/>
          <w:lang w:val="en-US" w:eastAsia="zh-CN"/>
        </w:rPr>
      </w:pPr>
      <w:r w:rsidRPr="009617BF">
        <w:rPr>
          <w:sz w:val="20"/>
          <w:lang w:val="en-US"/>
        </w:rPr>
        <w:sym w:font="Symbol" w:char="F0E3"/>
      </w:r>
      <w:r w:rsidRPr="009617BF">
        <w:rPr>
          <w:sz w:val="20"/>
          <w:lang w:val="en-US" w:eastAsia="zh-CN"/>
        </w:rPr>
        <w:t xml:space="preserve"> ITU 20</w:t>
      </w:r>
      <w:r>
        <w:rPr>
          <w:rFonts w:hint="eastAsia"/>
          <w:sz w:val="20"/>
          <w:lang w:val="en-US" w:eastAsia="zh-CN"/>
        </w:rPr>
        <w:t>11</w:t>
      </w:r>
    </w:p>
    <w:p w:rsidR="009617BF" w:rsidRPr="009617BF" w:rsidRDefault="009617BF" w:rsidP="009617BF">
      <w:pPr>
        <w:ind w:firstLineChars="200" w:firstLine="360"/>
        <w:jc w:val="left"/>
        <w:textAlignment w:val="baseline"/>
        <w:rPr>
          <w:lang w:val="en-US" w:eastAsia="zh-CN"/>
        </w:rPr>
      </w:pPr>
      <w:r w:rsidRPr="009617BF">
        <w:rPr>
          <w:rFonts w:ascii="SimSun" w:hAnsi="SimSun" w:hint="eastAsia"/>
          <w:sz w:val="18"/>
          <w:szCs w:val="18"/>
          <w:lang w:val="en-US" w:eastAsia="zh-CN"/>
        </w:rPr>
        <w:t>版权所有。</w:t>
      </w:r>
      <w:r w:rsidRPr="009617BF">
        <w:rPr>
          <w:rFonts w:ascii="SimSun" w:hAnsi="SimSun"/>
          <w:sz w:val="18"/>
          <w:szCs w:val="18"/>
          <w:lang w:eastAsia="zh-CN"/>
        </w:rPr>
        <w:t>未经国际电联书面许可，不得以任何手段复制本出版物的任何部分</w:t>
      </w:r>
      <w:r w:rsidRPr="009617BF">
        <w:rPr>
          <w:rFonts w:ascii="SimSun" w:hAnsi="SimSun" w:hint="eastAsia"/>
          <w:sz w:val="18"/>
          <w:szCs w:val="18"/>
          <w:lang w:eastAsia="zh-CN"/>
        </w:rPr>
        <w:t>。</w:t>
      </w:r>
    </w:p>
    <w:p w:rsidR="009617BF" w:rsidRPr="009617BF" w:rsidRDefault="009617BF" w:rsidP="0041337C">
      <w:pPr>
        <w:pStyle w:val="RecNoBR"/>
        <w:spacing w:before="0"/>
        <w:rPr>
          <w:rStyle w:val="href"/>
          <w:lang w:val="en-US" w:eastAsia="zh-CN"/>
        </w:rPr>
        <w:sectPr w:rsidR="009617BF" w:rsidRPr="009617BF" w:rsidSect="009617BF">
          <w:headerReference w:type="default" r:id="rId14"/>
          <w:footerReference w:type="even" r:id="rId15"/>
          <w:footerReference w:type="default" r:id="rId16"/>
          <w:headerReference w:type="first" r:id="rId17"/>
          <w:footerReference w:type="first" r:id="rId18"/>
          <w:footnotePr>
            <w:numFmt w:val="chicago"/>
            <w:numRestart w:val="eachSect"/>
          </w:footnotePr>
          <w:pgSz w:w="11907" w:h="16840" w:code="9"/>
          <w:pgMar w:top="1418" w:right="1134" w:bottom="1134" w:left="1134" w:header="720" w:footer="482" w:gutter="0"/>
          <w:pgNumType w:fmt="lowerRoman" w:start="2"/>
          <w:cols w:space="708"/>
          <w:titlePg/>
          <w:docGrid w:linePitch="360"/>
        </w:sectPr>
      </w:pPr>
    </w:p>
    <w:p w:rsidR="00885069" w:rsidRPr="0041337C" w:rsidRDefault="00885069" w:rsidP="000753AE">
      <w:pPr>
        <w:pStyle w:val="RecNoBR"/>
        <w:spacing w:before="240"/>
        <w:rPr>
          <w:lang w:val="fr-CH" w:eastAsia="zh-CN"/>
        </w:rPr>
      </w:pPr>
      <w:r w:rsidRPr="009617BF">
        <w:rPr>
          <w:lang w:eastAsia="zh-CN"/>
        </w:rPr>
        <w:lastRenderedPageBreak/>
        <w:t>ITU-R  BS.</w:t>
      </w:r>
      <w:r w:rsidRPr="000753AE">
        <w:rPr>
          <w:lang w:eastAsia="zh-CN"/>
        </w:rPr>
        <w:t>1771</w:t>
      </w:r>
      <w:r w:rsidRPr="009617BF">
        <w:rPr>
          <w:rFonts w:hint="eastAsia"/>
          <w:lang w:eastAsia="zh-CN"/>
        </w:rPr>
        <w:t>建议书</w:t>
      </w:r>
      <w:r w:rsidR="0041337C">
        <w:rPr>
          <w:rStyle w:val="FootnoteReference"/>
          <w:lang w:eastAsia="zh-CN"/>
        </w:rPr>
        <w:footnoteReference w:id="1"/>
      </w:r>
    </w:p>
    <w:p w:rsidR="00885069" w:rsidRDefault="00885069" w:rsidP="00885069">
      <w:pPr>
        <w:pStyle w:val="RectitleBR"/>
        <w:rPr>
          <w:lang w:val="en-US" w:eastAsia="zh-CN"/>
        </w:rPr>
      </w:pPr>
      <w:r>
        <w:rPr>
          <w:rFonts w:hint="eastAsia"/>
          <w:lang w:val="en-US" w:eastAsia="zh-CN"/>
        </w:rPr>
        <w:t>对响度和实际峰值指示表的要求</w:t>
      </w:r>
    </w:p>
    <w:p w:rsidR="00885069" w:rsidRDefault="00885069" w:rsidP="00885069">
      <w:pPr>
        <w:pStyle w:val="Recref"/>
        <w:rPr>
          <w:lang w:val="en-US" w:eastAsia="zh-CN"/>
        </w:rPr>
      </w:pPr>
      <w:r>
        <w:rPr>
          <w:rFonts w:hint="eastAsia"/>
          <w:lang w:val="en-US" w:eastAsia="zh-CN"/>
        </w:rPr>
        <w:t>（</w:t>
      </w:r>
      <w:r>
        <w:rPr>
          <w:lang w:val="en-US" w:eastAsia="zh-CN"/>
        </w:rPr>
        <w:t xml:space="preserve">ITU-R </w:t>
      </w:r>
      <w:r>
        <w:rPr>
          <w:rFonts w:hint="eastAsia"/>
          <w:lang w:val="en-US" w:eastAsia="zh-CN"/>
        </w:rPr>
        <w:t>第</w:t>
      </w:r>
      <w:r>
        <w:rPr>
          <w:lang w:val="en-US" w:eastAsia="zh-CN"/>
        </w:rPr>
        <w:t>2/6</w:t>
      </w:r>
      <w:r>
        <w:rPr>
          <w:rFonts w:hint="eastAsia"/>
          <w:lang w:val="en-US" w:eastAsia="zh-CN"/>
        </w:rPr>
        <w:t>号课题）</w:t>
      </w:r>
    </w:p>
    <w:p w:rsidR="00885069" w:rsidRDefault="00885069" w:rsidP="00885069">
      <w:pPr>
        <w:pStyle w:val="Recdate"/>
        <w:rPr>
          <w:lang w:val="en-US" w:eastAsia="zh-CN"/>
        </w:rPr>
      </w:pPr>
    </w:p>
    <w:p w:rsidR="00885069" w:rsidRDefault="00885069" w:rsidP="00885069">
      <w:pPr>
        <w:pStyle w:val="Recdate"/>
        <w:rPr>
          <w:lang w:val="en-US" w:eastAsia="zh-CN"/>
        </w:rPr>
      </w:pPr>
      <w:r>
        <w:rPr>
          <w:rFonts w:hint="eastAsia"/>
          <w:lang w:val="en-US" w:eastAsia="zh-CN"/>
        </w:rPr>
        <w:t>（</w:t>
      </w:r>
      <w:r>
        <w:rPr>
          <w:lang w:val="en-US" w:eastAsia="zh-CN"/>
        </w:rPr>
        <w:t>2006</w:t>
      </w:r>
      <w:r>
        <w:rPr>
          <w:rFonts w:hint="eastAsia"/>
          <w:lang w:val="en-US" w:eastAsia="zh-CN"/>
        </w:rPr>
        <w:t>年）</w:t>
      </w:r>
    </w:p>
    <w:p w:rsidR="00885069" w:rsidRPr="000753AE" w:rsidRDefault="00885069" w:rsidP="000753AE">
      <w:pPr>
        <w:pStyle w:val="Heading1"/>
        <w:rPr>
          <w:sz w:val="22"/>
          <w:szCs w:val="22"/>
          <w:lang w:eastAsia="zh-CN"/>
        </w:rPr>
      </w:pPr>
      <w:r w:rsidRPr="000753AE">
        <w:rPr>
          <w:rFonts w:hint="eastAsia"/>
          <w:sz w:val="22"/>
          <w:szCs w:val="22"/>
          <w:lang w:eastAsia="zh-CN"/>
        </w:rPr>
        <w:t>范围</w:t>
      </w:r>
    </w:p>
    <w:p w:rsidR="00885069" w:rsidRPr="000753AE" w:rsidRDefault="00885069" w:rsidP="00885069">
      <w:pPr>
        <w:pStyle w:val="Summary"/>
        <w:ind w:firstLine="462"/>
        <w:rPr>
          <w:szCs w:val="22"/>
          <w:lang w:eastAsia="zh-CN"/>
        </w:rPr>
      </w:pPr>
      <w:r w:rsidRPr="000753AE">
        <w:rPr>
          <w:rFonts w:hint="eastAsia"/>
          <w:szCs w:val="22"/>
          <w:lang w:eastAsia="zh-CN"/>
        </w:rPr>
        <w:t>本建议书规定了遵循国际电联无线电通信部门（</w:t>
      </w:r>
      <w:r w:rsidRPr="000753AE">
        <w:rPr>
          <w:szCs w:val="22"/>
          <w:lang w:eastAsia="zh-CN"/>
        </w:rPr>
        <w:t>ITU-R</w:t>
      </w:r>
      <w:r w:rsidRPr="000753AE">
        <w:rPr>
          <w:rFonts w:hint="eastAsia"/>
          <w:szCs w:val="22"/>
          <w:lang w:eastAsia="zh-CN"/>
        </w:rPr>
        <w:t>）其它建议书所述的响度和峰值电平算法的音频测量设备的某些需求。</w:t>
      </w:r>
    </w:p>
    <w:p w:rsidR="00885069" w:rsidRDefault="00885069" w:rsidP="00885069">
      <w:pPr>
        <w:pStyle w:val="Normalaftertitle"/>
        <w:rPr>
          <w:lang w:val="en-US" w:eastAsia="zh-CN"/>
        </w:rPr>
      </w:pPr>
      <w:r>
        <w:rPr>
          <w:rFonts w:hint="eastAsia"/>
          <w:lang w:val="en-US" w:eastAsia="zh-CN"/>
        </w:rPr>
        <w:t>国际电联无线电通信全会，</w:t>
      </w:r>
    </w:p>
    <w:p w:rsidR="00885069" w:rsidRDefault="00885069" w:rsidP="00885069">
      <w:pPr>
        <w:pStyle w:val="Call"/>
        <w:rPr>
          <w:rFonts w:ascii="STKaiti" w:eastAsia="STKaiti" w:hAnsi="STKaiti"/>
          <w:i w:val="0"/>
          <w:lang w:val="en-US" w:eastAsia="zh-CN"/>
        </w:rPr>
      </w:pPr>
      <w:r>
        <w:rPr>
          <w:rFonts w:ascii="STKaiti" w:eastAsia="STKaiti" w:hAnsi="STKaiti" w:hint="eastAsia"/>
          <w:i w:val="0"/>
          <w:lang w:val="en-US" w:eastAsia="zh-CN"/>
        </w:rPr>
        <w:t>考虑到</w:t>
      </w:r>
    </w:p>
    <w:p w:rsidR="00885069" w:rsidRDefault="00885069" w:rsidP="00885069">
      <w:pPr>
        <w:rPr>
          <w:lang w:val="en-US" w:eastAsia="zh-CN"/>
        </w:rPr>
      </w:pPr>
      <w:r>
        <w:rPr>
          <w:lang w:val="en-US" w:eastAsia="zh-CN"/>
        </w:rPr>
        <w:t>a)</w:t>
      </w:r>
      <w:r>
        <w:rPr>
          <w:lang w:val="en-US" w:eastAsia="zh-CN"/>
        </w:rPr>
        <w:tab/>
      </w:r>
      <w:r>
        <w:rPr>
          <w:rFonts w:hint="eastAsia"/>
          <w:lang w:val="en-US" w:eastAsia="zh-CN"/>
        </w:rPr>
        <w:t>无论音量单位（</w:t>
      </w:r>
      <w:r>
        <w:rPr>
          <w:lang w:val="en-US" w:eastAsia="zh-CN"/>
        </w:rPr>
        <w:t>VU</w:t>
      </w:r>
      <w:r>
        <w:rPr>
          <w:rFonts w:hint="eastAsia"/>
          <w:lang w:val="en-US" w:eastAsia="zh-CN"/>
        </w:rPr>
        <w:t>）表还是常规性峰值节目表均无法正确指示主观响度；</w:t>
      </w:r>
    </w:p>
    <w:p w:rsidR="00885069" w:rsidRDefault="00885069" w:rsidP="00885069">
      <w:pPr>
        <w:rPr>
          <w:lang w:val="en-US" w:eastAsia="zh-CN"/>
        </w:rPr>
      </w:pPr>
      <w:r>
        <w:rPr>
          <w:lang w:val="en-US" w:eastAsia="zh-CN"/>
        </w:rPr>
        <w:t>b)</w:t>
      </w:r>
      <w:r>
        <w:rPr>
          <w:lang w:val="en-US" w:eastAsia="zh-CN"/>
        </w:rPr>
        <w:tab/>
      </w:r>
      <w:r>
        <w:rPr>
          <w:rFonts w:hint="eastAsia"/>
          <w:lang w:val="en-US" w:eastAsia="zh-CN"/>
        </w:rPr>
        <w:t>无论</w:t>
      </w:r>
      <w:r>
        <w:rPr>
          <w:lang w:val="en-US" w:eastAsia="zh-CN"/>
        </w:rPr>
        <w:t>VU</w:t>
      </w:r>
      <w:r>
        <w:rPr>
          <w:rFonts w:hint="eastAsia"/>
          <w:lang w:val="en-US" w:eastAsia="zh-CN"/>
        </w:rPr>
        <w:t>表还是常规性峰值节目表均无法正确指示一个数字信号的实际峰值电平；</w:t>
      </w:r>
    </w:p>
    <w:p w:rsidR="00885069" w:rsidRDefault="00885069" w:rsidP="00885069">
      <w:pPr>
        <w:rPr>
          <w:lang w:val="en-US" w:eastAsia="zh-CN"/>
        </w:rPr>
      </w:pPr>
      <w:r>
        <w:rPr>
          <w:lang w:val="en-US" w:eastAsia="zh-CN"/>
        </w:rPr>
        <w:t>c)</w:t>
      </w:r>
      <w:r>
        <w:rPr>
          <w:lang w:val="en-US" w:eastAsia="zh-CN"/>
        </w:rPr>
        <w:tab/>
      </w:r>
      <w:r>
        <w:rPr>
          <w:rFonts w:hint="eastAsia"/>
          <w:lang w:val="en-US" w:eastAsia="zh-CN"/>
        </w:rPr>
        <w:t>听众可能希望来源不同和节目类型不同的音频节目具有相似的主观响度；</w:t>
      </w:r>
    </w:p>
    <w:p w:rsidR="00885069" w:rsidRDefault="00885069" w:rsidP="00885069">
      <w:pPr>
        <w:rPr>
          <w:lang w:val="en-US" w:eastAsia="zh-CN"/>
        </w:rPr>
      </w:pPr>
      <w:r>
        <w:rPr>
          <w:lang w:val="en-US" w:eastAsia="zh-CN"/>
        </w:rPr>
        <w:t>d)</w:t>
      </w:r>
      <w:r>
        <w:rPr>
          <w:lang w:val="en-US" w:eastAsia="zh-CN"/>
        </w:rPr>
        <w:tab/>
      </w:r>
      <w:r>
        <w:rPr>
          <w:rFonts w:hint="eastAsia"/>
          <w:lang w:val="en-US" w:eastAsia="zh-CN"/>
        </w:rPr>
        <w:t>一个数字信号的实际峰值电平可能大于最大样值；</w:t>
      </w:r>
    </w:p>
    <w:p w:rsidR="00885069" w:rsidRDefault="00885069" w:rsidP="00885069">
      <w:pPr>
        <w:rPr>
          <w:lang w:val="en-US" w:eastAsia="zh-CN"/>
        </w:rPr>
      </w:pPr>
      <w:r>
        <w:rPr>
          <w:lang w:val="en-US" w:eastAsia="zh-CN"/>
        </w:rPr>
        <w:t>e)</w:t>
      </w:r>
      <w:r>
        <w:rPr>
          <w:lang w:val="en-US" w:eastAsia="zh-CN"/>
        </w:rPr>
        <w:tab/>
        <w:t>ITU-R BS.1770</w:t>
      </w:r>
      <w:r>
        <w:rPr>
          <w:rFonts w:hint="eastAsia"/>
          <w:lang w:val="en-US" w:eastAsia="zh-CN"/>
        </w:rPr>
        <w:t>建议书</w:t>
      </w:r>
      <w:r>
        <w:rPr>
          <w:rFonts w:hint="eastAsia"/>
          <w:lang w:val="en-US" w:eastAsia="zh-CN"/>
        </w:rPr>
        <w:t xml:space="preserve"> </w:t>
      </w:r>
      <w:r>
        <w:rPr>
          <w:lang w:val="en-US" w:eastAsia="zh-CN"/>
        </w:rPr>
        <w:t xml:space="preserve">– </w:t>
      </w:r>
      <w:r>
        <w:rPr>
          <w:rFonts w:hint="eastAsia"/>
          <w:lang w:val="en-US" w:eastAsia="zh-CN"/>
        </w:rPr>
        <w:t>测量音频节目响度和实际峰值音频电平的算法，规定了节目响度和实际峰值电平的测量方法；</w:t>
      </w:r>
    </w:p>
    <w:p w:rsidR="00885069" w:rsidRDefault="00885069" w:rsidP="00885069">
      <w:pPr>
        <w:rPr>
          <w:lang w:val="en-US" w:eastAsia="zh-CN"/>
        </w:rPr>
      </w:pPr>
      <w:r>
        <w:rPr>
          <w:lang w:val="en-US" w:eastAsia="zh-CN"/>
        </w:rPr>
        <w:t>f)</w:t>
      </w:r>
      <w:r>
        <w:rPr>
          <w:lang w:val="en-US" w:eastAsia="zh-CN"/>
        </w:rPr>
        <w:tab/>
      </w:r>
      <w:r>
        <w:rPr>
          <w:rFonts w:hint="eastAsia"/>
          <w:lang w:val="en-US" w:eastAsia="zh-CN"/>
        </w:rPr>
        <w:t>鉴于数字信号处理的性质，在成本效益高的测量设备中使用这些算法切实可行；</w:t>
      </w:r>
    </w:p>
    <w:p w:rsidR="00885069" w:rsidRDefault="00885069" w:rsidP="00885069">
      <w:pPr>
        <w:rPr>
          <w:lang w:val="en-US" w:eastAsia="zh-CN"/>
        </w:rPr>
      </w:pPr>
      <w:r>
        <w:rPr>
          <w:lang w:val="en-US" w:eastAsia="zh-CN"/>
        </w:rPr>
        <w:t>g)</w:t>
      </w:r>
      <w:r>
        <w:rPr>
          <w:lang w:val="en-US" w:eastAsia="zh-CN"/>
        </w:rPr>
        <w:tab/>
      </w:r>
      <w:r>
        <w:rPr>
          <w:rFonts w:hint="eastAsia"/>
          <w:lang w:val="en-US" w:eastAsia="zh-CN"/>
        </w:rPr>
        <w:t>广播者的某些需求应通过用于指示节目响度和实际峰值电平的仪表得到满足，</w:t>
      </w:r>
    </w:p>
    <w:p w:rsidR="00885069" w:rsidRDefault="00885069" w:rsidP="00885069">
      <w:pPr>
        <w:pStyle w:val="Call"/>
        <w:rPr>
          <w:rFonts w:ascii="STKaiti" w:eastAsia="STKaiti" w:hAnsi="STKaiti"/>
          <w:i w:val="0"/>
          <w:lang w:val="en-US" w:eastAsia="zh-CN"/>
        </w:rPr>
      </w:pPr>
      <w:r>
        <w:rPr>
          <w:rFonts w:ascii="STKaiti" w:eastAsia="STKaiti" w:hAnsi="STKaiti" w:hint="eastAsia"/>
          <w:i w:val="0"/>
          <w:lang w:val="en-US" w:eastAsia="zh-CN"/>
        </w:rPr>
        <w:t>建议</w:t>
      </w:r>
    </w:p>
    <w:p w:rsidR="00885069" w:rsidRDefault="00885069" w:rsidP="00885069">
      <w:pPr>
        <w:rPr>
          <w:lang w:val="en-US" w:eastAsia="zh-CN"/>
        </w:rPr>
      </w:pPr>
      <w:r>
        <w:rPr>
          <w:b/>
          <w:bCs/>
          <w:lang w:val="en-US" w:eastAsia="zh-CN"/>
        </w:rPr>
        <w:t>1</w:t>
      </w:r>
      <w:r>
        <w:rPr>
          <w:lang w:val="en-US" w:eastAsia="zh-CN"/>
        </w:rPr>
        <w:tab/>
      </w:r>
      <w:r>
        <w:rPr>
          <w:rFonts w:hint="eastAsia"/>
          <w:lang w:val="en-US" w:eastAsia="zh-CN"/>
        </w:rPr>
        <w:t>用于测量节目响度和</w:t>
      </w:r>
      <w:r>
        <w:rPr>
          <w:lang w:val="en-US" w:eastAsia="zh-CN"/>
        </w:rPr>
        <w:t>/</w:t>
      </w:r>
      <w:r>
        <w:rPr>
          <w:rFonts w:hint="eastAsia"/>
          <w:lang w:val="en-US" w:eastAsia="zh-CN"/>
        </w:rPr>
        <w:t>或指示实际峰值电平以有助于避免数字音频信号超载的音频仪表，应达到附件</w:t>
      </w:r>
      <w:r>
        <w:rPr>
          <w:lang w:val="en-US" w:eastAsia="zh-CN"/>
        </w:rPr>
        <w:t>1</w:t>
      </w:r>
      <w:r>
        <w:rPr>
          <w:rFonts w:hint="eastAsia"/>
          <w:lang w:val="en-US" w:eastAsia="zh-CN"/>
        </w:rPr>
        <w:t>规定的要求。</w:t>
      </w:r>
    </w:p>
    <w:p w:rsidR="00885069" w:rsidRDefault="00885069" w:rsidP="00885069">
      <w:pPr>
        <w:rPr>
          <w:rFonts w:ascii="SimSun" w:hAnsi="SimSun"/>
          <w:lang w:val="en-US" w:eastAsia="zh-CN"/>
        </w:rPr>
      </w:pPr>
    </w:p>
    <w:p w:rsidR="00B2334E" w:rsidRDefault="00B2334E">
      <w:pPr>
        <w:tabs>
          <w:tab w:val="clear" w:pos="794"/>
          <w:tab w:val="clear" w:pos="1191"/>
          <w:tab w:val="clear" w:pos="1588"/>
          <w:tab w:val="clear" w:pos="1985"/>
        </w:tabs>
        <w:overflowPunct/>
        <w:autoSpaceDE/>
        <w:autoSpaceDN/>
        <w:adjustRightInd/>
        <w:spacing w:before="0"/>
        <w:jc w:val="left"/>
        <w:rPr>
          <w:b/>
          <w:sz w:val="28"/>
          <w:lang w:val="en-US" w:eastAsia="zh-CN"/>
        </w:rPr>
      </w:pPr>
      <w:r>
        <w:rPr>
          <w:lang w:val="en-US" w:eastAsia="zh-CN"/>
        </w:rPr>
        <w:br w:type="page"/>
      </w:r>
    </w:p>
    <w:p w:rsidR="00885069" w:rsidRDefault="00885069" w:rsidP="000753AE">
      <w:pPr>
        <w:pStyle w:val="AnnexNoTitle"/>
        <w:rPr>
          <w:lang w:val="en-US" w:eastAsia="zh-CN"/>
        </w:rPr>
      </w:pPr>
      <w:r w:rsidRPr="000753AE">
        <w:rPr>
          <w:rFonts w:hint="eastAsia"/>
          <w:lang w:eastAsia="zh-CN"/>
        </w:rPr>
        <w:lastRenderedPageBreak/>
        <w:t>附件</w:t>
      </w:r>
      <w:r>
        <w:rPr>
          <w:lang w:val="en-US" w:eastAsia="zh-CN"/>
        </w:rPr>
        <w:t xml:space="preserve"> 1</w:t>
      </w:r>
      <w:r>
        <w:rPr>
          <w:lang w:val="en-US" w:eastAsia="zh-CN"/>
        </w:rPr>
        <w:br/>
      </w:r>
      <w:r>
        <w:rPr>
          <w:lang w:val="en-US" w:eastAsia="zh-CN"/>
        </w:rPr>
        <w:br/>
      </w:r>
      <w:r>
        <w:rPr>
          <w:rFonts w:hint="eastAsia"/>
          <w:lang w:val="en-US" w:eastAsia="zh-CN"/>
        </w:rPr>
        <w:t>对响度和实际峰值指示表的要求</w:t>
      </w:r>
    </w:p>
    <w:p w:rsidR="00885069" w:rsidRDefault="00885069" w:rsidP="00885069">
      <w:pPr>
        <w:spacing w:before="0"/>
        <w:rPr>
          <w:lang w:val="en-US" w:eastAsia="zh-CN"/>
        </w:rPr>
      </w:pPr>
    </w:p>
    <w:p w:rsidR="00885069" w:rsidRDefault="00885069" w:rsidP="00885069">
      <w:pPr>
        <w:pStyle w:val="Headingb"/>
        <w:rPr>
          <w:lang w:val="en-US" w:eastAsia="zh-CN"/>
        </w:rPr>
      </w:pPr>
      <w:r>
        <w:rPr>
          <w:rFonts w:hint="eastAsia"/>
          <w:lang w:val="en-US" w:eastAsia="zh-CN"/>
        </w:rPr>
        <w:t>引言</w:t>
      </w:r>
    </w:p>
    <w:p w:rsidR="00885069" w:rsidRDefault="00885069" w:rsidP="00885069">
      <w:pPr>
        <w:ind w:firstLine="504"/>
        <w:rPr>
          <w:lang w:val="en-US" w:eastAsia="zh-CN"/>
        </w:rPr>
      </w:pPr>
      <w:r>
        <w:rPr>
          <w:rFonts w:hint="eastAsia"/>
          <w:lang w:val="en-US" w:eastAsia="zh-CN"/>
        </w:rPr>
        <w:t>该附件旨在规定对节目响度和峰值指示表的要求。</w:t>
      </w:r>
    </w:p>
    <w:p w:rsidR="00885069" w:rsidRDefault="00885069" w:rsidP="00885069">
      <w:pPr>
        <w:pStyle w:val="Headingb"/>
        <w:rPr>
          <w:b w:val="0"/>
          <w:bCs/>
          <w:sz w:val="28"/>
          <w:lang w:val="en-US" w:eastAsia="zh-CN"/>
        </w:rPr>
      </w:pPr>
      <w:r>
        <w:rPr>
          <w:rFonts w:hint="eastAsia"/>
          <w:lang w:val="en-US" w:eastAsia="zh-CN"/>
        </w:rPr>
        <w:t>范围</w:t>
      </w:r>
    </w:p>
    <w:p w:rsidR="00885069" w:rsidRDefault="00885069" w:rsidP="00885069">
      <w:pPr>
        <w:ind w:firstLine="532"/>
        <w:rPr>
          <w:lang w:val="en-US" w:eastAsia="zh-CN"/>
        </w:rPr>
      </w:pPr>
      <w:r>
        <w:rPr>
          <w:rFonts w:hint="eastAsia"/>
          <w:lang w:val="en-US" w:eastAsia="zh-CN"/>
        </w:rPr>
        <w:t>该附件概括介绍了用于以下三种用途的仪表的要求：</w:t>
      </w:r>
    </w:p>
    <w:p w:rsidR="00885069" w:rsidRDefault="00885069" w:rsidP="00885069">
      <w:pPr>
        <w:pStyle w:val="enumlev1"/>
        <w:rPr>
          <w:lang w:val="en-US" w:eastAsia="zh-CN"/>
        </w:rPr>
      </w:pPr>
      <w:r>
        <w:rPr>
          <w:lang w:val="en-US" w:eastAsia="zh-CN"/>
        </w:rPr>
        <w:t>a)</w:t>
      </w:r>
      <w:r>
        <w:rPr>
          <w:lang w:val="en-US" w:eastAsia="zh-CN"/>
        </w:rPr>
        <w:tab/>
      </w:r>
      <w:r>
        <w:rPr>
          <w:rFonts w:hint="eastAsia"/>
          <w:lang w:val="en-US" w:eastAsia="zh-CN"/>
        </w:rPr>
        <w:t>使用仪器对声音节目的主观响度进行预测，测量时间较短。</w:t>
      </w:r>
    </w:p>
    <w:p w:rsidR="00885069" w:rsidRDefault="00885069" w:rsidP="00885069">
      <w:pPr>
        <w:pStyle w:val="enumlev1"/>
        <w:rPr>
          <w:lang w:val="en-US" w:eastAsia="zh-CN"/>
        </w:rPr>
      </w:pPr>
      <w:r>
        <w:rPr>
          <w:lang w:val="en-US" w:eastAsia="zh-CN"/>
        </w:rPr>
        <w:t>b)</w:t>
      </w:r>
      <w:r>
        <w:rPr>
          <w:lang w:val="en-US" w:eastAsia="zh-CN"/>
        </w:rPr>
        <w:tab/>
      </w:r>
      <w:r>
        <w:rPr>
          <w:rFonts w:hint="eastAsia"/>
          <w:lang w:val="en-US" w:eastAsia="zh-CN"/>
        </w:rPr>
        <w:t>使用仪器对声音节目的主观响度进行预测，测量时间较长。</w:t>
      </w:r>
    </w:p>
    <w:p w:rsidR="00885069" w:rsidRDefault="00885069" w:rsidP="00885069">
      <w:pPr>
        <w:pStyle w:val="enumlev1"/>
        <w:rPr>
          <w:lang w:val="en-US" w:eastAsia="zh-CN"/>
        </w:rPr>
      </w:pPr>
      <w:r>
        <w:rPr>
          <w:lang w:val="en-US" w:eastAsia="zh-CN"/>
        </w:rPr>
        <w:t>c)</w:t>
      </w:r>
      <w:r>
        <w:rPr>
          <w:lang w:val="en-US" w:eastAsia="zh-CN"/>
        </w:rPr>
        <w:tab/>
      </w:r>
      <w:r>
        <w:rPr>
          <w:rFonts w:hint="eastAsia"/>
          <w:lang w:val="en-US" w:eastAsia="zh-CN"/>
        </w:rPr>
        <w:t>选择性地用于指示节目信号峰值。</w:t>
      </w:r>
    </w:p>
    <w:p w:rsidR="00885069" w:rsidRDefault="00885069" w:rsidP="00453E79">
      <w:pPr>
        <w:ind w:firstLineChars="200" w:firstLine="480"/>
        <w:rPr>
          <w:lang w:val="en-US" w:eastAsia="zh-CN"/>
        </w:rPr>
      </w:pPr>
      <w:r>
        <w:rPr>
          <w:rFonts w:hint="eastAsia"/>
          <w:lang w:val="en-US" w:eastAsia="zh-CN"/>
        </w:rPr>
        <w:t>该仪表可能用于辅助或直接代替常规性仪表。</w:t>
      </w:r>
    </w:p>
    <w:p w:rsidR="00885069" w:rsidRDefault="00885069" w:rsidP="00453E79">
      <w:pPr>
        <w:ind w:firstLineChars="200" w:firstLine="480"/>
        <w:rPr>
          <w:lang w:val="en-US" w:eastAsia="zh-CN"/>
        </w:rPr>
      </w:pPr>
      <w:r>
        <w:rPr>
          <w:rFonts w:hint="eastAsia"/>
          <w:lang w:val="en-US" w:eastAsia="zh-CN"/>
        </w:rPr>
        <w:t>电子显示形式应该有两种，即第一种和第二种。这两种显示形式的唯一区别在于清晰度不同。第一种显示形式用于演播室。第二种显示形式用于便携式设备，这种情况下的尺寸、重量和功耗必须达到最小程度。</w:t>
      </w:r>
    </w:p>
    <w:p w:rsidR="00885069" w:rsidRDefault="00885069" w:rsidP="00885069">
      <w:pPr>
        <w:pStyle w:val="Headingb"/>
        <w:rPr>
          <w:lang w:val="en-US" w:eastAsia="zh-CN"/>
        </w:rPr>
      </w:pPr>
      <w:r>
        <w:rPr>
          <w:rFonts w:hint="eastAsia"/>
          <w:lang w:val="en-US" w:eastAsia="zh-CN"/>
        </w:rPr>
        <w:t>定义</w:t>
      </w:r>
      <w:r>
        <w:rPr>
          <w:lang w:val="en-US" w:eastAsia="zh-CN"/>
        </w:rPr>
        <w:t xml:space="preserve"> </w:t>
      </w:r>
    </w:p>
    <w:p w:rsidR="00885069" w:rsidRDefault="00885069" w:rsidP="00885069">
      <w:pPr>
        <w:tabs>
          <w:tab w:val="clear" w:pos="794"/>
          <w:tab w:val="clear" w:pos="1191"/>
          <w:tab w:val="clear" w:pos="1588"/>
          <w:tab w:val="clear" w:pos="1985"/>
          <w:tab w:val="left" w:pos="2835"/>
        </w:tabs>
        <w:ind w:left="2835" w:hanging="2835"/>
        <w:jc w:val="left"/>
        <w:rPr>
          <w:lang w:val="en-US" w:eastAsia="ja-JP"/>
        </w:rPr>
      </w:pPr>
      <w:r>
        <w:rPr>
          <w:rFonts w:hint="eastAsia"/>
          <w:lang w:val="en-US" w:eastAsia="zh-CN"/>
        </w:rPr>
        <w:t>响度单位（</w:t>
      </w:r>
      <w:r>
        <w:rPr>
          <w:lang w:val="en-US" w:eastAsia="zh-CN"/>
        </w:rPr>
        <w:t>LU</w:t>
      </w:r>
      <w:r>
        <w:rPr>
          <w:rFonts w:hint="eastAsia"/>
          <w:lang w:val="en-US" w:eastAsia="zh-CN"/>
        </w:rPr>
        <w:t>）</w:t>
      </w:r>
      <w:r>
        <w:rPr>
          <w:lang w:val="en-US" w:eastAsia="zh-CN"/>
        </w:rPr>
        <w:tab/>
      </w:r>
      <w:r>
        <w:rPr>
          <w:rFonts w:hint="eastAsia"/>
          <w:lang w:val="en-US" w:eastAsia="zh-CN"/>
        </w:rPr>
        <w:t>响度单位是响度仪表的标度单位。以响度单位表示的节目值代表节目达到</w:t>
      </w:r>
      <w:r>
        <w:rPr>
          <w:lang w:val="en-US" w:eastAsia="zh-CN"/>
        </w:rPr>
        <w:t> 0 LU</w:t>
      </w:r>
      <w:r>
        <w:rPr>
          <w:rFonts w:hint="eastAsia"/>
          <w:lang w:val="en-US" w:eastAsia="zh-CN"/>
        </w:rPr>
        <w:t>所需的衰减或增益（</w:t>
      </w:r>
      <w:r>
        <w:rPr>
          <w:lang w:val="en-US" w:eastAsia="zh-CN"/>
        </w:rPr>
        <w:t>dB</w:t>
      </w:r>
      <w:r>
        <w:rPr>
          <w:rFonts w:hint="eastAsia"/>
          <w:lang w:val="en-US" w:eastAsia="zh-CN"/>
        </w:rPr>
        <w:t>），例如，当节目值为</w:t>
      </w:r>
      <w:r>
        <w:rPr>
          <w:lang w:val="en-US" w:eastAsia="zh-CN"/>
        </w:rPr>
        <w:t>–10 LU</w:t>
      </w:r>
      <w:r>
        <w:rPr>
          <w:rFonts w:hint="eastAsia"/>
          <w:lang w:val="en-US" w:eastAsia="zh-CN"/>
        </w:rPr>
        <w:t>时，将节目上调到</w:t>
      </w:r>
      <w:r>
        <w:rPr>
          <w:lang w:val="en-US" w:eastAsia="zh-CN"/>
        </w:rPr>
        <w:t xml:space="preserve"> 0 LU</w:t>
      </w:r>
      <w:r>
        <w:rPr>
          <w:rFonts w:hint="eastAsia"/>
          <w:lang w:val="en-US" w:eastAsia="zh-CN"/>
        </w:rPr>
        <w:t>则需要</w:t>
      </w:r>
      <w:r>
        <w:rPr>
          <w:lang w:val="en-US" w:eastAsia="zh-CN"/>
        </w:rPr>
        <w:t>10 dB</w:t>
      </w:r>
      <w:r>
        <w:rPr>
          <w:rFonts w:hint="eastAsia"/>
          <w:lang w:val="en-US" w:eastAsia="zh-CN"/>
        </w:rPr>
        <w:t>的增益。</w:t>
      </w:r>
    </w:p>
    <w:p w:rsidR="00885069" w:rsidRDefault="00885069" w:rsidP="00885069">
      <w:pPr>
        <w:tabs>
          <w:tab w:val="clear" w:pos="794"/>
          <w:tab w:val="clear" w:pos="1191"/>
          <w:tab w:val="clear" w:pos="1588"/>
          <w:tab w:val="clear" w:pos="1985"/>
          <w:tab w:val="left" w:pos="2835"/>
        </w:tabs>
        <w:ind w:left="2835" w:hanging="2835"/>
        <w:jc w:val="left"/>
        <w:rPr>
          <w:lang w:val="en-US" w:eastAsia="ja-JP"/>
        </w:rPr>
      </w:pPr>
      <w:r>
        <w:rPr>
          <w:rFonts w:hint="eastAsia"/>
          <w:lang w:val="en-US" w:eastAsia="zh-CN"/>
        </w:rPr>
        <w:t>第一种电子显示形式</w:t>
      </w:r>
      <w:r>
        <w:rPr>
          <w:lang w:val="en-US" w:eastAsia="zh-CN"/>
        </w:rPr>
        <w:t xml:space="preserve"> </w:t>
      </w:r>
      <w:r>
        <w:rPr>
          <w:lang w:val="en-US" w:eastAsia="zh-CN"/>
        </w:rPr>
        <w:tab/>
      </w:r>
      <w:r>
        <w:rPr>
          <w:rFonts w:hint="eastAsia"/>
          <w:lang w:val="en-US" w:eastAsia="zh-CN"/>
        </w:rPr>
        <w:t>分辨率为每响度单位一个或以上分段的电子显示形式。</w:t>
      </w:r>
    </w:p>
    <w:p w:rsidR="00885069" w:rsidRDefault="00885069" w:rsidP="00885069">
      <w:pPr>
        <w:tabs>
          <w:tab w:val="clear" w:pos="794"/>
          <w:tab w:val="clear" w:pos="1191"/>
          <w:tab w:val="clear" w:pos="1588"/>
          <w:tab w:val="clear" w:pos="1985"/>
          <w:tab w:val="left" w:pos="2835"/>
        </w:tabs>
        <w:ind w:left="2835" w:hanging="2835"/>
        <w:jc w:val="left"/>
        <w:rPr>
          <w:lang w:val="en-US" w:eastAsia="zh-CN"/>
        </w:rPr>
      </w:pPr>
      <w:r>
        <w:rPr>
          <w:rFonts w:hint="eastAsia"/>
          <w:lang w:val="en-US" w:eastAsia="zh-CN"/>
        </w:rPr>
        <w:t>第二种电子显示形式</w:t>
      </w:r>
      <w:r>
        <w:rPr>
          <w:lang w:val="en-US" w:eastAsia="zh-CN"/>
        </w:rPr>
        <w:tab/>
      </w:r>
      <w:r>
        <w:rPr>
          <w:rFonts w:hint="eastAsia"/>
          <w:lang w:val="en-US" w:eastAsia="zh-CN"/>
        </w:rPr>
        <w:t>分辨率为每</w:t>
      </w:r>
      <w:r>
        <w:rPr>
          <w:lang w:val="en-US" w:eastAsia="zh-CN"/>
        </w:rPr>
        <w:t>3</w:t>
      </w:r>
      <w:r>
        <w:rPr>
          <w:rFonts w:hint="eastAsia"/>
          <w:lang w:val="en-US" w:eastAsia="zh-CN"/>
        </w:rPr>
        <w:t>个响度单位一个分段的电子显示形式。</w:t>
      </w:r>
    </w:p>
    <w:p w:rsidR="00885069" w:rsidRDefault="00885069" w:rsidP="00885069">
      <w:pPr>
        <w:pStyle w:val="Headingb"/>
        <w:rPr>
          <w:lang w:val="en-US" w:eastAsia="zh-CN"/>
        </w:rPr>
      </w:pPr>
      <w:r>
        <w:rPr>
          <w:rFonts w:hint="eastAsia"/>
          <w:lang w:val="en-US" w:eastAsia="zh-CN"/>
        </w:rPr>
        <w:t>对响度和峰值指示表的要求</w:t>
      </w:r>
      <w:r>
        <w:rPr>
          <w:rFonts w:hint="eastAsia"/>
          <w:lang w:val="en-US" w:eastAsia="zh-CN"/>
        </w:rPr>
        <w:t xml:space="preserve"> </w:t>
      </w:r>
    </w:p>
    <w:p w:rsidR="00885069" w:rsidRDefault="00885069" w:rsidP="00885069">
      <w:pPr>
        <w:pStyle w:val="Note"/>
        <w:rPr>
          <w:lang w:val="en-US" w:eastAsia="zh-CN"/>
        </w:rPr>
      </w:pPr>
      <w:r>
        <w:rPr>
          <w:rFonts w:hint="eastAsia"/>
          <w:lang w:val="en-US" w:eastAsia="zh-CN"/>
        </w:rPr>
        <w:t>注</w:t>
      </w:r>
      <w:r>
        <w:rPr>
          <w:lang w:val="en-US" w:eastAsia="zh-CN"/>
        </w:rPr>
        <w:t> 1 – </w:t>
      </w:r>
      <w:r>
        <w:rPr>
          <w:rFonts w:hint="eastAsia"/>
          <w:lang w:val="en-US" w:eastAsia="zh-CN"/>
        </w:rPr>
        <w:t>下列各表中，</w:t>
      </w:r>
      <w:r>
        <w:rPr>
          <w:lang w:val="en-US" w:eastAsia="zh-CN"/>
        </w:rPr>
        <w:t>Opt.</w:t>
      </w:r>
      <w:r>
        <w:rPr>
          <w:rFonts w:hint="eastAsia"/>
          <w:lang w:val="en-US" w:eastAsia="zh-CN"/>
        </w:rPr>
        <w:t>表示可选项，</w:t>
      </w:r>
      <w:r>
        <w:rPr>
          <w:lang w:val="en-US" w:eastAsia="zh-CN"/>
        </w:rPr>
        <w:t>Req.</w:t>
      </w:r>
      <w:r>
        <w:rPr>
          <w:rFonts w:hint="eastAsia"/>
          <w:lang w:val="en-US" w:eastAsia="zh-CN"/>
        </w:rPr>
        <w:t>表示必选项。</w:t>
      </w:r>
    </w:p>
    <w:p w:rsidR="00885069" w:rsidRDefault="00885069" w:rsidP="00885069">
      <w:pPr>
        <w:pStyle w:val="Headingb"/>
        <w:rPr>
          <w:lang w:val="en-US"/>
        </w:rPr>
      </w:pPr>
      <w:r>
        <w:rPr>
          <w:rFonts w:hint="eastAsia"/>
          <w:lang w:val="en-US" w:eastAsia="zh-CN"/>
        </w:rPr>
        <w:t>一般要求</w:t>
      </w:r>
    </w:p>
    <w:p w:rsidR="00885069" w:rsidRDefault="00885069" w:rsidP="00885069">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103"/>
        <w:gridCol w:w="1985"/>
        <w:gridCol w:w="1276"/>
      </w:tblGrid>
      <w:tr w:rsidR="00885069" w:rsidTr="00885069">
        <w:trPr>
          <w:cantSplit/>
          <w:tblHeader/>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rPr>
            </w:pPr>
            <w:r>
              <w:rPr>
                <w:rFonts w:hint="eastAsia"/>
                <w:lang w:val="en-US" w:eastAsia="zh-CN"/>
              </w:rPr>
              <w:t>要求编号</w:t>
            </w:r>
            <w:r>
              <w:rPr>
                <w:lang w:val="en-US"/>
              </w:rPr>
              <w:t xml:space="preserve"> </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eastAsia="zh-CN"/>
              </w:rPr>
            </w:pPr>
            <w:r>
              <w:rPr>
                <w:rFonts w:hint="eastAsia"/>
                <w:lang w:val="en-US" w:eastAsia="zh-CN"/>
              </w:rPr>
              <w:t>要求</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eastAsia="zh-CN"/>
              </w:rPr>
            </w:pPr>
            <w:r>
              <w:rPr>
                <w:rFonts w:hint="eastAsia"/>
                <w:lang w:val="en-US" w:eastAsia="zh-CN"/>
              </w:rPr>
              <w:t>补充说明</w:t>
            </w: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rPr>
            </w:pPr>
            <w:r>
              <w:rPr>
                <w:lang w:val="en-US"/>
              </w:rPr>
              <w:t>Req/Opt</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rPr>
            </w:pPr>
            <w:r>
              <w:rPr>
                <w:lang w:val="en-US"/>
              </w:rPr>
              <w:t>PLG-1</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eastAsia="zh-CN"/>
              </w:rPr>
            </w:pPr>
            <w:r>
              <w:rPr>
                <w:rFonts w:hint="eastAsia"/>
                <w:lang w:val="en-US" w:eastAsia="zh-CN"/>
              </w:rPr>
              <w:t>响度仪表可能带有一个指示峰值电平的显示器</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可选项</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ja-JP"/>
              </w:rPr>
            </w:pPr>
            <w:r>
              <w:rPr>
                <w:lang w:val="en-US"/>
              </w:rPr>
              <w:t>PLG-2</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eastAsia="zh-CN"/>
              </w:rPr>
            </w:pPr>
            <w:r>
              <w:rPr>
                <w:rFonts w:hint="eastAsia"/>
                <w:lang w:val="en-US" w:eastAsia="zh-CN"/>
              </w:rPr>
              <w:t>响度仪表至少有两种操作模式供用户选择：</w:t>
            </w:r>
            <w:r>
              <w:rPr>
                <w:lang w:val="en-US" w:eastAsia="zh-CN"/>
              </w:rPr>
              <w:t>F</w:t>
            </w:r>
            <w:r>
              <w:rPr>
                <w:rFonts w:hint="eastAsia"/>
                <w:lang w:val="en-US" w:eastAsia="zh-CN"/>
              </w:rPr>
              <w:t>模式（快速）和</w:t>
            </w:r>
            <w:r>
              <w:rPr>
                <w:lang w:val="en-US" w:eastAsia="zh-CN"/>
              </w:rPr>
              <w:t>I</w:t>
            </w:r>
            <w:r>
              <w:rPr>
                <w:rFonts w:hint="eastAsia"/>
                <w:lang w:val="en-US" w:eastAsia="zh-CN"/>
              </w:rPr>
              <w:t>模式（积分）</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可选项</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rPr>
            </w:pPr>
            <w:r>
              <w:rPr>
                <w:lang w:val="en-US"/>
              </w:rPr>
              <w:t>PLG-3</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eastAsia="zh-CN"/>
              </w:rPr>
            </w:pPr>
            <w:r>
              <w:rPr>
                <w:rFonts w:hint="eastAsia"/>
                <w:lang w:val="en-US" w:eastAsia="zh-CN"/>
              </w:rPr>
              <w:t>当信号极性反转时，响度显示器读数的浮动不得超过</w:t>
            </w:r>
            <w:r>
              <w:rPr>
                <w:lang w:val="en-US" w:eastAsia="zh-CN"/>
              </w:rPr>
              <w:t>0.5</w:t>
            </w:r>
            <w:r>
              <w:rPr>
                <w:rFonts w:hint="eastAsia"/>
                <w:lang w:val="en-US" w:eastAsia="zh-CN"/>
              </w:rPr>
              <w:t>个响度单位</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必选项</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ja-JP"/>
              </w:rPr>
            </w:pPr>
            <w:r>
              <w:rPr>
                <w:lang w:val="en-US"/>
              </w:rPr>
              <w:t>PLG-4</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eastAsia="zh-CN"/>
              </w:rPr>
            </w:pPr>
            <w:r>
              <w:rPr>
                <w:rFonts w:hint="eastAsia"/>
                <w:lang w:val="en-US" w:eastAsia="zh-CN"/>
              </w:rPr>
              <w:t>间隔平均模式可以提供一个固定时间间隔上的平均时间读数。时间间隔应通过开始</w:t>
            </w:r>
            <w:r>
              <w:rPr>
                <w:lang w:val="en-US" w:eastAsia="zh-CN"/>
              </w:rPr>
              <w:t>/</w:t>
            </w:r>
            <w:r>
              <w:rPr>
                <w:rFonts w:hint="eastAsia"/>
                <w:lang w:val="en-US" w:eastAsia="zh-CN"/>
              </w:rPr>
              <w:t>停止按钮或开关手动选择。间隔模式仪表应带有一个数字显示器以及一个条状图表或者移动指针显示器</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可选项</w:t>
            </w:r>
          </w:p>
        </w:tc>
      </w:tr>
    </w:tbl>
    <w:p w:rsidR="00885069" w:rsidRDefault="00885069" w:rsidP="00885069">
      <w:pPr>
        <w:pStyle w:val="Headingb"/>
        <w:rPr>
          <w:lang w:val="en-US" w:eastAsia="zh-CN"/>
        </w:rPr>
      </w:pPr>
      <w:r>
        <w:rPr>
          <w:rFonts w:hint="eastAsia"/>
          <w:lang w:val="en-US" w:eastAsia="zh-CN"/>
        </w:rPr>
        <w:lastRenderedPageBreak/>
        <w:t>对节目响度显示器的共同要求</w:t>
      </w:r>
    </w:p>
    <w:p w:rsidR="00885069" w:rsidRDefault="00885069" w:rsidP="00885069">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103"/>
        <w:gridCol w:w="1985"/>
        <w:gridCol w:w="1276"/>
      </w:tblGrid>
      <w:tr w:rsidR="00885069" w:rsidTr="00885069">
        <w:trPr>
          <w:cantSplit/>
          <w:tblHeader/>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rPr>
            </w:pPr>
            <w:r>
              <w:rPr>
                <w:rFonts w:hint="eastAsia"/>
                <w:lang w:val="en-US" w:eastAsia="zh-CN"/>
              </w:rPr>
              <w:t>要求编号</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eastAsia="zh-CN"/>
              </w:rPr>
            </w:pPr>
            <w:r>
              <w:rPr>
                <w:rFonts w:hint="eastAsia"/>
                <w:lang w:val="en-US" w:eastAsia="zh-CN"/>
              </w:rPr>
              <w:t>要求</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eastAsia="zh-CN"/>
              </w:rPr>
            </w:pPr>
            <w:r>
              <w:rPr>
                <w:rFonts w:hint="eastAsia"/>
                <w:lang w:val="en-US" w:eastAsia="zh-CN"/>
              </w:rPr>
              <w:t>补充说明</w:t>
            </w: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rPr>
            </w:pPr>
            <w:r>
              <w:rPr>
                <w:lang w:val="en-US"/>
              </w:rPr>
              <w:t>Req/Opt</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rPr>
            </w:pPr>
            <w:r>
              <w:rPr>
                <w:lang w:val="en-US"/>
              </w:rPr>
              <w:t>PLD-1</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eastAsia="zh-CN"/>
              </w:rPr>
            </w:pPr>
            <w:r>
              <w:rPr>
                <w:rFonts w:hint="eastAsia"/>
                <w:lang w:val="en-US" w:eastAsia="zh-CN"/>
              </w:rPr>
              <w:t>响度显示器可能采用移动指针的机械方式或多分段的电子方式</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可选项</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ja-JP"/>
              </w:rPr>
            </w:pPr>
            <w:r>
              <w:rPr>
                <w:lang w:val="en-US"/>
              </w:rPr>
              <w:t>PLD-</w:t>
            </w:r>
            <w:r>
              <w:rPr>
                <w:lang w:val="en-US" w:eastAsia="ja-JP"/>
              </w:rPr>
              <w:t>2</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eastAsia="zh-CN"/>
              </w:rPr>
            </w:pPr>
            <w:r>
              <w:rPr>
                <w:rFonts w:hint="eastAsia"/>
                <w:lang w:val="en-US" w:eastAsia="zh-CN"/>
              </w:rPr>
              <w:t>响度显示器应以响度单位标定</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必选项</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ja-JP"/>
              </w:rPr>
            </w:pPr>
            <w:r>
              <w:rPr>
                <w:lang w:val="en-US"/>
              </w:rPr>
              <w:t>PLD-</w:t>
            </w:r>
            <w:r>
              <w:rPr>
                <w:lang w:val="en-US" w:eastAsia="ja-JP"/>
              </w:rPr>
              <w:t>3</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eastAsia="zh-CN"/>
              </w:rPr>
            </w:pPr>
            <w:r>
              <w:rPr>
                <w:rFonts w:hint="eastAsia"/>
                <w:lang w:val="en-US" w:eastAsia="zh-CN"/>
              </w:rPr>
              <w:t>响度显示器标尺在</w:t>
            </w:r>
            <w:r>
              <w:rPr>
                <w:lang w:val="en-US" w:eastAsia="zh-CN"/>
              </w:rPr>
              <w:t xml:space="preserve">0 LU </w:t>
            </w:r>
            <w:r>
              <w:rPr>
                <w:rFonts w:hint="eastAsia"/>
                <w:lang w:val="en-US" w:eastAsia="zh-CN"/>
              </w:rPr>
              <w:t>上可能发生色彩或强度变化</w:t>
            </w:r>
            <w:r>
              <w:rPr>
                <w:rFonts w:hint="eastAsia"/>
                <w:lang w:val="en-US" w:eastAsia="zh-CN"/>
              </w:rPr>
              <w:t xml:space="preserve"> </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可选项</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ja-JP"/>
              </w:rPr>
            </w:pPr>
            <w:r>
              <w:rPr>
                <w:lang w:val="en-US"/>
              </w:rPr>
              <w:t>PLD-</w:t>
            </w:r>
            <w:r>
              <w:rPr>
                <w:lang w:val="en-US" w:eastAsia="ja-JP"/>
              </w:rPr>
              <w:t>4</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eastAsia="zh-CN"/>
              </w:rPr>
            </w:pPr>
            <w:r>
              <w:rPr>
                <w:rFonts w:hint="eastAsia"/>
                <w:lang w:val="en-US" w:eastAsia="zh-CN"/>
              </w:rPr>
              <w:t>响度显示器标尺可以确定一个从</w:t>
            </w:r>
            <w:r>
              <w:rPr>
                <w:lang w:val="en-US" w:eastAsia="zh-CN"/>
              </w:rPr>
              <w:t>–2</w:t>
            </w:r>
            <w:r>
              <w:rPr>
                <w:lang w:val="en-US" w:eastAsia="ja-JP"/>
              </w:rPr>
              <w:t>1</w:t>
            </w:r>
            <w:r>
              <w:rPr>
                <w:rFonts w:hint="eastAsia"/>
                <w:lang w:val="en-US" w:eastAsia="zh-CN"/>
              </w:rPr>
              <w:t>响度单位到</w:t>
            </w:r>
            <w:r>
              <w:rPr>
                <w:lang w:val="en-US" w:eastAsia="zh-CN"/>
              </w:rPr>
              <w:t>+9</w:t>
            </w:r>
            <w:r>
              <w:rPr>
                <w:rFonts w:hint="eastAsia"/>
                <w:lang w:val="en-US" w:eastAsia="zh-CN"/>
              </w:rPr>
              <w:t>响度单位的最小范围，并应在本范围内呈线性状态</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进一步研究</w:t>
            </w: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可选项</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ja-JP"/>
              </w:rPr>
            </w:pPr>
            <w:r>
              <w:rPr>
                <w:lang w:val="en-US"/>
              </w:rPr>
              <w:t>PLD-</w:t>
            </w:r>
            <w:r>
              <w:rPr>
                <w:lang w:val="en-US" w:eastAsia="ja-JP"/>
              </w:rPr>
              <w:t>5</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rPr>
            </w:pPr>
            <w:r>
              <w:rPr>
                <w:rFonts w:hint="eastAsia"/>
                <w:lang w:val="en-US" w:eastAsia="zh-CN"/>
              </w:rPr>
              <w:t>立体声或多声道声音节目的响度应在一个显示器上显示。（这不妨碍仪表同时显示个别声道的响度。）</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rPr>
            </w:pP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必选项</w:t>
            </w:r>
          </w:p>
        </w:tc>
      </w:tr>
    </w:tbl>
    <w:p w:rsidR="00885069" w:rsidRDefault="00885069" w:rsidP="00885069">
      <w:pPr>
        <w:pStyle w:val="Tablefin"/>
      </w:pPr>
    </w:p>
    <w:p w:rsidR="00885069" w:rsidRDefault="00885069" w:rsidP="00885069">
      <w:pPr>
        <w:pStyle w:val="Headingb"/>
        <w:rPr>
          <w:lang w:val="en-US" w:eastAsia="zh-CN"/>
        </w:rPr>
      </w:pPr>
      <w:r>
        <w:rPr>
          <w:rFonts w:hint="eastAsia"/>
          <w:lang w:val="en-US" w:eastAsia="zh-CN"/>
        </w:rPr>
        <w:t>对节目响度显示器（机械方式）的要求</w:t>
      </w:r>
      <w:r>
        <w:rPr>
          <w:rFonts w:hint="eastAsia"/>
          <w:lang w:val="en-US" w:eastAsia="zh-CN"/>
        </w:rPr>
        <w:t xml:space="preserve"> </w:t>
      </w:r>
    </w:p>
    <w:p w:rsidR="00885069" w:rsidRDefault="00885069" w:rsidP="00885069">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103"/>
        <w:gridCol w:w="1985"/>
        <w:gridCol w:w="1276"/>
      </w:tblGrid>
      <w:tr w:rsidR="00885069" w:rsidTr="00885069">
        <w:trPr>
          <w:cantSplit/>
          <w:tblHeader/>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eastAsia="zh-CN"/>
              </w:rPr>
            </w:pPr>
            <w:r>
              <w:rPr>
                <w:rFonts w:hint="eastAsia"/>
                <w:lang w:val="en-US" w:eastAsia="zh-CN"/>
              </w:rPr>
              <w:t>要求编号</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eastAsia="zh-CN"/>
              </w:rPr>
            </w:pPr>
            <w:r>
              <w:rPr>
                <w:rFonts w:hint="eastAsia"/>
                <w:lang w:val="en-US" w:eastAsia="zh-CN"/>
              </w:rPr>
              <w:t>要求</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eastAsia="zh-CN"/>
              </w:rPr>
            </w:pPr>
            <w:r>
              <w:rPr>
                <w:rFonts w:hint="eastAsia"/>
                <w:lang w:val="en-US" w:eastAsia="zh-CN"/>
              </w:rPr>
              <w:t>补充说明</w:t>
            </w: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rPr>
            </w:pPr>
            <w:r>
              <w:rPr>
                <w:lang w:val="en-US"/>
              </w:rPr>
              <w:t>Req/Opt</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rPr>
            </w:pPr>
            <w:r>
              <w:rPr>
                <w:lang w:val="en-US"/>
              </w:rPr>
              <w:t>MCD-1</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eastAsia="zh-CN"/>
              </w:rPr>
            </w:pPr>
            <w:r>
              <w:rPr>
                <w:rFonts w:hint="eastAsia"/>
                <w:lang w:val="en-US" w:eastAsia="zh-CN"/>
              </w:rPr>
              <w:t>机械响度仪表显示器应当呈非线性状态，即在其操作范围内满标度偏斜不得超过</w:t>
            </w:r>
            <w:r>
              <w:rPr>
                <w:lang w:val="en-US" w:eastAsia="ja-JP"/>
              </w:rPr>
              <w:t>1</w:t>
            </w:r>
            <w:r>
              <w:rPr>
                <w:lang w:val="en-US" w:eastAsia="zh-CN"/>
              </w:rPr>
              <w:t>%</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必选项</w:t>
            </w:r>
          </w:p>
        </w:tc>
      </w:tr>
    </w:tbl>
    <w:p w:rsidR="00885069" w:rsidRDefault="00885069" w:rsidP="00885069">
      <w:pPr>
        <w:pStyle w:val="Tablefin"/>
      </w:pPr>
    </w:p>
    <w:p w:rsidR="00885069" w:rsidRDefault="00885069" w:rsidP="00885069">
      <w:pPr>
        <w:pStyle w:val="Headingb"/>
        <w:rPr>
          <w:lang w:val="en-US" w:eastAsia="ja-JP"/>
        </w:rPr>
      </w:pPr>
      <w:r>
        <w:rPr>
          <w:rFonts w:hint="eastAsia"/>
          <w:lang w:val="en-US" w:eastAsia="zh-CN"/>
        </w:rPr>
        <w:t>显示器要求－响度仪表的选择性峰值电平指示器</w:t>
      </w:r>
    </w:p>
    <w:p w:rsidR="00885069" w:rsidRDefault="00885069" w:rsidP="00885069">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103"/>
        <w:gridCol w:w="1985"/>
        <w:gridCol w:w="1276"/>
      </w:tblGrid>
      <w:tr w:rsidR="00885069" w:rsidTr="00885069">
        <w:trPr>
          <w:cantSplit/>
          <w:tblHeader/>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eastAsia="zh-CN"/>
              </w:rPr>
            </w:pPr>
            <w:r>
              <w:rPr>
                <w:rFonts w:hint="eastAsia"/>
                <w:lang w:val="en-US" w:eastAsia="zh-CN"/>
              </w:rPr>
              <w:t>要求编号</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eastAsia="zh-CN"/>
              </w:rPr>
            </w:pPr>
            <w:r>
              <w:rPr>
                <w:rFonts w:hint="eastAsia"/>
                <w:lang w:val="en-US" w:eastAsia="zh-CN"/>
              </w:rPr>
              <w:t>要求</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eastAsia="zh-CN"/>
              </w:rPr>
            </w:pPr>
            <w:r>
              <w:rPr>
                <w:rFonts w:hint="eastAsia"/>
                <w:lang w:val="en-US" w:eastAsia="zh-CN"/>
              </w:rPr>
              <w:t>补充说明</w:t>
            </w: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head"/>
              <w:rPr>
                <w:lang w:val="en-US"/>
              </w:rPr>
            </w:pPr>
            <w:r>
              <w:rPr>
                <w:lang w:val="en-US"/>
              </w:rPr>
              <w:t>Req/Opt</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rPr>
            </w:pPr>
            <w:r>
              <w:rPr>
                <w:lang w:val="en-US"/>
              </w:rPr>
              <w:t>PLI-1</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eastAsia="zh-CN"/>
              </w:rPr>
            </w:pPr>
            <w:r>
              <w:rPr>
                <w:rFonts w:hint="eastAsia"/>
                <w:lang w:val="en-US" w:eastAsia="zh-CN"/>
              </w:rPr>
              <w:t>数字超载指示系统应含有一个红色指示器</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可选项</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rPr>
            </w:pPr>
            <w:r>
              <w:rPr>
                <w:lang w:val="en-US"/>
              </w:rPr>
              <w:t>PLI-2</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eastAsia="ja-JP"/>
              </w:rPr>
            </w:pPr>
            <w:r>
              <w:rPr>
                <w:rFonts w:hint="eastAsia"/>
                <w:lang w:val="en-US" w:eastAsia="zh-CN"/>
              </w:rPr>
              <w:t>超载指示系统的门限值应当为满标度数字输入的</w:t>
            </w:r>
            <w:r>
              <w:rPr>
                <w:lang w:val="en-US" w:eastAsia="zh-CN"/>
              </w:rPr>
              <w:t>–</w:t>
            </w:r>
            <w:r>
              <w:rPr>
                <w:lang w:val="en-US" w:eastAsia="ja-JP"/>
              </w:rPr>
              <w:t xml:space="preserve">2 dB </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必选项</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rPr>
            </w:pPr>
            <w:r>
              <w:rPr>
                <w:lang w:val="en-US"/>
              </w:rPr>
              <w:t>PLI-3</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eastAsia="zh-CN"/>
              </w:rPr>
            </w:pPr>
            <w:r>
              <w:rPr>
                <w:rFonts w:hint="eastAsia"/>
                <w:lang w:val="en-US" w:eastAsia="zh-CN"/>
              </w:rPr>
              <w:t>如果实际峰值数字音频电平超过门限值，应激活超载指示器</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必选项</w:t>
            </w:r>
          </w:p>
        </w:tc>
      </w:tr>
      <w:tr w:rsidR="00885069" w:rsidTr="00885069">
        <w:trPr>
          <w:cantSplit/>
          <w:jc w:val="center"/>
        </w:trPr>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rPr>
            </w:pPr>
            <w:r>
              <w:rPr>
                <w:lang w:val="en-US"/>
              </w:rPr>
              <w:t>PLI-4</w:t>
            </w:r>
          </w:p>
        </w:tc>
        <w:tc>
          <w:tcPr>
            <w:tcW w:w="5103" w:type="dxa"/>
            <w:tcBorders>
              <w:top w:val="single" w:sz="4" w:space="0" w:color="auto"/>
              <w:left w:val="single" w:sz="4" w:space="0" w:color="auto"/>
              <w:bottom w:val="single" w:sz="4" w:space="0" w:color="auto"/>
              <w:right w:val="single" w:sz="4" w:space="0" w:color="auto"/>
            </w:tcBorders>
          </w:tcPr>
          <w:p w:rsidR="00885069" w:rsidRDefault="00885069">
            <w:pPr>
              <w:pStyle w:val="Tabletext"/>
              <w:jc w:val="left"/>
              <w:rPr>
                <w:lang w:val="en-US" w:eastAsia="zh-CN"/>
              </w:rPr>
            </w:pPr>
            <w:r>
              <w:rPr>
                <w:rFonts w:hint="eastAsia"/>
                <w:lang w:val="en-US" w:eastAsia="zh-CN"/>
              </w:rPr>
              <w:t>一旦激活指示灯，应在信号降至门限值以下之后至少</w:t>
            </w:r>
            <w:r>
              <w:rPr>
                <w:lang w:val="en-US" w:eastAsia="ja-JP"/>
              </w:rPr>
              <w:t>1</w:t>
            </w:r>
            <w:r>
              <w:rPr>
                <w:lang w:val="en-US" w:eastAsia="zh-CN"/>
              </w:rPr>
              <w:t xml:space="preserve">50 ms </w:t>
            </w:r>
            <w:r>
              <w:rPr>
                <w:rFonts w:hint="eastAsia"/>
                <w:lang w:val="en-US" w:eastAsia="zh-CN"/>
              </w:rPr>
              <w:t>之内保持激活状态</w:t>
            </w:r>
          </w:p>
        </w:tc>
        <w:tc>
          <w:tcPr>
            <w:tcW w:w="1985"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ja-JP"/>
              </w:rPr>
            </w:pPr>
          </w:p>
        </w:tc>
        <w:tc>
          <w:tcPr>
            <w:tcW w:w="1276" w:type="dxa"/>
            <w:tcBorders>
              <w:top w:val="single" w:sz="4" w:space="0" w:color="auto"/>
              <w:left w:val="single" w:sz="4" w:space="0" w:color="auto"/>
              <w:bottom w:val="single" w:sz="4" w:space="0" w:color="auto"/>
              <w:right w:val="single" w:sz="4" w:space="0" w:color="auto"/>
            </w:tcBorders>
          </w:tcPr>
          <w:p w:rsidR="00885069" w:rsidRDefault="00885069">
            <w:pPr>
              <w:pStyle w:val="Tabletext"/>
              <w:rPr>
                <w:lang w:val="en-US" w:eastAsia="zh-CN"/>
              </w:rPr>
            </w:pPr>
            <w:r>
              <w:rPr>
                <w:rFonts w:hint="eastAsia"/>
                <w:lang w:val="en-US" w:eastAsia="zh-CN"/>
              </w:rPr>
              <w:t>必选项</w:t>
            </w:r>
          </w:p>
        </w:tc>
      </w:tr>
    </w:tbl>
    <w:p w:rsidR="00885069" w:rsidRDefault="00885069" w:rsidP="00885069">
      <w:pPr>
        <w:pStyle w:val="Tablefin"/>
        <w:rPr>
          <w:sz w:val="2"/>
          <w:szCs w:val="2"/>
        </w:rPr>
      </w:pPr>
    </w:p>
    <w:p w:rsidR="00885069" w:rsidRDefault="00885069" w:rsidP="00885069">
      <w:pPr>
        <w:pStyle w:val="AppendixNoTitle"/>
        <w:rPr>
          <w:lang w:val="en-US" w:eastAsia="zh-CN"/>
        </w:rPr>
      </w:pPr>
      <w:r>
        <w:rPr>
          <w:b w:val="0"/>
          <w:lang w:val="en-US" w:eastAsia="zh-CN"/>
        </w:rPr>
        <w:br w:type="page"/>
      </w:r>
      <w:r>
        <w:rPr>
          <w:rFonts w:hint="eastAsia"/>
          <w:lang w:val="en-US" w:eastAsia="zh-CN"/>
        </w:rPr>
        <w:lastRenderedPageBreak/>
        <w:t>附件</w:t>
      </w:r>
      <w:r>
        <w:rPr>
          <w:lang w:val="en-US" w:eastAsia="zh-CN"/>
        </w:rPr>
        <w:t>1</w:t>
      </w:r>
      <w:r>
        <w:rPr>
          <w:lang w:val="en-US" w:eastAsia="zh-CN"/>
        </w:rPr>
        <w:br/>
      </w:r>
      <w:r>
        <w:rPr>
          <w:rFonts w:hint="eastAsia"/>
          <w:lang w:val="en-US" w:eastAsia="zh-CN"/>
        </w:rPr>
        <w:t>附录</w:t>
      </w:r>
      <w:r>
        <w:rPr>
          <w:lang w:val="en-US" w:eastAsia="zh-CN"/>
        </w:rPr>
        <w:t>1</w:t>
      </w:r>
      <w:r>
        <w:rPr>
          <w:lang w:val="en-US" w:eastAsia="zh-CN"/>
        </w:rPr>
        <w:br/>
      </w:r>
      <w:r>
        <w:rPr>
          <w:lang w:val="en-US" w:eastAsia="zh-CN"/>
        </w:rPr>
        <w:br/>
      </w:r>
      <w:r>
        <w:rPr>
          <w:lang w:val="en-US" w:eastAsia="zh-CN"/>
        </w:rPr>
        <w:br/>
      </w:r>
      <w:r>
        <w:rPr>
          <w:rFonts w:hint="eastAsia"/>
          <w:lang w:val="en-US" w:eastAsia="zh-CN"/>
        </w:rPr>
        <w:t>节目响度显示器示例</w:t>
      </w:r>
    </w:p>
    <w:p w:rsidR="00885069" w:rsidRDefault="00885069" w:rsidP="00885069">
      <w:pPr>
        <w:rPr>
          <w:lang w:val="en-US" w:eastAsia="zh-CN"/>
        </w:rPr>
      </w:pPr>
    </w:p>
    <w:p w:rsidR="00885069" w:rsidRDefault="00885069" w:rsidP="00885069">
      <w:pPr>
        <w:rPr>
          <w:lang w:val="en-US" w:eastAsia="zh-CN"/>
        </w:rPr>
      </w:pPr>
    </w:p>
    <w:p w:rsidR="00885069" w:rsidRDefault="00885069" w:rsidP="00885069">
      <w:pPr>
        <w:pStyle w:val="FigureNo"/>
        <w:rPr>
          <w:lang w:val="en-US" w:eastAsia="zh-CN"/>
        </w:rPr>
      </w:pPr>
      <w:r>
        <w:rPr>
          <w:rFonts w:hint="eastAsia"/>
          <w:lang w:val="en-US" w:eastAsia="zh-CN"/>
        </w:rPr>
        <w:t>图</w:t>
      </w:r>
      <w:r>
        <w:rPr>
          <w:lang w:val="en-US" w:eastAsia="zh-CN"/>
        </w:rPr>
        <w:t>1</w:t>
      </w:r>
    </w:p>
    <w:p w:rsidR="00885069" w:rsidRDefault="00885069" w:rsidP="00885069">
      <w:pPr>
        <w:pStyle w:val="Figuretitle"/>
        <w:rPr>
          <w:lang w:val="en-US" w:eastAsia="zh-CN"/>
        </w:rPr>
      </w:pPr>
      <w:r>
        <w:rPr>
          <w:rFonts w:hint="eastAsia"/>
          <w:lang w:val="en-US" w:eastAsia="zh-CN"/>
        </w:rPr>
        <w:t>机械式节目响度显示器示例</w:t>
      </w:r>
    </w:p>
    <w:p w:rsidR="00885069" w:rsidRDefault="00885069" w:rsidP="00885069">
      <w:pPr>
        <w:pStyle w:val="Figure"/>
        <w:rPr>
          <w:lang w:val="en-US" w:eastAsia="zh-CN"/>
        </w:rPr>
      </w:pPr>
      <w:r>
        <w:object w:dxaOrig="4478" w:dyaOrig="6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306.75pt" o:ole="">
            <v:imagedata r:id="rId19" o:title=""/>
          </v:shape>
          <o:OLEObject Type="Embed" ProgID="CorelDraw.Graphic.12" ShapeID="_x0000_i1025" DrawAspect="Content" ObjectID="_1367145694" r:id="rId20"/>
        </w:object>
      </w:r>
    </w:p>
    <w:p w:rsidR="00885069" w:rsidRDefault="00885069" w:rsidP="00885069">
      <w:pPr>
        <w:rPr>
          <w:lang w:val="en-US" w:eastAsia="zh-CN"/>
        </w:rPr>
      </w:pPr>
      <w:r>
        <w:rPr>
          <w:lang w:val="en-US" w:eastAsia="zh-CN"/>
        </w:rPr>
        <w:br w:type="page"/>
      </w:r>
    </w:p>
    <w:p w:rsidR="00885069" w:rsidRDefault="00885069" w:rsidP="00885069">
      <w:pPr>
        <w:pStyle w:val="FigureNo"/>
        <w:keepNext/>
        <w:rPr>
          <w:lang w:val="en-US" w:eastAsia="zh-CN"/>
        </w:rPr>
      </w:pPr>
      <w:r>
        <w:rPr>
          <w:rFonts w:hint="eastAsia"/>
          <w:lang w:val="en-US" w:eastAsia="zh-CN"/>
        </w:rPr>
        <w:lastRenderedPageBreak/>
        <w:t>图</w:t>
      </w:r>
      <w:r>
        <w:rPr>
          <w:lang w:val="en-US" w:eastAsia="zh-CN"/>
        </w:rPr>
        <w:t xml:space="preserve"> 2</w:t>
      </w:r>
    </w:p>
    <w:p w:rsidR="00885069" w:rsidRDefault="00885069" w:rsidP="000753AE">
      <w:pPr>
        <w:pStyle w:val="Figuretitle"/>
        <w:spacing w:after="240"/>
        <w:rPr>
          <w:lang w:val="en-US" w:eastAsia="zh-CN"/>
        </w:rPr>
      </w:pPr>
      <w:r>
        <w:rPr>
          <w:rFonts w:hint="eastAsia"/>
          <w:lang w:val="en-US" w:eastAsia="zh-CN"/>
        </w:rPr>
        <w:t>第一种光电式节目响度电平显示器示例</w:t>
      </w:r>
    </w:p>
    <w:p w:rsidR="00885069" w:rsidRDefault="00D8759A" w:rsidP="00885069">
      <w:pPr>
        <w:pStyle w:val="Figure"/>
        <w:rPr>
          <w:lang w:val="en-US" w:eastAsia="zh-CN"/>
        </w:rPr>
      </w:pPr>
      <w:r>
        <w:object w:dxaOrig="4561" w:dyaOrig="7791">
          <v:shape id="_x0000_i1029" type="#_x0000_t75" style="width:250.5pt;height:405pt" o:ole="">
            <v:imagedata r:id="rId21" o:title=""/>
          </v:shape>
          <o:OLEObject Type="Embed" ProgID="CorelDRAW.Graphic.14" ShapeID="_x0000_i1029" DrawAspect="Content" ObjectID="_1367145695" r:id="rId22"/>
        </w:object>
      </w:r>
      <w:bookmarkStart w:id="0" w:name="_GoBack"/>
      <w:bookmarkEnd w:id="0"/>
    </w:p>
    <w:p w:rsidR="00885069" w:rsidRDefault="00885069" w:rsidP="00885069">
      <w:pPr>
        <w:rPr>
          <w:lang w:val="en-US" w:eastAsia="zh-CN"/>
        </w:rPr>
      </w:pPr>
      <w:r>
        <w:rPr>
          <w:lang w:val="en-US" w:eastAsia="zh-CN"/>
        </w:rPr>
        <w:br w:type="page"/>
      </w:r>
    </w:p>
    <w:p w:rsidR="00885069" w:rsidRDefault="00885069" w:rsidP="00885069">
      <w:pPr>
        <w:pStyle w:val="FigureNo"/>
        <w:keepNext/>
        <w:rPr>
          <w:lang w:val="en-US" w:eastAsia="zh-CN"/>
        </w:rPr>
      </w:pPr>
      <w:r>
        <w:rPr>
          <w:rFonts w:hint="eastAsia"/>
          <w:lang w:val="en-US" w:eastAsia="zh-CN"/>
        </w:rPr>
        <w:lastRenderedPageBreak/>
        <w:t>图</w:t>
      </w:r>
      <w:r>
        <w:rPr>
          <w:lang w:val="en-US" w:eastAsia="zh-CN"/>
        </w:rPr>
        <w:t xml:space="preserve"> 3</w:t>
      </w:r>
    </w:p>
    <w:p w:rsidR="00885069" w:rsidRDefault="00885069" w:rsidP="000753AE">
      <w:pPr>
        <w:pStyle w:val="Figuretitle"/>
        <w:spacing w:after="240"/>
        <w:rPr>
          <w:lang w:val="en-US" w:eastAsia="zh-CN"/>
        </w:rPr>
      </w:pPr>
      <w:r>
        <w:rPr>
          <w:rFonts w:hint="eastAsia"/>
          <w:lang w:val="en-US" w:eastAsia="zh-CN"/>
        </w:rPr>
        <w:t>第二种光电式节目响度电平显示器示例</w:t>
      </w:r>
    </w:p>
    <w:p w:rsidR="00336AE5" w:rsidRPr="00336AE5" w:rsidRDefault="00D8759A" w:rsidP="00336AE5">
      <w:pPr>
        <w:pStyle w:val="Figuretitle"/>
        <w:rPr>
          <w:lang w:eastAsia="zh-CN"/>
        </w:rPr>
      </w:pPr>
      <w:r>
        <w:object w:dxaOrig="4373" w:dyaOrig="7901">
          <v:shape id="_x0000_i1031" type="#_x0000_t75" style="width:229.5pt;height:415.5pt" o:ole="">
            <v:imagedata r:id="rId23" o:title=""/>
          </v:shape>
          <o:OLEObject Type="Embed" ProgID="CorelDRAW.Graphic.14" ShapeID="_x0000_i1031" DrawAspect="Content" ObjectID="_1367145696" r:id="rId24"/>
        </w:object>
      </w:r>
    </w:p>
    <w:p w:rsidR="000753AE" w:rsidRDefault="000753AE">
      <w:pPr>
        <w:tabs>
          <w:tab w:val="clear" w:pos="794"/>
          <w:tab w:val="clear" w:pos="1191"/>
          <w:tab w:val="clear" w:pos="1588"/>
          <w:tab w:val="clear" w:pos="1985"/>
        </w:tabs>
        <w:overflowPunct/>
        <w:autoSpaceDE/>
        <w:autoSpaceDN/>
        <w:adjustRightInd/>
        <w:spacing w:before="0"/>
        <w:jc w:val="left"/>
        <w:rPr>
          <w:b/>
          <w:sz w:val="28"/>
          <w:lang w:val="en-US" w:eastAsia="zh-CN"/>
        </w:rPr>
      </w:pPr>
      <w:r>
        <w:rPr>
          <w:lang w:val="en-US" w:eastAsia="zh-CN"/>
        </w:rPr>
        <w:br w:type="page"/>
      </w:r>
    </w:p>
    <w:p w:rsidR="00885069" w:rsidRDefault="00885069" w:rsidP="00195E91">
      <w:pPr>
        <w:pStyle w:val="AppendixNoTitle"/>
        <w:spacing w:before="240"/>
        <w:rPr>
          <w:lang w:val="en-US" w:eastAsia="zh-CN"/>
        </w:rPr>
      </w:pPr>
      <w:r>
        <w:rPr>
          <w:rFonts w:hint="eastAsia"/>
          <w:lang w:val="en-US" w:eastAsia="zh-CN"/>
        </w:rPr>
        <w:lastRenderedPageBreak/>
        <w:t>附录</w:t>
      </w:r>
      <w:r>
        <w:rPr>
          <w:rFonts w:hint="eastAsia"/>
          <w:lang w:val="en-US" w:eastAsia="zh-CN"/>
        </w:rPr>
        <w:t xml:space="preserve"> </w:t>
      </w:r>
      <w:r>
        <w:rPr>
          <w:lang w:val="en-US" w:eastAsia="ja-JP"/>
        </w:rPr>
        <w:t>2</w:t>
      </w:r>
      <w:r>
        <w:rPr>
          <w:lang w:val="en-US" w:eastAsia="zh-CN"/>
        </w:rPr>
        <w:br/>
      </w:r>
      <w:r>
        <w:rPr>
          <w:lang w:val="en-US" w:eastAsia="zh-CN"/>
        </w:rPr>
        <w:br/>
      </w:r>
      <w:r>
        <w:rPr>
          <w:rFonts w:hint="eastAsia"/>
          <w:lang w:val="en-US" w:eastAsia="zh-CN"/>
        </w:rPr>
        <w:t>说明</w:t>
      </w:r>
      <w:r>
        <w:rPr>
          <w:lang w:val="en-US" w:eastAsia="zh-CN"/>
        </w:rPr>
        <w:t xml:space="preserve"> </w:t>
      </w:r>
    </w:p>
    <w:p w:rsidR="00885069" w:rsidRDefault="00885069" w:rsidP="00885069">
      <w:pPr>
        <w:pStyle w:val="Heading1"/>
        <w:rPr>
          <w:lang w:val="en-US" w:eastAsia="zh-CN"/>
        </w:rPr>
      </w:pPr>
      <w:r>
        <w:rPr>
          <w:lang w:val="en-US" w:eastAsia="zh-CN"/>
        </w:rPr>
        <w:t>1</w:t>
      </w:r>
      <w:r>
        <w:rPr>
          <w:lang w:val="en-US" w:eastAsia="zh-CN"/>
        </w:rPr>
        <w:tab/>
      </w:r>
      <w:r>
        <w:rPr>
          <w:rFonts w:hint="eastAsia"/>
          <w:lang w:val="en-US" w:eastAsia="zh-CN"/>
        </w:rPr>
        <w:t>背景和术语</w:t>
      </w:r>
    </w:p>
    <w:p w:rsidR="00885069" w:rsidRDefault="00885069" w:rsidP="00697734">
      <w:pPr>
        <w:ind w:firstLineChars="200" w:firstLine="480"/>
        <w:rPr>
          <w:lang w:val="en-US" w:eastAsia="zh-CN"/>
        </w:rPr>
      </w:pPr>
      <w:r>
        <w:rPr>
          <w:rFonts w:hint="eastAsia"/>
          <w:lang w:val="en-US" w:eastAsia="zh-CN"/>
        </w:rPr>
        <w:t>响度是以声音进行重放的音频信号的固有属性。它是振幅、频率和带宽的非线性复合函数。</w:t>
      </w:r>
    </w:p>
    <w:p w:rsidR="00885069" w:rsidRDefault="00885069" w:rsidP="00697734">
      <w:pPr>
        <w:ind w:firstLineChars="200" w:firstLine="480"/>
        <w:rPr>
          <w:lang w:val="en-US" w:eastAsia="zh-CN"/>
        </w:rPr>
      </w:pPr>
      <w:r>
        <w:rPr>
          <w:rFonts w:hint="eastAsia"/>
          <w:lang w:val="en-US" w:eastAsia="zh-CN"/>
        </w:rPr>
        <w:t>电平即信号振幅－电信号以</w:t>
      </w:r>
      <w:r>
        <w:rPr>
          <w:lang w:val="en-US" w:eastAsia="zh-CN"/>
        </w:rPr>
        <w:t>r.m.s.</w:t>
      </w:r>
      <w:r>
        <w:rPr>
          <w:rFonts w:hint="eastAsia"/>
          <w:lang w:val="en-US" w:eastAsia="zh-CN"/>
        </w:rPr>
        <w:t>电压表示，而声信号以声压表示。电平是独立于频率和带宽的客观属性，电信号以伏特为单位而声信号为帕斯卡为单位做线性标示；而对于固定参考电平，则以分贝（</w:t>
      </w:r>
      <w:r>
        <w:rPr>
          <w:lang w:val="en-US" w:eastAsia="zh-CN"/>
        </w:rPr>
        <w:t>dB</w:t>
      </w:r>
      <w:r>
        <w:rPr>
          <w:rFonts w:hint="eastAsia"/>
          <w:lang w:val="en-US" w:eastAsia="zh-CN"/>
        </w:rPr>
        <w:t>）做对数标示。</w:t>
      </w:r>
    </w:p>
    <w:p w:rsidR="00885069" w:rsidRDefault="00885069" w:rsidP="00697734">
      <w:pPr>
        <w:ind w:firstLineChars="200" w:firstLine="480"/>
        <w:rPr>
          <w:lang w:val="en-US" w:eastAsia="zh-CN"/>
        </w:rPr>
      </w:pPr>
      <w:r>
        <w:rPr>
          <w:rFonts w:hint="eastAsia"/>
          <w:lang w:val="en-US" w:eastAsia="zh-CN"/>
        </w:rPr>
        <w:t>在广播应用中，假设重放电声增益为固定值，也可将响度作为一种电特性进行测量。这种假设是广播响度表的基础。重放电平在家庭环境中被设定为</w:t>
      </w:r>
      <w:r>
        <w:rPr>
          <w:lang w:val="en-US" w:eastAsia="zh-CN"/>
        </w:rPr>
        <w:t>60 dBA</w:t>
      </w:r>
      <w:r>
        <w:rPr>
          <w:rFonts w:hint="eastAsia"/>
          <w:lang w:val="en-US" w:eastAsia="zh-CN"/>
        </w:rPr>
        <w:t>，该电平由本杰明发明，用于真实家庭环境中观看电视的典型收听电平</w:t>
      </w:r>
      <w:r>
        <w:rPr>
          <w:rFonts w:hint="eastAsia"/>
          <w:lang w:val="en-US" w:eastAsia="zh-CN"/>
        </w:rPr>
        <w:t xml:space="preserve"> </w:t>
      </w:r>
      <w:r>
        <w:rPr>
          <w:lang w:val="en-US" w:eastAsia="zh-CN"/>
        </w:rPr>
        <w:t>[</w:t>
      </w:r>
      <w:r>
        <w:rPr>
          <w:rFonts w:hint="eastAsia"/>
          <w:lang w:val="en-US" w:eastAsia="zh-CN"/>
        </w:rPr>
        <w:t>本杰明，</w:t>
      </w:r>
      <w:r>
        <w:rPr>
          <w:lang w:val="en-US" w:eastAsia="zh-CN"/>
        </w:rPr>
        <w:t> 2004</w:t>
      </w:r>
      <w:r>
        <w:rPr>
          <w:rFonts w:hint="eastAsia"/>
          <w:lang w:val="en-US" w:eastAsia="zh-CN"/>
        </w:rPr>
        <w:t>年</w:t>
      </w:r>
      <w:r>
        <w:rPr>
          <w:lang w:val="en-US" w:eastAsia="zh-CN"/>
        </w:rPr>
        <w:t>]</w:t>
      </w:r>
      <w:r>
        <w:rPr>
          <w:rFonts w:hint="eastAsia"/>
          <w:lang w:val="en-US" w:eastAsia="zh-CN"/>
        </w:rPr>
        <w:t>。</w:t>
      </w:r>
    </w:p>
    <w:p w:rsidR="00885069" w:rsidRDefault="00885069" w:rsidP="00697734">
      <w:pPr>
        <w:ind w:firstLineChars="200" w:firstLine="480"/>
        <w:rPr>
          <w:lang w:val="en-US" w:eastAsia="zh-CN"/>
        </w:rPr>
      </w:pPr>
      <w:r>
        <w:rPr>
          <w:rFonts w:hint="eastAsia"/>
          <w:lang w:val="en-US" w:eastAsia="zh-CN"/>
        </w:rPr>
        <w:t>参考响度电平是一个声标定和电标定信号，它是</w:t>
      </w:r>
      <w:r>
        <w:rPr>
          <w:lang w:val="en-US" w:eastAsia="zh-CN"/>
        </w:rPr>
        <w:t>ITU-R BS.645</w:t>
      </w:r>
      <w:r>
        <w:rPr>
          <w:rFonts w:hint="eastAsia"/>
          <w:lang w:val="en-US" w:eastAsia="zh-CN"/>
        </w:rPr>
        <w:t>建议书中规定的调准电平模拟，但是由于响度表与</w:t>
      </w:r>
      <w:r>
        <w:rPr>
          <w:lang w:val="en-US" w:eastAsia="zh-CN"/>
        </w:rPr>
        <w:t>VU</w:t>
      </w:r>
      <w:r>
        <w:rPr>
          <w:rFonts w:hint="eastAsia"/>
          <w:lang w:val="en-US" w:eastAsia="zh-CN"/>
        </w:rPr>
        <w:t>表读取信号的方式不同，因此参考响度的标定点不在调准电平上。然而在实际操作中，以调准电平标定的</w:t>
      </w:r>
      <w:r>
        <w:rPr>
          <w:lang w:val="en-US" w:eastAsia="zh-CN"/>
        </w:rPr>
        <w:t>VU</w:t>
      </w:r>
      <w:r>
        <w:rPr>
          <w:rFonts w:hint="eastAsia"/>
          <w:lang w:val="en-US" w:eastAsia="zh-CN"/>
        </w:rPr>
        <w:t>表读取的正常节目电平应与以参考响度电平标定的响度表读取的电平较好地对应。</w:t>
      </w:r>
      <w:r>
        <w:rPr>
          <w:lang w:val="en-US" w:eastAsia="zh-CN"/>
        </w:rPr>
        <w:t xml:space="preserve"> </w:t>
      </w:r>
    </w:p>
    <w:p w:rsidR="00885069" w:rsidRDefault="00885069" w:rsidP="00697734">
      <w:pPr>
        <w:ind w:firstLineChars="200" w:firstLine="480"/>
        <w:rPr>
          <w:lang w:val="en-US" w:eastAsia="zh-CN"/>
        </w:rPr>
      </w:pPr>
      <w:r>
        <w:rPr>
          <w:rFonts w:hint="eastAsia"/>
          <w:lang w:val="en-US" w:eastAsia="zh-CN"/>
        </w:rPr>
        <w:t>参考响度电平信号是在</w:t>
      </w:r>
      <w:r>
        <w:rPr>
          <w:lang w:val="en-US" w:eastAsia="zh-CN"/>
        </w:rPr>
        <w:t xml:space="preserve">1 kHz </w:t>
      </w:r>
      <w:r>
        <w:rPr>
          <w:rFonts w:hint="eastAsia"/>
          <w:lang w:val="en-US" w:eastAsia="zh-CN"/>
        </w:rPr>
        <w:t>上的</w:t>
      </w:r>
      <w:r>
        <w:rPr>
          <w:lang w:val="en-US" w:eastAsia="zh-CN"/>
        </w:rPr>
        <w:t>60 dB SPL</w:t>
      </w:r>
      <w:r>
        <w:rPr>
          <w:rFonts w:hint="eastAsia"/>
          <w:lang w:val="en-US" w:eastAsia="zh-CN"/>
        </w:rPr>
        <w:t>和</w:t>
      </w:r>
      <w:r>
        <w:rPr>
          <w:lang w:val="en-US" w:eastAsia="zh-CN"/>
        </w:rPr>
        <w:t>–24 dBFS</w:t>
      </w:r>
      <w:r>
        <w:rPr>
          <w:rFonts w:hint="eastAsia"/>
          <w:lang w:val="en-US" w:eastAsia="zh-CN"/>
        </w:rPr>
        <w:t>（仅为举例之用）持续性正弦波。参考响度电平与响度表的</w:t>
      </w:r>
      <w:r>
        <w:rPr>
          <w:lang w:val="en-US" w:eastAsia="zh-CN"/>
        </w:rPr>
        <w:t>0 LU</w:t>
      </w:r>
      <w:r>
        <w:rPr>
          <w:rFonts w:hint="eastAsia"/>
          <w:lang w:val="en-US" w:eastAsia="zh-CN"/>
        </w:rPr>
        <w:t>相对应。</w:t>
      </w:r>
      <w:r>
        <w:rPr>
          <w:lang w:val="en-US" w:eastAsia="zh-CN"/>
        </w:rPr>
        <w:t xml:space="preserve"> </w:t>
      </w:r>
    </w:p>
    <w:p w:rsidR="00885069" w:rsidRDefault="00885069" w:rsidP="00697734">
      <w:pPr>
        <w:ind w:firstLineChars="200" w:firstLine="480"/>
        <w:rPr>
          <w:lang w:val="en-US" w:eastAsia="zh-CN"/>
        </w:rPr>
      </w:pPr>
      <w:r>
        <w:rPr>
          <w:rFonts w:hint="eastAsia"/>
          <w:lang w:val="en-US" w:eastAsia="zh-CN"/>
        </w:rPr>
        <w:t>注</w:t>
      </w:r>
      <w:r>
        <w:rPr>
          <w:lang w:val="en-US" w:eastAsia="zh-CN"/>
        </w:rPr>
        <w:t> 1 – 0 LU</w:t>
      </w:r>
      <w:r>
        <w:rPr>
          <w:rFonts w:hint="eastAsia"/>
          <w:lang w:val="en-US" w:eastAsia="zh-CN"/>
        </w:rPr>
        <w:t>与</w:t>
      </w:r>
      <w:r>
        <w:rPr>
          <w:lang w:val="en-US" w:eastAsia="zh-CN"/>
        </w:rPr>
        <w:t>1 kHz</w:t>
      </w:r>
      <w:r>
        <w:rPr>
          <w:rFonts w:hint="eastAsia"/>
          <w:lang w:val="en-US" w:eastAsia="zh-CN"/>
        </w:rPr>
        <w:t>上的</w:t>
      </w:r>
      <w:r>
        <w:rPr>
          <w:rFonts w:hint="eastAsia"/>
          <w:lang w:val="en-US" w:eastAsia="zh-CN"/>
        </w:rPr>
        <w:t xml:space="preserve"> </w:t>
      </w:r>
      <w:r>
        <w:rPr>
          <w:lang w:val="en-US" w:eastAsia="zh-CN"/>
        </w:rPr>
        <w:t xml:space="preserve">0 dBFS </w:t>
      </w:r>
      <w:r>
        <w:rPr>
          <w:rFonts w:hint="eastAsia"/>
          <w:lang w:val="en-US" w:eastAsia="zh-CN"/>
        </w:rPr>
        <w:t>（满标度正弦波）之间的关系仍在研究之中，</w:t>
      </w:r>
      <w:r>
        <w:rPr>
          <w:lang w:val="en-US" w:eastAsia="zh-CN"/>
        </w:rPr>
        <w:t xml:space="preserve">–24 dBFS </w:t>
      </w:r>
      <w:r>
        <w:rPr>
          <w:rFonts w:hint="eastAsia"/>
          <w:lang w:val="en-US" w:eastAsia="zh-CN"/>
        </w:rPr>
        <w:t>这一数值仅为举例之用，并未得到证实。</w:t>
      </w:r>
    </w:p>
    <w:p w:rsidR="00885069" w:rsidRDefault="00885069" w:rsidP="00F87EAD">
      <w:pPr>
        <w:ind w:firstLineChars="200" w:firstLine="480"/>
        <w:rPr>
          <w:lang w:val="en-US" w:eastAsia="zh-CN"/>
        </w:rPr>
      </w:pPr>
      <w:r>
        <w:rPr>
          <w:rFonts w:hint="eastAsia"/>
          <w:lang w:val="en-US" w:eastAsia="zh-CN"/>
        </w:rPr>
        <w:t>本信号主要用于电标定，由于持续波效应，它不是声标定的理想信号。可能用于声标定的第二级响度电平标定信号一直是集中在</w:t>
      </w:r>
      <w:r>
        <w:rPr>
          <w:lang w:val="en-US" w:eastAsia="zh-CN"/>
        </w:rPr>
        <w:t xml:space="preserve">1 kHz </w:t>
      </w:r>
      <w:r>
        <w:rPr>
          <w:rFonts w:hint="eastAsia"/>
          <w:lang w:val="en-US" w:eastAsia="zh-CN"/>
        </w:rPr>
        <w:t>的倍频程频带噪音，其平均值为</w:t>
      </w:r>
      <w:r>
        <w:rPr>
          <w:lang w:val="en-US" w:eastAsia="zh-CN"/>
        </w:rPr>
        <w:t>60 dB SPL</w:t>
      </w:r>
      <w:r>
        <w:rPr>
          <w:rFonts w:hint="eastAsia"/>
          <w:lang w:val="en-US" w:eastAsia="zh-CN"/>
        </w:rPr>
        <w:t>和</w:t>
      </w:r>
      <w:r w:rsidR="00232815">
        <w:rPr>
          <w:lang w:val="en-US" w:eastAsia="zh-CN"/>
        </w:rPr>
        <w:br/>
      </w:r>
      <w:r>
        <w:rPr>
          <w:lang w:val="en-US" w:eastAsia="zh-CN"/>
        </w:rPr>
        <w:t>–24 dBFS</w:t>
      </w:r>
      <w:r>
        <w:rPr>
          <w:rFonts w:hint="eastAsia"/>
          <w:lang w:val="en-US" w:eastAsia="zh-CN"/>
        </w:rPr>
        <w:t>（仅为举例之用）。该值也应与响度表</w:t>
      </w:r>
      <w:r w:rsidR="00F87EAD">
        <w:rPr>
          <w:rStyle w:val="FootnoteReference"/>
          <w:lang w:val="en-US" w:eastAsia="zh-CN"/>
        </w:rPr>
        <w:footnoteReference w:customMarkFollows="1" w:id="2"/>
        <w:t>1</w:t>
      </w:r>
      <w:r>
        <w:rPr>
          <w:rFonts w:hint="eastAsia"/>
          <w:lang w:val="en-US" w:eastAsia="zh-CN"/>
        </w:rPr>
        <w:t>平均值</w:t>
      </w:r>
      <w:r>
        <w:rPr>
          <w:lang w:val="en-US" w:eastAsia="zh-CN"/>
        </w:rPr>
        <w:t>–0LU</w:t>
      </w:r>
      <w:r>
        <w:rPr>
          <w:rFonts w:hint="eastAsia"/>
          <w:lang w:val="en-US" w:eastAsia="zh-CN"/>
        </w:rPr>
        <w:t>相对应。</w:t>
      </w:r>
    </w:p>
    <w:p w:rsidR="00885069" w:rsidRDefault="00885069" w:rsidP="00697734">
      <w:pPr>
        <w:ind w:firstLineChars="200" w:firstLine="480"/>
        <w:rPr>
          <w:lang w:val="en-US" w:eastAsia="zh-CN"/>
        </w:rPr>
      </w:pPr>
      <w:r>
        <w:rPr>
          <w:rFonts w:hint="eastAsia"/>
          <w:lang w:val="en-US" w:eastAsia="zh-CN"/>
        </w:rPr>
        <w:t>无论使用响度表对电增益进行测量，还是使用</w:t>
      </w:r>
      <w:r>
        <w:rPr>
          <w:lang w:val="en-US" w:eastAsia="zh-CN"/>
        </w:rPr>
        <w:t xml:space="preserve">VU </w:t>
      </w:r>
      <w:r>
        <w:rPr>
          <w:rFonts w:hint="eastAsia"/>
          <w:lang w:val="en-US" w:eastAsia="zh-CN"/>
        </w:rPr>
        <w:t>表或</w:t>
      </w:r>
      <w:r>
        <w:rPr>
          <w:lang w:val="en-US" w:eastAsia="zh-CN"/>
        </w:rPr>
        <w:t xml:space="preserve">PPM </w:t>
      </w:r>
      <w:r>
        <w:rPr>
          <w:rFonts w:hint="eastAsia"/>
          <w:lang w:val="en-US" w:eastAsia="zh-CN"/>
        </w:rPr>
        <w:t>进行交叉标定，必须通过基本的参考响度电平（正弦波）信号进行。</w:t>
      </w:r>
    </w:p>
    <w:p w:rsidR="00885069" w:rsidRDefault="00885069" w:rsidP="00697734">
      <w:pPr>
        <w:ind w:firstLineChars="200" w:firstLine="480"/>
        <w:rPr>
          <w:lang w:val="en-US" w:eastAsia="zh-CN"/>
        </w:rPr>
      </w:pPr>
      <w:r>
        <w:rPr>
          <w:rFonts w:hint="eastAsia"/>
          <w:lang w:val="en-US" w:eastAsia="zh-CN"/>
        </w:rPr>
        <w:t>广播响度表应至少具有两种操作模式：快速（</w:t>
      </w:r>
      <w:r>
        <w:rPr>
          <w:lang w:val="en-US" w:eastAsia="zh-CN"/>
        </w:rPr>
        <w:t>F</w:t>
      </w:r>
      <w:r>
        <w:rPr>
          <w:rFonts w:hint="eastAsia"/>
          <w:lang w:val="en-US" w:eastAsia="zh-CN"/>
        </w:rPr>
        <w:t>）和积分（</w:t>
      </w:r>
      <w:r>
        <w:rPr>
          <w:lang w:val="en-US" w:eastAsia="zh-CN"/>
        </w:rPr>
        <w:t>I</w:t>
      </w:r>
      <w:r>
        <w:rPr>
          <w:rFonts w:hint="eastAsia"/>
          <w:lang w:val="en-US" w:eastAsia="zh-CN"/>
        </w:rPr>
        <w:t>）。两种操作模式用于不同用途。</w:t>
      </w:r>
    </w:p>
    <w:p w:rsidR="00885069" w:rsidRDefault="00885069" w:rsidP="00885069">
      <w:pPr>
        <w:pStyle w:val="enumlev1"/>
        <w:rPr>
          <w:lang w:val="en-US" w:eastAsia="zh-CN"/>
        </w:rPr>
      </w:pPr>
      <w:r>
        <w:rPr>
          <w:lang w:val="en-US" w:eastAsia="zh-CN"/>
        </w:rPr>
        <w:t>–</w:t>
      </w:r>
      <w:r>
        <w:rPr>
          <w:lang w:val="en-US" w:eastAsia="zh-CN"/>
        </w:rPr>
        <w:tab/>
      </w:r>
      <w:r>
        <w:rPr>
          <w:rFonts w:hint="eastAsia"/>
          <w:lang w:val="en-US" w:eastAsia="zh-CN"/>
        </w:rPr>
        <w:t>快速模式用于制作、后期制作和播放。应当设定节目电平，从而在典型对话上仪表读数通常应为</w:t>
      </w:r>
      <w:r>
        <w:rPr>
          <w:lang w:val="en-US" w:eastAsia="zh-CN"/>
        </w:rPr>
        <w:t xml:space="preserve">0 LU </w:t>
      </w:r>
      <w:r>
        <w:rPr>
          <w:rFonts w:hint="eastAsia"/>
          <w:lang w:val="en-US" w:eastAsia="zh-CN"/>
        </w:rPr>
        <w:t>。</w:t>
      </w:r>
    </w:p>
    <w:p w:rsidR="00885069" w:rsidRDefault="00885069" w:rsidP="00885069">
      <w:pPr>
        <w:pStyle w:val="enumlev1"/>
        <w:rPr>
          <w:lang w:val="en-US" w:eastAsia="zh-CN"/>
        </w:rPr>
      </w:pPr>
      <w:r>
        <w:rPr>
          <w:lang w:val="en-US" w:eastAsia="zh-CN"/>
        </w:rPr>
        <w:t>–</w:t>
      </w:r>
      <w:r>
        <w:rPr>
          <w:lang w:val="en-US" w:eastAsia="zh-CN"/>
        </w:rPr>
        <w:tab/>
      </w:r>
      <w:r>
        <w:rPr>
          <w:rFonts w:hint="eastAsia"/>
          <w:lang w:val="en-US" w:eastAsia="zh-CN"/>
        </w:rPr>
        <w:t>积分模式用于质量控制（主要集中在节目输入阶段）、节目发送和后期分析。这种模式的输出采用单数形式，从而使得响度匹配和增益设定的信息清晰明确。</w:t>
      </w:r>
    </w:p>
    <w:p w:rsidR="00F87EAD" w:rsidRDefault="00F87EAD">
      <w:pPr>
        <w:tabs>
          <w:tab w:val="clear" w:pos="794"/>
          <w:tab w:val="clear" w:pos="1191"/>
          <w:tab w:val="clear" w:pos="1588"/>
          <w:tab w:val="clear" w:pos="1985"/>
        </w:tabs>
        <w:overflowPunct/>
        <w:autoSpaceDE/>
        <w:autoSpaceDN/>
        <w:adjustRightInd/>
        <w:spacing w:before="0"/>
        <w:jc w:val="left"/>
        <w:rPr>
          <w:b/>
          <w:lang w:val="en-US" w:eastAsia="zh-CN"/>
        </w:rPr>
      </w:pPr>
      <w:r>
        <w:rPr>
          <w:lang w:val="en-US" w:eastAsia="zh-CN"/>
        </w:rPr>
        <w:br w:type="page"/>
      </w:r>
    </w:p>
    <w:p w:rsidR="00885069" w:rsidRDefault="00885069" w:rsidP="00885069">
      <w:pPr>
        <w:pStyle w:val="Heading1"/>
        <w:rPr>
          <w:lang w:val="en-US" w:eastAsia="zh-CN"/>
        </w:rPr>
      </w:pPr>
      <w:r>
        <w:rPr>
          <w:lang w:val="en-US" w:eastAsia="zh-CN"/>
        </w:rPr>
        <w:lastRenderedPageBreak/>
        <w:t>2</w:t>
      </w:r>
      <w:r>
        <w:rPr>
          <w:lang w:val="en-US" w:eastAsia="zh-CN"/>
        </w:rPr>
        <w:tab/>
      </w:r>
      <w:r>
        <w:rPr>
          <w:rFonts w:hint="eastAsia"/>
          <w:lang w:val="en-US" w:eastAsia="zh-CN"/>
        </w:rPr>
        <w:t>仪表显示器格式</w:t>
      </w:r>
    </w:p>
    <w:p w:rsidR="00885069" w:rsidRDefault="00885069" w:rsidP="00697734">
      <w:pPr>
        <w:ind w:firstLineChars="200" w:firstLine="480"/>
        <w:rPr>
          <w:lang w:val="en-US" w:eastAsia="zh-CN"/>
        </w:rPr>
      </w:pPr>
      <w:r>
        <w:rPr>
          <w:rFonts w:hint="eastAsia"/>
          <w:lang w:val="en-US" w:eastAsia="zh-CN"/>
        </w:rPr>
        <w:t>最基本的判定是显示器应当使用机械仪表还是电子显示器，抑或规定显示器支持任何一种格式。</w:t>
      </w:r>
    </w:p>
    <w:p w:rsidR="00885069" w:rsidRDefault="00885069" w:rsidP="00697734">
      <w:pPr>
        <w:ind w:firstLineChars="200" w:firstLine="480"/>
        <w:rPr>
          <w:lang w:val="en-US" w:eastAsia="zh-CN"/>
        </w:rPr>
      </w:pPr>
      <w:r>
        <w:rPr>
          <w:rFonts w:hint="eastAsia"/>
          <w:lang w:val="en-US" w:eastAsia="zh-CN"/>
        </w:rPr>
        <w:t>尽管很多操作员倾向于电子显示器，而且这种显示器正日渐普遍地应用于电子声音和视频设备，但某些操作员（尤其是视力欠缺者）更倾向于机械仪表。因此有些成文规定要求同时支持两种格式。</w:t>
      </w:r>
    </w:p>
    <w:p w:rsidR="00885069" w:rsidRDefault="00885069" w:rsidP="00885069">
      <w:pPr>
        <w:pStyle w:val="Heading1"/>
        <w:rPr>
          <w:lang w:val="en-US" w:eastAsia="zh-CN"/>
        </w:rPr>
      </w:pPr>
      <w:r>
        <w:rPr>
          <w:lang w:val="en-US" w:eastAsia="zh-CN"/>
        </w:rPr>
        <w:t>3</w:t>
      </w:r>
      <w:r>
        <w:rPr>
          <w:lang w:val="en-US" w:eastAsia="zh-CN"/>
        </w:rPr>
        <w:tab/>
      </w:r>
      <w:r>
        <w:rPr>
          <w:rFonts w:hint="eastAsia"/>
          <w:lang w:val="en-US" w:eastAsia="zh-CN"/>
        </w:rPr>
        <w:t>信号类型识别</w:t>
      </w:r>
    </w:p>
    <w:p w:rsidR="00885069" w:rsidRDefault="00885069" w:rsidP="00697734">
      <w:pPr>
        <w:ind w:firstLineChars="200" w:firstLine="480"/>
        <w:rPr>
          <w:lang w:val="en-US" w:eastAsia="zh-CN"/>
        </w:rPr>
      </w:pPr>
      <w:r>
        <w:rPr>
          <w:rFonts w:hint="eastAsia"/>
          <w:lang w:val="en-US" w:eastAsia="zh-CN"/>
        </w:rPr>
        <w:t>另外一个基本判定是，仪表是否应采用一个识别语音的可选模式，只有当信号主要为语音</w:t>
      </w:r>
      <w:r>
        <w:rPr>
          <w:lang w:val="en-US" w:eastAsia="zh-CN"/>
        </w:rPr>
        <w:t>/</w:t>
      </w:r>
      <w:r>
        <w:rPr>
          <w:rFonts w:hint="eastAsia"/>
          <w:lang w:val="en-US" w:eastAsia="zh-CN"/>
        </w:rPr>
        <w:t>对话时，仪表才进行测量。</w:t>
      </w:r>
    </w:p>
    <w:p w:rsidR="00885069" w:rsidRDefault="00885069" w:rsidP="00697734">
      <w:pPr>
        <w:ind w:firstLineChars="200" w:firstLine="480"/>
        <w:rPr>
          <w:lang w:val="en-US" w:eastAsia="zh-CN"/>
        </w:rPr>
      </w:pPr>
      <w:r>
        <w:rPr>
          <w:rFonts w:hint="eastAsia"/>
          <w:lang w:val="en-US" w:eastAsia="zh-CN"/>
        </w:rPr>
        <w:t>虽然确知语音内容响度十分有益，然而明确这种设备性能十分困难，所以通常希望了解总体响度。仪表的基本模式已有详细规定，因此不具有语音识别功能。可选择的次要模式可能支持语音识别；该模式有助于测量对话电平。</w:t>
      </w:r>
    </w:p>
    <w:p w:rsidR="00885069" w:rsidRDefault="00885069" w:rsidP="00885069">
      <w:pPr>
        <w:pStyle w:val="Heading1"/>
        <w:rPr>
          <w:lang w:val="en-US" w:eastAsia="zh-CN"/>
        </w:rPr>
      </w:pPr>
      <w:r>
        <w:rPr>
          <w:lang w:val="en-US" w:eastAsia="zh-CN"/>
        </w:rPr>
        <w:t>4</w:t>
      </w:r>
      <w:r>
        <w:rPr>
          <w:lang w:val="en-US" w:eastAsia="zh-CN"/>
        </w:rPr>
        <w:tab/>
      </w:r>
      <w:r>
        <w:rPr>
          <w:rFonts w:hint="eastAsia"/>
          <w:lang w:val="en-US" w:eastAsia="zh-CN"/>
        </w:rPr>
        <w:t>多声道测量</w:t>
      </w:r>
    </w:p>
    <w:p w:rsidR="00885069" w:rsidRDefault="00885069" w:rsidP="00697734">
      <w:pPr>
        <w:ind w:firstLineChars="200" w:firstLine="480"/>
        <w:rPr>
          <w:lang w:val="en-US" w:eastAsia="zh-CN"/>
        </w:rPr>
      </w:pPr>
      <w:r>
        <w:rPr>
          <w:rFonts w:hint="eastAsia"/>
          <w:lang w:val="en-US" w:eastAsia="zh-CN"/>
        </w:rPr>
        <w:t>由于我们对响度的感觉并非取决于相关声源的数量，因此为多声道声音系统指定单一响度电平显示器比分别为每一个声道指定显示器更符合逻辑。如果安装了多声道节目仪表峰值电平指示器，它必须由任何单一声道上的最大值驱动。</w:t>
      </w:r>
      <w:r>
        <w:rPr>
          <w:lang w:val="en-US" w:eastAsia="zh-CN"/>
        </w:rPr>
        <w:t xml:space="preserve"> </w:t>
      </w:r>
    </w:p>
    <w:p w:rsidR="00885069" w:rsidRDefault="00885069" w:rsidP="00697734">
      <w:pPr>
        <w:ind w:firstLineChars="200" w:firstLine="480"/>
        <w:rPr>
          <w:lang w:val="en-US" w:eastAsia="zh-CN"/>
        </w:rPr>
      </w:pPr>
      <w:r>
        <w:rPr>
          <w:rFonts w:hint="eastAsia"/>
          <w:lang w:val="en-US" w:eastAsia="zh-CN"/>
        </w:rPr>
        <w:t>由于每个单一声道可能分别装有电平</w:t>
      </w:r>
      <w:r>
        <w:rPr>
          <w:lang w:val="en-US" w:eastAsia="zh-CN"/>
        </w:rPr>
        <w:t>/</w:t>
      </w:r>
      <w:r>
        <w:rPr>
          <w:rFonts w:hint="eastAsia"/>
          <w:lang w:val="en-US" w:eastAsia="zh-CN"/>
        </w:rPr>
        <w:t>峰值仪表，上述做法与分别针对每个声道的电平测量的通常做法互不干扰。</w:t>
      </w:r>
    </w:p>
    <w:p w:rsidR="00885069" w:rsidRDefault="00885069" w:rsidP="00885069">
      <w:pPr>
        <w:pStyle w:val="Heading1"/>
        <w:rPr>
          <w:lang w:val="en-US" w:eastAsia="zh-CN"/>
        </w:rPr>
      </w:pPr>
      <w:r>
        <w:rPr>
          <w:lang w:val="en-US" w:eastAsia="zh-CN"/>
        </w:rPr>
        <w:t>5</w:t>
      </w:r>
      <w:r>
        <w:rPr>
          <w:lang w:val="en-US" w:eastAsia="zh-CN"/>
        </w:rPr>
        <w:tab/>
      </w:r>
      <w:r>
        <w:rPr>
          <w:rFonts w:hint="eastAsia"/>
          <w:lang w:val="en-US" w:eastAsia="zh-CN"/>
        </w:rPr>
        <w:t>峰值电平指示器（可选项）</w:t>
      </w:r>
    </w:p>
    <w:p w:rsidR="00885069" w:rsidRDefault="00885069" w:rsidP="00885069">
      <w:pPr>
        <w:pStyle w:val="Headingb"/>
        <w:rPr>
          <w:lang w:val="en-US" w:eastAsia="zh-CN"/>
        </w:rPr>
      </w:pPr>
      <w:r>
        <w:rPr>
          <w:lang w:val="en-US" w:eastAsia="zh-CN"/>
        </w:rPr>
        <w:t>a</w:t>
      </w:r>
      <w:r>
        <w:rPr>
          <w:lang w:val="en-US" w:eastAsia="ja-JP"/>
        </w:rPr>
        <w:t>)</w:t>
      </w:r>
      <w:r>
        <w:rPr>
          <w:lang w:val="en-US" w:eastAsia="zh-CN"/>
        </w:rPr>
        <w:tab/>
      </w:r>
      <w:r>
        <w:rPr>
          <w:rFonts w:hint="eastAsia"/>
          <w:lang w:val="en-US" w:eastAsia="zh-CN"/>
        </w:rPr>
        <w:t>工效理论</w:t>
      </w:r>
    </w:p>
    <w:p w:rsidR="00885069" w:rsidRDefault="00885069" w:rsidP="00697734">
      <w:pPr>
        <w:ind w:firstLineChars="200" w:firstLine="480"/>
        <w:rPr>
          <w:lang w:val="en-US" w:eastAsia="zh-CN"/>
        </w:rPr>
      </w:pPr>
      <w:r>
        <w:rPr>
          <w:rFonts w:hint="eastAsia"/>
          <w:lang w:val="en-US" w:eastAsia="zh-CN"/>
        </w:rPr>
        <w:t>从工效的角度，在单一仪表显示器上同时显示两套信息（相关响度和峰值电平）可能困难很大。</w:t>
      </w:r>
    </w:p>
    <w:p w:rsidR="00885069" w:rsidRDefault="00885069" w:rsidP="00697734">
      <w:pPr>
        <w:ind w:firstLineChars="200" w:firstLine="480"/>
        <w:rPr>
          <w:lang w:val="en-US" w:eastAsia="zh-CN"/>
        </w:rPr>
      </w:pPr>
      <w:r>
        <w:rPr>
          <w:rFonts w:ascii="STKaiti" w:eastAsia="STKaiti" w:hAnsi="STKaiti" w:hint="eastAsia"/>
          <w:lang w:val="en-US" w:eastAsia="zh-CN"/>
        </w:rPr>
        <w:t>优先度：</w:t>
      </w:r>
      <w:r>
        <w:rPr>
          <w:rFonts w:ascii="SimSun" w:hAnsi="SimSun" w:hint="eastAsia"/>
          <w:lang w:val="en-US" w:eastAsia="zh-CN"/>
        </w:rPr>
        <w:t>如果向操作员显示两套详细信息，我们希望他/她重点观注哪一套呢？如果两套信息具有同等地位，即显示区域和详细程度相等，则操作员无法分辨哪一套更为重要。</w:t>
      </w:r>
      <w:r>
        <w:rPr>
          <w:lang w:val="en-US" w:eastAsia="zh-CN"/>
        </w:rPr>
        <w:t xml:space="preserve"> </w:t>
      </w:r>
    </w:p>
    <w:p w:rsidR="00885069" w:rsidRDefault="00885069" w:rsidP="00697734">
      <w:pPr>
        <w:ind w:firstLineChars="200" w:firstLine="480"/>
        <w:rPr>
          <w:lang w:val="en-US" w:eastAsia="zh-CN"/>
        </w:rPr>
      </w:pPr>
      <w:r>
        <w:rPr>
          <w:rFonts w:ascii="STKaiti" w:eastAsia="STKaiti" w:hAnsi="STKaiti" w:hint="eastAsia"/>
          <w:lang w:val="en-US" w:eastAsia="zh-CN"/>
        </w:rPr>
        <w:t>分散注意力：</w:t>
      </w:r>
      <w:r>
        <w:rPr>
          <w:rFonts w:ascii="SimSun" w:hAnsi="SimSun" w:hint="eastAsia"/>
          <w:lang w:val="en-US" w:eastAsia="zh-CN"/>
        </w:rPr>
        <w:t>如果两套信息的重要程度相同，则备用信息将分散操作员对选定信息的注意力。</w:t>
      </w:r>
    </w:p>
    <w:p w:rsidR="00885069" w:rsidRDefault="00885069" w:rsidP="00697734">
      <w:pPr>
        <w:ind w:firstLineChars="200" w:firstLine="480"/>
        <w:rPr>
          <w:lang w:val="en-US" w:eastAsia="zh-CN"/>
        </w:rPr>
      </w:pPr>
      <w:r>
        <w:rPr>
          <w:rFonts w:hint="eastAsia"/>
          <w:lang w:val="en-US" w:eastAsia="zh-CN"/>
        </w:rPr>
        <w:t>信息并非多多益善。如果仪表显示两套信息，最好通过主要显示器显示详细信息，而次要显示器给出的较少信息更多地作为一种警示而不是测量数据。因此，在主要用于显示节目响度的仪表上，峰值电平显示器给出的信息应少于常规性峰值节目仪表显示的信息。</w:t>
      </w:r>
    </w:p>
    <w:p w:rsidR="00885069" w:rsidRDefault="00885069" w:rsidP="00F87EAD">
      <w:pPr>
        <w:pStyle w:val="Headingb"/>
        <w:keepNext w:val="0"/>
        <w:keepLines w:val="0"/>
        <w:rPr>
          <w:lang w:val="en-US" w:eastAsia="zh-CN"/>
        </w:rPr>
      </w:pPr>
      <w:r>
        <w:rPr>
          <w:lang w:val="en-US" w:eastAsia="zh-CN"/>
        </w:rPr>
        <w:t>b)</w:t>
      </w:r>
      <w:r>
        <w:rPr>
          <w:lang w:val="en-US" w:eastAsia="zh-CN"/>
        </w:rPr>
        <w:tab/>
      </w:r>
      <w:r>
        <w:rPr>
          <w:rFonts w:hint="eastAsia"/>
          <w:lang w:val="en-US" w:eastAsia="zh-CN"/>
        </w:rPr>
        <w:t>峰值指示灯保持时间</w:t>
      </w:r>
    </w:p>
    <w:p w:rsidR="00885069" w:rsidRDefault="00885069" w:rsidP="00697734">
      <w:pPr>
        <w:ind w:firstLineChars="200" w:firstLine="480"/>
        <w:rPr>
          <w:lang w:val="en-US" w:eastAsia="zh-CN"/>
        </w:rPr>
      </w:pPr>
      <w:r>
        <w:rPr>
          <w:rFonts w:hint="eastAsia"/>
          <w:lang w:val="en-US" w:eastAsia="zh-CN"/>
        </w:rPr>
        <w:t>最低保持时间定为</w:t>
      </w:r>
      <w:r>
        <w:rPr>
          <w:lang w:val="en-US" w:eastAsia="zh-CN"/>
        </w:rPr>
        <w:t>150 ms</w:t>
      </w:r>
      <w:r>
        <w:rPr>
          <w:rFonts w:hint="eastAsia"/>
          <w:lang w:val="en-US" w:eastAsia="zh-CN"/>
        </w:rPr>
        <w:t>，以保证肉眼有足够时间识别指示灯，否则非常短暂的指示时间在肉眼看来十分模糊。</w:t>
      </w:r>
    </w:p>
    <w:p w:rsidR="00885069" w:rsidRDefault="00885069" w:rsidP="00885069">
      <w:pPr>
        <w:pStyle w:val="Headingb"/>
        <w:rPr>
          <w:lang w:val="en-US" w:eastAsia="zh-CN"/>
        </w:rPr>
      </w:pPr>
      <w:r>
        <w:rPr>
          <w:lang w:val="en-US" w:eastAsia="zh-CN"/>
        </w:rPr>
        <w:lastRenderedPageBreak/>
        <w:t>c)</w:t>
      </w:r>
      <w:r>
        <w:rPr>
          <w:lang w:val="en-US" w:eastAsia="zh-CN"/>
        </w:rPr>
        <w:tab/>
      </w:r>
      <w:r>
        <w:rPr>
          <w:rFonts w:hint="eastAsia"/>
          <w:lang w:val="en-US" w:eastAsia="zh-CN"/>
        </w:rPr>
        <w:t>可选择的单独电平测量</w:t>
      </w:r>
    </w:p>
    <w:p w:rsidR="00885069" w:rsidRDefault="00885069" w:rsidP="00697734">
      <w:pPr>
        <w:ind w:firstLineChars="200" w:firstLine="480"/>
        <w:rPr>
          <w:lang w:val="en-US" w:eastAsia="zh-CN"/>
        </w:rPr>
      </w:pPr>
      <w:r>
        <w:rPr>
          <w:rFonts w:hint="eastAsia"/>
          <w:lang w:val="en-US" w:eastAsia="zh-CN"/>
        </w:rPr>
        <w:t>响度仪表的峰值指示形式属于强制性规定，而峰值指示功能本身并非强制性规定。本建议书没有改变现有电平测量做法的意图－而是仅仅作为一种补充。预期在某些情况下，仍将保留分别针对每个声道进行电平测量的做法，没有必要在响度仪表上指示峰值。</w:t>
      </w:r>
    </w:p>
    <w:p w:rsidR="00885069" w:rsidRDefault="00885069" w:rsidP="00885069">
      <w:pPr>
        <w:pStyle w:val="Headingb"/>
        <w:rPr>
          <w:lang w:val="en-US" w:eastAsia="zh-CN"/>
        </w:rPr>
      </w:pPr>
      <w:r>
        <w:rPr>
          <w:lang w:val="en-US" w:eastAsia="zh-CN"/>
        </w:rPr>
        <w:t>d)</w:t>
      </w:r>
      <w:r>
        <w:rPr>
          <w:lang w:val="en-US" w:eastAsia="zh-CN"/>
        </w:rPr>
        <w:tab/>
      </w:r>
      <w:r>
        <w:rPr>
          <w:rFonts w:hint="eastAsia"/>
          <w:lang w:val="en-US" w:eastAsia="zh-CN"/>
        </w:rPr>
        <w:t>录音测量</w:t>
      </w:r>
    </w:p>
    <w:p w:rsidR="00885069" w:rsidRDefault="00885069" w:rsidP="00697734">
      <w:pPr>
        <w:ind w:firstLineChars="200" w:firstLine="480"/>
        <w:rPr>
          <w:lang w:val="en-US" w:eastAsia="zh-CN"/>
        </w:rPr>
      </w:pPr>
      <w:r>
        <w:rPr>
          <w:rFonts w:hint="eastAsia"/>
          <w:lang w:val="en-US" w:eastAsia="zh-CN"/>
        </w:rPr>
        <w:t>当为转换成数字信号过程中的模拟信号设定电平（即将麦克风电平转换为数字录音机）时，其主要目标是以足够高的电平进行录音，以避免量化噪声和超载风险。在这种应用中，最好使用主要指示实际峰值电平的仪表，而不是响度或一般信号电平仪表。</w:t>
      </w:r>
    </w:p>
    <w:p w:rsidR="00885069" w:rsidRDefault="00885069" w:rsidP="00885069">
      <w:pPr>
        <w:pStyle w:val="Heading1"/>
        <w:rPr>
          <w:lang w:val="en-US" w:eastAsia="zh-CN"/>
        </w:rPr>
      </w:pPr>
      <w:r>
        <w:rPr>
          <w:lang w:val="en-US" w:eastAsia="zh-CN"/>
        </w:rPr>
        <w:t>6</w:t>
      </w:r>
      <w:r>
        <w:rPr>
          <w:lang w:val="en-US" w:eastAsia="zh-CN"/>
        </w:rPr>
        <w:tab/>
      </w:r>
      <w:r>
        <w:rPr>
          <w:rFonts w:hint="eastAsia"/>
          <w:lang w:val="en-US" w:eastAsia="zh-CN"/>
        </w:rPr>
        <w:t>响度单位</w:t>
      </w:r>
    </w:p>
    <w:p w:rsidR="00885069" w:rsidRDefault="00885069" w:rsidP="00697734">
      <w:pPr>
        <w:ind w:firstLineChars="200" w:firstLine="480"/>
        <w:rPr>
          <w:lang w:val="en-US" w:eastAsia="zh-CN"/>
        </w:rPr>
      </w:pPr>
      <w:r>
        <w:rPr>
          <w:rFonts w:hint="eastAsia"/>
          <w:lang w:val="en-US" w:eastAsia="zh-CN"/>
        </w:rPr>
        <w:t>广播响度表的目标是预测可控重放条件（参考响度电平为</w:t>
      </w:r>
      <w:r>
        <w:rPr>
          <w:lang w:val="en-US" w:eastAsia="zh-CN"/>
        </w:rPr>
        <w:t>60 dBA SPL</w:t>
      </w:r>
      <w:r>
        <w:rPr>
          <w:rFonts w:hint="eastAsia"/>
          <w:lang w:val="en-US" w:eastAsia="zh-CN"/>
        </w:rPr>
        <w:t>）下的主观响度。响度的恒久模式是振幅、频率和带宽的非线性函数。一般情况下，由于人类听觉系统的非线性响应，音频电平变化</w:t>
      </w:r>
      <w:r>
        <w:rPr>
          <w:i/>
          <w:lang w:val="en-US" w:eastAsia="zh-CN"/>
        </w:rPr>
        <w:t>x</w:t>
      </w:r>
      <w:r>
        <w:rPr>
          <w:lang w:val="en-US" w:eastAsia="zh-CN"/>
        </w:rPr>
        <w:t xml:space="preserve"> dB </w:t>
      </w:r>
      <w:r>
        <w:rPr>
          <w:rFonts w:hint="eastAsia"/>
          <w:lang w:val="en-US" w:eastAsia="zh-CN"/>
        </w:rPr>
        <w:t>不会导致响度感觉发生同等程度的变化。</w:t>
      </w:r>
      <w:r>
        <w:rPr>
          <w:lang w:val="en-US" w:eastAsia="zh-CN"/>
        </w:rPr>
        <w:t xml:space="preserve"> </w:t>
      </w:r>
    </w:p>
    <w:p w:rsidR="00885069" w:rsidRDefault="00885069" w:rsidP="00697734">
      <w:pPr>
        <w:ind w:firstLineChars="200" w:firstLine="480"/>
        <w:rPr>
          <w:lang w:val="en-US" w:eastAsia="zh-CN"/>
        </w:rPr>
      </w:pPr>
      <w:r>
        <w:rPr>
          <w:rFonts w:hint="eastAsia"/>
          <w:lang w:val="en-US" w:eastAsia="zh-CN"/>
        </w:rPr>
        <w:t>由于现实的原因，很多广播者表示了采用</w:t>
      </w:r>
      <w:r>
        <w:rPr>
          <w:lang w:val="en-US" w:eastAsia="zh-CN"/>
        </w:rPr>
        <w:t xml:space="preserve">dB </w:t>
      </w:r>
      <w:r>
        <w:rPr>
          <w:rFonts w:hint="eastAsia"/>
          <w:lang w:val="en-US" w:eastAsia="zh-CN"/>
        </w:rPr>
        <w:t>为单位的愿望。由于它是音频测量中长期确定的传统做法，我们可以理解这种愿望。然而</w:t>
      </w:r>
      <w:r>
        <w:rPr>
          <w:lang w:val="en-US" w:eastAsia="zh-CN"/>
        </w:rPr>
        <w:t xml:space="preserve">dB </w:t>
      </w:r>
      <w:r>
        <w:rPr>
          <w:rFonts w:hint="eastAsia"/>
          <w:lang w:val="en-US" w:eastAsia="zh-CN"/>
        </w:rPr>
        <w:t>并非一个恒久性单位，也不能用于测量响度。但是我们可以选择一个与</w:t>
      </w:r>
      <w:r>
        <w:rPr>
          <w:lang w:val="en-US" w:eastAsia="zh-CN"/>
        </w:rPr>
        <w:t xml:space="preserve">dB </w:t>
      </w:r>
      <w:r>
        <w:rPr>
          <w:rFonts w:hint="eastAsia"/>
          <w:lang w:val="en-US" w:eastAsia="zh-CN"/>
        </w:rPr>
        <w:t>挂钩的单位，这样信号可以分贝为单位指明节目需要的增益</w:t>
      </w:r>
      <w:r>
        <w:rPr>
          <w:lang w:val="en-US" w:eastAsia="zh-CN"/>
        </w:rPr>
        <w:t>/</w:t>
      </w:r>
      <w:r>
        <w:rPr>
          <w:rFonts w:hint="eastAsia"/>
          <w:lang w:val="en-US" w:eastAsia="zh-CN"/>
        </w:rPr>
        <w:t>损耗，从而与参考响度持平。</w:t>
      </w:r>
    </w:p>
    <w:p w:rsidR="00885069" w:rsidRDefault="00885069" w:rsidP="00697734">
      <w:pPr>
        <w:ind w:firstLineChars="200" w:firstLine="480"/>
        <w:rPr>
          <w:lang w:val="en-US" w:eastAsia="zh-CN"/>
        </w:rPr>
      </w:pPr>
      <w:r>
        <w:rPr>
          <w:rFonts w:hint="eastAsia"/>
          <w:lang w:val="en-US" w:eastAsia="zh-CN"/>
        </w:rPr>
        <w:t>曾有人建议将</w:t>
      </w:r>
      <w:r>
        <w:rPr>
          <w:rFonts w:ascii="STKaiti" w:eastAsia="STKaiti" w:hAnsi="STKaiti" w:hint="eastAsia"/>
          <w:lang w:val="en-US" w:eastAsia="zh-CN"/>
        </w:rPr>
        <w:t>响度单位</w:t>
      </w:r>
      <w:r>
        <w:rPr>
          <w:rFonts w:hint="eastAsia"/>
          <w:lang w:val="en-US" w:eastAsia="zh-CN"/>
        </w:rPr>
        <w:t>作为测量单位。这些被确定为将信号与参考响度持平时信号所需的以分贝为单位表示的增益</w:t>
      </w:r>
      <w:r>
        <w:rPr>
          <w:lang w:val="en-US" w:eastAsia="zh-CN"/>
        </w:rPr>
        <w:t>/</w:t>
      </w:r>
      <w:r>
        <w:rPr>
          <w:rFonts w:hint="eastAsia"/>
          <w:lang w:val="en-US" w:eastAsia="zh-CN"/>
        </w:rPr>
        <w:t>损耗，即测量结果为</w:t>
      </w:r>
      <w:r>
        <w:rPr>
          <w:lang w:val="en-US" w:eastAsia="zh-CN"/>
        </w:rPr>
        <w:t>–10 LU</w:t>
      </w:r>
      <w:r>
        <w:rPr>
          <w:rFonts w:hint="eastAsia"/>
          <w:lang w:val="en-US" w:eastAsia="zh-CN"/>
        </w:rPr>
        <w:t>的节目需要</w:t>
      </w:r>
      <w:r>
        <w:rPr>
          <w:lang w:val="en-US" w:eastAsia="zh-CN"/>
        </w:rPr>
        <w:t>10 dB</w:t>
      </w:r>
      <w:r>
        <w:rPr>
          <w:rFonts w:hint="eastAsia"/>
          <w:lang w:val="en-US" w:eastAsia="zh-CN"/>
        </w:rPr>
        <w:t>的增益，从而达到</w:t>
      </w:r>
      <w:r>
        <w:rPr>
          <w:lang w:val="en-US" w:eastAsia="zh-CN"/>
        </w:rPr>
        <w:t>0 LU</w:t>
      </w:r>
      <w:r>
        <w:rPr>
          <w:rFonts w:hint="eastAsia"/>
          <w:lang w:val="en-US" w:eastAsia="zh-CN"/>
        </w:rPr>
        <w:t>的参考响度。</w:t>
      </w:r>
    </w:p>
    <w:p w:rsidR="00885069" w:rsidRDefault="00885069" w:rsidP="00697734">
      <w:pPr>
        <w:ind w:firstLineChars="200" w:firstLine="480"/>
        <w:rPr>
          <w:lang w:val="en-US" w:eastAsia="zh-CN"/>
        </w:rPr>
      </w:pPr>
      <w:r>
        <w:rPr>
          <w:rFonts w:hint="eastAsia"/>
          <w:lang w:val="en-US" w:eastAsia="zh-CN"/>
        </w:rPr>
        <w:t>响度单位的优势在于与分贝（</w:t>
      </w:r>
      <w:r>
        <w:rPr>
          <w:lang w:val="en-US" w:eastAsia="zh-CN"/>
        </w:rPr>
        <w:t>dB</w:t>
      </w:r>
      <w:r>
        <w:rPr>
          <w:rFonts w:hint="eastAsia"/>
          <w:lang w:val="en-US" w:eastAsia="zh-CN"/>
        </w:rPr>
        <w:t>）的明确区分，从而仪表不会轻易与</w:t>
      </w:r>
      <w:r>
        <w:rPr>
          <w:lang w:val="en-US" w:eastAsia="zh-CN"/>
        </w:rPr>
        <w:t>PPM</w:t>
      </w:r>
      <w:r>
        <w:rPr>
          <w:rFonts w:hint="eastAsia"/>
          <w:lang w:val="en-US" w:eastAsia="zh-CN"/>
        </w:rPr>
        <w:t>或者</w:t>
      </w:r>
      <w:r>
        <w:rPr>
          <w:lang w:val="en-US" w:eastAsia="zh-CN"/>
        </w:rPr>
        <w:t>VU</w:t>
      </w:r>
      <w:r>
        <w:rPr>
          <w:rFonts w:hint="eastAsia"/>
          <w:lang w:val="en-US" w:eastAsia="zh-CN"/>
        </w:rPr>
        <w:t>表相混淆。</w:t>
      </w:r>
    </w:p>
    <w:p w:rsidR="00F87EAD" w:rsidRDefault="00F87EAD" w:rsidP="00697734">
      <w:pPr>
        <w:ind w:firstLineChars="200" w:firstLine="480"/>
        <w:rPr>
          <w:lang w:val="en-US" w:eastAsia="zh-CN"/>
        </w:rPr>
      </w:pPr>
    </w:p>
    <w:p w:rsidR="00885069" w:rsidRDefault="00885069" w:rsidP="00885069">
      <w:pPr>
        <w:pStyle w:val="Reftitle"/>
        <w:rPr>
          <w:lang w:val="en-US" w:eastAsia="zh-CN"/>
        </w:rPr>
      </w:pPr>
      <w:r>
        <w:rPr>
          <w:rFonts w:hint="eastAsia"/>
          <w:lang w:val="en-US" w:eastAsia="zh-CN"/>
        </w:rPr>
        <w:t>参考文献</w:t>
      </w:r>
    </w:p>
    <w:p w:rsidR="00885069" w:rsidRDefault="00885069" w:rsidP="00FF2EEF">
      <w:pPr>
        <w:pStyle w:val="Reftext"/>
        <w:tabs>
          <w:tab w:val="clear" w:pos="794"/>
          <w:tab w:val="left" w:pos="0"/>
        </w:tabs>
        <w:ind w:left="0" w:firstLine="0"/>
        <w:rPr>
          <w:lang w:val="en-US"/>
        </w:rPr>
      </w:pPr>
      <w:r>
        <w:rPr>
          <w:lang w:val="en-US"/>
        </w:rPr>
        <w:t xml:space="preserve">BENJAMIN, E. [October, 2004] Preferred listening levels and acceptance windows for dialog reproduction in the domestic environment. 117th Convention of the Audio Engineering Society, </w:t>
      </w:r>
      <w:smartTag w:uri="urn:schemas-microsoft-com:office:smarttags" w:element="City">
        <w:smartTag w:uri="urn:schemas-microsoft-com:office:smarttags" w:element="place">
          <w:smartTag w:uri="urn:schemas-microsoft-com:office:smarttags" w:element="country-region">
            <w:r>
              <w:rPr>
                <w:lang w:val="en-US"/>
              </w:rPr>
              <w:t>San Francisco</w:t>
            </w:r>
          </w:smartTag>
        </w:smartTag>
      </w:smartTag>
      <w:r>
        <w:rPr>
          <w:lang w:val="en-US"/>
        </w:rPr>
        <w:t>, Preprint 6233.</w:t>
      </w:r>
    </w:p>
    <w:p w:rsidR="00885069" w:rsidRDefault="00885069" w:rsidP="00885069">
      <w:pPr>
        <w:rPr>
          <w:lang w:val="en-US"/>
        </w:rPr>
      </w:pPr>
    </w:p>
    <w:p w:rsidR="00885069" w:rsidRDefault="00885069" w:rsidP="00885069">
      <w:pPr>
        <w:rPr>
          <w:lang w:val="en-US"/>
        </w:rPr>
      </w:pPr>
    </w:p>
    <w:p w:rsidR="00885069" w:rsidRDefault="00885069" w:rsidP="00885069">
      <w:pPr>
        <w:pStyle w:val="Line"/>
      </w:pPr>
    </w:p>
    <w:sectPr w:rsidR="00885069" w:rsidSect="00F87EAD">
      <w:headerReference w:type="first" r:id="rId25"/>
      <w:footnotePr>
        <w:numFmt w:val="chicago"/>
        <w:numRestart w:val="eachSect"/>
      </w:footnotePr>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72A" w:rsidRDefault="000E072A">
      <w:r>
        <w:separator/>
      </w:r>
    </w:p>
  </w:endnote>
  <w:endnote w:type="continuationSeparator" w:id="0">
    <w:p w:rsidR="000E072A" w:rsidRDefault="000E0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2A" w:rsidRPr="004D2A33" w:rsidRDefault="000E072A" w:rsidP="009617BF">
    <w:pPr>
      <w:pStyle w:val="Footer"/>
      <w:tabs>
        <w:tab w:val="center" w:pos="5954"/>
        <w:tab w:val="right" w:pos="9072"/>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2A" w:rsidRPr="00195E91" w:rsidRDefault="000E072A" w:rsidP="00195E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2A" w:rsidRPr="00195E91" w:rsidRDefault="000E072A" w:rsidP="00195E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2A" w:rsidRPr="000753AE" w:rsidRDefault="000E072A" w:rsidP="000753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72A" w:rsidRDefault="000E072A">
      <w:r>
        <w:separator/>
      </w:r>
    </w:p>
  </w:footnote>
  <w:footnote w:type="continuationSeparator" w:id="0">
    <w:p w:rsidR="000E072A" w:rsidRDefault="000E072A">
      <w:r>
        <w:continuationSeparator/>
      </w:r>
    </w:p>
  </w:footnote>
  <w:footnote w:id="1">
    <w:p w:rsidR="000E072A" w:rsidRPr="0041337C" w:rsidRDefault="000E072A">
      <w:pPr>
        <w:pStyle w:val="FootnoteText"/>
        <w:rPr>
          <w:lang w:eastAsia="zh-CN"/>
        </w:rPr>
      </w:pPr>
      <w:r>
        <w:rPr>
          <w:rStyle w:val="FootnoteReference"/>
        </w:rPr>
        <w:footnoteRef/>
      </w:r>
      <w:r>
        <w:rPr>
          <w:lang w:eastAsia="zh-CN"/>
        </w:rPr>
        <w:t xml:space="preserve"> </w:t>
      </w:r>
      <w:r>
        <w:rPr>
          <w:rFonts w:hint="eastAsia"/>
          <w:lang w:eastAsia="zh-CN"/>
        </w:rPr>
        <w:t>2010</w:t>
      </w:r>
      <w:r>
        <w:rPr>
          <w:rFonts w:hint="eastAsia"/>
          <w:lang w:eastAsia="zh-CN"/>
        </w:rPr>
        <w:t>年</w:t>
      </w:r>
      <w:r>
        <w:rPr>
          <w:rFonts w:hint="eastAsia"/>
          <w:lang w:eastAsia="zh-CN"/>
        </w:rPr>
        <w:t>10</w:t>
      </w:r>
      <w:r>
        <w:rPr>
          <w:rFonts w:hint="eastAsia"/>
          <w:lang w:eastAsia="zh-CN"/>
        </w:rPr>
        <w:t>月，无线电通信第</w:t>
      </w:r>
      <w:r>
        <w:rPr>
          <w:rFonts w:hint="eastAsia"/>
          <w:lang w:eastAsia="zh-CN"/>
        </w:rPr>
        <w:t>6</w:t>
      </w:r>
      <w:r>
        <w:rPr>
          <w:rFonts w:hint="eastAsia"/>
          <w:lang w:eastAsia="zh-CN"/>
        </w:rPr>
        <w:t>研究组根据</w:t>
      </w:r>
      <w:r>
        <w:rPr>
          <w:rFonts w:hint="eastAsia"/>
          <w:lang w:eastAsia="zh-CN"/>
        </w:rPr>
        <w:t>ITU-R</w:t>
      </w:r>
      <w:r>
        <w:rPr>
          <w:rFonts w:hint="eastAsia"/>
          <w:lang w:eastAsia="zh-CN"/>
        </w:rPr>
        <w:t>第</w:t>
      </w:r>
      <w:r>
        <w:rPr>
          <w:rFonts w:hint="eastAsia"/>
          <w:lang w:eastAsia="zh-CN"/>
        </w:rPr>
        <w:t>1</w:t>
      </w:r>
      <w:r>
        <w:rPr>
          <w:rFonts w:hint="eastAsia"/>
          <w:lang w:eastAsia="zh-CN"/>
        </w:rPr>
        <w:t>号决议，对本建议书作了修改。</w:t>
      </w:r>
    </w:p>
  </w:footnote>
  <w:footnote w:id="2">
    <w:p w:rsidR="00F87EAD" w:rsidRDefault="00F87EAD">
      <w:pPr>
        <w:pStyle w:val="FootnoteText"/>
        <w:rPr>
          <w:lang w:eastAsia="zh-CN"/>
        </w:rPr>
      </w:pPr>
      <w:r>
        <w:rPr>
          <w:rStyle w:val="FootnoteReference"/>
        </w:rPr>
        <w:t>1</w:t>
      </w:r>
      <w:r>
        <w:t xml:space="preserve"> </w:t>
      </w:r>
      <w:r>
        <w:rPr>
          <w:szCs w:val="22"/>
          <w:lang w:val="en-US" w:eastAsia="zh-CN"/>
        </w:rPr>
        <w:tab/>
      </w:r>
      <w:r w:rsidRPr="006E1A1D">
        <w:rPr>
          <w:rFonts w:hint="eastAsia"/>
          <w:szCs w:val="22"/>
          <w:lang w:val="en-US" w:eastAsia="zh-CN"/>
        </w:rPr>
        <w:t>如果使用噪音作为标定信号，应当在可能的情况下仅使用响度表读取信号。假设采用高斯振幅分布方式，</w:t>
      </w:r>
      <w:r w:rsidRPr="006E1A1D">
        <w:rPr>
          <w:szCs w:val="22"/>
          <w:lang w:val="en-US" w:eastAsia="zh-CN"/>
        </w:rPr>
        <w:t>VU</w:t>
      </w:r>
      <w:r w:rsidRPr="006E1A1D">
        <w:rPr>
          <w:rFonts w:hint="eastAsia"/>
          <w:szCs w:val="22"/>
          <w:lang w:val="en-US" w:eastAsia="zh-CN"/>
        </w:rPr>
        <w:t>表读取的数值将比实际的</w:t>
      </w:r>
      <w:r w:rsidRPr="006E1A1D">
        <w:rPr>
          <w:szCs w:val="22"/>
          <w:lang w:val="en-US" w:eastAsia="zh-CN"/>
        </w:rPr>
        <w:t>r.m.s.</w:t>
      </w:r>
      <w:r w:rsidRPr="006E1A1D">
        <w:rPr>
          <w:rFonts w:hint="eastAsia"/>
          <w:szCs w:val="22"/>
          <w:lang w:val="en-US" w:eastAsia="zh-CN"/>
        </w:rPr>
        <w:t>电平低大约</w:t>
      </w:r>
      <w:r w:rsidRPr="006E1A1D">
        <w:rPr>
          <w:szCs w:val="22"/>
          <w:lang w:val="en-US" w:eastAsia="zh-CN"/>
        </w:rPr>
        <w:t>2.2 dB</w:t>
      </w:r>
      <w:r w:rsidRPr="006E1A1D">
        <w:rPr>
          <w:rFonts w:hint="eastAsia"/>
          <w:szCs w:val="22"/>
          <w:lang w:val="en-US" w:eastAsia="zh-CN"/>
        </w:rPr>
        <w:t>。</w:t>
      </w:r>
      <w:r w:rsidRPr="006E1A1D">
        <w:rPr>
          <w:szCs w:val="22"/>
          <w:lang w:eastAsia="zh-CN"/>
        </w:rPr>
        <w:t>PPM</w:t>
      </w:r>
      <w:r w:rsidRPr="006E1A1D">
        <w:rPr>
          <w:rFonts w:hint="eastAsia"/>
          <w:szCs w:val="22"/>
          <w:lang w:eastAsia="zh-CN"/>
        </w:rPr>
        <w:t>读取的数值较高。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2A" w:rsidRPr="009617BF" w:rsidRDefault="000E072A" w:rsidP="00852377">
    <w:pPr>
      <w:pStyle w:val="Header"/>
      <w:tabs>
        <w:tab w:val="clear" w:pos="4680"/>
        <w:tab w:val="clear" w:pos="9360"/>
        <w:tab w:val="center" w:pos="4872"/>
        <w:tab w:val="right" w:pos="9923"/>
      </w:tabs>
      <w:jc w:val="left"/>
      <w:rPr>
        <w:b/>
        <w:bCs/>
        <w:lang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8759A">
      <w:rPr>
        <w:rStyle w:val="PageNumber"/>
        <w:b/>
        <w:bCs/>
        <w:noProof/>
        <w:lang w:val="en-US"/>
      </w:rPr>
      <w:t>8</w:t>
    </w:r>
    <w:r>
      <w:rPr>
        <w:rStyle w:val="PageNumber"/>
        <w:b/>
        <w:bCs/>
      </w:rPr>
      <w:fldChar w:fldCharType="end"/>
    </w:r>
    <w:r>
      <w:rPr>
        <w:lang w:val="en-US"/>
      </w:rPr>
      <w:tab/>
    </w:r>
    <w:r w:rsidRPr="009617BF">
      <w:rPr>
        <w:b/>
        <w:bCs/>
      </w:rPr>
      <w:t>ITU-R  BS.1771</w:t>
    </w:r>
    <w:r w:rsidRPr="009617BF">
      <w:rPr>
        <w:rFonts w:hint="eastAsia"/>
        <w:b/>
        <w:bCs/>
        <w:lang w:eastAsia="zh-CN"/>
      </w:rPr>
      <w:t xml:space="preserve"> </w:t>
    </w:r>
    <w:r w:rsidRPr="009617BF">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2A" w:rsidRDefault="000E072A" w:rsidP="009617BF">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2A" w:rsidRPr="009617BF" w:rsidRDefault="000E072A" w:rsidP="00852377">
    <w:pPr>
      <w:pStyle w:val="Header"/>
      <w:tabs>
        <w:tab w:val="clear" w:pos="4680"/>
        <w:tab w:val="clear" w:pos="9360"/>
        <w:tab w:val="center" w:pos="4858"/>
        <w:tab w:val="right" w:pos="9923"/>
      </w:tabs>
      <w:jc w:val="left"/>
      <w:rPr>
        <w:b/>
        <w:bCs/>
        <w:lang w:eastAsia="zh-CN"/>
      </w:rPr>
    </w:pPr>
    <w:r>
      <w:rPr>
        <w:rFonts w:hint="eastAsia"/>
        <w:b/>
        <w:bCs/>
        <w:lang w:eastAsia="zh-CN"/>
      </w:rPr>
      <w:tab/>
    </w:r>
    <w:r w:rsidRPr="009617BF">
      <w:rPr>
        <w:b/>
        <w:bCs/>
      </w:rPr>
      <w:t>ITU-R  BS.1771</w:t>
    </w:r>
    <w:r w:rsidRPr="009617BF">
      <w:rPr>
        <w:rFonts w:hint="eastAsia"/>
        <w:b/>
        <w:bCs/>
        <w:lang w:eastAsia="zh-CN"/>
      </w:rPr>
      <w:t xml:space="preserve"> </w:t>
    </w:r>
    <w:r w:rsidRPr="009617BF">
      <w:rPr>
        <w:rFonts w:hint="eastAsia"/>
        <w:b/>
        <w:bCs/>
      </w:rPr>
      <w:t>建议书</w:t>
    </w:r>
    <w:r>
      <w:rPr>
        <w:rFonts w:hint="eastAsia"/>
        <w:b/>
        <w:bCs/>
        <w:lang w:eastAsia="zh-CN"/>
      </w:rPr>
      <w:tab/>
    </w:r>
    <w:r w:rsidRPr="009617BF">
      <w:rPr>
        <w:b/>
        <w:bCs/>
        <w:lang w:eastAsia="zh-CN"/>
      </w:rPr>
      <w:fldChar w:fldCharType="begin"/>
    </w:r>
    <w:r w:rsidRPr="009617BF">
      <w:rPr>
        <w:b/>
        <w:bCs/>
        <w:lang w:eastAsia="zh-CN"/>
      </w:rPr>
      <w:instrText xml:space="preserve"> PAGE   \* MERGEFORMAT </w:instrText>
    </w:r>
    <w:r w:rsidRPr="009617BF">
      <w:rPr>
        <w:b/>
        <w:bCs/>
        <w:lang w:eastAsia="zh-CN"/>
      </w:rPr>
      <w:fldChar w:fldCharType="separate"/>
    </w:r>
    <w:r w:rsidR="00D8759A">
      <w:rPr>
        <w:b/>
        <w:bCs/>
        <w:noProof/>
        <w:lang w:eastAsia="zh-CN"/>
      </w:rPr>
      <w:t>5</w:t>
    </w:r>
    <w:r w:rsidRPr="009617BF">
      <w:rPr>
        <w:b/>
        <w:bCs/>
        <w:noProof/>
        <w:lang w:eastAsia="zh-CN"/>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2A" w:rsidRPr="009617BF" w:rsidRDefault="000E072A" w:rsidP="009617BF">
    <w:pPr>
      <w:pStyle w:val="Header"/>
      <w:tabs>
        <w:tab w:val="clear" w:pos="9360"/>
        <w:tab w:val="right" w:pos="9923"/>
      </w:tabs>
      <w:jc w:val="left"/>
      <w:rPr>
        <w:b/>
        <w:bCs/>
        <w:lang w:eastAsia="zh-CN"/>
      </w:rPr>
    </w:pPr>
    <w:r w:rsidRPr="009617BF">
      <w:rPr>
        <w:b/>
        <w:bCs/>
        <w:lang w:eastAsia="zh-CN"/>
      </w:rPr>
      <w:fldChar w:fldCharType="begin"/>
    </w:r>
    <w:r w:rsidRPr="009617BF">
      <w:rPr>
        <w:b/>
        <w:bCs/>
        <w:lang w:eastAsia="zh-CN"/>
      </w:rPr>
      <w:instrText xml:space="preserve"> PAGE   \* MERGEFORMAT </w:instrText>
    </w:r>
    <w:r w:rsidRPr="009617BF">
      <w:rPr>
        <w:b/>
        <w:bCs/>
        <w:lang w:eastAsia="zh-CN"/>
      </w:rPr>
      <w:fldChar w:fldCharType="separate"/>
    </w:r>
    <w:r w:rsidR="00D8759A">
      <w:rPr>
        <w:b/>
        <w:bCs/>
        <w:noProof/>
        <w:lang w:eastAsia="zh-CN"/>
      </w:rPr>
      <w:t>ii</w:t>
    </w:r>
    <w:r w:rsidRPr="009617BF">
      <w:rPr>
        <w:b/>
        <w:bCs/>
        <w:noProof/>
        <w:lang w:eastAsia="zh-CN"/>
      </w:rPr>
      <w:fldChar w:fldCharType="end"/>
    </w:r>
    <w:r>
      <w:rPr>
        <w:rFonts w:hint="eastAsia"/>
        <w:b/>
        <w:bCs/>
        <w:lang w:eastAsia="zh-CN"/>
      </w:rPr>
      <w:tab/>
    </w:r>
    <w:r w:rsidRPr="009617BF">
      <w:rPr>
        <w:b/>
        <w:bCs/>
      </w:rPr>
      <w:t>ITU-R  BS.1771</w:t>
    </w:r>
    <w:r w:rsidRPr="009617BF">
      <w:rPr>
        <w:rFonts w:hint="eastAsia"/>
        <w:b/>
        <w:bCs/>
        <w:lang w:eastAsia="zh-CN"/>
      </w:rPr>
      <w:t xml:space="preserve"> </w:t>
    </w:r>
    <w:r w:rsidRPr="009617BF">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2A" w:rsidRPr="009617BF" w:rsidRDefault="000E072A" w:rsidP="00852377">
    <w:pPr>
      <w:pStyle w:val="Header"/>
      <w:tabs>
        <w:tab w:val="clear" w:pos="4680"/>
        <w:tab w:val="clear" w:pos="9360"/>
        <w:tab w:val="center" w:pos="4872"/>
        <w:tab w:val="right" w:pos="9953"/>
      </w:tabs>
      <w:jc w:val="left"/>
      <w:rPr>
        <w:b/>
        <w:bCs/>
        <w:lang w:eastAsia="zh-CN"/>
      </w:rPr>
    </w:pPr>
    <w:r>
      <w:rPr>
        <w:rFonts w:hint="eastAsia"/>
        <w:b/>
        <w:bCs/>
        <w:lang w:eastAsia="zh-CN"/>
      </w:rPr>
      <w:tab/>
    </w:r>
    <w:r w:rsidRPr="009617BF">
      <w:rPr>
        <w:b/>
        <w:bCs/>
      </w:rPr>
      <w:t>ITU-R  BS.1771</w:t>
    </w:r>
    <w:r w:rsidRPr="009617BF">
      <w:rPr>
        <w:rFonts w:hint="eastAsia"/>
        <w:b/>
        <w:bCs/>
        <w:lang w:eastAsia="zh-CN"/>
      </w:rPr>
      <w:t xml:space="preserve"> </w:t>
    </w:r>
    <w:r w:rsidRPr="009617BF">
      <w:rPr>
        <w:rFonts w:hint="eastAsia"/>
        <w:b/>
        <w:bCs/>
      </w:rPr>
      <w:t>建议书</w:t>
    </w:r>
    <w:r>
      <w:rPr>
        <w:rFonts w:hint="eastAsia"/>
        <w:b/>
        <w:bCs/>
        <w:lang w:eastAsia="zh-CN"/>
      </w:rPr>
      <w:tab/>
    </w:r>
    <w:r w:rsidRPr="009617BF">
      <w:rPr>
        <w:b/>
        <w:bCs/>
        <w:lang w:eastAsia="zh-CN"/>
      </w:rPr>
      <w:fldChar w:fldCharType="begin"/>
    </w:r>
    <w:r w:rsidRPr="009617BF">
      <w:rPr>
        <w:b/>
        <w:bCs/>
        <w:lang w:eastAsia="zh-CN"/>
      </w:rPr>
      <w:instrText xml:space="preserve"> PAGE   \* MERGEFORMAT </w:instrText>
    </w:r>
    <w:r w:rsidRPr="009617BF">
      <w:rPr>
        <w:b/>
        <w:bCs/>
        <w:lang w:eastAsia="zh-CN"/>
      </w:rPr>
      <w:fldChar w:fldCharType="separate"/>
    </w:r>
    <w:r w:rsidR="00D8759A">
      <w:rPr>
        <w:b/>
        <w:bCs/>
        <w:noProof/>
        <w:lang w:eastAsia="zh-CN"/>
      </w:rPr>
      <w:t>1</w:t>
    </w:r>
    <w:r w:rsidRPr="009617BF">
      <w:rPr>
        <w:b/>
        <w:bCs/>
        <w:noProof/>
        <w:lang w:eastAsia="zh-C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069"/>
    <w:rsid w:val="000753AE"/>
    <w:rsid w:val="000E072A"/>
    <w:rsid w:val="00195E91"/>
    <w:rsid w:val="00196AAA"/>
    <w:rsid w:val="001E53F4"/>
    <w:rsid w:val="00232815"/>
    <w:rsid w:val="002A3B5F"/>
    <w:rsid w:val="002B71A8"/>
    <w:rsid w:val="00336AE5"/>
    <w:rsid w:val="00366115"/>
    <w:rsid w:val="0041337C"/>
    <w:rsid w:val="00453E79"/>
    <w:rsid w:val="0050732D"/>
    <w:rsid w:val="00666284"/>
    <w:rsid w:val="00697734"/>
    <w:rsid w:val="006E1A1D"/>
    <w:rsid w:val="007F35CC"/>
    <w:rsid w:val="0084135F"/>
    <w:rsid w:val="00852377"/>
    <w:rsid w:val="00885069"/>
    <w:rsid w:val="00892646"/>
    <w:rsid w:val="009617BF"/>
    <w:rsid w:val="00B2334E"/>
    <w:rsid w:val="00BD1685"/>
    <w:rsid w:val="00C340A5"/>
    <w:rsid w:val="00D8759A"/>
    <w:rsid w:val="00E52357"/>
    <w:rsid w:val="00F4252A"/>
    <w:rsid w:val="00F87EAD"/>
    <w:rsid w:val="00FF2E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3"/>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5069"/>
    <w:pPr>
      <w:tabs>
        <w:tab w:val="left" w:pos="794"/>
        <w:tab w:val="left" w:pos="1191"/>
        <w:tab w:val="left" w:pos="1588"/>
        <w:tab w:val="left" w:pos="1985"/>
      </w:tabs>
      <w:overflowPunct w:val="0"/>
      <w:autoSpaceDE w:val="0"/>
      <w:autoSpaceDN w:val="0"/>
      <w:adjustRightInd w:val="0"/>
      <w:spacing w:before="120"/>
      <w:jc w:val="both"/>
    </w:pPr>
    <w:rPr>
      <w:sz w:val="24"/>
      <w:lang w:val="fr-FR" w:eastAsia="en-US"/>
    </w:rPr>
  </w:style>
  <w:style w:type="paragraph" w:styleId="Heading1">
    <w:name w:val="heading 1"/>
    <w:basedOn w:val="Normal"/>
    <w:next w:val="Normal"/>
    <w:qFormat/>
    <w:rsid w:val="00885069"/>
    <w:pPr>
      <w:keepNext/>
      <w:keepLines/>
      <w:spacing w:before="480"/>
      <w:ind w:left="794" w:hanging="794"/>
      <w:outlineLvl w:val="0"/>
    </w:pPr>
    <w:rPr>
      <w:b/>
    </w:rPr>
  </w:style>
  <w:style w:type="paragraph" w:styleId="Heading3">
    <w:name w:val="heading 3"/>
    <w:basedOn w:val="Normal"/>
    <w:next w:val="Normal"/>
    <w:qFormat/>
    <w:rsid w:val="0088506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w:basedOn w:val="Normal"/>
    <w:link w:val="FootnoteTextChar"/>
    <w:rsid w:val="00885069"/>
    <w:pPr>
      <w:keepLines/>
      <w:tabs>
        <w:tab w:val="left" w:pos="255"/>
      </w:tabs>
      <w:ind w:left="255" w:hanging="255"/>
    </w:pPr>
    <w:rPr>
      <w:sz w:val="22"/>
    </w:rPr>
  </w:style>
  <w:style w:type="paragraph" w:customStyle="1" w:styleId="Headingb">
    <w:name w:val="Heading_b"/>
    <w:basedOn w:val="Heading3"/>
    <w:next w:val="Normal"/>
    <w:rsid w:val="00885069"/>
    <w:pPr>
      <w:keepLines/>
      <w:spacing w:before="160" w:after="0"/>
      <w:outlineLvl w:val="9"/>
    </w:pPr>
    <w:rPr>
      <w:rFonts w:ascii="Times New Roman" w:hAnsi="Times New Roman" w:cs="Times New Roman"/>
      <w:bCs w:val="0"/>
      <w:sz w:val="24"/>
      <w:szCs w:val="20"/>
    </w:rPr>
  </w:style>
  <w:style w:type="paragraph" w:customStyle="1" w:styleId="enumlev1">
    <w:name w:val="enumlev1"/>
    <w:basedOn w:val="Normal"/>
    <w:rsid w:val="00885069"/>
    <w:pPr>
      <w:spacing w:before="80"/>
      <w:ind w:left="794" w:hanging="794"/>
    </w:pPr>
  </w:style>
  <w:style w:type="paragraph" w:customStyle="1" w:styleId="Normalaftertitle">
    <w:name w:val="Normal_after_title"/>
    <w:basedOn w:val="Normal"/>
    <w:next w:val="Normal"/>
    <w:rsid w:val="00885069"/>
    <w:pPr>
      <w:spacing w:before="320"/>
    </w:pPr>
  </w:style>
  <w:style w:type="paragraph" w:customStyle="1" w:styleId="Note">
    <w:name w:val="Note"/>
    <w:basedOn w:val="Normal"/>
    <w:rsid w:val="00885069"/>
    <w:pPr>
      <w:tabs>
        <w:tab w:val="clear" w:pos="794"/>
        <w:tab w:val="clear" w:pos="1191"/>
        <w:tab w:val="clear" w:pos="1588"/>
        <w:tab w:val="clear" w:pos="1985"/>
      </w:tabs>
      <w:spacing w:before="80"/>
    </w:pPr>
    <w:rPr>
      <w:sz w:val="22"/>
    </w:rPr>
  </w:style>
  <w:style w:type="paragraph" w:customStyle="1" w:styleId="RectitleBR">
    <w:name w:val="Rec_title_BR"/>
    <w:basedOn w:val="Normal"/>
    <w:next w:val="Recref"/>
    <w:rsid w:val="00885069"/>
    <w:pPr>
      <w:keepNext/>
      <w:keepLines/>
      <w:spacing w:before="240"/>
      <w:jc w:val="center"/>
    </w:pPr>
    <w:rPr>
      <w:b/>
      <w:sz w:val="28"/>
    </w:rPr>
  </w:style>
  <w:style w:type="paragraph" w:customStyle="1" w:styleId="RecNoBR">
    <w:name w:val="Rec_No_BR"/>
    <w:basedOn w:val="Normal"/>
    <w:next w:val="RectitleBR"/>
    <w:rsid w:val="0088506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85069"/>
    <w:pPr>
      <w:spacing w:before="240"/>
    </w:pPr>
    <w:rPr>
      <w:sz w:val="22"/>
      <w:lang w:val="es-ES_tradnl"/>
    </w:rPr>
  </w:style>
  <w:style w:type="paragraph" w:customStyle="1" w:styleId="Recdate">
    <w:name w:val="Rec_date"/>
    <w:basedOn w:val="Recref"/>
    <w:next w:val="Normal"/>
    <w:rsid w:val="00885069"/>
    <w:pPr>
      <w:jc w:val="right"/>
    </w:pPr>
  </w:style>
  <w:style w:type="paragraph" w:customStyle="1" w:styleId="Recref">
    <w:name w:val="Rec_ref"/>
    <w:basedOn w:val="Normal"/>
    <w:next w:val="Recdate"/>
    <w:rsid w:val="00885069"/>
    <w:pPr>
      <w:jc w:val="center"/>
    </w:pPr>
  </w:style>
  <w:style w:type="paragraph" w:customStyle="1" w:styleId="AnnexNoTitle">
    <w:name w:val="Annex_NoTitle"/>
    <w:basedOn w:val="Normal"/>
    <w:next w:val="Normalaftertitle"/>
    <w:rsid w:val="00885069"/>
    <w:pPr>
      <w:keepNext/>
      <w:keepLines/>
      <w:spacing w:before="480" w:after="80"/>
      <w:jc w:val="center"/>
    </w:pPr>
    <w:rPr>
      <w:b/>
      <w:sz w:val="28"/>
    </w:rPr>
  </w:style>
  <w:style w:type="paragraph" w:customStyle="1" w:styleId="AppendixNoTitle">
    <w:name w:val="Appendix_NoTitle"/>
    <w:basedOn w:val="AnnexNoTitle"/>
    <w:next w:val="Normal"/>
    <w:rsid w:val="00885069"/>
  </w:style>
  <w:style w:type="paragraph" w:customStyle="1" w:styleId="Tablefin">
    <w:name w:val="Table_fin"/>
    <w:basedOn w:val="Normal"/>
    <w:next w:val="Normal"/>
    <w:rsid w:val="00885069"/>
    <w:pPr>
      <w:spacing w:before="0"/>
    </w:pPr>
    <w:rPr>
      <w:sz w:val="20"/>
      <w:lang w:val="en-GB"/>
    </w:rPr>
  </w:style>
  <w:style w:type="paragraph" w:customStyle="1" w:styleId="Tablehead">
    <w:name w:val="Table_head"/>
    <w:basedOn w:val="Normal"/>
    <w:next w:val="Normal"/>
    <w:rsid w:val="008850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885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title">
    <w:name w:val="Figure_title"/>
    <w:basedOn w:val="Normal"/>
    <w:next w:val="Figure"/>
    <w:rsid w:val="00885069"/>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885069"/>
    <w:pPr>
      <w:keepLines/>
      <w:spacing w:before="480" w:after="80"/>
      <w:jc w:val="center"/>
    </w:pPr>
    <w:rPr>
      <w:caps/>
      <w:sz w:val="18"/>
    </w:rPr>
  </w:style>
  <w:style w:type="paragraph" w:customStyle="1" w:styleId="Blanc">
    <w:name w:val="Blanc"/>
    <w:basedOn w:val="Normal"/>
    <w:next w:val="Tabletext"/>
    <w:rsid w:val="00885069"/>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885069"/>
    <w:pPr>
      <w:keepNext/>
      <w:keepLines/>
      <w:spacing w:before="160"/>
      <w:ind w:left="794"/>
    </w:pPr>
    <w:rPr>
      <w:i/>
    </w:rPr>
  </w:style>
  <w:style w:type="paragraph" w:customStyle="1" w:styleId="Line">
    <w:name w:val="Line"/>
    <w:basedOn w:val="Normal"/>
    <w:next w:val="Normal"/>
    <w:rsid w:val="008850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885069"/>
    <w:pPr>
      <w:ind w:left="794" w:hanging="794"/>
    </w:pPr>
    <w:rPr>
      <w:sz w:val="22"/>
    </w:rPr>
  </w:style>
  <w:style w:type="paragraph" w:customStyle="1" w:styleId="Reftitle">
    <w:name w:val="Ref_title"/>
    <w:basedOn w:val="Normal"/>
    <w:next w:val="Reftext"/>
    <w:rsid w:val="00885069"/>
    <w:pPr>
      <w:tabs>
        <w:tab w:val="clear" w:pos="794"/>
        <w:tab w:val="clear" w:pos="1191"/>
        <w:tab w:val="clear" w:pos="1588"/>
        <w:tab w:val="clear" w:pos="1985"/>
      </w:tabs>
      <w:spacing w:before="480"/>
      <w:jc w:val="center"/>
    </w:pPr>
    <w:rPr>
      <w:b/>
      <w:sz w:val="28"/>
    </w:rPr>
  </w:style>
  <w:style w:type="paragraph" w:customStyle="1" w:styleId="Figure">
    <w:name w:val="Figure"/>
    <w:basedOn w:val="FigureNo"/>
    <w:next w:val="Figuretitle"/>
    <w:rsid w:val="00885069"/>
    <w:pPr>
      <w:spacing w:before="0" w:after="240"/>
    </w:pPr>
  </w:style>
  <w:style w:type="paragraph" w:customStyle="1" w:styleId="Summary">
    <w:name w:val="Summary"/>
    <w:basedOn w:val="Normal"/>
    <w:next w:val="Normalaftertitle"/>
    <w:rsid w:val="00885069"/>
    <w:pPr>
      <w:spacing w:after="480"/>
    </w:pPr>
    <w:rPr>
      <w:sz w:val="22"/>
      <w:lang w:val="es-ES_tradnl"/>
    </w:rPr>
  </w:style>
  <w:style w:type="character" w:styleId="FootnoteReference">
    <w:name w:val="footnote reference"/>
    <w:aliases w:val="Appel note de bas de p"/>
    <w:basedOn w:val="DefaultParagraphFont"/>
    <w:rsid w:val="00885069"/>
    <w:rPr>
      <w:position w:val="6"/>
      <w:sz w:val="18"/>
    </w:rPr>
  </w:style>
  <w:style w:type="character" w:customStyle="1" w:styleId="href">
    <w:name w:val="href"/>
    <w:basedOn w:val="DefaultParagraphFont"/>
    <w:rsid w:val="00885069"/>
  </w:style>
  <w:style w:type="paragraph" w:styleId="Header">
    <w:name w:val="header"/>
    <w:basedOn w:val="Normal"/>
    <w:link w:val="HeaderChar"/>
    <w:rsid w:val="00F4252A"/>
    <w:pPr>
      <w:tabs>
        <w:tab w:val="clear" w:pos="794"/>
        <w:tab w:val="clear" w:pos="1191"/>
        <w:tab w:val="clear" w:pos="1588"/>
        <w:tab w:val="clear" w:pos="1985"/>
        <w:tab w:val="center" w:pos="4680"/>
        <w:tab w:val="right" w:pos="9360"/>
      </w:tabs>
    </w:pPr>
  </w:style>
  <w:style w:type="character" w:customStyle="1" w:styleId="HeaderChar">
    <w:name w:val="Header Char"/>
    <w:basedOn w:val="DefaultParagraphFont"/>
    <w:link w:val="Header"/>
    <w:rsid w:val="00F4252A"/>
    <w:rPr>
      <w:sz w:val="24"/>
      <w:lang w:val="fr-FR" w:eastAsia="en-US"/>
    </w:rPr>
  </w:style>
  <w:style w:type="paragraph" w:styleId="Footer">
    <w:name w:val="footer"/>
    <w:basedOn w:val="Normal"/>
    <w:link w:val="FooterChar"/>
    <w:rsid w:val="00F4252A"/>
    <w:pPr>
      <w:tabs>
        <w:tab w:val="clear" w:pos="794"/>
        <w:tab w:val="clear" w:pos="1191"/>
        <w:tab w:val="clear" w:pos="1588"/>
        <w:tab w:val="clear" w:pos="1985"/>
        <w:tab w:val="center" w:pos="4680"/>
        <w:tab w:val="right" w:pos="9360"/>
      </w:tabs>
    </w:pPr>
  </w:style>
  <w:style w:type="character" w:customStyle="1" w:styleId="FooterChar">
    <w:name w:val="Footer Char"/>
    <w:basedOn w:val="DefaultParagraphFont"/>
    <w:link w:val="Footer"/>
    <w:rsid w:val="00F4252A"/>
    <w:rPr>
      <w:sz w:val="24"/>
      <w:lang w:val="fr-FR" w:eastAsia="en-US"/>
    </w:rPr>
  </w:style>
  <w:style w:type="character" w:styleId="PageNumber">
    <w:name w:val="page number"/>
    <w:basedOn w:val="DefaultParagraphFont"/>
    <w:rsid w:val="002B71A8"/>
  </w:style>
  <w:style w:type="character" w:customStyle="1" w:styleId="FootnoteTextChar">
    <w:name w:val="Footnote Text Char"/>
    <w:aliases w:val="footnote text Char"/>
    <w:basedOn w:val="DefaultParagraphFont"/>
    <w:link w:val="FootnoteText"/>
    <w:rsid w:val="006E1A1D"/>
    <w:rPr>
      <w:sz w:val="22"/>
      <w:lang w:val="fr-FR" w:eastAsia="en-US"/>
    </w:rPr>
  </w:style>
  <w:style w:type="table" w:styleId="TableGrid">
    <w:name w:val="Table Grid"/>
    <w:basedOn w:val="TableNormal"/>
    <w:rsid w:val="009617B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5069"/>
    <w:pPr>
      <w:tabs>
        <w:tab w:val="left" w:pos="794"/>
        <w:tab w:val="left" w:pos="1191"/>
        <w:tab w:val="left" w:pos="1588"/>
        <w:tab w:val="left" w:pos="1985"/>
      </w:tabs>
      <w:overflowPunct w:val="0"/>
      <w:autoSpaceDE w:val="0"/>
      <w:autoSpaceDN w:val="0"/>
      <w:adjustRightInd w:val="0"/>
      <w:spacing w:before="120"/>
      <w:jc w:val="both"/>
    </w:pPr>
    <w:rPr>
      <w:sz w:val="24"/>
      <w:lang w:val="fr-FR" w:eastAsia="en-US"/>
    </w:rPr>
  </w:style>
  <w:style w:type="paragraph" w:styleId="Heading1">
    <w:name w:val="heading 1"/>
    <w:basedOn w:val="Normal"/>
    <w:next w:val="Normal"/>
    <w:qFormat/>
    <w:rsid w:val="00885069"/>
    <w:pPr>
      <w:keepNext/>
      <w:keepLines/>
      <w:spacing w:before="480"/>
      <w:ind w:left="794" w:hanging="794"/>
      <w:outlineLvl w:val="0"/>
    </w:pPr>
    <w:rPr>
      <w:b/>
    </w:rPr>
  </w:style>
  <w:style w:type="paragraph" w:styleId="Heading3">
    <w:name w:val="heading 3"/>
    <w:basedOn w:val="Normal"/>
    <w:next w:val="Normal"/>
    <w:qFormat/>
    <w:rsid w:val="0088506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w:basedOn w:val="Normal"/>
    <w:link w:val="FootnoteTextChar"/>
    <w:rsid w:val="00885069"/>
    <w:pPr>
      <w:keepLines/>
      <w:tabs>
        <w:tab w:val="left" w:pos="255"/>
      </w:tabs>
      <w:ind w:left="255" w:hanging="255"/>
    </w:pPr>
    <w:rPr>
      <w:sz w:val="22"/>
    </w:rPr>
  </w:style>
  <w:style w:type="paragraph" w:customStyle="1" w:styleId="Headingb">
    <w:name w:val="Heading_b"/>
    <w:basedOn w:val="Heading3"/>
    <w:next w:val="Normal"/>
    <w:rsid w:val="00885069"/>
    <w:pPr>
      <w:keepLines/>
      <w:spacing w:before="160" w:after="0"/>
      <w:outlineLvl w:val="9"/>
    </w:pPr>
    <w:rPr>
      <w:rFonts w:ascii="Times New Roman" w:hAnsi="Times New Roman" w:cs="Times New Roman"/>
      <w:bCs w:val="0"/>
      <w:sz w:val="24"/>
      <w:szCs w:val="20"/>
    </w:rPr>
  </w:style>
  <w:style w:type="paragraph" w:customStyle="1" w:styleId="enumlev1">
    <w:name w:val="enumlev1"/>
    <w:basedOn w:val="Normal"/>
    <w:rsid w:val="00885069"/>
    <w:pPr>
      <w:spacing w:before="80"/>
      <w:ind w:left="794" w:hanging="794"/>
    </w:pPr>
  </w:style>
  <w:style w:type="paragraph" w:customStyle="1" w:styleId="Normalaftertitle">
    <w:name w:val="Normal_after_title"/>
    <w:basedOn w:val="Normal"/>
    <w:next w:val="Normal"/>
    <w:rsid w:val="00885069"/>
    <w:pPr>
      <w:spacing w:before="320"/>
    </w:pPr>
  </w:style>
  <w:style w:type="paragraph" w:customStyle="1" w:styleId="Note">
    <w:name w:val="Note"/>
    <w:basedOn w:val="Normal"/>
    <w:rsid w:val="00885069"/>
    <w:pPr>
      <w:tabs>
        <w:tab w:val="clear" w:pos="794"/>
        <w:tab w:val="clear" w:pos="1191"/>
        <w:tab w:val="clear" w:pos="1588"/>
        <w:tab w:val="clear" w:pos="1985"/>
      </w:tabs>
      <w:spacing w:before="80"/>
    </w:pPr>
    <w:rPr>
      <w:sz w:val="22"/>
    </w:rPr>
  </w:style>
  <w:style w:type="paragraph" w:customStyle="1" w:styleId="RectitleBR">
    <w:name w:val="Rec_title_BR"/>
    <w:basedOn w:val="Normal"/>
    <w:next w:val="Recref"/>
    <w:rsid w:val="00885069"/>
    <w:pPr>
      <w:keepNext/>
      <w:keepLines/>
      <w:spacing w:before="240"/>
      <w:jc w:val="center"/>
    </w:pPr>
    <w:rPr>
      <w:b/>
      <w:sz w:val="28"/>
    </w:rPr>
  </w:style>
  <w:style w:type="paragraph" w:customStyle="1" w:styleId="RecNoBR">
    <w:name w:val="Rec_No_BR"/>
    <w:basedOn w:val="Normal"/>
    <w:next w:val="RectitleBR"/>
    <w:rsid w:val="0088506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85069"/>
    <w:pPr>
      <w:spacing w:before="240"/>
    </w:pPr>
    <w:rPr>
      <w:sz w:val="22"/>
      <w:lang w:val="es-ES_tradnl"/>
    </w:rPr>
  </w:style>
  <w:style w:type="paragraph" w:customStyle="1" w:styleId="Recdate">
    <w:name w:val="Rec_date"/>
    <w:basedOn w:val="Recref"/>
    <w:next w:val="Normal"/>
    <w:rsid w:val="00885069"/>
    <w:pPr>
      <w:jc w:val="right"/>
    </w:pPr>
  </w:style>
  <w:style w:type="paragraph" w:customStyle="1" w:styleId="Recref">
    <w:name w:val="Rec_ref"/>
    <w:basedOn w:val="Normal"/>
    <w:next w:val="Recdate"/>
    <w:rsid w:val="00885069"/>
    <w:pPr>
      <w:jc w:val="center"/>
    </w:pPr>
  </w:style>
  <w:style w:type="paragraph" w:customStyle="1" w:styleId="AnnexNoTitle">
    <w:name w:val="Annex_NoTitle"/>
    <w:basedOn w:val="Normal"/>
    <w:next w:val="Normalaftertitle"/>
    <w:rsid w:val="00885069"/>
    <w:pPr>
      <w:keepNext/>
      <w:keepLines/>
      <w:spacing w:before="480" w:after="80"/>
      <w:jc w:val="center"/>
    </w:pPr>
    <w:rPr>
      <w:b/>
      <w:sz w:val="28"/>
    </w:rPr>
  </w:style>
  <w:style w:type="paragraph" w:customStyle="1" w:styleId="AppendixNoTitle">
    <w:name w:val="Appendix_NoTitle"/>
    <w:basedOn w:val="AnnexNoTitle"/>
    <w:next w:val="Normal"/>
    <w:rsid w:val="00885069"/>
  </w:style>
  <w:style w:type="paragraph" w:customStyle="1" w:styleId="Tablefin">
    <w:name w:val="Table_fin"/>
    <w:basedOn w:val="Normal"/>
    <w:next w:val="Normal"/>
    <w:rsid w:val="00885069"/>
    <w:pPr>
      <w:spacing w:before="0"/>
    </w:pPr>
    <w:rPr>
      <w:sz w:val="20"/>
      <w:lang w:val="en-GB"/>
    </w:rPr>
  </w:style>
  <w:style w:type="paragraph" w:customStyle="1" w:styleId="Tablehead">
    <w:name w:val="Table_head"/>
    <w:basedOn w:val="Normal"/>
    <w:next w:val="Normal"/>
    <w:rsid w:val="008850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885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title">
    <w:name w:val="Figure_title"/>
    <w:basedOn w:val="Normal"/>
    <w:next w:val="Figure"/>
    <w:rsid w:val="00885069"/>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885069"/>
    <w:pPr>
      <w:keepLines/>
      <w:spacing w:before="480" w:after="80"/>
      <w:jc w:val="center"/>
    </w:pPr>
    <w:rPr>
      <w:caps/>
      <w:sz w:val="18"/>
    </w:rPr>
  </w:style>
  <w:style w:type="paragraph" w:customStyle="1" w:styleId="Blanc">
    <w:name w:val="Blanc"/>
    <w:basedOn w:val="Normal"/>
    <w:next w:val="Tabletext"/>
    <w:rsid w:val="00885069"/>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885069"/>
    <w:pPr>
      <w:keepNext/>
      <w:keepLines/>
      <w:spacing w:before="160"/>
      <w:ind w:left="794"/>
    </w:pPr>
    <w:rPr>
      <w:i/>
    </w:rPr>
  </w:style>
  <w:style w:type="paragraph" w:customStyle="1" w:styleId="Line">
    <w:name w:val="Line"/>
    <w:basedOn w:val="Normal"/>
    <w:next w:val="Normal"/>
    <w:rsid w:val="008850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885069"/>
    <w:pPr>
      <w:ind w:left="794" w:hanging="794"/>
    </w:pPr>
    <w:rPr>
      <w:sz w:val="22"/>
    </w:rPr>
  </w:style>
  <w:style w:type="paragraph" w:customStyle="1" w:styleId="Reftitle">
    <w:name w:val="Ref_title"/>
    <w:basedOn w:val="Normal"/>
    <w:next w:val="Reftext"/>
    <w:rsid w:val="00885069"/>
    <w:pPr>
      <w:tabs>
        <w:tab w:val="clear" w:pos="794"/>
        <w:tab w:val="clear" w:pos="1191"/>
        <w:tab w:val="clear" w:pos="1588"/>
        <w:tab w:val="clear" w:pos="1985"/>
      </w:tabs>
      <w:spacing w:before="480"/>
      <w:jc w:val="center"/>
    </w:pPr>
    <w:rPr>
      <w:b/>
      <w:sz w:val="28"/>
    </w:rPr>
  </w:style>
  <w:style w:type="paragraph" w:customStyle="1" w:styleId="Figure">
    <w:name w:val="Figure"/>
    <w:basedOn w:val="FigureNo"/>
    <w:next w:val="Figuretitle"/>
    <w:rsid w:val="00885069"/>
    <w:pPr>
      <w:spacing w:before="0" w:after="240"/>
    </w:pPr>
  </w:style>
  <w:style w:type="paragraph" w:customStyle="1" w:styleId="Summary">
    <w:name w:val="Summary"/>
    <w:basedOn w:val="Normal"/>
    <w:next w:val="Normalaftertitle"/>
    <w:rsid w:val="00885069"/>
    <w:pPr>
      <w:spacing w:after="480"/>
    </w:pPr>
    <w:rPr>
      <w:sz w:val="22"/>
      <w:lang w:val="es-ES_tradnl"/>
    </w:rPr>
  </w:style>
  <w:style w:type="character" w:styleId="FootnoteReference">
    <w:name w:val="footnote reference"/>
    <w:aliases w:val="Appel note de bas de p"/>
    <w:basedOn w:val="DefaultParagraphFont"/>
    <w:rsid w:val="00885069"/>
    <w:rPr>
      <w:position w:val="6"/>
      <w:sz w:val="18"/>
    </w:rPr>
  </w:style>
  <w:style w:type="character" w:customStyle="1" w:styleId="href">
    <w:name w:val="href"/>
    <w:basedOn w:val="DefaultParagraphFont"/>
    <w:rsid w:val="00885069"/>
  </w:style>
  <w:style w:type="paragraph" w:styleId="Header">
    <w:name w:val="header"/>
    <w:basedOn w:val="Normal"/>
    <w:link w:val="HeaderChar"/>
    <w:rsid w:val="00F4252A"/>
    <w:pPr>
      <w:tabs>
        <w:tab w:val="clear" w:pos="794"/>
        <w:tab w:val="clear" w:pos="1191"/>
        <w:tab w:val="clear" w:pos="1588"/>
        <w:tab w:val="clear" w:pos="1985"/>
        <w:tab w:val="center" w:pos="4680"/>
        <w:tab w:val="right" w:pos="9360"/>
      </w:tabs>
    </w:pPr>
  </w:style>
  <w:style w:type="character" w:customStyle="1" w:styleId="HeaderChar">
    <w:name w:val="Header Char"/>
    <w:basedOn w:val="DefaultParagraphFont"/>
    <w:link w:val="Header"/>
    <w:rsid w:val="00F4252A"/>
    <w:rPr>
      <w:sz w:val="24"/>
      <w:lang w:val="fr-FR" w:eastAsia="en-US"/>
    </w:rPr>
  </w:style>
  <w:style w:type="paragraph" w:styleId="Footer">
    <w:name w:val="footer"/>
    <w:basedOn w:val="Normal"/>
    <w:link w:val="FooterChar"/>
    <w:rsid w:val="00F4252A"/>
    <w:pPr>
      <w:tabs>
        <w:tab w:val="clear" w:pos="794"/>
        <w:tab w:val="clear" w:pos="1191"/>
        <w:tab w:val="clear" w:pos="1588"/>
        <w:tab w:val="clear" w:pos="1985"/>
        <w:tab w:val="center" w:pos="4680"/>
        <w:tab w:val="right" w:pos="9360"/>
      </w:tabs>
    </w:pPr>
  </w:style>
  <w:style w:type="character" w:customStyle="1" w:styleId="FooterChar">
    <w:name w:val="Footer Char"/>
    <w:basedOn w:val="DefaultParagraphFont"/>
    <w:link w:val="Footer"/>
    <w:rsid w:val="00F4252A"/>
    <w:rPr>
      <w:sz w:val="24"/>
      <w:lang w:val="fr-FR" w:eastAsia="en-US"/>
    </w:rPr>
  </w:style>
  <w:style w:type="character" w:styleId="PageNumber">
    <w:name w:val="page number"/>
    <w:basedOn w:val="DefaultParagraphFont"/>
    <w:rsid w:val="002B71A8"/>
  </w:style>
  <w:style w:type="character" w:customStyle="1" w:styleId="FootnoteTextChar">
    <w:name w:val="Footnote Text Char"/>
    <w:aliases w:val="footnote text Char"/>
    <w:basedOn w:val="DefaultParagraphFont"/>
    <w:link w:val="FootnoteText"/>
    <w:rsid w:val="006E1A1D"/>
    <w:rPr>
      <w:sz w:val="22"/>
      <w:lang w:val="fr-FR" w:eastAsia="en-US"/>
    </w:rPr>
  </w:style>
  <w:style w:type="table" w:styleId="TableGrid">
    <w:name w:val="Table Grid"/>
    <w:basedOn w:val="TableNormal"/>
    <w:rsid w:val="009617B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80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tu.int/publ/R-REC/en" TargetMode="External"/><Relationship Id="rId18" Type="http://schemas.openxmlformats.org/officeDocument/2006/relationships/footer" Target="footer4.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19034-C4E5-4302-BDA7-F40430309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11</Pages>
  <Words>4250</Words>
  <Characters>1234</Characters>
  <Application>Microsoft Office Word</Application>
  <DocSecurity>0</DocSecurity>
  <Lines>205</Lines>
  <Paragraphs>119</Paragraphs>
  <ScaleCrop>false</ScaleCrop>
  <HeadingPairs>
    <vt:vector size="2" baseType="variant">
      <vt:variant>
        <vt:lpstr>Title</vt:lpstr>
      </vt:variant>
      <vt:variant>
        <vt:i4>1</vt:i4>
      </vt:variant>
    </vt:vector>
  </HeadingPairs>
  <TitlesOfParts>
    <vt:vector size="1" baseType="lpstr">
      <vt:lpstr>ITU-R  BS.1771建议书 - 对响度和实际峰值指示表的要求</vt:lpstr>
    </vt:vector>
  </TitlesOfParts>
  <Company>ITU</Company>
  <LinksUpToDate>false</LinksUpToDate>
  <CharactersWithSpaces>5365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BS.1771建议书 - 对响度和实际峰值指示表的要求</dc:title>
  <dc:subject/>
  <dc:creator>CHI</dc:creator>
  <cp:keywords/>
  <dc:description/>
  <cp:lastModifiedBy>lij</cp:lastModifiedBy>
  <cp:revision>17</cp:revision>
  <cp:lastPrinted>2011-03-09T12:54:00Z</cp:lastPrinted>
  <dcterms:created xsi:type="dcterms:W3CDTF">2011-03-09T09:53:00Z</dcterms:created>
  <dcterms:modified xsi:type="dcterms:W3CDTF">2011-05-17T11:54:00Z</dcterms:modified>
</cp:coreProperties>
</file>