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2B12" w14:textId="77777777" w:rsidR="002A0CE0" w:rsidRDefault="002A0CE0" w:rsidP="002A0CE0"/>
    <w:p w14:paraId="3C7B26E2" w14:textId="77777777" w:rsidR="002A0CE0" w:rsidRDefault="002A0CE0" w:rsidP="002A0CE0">
      <w:pPr>
        <w:tabs>
          <w:tab w:val="clear" w:pos="794"/>
          <w:tab w:val="clear" w:pos="1191"/>
          <w:tab w:val="clear" w:pos="1588"/>
          <w:tab w:val="clear" w:pos="1985"/>
        </w:tabs>
      </w:pPr>
    </w:p>
    <w:p w14:paraId="5B8F81AB" w14:textId="66833604" w:rsidR="002A0CE0" w:rsidRPr="00710A2A" w:rsidRDefault="002A0CE0" w:rsidP="002A0CE0">
      <w:pPr>
        <w:pStyle w:val="CoverNumber"/>
        <w:rPr>
          <w:lang w:val="fr-FR"/>
        </w:rPr>
      </w:pPr>
      <w:r w:rsidRPr="00710A2A">
        <w:rPr>
          <w:lang w:val="fr-FR"/>
        </w:rPr>
        <w:t xml:space="preserve">Recommandation UIT-R </w:t>
      </w:r>
      <w:r>
        <w:rPr>
          <w:lang w:val="fr-FR"/>
        </w:rPr>
        <w:t>BS</w:t>
      </w:r>
      <w:r w:rsidRPr="00710A2A">
        <w:rPr>
          <w:lang w:val="fr-FR"/>
        </w:rPr>
        <w:t>.</w:t>
      </w:r>
      <w:r>
        <w:rPr>
          <w:lang w:val="fr-FR"/>
        </w:rPr>
        <w:t>1423-1</w:t>
      </w:r>
    </w:p>
    <w:p w14:paraId="2B6E6799" w14:textId="18B40EFE" w:rsidR="002A0CE0" w:rsidRPr="004F3F6F" w:rsidRDefault="002A0CE0" w:rsidP="002A0CE0">
      <w:pPr>
        <w:pStyle w:val="CoverDate"/>
        <w:rPr>
          <w:lang w:val="fr-FR"/>
        </w:rPr>
      </w:pPr>
      <w:r w:rsidRPr="004F3F6F">
        <w:rPr>
          <w:lang w:val="fr-FR"/>
        </w:rPr>
        <w:t>(</w:t>
      </w:r>
      <w:r>
        <w:rPr>
          <w:lang w:val="fr-FR"/>
        </w:rPr>
        <w:t>05</w:t>
      </w:r>
      <w:r w:rsidRPr="004F3F6F">
        <w:rPr>
          <w:lang w:val="fr-FR"/>
        </w:rPr>
        <w:t>/</w:t>
      </w:r>
      <w:r>
        <w:rPr>
          <w:lang w:val="fr-FR"/>
        </w:rPr>
        <w:t>2023</w:t>
      </w:r>
      <w:r w:rsidRPr="004F3F6F">
        <w:rPr>
          <w:lang w:val="fr-FR"/>
        </w:rPr>
        <w:t>)</w:t>
      </w:r>
    </w:p>
    <w:p w14:paraId="45891054" w14:textId="77777777" w:rsidR="002A0CE0" w:rsidRPr="00B02C89" w:rsidRDefault="002A0CE0" w:rsidP="002A0CE0">
      <w:pPr>
        <w:pStyle w:val="CoverSeries"/>
        <w:rPr>
          <w:lang w:val="fr-FR"/>
        </w:rPr>
      </w:pPr>
      <w:r w:rsidRPr="00B02C89">
        <w:rPr>
          <w:lang w:val="fr-FR"/>
        </w:rPr>
        <w:t xml:space="preserve">Série </w:t>
      </w:r>
      <w:proofErr w:type="gramStart"/>
      <w:r w:rsidRPr="00B02C89">
        <w:rPr>
          <w:lang w:val="fr-FR"/>
        </w:rPr>
        <w:t>BS:</w:t>
      </w:r>
      <w:proofErr w:type="gramEnd"/>
      <w:r w:rsidRPr="00B02C89">
        <w:rPr>
          <w:lang w:val="fr-FR"/>
        </w:rPr>
        <w:t xml:space="preserve"> Service de radiodiffusion sonore</w:t>
      </w:r>
    </w:p>
    <w:p w14:paraId="364445C0" w14:textId="2C314081" w:rsidR="002A0CE0" w:rsidRPr="004F3F6F" w:rsidRDefault="002A0CE0" w:rsidP="002A0CE0">
      <w:pPr>
        <w:pStyle w:val="CoverTitle"/>
        <w:rPr>
          <w:lang w:val="fr-FR"/>
        </w:rPr>
      </w:pPr>
      <w:r w:rsidRPr="007D1822">
        <w:rPr>
          <w:rFonts w:cs="Arial"/>
          <w:spacing w:val="-6"/>
          <w:szCs w:val="44"/>
          <w:lang w:val="fr-FR"/>
        </w:rPr>
        <w:t>Principes directeurs relatifs à la production</w:t>
      </w:r>
      <w:r>
        <w:rPr>
          <w:rFonts w:cs="Arial"/>
          <w:spacing w:val="-6"/>
          <w:szCs w:val="44"/>
          <w:lang w:val="fr-FR"/>
        </w:rPr>
        <w:t xml:space="preserve"> </w:t>
      </w:r>
      <w:r w:rsidRPr="007D1822">
        <w:rPr>
          <w:rFonts w:cs="Arial"/>
          <w:spacing w:val="-6"/>
          <w:szCs w:val="44"/>
          <w:lang w:val="fr-FR"/>
        </w:rPr>
        <w:t>de pistes sonores multicanaux à l'aide de techniques sonores ambiophoniques matricielles</w:t>
      </w:r>
    </w:p>
    <w:p w14:paraId="7434AB6B" w14:textId="77777777" w:rsidR="002A0CE0" w:rsidRPr="002A0CE0" w:rsidRDefault="002A0CE0" w:rsidP="002A0CE0">
      <w:pPr>
        <w:rPr>
          <w:lang w:val="fr-CH"/>
        </w:rPr>
      </w:pPr>
    </w:p>
    <w:p w14:paraId="23A10B74" w14:textId="77777777" w:rsidR="002A0CE0" w:rsidRPr="002A0CE0" w:rsidRDefault="002A0CE0" w:rsidP="002A0CE0">
      <w:pPr>
        <w:rPr>
          <w:lang w:val="fr-CH"/>
        </w:rPr>
      </w:pPr>
    </w:p>
    <w:p w14:paraId="7441240C" w14:textId="77777777" w:rsidR="002A0CE0" w:rsidRPr="002A0CE0" w:rsidRDefault="002A0CE0" w:rsidP="002A0CE0">
      <w:pPr>
        <w:rPr>
          <w:lang w:val="fr-CH"/>
        </w:rPr>
        <w:sectPr w:rsidR="002A0CE0" w:rsidRPr="002A0CE0" w:rsidSect="002A0CE0">
          <w:headerReference w:type="even" r:id="rId6"/>
          <w:headerReference w:type="default" r:id="rId7"/>
          <w:footerReference w:type="default" r:id="rId8"/>
          <w:pgSz w:w="11907" w:h="16840" w:code="9"/>
          <w:pgMar w:top="1089" w:right="1089" w:bottom="284" w:left="1089" w:header="737" w:footer="284" w:gutter="0"/>
          <w:pgNumType w:start="1"/>
          <w:cols w:space="720"/>
          <w:docGrid w:linePitch="326"/>
        </w:sectPr>
      </w:pPr>
    </w:p>
    <w:p w14:paraId="0210E86F" w14:textId="77777777" w:rsidR="002A0CE0" w:rsidRPr="002A0CE0" w:rsidRDefault="002A0CE0" w:rsidP="002A0CE0">
      <w:pPr>
        <w:pStyle w:val="Tablehead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794"/>
          <w:tab w:val="left" w:pos="1191"/>
          <w:tab w:val="left" w:pos="1588"/>
        </w:tabs>
        <w:spacing w:before="280" w:after="0"/>
        <w:rPr>
          <w:bCs/>
          <w:sz w:val="24"/>
          <w:szCs w:val="24"/>
          <w:lang w:val="fr-CH"/>
        </w:rPr>
      </w:pPr>
      <w:bookmarkStart w:id="0" w:name="c2tope"/>
      <w:bookmarkEnd w:id="0"/>
      <w:r w:rsidRPr="002A0CE0">
        <w:rPr>
          <w:bCs/>
          <w:sz w:val="24"/>
          <w:szCs w:val="24"/>
          <w:lang w:val="fr-CH"/>
        </w:rPr>
        <w:lastRenderedPageBreak/>
        <w:t>Avant-propos</w:t>
      </w:r>
    </w:p>
    <w:p w14:paraId="5DB19867" w14:textId="77777777" w:rsidR="002A0CE0" w:rsidRPr="002A0CE0" w:rsidRDefault="002A0CE0" w:rsidP="002A0CE0">
      <w:pPr>
        <w:spacing w:before="240"/>
        <w:rPr>
          <w:sz w:val="20"/>
          <w:lang w:val="fr-CH"/>
        </w:rPr>
      </w:pPr>
      <w:r w:rsidRPr="002A0CE0">
        <w:rPr>
          <w:sz w:val="20"/>
          <w:lang w:val="fr-CH"/>
        </w:rPr>
        <w:t>Le rôle du Secteur des radiocommunications est d’assurer l’utilisation rationnelle, équitable, efficace et économique du spectre radioélectrique par tous les services de radiocommunication, y compris les services par satellite, et de procéder à des études pour toutes les gammes de fréquences, à partir desquelles les Recommandations seront élaborées et adoptées.</w:t>
      </w:r>
    </w:p>
    <w:p w14:paraId="01309C76" w14:textId="77777777" w:rsidR="002A0CE0" w:rsidRPr="002A0CE0" w:rsidRDefault="002A0CE0" w:rsidP="002A0CE0">
      <w:pPr>
        <w:rPr>
          <w:sz w:val="20"/>
          <w:lang w:val="fr-CH"/>
        </w:rPr>
      </w:pPr>
      <w:r w:rsidRPr="002A0CE0">
        <w:rPr>
          <w:sz w:val="20"/>
          <w:lang w:val="fr-CH"/>
        </w:rPr>
        <w:t>Les fonctions réglementaires et politiques du Secteur des radiocommunications sont remplies par les Conférences mondiales et régionales des radiocommunications et par les Assemblées des radiocommunications assistées par les Commissions d’études.</w:t>
      </w:r>
    </w:p>
    <w:p w14:paraId="40EF1AB5" w14:textId="77777777" w:rsidR="002A0CE0" w:rsidRPr="002A0CE0" w:rsidRDefault="002A0CE0" w:rsidP="002A0CE0">
      <w:pPr>
        <w:pStyle w:val="Heading1"/>
        <w:spacing w:before="360"/>
        <w:jc w:val="center"/>
        <w:rPr>
          <w:szCs w:val="24"/>
          <w:lang w:val="fr-CH"/>
        </w:rPr>
      </w:pPr>
      <w:r w:rsidRPr="002A0CE0">
        <w:rPr>
          <w:szCs w:val="24"/>
          <w:lang w:val="fr-CH"/>
        </w:rPr>
        <w:t>Politique en matière de droits de propriété intellectuelle (IPR)</w:t>
      </w:r>
    </w:p>
    <w:p w14:paraId="2FE0624E" w14:textId="77777777" w:rsidR="002A0CE0" w:rsidRPr="00E44CBB" w:rsidRDefault="002A0CE0" w:rsidP="002A0CE0">
      <w:pPr>
        <w:spacing w:before="240"/>
        <w:rPr>
          <w:sz w:val="20"/>
          <w:lang w:val="fr-CH"/>
        </w:rPr>
      </w:pPr>
      <w:r w:rsidRPr="002A0CE0">
        <w:rPr>
          <w:sz w:val="20"/>
          <w:lang w:val="fr-CH"/>
        </w:rPr>
        <w:t>La politique de l'UIT</w:t>
      </w:r>
      <w:r w:rsidRPr="002A0CE0">
        <w:rPr>
          <w:sz w:val="20"/>
          <w:lang w:val="fr-CH"/>
        </w:rPr>
        <w:noBreakHyphen/>
        <w:t>R en matière de droits de propriété intellectuelle est décrite dans la</w:t>
      </w:r>
      <w:proofErr w:type="gramStart"/>
      <w:r w:rsidRPr="002A0CE0">
        <w:rPr>
          <w:sz w:val="20"/>
          <w:lang w:val="fr-CH"/>
        </w:rPr>
        <w:t xml:space="preserve"> </w:t>
      </w:r>
      <w:r w:rsidRPr="00E44CBB">
        <w:rPr>
          <w:sz w:val="20"/>
          <w:lang w:val="fr-CH"/>
        </w:rPr>
        <w:t>«Politique</w:t>
      </w:r>
      <w:proofErr w:type="gramEnd"/>
      <w:r w:rsidRPr="00E44CBB">
        <w:rPr>
          <w:sz w:val="20"/>
          <w:lang w:val="fr-CH"/>
        </w:rPr>
        <w:t xml:space="preserve"> commune de l'UIT</w:t>
      </w:r>
      <w:r w:rsidRPr="00E44CBB">
        <w:rPr>
          <w:sz w:val="20"/>
          <w:lang w:val="fr-CH"/>
        </w:rPr>
        <w:noBreakHyphen/>
        <w:t>T, l'UIT</w:t>
      </w:r>
      <w:r w:rsidRPr="00E44CBB">
        <w:rPr>
          <w:sz w:val="20"/>
          <w:lang w:val="fr-CH"/>
        </w:rPr>
        <w:noBreakHyphen/>
        <w:t xml:space="preserve">R, l'ISO et la CEI en matière de brevets», dont il est question dans la Résolution UIT-R 1. </w:t>
      </w:r>
      <w:r w:rsidRPr="002A0CE0">
        <w:rPr>
          <w:sz w:val="20"/>
          <w:lang w:val="fr-CH"/>
        </w:rPr>
        <w:t xml:space="preserve">Les formulaires que les titulaires de brevets doivent utiliser pour soumettre les déclarations de brevet et d'octroi de licence sont accessibles à l'adresse </w:t>
      </w:r>
      <w:hyperlink r:id="rId9" w:history="1">
        <w:r w:rsidRPr="002A0CE0">
          <w:rPr>
            <w:rStyle w:val="Hyperlink"/>
            <w:sz w:val="20"/>
            <w:lang w:val="fr-CH"/>
          </w:rPr>
          <w:t>http://www.itu.int/ITU-R/go/patents/fr</w:t>
        </w:r>
      </w:hyperlink>
      <w:r w:rsidRPr="002A0CE0">
        <w:rPr>
          <w:sz w:val="20"/>
          <w:lang w:val="fr-CH"/>
        </w:rPr>
        <w:t xml:space="preserve">, où l'on trouvera également les Lignes directrices pour la mise en </w:t>
      </w:r>
      <w:proofErr w:type="spellStart"/>
      <w:r w:rsidRPr="002A0CE0">
        <w:rPr>
          <w:sz w:val="20"/>
          <w:lang w:val="fr-CH"/>
        </w:rPr>
        <w:t>oeuvre</w:t>
      </w:r>
      <w:proofErr w:type="spellEnd"/>
      <w:r w:rsidRPr="002A0CE0">
        <w:rPr>
          <w:sz w:val="20"/>
          <w:lang w:val="fr-CH"/>
        </w:rPr>
        <w:t xml:space="preserve"> de la politique commune en matière de brevets de l'UIT</w:t>
      </w:r>
      <w:r w:rsidRPr="002A0CE0">
        <w:rPr>
          <w:sz w:val="20"/>
          <w:lang w:val="fr-CH"/>
        </w:rPr>
        <w:noBreakHyphen/>
        <w:t>T, l'UIT</w:t>
      </w:r>
      <w:r w:rsidRPr="002A0CE0">
        <w:rPr>
          <w:sz w:val="20"/>
          <w:lang w:val="fr-CH"/>
        </w:rPr>
        <w:noBreakHyphen/>
        <w:t>R, l'ISO et la CEI</w:t>
      </w:r>
      <w:r w:rsidRPr="002A0CE0" w:rsidDel="0061025C">
        <w:rPr>
          <w:sz w:val="20"/>
          <w:lang w:val="fr-CH"/>
        </w:rPr>
        <w:t xml:space="preserve"> </w:t>
      </w:r>
      <w:r w:rsidRPr="002A0CE0">
        <w:rPr>
          <w:sz w:val="20"/>
          <w:lang w:val="fr-CH"/>
        </w:rPr>
        <w:t>et la base de données en matière de brevets de l'UIT-R.</w:t>
      </w:r>
    </w:p>
    <w:p w14:paraId="4E281364" w14:textId="77777777" w:rsidR="002A0CE0" w:rsidRPr="0086089D" w:rsidRDefault="002A0CE0" w:rsidP="002A0CE0">
      <w:pPr>
        <w:spacing w:before="240"/>
        <w:jc w:val="center"/>
        <w:rPr>
          <w:sz w:val="22"/>
          <w:lang w:val="fr-CH"/>
        </w:rPr>
      </w:pPr>
    </w:p>
    <w:tbl>
      <w:tblPr>
        <w:tblW w:w="5000" w:type="pct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000" w:firstRow="0" w:lastRow="0" w:firstColumn="0" w:lastColumn="0" w:noHBand="0" w:noVBand="0"/>
      </w:tblPr>
      <w:tblGrid>
        <w:gridCol w:w="1170"/>
        <w:gridCol w:w="8439"/>
      </w:tblGrid>
      <w:tr w:rsidR="002A0CE0" w:rsidRPr="002A0CE0" w14:paraId="4389EB22" w14:textId="77777777" w:rsidTr="001C0477">
        <w:tc>
          <w:tcPr>
            <w:tcW w:w="9360" w:type="dxa"/>
            <w:gridSpan w:val="2"/>
          </w:tcPr>
          <w:p w14:paraId="727CC0FC" w14:textId="77777777" w:rsidR="002A0CE0" w:rsidRPr="002A0CE0" w:rsidRDefault="002A0CE0" w:rsidP="001C0477">
            <w:pPr>
              <w:pStyle w:val="Chaptitle"/>
              <w:keepLines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140"/>
              <w:textAlignment w:val="auto"/>
              <w:rPr>
                <w:sz w:val="22"/>
                <w:szCs w:val="22"/>
                <w:lang w:val="fr-CH"/>
              </w:rPr>
            </w:pPr>
            <w:r w:rsidRPr="002A0CE0">
              <w:rPr>
                <w:sz w:val="22"/>
                <w:szCs w:val="22"/>
                <w:lang w:val="fr-CH"/>
              </w:rPr>
              <w:t xml:space="preserve">Séries des Recommandations UIT-R </w:t>
            </w:r>
          </w:p>
          <w:p w14:paraId="370485B3" w14:textId="77777777" w:rsidR="002A0CE0" w:rsidRPr="002A0CE0" w:rsidRDefault="002A0CE0" w:rsidP="001C047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20" w:after="60"/>
              <w:rPr>
                <w:bCs/>
                <w:sz w:val="18"/>
                <w:szCs w:val="18"/>
                <w:lang w:val="fr-CH"/>
              </w:rPr>
            </w:pPr>
            <w:r w:rsidRPr="002A0CE0">
              <w:rPr>
                <w:b w:val="0"/>
                <w:sz w:val="18"/>
                <w:szCs w:val="18"/>
                <w:lang w:val="fr-CH"/>
              </w:rPr>
              <w:t>(</w:t>
            </w:r>
            <w:proofErr w:type="spellStart"/>
            <w:r w:rsidRPr="002A0CE0">
              <w:rPr>
                <w:b w:val="0"/>
                <w:sz w:val="18"/>
                <w:szCs w:val="18"/>
                <w:lang w:val="fr-CH"/>
              </w:rPr>
              <w:t>Egalement</w:t>
            </w:r>
            <w:proofErr w:type="spellEnd"/>
            <w:r w:rsidRPr="002A0CE0">
              <w:rPr>
                <w:b w:val="0"/>
                <w:sz w:val="18"/>
                <w:szCs w:val="18"/>
                <w:lang w:val="fr-CH"/>
              </w:rPr>
              <w:t xml:space="preserve"> disponible en </w:t>
            </w:r>
            <w:proofErr w:type="gramStart"/>
            <w:r w:rsidRPr="002A0CE0">
              <w:rPr>
                <w:b w:val="0"/>
                <w:sz w:val="18"/>
                <w:szCs w:val="18"/>
                <w:lang w:val="fr-CH"/>
              </w:rPr>
              <w:t>ligne:</w:t>
            </w:r>
            <w:proofErr w:type="gramEnd"/>
            <w:r w:rsidRPr="002A0CE0">
              <w:rPr>
                <w:b w:val="0"/>
                <w:sz w:val="18"/>
                <w:szCs w:val="18"/>
                <w:lang w:val="fr-CH"/>
              </w:rPr>
              <w:t xml:space="preserve"> </w:t>
            </w:r>
            <w:hyperlink r:id="rId10" w:history="1">
              <w:r w:rsidRPr="002A0CE0">
                <w:rPr>
                  <w:rStyle w:val="Hyperlink"/>
                  <w:b w:val="0"/>
                  <w:bCs/>
                  <w:sz w:val="18"/>
                  <w:szCs w:val="18"/>
                  <w:lang w:val="fr-CH"/>
                </w:rPr>
                <w:t>https://www.itu.int/publ/R-REC/fr</w:t>
              </w:r>
            </w:hyperlink>
            <w:r w:rsidRPr="002A0CE0">
              <w:rPr>
                <w:b w:val="0"/>
                <w:bCs/>
                <w:sz w:val="18"/>
                <w:szCs w:val="18"/>
                <w:lang w:val="fr-CH"/>
              </w:rPr>
              <w:t>)</w:t>
            </w:r>
          </w:p>
        </w:tc>
      </w:tr>
      <w:tr w:rsidR="002A0CE0" w:rsidRPr="00036EE3" w14:paraId="63A84E3E" w14:textId="77777777" w:rsidTr="001C0477">
        <w:tc>
          <w:tcPr>
            <w:tcW w:w="1140" w:type="dxa"/>
            <w:tcBorders>
              <w:bottom w:val="nil"/>
            </w:tcBorders>
          </w:tcPr>
          <w:p w14:paraId="1D0E5FA7" w14:textId="77777777" w:rsidR="002A0CE0" w:rsidRPr="00614CC6" w:rsidRDefault="002A0CE0" w:rsidP="001C0477">
            <w:pPr>
              <w:spacing w:before="90" w:after="100"/>
              <w:ind w:left="57"/>
              <w:rPr>
                <w:b/>
                <w:bCs/>
                <w:sz w:val="20"/>
                <w:lang w:val="en-US"/>
              </w:rPr>
            </w:pPr>
            <w:proofErr w:type="spellStart"/>
            <w:r w:rsidRPr="00614CC6">
              <w:rPr>
                <w:b/>
                <w:bCs/>
                <w:sz w:val="20"/>
                <w:lang w:val="en-US"/>
              </w:rPr>
              <w:t>Séries</w:t>
            </w:r>
            <w:proofErr w:type="spellEnd"/>
          </w:p>
        </w:tc>
        <w:tc>
          <w:tcPr>
            <w:tcW w:w="8220" w:type="dxa"/>
            <w:tcBorders>
              <w:bottom w:val="nil"/>
            </w:tcBorders>
          </w:tcPr>
          <w:p w14:paraId="4B785D83" w14:textId="77777777" w:rsidR="002A0CE0" w:rsidRPr="00614CC6" w:rsidRDefault="002A0CE0" w:rsidP="001C047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90" w:after="100"/>
              <w:rPr>
                <w:bCs/>
                <w:sz w:val="20"/>
                <w:lang w:val="en-US"/>
              </w:rPr>
            </w:pPr>
            <w:proofErr w:type="spellStart"/>
            <w:r w:rsidRPr="00614CC6">
              <w:rPr>
                <w:bCs/>
                <w:sz w:val="20"/>
                <w:lang w:val="en-US"/>
              </w:rPr>
              <w:t>Titre</w:t>
            </w:r>
            <w:proofErr w:type="spellEnd"/>
          </w:p>
        </w:tc>
      </w:tr>
      <w:tr w:rsidR="002A0CE0" w:rsidRPr="005E427C" w14:paraId="7CA38C4F" w14:textId="77777777" w:rsidTr="001C0477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4ACE90B1" w14:textId="77777777" w:rsidR="002A0CE0" w:rsidRPr="008E50E5" w:rsidRDefault="002A0CE0" w:rsidP="001C0477">
            <w:pPr>
              <w:spacing w:before="30" w:after="30"/>
              <w:ind w:left="57"/>
              <w:jc w:val="left"/>
              <w:rPr>
                <w:rFonts w:ascii="Times New Roman Bold" w:hAnsi="Times New Roman Bold"/>
                <w:b/>
                <w:bCs/>
                <w:sz w:val="20"/>
                <w:lang w:val="en-US"/>
              </w:rPr>
            </w:pPr>
            <w:r w:rsidRPr="008E50E5">
              <w:rPr>
                <w:rFonts w:ascii="Times New Roman Bold" w:hAnsi="Times New Roman Bold"/>
                <w:b/>
                <w:bCs/>
                <w:sz w:val="20"/>
                <w:lang w:val="en-US"/>
              </w:rPr>
              <w:t>BO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7191ACEA" w14:textId="77777777" w:rsidR="002A0CE0" w:rsidRPr="00A66700" w:rsidRDefault="002A0CE0" w:rsidP="001C047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</w:rPr>
            </w:pPr>
            <w:r w:rsidRPr="00A66700">
              <w:rPr>
                <w:b w:val="0"/>
                <w:sz w:val="20"/>
              </w:rPr>
              <w:t>Diffusion par satellite</w:t>
            </w:r>
          </w:p>
        </w:tc>
      </w:tr>
      <w:tr w:rsidR="002A0CE0" w:rsidRPr="002A0CE0" w14:paraId="3DE8B4FC" w14:textId="77777777" w:rsidTr="001C0477">
        <w:tc>
          <w:tcPr>
            <w:tcW w:w="1140" w:type="dxa"/>
            <w:tcBorders>
              <w:top w:val="nil"/>
              <w:bottom w:val="nil"/>
            </w:tcBorders>
          </w:tcPr>
          <w:p w14:paraId="294AA3EB" w14:textId="77777777" w:rsidR="002A0CE0" w:rsidRPr="00A66700" w:rsidRDefault="002A0CE0" w:rsidP="001C0477">
            <w:pPr>
              <w:spacing w:before="30" w:after="30"/>
              <w:ind w:left="57"/>
              <w:jc w:val="left"/>
              <w:rPr>
                <w:rFonts w:ascii="Times New Roman Bold" w:hAnsi="Times New Roman Bold"/>
                <w:b/>
                <w:bCs/>
                <w:sz w:val="20"/>
                <w:lang w:val="en-US"/>
              </w:rPr>
            </w:pPr>
            <w:r w:rsidRPr="00A66700">
              <w:rPr>
                <w:rFonts w:ascii="Times New Roman Bold" w:hAnsi="Times New Roman Bold"/>
                <w:b/>
                <w:bCs/>
                <w:sz w:val="20"/>
                <w:lang w:val="en-US"/>
              </w:rPr>
              <w:t>BR</w:t>
            </w:r>
          </w:p>
        </w:tc>
        <w:tc>
          <w:tcPr>
            <w:tcW w:w="8220" w:type="dxa"/>
            <w:tcBorders>
              <w:top w:val="nil"/>
              <w:bottom w:val="nil"/>
            </w:tcBorders>
          </w:tcPr>
          <w:p w14:paraId="2F7F3388" w14:textId="77777777" w:rsidR="002A0CE0" w:rsidRPr="002A0CE0" w:rsidRDefault="002A0CE0" w:rsidP="001C047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  <w:lang w:val="fr-CH"/>
              </w:rPr>
            </w:pPr>
            <w:r w:rsidRPr="002A0CE0">
              <w:rPr>
                <w:b w:val="0"/>
                <w:sz w:val="20"/>
                <w:lang w:val="fr-CH"/>
              </w:rPr>
              <w:t xml:space="preserve">Enregistrement pour la production, l'archivage et la </w:t>
            </w:r>
            <w:proofErr w:type="gramStart"/>
            <w:r w:rsidRPr="002A0CE0">
              <w:rPr>
                <w:b w:val="0"/>
                <w:sz w:val="20"/>
                <w:lang w:val="fr-CH"/>
              </w:rPr>
              <w:t>diffusion;</w:t>
            </w:r>
            <w:proofErr w:type="gramEnd"/>
            <w:r w:rsidRPr="002A0CE0">
              <w:rPr>
                <w:b w:val="0"/>
                <w:sz w:val="20"/>
                <w:lang w:val="fr-CH"/>
              </w:rPr>
              <w:t xml:space="preserve"> films pour la télévision</w:t>
            </w:r>
          </w:p>
        </w:tc>
      </w:tr>
      <w:tr w:rsidR="002A0CE0" w:rsidRPr="00E80F1D" w14:paraId="29A3CAF1" w14:textId="77777777" w:rsidTr="001C0477">
        <w:tc>
          <w:tcPr>
            <w:tcW w:w="1140" w:type="dxa"/>
            <w:tcBorders>
              <w:top w:val="nil"/>
              <w:bottom w:val="nil"/>
            </w:tcBorders>
            <w:shd w:val="clear" w:color="auto" w:fill="F3F3F3"/>
          </w:tcPr>
          <w:p w14:paraId="2373F374" w14:textId="77777777" w:rsidR="002A0CE0" w:rsidRPr="00A66700" w:rsidRDefault="002A0CE0" w:rsidP="001C0477">
            <w:pPr>
              <w:spacing w:before="30" w:after="30"/>
              <w:ind w:left="57"/>
              <w:jc w:val="left"/>
              <w:rPr>
                <w:b/>
                <w:bCs/>
                <w:color w:val="000080"/>
                <w:sz w:val="20"/>
                <w:lang w:val="en-US"/>
              </w:rPr>
            </w:pPr>
            <w:r w:rsidRPr="00A66700">
              <w:rPr>
                <w:b/>
                <w:bCs/>
                <w:color w:val="000080"/>
                <w:sz w:val="20"/>
                <w:lang w:val="en-US"/>
              </w:rPr>
              <w:t>BS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F3F3F3"/>
          </w:tcPr>
          <w:p w14:paraId="324F5CB1" w14:textId="77777777" w:rsidR="002A0CE0" w:rsidRPr="00A66700" w:rsidRDefault="002A0CE0" w:rsidP="001C047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rFonts w:ascii="Times New Roman Bold" w:hAnsi="Times New Roman Bold"/>
                <w:color w:val="000080"/>
                <w:sz w:val="20"/>
              </w:rPr>
            </w:pPr>
            <w:r w:rsidRPr="00A66700">
              <w:rPr>
                <w:rFonts w:ascii="Times New Roman Bold" w:hAnsi="Times New Roman Bold"/>
                <w:color w:val="000080"/>
                <w:sz w:val="20"/>
              </w:rPr>
              <w:t xml:space="preserve">Service de </w:t>
            </w:r>
            <w:proofErr w:type="spellStart"/>
            <w:r w:rsidRPr="00A66700">
              <w:rPr>
                <w:rFonts w:ascii="Times New Roman Bold" w:hAnsi="Times New Roman Bold"/>
                <w:color w:val="000080"/>
                <w:sz w:val="20"/>
              </w:rPr>
              <w:t>radiodiffusion</w:t>
            </w:r>
            <w:proofErr w:type="spellEnd"/>
            <w:r w:rsidRPr="00A66700">
              <w:rPr>
                <w:rFonts w:ascii="Times New Roman Bold" w:hAnsi="Times New Roman Bold"/>
                <w:color w:val="000080"/>
                <w:sz w:val="20"/>
              </w:rPr>
              <w:t xml:space="preserve"> </w:t>
            </w:r>
            <w:proofErr w:type="spellStart"/>
            <w:r w:rsidRPr="00A66700">
              <w:rPr>
                <w:rFonts w:ascii="Times New Roman Bold" w:hAnsi="Times New Roman Bold"/>
                <w:color w:val="000080"/>
                <w:sz w:val="20"/>
              </w:rPr>
              <w:t>sonore</w:t>
            </w:r>
            <w:proofErr w:type="spellEnd"/>
          </w:p>
        </w:tc>
      </w:tr>
      <w:tr w:rsidR="002A0CE0" w:rsidRPr="00ED2695" w14:paraId="5AC3550F" w14:textId="77777777" w:rsidTr="001C0477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0BAD54D3" w14:textId="77777777" w:rsidR="002A0CE0" w:rsidRPr="00614CC6" w:rsidRDefault="002A0CE0" w:rsidP="001C0477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614CC6">
              <w:rPr>
                <w:b/>
                <w:bCs/>
                <w:sz w:val="20"/>
                <w:lang w:val="en-US"/>
              </w:rPr>
              <w:t>BT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139BCAE4" w14:textId="77777777" w:rsidR="002A0CE0" w:rsidRPr="00A66700" w:rsidRDefault="002A0CE0" w:rsidP="001C047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</w:rPr>
            </w:pPr>
            <w:r w:rsidRPr="00A66700">
              <w:rPr>
                <w:b w:val="0"/>
                <w:sz w:val="20"/>
              </w:rPr>
              <w:t xml:space="preserve">Service de </w:t>
            </w:r>
            <w:proofErr w:type="spellStart"/>
            <w:r w:rsidRPr="00A66700">
              <w:rPr>
                <w:b w:val="0"/>
                <w:sz w:val="20"/>
              </w:rPr>
              <w:t>radiodiffusion</w:t>
            </w:r>
            <w:proofErr w:type="spellEnd"/>
            <w:r w:rsidRPr="00A66700">
              <w:rPr>
                <w:b w:val="0"/>
                <w:sz w:val="20"/>
              </w:rPr>
              <w:t xml:space="preserve"> </w:t>
            </w:r>
            <w:proofErr w:type="spellStart"/>
            <w:r w:rsidRPr="00A66700">
              <w:rPr>
                <w:b w:val="0"/>
                <w:sz w:val="20"/>
              </w:rPr>
              <w:t>télévisuelle</w:t>
            </w:r>
            <w:proofErr w:type="spellEnd"/>
          </w:p>
        </w:tc>
      </w:tr>
      <w:tr w:rsidR="002A0CE0" w:rsidRPr="00DE5EA2" w14:paraId="6017354A" w14:textId="77777777" w:rsidTr="001C0477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12A2FE30" w14:textId="77777777" w:rsidR="002A0CE0" w:rsidRPr="00DE5EA2" w:rsidRDefault="002A0CE0" w:rsidP="001C0477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fr-CH"/>
              </w:rPr>
            </w:pPr>
            <w:r w:rsidRPr="00DE5EA2">
              <w:rPr>
                <w:b/>
                <w:bCs/>
                <w:sz w:val="20"/>
                <w:lang w:val="fr-CH"/>
              </w:rPr>
              <w:t>F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11FE33D5" w14:textId="77777777" w:rsidR="002A0CE0" w:rsidRPr="00A66700" w:rsidRDefault="002A0CE0" w:rsidP="001C047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</w:rPr>
            </w:pPr>
            <w:r w:rsidRPr="00A66700">
              <w:rPr>
                <w:b w:val="0"/>
                <w:sz w:val="20"/>
              </w:rPr>
              <w:t>Service fixe</w:t>
            </w:r>
          </w:p>
        </w:tc>
      </w:tr>
      <w:tr w:rsidR="002A0CE0" w:rsidRPr="002A0CE0" w14:paraId="6B1D9AB8" w14:textId="77777777" w:rsidTr="001C0477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75643996" w14:textId="77777777" w:rsidR="002A0CE0" w:rsidRPr="00B21066" w:rsidRDefault="002A0CE0" w:rsidP="001C0477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B21066">
              <w:rPr>
                <w:b/>
                <w:bCs/>
                <w:sz w:val="20"/>
                <w:lang w:val="en-US"/>
              </w:rPr>
              <w:t>M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21022A4D" w14:textId="77777777" w:rsidR="002A0CE0" w:rsidRPr="002A0CE0" w:rsidRDefault="002A0CE0" w:rsidP="001C047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  <w:lang w:val="fr-CH"/>
              </w:rPr>
            </w:pPr>
            <w:proofErr w:type="gramStart"/>
            <w:r w:rsidRPr="002A0CE0">
              <w:rPr>
                <w:b w:val="0"/>
                <w:sz w:val="20"/>
                <w:lang w:val="fr-CH"/>
              </w:rPr>
              <w:t>Services mobile</w:t>
            </w:r>
            <w:proofErr w:type="gramEnd"/>
            <w:r w:rsidRPr="002A0CE0">
              <w:rPr>
                <w:b w:val="0"/>
                <w:sz w:val="20"/>
                <w:lang w:val="fr-CH"/>
              </w:rPr>
              <w:t>, de radiorepérage et d'amateur y compris les services par satellite associés</w:t>
            </w:r>
          </w:p>
        </w:tc>
      </w:tr>
      <w:tr w:rsidR="002A0CE0" w:rsidRPr="00EC361D" w14:paraId="19A35A66" w14:textId="77777777" w:rsidTr="001C0477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69C5815F" w14:textId="77777777" w:rsidR="002A0CE0" w:rsidRPr="00EC361D" w:rsidRDefault="002A0CE0" w:rsidP="001C0477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fr-CH"/>
              </w:rPr>
            </w:pPr>
            <w:r w:rsidRPr="00EC361D">
              <w:rPr>
                <w:b/>
                <w:bCs/>
                <w:sz w:val="20"/>
                <w:lang w:val="fr-CH"/>
              </w:rPr>
              <w:t>P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59011584" w14:textId="77777777" w:rsidR="002A0CE0" w:rsidRPr="00A66700" w:rsidRDefault="002A0CE0" w:rsidP="001C047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</w:rPr>
            </w:pPr>
            <w:r w:rsidRPr="00A66700">
              <w:rPr>
                <w:b w:val="0"/>
                <w:sz w:val="20"/>
              </w:rPr>
              <w:t xml:space="preserve">Propagation des </w:t>
            </w:r>
            <w:proofErr w:type="spellStart"/>
            <w:r w:rsidRPr="00A66700">
              <w:rPr>
                <w:b w:val="0"/>
                <w:sz w:val="20"/>
              </w:rPr>
              <w:t>ondes</w:t>
            </w:r>
            <w:proofErr w:type="spellEnd"/>
            <w:r w:rsidRPr="00A66700">
              <w:rPr>
                <w:b w:val="0"/>
                <w:sz w:val="20"/>
              </w:rPr>
              <w:t xml:space="preserve"> </w:t>
            </w:r>
            <w:proofErr w:type="spellStart"/>
            <w:r w:rsidRPr="00A66700">
              <w:rPr>
                <w:b w:val="0"/>
                <w:sz w:val="20"/>
              </w:rPr>
              <w:t>radioélectriques</w:t>
            </w:r>
            <w:proofErr w:type="spellEnd"/>
          </w:p>
        </w:tc>
      </w:tr>
      <w:tr w:rsidR="002A0CE0" w:rsidRPr="004822EF" w14:paraId="02C3D171" w14:textId="77777777" w:rsidTr="001C0477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2ACFAEAF" w14:textId="77777777" w:rsidR="002A0CE0" w:rsidRPr="004822EF" w:rsidRDefault="002A0CE0" w:rsidP="001C0477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4822EF">
              <w:rPr>
                <w:b/>
                <w:bCs/>
                <w:sz w:val="20"/>
                <w:lang w:val="en-US"/>
              </w:rPr>
              <w:t>RA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7C6D28D1" w14:textId="77777777" w:rsidR="002A0CE0" w:rsidRPr="00A66700" w:rsidRDefault="002A0CE0" w:rsidP="001C047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</w:rPr>
            </w:pPr>
            <w:r w:rsidRPr="00A66700">
              <w:rPr>
                <w:b w:val="0"/>
                <w:sz w:val="20"/>
              </w:rPr>
              <w:t xml:space="preserve">Radio </w:t>
            </w:r>
            <w:proofErr w:type="spellStart"/>
            <w:r w:rsidRPr="00A66700">
              <w:rPr>
                <w:b w:val="0"/>
                <w:sz w:val="20"/>
              </w:rPr>
              <w:t>astronomie</w:t>
            </w:r>
            <w:proofErr w:type="spellEnd"/>
          </w:p>
        </w:tc>
      </w:tr>
      <w:tr w:rsidR="002A0CE0" w:rsidRPr="00326525" w14:paraId="2B4F6F9E" w14:textId="77777777" w:rsidTr="001C0477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2D4684BD" w14:textId="77777777" w:rsidR="002A0CE0" w:rsidRPr="00326525" w:rsidRDefault="002A0CE0" w:rsidP="001C0477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326525">
              <w:rPr>
                <w:b/>
                <w:bCs/>
                <w:sz w:val="20"/>
                <w:lang w:val="en-US"/>
              </w:rPr>
              <w:t>RS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055F1258" w14:textId="77777777" w:rsidR="002A0CE0" w:rsidRPr="00A66700" w:rsidRDefault="002A0CE0" w:rsidP="001C047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</w:rPr>
            </w:pPr>
            <w:proofErr w:type="spellStart"/>
            <w:r w:rsidRPr="00A66700">
              <w:rPr>
                <w:b w:val="0"/>
                <w:sz w:val="20"/>
              </w:rPr>
              <w:t>Systèmes</w:t>
            </w:r>
            <w:proofErr w:type="spellEnd"/>
            <w:r w:rsidRPr="00A66700">
              <w:rPr>
                <w:b w:val="0"/>
                <w:sz w:val="20"/>
              </w:rPr>
              <w:t xml:space="preserve"> de </w:t>
            </w:r>
            <w:proofErr w:type="spellStart"/>
            <w:r w:rsidRPr="00A66700">
              <w:rPr>
                <w:b w:val="0"/>
                <w:sz w:val="20"/>
              </w:rPr>
              <w:t>télédétection</w:t>
            </w:r>
            <w:proofErr w:type="spellEnd"/>
          </w:p>
        </w:tc>
      </w:tr>
      <w:tr w:rsidR="002A0CE0" w:rsidRPr="00C40D3E" w14:paraId="28D684B5" w14:textId="77777777" w:rsidTr="001C0477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2179DC56" w14:textId="77777777" w:rsidR="002A0CE0" w:rsidRPr="00C40D3E" w:rsidRDefault="002A0CE0" w:rsidP="001C0477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C40D3E">
              <w:rPr>
                <w:b/>
                <w:bCs/>
                <w:sz w:val="20"/>
                <w:lang w:val="en-US"/>
              </w:rPr>
              <w:t>S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5B06A436" w14:textId="77777777" w:rsidR="002A0CE0" w:rsidRPr="00A66700" w:rsidRDefault="002A0CE0" w:rsidP="001C047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</w:rPr>
            </w:pPr>
            <w:r w:rsidRPr="00A66700">
              <w:rPr>
                <w:b w:val="0"/>
                <w:sz w:val="20"/>
              </w:rPr>
              <w:t>Service fixe par satellite</w:t>
            </w:r>
          </w:p>
        </w:tc>
      </w:tr>
      <w:tr w:rsidR="002A0CE0" w:rsidRPr="00C40D3E" w14:paraId="15151CDC" w14:textId="77777777" w:rsidTr="001C0477">
        <w:tc>
          <w:tcPr>
            <w:tcW w:w="11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ADEC78" w14:textId="77777777" w:rsidR="002A0CE0" w:rsidRPr="004F3F6F" w:rsidRDefault="002A0CE0" w:rsidP="001C0477">
            <w:pPr>
              <w:spacing w:before="30" w:after="30"/>
              <w:ind w:left="57"/>
              <w:jc w:val="left"/>
              <w:rPr>
                <w:rFonts w:ascii="Times New Roman Bold" w:hAnsi="Times New Roman Bold"/>
                <w:b/>
                <w:bCs/>
                <w:sz w:val="20"/>
                <w:lang w:val="en-US"/>
              </w:rPr>
            </w:pPr>
            <w:r w:rsidRPr="004F3F6F">
              <w:rPr>
                <w:rFonts w:ascii="Times New Roman Bold" w:hAnsi="Times New Roman Bold"/>
                <w:b/>
                <w:bCs/>
                <w:sz w:val="20"/>
                <w:lang w:val="en-US"/>
              </w:rPr>
              <w:t>SA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5593D4" w14:textId="77777777" w:rsidR="002A0CE0" w:rsidRPr="00A66700" w:rsidRDefault="002A0CE0" w:rsidP="001C047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</w:rPr>
            </w:pPr>
            <w:r w:rsidRPr="00A66700">
              <w:rPr>
                <w:b w:val="0"/>
                <w:sz w:val="20"/>
              </w:rPr>
              <w:t xml:space="preserve">Applications </w:t>
            </w:r>
            <w:proofErr w:type="spellStart"/>
            <w:r w:rsidRPr="00A66700">
              <w:rPr>
                <w:b w:val="0"/>
                <w:sz w:val="20"/>
              </w:rPr>
              <w:t>spatiales</w:t>
            </w:r>
            <w:proofErr w:type="spellEnd"/>
            <w:r w:rsidRPr="00A66700">
              <w:rPr>
                <w:b w:val="0"/>
                <w:sz w:val="20"/>
              </w:rPr>
              <w:t xml:space="preserve"> et </w:t>
            </w:r>
            <w:proofErr w:type="spellStart"/>
            <w:r w:rsidRPr="00A66700">
              <w:rPr>
                <w:b w:val="0"/>
                <w:sz w:val="20"/>
              </w:rPr>
              <w:t>météorologie</w:t>
            </w:r>
            <w:proofErr w:type="spellEnd"/>
          </w:p>
        </w:tc>
      </w:tr>
      <w:tr w:rsidR="002A0CE0" w:rsidRPr="002A0CE0" w14:paraId="382E9F21" w14:textId="77777777" w:rsidTr="001C0477">
        <w:tc>
          <w:tcPr>
            <w:tcW w:w="1140" w:type="dxa"/>
            <w:tcBorders>
              <w:top w:val="nil"/>
            </w:tcBorders>
          </w:tcPr>
          <w:p w14:paraId="6600EC87" w14:textId="77777777" w:rsidR="002A0CE0" w:rsidRPr="00614CC6" w:rsidRDefault="002A0CE0" w:rsidP="001C0477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614CC6">
              <w:rPr>
                <w:b/>
                <w:bCs/>
                <w:sz w:val="20"/>
                <w:lang w:val="en-US"/>
              </w:rPr>
              <w:t>SF</w:t>
            </w:r>
          </w:p>
        </w:tc>
        <w:tc>
          <w:tcPr>
            <w:tcW w:w="8220" w:type="dxa"/>
            <w:tcBorders>
              <w:top w:val="nil"/>
            </w:tcBorders>
          </w:tcPr>
          <w:p w14:paraId="4C7ED142" w14:textId="77777777" w:rsidR="002A0CE0" w:rsidRPr="002A0CE0" w:rsidRDefault="002A0CE0" w:rsidP="001C047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  <w:lang w:val="fr-CH"/>
              </w:rPr>
            </w:pPr>
            <w:r w:rsidRPr="002A0CE0">
              <w:rPr>
                <w:b w:val="0"/>
                <w:sz w:val="20"/>
                <w:lang w:val="fr-CH"/>
              </w:rPr>
              <w:t>Partage des fréquences et coordination entre les systèmes du service fixe par satellite et du service fixe</w:t>
            </w:r>
          </w:p>
        </w:tc>
      </w:tr>
      <w:tr w:rsidR="002A0CE0" w:rsidRPr="00036EE3" w14:paraId="784BFA1F" w14:textId="77777777" w:rsidTr="001C0477">
        <w:tc>
          <w:tcPr>
            <w:tcW w:w="1140" w:type="dxa"/>
            <w:shd w:val="clear" w:color="auto" w:fill="auto"/>
          </w:tcPr>
          <w:p w14:paraId="6F9B79C5" w14:textId="77777777" w:rsidR="002A0CE0" w:rsidRPr="00592F9F" w:rsidRDefault="002A0CE0" w:rsidP="001C0477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592F9F">
              <w:rPr>
                <w:b/>
                <w:bCs/>
                <w:sz w:val="20"/>
                <w:lang w:val="en-US"/>
              </w:rPr>
              <w:t>SM</w:t>
            </w:r>
          </w:p>
        </w:tc>
        <w:tc>
          <w:tcPr>
            <w:tcW w:w="8220" w:type="dxa"/>
            <w:shd w:val="clear" w:color="auto" w:fill="auto"/>
          </w:tcPr>
          <w:p w14:paraId="3A9B7107" w14:textId="77777777" w:rsidR="002A0CE0" w:rsidRPr="00A66700" w:rsidRDefault="002A0CE0" w:rsidP="001C047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</w:rPr>
            </w:pPr>
            <w:r w:rsidRPr="00A66700">
              <w:rPr>
                <w:b w:val="0"/>
                <w:sz w:val="20"/>
              </w:rPr>
              <w:t>Gestion du spectre</w:t>
            </w:r>
          </w:p>
        </w:tc>
      </w:tr>
      <w:tr w:rsidR="002A0CE0" w:rsidRPr="00036EE3" w14:paraId="6067BEC3" w14:textId="77777777" w:rsidTr="001C0477">
        <w:tc>
          <w:tcPr>
            <w:tcW w:w="1140" w:type="dxa"/>
          </w:tcPr>
          <w:p w14:paraId="15C77CA3" w14:textId="77777777" w:rsidR="002A0CE0" w:rsidRPr="00614CC6" w:rsidRDefault="002A0CE0" w:rsidP="001C0477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614CC6">
              <w:rPr>
                <w:b/>
                <w:bCs/>
                <w:sz w:val="20"/>
                <w:lang w:val="en-US"/>
              </w:rPr>
              <w:t>SNG</w:t>
            </w:r>
          </w:p>
        </w:tc>
        <w:tc>
          <w:tcPr>
            <w:tcW w:w="8220" w:type="dxa"/>
          </w:tcPr>
          <w:p w14:paraId="210538FB" w14:textId="77777777" w:rsidR="002A0CE0" w:rsidRPr="00A66700" w:rsidRDefault="002A0CE0" w:rsidP="001C047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</w:rPr>
            </w:pPr>
            <w:r w:rsidRPr="00A66700">
              <w:rPr>
                <w:b w:val="0"/>
                <w:sz w:val="20"/>
              </w:rPr>
              <w:t xml:space="preserve">Reportage </w:t>
            </w:r>
            <w:proofErr w:type="spellStart"/>
            <w:r w:rsidRPr="00A66700">
              <w:rPr>
                <w:b w:val="0"/>
                <w:sz w:val="20"/>
              </w:rPr>
              <w:t>d'actualités</w:t>
            </w:r>
            <w:proofErr w:type="spellEnd"/>
            <w:r w:rsidRPr="00A66700">
              <w:rPr>
                <w:b w:val="0"/>
                <w:sz w:val="20"/>
              </w:rPr>
              <w:t xml:space="preserve"> par satellite</w:t>
            </w:r>
          </w:p>
        </w:tc>
      </w:tr>
      <w:tr w:rsidR="002A0CE0" w:rsidRPr="002A0CE0" w14:paraId="7032FAB7" w14:textId="77777777" w:rsidTr="001C0477">
        <w:tc>
          <w:tcPr>
            <w:tcW w:w="1140" w:type="dxa"/>
          </w:tcPr>
          <w:p w14:paraId="070E26EB" w14:textId="77777777" w:rsidR="002A0CE0" w:rsidRPr="00710A2A" w:rsidRDefault="002A0CE0" w:rsidP="001C0477">
            <w:pPr>
              <w:spacing w:before="30" w:after="30"/>
              <w:ind w:left="57"/>
              <w:jc w:val="left"/>
              <w:rPr>
                <w:rFonts w:ascii="Times New Roman Bold" w:hAnsi="Times New Roman Bold"/>
                <w:b/>
                <w:bCs/>
                <w:sz w:val="20"/>
                <w:lang w:val="en-US"/>
              </w:rPr>
            </w:pPr>
            <w:r w:rsidRPr="00710A2A">
              <w:rPr>
                <w:rFonts w:ascii="Times New Roman Bold" w:hAnsi="Times New Roman Bold"/>
                <w:b/>
                <w:bCs/>
                <w:sz w:val="20"/>
                <w:lang w:val="en-US"/>
              </w:rPr>
              <w:t>TF</w:t>
            </w:r>
          </w:p>
        </w:tc>
        <w:tc>
          <w:tcPr>
            <w:tcW w:w="8220" w:type="dxa"/>
          </w:tcPr>
          <w:p w14:paraId="44F7C450" w14:textId="77777777" w:rsidR="002A0CE0" w:rsidRPr="002A0CE0" w:rsidRDefault="002A0CE0" w:rsidP="001C047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  <w:lang w:val="fr-CH"/>
              </w:rPr>
            </w:pPr>
            <w:proofErr w:type="spellStart"/>
            <w:r w:rsidRPr="002A0CE0">
              <w:rPr>
                <w:b w:val="0"/>
                <w:sz w:val="20"/>
                <w:lang w:val="fr-CH"/>
              </w:rPr>
              <w:t>Emissions</w:t>
            </w:r>
            <w:proofErr w:type="spellEnd"/>
            <w:r w:rsidRPr="002A0CE0">
              <w:rPr>
                <w:b w:val="0"/>
                <w:sz w:val="20"/>
                <w:lang w:val="fr-CH"/>
              </w:rPr>
              <w:t xml:space="preserve"> de fréquences étalon et de signaux horaires</w:t>
            </w:r>
          </w:p>
        </w:tc>
      </w:tr>
      <w:tr w:rsidR="002A0CE0" w:rsidRPr="00036EE3" w14:paraId="6FB7FE21" w14:textId="77777777" w:rsidTr="001C0477">
        <w:tc>
          <w:tcPr>
            <w:tcW w:w="1140" w:type="dxa"/>
          </w:tcPr>
          <w:p w14:paraId="6EC92D86" w14:textId="77777777" w:rsidR="002A0CE0" w:rsidRPr="00614CC6" w:rsidRDefault="002A0CE0" w:rsidP="001C0477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614CC6">
              <w:rPr>
                <w:b/>
                <w:bCs/>
                <w:sz w:val="20"/>
                <w:lang w:val="en-US"/>
              </w:rPr>
              <w:t>V</w:t>
            </w:r>
          </w:p>
        </w:tc>
        <w:tc>
          <w:tcPr>
            <w:tcW w:w="8220" w:type="dxa"/>
          </w:tcPr>
          <w:p w14:paraId="36E44F03" w14:textId="77777777" w:rsidR="002A0CE0" w:rsidRPr="00A66700" w:rsidRDefault="002A0CE0" w:rsidP="001C047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140"/>
              <w:jc w:val="left"/>
              <w:rPr>
                <w:b w:val="0"/>
                <w:sz w:val="20"/>
              </w:rPr>
            </w:pPr>
            <w:proofErr w:type="spellStart"/>
            <w:r w:rsidRPr="00A66700">
              <w:rPr>
                <w:b w:val="0"/>
                <w:sz w:val="20"/>
              </w:rPr>
              <w:t>Vocabulaire</w:t>
            </w:r>
            <w:proofErr w:type="spellEnd"/>
            <w:r w:rsidRPr="00A66700">
              <w:rPr>
                <w:b w:val="0"/>
                <w:sz w:val="20"/>
              </w:rPr>
              <w:t xml:space="preserve"> et </w:t>
            </w:r>
            <w:proofErr w:type="spellStart"/>
            <w:r w:rsidRPr="00A66700">
              <w:rPr>
                <w:b w:val="0"/>
                <w:sz w:val="20"/>
              </w:rPr>
              <w:t>sujets</w:t>
            </w:r>
            <w:proofErr w:type="spellEnd"/>
            <w:r w:rsidRPr="00A66700">
              <w:rPr>
                <w:b w:val="0"/>
                <w:sz w:val="20"/>
              </w:rPr>
              <w:t xml:space="preserve"> </w:t>
            </w:r>
            <w:proofErr w:type="spellStart"/>
            <w:r w:rsidRPr="00A66700">
              <w:rPr>
                <w:b w:val="0"/>
                <w:sz w:val="20"/>
              </w:rPr>
              <w:t>associés</w:t>
            </w:r>
            <w:proofErr w:type="spellEnd"/>
          </w:p>
        </w:tc>
      </w:tr>
    </w:tbl>
    <w:p w14:paraId="009D223E" w14:textId="77777777" w:rsidR="002A0CE0" w:rsidRPr="00036EE3" w:rsidRDefault="002A0CE0" w:rsidP="002A0CE0">
      <w:pPr>
        <w:spacing w:before="0"/>
        <w:jc w:val="center"/>
        <w:rPr>
          <w:sz w:val="20"/>
          <w:lang w:val="en-US"/>
        </w:rPr>
      </w:pPr>
    </w:p>
    <w:p w14:paraId="27374784" w14:textId="77777777" w:rsidR="002A0CE0" w:rsidRPr="00036EE3" w:rsidRDefault="002A0CE0" w:rsidP="002A0CE0">
      <w:pPr>
        <w:spacing w:before="0"/>
        <w:ind w:left="180"/>
        <w:jc w:val="center"/>
        <w:rPr>
          <w:sz w:val="22"/>
          <w:lang w:val="en-US"/>
        </w:rPr>
      </w:pPr>
    </w:p>
    <w:tbl>
      <w:tblPr>
        <w:tblW w:w="5000" w:type="pct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1E0" w:firstRow="1" w:lastRow="1" w:firstColumn="1" w:lastColumn="1" w:noHBand="0" w:noVBand="0"/>
      </w:tblPr>
      <w:tblGrid>
        <w:gridCol w:w="9609"/>
      </w:tblGrid>
      <w:tr w:rsidR="002A0CE0" w:rsidRPr="002A0CE0" w14:paraId="5FBDB06E" w14:textId="77777777" w:rsidTr="001C0477">
        <w:tc>
          <w:tcPr>
            <w:tcW w:w="9360" w:type="dxa"/>
          </w:tcPr>
          <w:p w14:paraId="0EBF6621" w14:textId="77777777" w:rsidR="002A0CE0" w:rsidRPr="002A0CE0" w:rsidRDefault="002A0CE0" w:rsidP="001C0477">
            <w:pPr>
              <w:spacing w:before="80" w:after="80"/>
              <w:rPr>
                <w:i/>
                <w:iCs/>
                <w:sz w:val="20"/>
                <w:lang w:val="fr-CH"/>
              </w:rPr>
            </w:pPr>
            <w:proofErr w:type="gramStart"/>
            <w:r w:rsidRPr="002A0CE0">
              <w:rPr>
                <w:b/>
                <w:bCs/>
                <w:i/>
                <w:iCs/>
                <w:sz w:val="20"/>
                <w:lang w:val="fr-CH"/>
              </w:rPr>
              <w:t>Note</w:t>
            </w:r>
            <w:r w:rsidRPr="002A0CE0">
              <w:rPr>
                <w:i/>
                <w:iCs/>
                <w:sz w:val="20"/>
                <w:lang w:val="fr-CH"/>
              </w:rPr>
              <w:t>:</w:t>
            </w:r>
            <w:proofErr w:type="gramEnd"/>
            <w:r w:rsidRPr="002A0CE0">
              <w:rPr>
                <w:i/>
                <w:iCs/>
                <w:sz w:val="20"/>
                <w:lang w:val="fr-CH"/>
              </w:rPr>
              <w:t xml:space="preserve"> Cette Recommandation UIT-R a été approuvée en anglais aux termes de la procédure détaillée dans la Résolution UIT-R 1. </w:t>
            </w:r>
          </w:p>
        </w:tc>
      </w:tr>
    </w:tbl>
    <w:p w14:paraId="0B264325" w14:textId="77777777" w:rsidR="002A0CE0" w:rsidRPr="002A0CE0" w:rsidRDefault="002A0CE0" w:rsidP="002A0CE0">
      <w:pPr>
        <w:spacing w:before="0"/>
        <w:jc w:val="center"/>
        <w:rPr>
          <w:sz w:val="22"/>
          <w:lang w:val="fr-CH"/>
        </w:rPr>
      </w:pPr>
    </w:p>
    <w:p w14:paraId="55EA8FB2" w14:textId="77777777" w:rsidR="002A0CE0" w:rsidRPr="002A0CE0" w:rsidRDefault="002A0CE0" w:rsidP="002A0CE0">
      <w:pPr>
        <w:spacing w:before="100"/>
        <w:jc w:val="right"/>
        <w:rPr>
          <w:i/>
          <w:iCs/>
          <w:sz w:val="20"/>
          <w:lang w:val="fr-CH"/>
        </w:rPr>
      </w:pPr>
      <w:r w:rsidRPr="002A0CE0">
        <w:rPr>
          <w:i/>
          <w:iCs/>
          <w:sz w:val="20"/>
          <w:lang w:val="fr-CH"/>
        </w:rPr>
        <w:t>Publication électronique</w:t>
      </w:r>
    </w:p>
    <w:p w14:paraId="229794C7" w14:textId="7F92D77E" w:rsidR="002A0CE0" w:rsidRPr="002A0CE0" w:rsidRDefault="002A0CE0" w:rsidP="002A0CE0">
      <w:pPr>
        <w:spacing w:before="0"/>
        <w:jc w:val="right"/>
        <w:rPr>
          <w:sz w:val="20"/>
          <w:lang w:val="fr-CH"/>
        </w:rPr>
      </w:pPr>
      <w:r w:rsidRPr="002A0CE0">
        <w:rPr>
          <w:sz w:val="20"/>
          <w:lang w:val="fr-CH"/>
        </w:rPr>
        <w:t>Genève, 202</w:t>
      </w:r>
      <w:r>
        <w:rPr>
          <w:sz w:val="20"/>
          <w:lang w:val="fr-CH"/>
        </w:rPr>
        <w:t>4</w:t>
      </w:r>
    </w:p>
    <w:p w14:paraId="2C336C76" w14:textId="2C3157C3" w:rsidR="002A0CE0" w:rsidRPr="002A0CE0" w:rsidRDefault="002A0CE0" w:rsidP="002A0CE0">
      <w:pPr>
        <w:spacing w:before="200"/>
        <w:jc w:val="center"/>
        <w:rPr>
          <w:sz w:val="20"/>
          <w:lang w:val="fr-CH"/>
        </w:rPr>
      </w:pPr>
      <w:r w:rsidRPr="00470E28">
        <w:rPr>
          <w:sz w:val="20"/>
          <w:lang w:val="en-US"/>
        </w:rPr>
        <w:sym w:font="Symbol" w:char="F0E3"/>
      </w:r>
      <w:r w:rsidRPr="002A0CE0">
        <w:rPr>
          <w:sz w:val="20"/>
          <w:lang w:val="fr-CH"/>
        </w:rPr>
        <w:t xml:space="preserve"> UIT </w:t>
      </w:r>
      <w:bookmarkStart w:id="1" w:name="iiannee"/>
      <w:bookmarkEnd w:id="1"/>
      <w:r w:rsidRPr="002A0CE0">
        <w:rPr>
          <w:sz w:val="20"/>
          <w:lang w:val="fr-CH"/>
        </w:rPr>
        <w:t>202</w:t>
      </w:r>
      <w:r>
        <w:rPr>
          <w:sz w:val="20"/>
          <w:lang w:val="fr-CH"/>
        </w:rPr>
        <w:t>4</w:t>
      </w:r>
    </w:p>
    <w:p w14:paraId="4BD4C05C" w14:textId="77777777" w:rsidR="002A0CE0" w:rsidRPr="002A0CE0" w:rsidRDefault="002A0CE0" w:rsidP="002A0CE0">
      <w:pPr>
        <w:rPr>
          <w:sz w:val="18"/>
          <w:szCs w:val="18"/>
          <w:lang w:val="fr-CH"/>
        </w:rPr>
      </w:pPr>
      <w:r w:rsidRPr="002A0CE0">
        <w:rPr>
          <w:sz w:val="18"/>
          <w:szCs w:val="18"/>
          <w:lang w:val="fr-CH"/>
        </w:rPr>
        <w:t>Tous droits réservés. Aucune partie de cette publication ne peut être reproduite, par quelque procédé que ce soit, sans l’accord écrit préalable de l’UIT.</w:t>
      </w:r>
    </w:p>
    <w:p w14:paraId="3BE46CED" w14:textId="77777777" w:rsidR="002A0CE0" w:rsidRPr="002A0CE0" w:rsidRDefault="002A0CE0" w:rsidP="002A0CE0">
      <w:pPr>
        <w:spacing w:before="160"/>
        <w:rPr>
          <w:i/>
          <w:sz w:val="20"/>
          <w:lang w:val="fr-CH"/>
        </w:rPr>
        <w:sectPr w:rsidR="002A0CE0" w:rsidRPr="002A0CE0" w:rsidSect="002A0CE0">
          <w:headerReference w:type="even" r:id="rId11"/>
          <w:headerReference w:type="default" r:id="rId12"/>
          <w:pgSz w:w="11907" w:h="16834" w:code="9"/>
          <w:pgMar w:top="1418" w:right="1134" w:bottom="1134" w:left="1134" w:header="720" w:footer="482" w:gutter="0"/>
          <w:paperSrc w:first="15" w:other="15"/>
          <w:pgNumType w:fmt="lowerRoman" w:start="2"/>
          <w:cols w:space="720"/>
        </w:sectPr>
      </w:pPr>
    </w:p>
    <w:p w14:paraId="4533A254" w14:textId="3324EBE1" w:rsidR="002A0CE0" w:rsidRPr="002A0CE0" w:rsidRDefault="002A0CE0" w:rsidP="002A0CE0">
      <w:pPr>
        <w:pStyle w:val="RecNo"/>
        <w:spacing w:before="0"/>
        <w:rPr>
          <w:lang w:val="fr-CH"/>
        </w:rPr>
      </w:pPr>
      <w:bookmarkStart w:id="2" w:name="irecnoe"/>
      <w:bookmarkEnd w:id="2"/>
      <w:proofErr w:type="gramStart"/>
      <w:r w:rsidRPr="002A0CE0">
        <w:rPr>
          <w:lang w:val="fr-CH"/>
        </w:rPr>
        <w:lastRenderedPageBreak/>
        <w:t xml:space="preserve">RECOMMANDATION  </w:t>
      </w:r>
      <w:r w:rsidRPr="002A0CE0">
        <w:rPr>
          <w:rStyle w:val="href"/>
          <w:lang w:val="fr-CH"/>
        </w:rPr>
        <w:t>UIT</w:t>
      </w:r>
      <w:proofErr w:type="gramEnd"/>
      <w:r w:rsidRPr="002A0CE0">
        <w:rPr>
          <w:rStyle w:val="href"/>
          <w:lang w:val="fr-CH"/>
        </w:rPr>
        <w:t>-R  BS.</w:t>
      </w:r>
      <w:r w:rsidRPr="002A0CE0">
        <w:rPr>
          <w:rStyle w:val="href"/>
          <w:lang w:val="fr-CH"/>
        </w:rPr>
        <w:t>1423-1</w:t>
      </w:r>
    </w:p>
    <w:p w14:paraId="026F83A5" w14:textId="77777777" w:rsidR="002A0CE0" w:rsidRPr="007D1822" w:rsidRDefault="002A0CE0" w:rsidP="002A0CE0">
      <w:pPr>
        <w:pStyle w:val="Rectitle"/>
        <w:rPr>
          <w:lang w:val="fr-FR"/>
        </w:rPr>
      </w:pPr>
      <w:r w:rsidRPr="007D1822">
        <w:rPr>
          <w:lang w:val="fr-FR"/>
        </w:rPr>
        <w:t>Principes directeurs relatifs à la production de pistes</w:t>
      </w:r>
      <w:r w:rsidRPr="007D1822">
        <w:rPr>
          <w:lang w:val="fr-FR"/>
        </w:rPr>
        <w:br/>
        <w:t>sonores multicanaux à l'aide de techniques</w:t>
      </w:r>
      <w:r w:rsidRPr="007D1822">
        <w:rPr>
          <w:lang w:val="fr-FR"/>
        </w:rPr>
        <w:br/>
        <w:t>sonores ambiophoniques matricielles</w:t>
      </w:r>
    </w:p>
    <w:p w14:paraId="0B19FEA7" w14:textId="77777777" w:rsidR="002A0CE0" w:rsidRPr="007D1822" w:rsidRDefault="002A0CE0" w:rsidP="002A0CE0">
      <w:pPr>
        <w:pStyle w:val="Recdate"/>
        <w:rPr>
          <w:i/>
          <w:lang w:val="fr-FR"/>
        </w:rPr>
      </w:pPr>
      <w:r w:rsidRPr="007D1822">
        <w:rPr>
          <w:lang w:val="fr-FR"/>
        </w:rPr>
        <w:t>(1999-</w:t>
      </w:r>
      <w:r w:rsidRPr="005A1735">
        <w:rPr>
          <w:lang w:val="fr-CH"/>
        </w:rPr>
        <w:t>2023</w:t>
      </w:r>
      <w:r w:rsidRPr="007D1822">
        <w:rPr>
          <w:lang w:val="fr-FR"/>
        </w:rPr>
        <w:t>)</w:t>
      </w:r>
    </w:p>
    <w:p w14:paraId="7F4AF880" w14:textId="77777777" w:rsidR="002A0CE0" w:rsidRPr="005A1735" w:rsidRDefault="002A0CE0" w:rsidP="002A0CE0">
      <w:pPr>
        <w:pStyle w:val="HeadingSum"/>
        <w:rPr>
          <w:lang w:val="fr-CH"/>
        </w:rPr>
      </w:pPr>
      <w:r w:rsidRPr="005A1735">
        <w:rPr>
          <w:lang w:val="fr-CH"/>
        </w:rPr>
        <w:t>Champ d'application</w:t>
      </w:r>
    </w:p>
    <w:p w14:paraId="7A2C414B" w14:textId="77777777" w:rsidR="002A0CE0" w:rsidRPr="005A1735" w:rsidRDefault="002A0CE0" w:rsidP="002A0CE0">
      <w:pPr>
        <w:pStyle w:val="Summary"/>
        <w:rPr>
          <w:lang w:val="fr-CH"/>
        </w:rPr>
      </w:pPr>
      <w:r w:rsidRPr="005A1735">
        <w:rPr>
          <w:lang w:val="fr-CH"/>
        </w:rPr>
        <w:t xml:space="preserve">La présente Recommandation décrit une méthode pour produire des pistes sonores multicanaux fondées sur </w:t>
      </w:r>
      <w:proofErr w:type="gramStart"/>
      <w:r w:rsidRPr="005A1735">
        <w:rPr>
          <w:lang w:val="fr-CH"/>
        </w:rPr>
        <w:t>le</w:t>
      </w:r>
      <w:proofErr w:type="gramEnd"/>
      <w:r w:rsidRPr="005A1735">
        <w:rPr>
          <w:lang w:val="fr-CH"/>
        </w:rPr>
        <w:t xml:space="preserve"> format 3/2 à l'aide de techniques sonores ambiophoniques matricielles.</w:t>
      </w:r>
    </w:p>
    <w:p w14:paraId="0ED1E671" w14:textId="77777777" w:rsidR="002A0CE0" w:rsidRPr="007D1822" w:rsidRDefault="002A0CE0" w:rsidP="002A0CE0">
      <w:pPr>
        <w:pStyle w:val="Headingb"/>
        <w:rPr>
          <w:lang w:val="fr-FR"/>
        </w:rPr>
      </w:pPr>
      <w:r w:rsidRPr="007D1822">
        <w:rPr>
          <w:lang w:val="fr-FR"/>
        </w:rPr>
        <w:t>Mots-clés</w:t>
      </w:r>
    </w:p>
    <w:p w14:paraId="25822AD5" w14:textId="77777777" w:rsidR="002A0CE0" w:rsidRPr="007D1822" w:rsidRDefault="002A0CE0" w:rsidP="002A0CE0">
      <w:pPr>
        <w:rPr>
          <w:lang w:val="fr-FR"/>
        </w:rPr>
      </w:pPr>
      <w:r w:rsidRPr="007D1822">
        <w:rPr>
          <w:lang w:val="fr-FR"/>
        </w:rPr>
        <w:t>Système sonore multicanal au format 3/2, techniques sonores ambiophoniques matricielles.</w:t>
      </w:r>
    </w:p>
    <w:p w14:paraId="0DB2068C" w14:textId="77777777" w:rsidR="002A0CE0" w:rsidRPr="007D1822" w:rsidRDefault="002A0CE0" w:rsidP="002A0CE0">
      <w:pPr>
        <w:pStyle w:val="Normalaftertitle"/>
        <w:rPr>
          <w:lang w:val="fr-FR"/>
        </w:rPr>
      </w:pPr>
      <w:r w:rsidRPr="007D1822">
        <w:rPr>
          <w:lang w:val="fr-FR"/>
        </w:rPr>
        <w:t>L'Assemblée des radiocommunications de l'UIT,</w:t>
      </w:r>
    </w:p>
    <w:p w14:paraId="01B1E22F" w14:textId="77777777" w:rsidR="002A0CE0" w:rsidRPr="007D1822" w:rsidRDefault="002A0CE0" w:rsidP="002A0CE0">
      <w:pPr>
        <w:pStyle w:val="Call"/>
        <w:rPr>
          <w:lang w:val="fr-FR"/>
        </w:rPr>
      </w:pPr>
      <w:proofErr w:type="gramStart"/>
      <w:r w:rsidRPr="007D1822">
        <w:rPr>
          <w:lang w:val="fr-FR"/>
        </w:rPr>
        <w:t>considérant</w:t>
      </w:r>
      <w:proofErr w:type="gramEnd"/>
    </w:p>
    <w:p w14:paraId="203ED6D4" w14:textId="77777777" w:rsidR="002A0CE0" w:rsidRPr="007D1822" w:rsidRDefault="002A0CE0" w:rsidP="002A0CE0">
      <w:pPr>
        <w:rPr>
          <w:lang w:val="fr-FR"/>
        </w:rPr>
      </w:pPr>
      <w:r w:rsidRPr="007D1822">
        <w:rPr>
          <w:i/>
          <w:iCs/>
          <w:lang w:val="fr-FR"/>
        </w:rPr>
        <w:t>a)</w:t>
      </w:r>
      <w:r w:rsidRPr="007D1822">
        <w:rPr>
          <w:lang w:val="fr-FR"/>
        </w:rPr>
        <w:tab/>
        <w:t xml:space="preserve">qu'un nombre important et de plus en plus grand de films cinématographiques de 35 mm sont produits avec son </w:t>
      </w:r>
      <w:proofErr w:type="gramStart"/>
      <w:r w:rsidRPr="007D1822">
        <w:rPr>
          <w:lang w:val="fr-FR"/>
        </w:rPr>
        <w:t>multicanaux;</w:t>
      </w:r>
      <w:proofErr w:type="gramEnd"/>
    </w:p>
    <w:p w14:paraId="25C44DE0" w14:textId="77777777" w:rsidR="002A0CE0" w:rsidRPr="007D1822" w:rsidRDefault="002A0CE0" w:rsidP="002A0CE0">
      <w:pPr>
        <w:rPr>
          <w:lang w:val="fr-FR"/>
        </w:rPr>
      </w:pPr>
      <w:r w:rsidRPr="007D1822">
        <w:rPr>
          <w:i/>
          <w:iCs/>
          <w:lang w:val="fr-FR"/>
        </w:rPr>
        <w:t>b)</w:t>
      </w:r>
      <w:r w:rsidRPr="007D1822">
        <w:rPr>
          <w:lang w:val="fr-FR"/>
        </w:rPr>
        <w:tab/>
        <w:t xml:space="preserve">que le format Dolby </w:t>
      </w:r>
      <w:proofErr w:type="spellStart"/>
      <w:r w:rsidRPr="007D1822">
        <w:rPr>
          <w:lang w:val="fr-FR"/>
        </w:rPr>
        <w:t>Surround</w:t>
      </w:r>
      <w:proofErr w:type="spellEnd"/>
      <w:r w:rsidRPr="007D1822">
        <w:rPr>
          <w:lang w:val="fr-FR"/>
        </w:rPr>
        <w:t xml:space="preserve"> a été créé afin de permettre d'acheminer le son multicanaux d'accompagnement de films cinématographiques sur un support de diffusion </w:t>
      </w:r>
      <w:proofErr w:type="spellStart"/>
      <w:proofErr w:type="gramStart"/>
      <w:r w:rsidRPr="007D1822">
        <w:rPr>
          <w:lang w:val="fr-FR"/>
        </w:rPr>
        <w:t>bicanal</w:t>
      </w:r>
      <w:proofErr w:type="spellEnd"/>
      <w:r w:rsidRPr="007D1822">
        <w:rPr>
          <w:lang w:val="fr-FR"/>
        </w:rPr>
        <w:t>;</w:t>
      </w:r>
      <w:proofErr w:type="gramEnd"/>
    </w:p>
    <w:p w14:paraId="76EC4018" w14:textId="77777777" w:rsidR="002A0CE0" w:rsidRPr="007D1822" w:rsidRDefault="002A0CE0" w:rsidP="002A0CE0">
      <w:pPr>
        <w:rPr>
          <w:lang w:val="fr-FR"/>
        </w:rPr>
      </w:pPr>
      <w:r w:rsidRPr="007D1822">
        <w:rPr>
          <w:i/>
          <w:iCs/>
          <w:lang w:val="fr-FR"/>
        </w:rPr>
        <w:t>c)</w:t>
      </w:r>
      <w:r w:rsidRPr="007D1822">
        <w:rPr>
          <w:lang w:val="fr-FR"/>
        </w:rPr>
        <w:tab/>
        <w:t xml:space="preserve">que le format Dolby </w:t>
      </w:r>
      <w:proofErr w:type="spellStart"/>
      <w:r w:rsidRPr="007D1822">
        <w:rPr>
          <w:lang w:val="fr-FR"/>
        </w:rPr>
        <w:t>Surround</w:t>
      </w:r>
      <w:proofErr w:type="spellEnd"/>
      <w:r w:rsidRPr="007D1822">
        <w:rPr>
          <w:lang w:val="fr-FR"/>
        </w:rPr>
        <w:t xml:space="preserve"> s'est développé sur une large échelle et qu'il est aujourd'hui disponible dans de nombreux </w:t>
      </w:r>
      <w:proofErr w:type="gramStart"/>
      <w:r w:rsidRPr="007D1822">
        <w:rPr>
          <w:lang w:val="fr-FR"/>
        </w:rPr>
        <w:t>foyers;</w:t>
      </w:r>
      <w:proofErr w:type="gramEnd"/>
    </w:p>
    <w:p w14:paraId="6063E1FC" w14:textId="77777777" w:rsidR="002A0CE0" w:rsidRPr="007D1822" w:rsidRDefault="002A0CE0" w:rsidP="002A0CE0">
      <w:pPr>
        <w:rPr>
          <w:lang w:val="fr-FR"/>
        </w:rPr>
      </w:pPr>
      <w:r w:rsidRPr="007D1822">
        <w:rPr>
          <w:i/>
          <w:iCs/>
          <w:lang w:val="fr-FR"/>
        </w:rPr>
        <w:t>d)</w:t>
      </w:r>
      <w:r w:rsidRPr="007D1822">
        <w:rPr>
          <w:lang w:val="fr-FR"/>
        </w:rPr>
        <w:tab/>
        <w:t xml:space="preserve">qu'un grand nombre de radiodiffuseurs diffusent actuellement ou envisagent de diffuser aux téléspectateurs ces films employant le système Dolby </w:t>
      </w:r>
      <w:proofErr w:type="spellStart"/>
      <w:proofErr w:type="gramStart"/>
      <w:r w:rsidRPr="007D1822">
        <w:rPr>
          <w:lang w:val="fr-FR"/>
        </w:rPr>
        <w:t>Surround</w:t>
      </w:r>
      <w:proofErr w:type="spellEnd"/>
      <w:r w:rsidRPr="007D1822">
        <w:rPr>
          <w:lang w:val="fr-FR"/>
        </w:rPr>
        <w:t>;</w:t>
      </w:r>
      <w:proofErr w:type="gramEnd"/>
    </w:p>
    <w:p w14:paraId="72E177C1" w14:textId="77777777" w:rsidR="002A0CE0" w:rsidRPr="007D1822" w:rsidRDefault="002A0CE0" w:rsidP="002A0CE0">
      <w:pPr>
        <w:rPr>
          <w:lang w:val="fr-FR"/>
        </w:rPr>
      </w:pPr>
      <w:r w:rsidRPr="007D1822">
        <w:rPr>
          <w:i/>
          <w:iCs/>
          <w:lang w:val="fr-FR"/>
        </w:rPr>
        <w:t>e)</w:t>
      </w:r>
      <w:r w:rsidRPr="007D1822">
        <w:rPr>
          <w:lang w:val="fr-FR"/>
        </w:rPr>
        <w:tab/>
        <w:t xml:space="preserve">qu'un grand nombre de téléspectateurs disposent, dans leur foyer, d'un équipement de reproduction des pistes sonores codées avec son ambiophonique </w:t>
      </w:r>
      <w:proofErr w:type="gramStart"/>
      <w:r w:rsidRPr="007D1822">
        <w:rPr>
          <w:lang w:val="fr-FR"/>
        </w:rPr>
        <w:t>matriciel;</w:t>
      </w:r>
      <w:proofErr w:type="gramEnd"/>
    </w:p>
    <w:p w14:paraId="4EBC26F1" w14:textId="77777777" w:rsidR="002A0CE0" w:rsidRPr="007D1822" w:rsidRDefault="002A0CE0" w:rsidP="002A0CE0">
      <w:pPr>
        <w:rPr>
          <w:lang w:val="fr-FR"/>
        </w:rPr>
      </w:pPr>
      <w:r w:rsidRPr="007D1822">
        <w:rPr>
          <w:i/>
          <w:iCs/>
          <w:lang w:val="fr-FR"/>
        </w:rPr>
        <w:t>f)</w:t>
      </w:r>
      <w:r w:rsidRPr="007D1822">
        <w:rPr>
          <w:lang w:val="fr-FR"/>
        </w:rPr>
        <w:tab/>
        <w:t xml:space="preserve">que la grande majorité de ces téléspectateurs utilisent le décodeur d'ambiophonie Dolby Pro </w:t>
      </w:r>
      <w:proofErr w:type="gramStart"/>
      <w:r w:rsidRPr="007D1822">
        <w:rPr>
          <w:lang w:val="fr-FR"/>
        </w:rPr>
        <w:t>Logic;</w:t>
      </w:r>
      <w:proofErr w:type="gramEnd"/>
    </w:p>
    <w:p w14:paraId="232EC0E5" w14:textId="77777777" w:rsidR="002A0CE0" w:rsidRPr="007D1822" w:rsidRDefault="002A0CE0" w:rsidP="002A0CE0">
      <w:pPr>
        <w:rPr>
          <w:lang w:val="fr-FR"/>
        </w:rPr>
      </w:pPr>
      <w:r w:rsidRPr="007D1822">
        <w:rPr>
          <w:i/>
          <w:iCs/>
          <w:lang w:val="fr-FR"/>
        </w:rPr>
        <w:t>g)</w:t>
      </w:r>
      <w:r w:rsidRPr="007D1822">
        <w:rPr>
          <w:lang w:val="fr-FR"/>
        </w:rPr>
        <w:tab/>
        <w:t xml:space="preserve">que les radiodiffuseurs peuvent produire et distribuer des programmes multicanaux utilisant le même format Dolby </w:t>
      </w:r>
      <w:proofErr w:type="spellStart"/>
      <w:r w:rsidRPr="007D1822">
        <w:rPr>
          <w:lang w:val="fr-FR"/>
        </w:rPr>
        <w:t>Surround</w:t>
      </w:r>
      <w:proofErr w:type="spellEnd"/>
      <w:r w:rsidRPr="007D1822">
        <w:rPr>
          <w:lang w:val="fr-FR"/>
        </w:rPr>
        <w:t xml:space="preserve"> que pour les films </w:t>
      </w:r>
      <w:proofErr w:type="gramStart"/>
      <w:r w:rsidRPr="007D1822">
        <w:rPr>
          <w:lang w:val="fr-FR"/>
        </w:rPr>
        <w:t>cinématographiques;</w:t>
      </w:r>
      <w:proofErr w:type="gramEnd"/>
    </w:p>
    <w:p w14:paraId="53AAE6C2" w14:textId="77777777" w:rsidR="002A0CE0" w:rsidRPr="007D1822" w:rsidRDefault="002A0CE0" w:rsidP="002A0CE0">
      <w:pPr>
        <w:rPr>
          <w:lang w:val="fr-FR"/>
        </w:rPr>
      </w:pPr>
      <w:r w:rsidRPr="007D1822">
        <w:rPr>
          <w:i/>
          <w:iCs/>
          <w:lang w:val="fr-FR"/>
        </w:rPr>
        <w:t>h)</w:t>
      </w:r>
      <w:r w:rsidRPr="007D1822">
        <w:rPr>
          <w:lang w:val="fr-FR"/>
        </w:rPr>
        <w:tab/>
        <w:t xml:space="preserve">qu'un nombre plus important de téléspectateurs disposent encore d'un équipement de reproduction monophonique et stéréophonique qui recevra le son </w:t>
      </w:r>
      <w:proofErr w:type="gramStart"/>
      <w:r w:rsidRPr="007D1822">
        <w:rPr>
          <w:lang w:val="fr-FR"/>
        </w:rPr>
        <w:t>multicanaux;</w:t>
      </w:r>
      <w:proofErr w:type="gramEnd"/>
    </w:p>
    <w:p w14:paraId="5E638AF3" w14:textId="77777777" w:rsidR="002A0CE0" w:rsidRPr="007D1822" w:rsidRDefault="002A0CE0" w:rsidP="002A0CE0">
      <w:pPr>
        <w:rPr>
          <w:lang w:val="fr-FR"/>
        </w:rPr>
      </w:pPr>
      <w:r w:rsidRPr="007D1822">
        <w:rPr>
          <w:i/>
          <w:iCs/>
          <w:lang w:val="fr-FR"/>
        </w:rPr>
        <w:t>i)</w:t>
      </w:r>
      <w:r w:rsidRPr="007D1822">
        <w:rPr>
          <w:lang w:val="fr-FR"/>
        </w:rPr>
        <w:tab/>
        <w:t xml:space="preserve">que les nouvelles transmissions sonores multicanaux doivent être compatibles avec l'équipement </w:t>
      </w:r>
      <w:proofErr w:type="spellStart"/>
      <w:r w:rsidRPr="007D1822">
        <w:rPr>
          <w:lang w:val="fr-FR"/>
        </w:rPr>
        <w:t>mono-phonique</w:t>
      </w:r>
      <w:proofErr w:type="spellEnd"/>
      <w:r w:rsidRPr="007D1822">
        <w:rPr>
          <w:lang w:val="fr-FR"/>
        </w:rPr>
        <w:t xml:space="preserve"> et stéréophonique </w:t>
      </w:r>
      <w:proofErr w:type="gramStart"/>
      <w:r w:rsidRPr="007D1822">
        <w:rPr>
          <w:lang w:val="fr-FR"/>
        </w:rPr>
        <w:t>actuel;</w:t>
      </w:r>
      <w:proofErr w:type="gramEnd"/>
    </w:p>
    <w:p w14:paraId="2BD66A64" w14:textId="77777777" w:rsidR="002A0CE0" w:rsidRPr="007D1822" w:rsidRDefault="002A0CE0" w:rsidP="002A0CE0">
      <w:pPr>
        <w:rPr>
          <w:lang w:val="fr-FR"/>
        </w:rPr>
      </w:pPr>
      <w:r w:rsidRPr="007D1822">
        <w:rPr>
          <w:i/>
          <w:iCs/>
          <w:lang w:val="fr-FR"/>
        </w:rPr>
        <w:t>j)</w:t>
      </w:r>
      <w:r w:rsidRPr="007D1822">
        <w:rPr>
          <w:lang w:val="fr-FR"/>
        </w:rPr>
        <w:tab/>
        <w:t>que la production du son multicanaux exige l'application de procédures technologiques correctes avant la transmission, afin d'assurer la compatibilité avec la reproduction monophonique, stéréophonique et ambiophonique,</w:t>
      </w:r>
    </w:p>
    <w:p w14:paraId="5BBC3733" w14:textId="77777777" w:rsidR="002A0CE0" w:rsidRPr="007D1822" w:rsidRDefault="002A0CE0" w:rsidP="002A0CE0">
      <w:pPr>
        <w:pStyle w:val="Call"/>
        <w:rPr>
          <w:lang w:val="fr-FR"/>
        </w:rPr>
      </w:pPr>
      <w:proofErr w:type="gramStart"/>
      <w:r w:rsidRPr="007D1822">
        <w:rPr>
          <w:lang w:val="fr-FR"/>
        </w:rPr>
        <w:t>recommande</w:t>
      </w:r>
      <w:proofErr w:type="gramEnd"/>
    </w:p>
    <w:p w14:paraId="5E9E7432" w14:textId="77777777" w:rsidR="002A0CE0" w:rsidRPr="007D1822" w:rsidRDefault="002A0CE0" w:rsidP="002A0CE0">
      <w:pPr>
        <w:rPr>
          <w:lang w:val="fr-FR"/>
        </w:rPr>
      </w:pPr>
      <w:r w:rsidRPr="007D1822">
        <w:rPr>
          <w:lang w:val="fr-FR"/>
        </w:rPr>
        <w:t>1</w:t>
      </w:r>
      <w:r w:rsidRPr="007D1822">
        <w:rPr>
          <w:lang w:val="fr-FR"/>
        </w:rPr>
        <w:tab/>
        <w:t xml:space="preserve">de contrôler, lors du mixage du programme ambiophonique matriciel, l'image sonore résultante par écoute du signal après qu'il ait été soumis au processus de codage/décodage ambiophonique </w:t>
      </w:r>
      <w:proofErr w:type="gramStart"/>
      <w:r w:rsidRPr="007D1822">
        <w:rPr>
          <w:lang w:val="fr-FR"/>
        </w:rPr>
        <w:t>matriciel;</w:t>
      </w:r>
      <w:proofErr w:type="gramEnd"/>
    </w:p>
    <w:p w14:paraId="7FDC85BD" w14:textId="77777777" w:rsidR="002A0CE0" w:rsidRPr="007D1822" w:rsidRDefault="002A0CE0" w:rsidP="002A0CE0">
      <w:pPr>
        <w:rPr>
          <w:lang w:val="fr-FR"/>
        </w:rPr>
      </w:pPr>
      <w:r w:rsidRPr="007D1822">
        <w:rPr>
          <w:lang w:val="fr-FR"/>
        </w:rPr>
        <w:t>2</w:t>
      </w:r>
      <w:r w:rsidRPr="007D1822">
        <w:rPr>
          <w:lang w:val="fr-FR"/>
        </w:rPr>
        <w:tab/>
        <w:t xml:space="preserve">de contrôler, lors du mixage, la compatibilité stéréophonique et monophonique du signal </w:t>
      </w:r>
      <w:proofErr w:type="gramStart"/>
      <w:r w:rsidRPr="007D1822">
        <w:rPr>
          <w:lang w:val="fr-FR"/>
        </w:rPr>
        <w:t>résultant;</w:t>
      </w:r>
      <w:proofErr w:type="gramEnd"/>
    </w:p>
    <w:p w14:paraId="4A03B339" w14:textId="77777777" w:rsidR="002A0CE0" w:rsidRPr="007D1822" w:rsidRDefault="002A0CE0" w:rsidP="002A0CE0">
      <w:pPr>
        <w:rPr>
          <w:lang w:val="fr-FR"/>
        </w:rPr>
      </w:pPr>
      <w:r w:rsidRPr="007D1822">
        <w:rPr>
          <w:lang w:val="fr-FR"/>
        </w:rPr>
        <w:lastRenderedPageBreak/>
        <w:t>3</w:t>
      </w:r>
      <w:r w:rsidRPr="007D1822">
        <w:rPr>
          <w:lang w:val="fr-FR"/>
        </w:rPr>
        <w:tab/>
        <w:t xml:space="preserve">d'utiliser pour l'écoute un décodeur ambiophonique à matrice active dont les caractéristiques sont celles des équipements utilisés dans la plupart des </w:t>
      </w:r>
      <w:proofErr w:type="gramStart"/>
      <w:r w:rsidRPr="007D1822">
        <w:rPr>
          <w:lang w:val="fr-FR"/>
        </w:rPr>
        <w:t>foyers;</w:t>
      </w:r>
      <w:proofErr w:type="gramEnd"/>
    </w:p>
    <w:p w14:paraId="0AFF6C73" w14:textId="77777777" w:rsidR="002A0CE0" w:rsidRPr="007D1822" w:rsidRDefault="002A0CE0" w:rsidP="002A0CE0">
      <w:pPr>
        <w:rPr>
          <w:lang w:val="fr-FR"/>
        </w:rPr>
      </w:pPr>
      <w:r w:rsidRPr="007D1822">
        <w:rPr>
          <w:lang w:val="fr-FR"/>
        </w:rPr>
        <w:t>4</w:t>
      </w:r>
      <w:r w:rsidRPr="007D1822">
        <w:rPr>
          <w:lang w:val="fr-FR"/>
        </w:rPr>
        <w:tab/>
        <w:t>d'indiquer clairement que l'élément de programme produit de la sorte est codé avec son ambiophonique matriciel, pour que le personnel d'exploitation ait connaissance du format du signal (voir la Note</w:t>
      </w:r>
      <w:proofErr w:type="gramStart"/>
      <w:r w:rsidRPr="007D1822">
        <w:rPr>
          <w:lang w:val="fr-FR"/>
        </w:rPr>
        <w:t>);</w:t>
      </w:r>
      <w:proofErr w:type="gramEnd"/>
    </w:p>
    <w:p w14:paraId="03F029FC" w14:textId="77777777" w:rsidR="002A0CE0" w:rsidRPr="007D1822" w:rsidRDefault="002A0CE0" w:rsidP="002A0CE0">
      <w:pPr>
        <w:rPr>
          <w:lang w:val="fr-FR"/>
        </w:rPr>
      </w:pPr>
      <w:r w:rsidRPr="007D1822">
        <w:rPr>
          <w:lang w:val="fr-FR"/>
        </w:rPr>
        <w:t>5</w:t>
      </w:r>
      <w:r w:rsidRPr="007D1822">
        <w:rPr>
          <w:lang w:val="fr-FR"/>
        </w:rPr>
        <w:tab/>
        <w:t>de conserver l'élément source multipistes primaire (de 8 à 48 pistes, s'il est disponible) utilisé avant le codage matriciel. Cela permettra d'opérer une sous-conversion sur 5 canaux distincts utilisable dans un futur système de diffusion sonore multivoie.</w:t>
      </w:r>
    </w:p>
    <w:p w14:paraId="2F87507C" w14:textId="77777777" w:rsidR="002A0CE0" w:rsidRPr="007D1822" w:rsidRDefault="002A0CE0" w:rsidP="002A0CE0">
      <w:pPr>
        <w:pStyle w:val="Note"/>
        <w:rPr>
          <w:lang w:val="fr-FR"/>
        </w:rPr>
      </w:pPr>
      <w:r w:rsidRPr="007D1822">
        <w:rPr>
          <w:lang w:val="fr-FR"/>
        </w:rPr>
        <w:t>NOTE – Les fournisseurs de programmes souhaiteront peut-être indiquer dans le programme sonore, à l'intention des auditeurs, qu'il est codé avec son ambiophonique matriciel. Sur accord préalable (voir </w:t>
      </w:r>
      <w:hyperlink r:id="rId13" w:history="1">
        <w:r w:rsidRPr="007D1822">
          <w:rPr>
            <w:rStyle w:val="Hyperlink"/>
            <w:lang w:val="fr-FR"/>
          </w:rPr>
          <w:t>http://www.dolby.com</w:t>
        </w:r>
      </w:hyperlink>
      <w:r w:rsidRPr="007D1822">
        <w:rPr>
          <w:lang w:val="fr-FR"/>
        </w:rPr>
        <w:t xml:space="preserve">), les programmes pourront être munis du logo Dolby </w:t>
      </w:r>
      <w:proofErr w:type="spellStart"/>
      <w:r w:rsidRPr="007D1822">
        <w:rPr>
          <w:lang w:val="fr-FR"/>
        </w:rPr>
        <w:t>Surround</w:t>
      </w:r>
      <w:proofErr w:type="spellEnd"/>
      <w:r w:rsidRPr="007D1822">
        <w:rPr>
          <w:lang w:val="fr-FR"/>
        </w:rPr>
        <w:t>.</w:t>
      </w:r>
    </w:p>
    <w:p w14:paraId="752777C4" w14:textId="77777777" w:rsidR="002A0CE0" w:rsidRPr="007D1822" w:rsidRDefault="002A0CE0" w:rsidP="002A0CE0">
      <w:pPr>
        <w:pStyle w:val="Line"/>
        <w:rPr>
          <w:lang w:val="fr-FR"/>
        </w:rPr>
      </w:pPr>
    </w:p>
    <w:sectPr w:rsidR="002A0CE0" w:rsidRPr="007D1822" w:rsidSect="00AD6CAE">
      <w:headerReference w:type="even" r:id="rId14"/>
      <w:headerReference w:type="default" r:id="rId15"/>
      <w:footerReference w:type="default" r:id="rId16"/>
      <w:pgSz w:w="11907" w:h="16834" w:code="9"/>
      <w:pgMar w:top="1418" w:right="1134" w:bottom="1134" w:left="1134" w:header="720" w:footer="482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1232" w14:textId="77777777" w:rsidR="002A0CE0" w:rsidRDefault="002A0CE0">
      <w:r>
        <w:separator/>
      </w:r>
    </w:p>
  </w:endnote>
  <w:endnote w:type="continuationSeparator" w:id="0">
    <w:p w14:paraId="30066B12" w14:textId="77777777" w:rsidR="002A0CE0" w:rsidRDefault="002A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Medium">
    <w:panose1 w:val="020B0604020202020204"/>
    <w:charset w:val="00"/>
    <w:family w:val="swiss"/>
    <w:notTrueType/>
    <w:pitch w:val="variable"/>
    <w:sig w:usb0="800000AF" w:usb1="5000204A" w:usb2="00000000" w:usb3="00000000" w:csb0="00000093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742F" w14:textId="77777777" w:rsidR="002A0CE0" w:rsidRDefault="002A0CE0">
    <w:pPr>
      <w:pStyle w:val="Footer"/>
    </w:pPr>
    <w:r>
      <w:drawing>
        <wp:anchor distT="0" distB="0" distL="0" distR="0" simplePos="0" relativeHeight="251659264" behindDoc="0" locked="0" layoutInCell="1" allowOverlap="1" wp14:anchorId="6BC868B0" wp14:editId="02650E38">
          <wp:simplePos x="0" y="0"/>
          <wp:positionH relativeFrom="page">
            <wp:posOffset>6346209</wp:posOffset>
          </wp:positionH>
          <wp:positionV relativeFrom="page">
            <wp:posOffset>9501505</wp:posOffset>
          </wp:positionV>
          <wp:extent cx="738000" cy="813600"/>
          <wp:effectExtent l="0" t="0" r="0" b="0"/>
          <wp:wrapNone/>
          <wp:docPr id="1" name="image1.png" descr="International Telecommunication Un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nternational Telecommunication Union 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0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E32F" w14:textId="737427F0" w:rsidR="00AD6CAE" w:rsidRDefault="00AD6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F1B6" w14:textId="77777777" w:rsidR="002A0CE0" w:rsidRDefault="002A0CE0">
      <w:r>
        <w:separator/>
      </w:r>
    </w:p>
  </w:footnote>
  <w:footnote w:type="continuationSeparator" w:id="0">
    <w:p w14:paraId="60E691AA" w14:textId="77777777" w:rsidR="002A0CE0" w:rsidRDefault="002A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FDB7" w14:textId="77777777" w:rsidR="002A0CE0" w:rsidRDefault="002A0CE0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6"/>
      <w:gridCol w:w="5914"/>
    </w:tblGrid>
    <w:tr w:rsidR="002A0CE0" w:rsidRPr="00A239D1" w14:paraId="53CED441" w14:textId="77777777" w:rsidTr="0019307B">
      <w:tc>
        <w:tcPr>
          <w:tcW w:w="4634" w:type="dxa"/>
          <w:vAlign w:val="center"/>
        </w:tcPr>
        <w:p w14:paraId="328E4539" w14:textId="77777777" w:rsidR="002A0CE0" w:rsidRPr="005B0371" w:rsidRDefault="002A0CE0" w:rsidP="00B9169E">
          <w:pPr>
            <w:pStyle w:val="Header"/>
            <w:jc w:val="left"/>
            <w:rPr>
              <w:rFonts w:ascii="Arial Black" w:hAnsi="Arial Black" w:cs="Arial"/>
              <w:color w:val="FFFFFF" w:themeColor="background1"/>
              <w:sz w:val="32"/>
              <w:szCs w:val="32"/>
            </w:rPr>
          </w:pPr>
          <w:r w:rsidRPr="005B0371">
            <w:rPr>
              <w:rFonts w:ascii="Arial Black" w:hAnsi="Arial Black" w:cs="Arial"/>
              <w:color w:val="FFFFFF" w:themeColor="background1"/>
              <w:sz w:val="32"/>
              <w:szCs w:val="32"/>
            </w:rPr>
            <w:t xml:space="preserve"> </w:t>
          </w:r>
        </w:p>
      </w:tc>
      <w:tc>
        <w:tcPr>
          <w:tcW w:w="5998" w:type="dxa"/>
          <w:vAlign w:val="center"/>
        </w:tcPr>
        <w:p w14:paraId="170271A7" w14:textId="77777777" w:rsidR="002A0CE0" w:rsidRPr="00260B24" w:rsidRDefault="002A0CE0" w:rsidP="00744F8B">
          <w:pPr>
            <w:pStyle w:val="Header"/>
            <w:jc w:val="right"/>
            <w:rPr>
              <w:rFonts w:asciiTheme="minorBidi" w:hAnsiTheme="minorBidi"/>
              <w:b/>
              <w:spacing w:val="4"/>
              <w:szCs w:val="24"/>
            </w:rPr>
          </w:pPr>
          <w:r w:rsidRPr="00260B24">
            <w:rPr>
              <w:rFonts w:asciiTheme="minorBidi" w:hAnsiTheme="minorBidi"/>
              <w:b/>
              <w:spacing w:val="4"/>
              <w:szCs w:val="24"/>
            </w:rPr>
            <w:t>Union</w:t>
          </w:r>
          <w:r>
            <w:rPr>
              <w:rFonts w:asciiTheme="minorBidi" w:hAnsiTheme="minorBidi"/>
              <w:b/>
              <w:spacing w:val="4"/>
              <w:szCs w:val="24"/>
            </w:rPr>
            <w:t xml:space="preserve"> </w:t>
          </w:r>
          <w:proofErr w:type="spellStart"/>
          <w:r>
            <w:rPr>
              <w:rFonts w:asciiTheme="minorBidi" w:hAnsiTheme="minorBidi"/>
              <w:b/>
              <w:spacing w:val="4"/>
              <w:szCs w:val="24"/>
            </w:rPr>
            <w:t>i</w:t>
          </w:r>
          <w:r w:rsidRPr="00260B24">
            <w:rPr>
              <w:rFonts w:asciiTheme="minorBidi" w:hAnsiTheme="minorBidi"/>
              <w:b/>
              <w:spacing w:val="4"/>
              <w:szCs w:val="24"/>
            </w:rPr>
            <w:t>nternational</w:t>
          </w:r>
          <w:r>
            <w:rPr>
              <w:rFonts w:asciiTheme="minorBidi" w:hAnsiTheme="minorBidi"/>
              <w:b/>
              <w:spacing w:val="4"/>
              <w:szCs w:val="24"/>
            </w:rPr>
            <w:t>e</w:t>
          </w:r>
          <w:proofErr w:type="spellEnd"/>
          <w:r w:rsidRPr="00260B24">
            <w:rPr>
              <w:rFonts w:asciiTheme="minorBidi" w:hAnsiTheme="minorBidi"/>
              <w:b/>
              <w:spacing w:val="4"/>
              <w:szCs w:val="24"/>
            </w:rPr>
            <w:t xml:space="preserve"> </w:t>
          </w:r>
          <w:r>
            <w:rPr>
              <w:rFonts w:asciiTheme="minorBidi" w:hAnsiTheme="minorBidi"/>
              <w:b/>
              <w:spacing w:val="4"/>
              <w:szCs w:val="24"/>
            </w:rPr>
            <w:t xml:space="preserve">des </w:t>
          </w:r>
          <w:proofErr w:type="spellStart"/>
          <w:r>
            <w:rPr>
              <w:rFonts w:asciiTheme="minorBidi" w:hAnsiTheme="minorBidi"/>
              <w:b/>
              <w:spacing w:val="4"/>
              <w:szCs w:val="24"/>
            </w:rPr>
            <w:t>té</w:t>
          </w:r>
          <w:r w:rsidRPr="00260B24">
            <w:rPr>
              <w:rFonts w:asciiTheme="minorBidi" w:hAnsiTheme="minorBidi"/>
              <w:b/>
              <w:spacing w:val="4"/>
              <w:szCs w:val="24"/>
            </w:rPr>
            <w:t>l</w:t>
          </w:r>
          <w:r>
            <w:rPr>
              <w:rFonts w:asciiTheme="minorBidi" w:hAnsiTheme="minorBidi"/>
              <w:b/>
              <w:spacing w:val="4"/>
              <w:szCs w:val="24"/>
            </w:rPr>
            <w:t>é</w:t>
          </w:r>
          <w:r w:rsidRPr="00260B24">
            <w:rPr>
              <w:rFonts w:asciiTheme="minorBidi" w:hAnsiTheme="minorBidi"/>
              <w:b/>
              <w:spacing w:val="4"/>
              <w:szCs w:val="24"/>
            </w:rPr>
            <w:t>communication</w:t>
          </w:r>
          <w:r>
            <w:rPr>
              <w:rFonts w:asciiTheme="minorBidi" w:hAnsiTheme="minorBidi"/>
              <w:b/>
              <w:spacing w:val="4"/>
              <w:szCs w:val="24"/>
            </w:rPr>
            <w:t>s</w:t>
          </w:r>
          <w:proofErr w:type="spellEnd"/>
        </w:p>
      </w:tc>
    </w:tr>
    <w:tr w:rsidR="002A0CE0" w:rsidRPr="00A239D1" w14:paraId="2575DACF" w14:textId="77777777" w:rsidTr="0019307B">
      <w:tc>
        <w:tcPr>
          <w:tcW w:w="4634" w:type="dxa"/>
          <w:vAlign w:val="center"/>
        </w:tcPr>
        <w:p w14:paraId="40B1B17B" w14:textId="77777777" w:rsidR="002A0CE0" w:rsidRPr="00260B24" w:rsidRDefault="002A0CE0" w:rsidP="00744F8B">
          <w:pPr>
            <w:pStyle w:val="Header"/>
            <w:jc w:val="left"/>
            <w:rPr>
              <w:rFonts w:asciiTheme="minorBidi" w:hAnsiTheme="minorBidi"/>
              <w:spacing w:val="4"/>
              <w:sz w:val="21"/>
              <w:szCs w:val="21"/>
            </w:rPr>
          </w:pPr>
          <w:proofErr w:type="spellStart"/>
          <w:r w:rsidRPr="00260B24">
            <w:rPr>
              <w:rFonts w:asciiTheme="minorBidi" w:hAnsiTheme="minorBidi"/>
              <w:spacing w:val="4"/>
              <w:szCs w:val="24"/>
            </w:rPr>
            <w:t>Recomm</w:t>
          </w:r>
          <w:r>
            <w:rPr>
              <w:rFonts w:asciiTheme="minorBidi" w:hAnsiTheme="minorBidi"/>
              <w:spacing w:val="4"/>
              <w:szCs w:val="24"/>
            </w:rPr>
            <w:t>a</w:t>
          </w:r>
          <w:r w:rsidRPr="00260B24">
            <w:rPr>
              <w:rFonts w:asciiTheme="minorBidi" w:hAnsiTheme="minorBidi"/>
              <w:spacing w:val="4"/>
              <w:szCs w:val="24"/>
            </w:rPr>
            <w:t>ndations</w:t>
          </w:r>
          <w:proofErr w:type="spellEnd"/>
        </w:p>
      </w:tc>
      <w:tc>
        <w:tcPr>
          <w:tcW w:w="5998" w:type="dxa"/>
          <w:vAlign w:val="center"/>
        </w:tcPr>
        <w:p w14:paraId="7BF29CCA" w14:textId="59B74741" w:rsidR="002A0CE0" w:rsidRPr="00260B24" w:rsidRDefault="002A0CE0" w:rsidP="00744F8B">
          <w:pPr>
            <w:pStyle w:val="Header"/>
            <w:jc w:val="right"/>
            <w:rPr>
              <w:rFonts w:asciiTheme="minorBidi" w:hAnsiTheme="minorBidi"/>
              <w:spacing w:val="4"/>
              <w:szCs w:val="24"/>
            </w:rPr>
          </w:pPr>
          <w:proofErr w:type="spellStart"/>
          <w:r>
            <w:rPr>
              <w:rFonts w:asciiTheme="minorBidi" w:hAnsiTheme="minorBidi"/>
              <w:spacing w:val="4"/>
              <w:szCs w:val="24"/>
            </w:rPr>
            <w:t>Secteur</w:t>
          </w:r>
          <w:proofErr w:type="spellEnd"/>
          <w:r>
            <w:rPr>
              <w:rFonts w:asciiTheme="minorBidi" w:hAnsiTheme="minorBidi"/>
              <w:spacing w:val="4"/>
              <w:szCs w:val="24"/>
            </w:rPr>
            <w:t xml:space="preserve"> des </w:t>
          </w:r>
          <w:r w:rsidR="00102780">
            <w:rPr>
              <w:rFonts w:asciiTheme="minorBidi" w:hAnsiTheme="minorBidi"/>
              <w:spacing w:val="4"/>
              <w:szCs w:val="24"/>
            </w:rPr>
            <w:t>r</w:t>
          </w:r>
          <w:r w:rsidRPr="00260B24">
            <w:rPr>
              <w:rFonts w:asciiTheme="minorBidi" w:hAnsiTheme="minorBidi"/>
              <w:spacing w:val="4"/>
              <w:szCs w:val="24"/>
            </w:rPr>
            <w:t>adiocommunication</w:t>
          </w:r>
          <w:r>
            <w:rPr>
              <w:rFonts w:asciiTheme="minorBidi" w:hAnsiTheme="minorBidi"/>
              <w:spacing w:val="4"/>
              <w:szCs w:val="24"/>
            </w:rPr>
            <w:t>s</w:t>
          </w:r>
        </w:p>
      </w:tc>
    </w:tr>
  </w:tbl>
  <w:p w14:paraId="3558008E" w14:textId="77777777" w:rsidR="002A0CE0" w:rsidRDefault="002A0CE0" w:rsidP="004A6FEB">
    <w:pPr>
      <w:pStyle w:val="Header"/>
    </w:pPr>
    <w:r>
      <w:rPr>
        <w:rFonts w:ascii="Arial Black" w:hAnsi="Arial Black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51648FA" wp14:editId="62FA6FAB">
          <wp:simplePos x="0" y="0"/>
          <wp:positionH relativeFrom="column">
            <wp:posOffset>-358302</wp:posOffset>
          </wp:positionH>
          <wp:positionV relativeFrom="paragraph">
            <wp:posOffset>-534670</wp:posOffset>
          </wp:positionV>
          <wp:extent cx="1945758" cy="414616"/>
          <wp:effectExtent l="0" t="0" r="0" b="0"/>
          <wp:wrapNone/>
          <wp:docPr id="5" name="Picture 5" descr="ITU Publica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TU Publicatio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58" cy="414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9ACC96" wp14:editId="19A76BB0">
              <wp:simplePos x="0" y="0"/>
              <wp:positionH relativeFrom="column">
                <wp:posOffset>-106045</wp:posOffset>
              </wp:positionH>
              <wp:positionV relativeFrom="paragraph">
                <wp:posOffset>164465</wp:posOffset>
              </wp:positionV>
              <wp:extent cx="301625" cy="172085"/>
              <wp:effectExtent l="17780" t="12065" r="23495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01625" cy="17208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F8F8F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DABB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margin-left:-8.35pt;margin-top:12.95pt;width:23.75pt;height:13.5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" fillcolor="white [3212]" strokecolor="#f8f8f8"/>
          </w:pict>
        </mc:Fallback>
      </mc:AlternateContent>
    </w:r>
  </w:p>
  <w:p w14:paraId="0C1A1AC3" w14:textId="77777777" w:rsidR="002A0CE0" w:rsidRDefault="002A0CE0" w:rsidP="004A6FEB">
    <w:pPr>
      <w:pStyle w:val="Header"/>
      <w:ind w:right="36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DB0692" wp14:editId="5B97DB64">
              <wp:simplePos x="0" y="0"/>
              <wp:positionH relativeFrom="page">
                <wp:posOffset>0</wp:posOffset>
              </wp:positionH>
              <wp:positionV relativeFrom="page">
                <wp:posOffset>1196340</wp:posOffset>
              </wp:positionV>
              <wp:extent cx="7560310" cy="236220"/>
              <wp:effectExtent l="9525" t="5715" r="12065" b="5715"/>
              <wp:wrapNone/>
              <wp:docPr id="2" name="docshapegroup6" descr="Header separator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36220"/>
                        <a:chOff x="0" y="1884"/>
                        <a:chExt cx="11906" cy="372"/>
                      </a:xfrm>
                    </wpg:grpSpPr>
                    <wps:wsp>
                      <wps:cNvPr id="3" name="docshape7" descr="Header separator line"/>
                      <wps:cNvSpPr>
                        <a:spLocks noChangeArrowheads="1"/>
                      </wps:cNvSpPr>
                      <wps:spPr bwMode="auto">
                        <a:xfrm>
                          <a:off x="0" y="1944"/>
                          <a:ext cx="11906" cy="312"/>
                        </a:xfrm>
                        <a:prstGeom prst="rect">
                          <a:avLst/>
                        </a:prstGeom>
                        <a:solidFill>
                          <a:srgbClr val="009CD6"/>
                        </a:solidFill>
                        <a:ln w="9525">
                          <a:solidFill>
                            <a:srgbClr val="009C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8" descr="Header separator line"/>
                      <wps:cNvSpPr>
                        <a:spLocks/>
                      </wps:cNvSpPr>
                      <wps:spPr bwMode="auto">
                        <a:xfrm>
                          <a:off x="1109" y="1884"/>
                          <a:ext cx="627" cy="314"/>
                        </a:xfrm>
                        <a:custGeom>
                          <a:avLst/>
                          <a:gdLst>
                            <a:gd name="T0" fmla="+- 0 1736 1109"/>
                            <a:gd name="T1" fmla="*/ T0 w 627"/>
                            <a:gd name="T2" fmla="+- 0 1884 1884"/>
                            <a:gd name="T3" fmla="*/ 1884 h 314"/>
                            <a:gd name="T4" fmla="+- 0 1109 1109"/>
                            <a:gd name="T5" fmla="*/ T4 w 627"/>
                            <a:gd name="T6" fmla="+- 0 1884 1884"/>
                            <a:gd name="T7" fmla="*/ 1884 h 314"/>
                            <a:gd name="T8" fmla="+- 0 1423 1109"/>
                            <a:gd name="T9" fmla="*/ T8 w 627"/>
                            <a:gd name="T10" fmla="+- 0 2197 1884"/>
                            <a:gd name="T11" fmla="*/ 2197 h 314"/>
                            <a:gd name="T12" fmla="+- 0 1736 1109"/>
                            <a:gd name="T13" fmla="*/ T12 w 627"/>
                            <a:gd name="T14" fmla="+- 0 1884 1884"/>
                            <a:gd name="T15" fmla="*/ 1884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27" h="314">
                              <a:moveTo>
                                <a:pt x="627" y="0"/>
                              </a:moveTo>
                              <a:lnTo>
                                <a:pt x="0" y="0"/>
                              </a:lnTo>
                              <a:lnTo>
                                <a:pt x="314" y="313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52A8B1" id="docshapegroup6" o:spid="_x0000_s1026" alt="Header separator line" style="position:absolute;margin-left:0;margin-top:94.2pt;width:595.3pt;height:18.6pt;z-index:251662336;mso-position-horizontal-relative:page;mso-position-vertical-relative:page" coordorigin=",1884" coordsize="1190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">
              <v:rect id="docshape7" o:spid="_x0000_s1027" alt="Header separator line" style="position:absolute;top:1944;width:1190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" fillcolor="#009cd6" strokecolor="#009cd6"/>
              <v:shape id="docshape8" o:spid="_x0000_s1028" alt="Header separator line" style="position:absolute;left:1109;top:1884;width:627;height:314;visibility:visible;mso-wrap-style:square;v-text-anchor:top" coordsize="62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" path="m627,l,,314,313,627,xe" fillcolor="white [3212]" stroked="f" strokecolor="#009cd6">
                <v:path arrowok="t" o:connecttype="custom" o:connectlocs="627,1884;0,1884;314,2197;627,1884" o:connectangles="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93D8" w14:textId="40DED72D" w:rsidR="002A0CE0" w:rsidRPr="00D72623" w:rsidRDefault="002A0CE0" w:rsidP="00D72623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 w:rsidRPr="004F3F6F">
      <w:rPr>
        <w:rStyle w:val="PageNumber"/>
        <w:b/>
        <w:bCs/>
      </w:rPr>
      <w:t>i</w:t>
    </w:r>
    <w:proofErr w:type="spellStart"/>
    <w:r w:rsidRPr="004F3F6F">
      <w:rPr>
        <w:rStyle w:val="PageNumber"/>
        <w:b/>
        <w:bCs/>
      </w:rPr>
      <w:t>i</w:t>
    </w:r>
    <w:proofErr w:type="spellEnd"/>
    <w:r>
      <w:rPr>
        <w:rStyle w:val="PageNumber"/>
        <w:b/>
        <w:bCs/>
      </w:rPr>
      <w:fldChar w:fldCharType="end"/>
    </w:r>
    <w:r>
      <w:rPr>
        <w:lang w:val="en-US"/>
      </w:rPr>
      <w:tab/>
    </w:r>
    <w:r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DOCPROPERTY "Header" \* MERGEFORMAT </w:instrText>
    </w:r>
    <w:r>
      <w:rPr>
        <w:b/>
        <w:bCs/>
        <w:lang w:val="en-US"/>
      </w:rPr>
      <w:fldChar w:fldCharType="separate"/>
    </w:r>
    <w:r w:rsidR="00650652">
      <w:rPr>
        <w:b/>
        <w:bCs/>
        <w:lang w:val="en-US"/>
      </w:rPr>
      <w:t xml:space="preserve">Rec. </w:t>
    </w:r>
    <w:r>
      <w:rPr>
        <w:b/>
        <w:bCs/>
        <w:lang w:val="en-US"/>
      </w:rPr>
      <w:fldChar w:fldCharType="end"/>
    </w:r>
    <w:r w:rsidRPr="004F3F6F">
      <w:rPr>
        <w:b/>
        <w:bCs/>
      </w:rPr>
      <w:t xml:space="preserve"> </w:t>
    </w:r>
    <w:r>
      <w:rPr>
        <w:b/>
        <w:bCs/>
      </w:rPr>
      <w:fldChar w:fldCharType="begin"/>
    </w:r>
    <w:r>
      <w:rPr>
        <w:b/>
        <w:bCs/>
        <w:lang w:val="en-US"/>
      </w:rPr>
      <w:instrText>styleref href</w:instrText>
    </w:r>
    <w:r>
      <w:rPr>
        <w:b/>
        <w:bCs/>
      </w:rPr>
      <w:fldChar w:fldCharType="separate"/>
    </w:r>
    <w:r w:rsidR="00650652">
      <w:rPr>
        <w:b/>
        <w:bCs/>
        <w:noProof/>
        <w:lang w:val="en-US"/>
      </w:rPr>
      <w:t>UIT-R  BS.1423-1</w:t>
    </w:r>
    <w:r>
      <w:rPr>
        <w:b/>
        <w:bCs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1C89" w14:textId="5C5CFCE0" w:rsidR="002A0CE0" w:rsidRDefault="002A0CE0">
    <w:pPr>
      <w:pStyle w:val="Header"/>
    </w:pPr>
    <w:r>
      <w:tab/>
    </w:r>
    <w:r>
      <w:rPr>
        <w:b/>
        <w:bCs/>
      </w:rPr>
      <w:fldChar w:fldCharType="begin"/>
    </w:r>
    <w:r>
      <w:rPr>
        <w:b/>
        <w:bCs/>
      </w:rPr>
      <w:instrText xml:space="preserve"> DOCPROPERTY "Header" \* MERGEFORMAT </w:instrText>
    </w:r>
    <w:r>
      <w:rPr>
        <w:b/>
        <w:bCs/>
      </w:rPr>
      <w:fldChar w:fldCharType="separate"/>
    </w:r>
    <w:r w:rsidR="00650652">
      <w:rPr>
        <w:b/>
        <w:bCs/>
      </w:rPr>
      <w:t xml:space="preserve">Rec. 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 w:rsidR="00650652">
      <w:rPr>
        <w:b/>
        <w:bCs/>
        <w:noProof/>
      </w:rPr>
      <w:t>UIT-R  BS.1423-1</w:t>
    </w:r>
    <w:r>
      <w:rPr>
        <w:b/>
        <w:bCs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4434" w14:textId="7066769A" w:rsidR="00607D68" w:rsidRDefault="00607D68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  <w:lang w:val="en-US"/>
      </w:rPr>
      <w:t>2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 w:rsidR="009E00A8">
      <w:rPr>
        <w:lang w:val="fr-FR"/>
      </w:rPr>
      <w:fldChar w:fldCharType="begin"/>
    </w:r>
    <w:r w:rsidR="009E00A8" w:rsidRPr="009E00A8">
      <w:rPr>
        <w:lang w:val="en-US"/>
      </w:rPr>
      <w:instrText xml:space="preserve"> DOCPROPERTY "Header" \* MERGEFORMAT </w:instrText>
    </w:r>
    <w:r w:rsidR="009E00A8">
      <w:rPr>
        <w:lang w:val="fr-FR"/>
      </w:rPr>
      <w:fldChar w:fldCharType="separate"/>
    </w:r>
    <w:r w:rsidR="00650652" w:rsidRPr="00650652">
      <w:rPr>
        <w:b/>
        <w:bCs/>
        <w:lang w:val="en-US"/>
      </w:rPr>
      <w:t xml:space="preserve">Rec. </w:t>
    </w:r>
    <w:r w:rsidR="009E00A8">
      <w:rPr>
        <w:b/>
        <w:bCs/>
        <w:lang w:val="en-US"/>
      </w:rPr>
      <w:fldChar w:fldCharType="end"/>
    </w:r>
    <w:r w:rsidRPr="009E00A8">
      <w:rPr>
        <w:b/>
        <w:bCs/>
        <w:lang w:val="en-US"/>
      </w:rPr>
      <w:t xml:space="preserve"> </w:t>
    </w:r>
    <w:r>
      <w:rPr>
        <w:b/>
        <w:bCs/>
      </w:rPr>
      <w:fldChar w:fldCharType="begin"/>
    </w:r>
    <w:r>
      <w:rPr>
        <w:b/>
        <w:bCs/>
        <w:lang w:val="en-US"/>
      </w:rPr>
      <w:instrText>styleref href</w:instrText>
    </w:r>
    <w:r>
      <w:rPr>
        <w:b/>
        <w:bCs/>
      </w:rPr>
      <w:fldChar w:fldCharType="separate"/>
    </w:r>
    <w:r w:rsidR="00650652">
      <w:rPr>
        <w:b/>
        <w:bCs/>
        <w:noProof/>
        <w:lang w:val="en-US"/>
      </w:rPr>
      <w:t>UIT-R  BS.1423-1</w:t>
    </w:r>
    <w:r>
      <w:rPr>
        <w:b/>
        <w:bCs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B5B1" w14:textId="4B8A1256" w:rsidR="00607D68" w:rsidRDefault="00607D68">
    <w:pPr>
      <w:pStyle w:val="Header"/>
    </w:pPr>
    <w:r>
      <w:tab/>
    </w:r>
    <w:r w:rsidR="00DC2B47">
      <w:fldChar w:fldCharType="begin"/>
    </w:r>
    <w:r w:rsidR="00DC2B47">
      <w:instrText xml:space="preserve"> DOCPROPERTY "Header" \* MERGEFORMAT </w:instrText>
    </w:r>
    <w:r w:rsidR="00DC2B47">
      <w:fldChar w:fldCharType="separate"/>
    </w:r>
    <w:r w:rsidR="00650652" w:rsidRPr="00650652">
      <w:rPr>
        <w:b/>
        <w:bCs/>
      </w:rPr>
      <w:t xml:space="preserve">Rec. </w:t>
    </w:r>
    <w:r w:rsidR="00DC2B47">
      <w:rPr>
        <w:b/>
        <w:bCs/>
      </w:rPr>
      <w:fldChar w:fldCharType="end"/>
    </w:r>
    <w:r>
      <w:rPr>
        <w:b/>
        <w:bCs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 w:rsidR="00650652">
      <w:rPr>
        <w:b/>
        <w:bCs/>
        <w:noProof/>
      </w:rPr>
      <w:t>UIT-R  BS.1423-1</w:t>
    </w:r>
    <w:r>
      <w:rPr>
        <w:b/>
        <w:bCs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242AEE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hideSpellingErrors/>
  <w:hideGrammaticalErrors/>
  <w:activeWritingStyle w:appName="MSWord" w:lang="en-US" w:vendorID="64" w:dllVersion="5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E0"/>
    <w:rsid w:val="00102780"/>
    <w:rsid w:val="00217EBF"/>
    <w:rsid w:val="00242AEE"/>
    <w:rsid w:val="002A0CE0"/>
    <w:rsid w:val="002D76C4"/>
    <w:rsid w:val="0052529D"/>
    <w:rsid w:val="00607D68"/>
    <w:rsid w:val="00650652"/>
    <w:rsid w:val="007468DA"/>
    <w:rsid w:val="009E00A8"/>
    <w:rsid w:val="00A6617B"/>
    <w:rsid w:val="00AB0DC8"/>
    <w:rsid w:val="00AD6CAE"/>
    <w:rsid w:val="00B44E24"/>
    <w:rsid w:val="00DC2B47"/>
    <w:rsid w:val="00D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72680"/>
  <w15:docId w15:val="{212AE40D-B9BD-49B1-87EB-461A3A29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B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_after_title"/>
    <w:basedOn w:val="Normal"/>
    <w:next w:val="Normal"/>
    <w:pPr>
      <w:spacing w:before="320"/>
    </w:p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2"/>
    </w:rPr>
  </w:style>
  <w:style w:type="paragraph" w:customStyle="1" w:styleId="RecNo">
    <w:name w:val="Rec_No"/>
    <w:basedOn w:val="Normal"/>
    <w:next w:val="Rec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8"/>
    </w:rPr>
  </w:style>
  <w:style w:type="paragraph" w:customStyle="1" w:styleId="HeadingSum">
    <w:name w:val="Heading_Sum"/>
    <w:basedOn w:val="Headingb"/>
    <w:next w:val="Normal"/>
    <w:autoRedefine/>
    <w:rsid w:val="00242AEE"/>
    <w:pPr>
      <w:spacing w:before="240"/>
    </w:pPr>
    <w:rPr>
      <w:sz w:val="22"/>
      <w:lang w:val="es-ES_tradnl"/>
    </w:rPr>
  </w:style>
  <w:style w:type="paragraph" w:customStyle="1" w:styleId="Recref">
    <w:name w:val="Rec_ref"/>
    <w:basedOn w:val="Normal"/>
    <w:next w:val="Recdate"/>
    <w:pPr>
      <w:jc w:val="center"/>
    </w:pPr>
  </w:style>
  <w:style w:type="paragraph" w:customStyle="1" w:styleId="Recdate">
    <w:name w:val="Rec_date"/>
    <w:basedOn w:val="Recref"/>
    <w:next w:val="Normalaftertitle"/>
    <w:pPr>
      <w:jc w:val="right"/>
    </w:p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 w:after="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"/>
  </w:style>
  <w:style w:type="paragraph" w:customStyle="1" w:styleId="Tablefin">
    <w:name w:val="Table_fin"/>
    <w:basedOn w:val="Normal"/>
    <w:next w:val="Normal"/>
    <w:pPr>
      <w:spacing w:before="0"/>
    </w:pPr>
    <w:rPr>
      <w:sz w:val="20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2"/>
    </w:rPr>
  </w:style>
  <w:style w:type="paragraph" w:customStyle="1" w:styleId="TableNo">
    <w:name w:val="Table_No"/>
    <w:basedOn w:val="Normal"/>
    <w:next w:val="Normal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F4176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tocpart">
    <w:name w:val="tocpart"/>
    <w:basedOn w:val="Normal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Blanc">
    <w:name w:val="Blanc"/>
    <w:basedOn w:val="Normal"/>
    <w:next w:val="Tabletext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</w:rPr>
  </w:style>
  <w:style w:type="paragraph" w:customStyle="1" w:styleId="ASN1">
    <w:name w:val="ASN.1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Pr>
      <w:b/>
    </w:rPr>
  </w:style>
  <w:style w:type="paragraph" w:customStyle="1" w:styleId="Chaptitle">
    <w:name w:val="Chap_title"/>
    <w:basedOn w:val="Arttitle"/>
    <w:next w:val="Normalaftertitle"/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rmal"/>
    <w:semiHidden/>
    <w:pPr>
      <w:keepLines/>
      <w:tabs>
        <w:tab w:val="left" w:pos="255"/>
      </w:tabs>
      <w:ind w:left="255" w:hanging="255"/>
    </w:pPr>
    <w:rPr>
      <w:sz w:val="22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Heading">
    <w:name w:val="index heading"/>
    <w:basedOn w:val="Normal"/>
    <w:next w:val="Index1"/>
    <w:semiHidden/>
  </w:style>
  <w:style w:type="paragraph" w:customStyle="1" w:styleId="Line">
    <w:name w:val="Line"/>
    <w:basedOn w:val="Normal"/>
    <w:next w:val="Normal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</w:rPr>
  </w:style>
  <w:style w:type="paragraph" w:customStyle="1" w:styleId="toctemp">
    <w:name w:val="toctemp"/>
    <w:basedOn w:val="Normal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</w:style>
  <w:style w:type="paragraph" w:customStyle="1" w:styleId="Partref">
    <w:name w:val="Part_ref"/>
    <w:basedOn w:val="Normal"/>
    <w:next w:val="Normal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Normal"/>
    <w:next w:val="Questionref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Normal"/>
    <w:next w:val="Resref"/>
    <w:rsid w:val="00AB0DC8"/>
    <w:pPr>
      <w:spacing w:before="240"/>
      <w:jc w:val="center"/>
    </w:pPr>
    <w:rPr>
      <w:b/>
      <w:sz w:val="28"/>
    </w:rPr>
  </w:style>
  <w:style w:type="paragraph" w:customStyle="1" w:styleId="SectionNo">
    <w:name w:val="Section_No"/>
    <w:basedOn w:val="Normal"/>
    <w:next w:val="Normal"/>
  </w:style>
  <w:style w:type="paragraph" w:customStyle="1" w:styleId="Sectiontitle">
    <w:name w:val="Section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Rectitle">
    <w:name w:val="Rec_title"/>
    <w:basedOn w:val="Normal"/>
    <w:next w:val="Recref"/>
    <w:pPr>
      <w:keepNext/>
      <w:keepLines/>
      <w:spacing w:before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</w:style>
  <w:style w:type="paragraph" w:customStyle="1" w:styleId="Figuretitle">
    <w:name w:val="Figure_title"/>
    <w:basedOn w:val="Normal"/>
    <w:next w:val="Figure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Tabletitle">
    <w:name w:val="Table_title"/>
    <w:basedOn w:val="Normal"/>
    <w:next w:val="Tablehead"/>
    <w:pPr>
      <w:keepNext/>
      <w:spacing w:before="0" w:after="120"/>
      <w:jc w:val="center"/>
    </w:pPr>
    <w:rPr>
      <w:b/>
    </w:rPr>
  </w:style>
  <w:style w:type="paragraph" w:customStyle="1" w:styleId="Summary">
    <w:name w:val="Summary"/>
    <w:basedOn w:val="Normal"/>
    <w:next w:val="Normalaftertitle"/>
    <w:autoRedefine/>
    <w:rsid w:val="00242AEE"/>
    <w:pPr>
      <w:spacing w:after="480"/>
    </w:pPr>
    <w:rPr>
      <w:sz w:val="22"/>
      <w:lang w:val="es-ES_tradnl"/>
    </w:rPr>
  </w:style>
  <w:style w:type="paragraph" w:customStyle="1" w:styleId="TableLegendNote">
    <w:name w:val="Table_Legend_Note"/>
    <w:basedOn w:val="Tablelegend"/>
    <w:next w:val="Tablelegend"/>
    <w:rsid w:val="007468DA"/>
    <w:pPr>
      <w:ind w:left="-85" w:firstLine="0"/>
    </w:pPr>
    <w:rPr>
      <w:lang w:val="en-US"/>
    </w:rPr>
  </w:style>
  <w:style w:type="paragraph" w:customStyle="1" w:styleId="Figure">
    <w:name w:val="Figure"/>
    <w:basedOn w:val="FigureNo"/>
    <w:next w:val="Normal"/>
    <w:rsid w:val="00A6617B"/>
    <w:pPr>
      <w:keepNext w:val="0"/>
      <w:spacing w:before="0" w:after="240"/>
    </w:pPr>
  </w:style>
  <w:style w:type="character" w:customStyle="1" w:styleId="Heading1Char">
    <w:name w:val="Heading 1 Char"/>
    <w:basedOn w:val="DefaultParagraphFont"/>
    <w:link w:val="Heading1"/>
    <w:rsid w:val="002A0CE0"/>
    <w:rPr>
      <w:b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0CE0"/>
    <w:rPr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2A0CE0"/>
    <w:rPr>
      <w:noProof/>
      <w:sz w:val="18"/>
      <w:lang w:val="en-GB" w:eastAsia="en-US"/>
    </w:rPr>
  </w:style>
  <w:style w:type="character" w:styleId="Hyperlink">
    <w:name w:val="Hyperlink"/>
    <w:basedOn w:val="DefaultParagraphFont"/>
    <w:rsid w:val="002A0CE0"/>
    <w:rPr>
      <w:color w:val="0000FF"/>
      <w:u w:val="single"/>
    </w:rPr>
  </w:style>
  <w:style w:type="table" w:styleId="TableGrid">
    <w:name w:val="Table Grid"/>
    <w:basedOn w:val="TableNormal"/>
    <w:uiPriority w:val="39"/>
    <w:rsid w:val="002A0CE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Number">
    <w:name w:val="Cover Number"/>
    <w:basedOn w:val="Normal"/>
    <w:qFormat/>
    <w:rsid w:val="002A0CE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93"/>
      <w:ind w:left="284"/>
      <w:jc w:val="left"/>
      <w:textAlignment w:val="auto"/>
      <w:outlineLvl w:val="0"/>
    </w:pPr>
    <w:rPr>
      <w:rFonts w:ascii="Arial" w:eastAsia="AvenirNext LT Pro Medium" w:hAnsi="Arial" w:cs="AvenirNext LT Pro Medium"/>
      <w:b/>
      <w:bCs/>
      <w:spacing w:val="-10"/>
      <w:sz w:val="44"/>
      <w:szCs w:val="52"/>
      <w:lang w:val="en-US"/>
    </w:rPr>
  </w:style>
  <w:style w:type="paragraph" w:customStyle="1" w:styleId="CoverDate">
    <w:name w:val="Cover Date"/>
    <w:basedOn w:val="Normal"/>
    <w:qFormat/>
    <w:rsid w:val="002A0CE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126"/>
      <w:ind w:left="284"/>
      <w:jc w:val="left"/>
      <w:textAlignment w:val="auto"/>
    </w:pPr>
    <w:rPr>
      <w:rFonts w:ascii="Arial" w:eastAsia="AvenirNext LT Pro Regular" w:hAnsi="Arial" w:cs="AvenirNext LT Pro Regular"/>
      <w:b/>
      <w:spacing w:val="-2"/>
      <w:sz w:val="36"/>
      <w:szCs w:val="22"/>
      <w:lang w:val="en-US"/>
    </w:rPr>
  </w:style>
  <w:style w:type="paragraph" w:customStyle="1" w:styleId="CoverSeries">
    <w:name w:val="Cover Series"/>
    <w:basedOn w:val="Normal"/>
    <w:qFormat/>
    <w:rsid w:val="002A0CE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241" w:line="244" w:lineRule="auto"/>
      <w:ind w:left="284"/>
      <w:jc w:val="left"/>
      <w:textAlignment w:val="auto"/>
    </w:pPr>
    <w:rPr>
      <w:rFonts w:ascii="Arial" w:eastAsia="AvenirNext LT Pro Regular" w:hAnsi="Arial" w:cs="AvenirNext LT Pro Regular"/>
      <w:bCs/>
      <w:color w:val="1A1A1A"/>
      <w:spacing w:val="-4"/>
      <w:sz w:val="40"/>
      <w:szCs w:val="48"/>
      <w:lang w:val="en-US"/>
    </w:rPr>
  </w:style>
  <w:style w:type="paragraph" w:customStyle="1" w:styleId="CoverTitle">
    <w:name w:val="Cover Title"/>
    <w:basedOn w:val="Normal"/>
    <w:qFormat/>
    <w:rsid w:val="002A0CE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338" w:line="244" w:lineRule="auto"/>
      <w:ind w:left="284" w:right="1002"/>
      <w:jc w:val="left"/>
      <w:textAlignment w:val="auto"/>
    </w:pPr>
    <w:rPr>
      <w:rFonts w:ascii="Arial" w:eastAsia="AvenirNext LT Pro Regular" w:hAnsi="Arial" w:cs="AvenirNext LT Pro Regular"/>
      <w:b/>
      <w:bCs/>
      <w:sz w:val="44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olby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yperlink" Target="https://www.itu.int/publ/R-REC/f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tu.int/ITU-R/go/patents/fr" TargetMode="Externa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chetc\AppData\Roaming\Microsoft\Templates\QuickPub\BR_Rec_200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BR_Rec_2005.dotm</Template>
  <TotalTime>6</TotalTime>
  <Pages>4</Pages>
  <Words>833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BR_Rec_2005.dot</vt:lpstr>
    </vt:vector>
  </TitlesOfParts>
  <Manager/>
  <Company>ITU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Recommandation UIT-R BS.1423-1 (05/2023) - Principes directeurs relatifs à la production de pistes sonores multicanaux à l'aide de techniques sonores ambiophoniques matricielles</dc:title>
  <dc:subject/>
  <dc:creator>Gachet, Christelle</dc:creator>
  <cp:keywords/>
  <dc:description/>
  <cp:lastModifiedBy>Gachet, Christelle</cp:lastModifiedBy>
  <cp:revision>6</cp:revision>
  <cp:lastPrinted>2024-03-08T08:05:00Z</cp:lastPrinted>
  <dcterms:created xsi:type="dcterms:W3CDTF">2024-03-08T08:00:00Z</dcterms:created>
  <dcterms:modified xsi:type="dcterms:W3CDTF">2024-03-08T08:06:00Z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Header 1">
    <vt:lpwstr>Rap. </vt:lpwstr>
  </property>
  <property fmtid="{D5CDD505-2E9C-101B-9397-08002B2CF9AE}" pid="4" name="Header 2">
    <vt:lpwstr>Rep. </vt:lpwstr>
  </property>
  <property fmtid="{D5CDD505-2E9C-101B-9397-08002B2CF9AE}" pid="5" name="Header 3">
    <vt:lpwstr>I. </vt:lpwstr>
  </property>
  <property fmtid="{D5CDD505-2E9C-101B-9397-08002B2CF9AE}" pid="6" name="Header 4">
    <vt:lpwstr>Op. </vt:lpwstr>
  </property>
  <property fmtid="{D5CDD505-2E9C-101B-9397-08002B2CF9AE}" pid="7" name="Header 5">
    <vt:lpwstr>V. </vt:lpwstr>
  </property>
  <property fmtid="{D5CDD505-2E9C-101B-9397-08002B2CF9AE}" pid="8" name="Header 6">
    <vt:lpwstr>Ru. </vt:lpwstr>
  </property>
</Properties>
</file>