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46" w:rsidRPr="00575CB8" w:rsidRDefault="000E0E46" w:rsidP="000E0E46">
      <w:pPr>
        <w:rPr>
          <w:lang w:val="en-US"/>
        </w:rPr>
      </w:pPr>
      <w:bookmarkStart w:id="0" w:name="dbreak"/>
      <w:bookmarkEnd w:id="0"/>
    </w:p>
    <w:p w:rsidR="000E0E46" w:rsidRDefault="000E0E46" w:rsidP="000E0E46"/>
    <w:p w:rsidR="000E0E46" w:rsidRDefault="000E0E46" w:rsidP="000E0E46"/>
    <w:p w:rsidR="000E0E46" w:rsidRDefault="000E0E46" w:rsidP="000E0E46"/>
    <w:p w:rsidR="000E0E46" w:rsidRDefault="000E0E46" w:rsidP="000E0E46"/>
    <w:p w:rsidR="000E0E46" w:rsidRDefault="000E0E46" w:rsidP="00D61FDB">
      <w:pPr>
        <w:spacing w:before="0"/>
      </w:pPr>
    </w:p>
    <w:p w:rsidR="00D61FDB" w:rsidRDefault="00D61FDB" w:rsidP="00D61FDB">
      <w:pPr>
        <w:spacing w:before="0"/>
      </w:pPr>
    </w:p>
    <w:p w:rsidR="000E0E46" w:rsidRDefault="000E0E46" w:rsidP="000E0E46"/>
    <w:p w:rsidR="000E0E46" w:rsidRDefault="000E0E46" w:rsidP="000E0E46"/>
    <w:p w:rsidR="000E0E46" w:rsidRDefault="000E0E46" w:rsidP="000E0E4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E0E46" w:rsidRPr="00306452" w:rsidTr="00AD049B">
        <w:tc>
          <w:tcPr>
            <w:tcW w:w="10089" w:type="dxa"/>
          </w:tcPr>
          <w:p w:rsidR="000E0E46" w:rsidRPr="0010336F" w:rsidRDefault="000E0E46" w:rsidP="00AD049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0E46" w:rsidRPr="0010336F" w:rsidRDefault="000E0E46" w:rsidP="00AD049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1898</w:t>
            </w:r>
          </w:p>
          <w:p w:rsidR="000E0E46" w:rsidRPr="0010336F" w:rsidRDefault="000E0E46" w:rsidP="00AD049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E0E46" w:rsidRPr="00C52FB9" w:rsidTr="00AD049B">
        <w:tc>
          <w:tcPr>
            <w:tcW w:w="10089" w:type="dxa"/>
          </w:tcPr>
          <w:p w:rsidR="000E0E46" w:rsidRPr="0010336F" w:rsidRDefault="000E0E46" w:rsidP="00AD04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E0E46" w:rsidRDefault="000E0E46" w:rsidP="00AD04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Valor de la densidad de flujo de potencia necesaria para proteger las estaciones terrenas receptoras del servicio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radiodifusión por satélite en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Regiones 1 y 3 contra las emisiones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una estación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de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los servicios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fijo y/o </w:t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móvil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la banda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65A9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21,4-22 GHz</w:t>
            </w:r>
          </w:p>
          <w:p w:rsidR="000E0E46" w:rsidRPr="0010336F" w:rsidRDefault="000E0E46" w:rsidP="00AD04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E0E46" w:rsidRPr="00C52FB9" w:rsidTr="00AD049B">
        <w:tc>
          <w:tcPr>
            <w:tcW w:w="10089" w:type="dxa"/>
          </w:tcPr>
          <w:p w:rsidR="000E0E46" w:rsidRPr="0010336F" w:rsidRDefault="000E0E46" w:rsidP="00AD049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E0E46" w:rsidRPr="0010336F" w:rsidRDefault="000E0E46" w:rsidP="00AD049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E0E46" w:rsidRPr="0010336F" w:rsidRDefault="000E0E46" w:rsidP="00AD049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</w:p>
          <w:p w:rsidR="000E0E46" w:rsidRPr="0010336F" w:rsidRDefault="000E0E46" w:rsidP="00AD049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Distribución por satélite</w:t>
            </w:r>
          </w:p>
        </w:tc>
      </w:tr>
    </w:tbl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E0E46" w:rsidRPr="0026666F" w:rsidSect="00D13658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0E0E46" w:rsidRPr="006C718C" w:rsidRDefault="000E0E46" w:rsidP="000E0E4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E0E46" w:rsidRPr="006C718C" w:rsidRDefault="000E0E46" w:rsidP="000E0E46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E0E46" w:rsidRPr="006C718C" w:rsidRDefault="000E0E46" w:rsidP="000E0E46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E0E46" w:rsidRPr="00021E8A" w:rsidRDefault="000E0E46" w:rsidP="000E0E46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E0E46" w:rsidRPr="00021E8A" w:rsidRDefault="000E0E46" w:rsidP="000E0E46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E0E46" w:rsidRPr="007C36CA" w:rsidRDefault="000E0E46" w:rsidP="000E0E46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E0E46" w:rsidRPr="00C52FB9" w:rsidTr="00AD049B">
        <w:tc>
          <w:tcPr>
            <w:tcW w:w="9360" w:type="dxa"/>
            <w:gridSpan w:val="2"/>
          </w:tcPr>
          <w:p w:rsidR="000E0E46" w:rsidRPr="00021E8A" w:rsidRDefault="000E0E46" w:rsidP="00AD049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E0E46" w:rsidRPr="00763D08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2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E0E46" w:rsidRPr="00036EE3" w:rsidTr="00AD049B">
        <w:tc>
          <w:tcPr>
            <w:tcW w:w="1140" w:type="dxa"/>
            <w:tcBorders>
              <w:bottom w:val="nil"/>
            </w:tcBorders>
          </w:tcPr>
          <w:p w:rsidR="000E0E46" w:rsidRPr="00036EE3" w:rsidRDefault="000E0E46" w:rsidP="00AD049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E0E46" w:rsidRPr="00036EE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0E0E46" w:rsidRPr="006B22C3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E0E46" w:rsidRPr="006B22C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B22C3">
              <w:rPr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E0E46" w:rsidRPr="006B22C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6B22C3">
              <w:rPr>
                <w:bCs/>
                <w:color w:val="000080"/>
                <w:sz w:val="20"/>
              </w:rPr>
              <w:t>Distribución por satélite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0E46" w:rsidRPr="006B22C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0E46" w:rsidRPr="006B22C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E0E46" w:rsidRPr="00036EE3" w:rsidTr="00AD049B">
        <w:tc>
          <w:tcPr>
            <w:tcW w:w="1140" w:type="dxa"/>
            <w:tcBorders>
              <w:top w:val="nil"/>
            </w:tcBorders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</w:tcBorders>
          </w:tcPr>
          <w:p w:rsidR="000E0E46" w:rsidRPr="00021E8A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0E0E46" w:rsidRPr="00ED2695" w:rsidTr="00AD049B">
        <w:tc>
          <w:tcPr>
            <w:tcW w:w="1140" w:type="dxa"/>
            <w:shd w:val="clear" w:color="auto" w:fill="auto"/>
          </w:tcPr>
          <w:p w:rsidR="000E0E46" w:rsidRPr="00ED2695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E0E46" w:rsidRPr="00021E8A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0E0E46" w:rsidRPr="00036EE3" w:rsidTr="00AD049B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0E46" w:rsidRPr="0010336F" w:rsidRDefault="000E0E46" w:rsidP="00AD049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0E46" w:rsidRPr="0010336F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</w:tcBorders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E0E46" w:rsidRPr="00036EE3" w:rsidTr="00AD049B">
        <w:tc>
          <w:tcPr>
            <w:tcW w:w="1140" w:type="dxa"/>
            <w:shd w:val="clear" w:color="auto" w:fill="auto"/>
          </w:tcPr>
          <w:p w:rsidR="000E0E46" w:rsidRPr="001240BC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E0E46" w:rsidRPr="001240BC" w:rsidRDefault="000E0E46" w:rsidP="00AD04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0E0E46" w:rsidRPr="00036EE3" w:rsidRDefault="000E0E46" w:rsidP="000E0E46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E0E46" w:rsidTr="00AD049B">
        <w:tc>
          <w:tcPr>
            <w:tcW w:w="720" w:type="dxa"/>
          </w:tcPr>
          <w:p w:rsidR="000E0E46" w:rsidRDefault="000E0E46" w:rsidP="00AD049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E0E46" w:rsidRPr="00C52FB9" w:rsidTr="00AD049B">
        <w:tc>
          <w:tcPr>
            <w:tcW w:w="9360" w:type="dxa"/>
          </w:tcPr>
          <w:p w:rsidR="000E0E46" w:rsidRPr="00763D08" w:rsidRDefault="000E0E46" w:rsidP="00AD049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E0E46" w:rsidRPr="00763D08" w:rsidRDefault="000E0E46" w:rsidP="000E0E46">
      <w:pPr>
        <w:spacing w:before="0"/>
        <w:jc w:val="center"/>
        <w:rPr>
          <w:sz w:val="22"/>
          <w:lang w:val="es-ES_tradnl"/>
        </w:rPr>
      </w:pPr>
    </w:p>
    <w:p w:rsidR="000E0E46" w:rsidRPr="00763D08" w:rsidRDefault="000E0E46" w:rsidP="000E0E46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E0E46" w:rsidRPr="00763D08" w:rsidRDefault="000E0E46" w:rsidP="000E0E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0E0E46" w:rsidRPr="00763D08" w:rsidRDefault="000E0E46" w:rsidP="000E0E46">
      <w:pPr>
        <w:spacing w:before="0"/>
        <w:jc w:val="center"/>
        <w:rPr>
          <w:sz w:val="22"/>
          <w:lang w:val="es-ES_tradnl"/>
        </w:rPr>
      </w:pPr>
    </w:p>
    <w:p w:rsidR="000E0E46" w:rsidRPr="00763D08" w:rsidRDefault="000E0E46" w:rsidP="000E0E4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0E0E46" w:rsidRPr="006C718C" w:rsidRDefault="000E0E46" w:rsidP="000E0E46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E0E46" w:rsidRPr="006C718C" w:rsidRDefault="000E0E46" w:rsidP="000E0E46">
      <w:pPr>
        <w:spacing w:before="160"/>
        <w:rPr>
          <w:i/>
          <w:sz w:val="20"/>
          <w:highlight w:val="yellow"/>
          <w:lang w:val="es-ES_tradnl"/>
        </w:rPr>
        <w:sectPr w:rsidR="000E0E46" w:rsidRPr="006C718C" w:rsidSect="00D1365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E0E46" w:rsidRDefault="000E0E46" w:rsidP="000E0E46">
      <w:pPr>
        <w:pStyle w:val="RecNo"/>
        <w:spacing w:before="0"/>
        <w:rPr>
          <w:lang w:val="es-ES_tradnl"/>
        </w:rPr>
      </w:pPr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 w:rsidRPr="007D4DBB">
        <w:rPr>
          <w:rStyle w:val="href"/>
          <w:lang w:val="es-ES"/>
        </w:rPr>
        <w:t>BO.1</w:t>
      </w:r>
      <w:r>
        <w:rPr>
          <w:rStyle w:val="href"/>
          <w:lang w:val="es-ES"/>
        </w:rPr>
        <w:t>898</w:t>
      </w:r>
    </w:p>
    <w:p w:rsidR="000E0E46" w:rsidRDefault="000E0E46" w:rsidP="000E0E46">
      <w:pPr>
        <w:pStyle w:val="Rectitle"/>
        <w:rPr>
          <w:lang w:val="es-ES_tradnl"/>
        </w:rPr>
      </w:pPr>
      <w:r w:rsidRPr="00756E7A">
        <w:rPr>
          <w:lang w:val="es-ES_tradnl"/>
        </w:rPr>
        <w:t>Valor de la densidad de flujo de potencia necesaria para proteger</w:t>
      </w:r>
      <w:r>
        <w:rPr>
          <w:lang w:val="es-ES_tradnl"/>
        </w:rPr>
        <w:br/>
      </w:r>
      <w:r w:rsidRPr="00756E7A">
        <w:rPr>
          <w:lang w:val="es-ES_tradnl"/>
        </w:rPr>
        <w:t>las estaciones terrenas receptoras del servicio de radiodifusión</w:t>
      </w:r>
      <w:r>
        <w:rPr>
          <w:lang w:val="es-ES_tradnl"/>
        </w:rPr>
        <w:t xml:space="preserve"> por</w:t>
      </w:r>
      <w:r>
        <w:rPr>
          <w:lang w:val="es-ES_tradnl"/>
        </w:rPr>
        <w:br/>
      </w:r>
      <w:r w:rsidRPr="00756E7A">
        <w:rPr>
          <w:lang w:val="es-ES_tradnl"/>
        </w:rPr>
        <w:t>satélite en las Regiones 1 y 3 contra las emisiones de una estación</w:t>
      </w:r>
      <w:r>
        <w:rPr>
          <w:lang w:val="es-ES_tradnl"/>
        </w:rPr>
        <w:br/>
      </w:r>
      <w:r w:rsidRPr="00756E7A">
        <w:rPr>
          <w:lang w:val="es-ES_tradnl"/>
        </w:rPr>
        <w:t>de los servicios fijo y/o móvil en la banda 21,4-22 GHz</w:t>
      </w:r>
    </w:p>
    <w:p w:rsidR="003D1204" w:rsidRPr="003D1204" w:rsidRDefault="003D1204" w:rsidP="003D1204">
      <w:pPr>
        <w:pStyle w:val="Blanc"/>
      </w:pPr>
    </w:p>
    <w:p w:rsidR="000E0E46" w:rsidRPr="00C52FB9" w:rsidRDefault="000E0E46" w:rsidP="000E0E46">
      <w:pPr>
        <w:pStyle w:val="Recdate"/>
        <w:rPr>
          <w:lang w:val="es-ES_tradnl"/>
        </w:rPr>
      </w:pPr>
      <w:bookmarkStart w:id="3" w:name="Revision_history"/>
      <w:r w:rsidRPr="00C52FB9">
        <w:rPr>
          <w:lang w:val="es-ES_tradnl"/>
        </w:rPr>
        <w:t>(2012)</w:t>
      </w:r>
      <w:bookmarkEnd w:id="3"/>
    </w:p>
    <w:p w:rsidR="003D1204" w:rsidRPr="003D1204" w:rsidRDefault="003D1204" w:rsidP="003D1204">
      <w:pPr>
        <w:pStyle w:val="Blanc"/>
      </w:pPr>
    </w:p>
    <w:p w:rsidR="000E0E46" w:rsidRPr="00C52FB9" w:rsidRDefault="000E0E46" w:rsidP="000E0E46">
      <w:pPr>
        <w:pStyle w:val="Headingb"/>
        <w:rPr>
          <w:lang w:val="es-ES_tradnl" w:eastAsia="ko-KR"/>
        </w:rPr>
      </w:pPr>
      <w:r w:rsidRPr="00C52FB9">
        <w:rPr>
          <w:lang w:val="es-ES_tradnl"/>
        </w:rPr>
        <w:t>Cometido</w:t>
      </w:r>
    </w:p>
    <w:p w:rsidR="000E0E46" w:rsidRPr="00C52FB9" w:rsidRDefault="000E0E46" w:rsidP="00A90930">
      <w:pPr>
        <w:pStyle w:val="Summary"/>
        <w:rPr>
          <w:lang w:eastAsia="ko-KR"/>
        </w:rPr>
      </w:pPr>
      <w:r w:rsidRPr="00C52FB9">
        <w:t>Esta Recomendación proporciona el máximo valor admisible de la dfp para proteger las estaciones terrenas receptoras del SRS en las Regiones 1 y</w:t>
      </w:r>
      <w:r w:rsidR="00A90930">
        <w:t xml:space="preserve"> </w:t>
      </w:r>
      <w:r w:rsidRPr="00C52FB9">
        <w:t>3 contra las emisiones generadas por una sola estaci</w:t>
      </w:r>
      <w:r>
        <w:t>ón de los servicios fijo y/o móvil en la</w:t>
      </w:r>
      <w:r w:rsidRPr="00C52FB9">
        <w:t xml:space="preserve"> band</w:t>
      </w:r>
      <w:r>
        <w:t>a</w:t>
      </w:r>
      <w:r w:rsidRPr="00C52FB9">
        <w:t xml:space="preserve"> 21</w:t>
      </w:r>
      <w:r>
        <w:t>,</w:t>
      </w:r>
      <w:r w:rsidRPr="00C52FB9">
        <w:t>4</w:t>
      </w:r>
      <w:r w:rsidRPr="00C52FB9">
        <w:noBreakHyphen/>
        <w:t>22</w:t>
      </w:r>
      <w:r>
        <w:t>,</w:t>
      </w:r>
      <w:r w:rsidRPr="00C52FB9">
        <w:t>0</w:t>
      </w:r>
      <w:r>
        <w:t> </w:t>
      </w:r>
      <w:r w:rsidRPr="00C52FB9">
        <w:t>GHz</w:t>
      </w:r>
      <w:r w:rsidRPr="00C52FB9">
        <w:rPr>
          <w:lang w:eastAsia="ja-JP"/>
        </w:rPr>
        <w:t>. Su objetivo es servir de orientación a las administraciones en sus negociaciones bilaterales o multilaterales proporcionando una detallada metodolog</w:t>
      </w:r>
      <w:r>
        <w:rPr>
          <w:lang w:eastAsia="ja-JP"/>
        </w:rPr>
        <w:t>ía y el valor obtenido de la dfp</w:t>
      </w:r>
      <w:r w:rsidRPr="00C52FB9">
        <w:rPr>
          <w:lang w:eastAsia="ja-JP"/>
        </w:rPr>
        <w:t>.</w:t>
      </w:r>
    </w:p>
    <w:p w:rsidR="000E0E46" w:rsidRPr="007502F3" w:rsidRDefault="000E0E46" w:rsidP="000E0E46">
      <w:pPr>
        <w:pStyle w:val="Normalaftertitle"/>
        <w:rPr>
          <w:lang w:val="es-ES_tradnl"/>
        </w:rPr>
      </w:pPr>
      <w:r w:rsidRPr="007502F3">
        <w:rPr>
          <w:lang w:val="es-ES_tradnl"/>
        </w:rPr>
        <w:t>La Asamblea de Radiocomunicaciones de la UIT,</w:t>
      </w:r>
    </w:p>
    <w:p w:rsidR="000E0E46" w:rsidRPr="004A4A5F" w:rsidRDefault="000E0E46" w:rsidP="000E0E46">
      <w:pPr>
        <w:pStyle w:val="Call"/>
        <w:rPr>
          <w:lang w:val="en-US"/>
        </w:rPr>
      </w:pPr>
      <w:r w:rsidRPr="004A4A5F">
        <w:rPr>
          <w:lang w:val="en-US"/>
        </w:rPr>
        <w:t>considerando</w:t>
      </w:r>
    </w:p>
    <w:p w:rsidR="000E0E46" w:rsidRPr="00C52FB9" w:rsidRDefault="000E0E46" w:rsidP="003D1204">
      <w:pPr>
        <w:rPr>
          <w:lang w:val="es-ES_tradnl"/>
        </w:rPr>
      </w:pPr>
      <w:r w:rsidRPr="00C52FB9">
        <w:rPr>
          <w:iCs/>
          <w:lang w:val="es-ES_tradnl"/>
        </w:rPr>
        <w:t>a)</w:t>
      </w:r>
      <w:r w:rsidRPr="00C52FB9">
        <w:rPr>
          <w:lang w:val="es-ES_tradnl"/>
        </w:rPr>
        <w:tab/>
        <w:t>que las emisiones procedentes de estaciones terrenales pueden caus</w:t>
      </w:r>
      <w:r>
        <w:rPr>
          <w:lang w:val="es-ES_tradnl"/>
        </w:rPr>
        <w:t>a</w:t>
      </w:r>
      <w:r w:rsidRPr="00C52FB9">
        <w:rPr>
          <w:lang w:val="es-ES_tradnl"/>
        </w:rPr>
        <w:t>r</w:t>
      </w:r>
      <w:r>
        <w:rPr>
          <w:lang w:val="es-ES_tradnl"/>
        </w:rPr>
        <w:t xml:space="preserve"> una interferencia que rebasa los niveles admisibles a las estaciones terrenas receptoras del SRS en las</w:t>
      </w:r>
      <w:r w:rsidRPr="00C52FB9">
        <w:rPr>
          <w:lang w:val="es-ES_tradnl"/>
        </w:rPr>
        <w:t xml:space="preserve"> Region</w:t>
      </w:r>
      <w:r>
        <w:rPr>
          <w:lang w:val="es-ES_tradnl"/>
        </w:rPr>
        <w:t>e</w:t>
      </w:r>
      <w:r w:rsidRPr="00C52FB9">
        <w:rPr>
          <w:lang w:val="es-ES_tradnl"/>
        </w:rPr>
        <w:t>s</w:t>
      </w:r>
      <w:r w:rsidR="003D1204">
        <w:rPr>
          <w:lang w:val="es-ES_tradnl"/>
        </w:rPr>
        <w:t> </w:t>
      </w:r>
      <w:r w:rsidRPr="00C52FB9">
        <w:rPr>
          <w:lang w:val="es-ES_tradnl"/>
        </w:rPr>
        <w:t xml:space="preserve">1 </w:t>
      </w:r>
      <w:r>
        <w:rPr>
          <w:lang w:val="es-ES_tradnl"/>
        </w:rPr>
        <w:t>y</w:t>
      </w:r>
      <w:r w:rsidRPr="00C52FB9">
        <w:rPr>
          <w:lang w:val="es-ES_tradnl"/>
        </w:rPr>
        <w:t xml:space="preserve"> 3 </w:t>
      </w:r>
      <w:r>
        <w:rPr>
          <w:lang w:val="es-ES_tradnl"/>
        </w:rPr>
        <w:t>e</w:t>
      </w:r>
      <w:r w:rsidRPr="00C52FB9">
        <w:rPr>
          <w:lang w:val="es-ES_tradnl"/>
        </w:rPr>
        <w:t xml:space="preserve">n </w:t>
      </w:r>
      <w:r>
        <w:rPr>
          <w:lang w:val="es-ES_tradnl"/>
        </w:rPr>
        <w:t>la</w:t>
      </w:r>
      <w:r w:rsidRPr="00C52FB9">
        <w:rPr>
          <w:lang w:val="es-ES_tradnl"/>
        </w:rPr>
        <w:t xml:space="preserve"> band</w:t>
      </w:r>
      <w:r>
        <w:rPr>
          <w:lang w:val="es-ES_tradnl"/>
        </w:rPr>
        <w:t>a</w:t>
      </w:r>
      <w:r w:rsidRPr="00C52FB9">
        <w:rPr>
          <w:lang w:val="es-ES_tradnl"/>
        </w:rPr>
        <w:t xml:space="preserve"> 21</w:t>
      </w:r>
      <w:r>
        <w:rPr>
          <w:lang w:val="es-ES_tradnl"/>
        </w:rPr>
        <w:t>,</w:t>
      </w:r>
      <w:r w:rsidRPr="00C52FB9">
        <w:rPr>
          <w:lang w:val="es-ES_tradnl"/>
        </w:rPr>
        <w:t>4-22</w:t>
      </w:r>
      <w:r>
        <w:rPr>
          <w:lang w:val="es-ES_tradnl"/>
        </w:rPr>
        <w:t>,</w:t>
      </w:r>
      <w:r w:rsidRPr="00C52FB9">
        <w:rPr>
          <w:lang w:val="es-ES_tradnl"/>
        </w:rPr>
        <w:t>0 GHz;</w:t>
      </w:r>
    </w:p>
    <w:p w:rsidR="000E0E46" w:rsidRPr="00C52FB9" w:rsidRDefault="000E0E46" w:rsidP="003D1204">
      <w:pPr>
        <w:rPr>
          <w:lang w:val="es-ES_tradnl"/>
        </w:rPr>
      </w:pPr>
      <w:r w:rsidRPr="00C52FB9">
        <w:rPr>
          <w:iCs/>
          <w:lang w:val="es-ES_tradnl"/>
        </w:rPr>
        <w:t>b)</w:t>
      </w:r>
      <w:r w:rsidRPr="00C52FB9">
        <w:rPr>
          <w:lang w:val="es-ES_tradnl"/>
        </w:rPr>
        <w:tab/>
        <w:t>que para proteger las estaciones terrenas receptoras del SRS en las Regiones</w:t>
      </w:r>
      <w:r w:rsidR="003D1204">
        <w:rPr>
          <w:lang w:val="es-ES_tradnl"/>
        </w:rPr>
        <w:t> </w:t>
      </w:r>
      <w:r w:rsidRPr="00C52FB9">
        <w:rPr>
          <w:lang w:val="es-ES_tradnl"/>
        </w:rPr>
        <w:t>1 y 3 contra la interferencia inaceptable procedente de las estaciones terrenales, es necesario fijar un m</w:t>
      </w:r>
      <w:r>
        <w:rPr>
          <w:lang w:val="es-ES_tradnl"/>
        </w:rPr>
        <w:t>áximo valor admisible adecuado de la dfp aplicable a las emisiones de una estación terrenal en esta banda</w:t>
      </w:r>
      <w:r w:rsidRPr="00C52FB9">
        <w:rPr>
          <w:lang w:val="es-ES_tradnl"/>
        </w:rPr>
        <w:t>,</w:t>
      </w:r>
    </w:p>
    <w:p w:rsidR="000E0E46" w:rsidRPr="004A4A5F" w:rsidRDefault="000E0E46" w:rsidP="000E0E46">
      <w:pPr>
        <w:pStyle w:val="Call"/>
        <w:rPr>
          <w:lang w:val="en-US"/>
        </w:rPr>
      </w:pPr>
      <w:r w:rsidRPr="004A4A5F">
        <w:rPr>
          <w:lang w:val="en-US"/>
        </w:rPr>
        <w:t>recomienda</w:t>
      </w:r>
    </w:p>
    <w:p w:rsidR="000E0E46" w:rsidRPr="00C52FB9" w:rsidRDefault="000E0E46" w:rsidP="001C6974">
      <w:pPr>
        <w:rPr>
          <w:lang w:val="es-ES_tradnl" w:eastAsia="ko-KR"/>
        </w:rPr>
      </w:pPr>
      <w:r w:rsidRPr="00C52FB9">
        <w:rPr>
          <w:b/>
          <w:bCs/>
          <w:iCs/>
          <w:lang w:val="es-ES_tradnl"/>
        </w:rPr>
        <w:t>1</w:t>
      </w:r>
      <w:r w:rsidRPr="00C52FB9">
        <w:rPr>
          <w:lang w:val="es-ES_tradnl"/>
        </w:rPr>
        <w:tab/>
        <w:t xml:space="preserve">que para proteger las estaciones terrenas receptoras del SRS, se utilice un valor de </w:t>
      </w:r>
      <w:r w:rsidR="001C6974">
        <w:rPr>
          <w:lang w:val="es-ES_tradnl"/>
        </w:rPr>
        <w:fldChar w:fldCharType="begin"/>
      </w:r>
      <w:r w:rsidR="001C6974">
        <w:rPr>
          <w:lang w:val="es-ES_tradnl"/>
        </w:rPr>
        <w:instrText xml:space="preserve"> EQ  </w:instrText>
      </w:r>
      <w:r w:rsidR="001C6974" w:rsidRPr="001C6974">
        <w:rPr>
          <w:lang w:val="es-ES_tradnl"/>
        </w:rPr>
        <w:instrText>–</w:instrText>
      </w:r>
      <w:r w:rsidR="001C6974" w:rsidRPr="00C52FB9">
        <w:rPr>
          <w:lang w:val="es-ES_tradnl" w:eastAsia="ko-KR"/>
        </w:rPr>
        <w:instrText>120,4 </w:instrText>
      </w:r>
      <w:r w:rsidR="001C6974" w:rsidRPr="00C52FB9">
        <w:rPr>
          <w:lang w:val="es-ES_tradnl"/>
        </w:rPr>
        <w:instrText>dB(W/(m</w:instrText>
      </w:r>
      <w:r w:rsidR="001C6974" w:rsidRPr="00C52FB9">
        <w:rPr>
          <w:vertAlign w:val="superscript"/>
          <w:lang w:val="es-ES_tradnl"/>
        </w:rPr>
        <w:instrText>2</w:instrText>
      </w:r>
      <w:r w:rsidR="001C6974" w:rsidRPr="003D1204">
        <w:rPr>
          <w:sz w:val="16"/>
        </w:rPr>
        <w:instrText> </w:instrText>
      </w:r>
      <w:r w:rsidR="001C6974" w:rsidRPr="00C52FB9">
        <w:rPr>
          <w:lang w:val="es-ES_tradnl"/>
        </w:rPr>
        <w:instrText>·</w:instrText>
      </w:r>
      <w:r w:rsidR="001C6974" w:rsidRPr="003D1204">
        <w:rPr>
          <w:sz w:val="16"/>
        </w:rPr>
        <w:instrText> </w:instrText>
      </w:r>
      <w:r w:rsidR="001C6974" w:rsidRPr="00C52FB9">
        <w:rPr>
          <w:lang w:val="es-ES_tradnl" w:eastAsia="ko-KR"/>
        </w:rPr>
        <w:instrText>1 M</w:instrText>
      </w:r>
      <w:r w:rsidR="001C6974" w:rsidRPr="00C52FB9">
        <w:rPr>
          <w:lang w:val="es-ES_tradnl"/>
        </w:rPr>
        <w:instrText>Hz)</w:instrText>
      </w:r>
      <w:r w:rsidR="001C6974" w:rsidRPr="00C52FB9">
        <w:rPr>
          <w:lang w:val="es-ES_tradnl" w:eastAsia="ko-KR"/>
        </w:rPr>
        <w:instrText>)</w:instrText>
      </w:r>
      <w:r w:rsidR="001C6974">
        <w:rPr>
          <w:lang w:val="es-ES_tradnl"/>
        </w:rPr>
        <w:fldChar w:fldCharType="end"/>
      </w:r>
      <w:r w:rsidRPr="00C52FB9">
        <w:rPr>
          <w:lang w:val="es-ES_tradnl" w:eastAsia="ko-KR"/>
        </w:rPr>
        <w:t xml:space="preserve"> como m</w:t>
      </w:r>
      <w:r>
        <w:rPr>
          <w:lang w:val="es-ES_tradnl" w:eastAsia="ko-KR"/>
        </w:rPr>
        <w:t>áximo nivel admisible de dfp procedente de una sola fuente producida por emisiones de una estación terrenal en la</w:t>
      </w:r>
      <w:r w:rsidRPr="00C52FB9">
        <w:rPr>
          <w:lang w:val="es-ES_tradnl"/>
        </w:rPr>
        <w:t xml:space="preserve"> band</w:t>
      </w:r>
      <w:r>
        <w:rPr>
          <w:lang w:val="es-ES_tradnl"/>
        </w:rPr>
        <w:t>a</w:t>
      </w:r>
      <w:r w:rsidRPr="00C52FB9">
        <w:rPr>
          <w:lang w:val="es-ES_tradnl"/>
        </w:rPr>
        <w:t xml:space="preserve"> 21</w:t>
      </w:r>
      <w:r>
        <w:rPr>
          <w:lang w:val="es-ES_tradnl"/>
        </w:rPr>
        <w:t>,</w:t>
      </w:r>
      <w:r w:rsidRPr="00C52FB9">
        <w:rPr>
          <w:lang w:val="es-ES_tradnl"/>
        </w:rPr>
        <w:t>4-22</w:t>
      </w:r>
      <w:r>
        <w:rPr>
          <w:lang w:val="es-ES_tradnl"/>
        </w:rPr>
        <w:t>,</w:t>
      </w:r>
      <w:r w:rsidRPr="00C52FB9">
        <w:rPr>
          <w:lang w:val="es-ES_tradnl"/>
        </w:rPr>
        <w:t>0 GHz;</w:t>
      </w:r>
      <w:r w:rsidRPr="00C52FB9">
        <w:rPr>
          <w:lang w:val="es-ES_tradnl" w:eastAsia="ja-JP"/>
        </w:rPr>
        <w:t xml:space="preserve"> </w:t>
      </w:r>
    </w:p>
    <w:p w:rsidR="000E0E46" w:rsidRPr="001C03C9" w:rsidRDefault="000E0E46" w:rsidP="000E0E46">
      <w:pPr>
        <w:rPr>
          <w:lang w:val="es-ES_tradnl"/>
        </w:rPr>
      </w:pPr>
      <w:r w:rsidRPr="001C03C9">
        <w:rPr>
          <w:b/>
          <w:iCs/>
          <w:lang w:val="es-ES_tradnl"/>
        </w:rPr>
        <w:t>2</w:t>
      </w:r>
      <w:r w:rsidRPr="001C03C9">
        <w:rPr>
          <w:lang w:val="es-ES_tradnl"/>
        </w:rPr>
        <w:tab/>
      </w:r>
      <w:r w:rsidRPr="001C03C9">
        <w:rPr>
          <w:lang w:val="es-ES_tradnl" w:eastAsia="ja-JP"/>
        </w:rPr>
        <w:t>que este valor no se rebase a una altura de 3 m sobre el nivel del suelo en ning</w:t>
      </w:r>
      <w:r>
        <w:rPr>
          <w:lang w:val="es-ES_tradnl" w:eastAsia="ja-JP"/>
        </w:rPr>
        <w:t>ún punto del territorio de cualquier otra administración en las</w:t>
      </w:r>
      <w:r w:rsidRPr="001C03C9">
        <w:rPr>
          <w:lang w:val="es-ES_tradnl" w:eastAsia="ja-JP"/>
        </w:rPr>
        <w:t xml:space="preserve"> Region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 xml:space="preserve">s 1 </w:t>
      </w:r>
      <w:r>
        <w:rPr>
          <w:lang w:val="es-ES_tradnl" w:eastAsia="ja-JP"/>
        </w:rPr>
        <w:t>y</w:t>
      </w:r>
      <w:r w:rsidRPr="001C03C9">
        <w:rPr>
          <w:lang w:val="es-ES_tradnl" w:eastAsia="ja-JP"/>
        </w:rPr>
        <w:t xml:space="preserve"> 3 </w:t>
      </w:r>
      <w:r>
        <w:rPr>
          <w:lang w:val="es-ES_tradnl"/>
        </w:rPr>
        <w:t>durante más del</w:t>
      </w:r>
      <w:r w:rsidRPr="001C03C9">
        <w:rPr>
          <w:lang w:val="es-ES_tradnl"/>
        </w:rPr>
        <w:t xml:space="preserve"> </w:t>
      </w:r>
      <w:r w:rsidRPr="001C03C9">
        <w:rPr>
          <w:lang w:val="es-ES_tradnl" w:eastAsia="ko-KR"/>
        </w:rPr>
        <w:t>20</w:t>
      </w:r>
      <w:r w:rsidRPr="001C03C9">
        <w:rPr>
          <w:lang w:val="es-ES_tradnl"/>
        </w:rPr>
        <w:t xml:space="preserve">% </w:t>
      </w:r>
      <w:r>
        <w:rPr>
          <w:lang w:val="es-ES_tradnl"/>
        </w:rPr>
        <w:t>del tiempo</w:t>
      </w:r>
      <w:r w:rsidRPr="001C03C9">
        <w:rPr>
          <w:lang w:val="es-ES_tradnl"/>
        </w:rPr>
        <w:t>, calculad</w:t>
      </w:r>
      <w:r>
        <w:rPr>
          <w:lang w:val="es-ES_tradnl"/>
        </w:rPr>
        <w:t>o de co</w:t>
      </w:r>
      <w:r w:rsidRPr="001C03C9">
        <w:rPr>
          <w:lang w:val="es-ES_tradnl"/>
        </w:rPr>
        <w:t>n</w:t>
      </w:r>
      <w:r>
        <w:rPr>
          <w:lang w:val="es-ES_tradnl"/>
        </w:rPr>
        <w:t>formidad con la</w:t>
      </w:r>
      <w:r w:rsidRPr="001C03C9">
        <w:rPr>
          <w:lang w:val="es-ES_tradnl"/>
        </w:rPr>
        <w:t xml:space="preserve"> Recomenda</w:t>
      </w:r>
      <w:r>
        <w:rPr>
          <w:lang w:val="es-ES_tradnl"/>
        </w:rPr>
        <w:t>c</w:t>
      </w:r>
      <w:r w:rsidRPr="001C03C9">
        <w:rPr>
          <w:lang w:val="es-ES_tradnl"/>
        </w:rPr>
        <w:t>i</w:t>
      </w:r>
      <w:r>
        <w:rPr>
          <w:lang w:val="es-ES_tradnl"/>
        </w:rPr>
        <w:t>ó</w:t>
      </w:r>
      <w:r w:rsidRPr="001C03C9">
        <w:rPr>
          <w:lang w:val="es-ES_tradnl"/>
        </w:rPr>
        <w:t>n U</w:t>
      </w:r>
      <w:r>
        <w:rPr>
          <w:lang w:val="es-ES_tradnl"/>
        </w:rPr>
        <w:t>IT</w:t>
      </w:r>
      <w:r w:rsidRPr="001C03C9">
        <w:rPr>
          <w:lang w:val="es-ES_tradnl"/>
        </w:rPr>
        <w:t>-R P.452-14;</w:t>
      </w:r>
    </w:p>
    <w:p w:rsidR="000E0E46" w:rsidRPr="001C03C9" w:rsidRDefault="000E0E46" w:rsidP="000E0E46">
      <w:pPr>
        <w:rPr>
          <w:lang w:val="es-ES_tradnl" w:eastAsia="ja-JP"/>
        </w:rPr>
      </w:pPr>
      <w:r w:rsidRPr="001C03C9">
        <w:rPr>
          <w:b/>
          <w:iCs/>
          <w:lang w:val="es-ES_tradnl" w:eastAsia="ja-JP"/>
        </w:rPr>
        <w:t>3</w:t>
      </w:r>
      <w:r w:rsidRPr="001C03C9">
        <w:rPr>
          <w:lang w:val="es-ES_tradnl" w:eastAsia="ja-JP"/>
        </w:rPr>
        <w:tab/>
        <w:t>que las siguientes Notas se consideren parte de la presente Recomenda</w:t>
      </w:r>
      <w:r>
        <w:rPr>
          <w:lang w:val="es-ES_tradnl" w:eastAsia="ja-JP"/>
        </w:rPr>
        <w:t>c</w:t>
      </w:r>
      <w:r w:rsidRPr="001C03C9">
        <w:rPr>
          <w:lang w:val="es-ES_tradnl" w:eastAsia="ja-JP"/>
        </w:rPr>
        <w:t>i</w:t>
      </w:r>
      <w:r>
        <w:rPr>
          <w:lang w:val="es-ES_tradnl" w:eastAsia="ja-JP"/>
        </w:rPr>
        <w:t>ó</w:t>
      </w:r>
      <w:r w:rsidRPr="001C03C9">
        <w:rPr>
          <w:lang w:val="es-ES_tradnl" w:eastAsia="ja-JP"/>
        </w:rPr>
        <w:t>n.</w:t>
      </w:r>
    </w:p>
    <w:p w:rsidR="000E0E46" w:rsidRPr="001C03C9" w:rsidRDefault="000E0E46" w:rsidP="003D1204">
      <w:pPr>
        <w:rPr>
          <w:lang w:val="es-ES_tradnl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</w:t>
      </w:r>
      <w:r w:rsidRPr="001C03C9">
        <w:rPr>
          <w:lang w:val="es-ES_tradnl"/>
        </w:rPr>
        <w:t>1</w:t>
      </w:r>
      <w:r>
        <w:rPr>
          <w:lang w:val="es-ES_tradnl"/>
        </w:rPr>
        <w:t>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lang w:val="es-ES_tradnl"/>
        </w:rPr>
        <w:t xml:space="preserve">El valor de la dfp del </w:t>
      </w:r>
      <w:r w:rsidRPr="001C03C9">
        <w:rPr>
          <w:i/>
          <w:lang w:val="es-ES_tradnl"/>
        </w:rPr>
        <w:t>recomienda</w:t>
      </w:r>
      <w:r w:rsidR="003D1204">
        <w:rPr>
          <w:i/>
          <w:lang w:val="es-ES_tradnl"/>
        </w:rPr>
        <w:t> </w:t>
      </w:r>
      <w:r w:rsidRPr="001C03C9">
        <w:rPr>
          <w:iCs/>
          <w:lang w:val="es-ES_tradnl"/>
        </w:rPr>
        <w:t>1</w:t>
      </w:r>
      <w:r w:rsidRPr="001C03C9">
        <w:rPr>
          <w:lang w:val="es-ES_tradnl"/>
        </w:rPr>
        <w:t xml:space="preserve"> se obtuvo utilizando la metodolog</w:t>
      </w:r>
      <w:r>
        <w:rPr>
          <w:lang w:val="es-ES_tradnl"/>
        </w:rPr>
        <w:t>ía que figura en el</w:t>
      </w:r>
      <w:r w:rsidRPr="001C03C9">
        <w:rPr>
          <w:lang w:val="es-ES_tradnl"/>
        </w:rPr>
        <w:t xml:space="preserve"> Anex</w:t>
      </w:r>
      <w:r>
        <w:rPr>
          <w:lang w:val="es-ES_tradnl"/>
        </w:rPr>
        <w:t>o</w:t>
      </w:r>
      <w:r w:rsidRPr="001C03C9">
        <w:rPr>
          <w:lang w:val="es-ES_tradnl"/>
        </w:rPr>
        <w:t> 1.</w:t>
      </w:r>
    </w:p>
    <w:p w:rsidR="000E0E46" w:rsidRPr="001C03C9" w:rsidRDefault="000E0E46" w:rsidP="003D1204">
      <w:pPr>
        <w:rPr>
          <w:szCs w:val="24"/>
          <w:lang w:val="es-ES_tradnl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2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lang w:val="es-ES_tradnl" w:eastAsia="ja-JP"/>
        </w:rPr>
        <w:t xml:space="preserve">La dfp procedente de una sola fuente del </w:t>
      </w:r>
      <w:r w:rsidRPr="001C03C9">
        <w:rPr>
          <w:i/>
          <w:lang w:val="es-ES_tradnl" w:eastAsia="ja-JP"/>
        </w:rPr>
        <w:t>recomienda</w:t>
      </w:r>
      <w:r w:rsidR="003D1204">
        <w:rPr>
          <w:i/>
          <w:lang w:val="es-ES_tradnl" w:eastAsia="ja-JP"/>
        </w:rPr>
        <w:t> </w:t>
      </w:r>
      <w:r w:rsidRPr="001C03C9">
        <w:rPr>
          <w:iCs/>
          <w:lang w:val="es-ES_tradnl" w:eastAsia="ja-JP"/>
        </w:rPr>
        <w:t>1</w:t>
      </w:r>
      <w:r w:rsidRPr="001C03C9">
        <w:rPr>
          <w:lang w:val="es-ES_tradnl" w:eastAsia="ja-JP"/>
        </w:rPr>
        <w:t xml:space="preserve"> se obtuvo a partir de un valor de </w:t>
      </w:r>
      <w:r w:rsidRPr="001C03C9">
        <w:rPr>
          <w:i/>
          <w:iCs/>
          <w:lang w:val="es-ES_tradnl" w:eastAsia="ja-JP"/>
        </w:rPr>
        <w:t>I</w:t>
      </w:r>
      <w:r w:rsidRPr="001C03C9">
        <w:rPr>
          <w:lang w:val="es-ES_tradnl" w:eastAsia="ja-JP"/>
        </w:rPr>
        <w:t>/</w:t>
      </w:r>
      <w:r w:rsidRPr="001C03C9">
        <w:rPr>
          <w:i/>
          <w:iCs/>
          <w:lang w:val="es-ES_tradnl" w:eastAsia="ja-JP"/>
        </w:rPr>
        <w:t>N</w:t>
      </w:r>
      <w:r w:rsidRPr="001C03C9">
        <w:rPr>
          <w:lang w:val="es-ES_tradnl" w:eastAsia="ja-JP"/>
        </w:rPr>
        <w:t xml:space="preserve"> combinada</w:t>
      </w:r>
      <w:r w:rsidR="003D1204">
        <w:rPr>
          <w:lang w:val="es-ES_tradnl" w:eastAsia="ja-JP"/>
        </w:rPr>
        <w:t> </w:t>
      </w:r>
      <w:r w:rsidRPr="001C03C9">
        <w:rPr>
          <w:lang w:val="es-ES_tradnl" w:eastAsia="ja-JP"/>
        </w:rPr>
        <w:t>=</w:t>
      </w:r>
      <w:r w:rsidR="003D1204">
        <w:rPr>
          <w:lang w:val="es-ES_tradnl" w:eastAsia="ja-JP"/>
        </w:rPr>
        <w:t> </w:t>
      </w:r>
      <w:r w:rsidRPr="001C03C9">
        <w:rPr>
          <w:lang w:val="es-ES_tradnl" w:eastAsia="ja-JP"/>
        </w:rPr>
        <w:t>–12</w:t>
      </w:r>
      <w:r>
        <w:rPr>
          <w:lang w:val="es-ES_tradnl" w:eastAsia="ja-JP"/>
        </w:rPr>
        <w:t>,</w:t>
      </w:r>
      <w:r w:rsidRPr="001C03C9">
        <w:rPr>
          <w:lang w:val="es-ES_tradnl" w:eastAsia="ja-JP"/>
        </w:rPr>
        <w:t>2</w:t>
      </w:r>
      <w:r>
        <w:rPr>
          <w:lang w:val="es-ES_tradnl" w:eastAsia="ja-JP"/>
        </w:rPr>
        <w:t> </w:t>
      </w:r>
      <w:r w:rsidRPr="001C03C9">
        <w:rPr>
          <w:lang w:val="es-ES_tradnl" w:eastAsia="ja-JP"/>
        </w:rPr>
        <w:t>dB (correspondi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>n</w:t>
      </w:r>
      <w:r>
        <w:rPr>
          <w:lang w:val="es-ES_tradnl" w:eastAsia="ja-JP"/>
        </w:rPr>
        <w:t>te a un incremento del</w:t>
      </w:r>
      <w:r w:rsidRPr="001C03C9">
        <w:rPr>
          <w:lang w:val="es-ES_tradnl" w:eastAsia="ja-JP"/>
        </w:rPr>
        <w:t xml:space="preserve"> 6% </w:t>
      </w:r>
      <w:r>
        <w:rPr>
          <w:lang w:val="es-ES_tradnl" w:eastAsia="ja-JP"/>
        </w:rPr>
        <w:t>d</w:t>
      </w:r>
      <w:r w:rsidRPr="001C03C9">
        <w:rPr>
          <w:lang w:val="es-ES_tradnl" w:eastAsia="ja-JP"/>
        </w:rPr>
        <w:t>e</w:t>
      </w:r>
      <w:r>
        <w:rPr>
          <w:lang w:val="es-ES_tradnl" w:eastAsia="ja-JP"/>
        </w:rPr>
        <w:t xml:space="preserve"> la</w:t>
      </w:r>
      <w:r w:rsidRPr="001C03C9">
        <w:rPr>
          <w:lang w:val="es-ES_tradnl" w:eastAsia="ja-JP"/>
        </w:rPr>
        <w:t xml:space="preserve"> temperatur</w:t>
      </w:r>
      <w:r>
        <w:rPr>
          <w:lang w:val="es-ES_tradnl" w:eastAsia="ja-JP"/>
        </w:rPr>
        <w:t>a de ruido del sistema equivalente</w:t>
      </w:r>
      <w:r w:rsidRPr="001C03C9">
        <w:rPr>
          <w:lang w:val="es-ES_tradnl" w:eastAsia="ja-JP"/>
        </w:rPr>
        <w:t xml:space="preserve">), </w:t>
      </w:r>
      <w:r>
        <w:rPr>
          <w:lang w:val="es-ES_tradnl" w:eastAsia="ja-JP"/>
        </w:rPr>
        <w:t>suponiendo un número equivalente de</w:t>
      </w:r>
      <w:r w:rsidRPr="001C03C9">
        <w:rPr>
          <w:lang w:val="es-ES_tradnl" w:eastAsia="ja-JP"/>
        </w:rPr>
        <w:t xml:space="preserve"> 3</w:t>
      </w:r>
      <w:r>
        <w:rPr>
          <w:lang w:val="es-ES_tradnl" w:eastAsia="ja-JP"/>
        </w:rPr>
        <w:t>,</w:t>
      </w:r>
      <w:r w:rsidRPr="001C03C9">
        <w:rPr>
          <w:lang w:val="es-ES_tradnl" w:eastAsia="ja-JP"/>
        </w:rPr>
        <w:t>3</w:t>
      </w:r>
      <w:r>
        <w:rPr>
          <w:lang w:val="es-ES_tradnl" w:eastAsia="ja-JP"/>
        </w:rPr>
        <w:t xml:space="preserve"> fuentes de</w:t>
      </w:r>
      <w:r w:rsidRPr="001C03C9">
        <w:rPr>
          <w:lang w:val="es-ES_tradnl" w:eastAsia="ja-JP"/>
        </w:rPr>
        <w:t xml:space="preserve"> interfer</w:t>
      </w:r>
      <w:r>
        <w:rPr>
          <w:lang w:val="es-ES_tradnl" w:eastAsia="ja-JP"/>
        </w:rPr>
        <w:t>e</w:t>
      </w:r>
      <w:r w:rsidRPr="001C03C9">
        <w:rPr>
          <w:lang w:val="es-ES_tradnl" w:eastAsia="ja-JP"/>
        </w:rPr>
        <w:t>n</w:t>
      </w:r>
      <w:r>
        <w:rPr>
          <w:lang w:val="es-ES_tradnl" w:eastAsia="ja-JP"/>
        </w:rPr>
        <w:t>cia</w:t>
      </w:r>
      <w:r w:rsidRPr="001C03C9">
        <w:rPr>
          <w:lang w:val="es-ES_tradnl" w:eastAsia="ja-JP"/>
        </w:rPr>
        <w:t xml:space="preserve">, </w:t>
      </w:r>
      <w:r>
        <w:rPr>
          <w:lang w:val="es-ES_tradnl" w:eastAsia="ja-JP"/>
        </w:rPr>
        <w:t>cada una de ellas transmitiendo con el máximo valor de dfp procedente de una sola fuente</w:t>
      </w:r>
      <w:r w:rsidRPr="001C03C9">
        <w:rPr>
          <w:lang w:val="es-ES_tradnl" w:eastAsia="ja-JP"/>
        </w:rPr>
        <w:t>.</w:t>
      </w:r>
    </w:p>
    <w:p w:rsidR="000E0E46" w:rsidRPr="001C03C9" w:rsidRDefault="000E0E46" w:rsidP="003D1204">
      <w:pPr>
        <w:rPr>
          <w:szCs w:val="24"/>
          <w:lang w:val="es-ES_tradnl" w:eastAsia="ko-KR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3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szCs w:val="24"/>
          <w:lang w:val="es-ES_tradnl" w:eastAsia="ko-KR"/>
        </w:rPr>
        <w:t xml:space="preserve">El valor del </w:t>
      </w:r>
      <w:r w:rsidRPr="001C03C9">
        <w:rPr>
          <w:i/>
          <w:szCs w:val="24"/>
          <w:lang w:val="es-ES_tradnl" w:eastAsia="ko-KR"/>
        </w:rPr>
        <w:t>recomienda</w:t>
      </w:r>
      <w:r w:rsidR="003D1204">
        <w:rPr>
          <w:szCs w:val="24"/>
          <w:lang w:val="es-ES_tradnl" w:eastAsia="ko-KR"/>
        </w:rPr>
        <w:t> </w:t>
      </w:r>
      <w:r w:rsidRPr="001C03C9">
        <w:rPr>
          <w:iCs/>
          <w:szCs w:val="24"/>
          <w:lang w:val="es-ES_tradnl" w:eastAsia="ko-KR"/>
        </w:rPr>
        <w:t>1</w:t>
      </w:r>
      <w:r w:rsidRPr="001C03C9">
        <w:rPr>
          <w:szCs w:val="24"/>
          <w:lang w:val="es-ES_tradnl" w:eastAsia="ko-KR"/>
        </w:rPr>
        <w:t xml:space="preserve"> se ha obtenido bajo la hip</w:t>
      </w:r>
      <w:r>
        <w:rPr>
          <w:szCs w:val="24"/>
          <w:lang w:val="es-ES_tradnl" w:eastAsia="ko-KR"/>
        </w:rPr>
        <w:t>ótesis de que el mínimo ángulo entre la dirección de máxima ganancia de antena de la estación terrena del SRS y la dirección hacia el transmisor interferente es de</w:t>
      </w:r>
      <w:r w:rsidRPr="001C03C9">
        <w:rPr>
          <w:szCs w:val="24"/>
          <w:lang w:val="es-ES_tradnl" w:eastAsia="ko-KR"/>
        </w:rPr>
        <w:t xml:space="preserve"> 10 gr</w:t>
      </w:r>
      <w:r>
        <w:rPr>
          <w:szCs w:val="24"/>
          <w:lang w:val="es-ES_tradnl" w:eastAsia="ko-KR"/>
        </w:rPr>
        <w:t>ado</w:t>
      </w:r>
      <w:r w:rsidRPr="001C03C9">
        <w:rPr>
          <w:szCs w:val="24"/>
          <w:lang w:val="es-ES_tradnl" w:eastAsia="ko-KR"/>
        </w:rPr>
        <w:t>s.</w:t>
      </w:r>
    </w:p>
    <w:p w:rsidR="000E0E46" w:rsidRDefault="000E0E46" w:rsidP="003D1204">
      <w:pPr>
        <w:rPr>
          <w:szCs w:val="24"/>
          <w:lang w:val="es-ES_tradnl"/>
        </w:rPr>
      </w:pPr>
      <w:r w:rsidRPr="001C03C9">
        <w:rPr>
          <w:lang w:val="es-ES_tradnl"/>
        </w:rPr>
        <w:t>NOTA</w:t>
      </w:r>
      <w:r>
        <w:rPr>
          <w:lang w:val="es-ES_tradnl"/>
        </w:rPr>
        <w:t> 4 </w:t>
      </w:r>
      <w:r w:rsidRPr="001C03C9">
        <w:rPr>
          <w:lang w:val="es-ES_tradnl"/>
        </w:rPr>
        <w:t>–</w:t>
      </w:r>
      <w:r>
        <w:rPr>
          <w:lang w:val="es-ES_tradnl"/>
        </w:rPr>
        <w:t> </w:t>
      </w:r>
      <w:r w:rsidRPr="001C03C9">
        <w:rPr>
          <w:lang w:val="es-ES_tradnl"/>
        </w:rPr>
        <w:t xml:space="preserve">El valor del </w:t>
      </w:r>
      <w:r w:rsidRPr="001C03C9">
        <w:rPr>
          <w:i/>
          <w:lang w:val="es-ES_tradnl"/>
        </w:rPr>
        <w:t>recomienda</w:t>
      </w:r>
      <w:r w:rsidR="003D1204" w:rsidRPr="003D1204">
        <w:t> </w:t>
      </w:r>
      <w:r w:rsidRPr="001C03C9">
        <w:rPr>
          <w:iCs/>
          <w:lang w:val="es-ES_tradnl"/>
        </w:rPr>
        <w:t>1</w:t>
      </w:r>
      <w:r w:rsidRPr="001C03C9">
        <w:rPr>
          <w:lang w:val="es-ES_tradnl"/>
        </w:rPr>
        <w:t xml:space="preserve"> puede utilizarse como l</w:t>
      </w:r>
      <w:r>
        <w:rPr>
          <w:lang w:val="es-ES_tradnl"/>
        </w:rPr>
        <w:t>ímite estricto o como valor umbral para garantizar la protección de la red del servicio de radiodifusión por satélite en las</w:t>
      </w:r>
      <w:r w:rsidRPr="001C03C9">
        <w:rPr>
          <w:szCs w:val="24"/>
          <w:lang w:val="es-ES_tradnl"/>
        </w:rPr>
        <w:t xml:space="preserve"> Region</w:t>
      </w:r>
      <w:r>
        <w:rPr>
          <w:szCs w:val="24"/>
          <w:lang w:val="es-ES_tradnl"/>
        </w:rPr>
        <w:t>e</w:t>
      </w:r>
      <w:r w:rsidRPr="001C03C9">
        <w:rPr>
          <w:szCs w:val="24"/>
          <w:lang w:val="es-ES_tradnl"/>
        </w:rPr>
        <w:t xml:space="preserve">s 1 </w:t>
      </w:r>
      <w:r>
        <w:rPr>
          <w:szCs w:val="24"/>
          <w:lang w:val="es-ES_tradnl"/>
        </w:rPr>
        <w:t>y </w:t>
      </w:r>
      <w:r w:rsidRPr="001C03C9">
        <w:rPr>
          <w:szCs w:val="24"/>
          <w:lang w:val="es-ES_tradnl"/>
        </w:rPr>
        <w:t xml:space="preserve">3 </w:t>
      </w:r>
      <w:r>
        <w:rPr>
          <w:szCs w:val="24"/>
          <w:lang w:val="es-ES_tradnl"/>
        </w:rPr>
        <w:t>contra una estación terrenal, según el caso</w:t>
      </w:r>
      <w:r w:rsidRPr="001C03C9">
        <w:rPr>
          <w:szCs w:val="24"/>
          <w:lang w:val="es-ES_tradnl"/>
        </w:rPr>
        <w:t>.</w:t>
      </w:r>
    </w:p>
    <w:p w:rsidR="000E0E46" w:rsidRPr="00EA502F" w:rsidRDefault="000E0E46" w:rsidP="00D572E3">
      <w:pPr>
        <w:pStyle w:val="AnnexNoTitle"/>
        <w:rPr>
          <w:b w:val="0"/>
          <w:lang w:val="es-ES_tradnl" w:eastAsia="ko-KR"/>
        </w:rPr>
      </w:pPr>
      <w:r w:rsidRPr="00EA502F">
        <w:rPr>
          <w:lang w:val="es-ES_tradnl"/>
        </w:rPr>
        <w:lastRenderedPageBreak/>
        <w:t xml:space="preserve">Anexo </w:t>
      </w:r>
      <w:r w:rsidRPr="00EA502F">
        <w:rPr>
          <w:caps/>
          <w:lang w:val="es-ES_tradnl"/>
        </w:rPr>
        <w:t>1</w:t>
      </w:r>
      <w:r w:rsidRPr="00EA502F">
        <w:rPr>
          <w:caps/>
          <w:lang w:val="es-ES_tradnl"/>
        </w:rPr>
        <w:br/>
      </w:r>
      <w:r w:rsidRPr="00EA502F">
        <w:rPr>
          <w:caps/>
          <w:lang w:val="es-ES_tradnl"/>
        </w:rPr>
        <w:br/>
      </w:r>
      <w:r w:rsidRPr="00EA502F">
        <w:rPr>
          <w:lang w:val="es-ES_tradnl" w:eastAsia="ko-KR"/>
        </w:rPr>
        <w:t xml:space="preserve">Metodología e hipótesis para calcular el máximo valor admisible de la densidad </w:t>
      </w:r>
      <w:r w:rsidR="003D1204">
        <w:rPr>
          <w:lang w:val="es-ES_tradnl" w:eastAsia="ko-KR"/>
        </w:rPr>
        <w:br/>
      </w:r>
      <w:r w:rsidRPr="00EA502F">
        <w:rPr>
          <w:lang w:val="es-ES_tradnl" w:eastAsia="ko-KR"/>
        </w:rPr>
        <w:t xml:space="preserve">de flujo de potencia necesario para </w:t>
      </w:r>
      <w:r>
        <w:rPr>
          <w:lang w:val="es-ES_tradnl" w:eastAsia="ko-KR"/>
        </w:rPr>
        <w:t>pr</w:t>
      </w:r>
      <w:r w:rsidRPr="00EA502F">
        <w:rPr>
          <w:lang w:val="es-ES_tradnl" w:eastAsia="ko-KR"/>
        </w:rPr>
        <w:t>o</w:t>
      </w:r>
      <w:r>
        <w:rPr>
          <w:lang w:val="es-ES_tradnl" w:eastAsia="ko-KR"/>
        </w:rPr>
        <w:t>teger las estaciones terrenas</w:t>
      </w:r>
      <w:r w:rsidR="00D572E3">
        <w:rPr>
          <w:lang w:val="es-ES_tradnl" w:eastAsia="ko-KR"/>
        </w:rPr>
        <w:br/>
      </w:r>
      <w:r>
        <w:rPr>
          <w:lang w:val="es-ES_tradnl" w:eastAsia="ko-KR"/>
        </w:rPr>
        <w:t xml:space="preserve">receptoras del SRS en las </w:t>
      </w:r>
      <w:r w:rsidRPr="00EA502F">
        <w:rPr>
          <w:lang w:val="es-ES_tradnl" w:eastAsia="ko-KR"/>
        </w:rPr>
        <w:t>Region</w:t>
      </w:r>
      <w:r>
        <w:rPr>
          <w:lang w:val="es-ES_tradnl" w:eastAsia="ko-KR"/>
        </w:rPr>
        <w:t>e</w:t>
      </w:r>
      <w:r w:rsidRPr="00EA502F">
        <w:rPr>
          <w:lang w:val="es-ES_tradnl" w:eastAsia="ko-KR"/>
        </w:rPr>
        <w:t xml:space="preserve">s 1 </w:t>
      </w:r>
      <w:r>
        <w:rPr>
          <w:lang w:val="es-ES_tradnl" w:eastAsia="ko-KR"/>
        </w:rPr>
        <w:t>y </w:t>
      </w:r>
      <w:r w:rsidRPr="00EA502F">
        <w:rPr>
          <w:lang w:val="es-ES_tradnl" w:eastAsia="ko-KR"/>
        </w:rPr>
        <w:t xml:space="preserve">3 </w:t>
      </w:r>
      <w:r>
        <w:rPr>
          <w:lang w:val="es-ES_tradnl" w:eastAsia="ko-KR"/>
        </w:rPr>
        <w:t xml:space="preserve">contra las emisiones </w:t>
      </w:r>
      <w:r>
        <w:rPr>
          <w:lang w:val="es-ES_tradnl" w:eastAsia="ko-KR"/>
        </w:rPr>
        <w:br/>
        <w:t>de una estación terrenal en la banda</w:t>
      </w:r>
      <w:r w:rsidRPr="00EA502F">
        <w:rPr>
          <w:lang w:val="es-ES_tradnl" w:eastAsia="ko-KR"/>
        </w:rPr>
        <w:t xml:space="preserve"> 21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4-22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0 GHz</w:t>
      </w:r>
    </w:p>
    <w:p w:rsidR="000E0E46" w:rsidRPr="00EA502F" w:rsidRDefault="000E0E46" w:rsidP="003D1204">
      <w:pPr>
        <w:pStyle w:val="Normalaftertitle"/>
        <w:rPr>
          <w:lang w:val="es-ES_tradnl"/>
        </w:rPr>
      </w:pPr>
      <w:r w:rsidRPr="00EA502F">
        <w:rPr>
          <w:lang w:val="es-ES_tradnl"/>
        </w:rPr>
        <w:t xml:space="preserve">Para proteger la estación terrena receptora del SRS, el máximo valor admisible de la densidad de flujo de potencia (dfp) </w:t>
      </w:r>
      <w:r>
        <w:rPr>
          <w:lang w:val="es-ES_tradnl"/>
        </w:rPr>
        <w:t>producida por emisiones procedentes de una estación terrenal en la</w:t>
      </w:r>
      <w:r w:rsidRPr="00EA502F">
        <w:rPr>
          <w:lang w:val="es-ES_tradnl" w:eastAsia="ko-KR"/>
        </w:rPr>
        <w:t xml:space="preserve"> band</w:t>
      </w:r>
      <w:r>
        <w:rPr>
          <w:lang w:val="es-ES_tradnl" w:eastAsia="ko-KR"/>
        </w:rPr>
        <w:t xml:space="preserve">a </w:t>
      </w:r>
      <w:r w:rsidRPr="00EA502F">
        <w:rPr>
          <w:lang w:val="es-ES_tradnl" w:eastAsia="ko-KR"/>
        </w:rPr>
        <w:t>21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4-22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0</w:t>
      </w:r>
      <w:r w:rsidR="003D1204">
        <w:rPr>
          <w:lang w:val="es-ES_tradnl" w:eastAsia="ko-KR"/>
        </w:rPr>
        <w:t> </w:t>
      </w:r>
      <w:r w:rsidRPr="00EA502F">
        <w:rPr>
          <w:lang w:val="es-ES_tradnl" w:eastAsia="ko-KR"/>
        </w:rPr>
        <w:t xml:space="preserve">GHz </w:t>
      </w:r>
      <w:r>
        <w:rPr>
          <w:lang w:val="es-ES_tradnl"/>
        </w:rPr>
        <w:t>viene dado por la ecuación</w:t>
      </w:r>
      <w:r w:rsidRPr="00EA502F">
        <w:rPr>
          <w:lang w:val="es-ES_tradnl"/>
        </w:rPr>
        <w:t>:</w:t>
      </w:r>
    </w:p>
    <w:p w:rsidR="00AD049B" w:rsidRDefault="00AD049B" w:rsidP="00AD049B">
      <w:pPr>
        <w:pStyle w:val="Blanc"/>
      </w:pPr>
    </w:p>
    <w:p w:rsidR="000E0E46" w:rsidRPr="00101A30" w:rsidRDefault="000E0E46" w:rsidP="000E0E46">
      <w:pPr>
        <w:pStyle w:val="Equation"/>
        <w:rPr>
          <w:szCs w:val="24"/>
          <w:lang w:val="en-GB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="00B4775A" w:rsidRPr="00101A30">
        <w:rPr>
          <w:position w:val="-12"/>
          <w:lang w:val="en-GB"/>
        </w:rPr>
        <w:object w:dxaOrig="28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1pt;height:18pt" o:ole="">
            <v:imagedata r:id="rId15" o:title=""/>
          </v:shape>
          <o:OLEObject Type="Embed" ProgID="Equation.3" ShapeID="_x0000_i1025" DrawAspect="Content" ObjectID="_1402124522" r:id="rId16"/>
        </w:object>
      </w:r>
      <w:r w:rsidRPr="00101A30">
        <w:rPr>
          <w:szCs w:val="24"/>
          <w:lang w:val="en-GB"/>
        </w:rPr>
        <w:tab/>
        <w:t>(1)</w:t>
      </w:r>
    </w:p>
    <w:p w:rsidR="00AD049B" w:rsidRDefault="00AD049B" w:rsidP="00AD049B">
      <w:pPr>
        <w:pStyle w:val="Blanc"/>
      </w:pPr>
    </w:p>
    <w:p w:rsidR="000E0E46" w:rsidRPr="00101A30" w:rsidRDefault="000E0E46" w:rsidP="000E0E46">
      <w:pPr>
        <w:rPr>
          <w:lang w:val="en-GB"/>
        </w:rPr>
      </w:pPr>
      <w:r>
        <w:rPr>
          <w:lang w:val="en-GB"/>
        </w:rPr>
        <w:t>dond</w:t>
      </w:r>
      <w:r w:rsidRPr="00101A30">
        <w:rPr>
          <w:lang w:val="en-GB"/>
        </w:rPr>
        <w:t>e:</w:t>
      </w:r>
    </w:p>
    <w:p w:rsidR="000E0E46" w:rsidRPr="00EA502F" w:rsidRDefault="000E0E46" w:rsidP="003D1204">
      <w:pPr>
        <w:pStyle w:val="Equationlegend"/>
        <w:rPr>
          <w:color w:val="000000"/>
          <w:sz w:val="20"/>
          <w:lang w:val="es-ES_tradnl" w:eastAsia="ko-KR"/>
        </w:rPr>
      </w:pPr>
      <w:r w:rsidRPr="00101A30">
        <w:rPr>
          <w:lang w:val="en-GB" w:eastAsia="ko-KR"/>
        </w:rPr>
        <w:tab/>
      </w:r>
      <w:r w:rsidRPr="00EA502F">
        <w:rPr>
          <w:i/>
          <w:iCs/>
          <w:lang w:val="es-ES_tradnl"/>
        </w:rPr>
        <w:t>DFP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 w:eastAsia="ko-KR"/>
        </w:rPr>
        <w:t>:</w:t>
      </w:r>
      <w:r w:rsidRPr="00EA502F">
        <w:rPr>
          <w:lang w:val="es-ES_tradnl" w:eastAsia="ko-KR"/>
        </w:rPr>
        <w:tab/>
        <w:t xml:space="preserve">máximo </w:t>
      </w:r>
      <w:r w:rsidRPr="00EA502F">
        <w:rPr>
          <w:lang w:val="es-ES_tradnl"/>
        </w:rPr>
        <w:t>valor admisible de la dfp para una sola estaci</w:t>
      </w:r>
      <w:r>
        <w:rPr>
          <w:lang w:val="es-ES_tradnl"/>
        </w:rPr>
        <w:t>ón terrenal</w:t>
      </w:r>
      <w:r w:rsidRPr="00EA502F">
        <w:rPr>
          <w:lang w:val="es-ES_tradnl" w:eastAsia="ko-KR"/>
        </w:rPr>
        <w:t xml:space="preserve"> (</w:t>
      </w:r>
      <w:r w:rsidRPr="00EA502F">
        <w:rPr>
          <w:szCs w:val="24"/>
          <w:lang w:val="es-ES_tradnl"/>
        </w:rPr>
        <w:t>dB(W/(m</w:t>
      </w:r>
      <w:r w:rsidRPr="00EA502F">
        <w:rPr>
          <w:szCs w:val="24"/>
          <w:vertAlign w:val="superscript"/>
          <w:lang w:val="es-ES_tradnl"/>
        </w:rPr>
        <w:t>2</w:t>
      </w:r>
      <w:r w:rsidR="003D1204" w:rsidRPr="003D1204">
        <w:rPr>
          <w:rFonts w:eastAsia="HYMyeongJo-Extra"/>
          <w:sz w:val="16"/>
          <w:szCs w:val="24"/>
          <w:lang w:val="es-ES_tradnl"/>
        </w:rPr>
        <w:t> </w:t>
      </w:r>
      <w:r w:rsidRPr="00EA502F">
        <w:rPr>
          <w:rFonts w:eastAsia="HYMyeongJo-Extra"/>
          <w:szCs w:val="24"/>
          <w:lang w:val="es-ES_tradnl"/>
        </w:rPr>
        <w:t>·</w:t>
      </w:r>
      <w:r w:rsidR="003D1204" w:rsidRPr="003D1204">
        <w:rPr>
          <w:rFonts w:eastAsia="HYMyeongJo-Extra"/>
          <w:sz w:val="16"/>
          <w:szCs w:val="24"/>
          <w:lang w:val="es-ES_tradnl"/>
        </w:rPr>
        <w:t> </w:t>
      </w:r>
      <w:r w:rsidRPr="00EA502F">
        <w:rPr>
          <w:szCs w:val="24"/>
          <w:lang w:val="es-ES_tradnl" w:eastAsia="ko-KR"/>
        </w:rPr>
        <w:t>1 M</w:t>
      </w:r>
      <w:r w:rsidRPr="00EA502F">
        <w:rPr>
          <w:szCs w:val="24"/>
          <w:lang w:val="es-ES_tradnl"/>
        </w:rPr>
        <w:t>Hz)</w:t>
      </w:r>
      <w:r w:rsidRPr="00EA502F">
        <w:rPr>
          <w:szCs w:val="24"/>
          <w:lang w:val="es-ES_tradnl" w:eastAsia="ko-KR"/>
        </w:rPr>
        <w:t>));</w:t>
      </w:r>
    </w:p>
    <w:p w:rsidR="000E0E46" w:rsidRPr="00EA502F" w:rsidRDefault="000E0E46" w:rsidP="000E0E46">
      <w:pPr>
        <w:pStyle w:val="Equationlegend"/>
        <w:rPr>
          <w:color w:val="000000"/>
          <w:sz w:val="20"/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/>
        </w:rPr>
        <w:t>P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 = k</w:t>
      </w:r>
      <w:r w:rsidRPr="00EA502F">
        <w:rPr>
          <w:i/>
          <w:iCs/>
          <w:lang w:val="es-ES_tradnl"/>
        </w:rPr>
        <w:t>T</w:t>
      </w:r>
      <w:r w:rsidRPr="00EA502F">
        <w:rPr>
          <w:lang w:val="es-ES_tradnl"/>
        </w:rPr>
        <w:t xml:space="preserve"> × </w:t>
      </w:r>
      <w:r w:rsidRPr="00EA502F">
        <w:rPr>
          <w:lang w:val="es-ES_tradnl" w:eastAsia="ko-KR"/>
        </w:rPr>
        <w:t>(10</w:t>
      </w:r>
      <w:r w:rsidRPr="00EA502F">
        <w:rPr>
          <w:vertAlign w:val="superscript"/>
          <w:lang w:val="es-ES_tradnl" w:eastAsia="ko-KR"/>
        </w:rPr>
        <w:t>6</w:t>
      </w:r>
      <w:r w:rsidRPr="00EA502F">
        <w:rPr>
          <w:lang w:val="es-ES_tradnl" w:eastAsia="ko-KR"/>
        </w:rPr>
        <w:t>)</w:t>
      </w:r>
      <w:r w:rsidRPr="00EA502F">
        <w:rPr>
          <w:lang w:val="es-ES_tradnl" w:eastAsia="ja-JP"/>
        </w:rPr>
        <w:t>:</w:t>
      </w:r>
      <w:r w:rsidRPr="00EA502F">
        <w:rPr>
          <w:lang w:val="es-ES_tradnl"/>
        </w:rPr>
        <w:tab/>
      </w:r>
      <w:r>
        <w:rPr>
          <w:lang w:val="es-ES_tradnl"/>
        </w:rPr>
        <w:t>p</w:t>
      </w:r>
      <w:r w:rsidRPr="00EA502F">
        <w:rPr>
          <w:lang w:val="es-ES_tradnl"/>
        </w:rPr>
        <w:t>otencia de ruido de la estación terrena receptora del SRS (</w:t>
      </w:r>
      <w:r w:rsidRPr="00EA502F">
        <w:rPr>
          <w:lang w:val="es-ES_tradnl" w:eastAsia="ko-KR"/>
        </w:rPr>
        <w:t>dB(W/1 MHz));</w:t>
      </w:r>
    </w:p>
    <w:p w:rsidR="000E0E46" w:rsidRPr="00EA502F" w:rsidRDefault="000E0E46" w:rsidP="00A01E4D">
      <w:pPr>
        <w:pStyle w:val="Equationlegend"/>
        <w:rPr>
          <w:color w:val="000000"/>
          <w:sz w:val="20"/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/>
        </w:rPr>
        <w:t>S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>)</w:t>
      </w:r>
      <w:r w:rsidRPr="00EA502F">
        <w:rPr>
          <w:lang w:val="es-ES_tradnl" w:eastAsia="ko-KR"/>
        </w:rPr>
        <w:t>:</w:t>
      </w:r>
      <w:r w:rsidRPr="00EA502F">
        <w:rPr>
          <w:lang w:val="es-ES_tradnl"/>
        </w:rPr>
        <w:tab/>
        <w:t xml:space="preserve">área efectiva de la antena de la estación terrena receptora del SRS </w:t>
      </w:r>
      <w:r w:rsidRPr="00EA502F">
        <w:rPr>
          <w:lang w:val="es-ES_tradnl" w:eastAsia="ko-KR"/>
        </w:rPr>
        <w:t>(</w:t>
      </w:r>
      <w:r w:rsidRPr="00EA502F">
        <w:rPr>
          <w:lang w:val="es-ES_tradnl"/>
        </w:rPr>
        <w:t>dBm</w:t>
      </w:r>
      <w:r w:rsidRPr="00EA502F">
        <w:rPr>
          <w:vertAlign w:val="superscript"/>
          <w:lang w:val="es-ES_tradnl"/>
        </w:rPr>
        <w:t>2</w:t>
      </w:r>
      <w:r w:rsidRPr="00EA502F">
        <w:rPr>
          <w:lang w:val="es-ES_tradnl" w:eastAsia="ko-KR"/>
        </w:rPr>
        <w:t>)</w:t>
      </w:r>
      <w:r w:rsidRPr="00EA502F">
        <w:rPr>
          <w:lang w:val="es-ES_tradnl"/>
        </w:rPr>
        <w:t>.</w:t>
      </w:r>
    </w:p>
    <w:p w:rsidR="000E0E46" w:rsidRPr="00EA502F" w:rsidRDefault="000E0E46" w:rsidP="000E0E46">
      <w:pPr>
        <w:rPr>
          <w:lang w:val="es-ES_tradnl" w:eastAsia="ko-KR"/>
        </w:rPr>
      </w:pPr>
      <w:r w:rsidRPr="00EA502F">
        <w:rPr>
          <w:lang w:val="es-ES_tradnl"/>
        </w:rPr>
        <w:t>Se ha supuesto que la temperatura de ruido total de la estaci</w:t>
      </w:r>
      <w:r>
        <w:rPr>
          <w:lang w:val="es-ES_tradnl"/>
        </w:rPr>
        <w:t>ón terrena receptora del SRS (incluido el ruido de la antena) es de</w:t>
      </w:r>
      <w:r w:rsidRPr="00EA502F">
        <w:rPr>
          <w:lang w:val="es-ES_tradnl" w:eastAsia="ko-KR"/>
        </w:rPr>
        <w:t xml:space="preserve"> 140</w:t>
      </w:r>
      <w:r w:rsidRPr="00EA502F">
        <w:rPr>
          <w:lang w:val="es-ES_tradnl"/>
        </w:rPr>
        <w:t> </w:t>
      </w:r>
      <w:r w:rsidRPr="00EA502F">
        <w:rPr>
          <w:lang w:val="es-ES_tradnl" w:eastAsia="ko-KR"/>
        </w:rPr>
        <w:t xml:space="preserve">K. </w:t>
      </w:r>
      <w:r>
        <w:rPr>
          <w:lang w:val="es-ES_tradnl" w:eastAsia="ko-KR"/>
        </w:rPr>
        <w:t>Por tanto, la potencia de ruido</w:t>
      </w:r>
      <w:r w:rsidRPr="00EA502F">
        <w:rPr>
          <w:lang w:val="es-ES_tradnl" w:eastAsia="ko-KR"/>
        </w:rPr>
        <w:t xml:space="preserve">, </w:t>
      </w:r>
      <w:r w:rsidRPr="00EA502F">
        <w:rPr>
          <w:i/>
          <w:iCs/>
          <w:lang w:val="es-ES_tradnl" w:eastAsia="ko-KR"/>
        </w:rPr>
        <w:t>P</w:t>
      </w:r>
      <w:r w:rsidRPr="00EA502F">
        <w:rPr>
          <w:i/>
          <w:iCs/>
          <w:vertAlign w:val="subscript"/>
          <w:lang w:val="es-ES_tradnl" w:eastAsia="ko-KR"/>
        </w:rPr>
        <w:t>n</w:t>
      </w:r>
      <w:r w:rsidRPr="00EA502F">
        <w:rPr>
          <w:lang w:val="es-ES_tradnl"/>
        </w:rPr>
        <w:t>,</w:t>
      </w:r>
      <w:r w:rsidRPr="00EA502F">
        <w:rPr>
          <w:lang w:val="es-ES_tradnl" w:eastAsia="ko-KR"/>
        </w:rPr>
        <w:t xml:space="preserve"> </w:t>
      </w:r>
      <w:r>
        <w:rPr>
          <w:lang w:val="es-ES_tradnl" w:eastAsia="ko-KR"/>
        </w:rPr>
        <w:t>para la estación receptora del SRS se calcula como sigue</w:t>
      </w:r>
      <w:r w:rsidRPr="00EA502F">
        <w:rPr>
          <w:lang w:val="es-ES_tradnl" w:eastAsia="ko-KR"/>
        </w:rPr>
        <w:t>;</w:t>
      </w:r>
    </w:p>
    <w:p w:rsidR="00AD049B" w:rsidRDefault="00AD049B" w:rsidP="00AD049B">
      <w:pPr>
        <w:pStyle w:val="Blanc"/>
      </w:pPr>
    </w:p>
    <w:p w:rsidR="000E0E46" w:rsidRPr="00EA502F" w:rsidRDefault="000E0E46" w:rsidP="000E0E46">
      <w:pPr>
        <w:pStyle w:val="Equation"/>
        <w:rPr>
          <w:lang w:val="es-ES_tradnl" w:eastAsia="ko-KR"/>
        </w:rPr>
      </w:pPr>
      <w:r w:rsidRPr="00EA502F">
        <w:rPr>
          <w:lang w:val="es-ES_tradnl" w:eastAsia="ko-KR"/>
        </w:rPr>
        <w:tab/>
      </w:r>
      <w:r w:rsidRPr="00EA502F">
        <w:rPr>
          <w:lang w:val="es-ES_tradnl" w:eastAsia="ko-KR"/>
        </w:rPr>
        <w:tab/>
      </w:r>
      <w:r w:rsidRPr="00EA502F">
        <w:rPr>
          <w:i/>
          <w:iCs/>
          <w:lang w:val="es-ES_tradnl" w:eastAsia="ko-KR"/>
        </w:rPr>
        <w:t>P</w:t>
      </w:r>
      <w:r w:rsidRPr="00EA502F">
        <w:rPr>
          <w:i/>
          <w:iCs/>
          <w:vertAlign w:val="subscript"/>
          <w:lang w:val="es-ES_tradnl" w:eastAsia="ko-KR"/>
        </w:rPr>
        <w:t>n</w:t>
      </w:r>
      <w:r w:rsidRPr="00EA502F">
        <w:rPr>
          <w:lang w:val="es-ES_tradnl" w:eastAsia="ko-KR"/>
        </w:rPr>
        <w:t xml:space="preserve"> = –228</w:t>
      </w:r>
      <w:r>
        <w:rPr>
          <w:lang w:val="es-ES_tradnl" w:eastAsia="ko-KR"/>
        </w:rPr>
        <w:t>,</w:t>
      </w:r>
      <w:r w:rsidRPr="00EA502F">
        <w:rPr>
          <w:lang w:val="es-ES_tradnl" w:eastAsia="ko-KR"/>
        </w:rPr>
        <w:t>6 + 10 log(140) + 10 log(10</w:t>
      </w:r>
      <w:r w:rsidRPr="00EA502F">
        <w:rPr>
          <w:vertAlign w:val="superscript"/>
          <w:lang w:val="es-ES_tradnl" w:eastAsia="ko-KR"/>
        </w:rPr>
        <w:t>6</w:t>
      </w:r>
      <w:r w:rsidRPr="00EA502F">
        <w:rPr>
          <w:lang w:val="es-ES_tradnl" w:eastAsia="ko-KR"/>
        </w:rPr>
        <w:t>) = –147,1 dB(W/1 MHz)</w:t>
      </w:r>
      <w:r w:rsidRPr="00EA502F">
        <w:rPr>
          <w:lang w:val="es-ES_tradnl" w:eastAsia="ko-KR"/>
        </w:rPr>
        <w:tab/>
      </w:r>
      <w:r w:rsidRPr="00EA502F">
        <w:rPr>
          <w:szCs w:val="24"/>
          <w:lang w:val="es-ES_tradnl"/>
        </w:rPr>
        <w:t>(2)</w:t>
      </w:r>
    </w:p>
    <w:p w:rsidR="00AD049B" w:rsidRDefault="00AD049B" w:rsidP="00AD049B">
      <w:pPr>
        <w:pStyle w:val="Blanc"/>
      </w:pPr>
    </w:p>
    <w:p w:rsidR="000E0E46" w:rsidRPr="00EA502F" w:rsidRDefault="000E0E46" w:rsidP="003D1204">
      <w:pPr>
        <w:rPr>
          <w:lang w:val="es-ES_tradnl" w:eastAsia="ko-KR"/>
        </w:rPr>
      </w:pPr>
      <w:r w:rsidRPr="00EA502F">
        <w:rPr>
          <w:lang w:val="es-ES_tradnl" w:eastAsia="ja-JP"/>
        </w:rPr>
        <w:t xml:space="preserve">La relación </w:t>
      </w:r>
      <w:r w:rsidRPr="00EA502F">
        <w:rPr>
          <w:i/>
          <w:iCs/>
          <w:lang w:val="es-ES_tradnl" w:eastAsia="ko-KR"/>
        </w:rPr>
        <w:t>I</w:t>
      </w:r>
      <w:r w:rsidRPr="00EA502F">
        <w:rPr>
          <w:lang w:val="es-ES_tradnl" w:eastAsia="ko-KR"/>
        </w:rPr>
        <w:t>/</w:t>
      </w:r>
      <w:r w:rsidRPr="00EA502F">
        <w:rPr>
          <w:i/>
          <w:iCs/>
          <w:lang w:val="es-ES_tradnl" w:eastAsia="ko-KR"/>
        </w:rPr>
        <w:t>N</w:t>
      </w:r>
      <w:r w:rsidRPr="00EA502F">
        <w:rPr>
          <w:lang w:val="es-ES_tradnl" w:eastAsia="ko-KR"/>
        </w:rPr>
        <w:t xml:space="preserve"> admisible procedente de una sola estación terrenal se supone que es –17,4 dB</w:t>
      </w:r>
      <w:r w:rsidR="003D1204">
        <w:rPr>
          <w:rStyle w:val="FootnoteReference"/>
          <w:lang w:val="es-ES_tradnl" w:eastAsia="ko-KR"/>
        </w:rPr>
        <w:footnoteReference w:id="1"/>
      </w:r>
      <w:r w:rsidRPr="00EA502F">
        <w:rPr>
          <w:lang w:val="es-ES_tradnl" w:eastAsia="ko-KR"/>
        </w:rPr>
        <w:t>.</w:t>
      </w:r>
    </w:p>
    <w:p w:rsidR="000E0E46" w:rsidRPr="00EA502F" w:rsidRDefault="000E0E46" w:rsidP="00A01E4D">
      <w:pPr>
        <w:rPr>
          <w:color w:val="000000"/>
          <w:sz w:val="20"/>
          <w:lang w:val="es-ES_tradnl"/>
        </w:rPr>
      </w:pPr>
      <w:r w:rsidRPr="00EA502F">
        <w:rPr>
          <w:i/>
          <w:iCs/>
          <w:lang w:val="es-ES_tradnl"/>
        </w:rPr>
        <w:t>S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>) se define mediante la siguiente ecuación</w:t>
      </w:r>
      <w:r w:rsidRPr="00EA502F">
        <w:rPr>
          <w:color w:val="000000"/>
          <w:sz w:val="20"/>
          <w:lang w:val="es-ES_tradnl"/>
        </w:rPr>
        <w:t>:</w:t>
      </w:r>
    </w:p>
    <w:p w:rsidR="00AD049B" w:rsidRDefault="00AD049B" w:rsidP="00AD049B">
      <w:pPr>
        <w:pStyle w:val="Blanc"/>
      </w:pPr>
    </w:p>
    <w:p w:rsidR="000E0E46" w:rsidRPr="00101A30" w:rsidRDefault="000E0E46" w:rsidP="000E0E46">
      <w:pPr>
        <w:pStyle w:val="Equation"/>
        <w:rPr>
          <w:color w:val="000000"/>
          <w:sz w:val="20"/>
          <w:lang w:val="en-GB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="00AD049B" w:rsidRPr="00F959B9">
        <w:rPr>
          <w:position w:val="-12"/>
          <w:lang w:val="en-GB"/>
        </w:rPr>
        <w:object w:dxaOrig="3340" w:dyaOrig="380">
          <v:shape id="_x0000_i1026" type="#_x0000_t75" style="width:166.35pt;height:19.1pt" o:ole="">
            <v:imagedata r:id="rId17" o:title=""/>
          </v:shape>
          <o:OLEObject Type="Embed" ProgID="Equation.3" ShapeID="_x0000_i1026" DrawAspect="Content" ObjectID="_1402124523" r:id="rId18"/>
        </w:object>
      </w:r>
      <w:r>
        <w:rPr>
          <w:lang w:val="en-GB"/>
        </w:rPr>
        <w:tab/>
      </w:r>
      <w:r w:rsidRPr="00101A30">
        <w:rPr>
          <w:szCs w:val="24"/>
          <w:lang w:val="en-GB"/>
        </w:rPr>
        <w:t>(3)</w:t>
      </w:r>
    </w:p>
    <w:p w:rsidR="00AD049B" w:rsidRDefault="00AD049B" w:rsidP="00AD049B">
      <w:pPr>
        <w:pStyle w:val="Blanc"/>
      </w:pPr>
    </w:p>
    <w:p w:rsidR="000E0E46" w:rsidRPr="00EA502F" w:rsidRDefault="000E0E46" w:rsidP="00A01E4D">
      <w:pPr>
        <w:rPr>
          <w:color w:val="000000"/>
          <w:sz w:val="20"/>
          <w:lang w:val="es-ES_tradnl"/>
        </w:rPr>
      </w:pPr>
      <w:r w:rsidRPr="00EA502F">
        <w:rPr>
          <w:lang w:val="es-ES_tradnl" w:eastAsia="ko-KR"/>
        </w:rPr>
        <w:t>siendo</w:t>
      </w:r>
      <w:r w:rsidRPr="00EA502F">
        <w:rPr>
          <w:lang w:val="es-ES_tradnl"/>
        </w:rPr>
        <w:t xml:space="preserve"> </w:t>
      </w:r>
      <w:r w:rsidRPr="00EA502F">
        <w:rPr>
          <w:i/>
          <w:iCs/>
          <w:lang w:val="es-ES_tradnl"/>
        </w:rPr>
        <w:t>G</w:t>
      </w:r>
      <w:r w:rsidRPr="00EA502F">
        <w:rPr>
          <w:lang w:val="es-ES_tradnl"/>
        </w:rPr>
        <w:t>(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) </w:t>
      </w:r>
      <w:r w:rsidRPr="00EA502F">
        <w:rPr>
          <w:lang w:val="es-ES_tradnl" w:eastAsia="ja-JP"/>
        </w:rPr>
        <w:t>la ganancia de antena de la estación terrena receptora del SRS en la dirección</w:t>
      </w:r>
      <w:r w:rsidRPr="00EA502F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 con respecto al eje del haz principal y en </w:t>
      </w:r>
      <w:r>
        <w:rPr>
          <w:lang w:val="es-ES_tradnl"/>
        </w:rPr>
        <w:t>una gama correspondiente de valores</w:t>
      </w:r>
      <w:r w:rsidRPr="00EA502F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EA502F">
        <w:rPr>
          <w:lang w:val="es-ES_tradnl"/>
        </w:rPr>
        <w:t xml:space="preserve">, </w:t>
      </w:r>
      <w:r>
        <w:rPr>
          <w:lang w:val="es-ES_tradnl"/>
        </w:rPr>
        <w:t>la ganancia de</w:t>
      </w:r>
      <w:r w:rsidRPr="00EA502F">
        <w:rPr>
          <w:lang w:val="es-ES_tradnl"/>
        </w:rPr>
        <w:t xml:space="preserve"> antena </w:t>
      </w:r>
      <w:r>
        <w:rPr>
          <w:lang w:val="es-ES_tradnl"/>
        </w:rPr>
        <w:t>e</w:t>
      </w:r>
      <w:r w:rsidRPr="00EA502F">
        <w:rPr>
          <w:lang w:val="es-ES_tradnl"/>
        </w:rPr>
        <w:t xml:space="preserve">s </w:t>
      </w:r>
      <w:r>
        <w:rPr>
          <w:lang w:val="es-ES_tradnl"/>
        </w:rPr>
        <w:t>ig</w:t>
      </w:r>
      <w:r w:rsidRPr="00EA502F">
        <w:rPr>
          <w:lang w:val="es-ES_tradnl"/>
        </w:rPr>
        <w:t>ual</w:t>
      </w:r>
      <w:r w:rsidRPr="00EA502F">
        <w:rPr>
          <w:lang w:val="es-ES_tradnl" w:eastAsia="ja-JP"/>
        </w:rPr>
        <w:t xml:space="preserve"> </w:t>
      </w:r>
      <w:r>
        <w:rPr>
          <w:lang w:val="es-ES_tradnl" w:eastAsia="ja-JP"/>
        </w:rPr>
        <w:t>a</w:t>
      </w:r>
      <w:r w:rsidRPr="00EA502F">
        <w:rPr>
          <w:lang w:val="es-ES_tradnl"/>
        </w:rPr>
        <w:t>:</w:t>
      </w:r>
    </w:p>
    <w:p w:rsidR="00AD049B" w:rsidRDefault="00AD049B" w:rsidP="00AD049B">
      <w:pPr>
        <w:pStyle w:val="Blanc"/>
      </w:pPr>
    </w:p>
    <w:p w:rsidR="000E0E46" w:rsidRPr="00101A30" w:rsidRDefault="000E0E46" w:rsidP="000E0E46">
      <w:pPr>
        <w:pStyle w:val="Equation"/>
        <w:rPr>
          <w:lang w:val="en-GB" w:eastAsia="ja-JP"/>
        </w:rPr>
      </w:pPr>
      <w:r w:rsidRPr="00EA502F">
        <w:rPr>
          <w:lang w:val="es-ES_tradnl"/>
        </w:rPr>
        <w:tab/>
      </w:r>
      <w:r w:rsidRPr="00EA502F">
        <w:rPr>
          <w:lang w:val="es-ES_tradnl"/>
        </w:rPr>
        <w:tab/>
      </w:r>
      <w:r w:rsidR="0041001B" w:rsidRPr="00C32382">
        <w:rPr>
          <w:position w:val="-12"/>
          <w:lang w:val="en-GB"/>
        </w:rPr>
        <w:object w:dxaOrig="3480" w:dyaOrig="360">
          <v:shape id="_x0000_i1027" type="#_x0000_t75" style="width:174.55pt;height:18pt" o:ole="">
            <v:imagedata r:id="rId19" o:title=""/>
          </v:shape>
          <o:OLEObject Type="Embed" ProgID="Equation.3" ShapeID="_x0000_i1027" DrawAspect="Content" ObjectID="_1402124524" r:id="rId20"/>
        </w:object>
      </w:r>
      <w:r w:rsidRPr="00101A30">
        <w:rPr>
          <w:lang w:val="en-GB"/>
        </w:rPr>
        <w:tab/>
      </w:r>
      <w:r w:rsidRPr="00101A30">
        <w:rPr>
          <w:szCs w:val="24"/>
          <w:lang w:val="en-GB"/>
        </w:rPr>
        <w:t>(4)</w:t>
      </w:r>
    </w:p>
    <w:p w:rsidR="0041001B" w:rsidRDefault="0041001B" w:rsidP="0041001B">
      <w:pPr>
        <w:pStyle w:val="Blanc"/>
      </w:pPr>
    </w:p>
    <w:p w:rsidR="000E0E46" w:rsidRPr="005830D3" w:rsidRDefault="000E0E46" w:rsidP="00A01E4D">
      <w:pPr>
        <w:spacing w:after="120"/>
        <w:rPr>
          <w:szCs w:val="24"/>
          <w:lang w:val="es-ES_tradnl" w:eastAsia="ko-KR"/>
        </w:rPr>
      </w:pPr>
      <w:r w:rsidRPr="005830D3">
        <w:rPr>
          <w:lang w:val="es-ES_tradnl" w:eastAsia="ko-KR"/>
        </w:rPr>
        <w:t>donde se supone que el mínimo ángulo entre la dirección de la máxima ganancia de antena</w:t>
      </w:r>
      <w:r>
        <w:rPr>
          <w:lang w:val="es-ES_tradnl" w:eastAsia="ko-KR"/>
        </w:rPr>
        <w:t xml:space="preserve"> de la estación terrena del SRS y la dirección del transmisor interferente</w:t>
      </w:r>
      <w:r w:rsidRPr="005830D3">
        <w:rPr>
          <w:szCs w:val="24"/>
          <w:lang w:val="es-ES_tradnl" w:eastAsia="ja-JP"/>
        </w:rPr>
        <w:t>,</w:t>
      </w:r>
      <w:r w:rsidRPr="005830D3">
        <w:rPr>
          <w:lang w:val="es-ES_tradnl"/>
        </w:rPr>
        <w:t xml:space="preserve"> 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5830D3">
        <w:rPr>
          <w:lang w:val="es-ES_tradnl"/>
        </w:rPr>
        <w:t>,</w:t>
      </w:r>
      <w:r w:rsidRPr="005830D3">
        <w:rPr>
          <w:lang w:val="es-ES_tradnl" w:eastAsia="ko-KR"/>
        </w:rPr>
        <w:t xml:space="preserve"> </w:t>
      </w:r>
      <w:r>
        <w:rPr>
          <w:szCs w:val="24"/>
          <w:lang w:val="es-ES_tradnl" w:eastAsia="ko-KR"/>
        </w:rPr>
        <w:t>para la red de satélites de radiodifusión en la</w:t>
      </w:r>
      <w:r w:rsidRPr="005830D3">
        <w:rPr>
          <w:szCs w:val="24"/>
          <w:lang w:val="es-ES_tradnl" w:eastAsia="ko-KR"/>
        </w:rPr>
        <w:t xml:space="preserve"> band</w:t>
      </w:r>
      <w:r>
        <w:rPr>
          <w:szCs w:val="24"/>
          <w:lang w:val="es-ES_tradnl" w:eastAsia="ko-KR"/>
        </w:rPr>
        <w:t>a</w:t>
      </w:r>
      <w:r w:rsidRPr="005830D3">
        <w:rPr>
          <w:szCs w:val="24"/>
          <w:lang w:val="es-ES_tradnl" w:eastAsia="ko-KR"/>
        </w:rPr>
        <w:t xml:space="preserve"> 21</w:t>
      </w:r>
      <w:r>
        <w:rPr>
          <w:szCs w:val="24"/>
          <w:lang w:val="es-ES_tradnl" w:eastAsia="ko-KR"/>
        </w:rPr>
        <w:t>,</w:t>
      </w:r>
      <w:r w:rsidRPr="005830D3">
        <w:rPr>
          <w:szCs w:val="24"/>
          <w:lang w:val="es-ES_tradnl" w:eastAsia="ko-KR"/>
        </w:rPr>
        <w:t>4</w:t>
      </w:r>
      <w:r w:rsidRPr="005830D3">
        <w:rPr>
          <w:szCs w:val="24"/>
          <w:lang w:val="es-ES_tradnl" w:eastAsia="ko-KR"/>
        </w:rPr>
        <w:noBreakHyphen/>
        <w:t>22</w:t>
      </w:r>
      <w:r>
        <w:rPr>
          <w:szCs w:val="24"/>
          <w:lang w:val="es-ES_tradnl" w:eastAsia="ko-KR"/>
        </w:rPr>
        <w:t>,</w:t>
      </w:r>
      <w:r w:rsidRPr="005830D3">
        <w:rPr>
          <w:szCs w:val="24"/>
          <w:lang w:val="es-ES_tradnl" w:eastAsia="ko-KR"/>
        </w:rPr>
        <w:t xml:space="preserve">0 GHz </w:t>
      </w:r>
      <w:r>
        <w:rPr>
          <w:szCs w:val="24"/>
          <w:lang w:val="es-ES_tradnl" w:eastAsia="ko-KR"/>
        </w:rPr>
        <w:t>e</w:t>
      </w:r>
      <w:r w:rsidRPr="005830D3">
        <w:rPr>
          <w:szCs w:val="24"/>
          <w:lang w:val="es-ES_tradnl" w:eastAsia="ko-KR"/>
        </w:rPr>
        <w:t xml:space="preserve">s </w:t>
      </w:r>
      <w:r>
        <w:rPr>
          <w:szCs w:val="24"/>
          <w:lang w:val="es-ES_tradnl" w:eastAsia="ko-KR"/>
        </w:rPr>
        <w:t>de</w:t>
      </w:r>
      <w:r w:rsidRPr="005830D3">
        <w:rPr>
          <w:szCs w:val="24"/>
          <w:lang w:val="es-ES_tradnl" w:eastAsia="ko-KR"/>
        </w:rPr>
        <w:t xml:space="preserve"> 10 gr</w:t>
      </w:r>
      <w:r>
        <w:rPr>
          <w:szCs w:val="24"/>
          <w:lang w:val="es-ES_tradnl" w:eastAsia="ko-KR"/>
        </w:rPr>
        <w:t>ado</w:t>
      </w:r>
      <w:r w:rsidRPr="005830D3">
        <w:rPr>
          <w:szCs w:val="24"/>
          <w:lang w:val="es-ES_tradnl" w:eastAsia="ko-KR"/>
        </w:rPr>
        <w:t>s.</w:t>
      </w:r>
    </w:p>
    <w:p w:rsidR="000E0E46" w:rsidRPr="00EF37D7" w:rsidRDefault="000E0E46" w:rsidP="00A01E4D">
      <w:pPr>
        <w:rPr>
          <w:color w:val="000000"/>
          <w:sz w:val="20"/>
          <w:lang w:val="es-ES_tradnl" w:eastAsia="ko-KR"/>
        </w:rPr>
      </w:pPr>
      <w:r w:rsidRPr="00EF37D7">
        <w:rPr>
          <w:lang w:val="es-ES_tradnl" w:eastAsia="ko-KR"/>
        </w:rPr>
        <w:t>Entonces,</w:t>
      </w:r>
      <w:r w:rsidRPr="00EF37D7">
        <w:rPr>
          <w:lang w:val="es-ES_tradnl"/>
        </w:rPr>
        <w:t xml:space="preserve"> </w:t>
      </w:r>
      <w:r w:rsidRPr="00EF37D7">
        <w:rPr>
          <w:i/>
          <w:iCs/>
          <w:lang w:val="es-ES_tradnl"/>
        </w:rPr>
        <w:t>S</w:t>
      </w:r>
      <w:r w:rsidRPr="00EF37D7">
        <w:rPr>
          <w:lang w:val="es-ES_tradnl"/>
        </w:rPr>
        <w:t>(</w:t>
      </w:r>
      <w:r w:rsidRPr="00101A30">
        <w:rPr>
          <w:lang w:val="en-GB"/>
        </w:rPr>
        <w:t>φ</w:t>
      </w:r>
      <w:r w:rsidR="00A01E4D" w:rsidRPr="00EA502F">
        <w:rPr>
          <w:i/>
          <w:iCs/>
          <w:vertAlign w:val="subscript"/>
          <w:lang w:val="es-ES_tradnl"/>
        </w:rPr>
        <w:t>m</w:t>
      </w:r>
      <w:r w:rsidR="00A01E4D">
        <w:rPr>
          <w:i/>
          <w:iCs/>
          <w:vertAlign w:val="subscript"/>
          <w:lang w:val="es-ES_tradnl"/>
        </w:rPr>
        <w:t>í</w:t>
      </w:r>
      <w:r w:rsidR="00A01E4D" w:rsidRPr="00EA502F">
        <w:rPr>
          <w:i/>
          <w:iCs/>
          <w:vertAlign w:val="subscript"/>
          <w:lang w:val="es-ES_tradnl"/>
        </w:rPr>
        <w:t>n</w:t>
      </w:r>
      <w:r w:rsidRPr="00EF37D7">
        <w:rPr>
          <w:lang w:val="es-ES_tradnl"/>
        </w:rPr>
        <w:t xml:space="preserve">) = </w:t>
      </w:r>
      <w:r w:rsidRPr="00EF37D7">
        <w:rPr>
          <w:lang w:val="es-ES_tradnl" w:eastAsia="ko-KR"/>
        </w:rPr>
        <w:t>–</w:t>
      </w:r>
      <w:r w:rsidRPr="00EF37D7">
        <w:rPr>
          <w:lang w:val="es-ES_tradnl"/>
        </w:rPr>
        <w:t>44,2 dBm</w:t>
      </w:r>
      <w:r w:rsidRPr="00EF37D7">
        <w:rPr>
          <w:vertAlign w:val="superscript"/>
          <w:lang w:val="es-ES_tradnl"/>
        </w:rPr>
        <w:t>2</w:t>
      </w:r>
      <w:r w:rsidRPr="00EF37D7">
        <w:rPr>
          <w:lang w:val="es-ES_tradnl" w:eastAsia="ko-KR"/>
        </w:rPr>
        <w:t xml:space="preserve"> (a 21,7 GHz).</w:t>
      </w:r>
    </w:p>
    <w:p w:rsidR="000E0E46" w:rsidRPr="00EF37D7" w:rsidRDefault="000E0E46" w:rsidP="00342AEE">
      <w:pPr>
        <w:keepNext/>
        <w:keepLines/>
        <w:rPr>
          <w:color w:val="000000"/>
          <w:sz w:val="20"/>
          <w:lang w:val="es-ES_tradnl"/>
        </w:rPr>
      </w:pPr>
      <w:r w:rsidRPr="00EF37D7">
        <w:rPr>
          <w:lang w:val="es-ES_tradnl"/>
        </w:rPr>
        <w:lastRenderedPageBreak/>
        <w:t>Utilizando estos valores y la ecuación (1), la máxima DFP admisible procedente de una sola fuente se calcula como sigue</w:t>
      </w:r>
      <w:r w:rsidRPr="00EF37D7">
        <w:rPr>
          <w:lang w:val="es-ES_tradnl" w:eastAsia="ko-KR"/>
        </w:rPr>
        <w:t>:</w:t>
      </w:r>
    </w:p>
    <w:p w:rsidR="00342AEE" w:rsidRDefault="00342AEE" w:rsidP="00342AEE">
      <w:pPr>
        <w:pStyle w:val="Blanc"/>
      </w:pPr>
    </w:p>
    <w:p w:rsidR="000E0E46" w:rsidRDefault="000E0E46" w:rsidP="003D1204">
      <w:pPr>
        <w:pStyle w:val="Equation"/>
        <w:rPr>
          <w:rFonts w:eastAsia="Dotum"/>
          <w:lang w:val="es-ES_tradnl"/>
        </w:rPr>
      </w:pPr>
      <w:r w:rsidRPr="00EF37D7">
        <w:rPr>
          <w:i/>
          <w:iCs/>
          <w:lang w:val="es-ES_tradnl"/>
        </w:rPr>
        <w:tab/>
      </w:r>
      <w:r w:rsidRPr="00EF37D7">
        <w:rPr>
          <w:i/>
          <w:iCs/>
          <w:lang w:val="es-ES_tradnl"/>
        </w:rPr>
        <w:tab/>
        <w:t>PFD</w:t>
      </w:r>
      <w:r w:rsidRPr="00EF37D7">
        <w:rPr>
          <w:i/>
          <w:iCs/>
          <w:vertAlign w:val="subscript"/>
          <w:lang w:val="es-ES_tradnl"/>
        </w:rPr>
        <w:t>n</w:t>
      </w:r>
      <w:r w:rsidRPr="00EF37D7">
        <w:rPr>
          <w:lang w:val="es-ES_tradnl"/>
        </w:rPr>
        <w:t xml:space="preserve"> = </w:t>
      </w:r>
      <w:r w:rsidRPr="00EF37D7">
        <w:rPr>
          <w:lang w:val="es-ES_tradnl" w:eastAsia="ko-KR"/>
        </w:rPr>
        <w:t xml:space="preserve">–120,4 </w:t>
      </w:r>
      <w:r w:rsidRPr="00EF37D7">
        <w:rPr>
          <w:rFonts w:eastAsia="Dotum"/>
          <w:lang w:val="es-ES_tradnl"/>
        </w:rPr>
        <w:t>dB(W/(m</w:t>
      </w:r>
      <w:r w:rsidRPr="00EF37D7">
        <w:rPr>
          <w:rFonts w:eastAsia="Dotum"/>
          <w:vertAlign w:val="superscript"/>
          <w:lang w:val="es-ES_tradnl"/>
        </w:rPr>
        <w:t>2</w:t>
      </w:r>
      <w:r w:rsidR="003D1204"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Dotum"/>
          <w:lang w:val="es-ES_tradnl"/>
        </w:rPr>
        <w:t>·</w:t>
      </w:r>
      <w:r w:rsidRPr="003D1204">
        <w:rPr>
          <w:rFonts w:eastAsia="Dotum"/>
          <w:sz w:val="16"/>
          <w:lang w:val="es-ES_tradnl"/>
        </w:rPr>
        <w:t> </w:t>
      </w:r>
      <w:r w:rsidRPr="00EF37D7">
        <w:rPr>
          <w:rFonts w:eastAsia="SimSun"/>
          <w:lang w:val="es-ES_tradnl" w:eastAsia="ko-KR"/>
        </w:rPr>
        <w:t>1</w:t>
      </w:r>
      <w:r w:rsidRPr="00EF37D7">
        <w:rPr>
          <w:rFonts w:eastAsia="Dotum"/>
          <w:lang w:val="es-ES_tradnl"/>
        </w:rPr>
        <w:t> </w:t>
      </w:r>
      <w:r w:rsidRPr="00EF37D7">
        <w:rPr>
          <w:rFonts w:eastAsia="SimSun"/>
          <w:lang w:val="es-ES_tradnl" w:eastAsia="ko-KR"/>
        </w:rPr>
        <w:t>M</w:t>
      </w:r>
      <w:r w:rsidRPr="00EF37D7">
        <w:rPr>
          <w:rFonts w:eastAsia="Dotum"/>
          <w:lang w:val="es-ES_tradnl"/>
        </w:rPr>
        <w:t>Hz))</w:t>
      </w:r>
    </w:p>
    <w:p w:rsidR="000E0E46" w:rsidRDefault="000E0E46" w:rsidP="000E0E46">
      <w:pPr>
        <w:pStyle w:val="Blanc"/>
        <w:rPr>
          <w:rFonts w:eastAsia="Dotum"/>
        </w:rPr>
      </w:pPr>
      <w:bookmarkStart w:id="4" w:name="_GoBack"/>
      <w:bookmarkEnd w:id="4"/>
    </w:p>
    <w:p w:rsidR="00A90930" w:rsidRPr="00A90930" w:rsidRDefault="00A90930" w:rsidP="00A90930">
      <w:pPr>
        <w:rPr>
          <w:rFonts w:eastAsia="Dotum"/>
          <w:lang w:val="en-GB"/>
        </w:rPr>
      </w:pPr>
    </w:p>
    <w:p w:rsidR="000E0E46" w:rsidRPr="007D4DBB" w:rsidRDefault="000E0E46" w:rsidP="000E0E46">
      <w:pPr>
        <w:jc w:val="center"/>
      </w:pPr>
      <w:r>
        <w:t>______________</w:t>
      </w:r>
    </w:p>
    <w:p w:rsidR="00F11266" w:rsidRPr="000E0E46" w:rsidRDefault="00F11266" w:rsidP="000E0E46"/>
    <w:sectPr w:rsidR="00F11266" w:rsidRPr="000E0E46" w:rsidSect="003D1204"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AEE" w:rsidRDefault="00342AEE">
      <w:r>
        <w:separator/>
      </w:r>
    </w:p>
  </w:endnote>
  <w:endnote w:type="continuationSeparator" w:id="0">
    <w:p w:rsidR="00342AEE" w:rsidRDefault="00342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Pr="00B61B15" w:rsidRDefault="00342AEE" w:rsidP="00B61B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Pr="00B61B15" w:rsidRDefault="00342AEE" w:rsidP="00B61B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Pr="00E84C26" w:rsidRDefault="00342AEE" w:rsidP="00E84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AEE" w:rsidRDefault="00342AEE">
      <w:r>
        <w:separator/>
      </w:r>
    </w:p>
  </w:footnote>
  <w:footnote w:type="continuationSeparator" w:id="0">
    <w:p w:rsidR="00342AEE" w:rsidRDefault="00342AEE">
      <w:r>
        <w:continuationSeparator/>
      </w:r>
    </w:p>
  </w:footnote>
  <w:footnote w:id="1">
    <w:p w:rsidR="003D1204" w:rsidRPr="003D1204" w:rsidRDefault="003D1204" w:rsidP="003D1204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ES_tradnl"/>
        </w:rPr>
        <w:tab/>
      </w:r>
      <w:r w:rsidRPr="004D136D">
        <w:t>La dfp procedente de una sola fuente se obtiene a partir de una I/N combinada de –12,2</w:t>
      </w:r>
      <w:r>
        <w:t> </w:t>
      </w:r>
      <w:r w:rsidRPr="004D136D">
        <w:t>dB (correspondiente a</w:t>
      </w:r>
      <w:r w:rsidRPr="00A26B7C">
        <w:rPr>
          <w:lang w:val="es-ES_tradnl" w:eastAsia="ja-JP"/>
        </w:rPr>
        <w:t xml:space="preserve"> un incremento del 6% de la temperatura del ruido del sistema equivalente), </w:t>
      </w:r>
      <w:r>
        <w:rPr>
          <w:lang w:val="es-ES_tradnl" w:eastAsia="ja-JP"/>
        </w:rPr>
        <w:t>suponiendo un número equivalente de</w:t>
      </w:r>
      <w:r w:rsidRPr="00A26B7C">
        <w:rPr>
          <w:lang w:val="es-ES_tradnl" w:eastAsia="ja-JP"/>
        </w:rPr>
        <w:t xml:space="preserve"> 3</w:t>
      </w:r>
      <w:r>
        <w:rPr>
          <w:lang w:val="es-ES_tradnl" w:eastAsia="ja-JP"/>
        </w:rPr>
        <w:t>,</w:t>
      </w:r>
      <w:r w:rsidRPr="00A26B7C">
        <w:rPr>
          <w:lang w:val="es-ES_tradnl" w:eastAsia="ja-JP"/>
        </w:rPr>
        <w:t>3 </w:t>
      </w:r>
      <w:r>
        <w:rPr>
          <w:lang w:val="es-ES_tradnl" w:eastAsia="ja-JP"/>
        </w:rPr>
        <w:t>fuentes de interferencia</w:t>
      </w:r>
      <w:r w:rsidRPr="00A26B7C">
        <w:rPr>
          <w:lang w:val="es-ES_tradnl" w:eastAsia="ja-JP"/>
        </w:rPr>
        <w:t xml:space="preserve">, </w:t>
      </w:r>
      <w:r>
        <w:rPr>
          <w:lang w:val="es-ES_tradnl" w:eastAsia="ja-JP"/>
        </w:rPr>
        <w:t>cada una de ellas transmitiendo con l máximo valor de dfp procedente de una sola fuente</w:t>
      </w:r>
      <w:r w:rsidRPr="00A26B7C">
        <w:rPr>
          <w:lang w:val="es-ES_tradnl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Default="00342AEE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Default="00342AEE" w:rsidP="00D1365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92612C4" wp14:editId="74AAC5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Default="00342AEE" w:rsidP="00AD049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9093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D61FDB" w:rsidRPr="00D61FDB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90930">
      <w:rPr>
        <w:b/>
        <w:bCs/>
        <w:noProof/>
      </w:rPr>
      <w:t>UIT-R  BO.1898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Default="00342AEE" w:rsidP="00AD049B">
    <w:pPr>
      <w:pStyle w:val="Header"/>
    </w:pPr>
    <w:r>
      <w:tab/>
    </w:r>
    <w:r w:rsidR="00A90930">
      <w:fldChar w:fldCharType="begin"/>
    </w:r>
    <w:r w:rsidR="00A90930">
      <w:instrText xml:space="preserve"> DOCPROPERTY "Header" \* MERGEFORMAT </w:instrText>
    </w:r>
    <w:r w:rsidR="00A90930">
      <w:fldChar w:fldCharType="separate"/>
    </w:r>
    <w:r w:rsidR="00D61FDB" w:rsidRPr="00D61FDB">
      <w:rPr>
        <w:b/>
        <w:bCs/>
      </w:rPr>
      <w:t xml:space="preserve">Rec. </w:t>
    </w:r>
    <w:r w:rsidR="00A9093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90930">
      <w:rPr>
        <w:b/>
        <w:bCs/>
        <w:noProof/>
      </w:rPr>
      <w:t>UIT-R  BO.1898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9093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AEE" w:rsidRPr="008D2949" w:rsidRDefault="00342AEE" w:rsidP="002E650F">
    <w:pPr>
      <w:tabs>
        <w:tab w:val="center" w:pos="7144"/>
        <w:tab w:val="left" w:pos="14515"/>
      </w:tabs>
      <w:jc w:val="left"/>
    </w:pPr>
    <w:r>
      <w:rPr>
        <w:b/>
        <w:bCs/>
      </w:rPr>
      <w:ptab w:relativeTo="margin" w:alignment="center" w:leader="none"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D61FD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61FDB">
      <w:rPr>
        <w:b/>
        <w:bCs/>
        <w:noProof/>
      </w:rPr>
      <w:t>UIT-R  BO.1898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2A4593">
      <w:rPr>
        <w:b/>
        <w:bCs/>
      </w:rPr>
      <w:fldChar w:fldCharType="begin"/>
    </w:r>
    <w:r w:rsidRPr="002A4593">
      <w:rPr>
        <w:b/>
        <w:bCs/>
      </w:rPr>
      <w:instrText xml:space="preserve"> PAGE   \* MERGEFORMAT </w:instrText>
    </w:r>
    <w:r w:rsidRPr="002A4593">
      <w:rPr>
        <w:b/>
        <w:bCs/>
      </w:rPr>
      <w:fldChar w:fldCharType="separate"/>
    </w:r>
    <w:r>
      <w:rPr>
        <w:b/>
        <w:bCs/>
        <w:noProof/>
      </w:rPr>
      <w:t>2</w:t>
    </w:r>
    <w:r w:rsidRPr="002A4593">
      <w:rPr>
        <w:b/>
        <w:bCs/>
        <w:noProof/>
      </w:rPr>
      <w:fldChar w:fldCharType="end"/>
    </w:r>
  </w:p>
  <w:p w:rsidR="00342AEE" w:rsidRDefault="00342A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C245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B3CA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BC21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98E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228FA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462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EEE5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F086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EA5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686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2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1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21"/>
  </w:num>
  <w:num w:numId="5">
    <w:abstractNumId w:val="12"/>
  </w:num>
  <w:num w:numId="6">
    <w:abstractNumId w:val="19"/>
  </w:num>
  <w:num w:numId="7">
    <w:abstractNumId w:val="29"/>
  </w:num>
  <w:num w:numId="8">
    <w:abstractNumId w:val="15"/>
  </w:num>
  <w:num w:numId="9">
    <w:abstractNumId w:val="11"/>
  </w:num>
  <w:num w:numId="10">
    <w:abstractNumId w:val="22"/>
  </w:num>
  <w:num w:numId="11">
    <w:abstractNumId w:val="17"/>
  </w:num>
  <w:num w:numId="12">
    <w:abstractNumId w:val="31"/>
  </w:num>
  <w:num w:numId="13">
    <w:abstractNumId w:val="31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13"/>
  </w:num>
  <w:num w:numId="15">
    <w:abstractNumId w:val="3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25"/>
  </w:num>
  <w:num w:numId="19">
    <w:abstractNumId w:val="20"/>
  </w:num>
  <w:num w:numId="2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27"/>
  </w:num>
  <w:num w:numId="22">
    <w:abstractNumId w:val="23"/>
  </w:num>
  <w:num w:numId="23">
    <w:abstractNumId w:val="24"/>
  </w:num>
  <w:num w:numId="24">
    <w:abstractNumId w:val="26"/>
  </w:num>
  <w:num w:numId="25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  <w:szCs w:val="16"/>
        </w:rPr>
      </w:lvl>
    </w:lvlOverride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452"/>
    <w:rsid w:val="000458B5"/>
    <w:rsid w:val="00096632"/>
    <w:rsid w:val="000B4CB7"/>
    <w:rsid w:val="000E0E46"/>
    <w:rsid w:val="000F56BC"/>
    <w:rsid w:val="0011470A"/>
    <w:rsid w:val="00147748"/>
    <w:rsid w:val="00160906"/>
    <w:rsid w:val="00160EA2"/>
    <w:rsid w:val="00162F02"/>
    <w:rsid w:val="001A4EAB"/>
    <w:rsid w:val="001A7EDA"/>
    <w:rsid w:val="001B40AB"/>
    <w:rsid w:val="001C03C9"/>
    <w:rsid w:val="001C1585"/>
    <w:rsid w:val="001C6974"/>
    <w:rsid w:val="001E7BA1"/>
    <w:rsid w:val="00217EBF"/>
    <w:rsid w:val="00242AEE"/>
    <w:rsid w:val="00262F9C"/>
    <w:rsid w:val="002A4593"/>
    <w:rsid w:val="002C1572"/>
    <w:rsid w:val="002D76C4"/>
    <w:rsid w:val="002E650F"/>
    <w:rsid w:val="00306452"/>
    <w:rsid w:val="00342AEE"/>
    <w:rsid w:val="00363EA6"/>
    <w:rsid w:val="00371511"/>
    <w:rsid w:val="003773D4"/>
    <w:rsid w:val="00382F07"/>
    <w:rsid w:val="003946CF"/>
    <w:rsid w:val="003A3E52"/>
    <w:rsid w:val="003D1204"/>
    <w:rsid w:val="0041001B"/>
    <w:rsid w:val="00454C6B"/>
    <w:rsid w:val="0046255C"/>
    <w:rsid w:val="00482D44"/>
    <w:rsid w:val="004A555F"/>
    <w:rsid w:val="004D136D"/>
    <w:rsid w:val="004D68BA"/>
    <w:rsid w:val="004E5FCD"/>
    <w:rsid w:val="00505BD1"/>
    <w:rsid w:val="0052529D"/>
    <w:rsid w:val="005361E8"/>
    <w:rsid w:val="0056786D"/>
    <w:rsid w:val="005830D3"/>
    <w:rsid w:val="005844F5"/>
    <w:rsid w:val="005C3A67"/>
    <w:rsid w:val="005D4F15"/>
    <w:rsid w:val="005E03D3"/>
    <w:rsid w:val="00607D68"/>
    <w:rsid w:val="006142FF"/>
    <w:rsid w:val="0066347C"/>
    <w:rsid w:val="00695B32"/>
    <w:rsid w:val="006A4231"/>
    <w:rsid w:val="006B086F"/>
    <w:rsid w:val="006B17BA"/>
    <w:rsid w:val="006B3241"/>
    <w:rsid w:val="006C77DF"/>
    <w:rsid w:val="006E73CA"/>
    <w:rsid w:val="006F21FA"/>
    <w:rsid w:val="007468DA"/>
    <w:rsid w:val="00777410"/>
    <w:rsid w:val="00791840"/>
    <w:rsid w:val="007B0CA7"/>
    <w:rsid w:val="007B12C1"/>
    <w:rsid w:val="007F4E70"/>
    <w:rsid w:val="008160C8"/>
    <w:rsid w:val="008A66B4"/>
    <w:rsid w:val="008D2949"/>
    <w:rsid w:val="0090356F"/>
    <w:rsid w:val="0092280B"/>
    <w:rsid w:val="00937601"/>
    <w:rsid w:val="00987554"/>
    <w:rsid w:val="0099023E"/>
    <w:rsid w:val="009A3C84"/>
    <w:rsid w:val="009A5CB4"/>
    <w:rsid w:val="009C44E7"/>
    <w:rsid w:val="009E00A8"/>
    <w:rsid w:val="00A01E4D"/>
    <w:rsid w:val="00A22EAE"/>
    <w:rsid w:val="00A26B7C"/>
    <w:rsid w:val="00A55259"/>
    <w:rsid w:val="00A63497"/>
    <w:rsid w:val="00A6617B"/>
    <w:rsid w:val="00A86321"/>
    <w:rsid w:val="00A90930"/>
    <w:rsid w:val="00AB0DC8"/>
    <w:rsid w:val="00AD049B"/>
    <w:rsid w:val="00AD2545"/>
    <w:rsid w:val="00AF7349"/>
    <w:rsid w:val="00B224C1"/>
    <w:rsid w:val="00B25E71"/>
    <w:rsid w:val="00B44E24"/>
    <w:rsid w:val="00B4775A"/>
    <w:rsid w:val="00B61B15"/>
    <w:rsid w:val="00BB1F2D"/>
    <w:rsid w:val="00BB30AC"/>
    <w:rsid w:val="00BB7D3F"/>
    <w:rsid w:val="00BE4E70"/>
    <w:rsid w:val="00BF4F50"/>
    <w:rsid w:val="00C14737"/>
    <w:rsid w:val="00C20C6E"/>
    <w:rsid w:val="00C25CF8"/>
    <w:rsid w:val="00C52FB9"/>
    <w:rsid w:val="00CD6C3C"/>
    <w:rsid w:val="00D00CB2"/>
    <w:rsid w:val="00D13658"/>
    <w:rsid w:val="00D32C14"/>
    <w:rsid w:val="00D572E3"/>
    <w:rsid w:val="00D61FDB"/>
    <w:rsid w:val="00D85D32"/>
    <w:rsid w:val="00DB2D7A"/>
    <w:rsid w:val="00DF4176"/>
    <w:rsid w:val="00E037A1"/>
    <w:rsid w:val="00E10D87"/>
    <w:rsid w:val="00E155E2"/>
    <w:rsid w:val="00E16D4D"/>
    <w:rsid w:val="00E84C26"/>
    <w:rsid w:val="00E9565F"/>
    <w:rsid w:val="00EA0262"/>
    <w:rsid w:val="00EA056C"/>
    <w:rsid w:val="00EA502F"/>
    <w:rsid w:val="00EA7213"/>
    <w:rsid w:val="00EF37D7"/>
    <w:rsid w:val="00EF5852"/>
    <w:rsid w:val="00EF7CED"/>
    <w:rsid w:val="00F11266"/>
    <w:rsid w:val="00F17E82"/>
    <w:rsid w:val="00F824CF"/>
    <w:rsid w:val="00FA5CCB"/>
    <w:rsid w:val="00FC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120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120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120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120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120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1204"/>
    <w:pPr>
      <w:outlineLvl w:val="4"/>
    </w:pPr>
  </w:style>
  <w:style w:type="paragraph" w:styleId="Heading6">
    <w:name w:val="heading 6"/>
    <w:basedOn w:val="Heading4"/>
    <w:next w:val="Normal"/>
    <w:qFormat/>
    <w:rsid w:val="003D120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1204"/>
    <w:pPr>
      <w:outlineLvl w:val="6"/>
    </w:pPr>
  </w:style>
  <w:style w:type="paragraph" w:styleId="Heading8">
    <w:name w:val="heading 8"/>
    <w:basedOn w:val="Heading6"/>
    <w:next w:val="Normal"/>
    <w:qFormat/>
    <w:rsid w:val="003D1204"/>
    <w:pPr>
      <w:outlineLvl w:val="7"/>
    </w:pPr>
  </w:style>
  <w:style w:type="paragraph" w:styleId="Heading9">
    <w:name w:val="heading 9"/>
    <w:basedOn w:val="Heading6"/>
    <w:next w:val="Normal"/>
    <w:qFormat/>
    <w:rsid w:val="003D120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3D1204"/>
    <w:pPr>
      <w:keepLines/>
      <w:tabs>
        <w:tab w:val="left" w:pos="255"/>
      </w:tabs>
      <w:ind w:left="255" w:hanging="255"/>
    </w:pPr>
    <w:rPr>
      <w:sz w:val="22"/>
    </w:rPr>
  </w:style>
  <w:style w:type="paragraph" w:styleId="Footer">
    <w:name w:val="footer"/>
    <w:basedOn w:val="Normal"/>
    <w:link w:val="FooterChar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1126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D1204"/>
  </w:style>
  <w:style w:type="paragraph" w:customStyle="1" w:styleId="Headingb">
    <w:name w:val="Heading_b"/>
    <w:basedOn w:val="Heading3"/>
    <w:next w:val="Normal"/>
    <w:rsid w:val="003D120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120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1204"/>
  </w:style>
  <w:style w:type="paragraph" w:customStyle="1" w:styleId="enumlev1">
    <w:name w:val="enumlev1"/>
    <w:basedOn w:val="Normal"/>
    <w:rsid w:val="003D1204"/>
    <w:pPr>
      <w:spacing w:before="80"/>
      <w:ind w:left="794" w:hanging="794"/>
    </w:pPr>
  </w:style>
  <w:style w:type="paragraph" w:customStyle="1" w:styleId="enumlev2">
    <w:name w:val="enumlev2"/>
    <w:basedOn w:val="enumlev1"/>
    <w:rsid w:val="003D1204"/>
    <w:pPr>
      <w:ind w:left="1191" w:hanging="397"/>
    </w:pPr>
  </w:style>
  <w:style w:type="paragraph" w:customStyle="1" w:styleId="enumlev3">
    <w:name w:val="enumlev3"/>
    <w:basedOn w:val="enumlev2"/>
    <w:rsid w:val="003D1204"/>
    <w:pPr>
      <w:ind w:left="1588"/>
    </w:pPr>
  </w:style>
  <w:style w:type="paragraph" w:customStyle="1" w:styleId="Normalaftertitle">
    <w:name w:val="Normal_after_title"/>
    <w:basedOn w:val="Normal"/>
    <w:next w:val="Normal"/>
    <w:rsid w:val="003D1204"/>
    <w:pPr>
      <w:spacing w:before="320"/>
    </w:pPr>
  </w:style>
  <w:style w:type="paragraph" w:customStyle="1" w:styleId="Note">
    <w:name w:val="Note"/>
    <w:basedOn w:val="Normal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3D120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1204"/>
    <w:pPr>
      <w:jc w:val="center"/>
    </w:pPr>
  </w:style>
  <w:style w:type="paragraph" w:customStyle="1" w:styleId="Recdate">
    <w:name w:val="Rec_date"/>
    <w:basedOn w:val="Recref"/>
    <w:next w:val="Normalaftertitle"/>
    <w:rsid w:val="003D1204"/>
    <w:pPr>
      <w:jc w:val="right"/>
    </w:pPr>
  </w:style>
  <w:style w:type="paragraph" w:customStyle="1" w:styleId="HeadingSum">
    <w:name w:val="Heading_Sum"/>
    <w:basedOn w:val="Headingb"/>
    <w:next w:val="Normal"/>
    <w:rsid w:val="003D1204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3D120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D1204"/>
  </w:style>
  <w:style w:type="paragraph" w:customStyle="1" w:styleId="Tablefin">
    <w:name w:val="Table_fin"/>
    <w:basedOn w:val="Normal"/>
    <w:next w:val="Normal"/>
    <w:rsid w:val="003D120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120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12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120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12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120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120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1204"/>
    <w:pPr>
      <w:ind w:left="794"/>
    </w:pPr>
  </w:style>
  <w:style w:type="paragraph" w:customStyle="1" w:styleId="Figurelegend">
    <w:name w:val="Figure_legend"/>
    <w:basedOn w:val="Normal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120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120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1204"/>
    <w:pPr>
      <w:keepNext w:val="0"/>
      <w:spacing w:before="0" w:after="240"/>
    </w:pPr>
  </w:style>
  <w:style w:type="paragraph" w:customStyle="1" w:styleId="tocpart">
    <w:name w:val="tocpart"/>
    <w:basedOn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120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120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120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1204"/>
    <w:rPr>
      <w:b/>
    </w:rPr>
  </w:style>
  <w:style w:type="paragraph" w:customStyle="1" w:styleId="Chaptitle">
    <w:name w:val="Chap_title"/>
    <w:basedOn w:val="Arttitle"/>
    <w:next w:val="Normalaftertitle"/>
    <w:rsid w:val="003D1204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rsid w:val="003D1204"/>
    <w:rPr>
      <w:position w:val="6"/>
      <w:sz w:val="18"/>
    </w:rPr>
  </w:style>
  <w:style w:type="character" w:customStyle="1" w:styleId="FootnoteTextChar">
    <w:name w:val="Footnote Text Char"/>
    <w:basedOn w:val="DefaultParagraphFont"/>
    <w:link w:val="FootnoteText"/>
    <w:rsid w:val="004D136D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3D1204"/>
  </w:style>
  <w:style w:type="paragraph" w:styleId="Index2">
    <w:name w:val="index 2"/>
    <w:basedOn w:val="Normal"/>
    <w:next w:val="Normal"/>
    <w:semiHidden/>
    <w:rsid w:val="003D1204"/>
    <w:pPr>
      <w:ind w:left="283"/>
    </w:pPr>
  </w:style>
  <w:style w:type="paragraph" w:styleId="Index3">
    <w:name w:val="index 3"/>
    <w:basedOn w:val="Normal"/>
    <w:next w:val="Normal"/>
    <w:semiHidden/>
    <w:rsid w:val="003D1204"/>
    <w:pPr>
      <w:ind w:left="566"/>
    </w:pPr>
  </w:style>
  <w:style w:type="paragraph" w:styleId="IndexHeading">
    <w:name w:val="index heading"/>
    <w:basedOn w:val="Normal"/>
    <w:next w:val="Index1"/>
    <w:semiHidden/>
    <w:rsid w:val="003D1204"/>
  </w:style>
  <w:style w:type="paragraph" w:customStyle="1" w:styleId="Line">
    <w:name w:val="Line"/>
    <w:basedOn w:val="Normal"/>
    <w:next w:val="Normal"/>
    <w:rsid w:val="003D120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1204"/>
  </w:style>
  <w:style w:type="paragraph" w:customStyle="1" w:styleId="Partref">
    <w:name w:val="Part_ref"/>
    <w:basedOn w:val="Normal"/>
    <w:next w:val="Normal"/>
    <w:rsid w:val="003D120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1204"/>
  </w:style>
  <w:style w:type="paragraph" w:customStyle="1" w:styleId="QuestionNo">
    <w:name w:val="Question_No"/>
    <w:basedOn w:val="RecNo"/>
    <w:next w:val="Normal"/>
    <w:rsid w:val="003D1204"/>
  </w:style>
  <w:style w:type="paragraph" w:customStyle="1" w:styleId="Questionref">
    <w:name w:val="Question_ref"/>
    <w:basedOn w:val="Recref"/>
    <w:next w:val="Questiondate"/>
    <w:rsid w:val="003D1204"/>
  </w:style>
  <w:style w:type="paragraph" w:customStyle="1" w:styleId="Questiontitle">
    <w:name w:val="Question_title"/>
    <w:basedOn w:val="Normal"/>
    <w:next w:val="Questionref"/>
    <w:rsid w:val="003D1204"/>
  </w:style>
  <w:style w:type="paragraph" w:customStyle="1" w:styleId="Reftext">
    <w:name w:val="Ref_text"/>
    <w:basedOn w:val="Normal"/>
    <w:rsid w:val="003D120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1204"/>
  </w:style>
  <w:style w:type="paragraph" w:customStyle="1" w:styleId="RepNo">
    <w:name w:val="Rep_No"/>
    <w:basedOn w:val="RecNo"/>
    <w:next w:val="Reptitle"/>
    <w:rsid w:val="003D1204"/>
  </w:style>
  <w:style w:type="paragraph" w:customStyle="1" w:styleId="Reptitle">
    <w:name w:val="Rep_title"/>
    <w:basedOn w:val="Rectitle"/>
    <w:next w:val="Repref"/>
    <w:rsid w:val="003D1204"/>
  </w:style>
  <w:style w:type="paragraph" w:customStyle="1" w:styleId="Repref">
    <w:name w:val="Rep_ref"/>
    <w:basedOn w:val="Recref"/>
    <w:next w:val="Repdate"/>
    <w:rsid w:val="003D1204"/>
  </w:style>
  <w:style w:type="paragraph" w:customStyle="1" w:styleId="Resdate">
    <w:name w:val="Res_date"/>
    <w:basedOn w:val="Recdate"/>
    <w:next w:val="Normalaftertitle"/>
    <w:rsid w:val="003D1204"/>
  </w:style>
  <w:style w:type="paragraph" w:customStyle="1" w:styleId="ResNo">
    <w:name w:val="Res_No"/>
    <w:basedOn w:val="RecNo"/>
    <w:next w:val="Restitle"/>
    <w:rsid w:val="003D1204"/>
  </w:style>
  <w:style w:type="paragraph" w:customStyle="1" w:styleId="Restitle">
    <w:name w:val="Res_title"/>
    <w:basedOn w:val="Normal"/>
    <w:next w:val="Resref"/>
    <w:rsid w:val="003D120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1204"/>
  </w:style>
  <w:style w:type="paragraph" w:customStyle="1" w:styleId="SectionNo">
    <w:name w:val="Section_No"/>
    <w:basedOn w:val="Normal"/>
    <w:next w:val="Normal"/>
    <w:rsid w:val="003D1204"/>
  </w:style>
  <w:style w:type="paragraph" w:customStyle="1" w:styleId="Sectiontitle">
    <w:name w:val="Section_title"/>
    <w:basedOn w:val="Normal"/>
    <w:next w:val="Normalafter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120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120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120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120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120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1204"/>
  </w:style>
  <w:style w:type="paragraph" w:styleId="TOC6">
    <w:name w:val="toc 6"/>
    <w:basedOn w:val="TOC4"/>
    <w:semiHidden/>
    <w:rsid w:val="003D1204"/>
  </w:style>
  <w:style w:type="paragraph" w:styleId="TOC7">
    <w:name w:val="toc 7"/>
    <w:basedOn w:val="TOC4"/>
    <w:semiHidden/>
    <w:rsid w:val="003D1204"/>
  </w:style>
  <w:style w:type="paragraph" w:styleId="TOC8">
    <w:name w:val="toc 8"/>
    <w:basedOn w:val="TOC4"/>
    <w:semiHidden/>
    <w:rsid w:val="003D1204"/>
  </w:style>
  <w:style w:type="paragraph" w:customStyle="1" w:styleId="Annexref">
    <w:name w:val="Annex_ref"/>
    <w:basedOn w:val="Normal"/>
    <w:next w:val="Normalaftertitle"/>
    <w:rsid w:val="003D120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1204"/>
  </w:style>
  <w:style w:type="paragraph" w:customStyle="1" w:styleId="Tabletitle">
    <w:name w:val="Table_title"/>
    <w:basedOn w:val="Normal"/>
    <w:next w:val="Tablehead"/>
    <w:rsid w:val="003D120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120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3D1204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06452"/>
    <w:rPr>
      <w:color w:val="0000FF"/>
      <w:u w:val="single"/>
    </w:rPr>
  </w:style>
  <w:style w:type="character" w:customStyle="1" w:styleId="RectitleChar">
    <w:name w:val="Rec_title Char"/>
    <w:basedOn w:val="DefaultParagraphFont"/>
    <w:link w:val="Rectitle"/>
    <w:locked/>
    <w:rsid w:val="000458B5"/>
    <w:rPr>
      <w:b/>
      <w:sz w:val="28"/>
      <w:lang w:val="fr-FR" w:eastAsia="en-US"/>
    </w:rPr>
  </w:style>
  <w:style w:type="paragraph" w:styleId="Header">
    <w:name w:val="header"/>
    <w:basedOn w:val="Normal"/>
    <w:link w:val="HeaderChar"/>
    <w:rsid w:val="003D120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E0E46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120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120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120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120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120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1204"/>
    <w:pPr>
      <w:outlineLvl w:val="4"/>
    </w:pPr>
  </w:style>
  <w:style w:type="paragraph" w:styleId="Heading6">
    <w:name w:val="heading 6"/>
    <w:basedOn w:val="Heading4"/>
    <w:next w:val="Normal"/>
    <w:qFormat/>
    <w:rsid w:val="003D120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1204"/>
    <w:pPr>
      <w:outlineLvl w:val="6"/>
    </w:pPr>
  </w:style>
  <w:style w:type="paragraph" w:styleId="Heading8">
    <w:name w:val="heading 8"/>
    <w:basedOn w:val="Heading6"/>
    <w:next w:val="Normal"/>
    <w:qFormat/>
    <w:rsid w:val="003D1204"/>
    <w:pPr>
      <w:outlineLvl w:val="7"/>
    </w:pPr>
  </w:style>
  <w:style w:type="paragraph" w:styleId="Heading9">
    <w:name w:val="heading 9"/>
    <w:basedOn w:val="Heading6"/>
    <w:next w:val="Normal"/>
    <w:qFormat/>
    <w:rsid w:val="003D120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3D1204"/>
    <w:pPr>
      <w:keepLines/>
      <w:tabs>
        <w:tab w:val="left" w:pos="255"/>
      </w:tabs>
      <w:ind w:left="255" w:hanging="255"/>
    </w:pPr>
    <w:rPr>
      <w:sz w:val="22"/>
    </w:rPr>
  </w:style>
  <w:style w:type="paragraph" w:styleId="Footer">
    <w:name w:val="footer"/>
    <w:basedOn w:val="Normal"/>
    <w:link w:val="FooterChar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1126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D1204"/>
  </w:style>
  <w:style w:type="paragraph" w:customStyle="1" w:styleId="Headingb">
    <w:name w:val="Heading_b"/>
    <w:basedOn w:val="Heading3"/>
    <w:next w:val="Normal"/>
    <w:rsid w:val="003D120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120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1204"/>
  </w:style>
  <w:style w:type="paragraph" w:customStyle="1" w:styleId="enumlev1">
    <w:name w:val="enumlev1"/>
    <w:basedOn w:val="Normal"/>
    <w:rsid w:val="003D1204"/>
    <w:pPr>
      <w:spacing w:before="80"/>
      <w:ind w:left="794" w:hanging="794"/>
    </w:pPr>
  </w:style>
  <w:style w:type="paragraph" w:customStyle="1" w:styleId="enumlev2">
    <w:name w:val="enumlev2"/>
    <w:basedOn w:val="enumlev1"/>
    <w:rsid w:val="003D1204"/>
    <w:pPr>
      <w:ind w:left="1191" w:hanging="397"/>
    </w:pPr>
  </w:style>
  <w:style w:type="paragraph" w:customStyle="1" w:styleId="enumlev3">
    <w:name w:val="enumlev3"/>
    <w:basedOn w:val="enumlev2"/>
    <w:rsid w:val="003D1204"/>
    <w:pPr>
      <w:ind w:left="1588"/>
    </w:pPr>
  </w:style>
  <w:style w:type="paragraph" w:customStyle="1" w:styleId="Normalaftertitle">
    <w:name w:val="Normal_after_title"/>
    <w:basedOn w:val="Normal"/>
    <w:next w:val="Normal"/>
    <w:rsid w:val="003D1204"/>
    <w:pPr>
      <w:spacing w:before="320"/>
    </w:pPr>
  </w:style>
  <w:style w:type="paragraph" w:customStyle="1" w:styleId="Note">
    <w:name w:val="Note"/>
    <w:basedOn w:val="Normal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3D120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1204"/>
    <w:pPr>
      <w:jc w:val="center"/>
    </w:pPr>
  </w:style>
  <w:style w:type="paragraph" w:customStyle="1" w:styleId="Recdate">
    <w:name w:val="Rec_date"/>
    <w:basedOn w:val="Recref"/>
    <w:next w:val="Normalaftertitle"/>
    <w:rsid w:val="003D1204"/>
    <w:pPr>
      <w:jc w:val="right"/>
    </w:pPr>
  </w:style>
  <w:style w:type="paragraph" w:customStyle="1" w:styleId="HeadingSum">
    <w:name w:val="Heading_Sum"/>
    <w:basedOn w:val="Headingb"/>
    <w:next w:val="Normal"/>
    <w:rsid w:val="003D1204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3D120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D1204"/>
  </w:style>
  <w:style w:type="paragraph" w:customStyle="1" w:styleId="Tablefin">
    <w:name w:val="Table_fin"/>
    <w:basedOn w:val="Normal"/>
    <w:next w:val="Normal"/>
    <w:rsid w:val="003D120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120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12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120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120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120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120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1204"/>
    <w:pPr>
      <w:ind w:left="794"/>
    </w:pPr>
  </w:style>
  <w:style w:type="paragraph" w:customStyle="1" w:styleId="Figurelegend">
    <w:name w:val="Figure_legend"/>
    <w:basedOn w:val="Normal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120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120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1204"/>
    <w:pPr>
      <w:keepNext w:val="0"/>
      <w:spacing w:before="0" w:after="240"/>
    </w:pPr>
  </w:style>
  <w:style w:type="paragraph" w:customStyle="1" w:styleId="tocpart">
    <w:name w:val="tocpart"/>
    <w:basedOn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120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120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120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1204"/>
    <w:rPr>
      <w:b/>
    </w:rPr>
  </w:style>
  <w:style w:type="paragraph" w:customStyle="1" w:styleId="Chaptitle">
    <w:name w:val="Chap_title"/>
    <w:basedOn w:val="Arttitle"/>
    <w:next w:val="Normalaftertitle"/>
    <w:rsid w:val="003D1204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rsid w:val="003D1204"/>
    <w:rPr>
      <w:position w:val="6"/>
      <w:sz w:val="18"/>
    </w:rPr>
  </w:style>
  <w:style w:type="character" w:customStyle="1" w:styleId="FootnoteTextChar">
    <w:name w:val="Footnote Text Char"/>
    <w:basedOn w:val="DefaultParagraphFont"/>
    <w:link w:val="FootnoteText"/>
    <w:rsid w:val="004D136D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3D1204"/>
  </w:style>
  <w:style w:type="paragraph" w:styleId="Index2">
    <w:name w:val="index 2"/>
    <w:basedOn w:val="Normal"/>
    <w:next w:val="Normal"/>
    <w:semiHidden/>
    <w:rsid w:val="003D1204"/>
    <w:pPr>
      <w:ind w:left="283"/>
    </w:pPr>
  </w:style>
  <w:style w:type="paragraph" w:styleId="Index3">
    <w:name w:val="index 3"/>
    <w:basedOn w:val="Normal"/>
    <w:next w:val="Normal"/>
    <w:semiHidden/>
    <w:rsid w:val="003D1204"/>
    <w:pPr>
      <w:ind w:left="566"/>
    </w:pPr>
  </w:style>
  <w:style w:type="paragraph" w:styleId="IndexHeading">
    <w:name w:val="index heading"/>
    <w:basedOn w:val="Normal"/>
    <w:next w:val="Index1"/>
    <w:semiHidden/>
    <w:rsid w:val="003D1204"/>
  </w:style>
  <w:style w:type="paragraph" w:customStyle="1" w:styleId="Line">
    <w:name w:val="Line"/>
    <w:basedOn w:val="Normal"/>
    <w:next w:val="Normal"/>
    <w:rsid w:val="003D120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120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1204"/>
  </w:style>
  <w:style w:type="paragraph" w:customStyle="1" w:styleId="Partref">
    <w:name w:val="Part_ref"/>
    <w:basedOn w:val="Normal"/>
    <w:next w:val="Normal"/>
    <w:rsid w:val="003D120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1204"/>
  </w:style>
  <w:style w:type="paragraph" w:customStyle="1" w:styleId="QuestionNo">
    <w:name w:val="Question_No"/>
    <w:basedOn w:val="RecNo"/>
    <w:next w:val="Normal"/>
    <w:rsid w:val="003D1204"/>
  </w:style>
  <w:style w:type="paragraph" w:customStyle="1" w:styleId="Questionref">
    <w:name w:val="Question_ref"/>
    <w:basedOn w:val="Recref"/>
    <w:next w:val="Questiondate"/>
    <w:rsid w:val="003D1204"/>
  </w:style>
  <w:style w:type="paragraph" w:customStyle="1" w:styleId="Questiontitle">
    <w:name w:val="Question_title"/>
    <w:basedOn w:val="Normal"/>
    <w:next w:val="Questionref"/>
    <w:rsid w:val="003D1204"/>
  </w:style>
  <w:style w:type="paragraph" w:customStyle="1" w:styleId="Reftext">
    <w:name w:val="Ref_text"/>
    <w:basedOn w:val="Normal"/>
    <w:rsid w:val="003D120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120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1204"/>
  </w:style>
  <w:style w:type="paragraph" w:customStyle="1" w:styleId="RepNo">
    <w:name w:val="Rep_No"/>
    <w:basedOn w:val="RecNo"/>
    <w:next w:val="Reptitle"/>
    <w:rsid w:val="003D1204"/>
  </w:style>
  <w:style w:type="paragraph" w:customStyle="1" w:styleId="Reptitle">
    <w:name w:val="Rep_title"/>
    <w:basedOn w:val="Rectitle"/>
    <w:next w:val="Repref"/>
    <w:rsid w:val="003D1204"/>
  </w:style>
  <w:style w:type="paragraph" w:customStyle="1" w:styleId="Repref">
    <w:name w:val="Rep_ref"/>
    <w:basedOn w:val="Recref"/>
    <w:next w:val="Repdate"/>
    <w:rsid w:val="003D1204"/>
  </w:style>
  <w:style w:type="paragraph" w:customStyle="1" w:styleId="Resdate">
    <w:name w:val="Res_date"/>
    <w:basedOn w:val="Recdate"/>
    <w:next w:val="Normalaftertitle"/>
    <w:rsid w:val="003D1204"/>
  </w:style>
  <w:style w:type="paragraph" w:customStyle="1" w:styleId="ResNo">
    <w:name w:val="Res_No"/>
    <w:basedOn w:val="RecNo"/>
    <w:next w:val="Restitle"/>
    <w:rsid w:val="003D1204"/>
  </w:style>
  <w:style w:type="paragraph" w:customStyle="1" w:styleId="Restitle">
    <w:name w:val="Res_title"/>
    <w:basedOn w:val="Normal"/>
    <w:next w:val="Resref"/>
    <w:rsid w:val="003D120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1204"/>
  </w:style>
  <w:style w:type="paragraph" w:customStyle="1" w:styleId="SectionNo">
    <w:name w:val="Section_No"/>
    <w:basedOn w:val="Normal"/>
    <w:next w:val="Normal"/>
    <w:rsid w:val="003D1204"/>
  </w:style>
  <w:style w:type="paragraph" w:customStyle="1" w:styleId="Sectiontitle">
    <w:name w:val="Section_title"/>
    <w:basedOn w:val="Normal"/>
    <w:next w:val="Normalaftertitle"/>
    <w:rsid w:val="003D12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120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120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120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120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120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1204"/>
  </w:style>
  <w:style w:type="paragraph" w:styleId="TOC6">
    <w:name w:val="toc 6"/>
    <w:basedOn w:val="TOC4"/>
    <w:semiHidden/>
    <w:rsid w:val="003D1204"/>
  </w:style>
  <w:style w:type="paragraph" w:styleId="TOC7">
    <w:name w:val="toc 7"/>
    <w:basedOn w:val="TOC4"/>
    <w:semiHidden/>
    <w:rsid w:val="003D1204"/>
  </w:style>
  <w:style w:type="paragraph" w:styleId="TOC8">
    <w:name w:val="toc 8"/>
    <w:basedOn w:val="TOC4"/>
    <w:semiHidden/>
    <w:rsid w:val="003D1204"/>
  </w:style>
  <w:style w:type="paragraph" w:customStyle="1" w:styleId="Annexref">
    <w:name w:val="Annex_ref"/>
    <w:basedOn w:val="Normal"/>
    <w:next w:val="Normalaftertitle"/>
    <w:rsid w:val="003D120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1204"/>
  </w:style>
  <w:style w:type="paragraph" w:customStyle="1" w:styleId="Tabletitle">
    <w:name w:val="Table_title"/>
    <w:basedOn w:val="Normal"/>
    <w:next w:val="Tablehead"/>
    <w:rsid w:val="003D120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120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3D1204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06452"/>
    <w:rPr>
      <w:color w:val="0000FF"/>
      <w:u w:val="single"/>
    </w:rPr>
  </w:style>
  <w:style w:type="character" w:customStyle="1" w:styleId="RectitleChar">
    <w:name w:val="Rec_title Char"/>
    <w:basedOn w:val="DefaultParagraphFont"/>
    <w:link w:val="Rectitle"/>
    <w:locked/>
    <w:rsid w:val="000458B5"/>
    <w:rPr>
      <w:b/>
      <w:sz w:val="28"/>
      <w:lang w:val="fr-FR" w:eastAsia="en-US"/>
    </w:rPr>
  </w:style>
  <w:style w:type="paragraph" w:styleId="Header">
    <w:name w:val="header"/>
    <w:basedOn w:val="Normal"/>
    <w:link w:val="HeaderChar"/>
    <w:rsid w:val="003D120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E0E46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image" Target="media/image3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96B4E-0700-411E-BE4F-D816052C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59</TotalTime>
  <Pages>5</Pages>
  <Words>1207</Words>
  <Characters>6616</Characters>
  <Application>Microsoft Office Word</Application>
  <DocSecurity>0</DocSecurity>
  <Lines>194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Martinez Romera, Angel</cp:lastModifiedBy>
  <cp:revision>14</cp:revision>
  <cp:lastPrinted>2012-06-15T13:15:00Z</cp:lastPrinted>
  <dcterms:created xsi:type="dcterms:W3CDTF">2012-06-22T14:10:00Z</dcterms:created>
  <dcterms:modified xsi:type="dcterms:W3CDTF">2012-06-25T08:14:00Z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