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969" w:rsidRPr="00575CB8" w:rsidRDefault="003A2969" w:rsidP="00BF7FF4">
      <w:pPr>
        <w:rPr>
          <w:lang w:val="en-US"/>
        </w:rPr>
      </w:pPr>
      <w:bookmarkStart w:id="0" w:name="dbreak"/>
      <w:bookmarkEnd w:id="0"/>
    </w:p>
    <w:p w:rsidR="003A2969" w:rsidRDefault="003A2969" w:rsidP="00BF7FF4"/>
    <w:p w:rsidR="003A2969" w:rsidRDefault="003A2969" w:rsidP="00BF7FF4"/>
    <w:p w:rsidR="003A2969" w:rsidRDefault="003A2969" w:rsidP="00BF7FF4"/>
    <w:p w:rsidR="003A2969" w:rsidRDefault="003A2969" w:rsidP="00BF7FF4"/>
    <w:p w:rsidR="003A2969" w:rsidRDefault="003A2969" w:rsidP="00BF7FF4"/>
    <w:p w:rsidR="003A2969" w:rsidRDefault="003A2969" w:rsidP="00BF7FF4"/>
    <w:p w:rsidR="003A2969" w:rsidRDefault="003A2969" w:rsidP="00BF7FF4"/>
    <w:p w:rsidR="003A2969" w:rsidRDefault="003A2969" w:rsidP="00BF7FF4"/>
    <w:p w:rsidR="003A2969" w:rsidRDefault="003A2969" w:rsidP="00BF7FF4"/>
    <w:p w:rsidR="003A2969" w:rsidRDefault="003A2969" w:rsidP="00BF7FF4"/>
    <w:p w:rsidR="003A2969" w:rsidRDefault="003A2969" w:rsidP="00BF7FF4"/>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3A2969" w:rsidRPr="003A2969" w:rsidTr="00BF7FF4">
        <w:tc>
          <w:tcPr>
            <w:tcW w:w="10089" w:type="dxa"/>
          </w:tcPr>
          <w:p w:rsidR="003A2969" w:rsidRPr="0010336F" w:rsidRDefault="003A2969" w:rsidP="00BF7FF4">
            <w:pPr>
              <w:spacing w:before="380" w:line="280" w:lineRule="exact"/>
              <w:jc w:val="right"/>
              <w:rPr>
                <w:rFonts w:ascii="Tahoma" w:hAnsi="Tahoma" w:cs="Tahoma"/>
                <w:b/>
                <w:bCs/>
                <w:iCs/>
                <w:color w:val="243285"/>
                <w:sz w:val="32"/>
                <w:szCs w:val="32"/>
                <w:lang w:val="en-US"/>
              </w:rPr>
            </w:pPr>
          </w:p>
          <w:p w:rsidR="003A2969" w:rsidRPr="0010336F" w:rsidRDefault="003A2969" w:rsidP="00BF7FF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O</w:t>
            </w:r>
            <w:r w:rsidRPr="0010336F">
              <w:rPr>
                <w:rFonts w:ascii="Tahoma" w:hAnsi="Tahoma" w:cs="Tahoma"/>
                <w:b/>
                <w:bCs/>
                <w:iCs/>
                <w:color w:val="243285"/>
                <w:sz w:val="36"/>
                <w:szCs w:val="36"/>
                <w:lang w:val="es-ES_tradnl"/>
              </w:rPr>
              <w:t>.</w:t>
            </w:r>
            <w:r w:rsidR="00BF7FF4">
              <w:rPr>
                <w:rFonts w:ascii="Tahoma" w:hAnsi="Tahoma" w:cs="Tahoma"/>
                <w:b/>
                <w:bCs/>
                <w:iCs/>
                <w:color w:val="243285"/>
                <w:sz w:val="36"/>
                <w:szCs w:val="36"/>
                <w:lang w:val="es-ES_tradnl"/>
              </w:rPr>
              <w:t>1776-1</w:t>
            </w:r>
          </w:p>
          <w:p w:rsidR="003A2969" w:rsidRPr="0010336F" w:rsidRDefault="003A2969" w:rsidP="00BF7FF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F7FF4">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BF7FF4">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3A2969" w:rsidRPr="00BF7FF4" w:rsidTr="00BF7FF4">
        <w:tc>
          <w:tcPr>
            <w:tcW w:w="10089" w:type="dxa"/>
          </w:tcPr>
          <w:p w:rsidR="003A2969" w:rsidRPr="0010336F" w:rsidRDefault="003A2969" w:rsidP="00BF7FF4">
            <w:pPr>
              <w:spacing w:before="80" w:line="500" w:lineRule="exact"/>
              <w:jc w:val="right"/>
              <w:rPr>
                <w:rFonts w:ascii="Tahoma" w:hAnsi="Tahoma" w:cs="Tahoma"/>
                <w:b/>
                <w:bCs/>
                <w:iCs/>
                <w:color w:val="243285"/>
                <w:sz w:val="44"/>
                <w:szCs w:val="44"/>
                <w:lang w:val="es-ES_tradnl"/>
              </w:rPr>
            </w:pPr>
          </w:p>
          <w:p w:rsidR="003A2969" w:rsidRDefault="00BF7FF4" w:rsidP="002C4B07">
            <w:pPr>
              <w:spacing w:before="80" w:line="500" w:lineRule="exact"/>
              <w:jc w:val="right"/>
              <w:rPr>
                <w:rFonts w:ascii="Tahoma" w:hAnsi="Tahoma" w:cs="Tahoma"/>
                <w:b/>
                <w:bCs/>
                <w:color w:val="243285"/>
                <w:sz w:val="44"/>
                <w:szCs w:val="44"/>
                <w:lang w:val="es-ES_tradnl"/>
              </w:rPr>
            </w:pPr>
            <w:r w:rsidRPr="00BF7FF4">
              <w:rPr>
                <w:rFonts w:ascii="Tahoma" w:hAnsi="Tahoma" w:cs="Tahoma"/>
                <w:b/>
                <w:bCs/>
                <w:color w:val="243285"/>
                <w:sz w:val="44"/>
                <w:szCs w:val="44"/>
                <w:lang w:val="es-ES_tradnl"/>
              </w:rPr>
              <w:t>Máxima densidad de flujo de potencia</w:t>
            </w:r>
            <w:r w:rsidR="002C4B07">
              <w:rPr>
                <w:rFonts w:ascii="Tahoma" w:hAnsi="Tahoma" w:cs="Tahoma"/>
                <w:b/>
                <w:bCs/>
                <w:color w:val="243285"/>
                <w:sz w:val="44"/>
                <w:szCs w:val="44"/>
                <w:lang w:val="es-ES_tradnl"/>
              </w:rPr>
              <w:br/>
            </w:r>
            <w:r w:rsidRPr="00BF7FF4">
              <w:rPr>
                <w:rFonts w:ascii="Tahoma" w:hAnsi="Tahoma" w:cs="Tahoma"/>
                <w:b/>
                <w:bCs/>
                <w:color w:val="243285"/>
                <w:sz w:val="44"/>
                <w:szCs w:val="44"/>
                <w:lang w:val="es-ES_tradnl"/>
              </w:rPr>
              <w:t>para el servicio de radiodifusión</w:t>
            </w:r>
            <w:r w:rsidR="002C4B07">
              <w:rPr>
                <w:rFonts w:ascii="Tahoma" w:hAnsi="Tahoma" w:cs="Tahoma"/>
                <w:b/>
                <w:bCs/>
                <w:color w:val="243285"/>
                <w:sz w:val="44"/>
                <w:szCs w:val="44"/>
                <w:lang w:val="es-ES_tradnl"/>
              </w:rPr>
              <w:t xml:space="preserve"> </w:t>
            </w:r>
            <w:r w:rsidRPr="00BF7FF4">
              <w:rPr>
                <w:rFonts w:ascii="Tahoma" w:hAnsi="Tahoma" w:cs="Tahoma"/>
                <w:b/>
                <w:bCs/>
                <w:color w:val="243285"/>
                <w:sz w:val="44"/>
                <w:szCs w:val="44"/>
                <w:lang w:val="es-ES_tradnl"/>
              </w:rPr>
              <w:t>por</w:t>
            </w:r>
            <w:r w:rsidR="002C4B07">
              <w:rPr>
                <w:rFonts w:ascii="Tahoma" w:hAnsi="Tahoma" w:cs="Tahoma"/>
                <w:b/>
                <w:bCs/>
                <w:color w:val="243285"/>
                <w:sz w:val="44"/>
                <w:szCs w:val="44"/>
                <w:lang w:val="es-ES_tradnl"/>
              </w:rPr>
              <w:br/>
            </w:r>
            <w:r w:rsidRPr="00BF7FF4">
              <w:rPr>
                <w:rFonts w:ascii="Tahoma" w:hAnsi="Tahoma" w:cs="Tahoma"/>
                <w:b/>
                <w:bCs/>
                <w:color w:val="243285"/>
                <w:sz w:val="44"/>
                <w:szCs w:val="44"/>
                <w:lang w:val="es-ES_tradnl"/>
              </w:rPr>
              <w:t>satélite en la banda 21,4-22,0 GHz</w:t>
            </w:r>
            <w:r w:rsidR="002C4B07">
              <w:rPr>
                <w:rFonts w:ascii="Tahoma" w:hAnsi="Tahoma" w:cs="Tahoma"/>
                <w:b/>
                <w:bCs/>
                <w:color w:val="243285"/>
                <w:sz w:val="44"/>
                <w:szCs w:val="44"/>
                <w:lang w:val="es-ES_tradnl"/>
              </w:rPr>
              <w:br/>
            </w:r>
            <w:r w:rsidRPr="00BF7FF4">
              <w:rPr>
                <w:rFonts w:ascii="Tahoma" w:hAnsi="Tahoma" w:cs="Tahoma"/>
                <w:b/>
                <w:bCs/>
                <w:color w:val="243285"/>
                <w:sz w:val="44"/>
                <w:szCs w:val="44"/>
                <w:lang w:val="es-ES_tradnl"/>
              </w:rPr>
              <w:t>en las Regiones 1 y 3</w:t>
            </w:r>
          </w:p>
          <w:p w:rsidR="003A2969" w:rsidRPr="0010336F" w:rsidRDefault="003A2969" w:rsidP="00BF7FF4">
            <w:pPr>
              <w:spacing w:before="80" w:line="500" w:lineRule="exact"/>
              <w:jc w:val="right"/>
              <w:rPr>
                <w:rFonts w:ascii="Tahoma" w:hAnsi="Tahoma" w:cs="Tahoma"/>
                <w:b/>
                <w:bCs/>
                <w:iCs/>
                <w:color w:val="243285"/>
                <w:sz w:val="44"/>
                <w:szCs w:val="44"/>
                <w:lang w:val="es-ES_tradnl"/>
              </w:rPr>
            </w:pPr>
          </w:p>
        </w:tc>
      </w:tr>
      <w:tr w:rsidR="003A2969" w:rsidRPr="003A2969" w:rsidTr="00BF7FF4">
        <w:tc>
          <w:tcPr>
            <w:tcW w:w="10089" w:type="dxa"/>
          </w:tcPr>
          <w:p w:rsidR="003A2969" w:rsidRPr="0010336F" w:rsidRDefault="003A2969" w:rsidP="00BF7FF4">
            <w:pPr>
              <w:spacing w:before="80" w:line="280" w:lineRule="exact"/>
              <w:ind w:right="640"/>
              <w:rPr>
                <w:rFonts w:ascii="Tahoma" w:hAnsi="Tahoma" w:cs="Tahoma"/>
                <w:b/>
                <w:bCs/>
                <w:iCs/>
                <w:color w:val="243285"/>
                <w:sz w:val="32"/>
                <w:szCs w:val="32"/>
                <w:lang w:val="es-ES_tradnl"/>
              </w:rPr>
            </w:pPr>
          </w:p>
          <w:p w:rsidR="003A2969" w:rsidRPr="0010336F" w:rsidRDefault="003A2969" w:rsidP="00BF7FF4">
            <w:pPr>
              <w:spacing w:before="80" w:line="280" w:lineRule="exact"/>
              <w:ind w:right="640"/>
              <w:rPr>
                <w:rFonts w:ascii="Tahoma" w:hAnsi="Tahoma" w:cs="Tahoma"/>
                <w:b/>
                <w:bCs/>
                <w:iCs/>
                <w:color w:val="243285"/>
                <w:sz w:val="32"/>
                <w:szCs w:val="32"/>
                <w:lang w:val="es-ES_tradnl"/>
              </w:rPr>
            </w:pPr>
          </w:p>
          <w:p w:rsidR="003A2969" w:rsidRPr="0010336F" w:rsidRDefault="003A2969" w:rsidP="00BF7FF4">
            <w:pPr>
              <w:spacing w:before="80" w:after="180" w:line="360" w:lineRule="exact"/>
              <w:ind w:right="720"/>
              <w:rPr>
                <w:rFonts w:ascii="Tahoma" w:hAnsi="Tahoma" w:cs="Tahoma"/>
                <w:b/>
                <w:bCs/>
                <w:iCs/>
                <w:color w:val="243285"/>
                <w:sz w:val="36"/>
                <w:szCs w:val="36"/>
                <w:lang w:val="es-ES_tradnl"/>
              </w:rPr>
            </w:pPr>
          </w:p>
          <w:p w:rsidR="003A2969" w:rsidRPr="0010336F" w:rsidRDefault="003A2969" w:rsidP="00BF7FF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O</w:t>
            </w:r>
          </w:p>
          <w:p w:rsidR="003A2969" w:rsidRPr="0010336F" w:rsidRDefault="003A2969" w:rsidP="00BF7FF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Distribución por satélite</w:t>
            </w:r>
          </w:p>
        </w:tc>
      </w:tr>
    </w:tbl>
    <w:p w:rsidR="003A2969" w:rsidRPr="0026666F" w:rsidRDefault="003A2969" w:rsidP="00BF7FF4">
      <w:pPr>
        <w:spacing w:before="80"/>
        <w:rPr>
          <w:i/>
          <w:sz w:val="22"/>
          <w:lang w:val="es-ES_tradnl"/>
        </w:rPr>
      </w:pPr>
    </w:p>
    <w:p w:rsidR="003A2969" w:rsidRPr="0026666F" w:rsidRDefault="003A2969" w:rsidP="00BF7FF4">
      <w:pPr>
        <w:spacing w:before="80"/>
        <w:rPr>
          <w:i/>
          <w:sz w:val="22"/>
          <w:lang w:val="es-ES_tradnl"/>
        </w:rPr>
      </w:pPr>
    </w:p>
    <w:p w:rsidR="003A2969" w:rsidRPr="0026666F" w:rsidRDefault="003A2969" w:rsidP="00BF7FF4">
      <w:pPr>
        <w:spacing w:before="80"/>
        <w:rPr>
          <w:i/>
          <w:sz w:val="22"/>
          <w:lang w:val="es-ES_tradnl"/>
        </w:rPr>
      </w:pPr>
    </w:p>
    <w:p w:rsidR="003A2969" w:rsidRPr="0026666F" w:rsidRDefault="003A2969" w:rsidP="00BF7FF4">
      <w:pPr>
        <w:spacing w:before="80"/>
        <w:rPr>
          <w:i/>
          <w:sz w:val="22"/>
          <w:lang w:val="es-ES_tradnl"/>
        </w:rPr>
      </w:pPr>
    </w:p>
    <w:p w:rsidR="003A2969" w:rsidRPr="0026666F" w:rsidRDefault="003A2969" w:rsidP="00BF7FF4">
      <w:pPr>
        <w:spacing w:before="80"/>
        <w:rPr>
          <w:i/>
          <w:sz w:val="22"/>
          <w:lang w:val="es-ES_tradnl"/>
        </w:rPr>
      </w:pPr>
    </w:p>
    <w:p w:rsidR="003A2969" w:rsidRPr="0026666F" w:rsidRDefault="003A2969" w:rsidP="00BF7FF4">
      <w:pPr>
        <w:spacing w:before="80"/>
        <w:rPr>
          <w:i/>
          <w:sz w:val="22"/>
          <w:lang w:val="es-ES_tradnl"/>
        </w:rPr>
      </w:pPr>
    </w:p>
    <w:p w:rsidR="003A2969" w:rsidRPr="0026666F" w:rsidRDefault="003A2969" w:rsidP="00BF7FF4">
      <w:pPr>
        <w:pStyle w:val="Equation"/>
        <w:tabs>
          <w:tab w:val="clear" w:pos="4820"/>
          <w:tab w:val="clear" w:pos="9639"/>
          <w:tab w:val="left" w:pos="1191"/>
          <w:tab w:val="left" w:pos="1588"/>
          <w:tab w:val="left" w:pos="1985"/>
        </w:tabs>
        <w:rPr>
          <w:rFonts w:ascii="Palatino Linotype" w:hAnsi="Palatino Linotype"/>
          <w:lang w:val="es-ES_tradnl"/>
        </w:rPr>
        <w:sectPr w:rsidR="003A2969" w:rsidRPr="0026666F" w:rsidSect="00BF7FF4">
          <w:headerReference w:type="even" r:id="rId8"/>
          <w:headerReference w:type="default" r:id="rId9"/>
          <w:pgSz w:w="11907" w:h="16834" w:code="9"/>
          <w:pgMar w:top="1418" w:right="1134" w:bottom="1134" w:left="1134" w:header="720" w:footer="482" w:gutter="0"/>
          <w:paperSrc w:first="15" w:other="15"/>
          <w:cols w:space="720"/>
        </w:sectPr>
      </w:pPr>
    </w:p>
    <w:p w:rsidR="003A2969" w:rsidRPr="006C718C" w:rsidRDefault="003A2969" w:rsidP="00BF7F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3A2969" w:rsidRPr="006C718C" w:rsidRDefault="003A2969" w:rsidP="00BF7FF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A2969" w:rsidRPr="006C718C" w:rsidRDefault="003A2969" w:rsidP="00BF7FF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A2969" w:rsidRPr="00021E8A" w:rsidRDefault="003A2969" w:rsidP="00BF7FF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A2969" w:rsidRPr="00021E8A" w:rsidRDefault="003A2969" w:rsidP="00BF7FF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A2969" w:rsidRPr="007C36CA" w:rsidRDefault="003A2969" w:rsidP="00BF7FF4">
      <w:pPr>
        <w:spacing w:before="0"/>
        <w:jc w:val="center"/>
        <w:rPr>
          <w:sz w:val="22"/>
          <w:lang w:val="es-ES_tradnl"/>
        </w:rPr>
      </w:pPr>
    </w:p>
    <w:p w:rsidR="003A2969" w:rsidRPr="007C36CA" w:rsidRDefault="003A2969" w:rsidP="00BF7FF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A2969" w:rsidRPr="00196D2C" w:rsidTr="00BF7FF4">
        <w:tc>
          <w:tcPr>
            <w:tcW w:w="9360" w:type="dxa"/>
            <w:gridSpan w:val="2"/>
          </w:tcPr>
          <w:p w:rsidR="003A2969" w:rsidRPr="00196D2C" w:rsidRDefault="003A2969" w:rsidP="00BF7FF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196D2C">
              <w:rPr>
                <w:sz w:val="22"/>
                <w:szCs w:val="22"/>
                <w:lang w:val="es-ES_tradnl"/>
              </w:rPr>
              <w:t xml:space="preserve">Series de las Recomendaciones UIT-R </w:t>
            </w:r>
          </w:p>
          <w:p w:rsidR="003A2969" w:rsidRPr="00196D2C" w:rsidRDefault="003A2969" w:rsidP="00BF7F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196D2C">
              <w:rPr>
                <w:b w:val="0"/>
                <w:sz w:val="18"/>
                <w:szCs w:val="18"/>
                <w:lang w:val="es-ES_tradnl"/>
              </w:rPr>
              <w:t xml:space="preserve">(También disponible en línea en </w:t>
            </w:r>
            <w:hyperlink r:id="rId11" w:history="1">
              <w:r w:rsidRPr="00196D2C">
                <w:rPr>
                  <w:rStyle w:val="Hyperlink"/>
                  <w:b w:val="0"/>
                  <w:bCs/>
                  <w:sz w:val="18"/>
                  <w:szCs w:val="18"/>
                  <w:lang w:val="es-ES_tradnl"/>
                </w:rPr>
                <w:t>http://www.itu.int/publ/R-REC/es</w:t>
              </w:r>
            </w:hyperlink>
            <w:r w:rsidRPr="00196D2C">
              <w:rPr>
                <w:b w:val="0"/>
                <w:bCs/>
                <w:sz w:val="18"/>
                <w:szCs w:val="18"/>
                <w:lang w:val="es-ES_tradnl"/>
              </w:rPr>
              <w:t>)</w:t>
            </w:r>
          </w:p>
        </w:tc>
      </w:tr>
      <w:tr w:rsidR="003A2969" w:rsidRPr="00196D2C" w:rsidTr="00BF7FF4">
        <w:tc>
          <w:tcPr>
            <w:tcW w:w="1140" w:type="dxa"/>
            <w:tcBorders>
              <w:bottom w:val="nil"/>
            </w:tcBorders>
          </w:tcPr>
          <w:p w:rsidR="003A2969" w:rsidRPr="00196D2C" w:rsidRDefault="003A2969" w:rsidP="00BF7FF4">
            <w:pPr>
              <w:spacing w:before="180" w:after="100"/>
              <w:ind w:left="57"/>
              <w:rPr>
                <w:b/>
                <w:bCs/>
                <w:sz w:val="20"/>
                <w:lang w:val="es-ES_tradnl"/>
              </w:rPr>
            </w:pPr>
            <w:r w:rsidRPr="00196D2C">
              <w:rPr>
                <w:b/>
                <w:bCs/>
                <w:sz w:val="20"/>
                <w:lang w:val="es-ES_tradnl"/>
              </w:rPr>
              <w:t>Series</w:t>
            </w:r>
          </w:p>
        </w:tc>
        <w:tc>
          <w:tcPr>
            <w:tcW w:w="8220" w:type="dxa"/>
            <w:tcBorders>
              <w:bottom w:val="nil"/>
            </w:tcBorders>
          </w:tcPr>
          <w:p w:rsidR="003A2969" w:rsidRPr="00196D2C" w:rsidRDefault="003A2969" w:rsidP="00BF7F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196D2C">
              <w:rPr>
                <w:bCs/>
                <w:sz w:val="20"/>
                <w:lang w:val="es-ES_tradnl"/>
              </w:rPr>
              <w:t>Título</w:t>
            </w:r>
          </w:p>
        </w:tc>
      </w:tr>
      <w:tr w:rsidR="003A2969" w:rsidRPr="00196D2C" w:rsidTr="00BF7FF4">
        <w:tc>
          <w:tcPr>
            <w:tcW w:w="1140" w:type="dxa"/>
            <w:tcBorders>
              <w:top w:val="nil"/>
              <w:bottom w:val="nil"/>
            </w:tcBorders>
            <w:shd w:val="clear" w:color="auto" w:fill="F3F3F3"/>
          </w:tcPr>
          <w:p w:rsidR="003A2969" w:rsidRPr="00196D2C" w:rsidRDefault="003A2969" w:rsidP="00BF7FF4">
            <w:pPr>
              <w:spacing w:before="30" w:after="30"/>
              <w:ind w:left="57"/>
              <w:jc w:val="left"/>
              <w:rPr>
                <w:b/>
                <w:bCs/>
                <w:color w:val="000080"/>
                <w:sz w:val="20"/>
                <w:lang w:val="es-ES_tradnl"/>
              </w:rPr>
            </w:pPr>
            <w:r w:rsidRPr="00196D2C">
              <w:rPr>
                <w:b/>
                <w:bCs/>
                <w:color w:val="000080"/>
                <w:sz w:val="20"/>
                <w:lang w:val="es-ES_tradnl"/>
              </w:rPr>
              <w:t>BO</w:t>
            </w:r>
          </w:p>
        </w:tc>
        <w:tc>
          <w:tcPr>
            <w:tcW w:w="8220" w:type="dxa"/>
            <w:tcBorders>
              <w:top w:val="nil"/>
              <w:bottom w:val="nil"/>
            </w:tcBorders>
            <w:shd w:val="clear" w:color="auto" w:fill="F3F3F3"/>
          </w:tcPr>
          <w:p w:rsidR="003A2969" w:rsidRPr="00196D2C" w:rsidRDefault="003A2969" w:rsidP="00BF7F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96D2C">
              <w:rPr>
                <w:bCs/>
                <w:color w:val="000080"/>
                <w:sz w:val="20"/>
                <w:lang w:val="es-ES_tradnl"/>
              </w:rPr>
              <w:t>Distribución por satélite</w:t>
            </w:r>
          </w:p>
        </w:tc>
      </w:tr>
      <w:tr w:rsidR="003A2969" w:rsidRPr="00196D2C" w:rsidTr="00BF7FF4">
        <w:tc>
          <w:tcPr>
            <w:tcW w:w="1140" w:type="dxa"/>
            <w:tcBorders>
              <w:top w:val="nil"/>
              <w:bottom w:val="nil"/>
            </w:tcBorders>
            <w:shd w:val="clear" w:color="auto" w:fill="auto"/>
          </w:tcPr>
          <w:p w:rsidR="003A2969" w:rsidRPr="00196D2C" w:rsidRDefault="003A2969" w:rsidP="00BF7FF4">
            <w:pPr>
              <w:spacing w:before="30" w:after="30"/>
              <w:ind w:left="57"/>
              <w:jc w:val="left"/>
              <w:rPr>
                <w:b/>
                <w:bCs/>
                <w:sz w:val="20"/>
                <w:lang w:val="es-ES_tradnl"/>
              </w:rPr>
            </w:pPr>
            <w:r w:rsidRPr="00196D2C">
              <w:rPr>
                <w:b/>
                <w:bCs/>
                <w:sz w:val="20"/>
                <w:lang w:val="es-ES_tradnl"/>
              </w:rPr>
              <w:t>BR</w:t>
            </w:r>
          </w:p>
        </w:tc>
        <w:tc>
          <w:tcPr>
            <w:tcW w:w="8220" w:type="dxa"/>
            <w:tcBorders>
              <w:top w:val="nil"/>
              <w:bottom w:val="nil"/>
            </w:tcBorders>
            <w:shd w:val="clear" w:color="auto" w:fill="auto"/>
          </w:tcPr>
          <w:p w:rsidR="003A2969" w:rsidRPr="00196D2C" w:rsidRDefault="003A2969" w:rsidP="00BF7F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196D2C">
              <w:rPr>
                <w:b w:val="0"/>
                <w:sz w:val="20"/>
                <w:lang w:val="es-ES_tradnl"/>
              </w:rPr>
              <w:t>Registro para producción, archivo y reproducción; películas en televisión</w:t>
            </w:r>
          </w:p>
        </w:tc>
      </w:tr>
      <w:tr w:rsidR="003A2969" w:rsidRPr="00196D2C" w:rsidTr="00BF7FF4">
        <w:tc>
          <w:tcPr>
            <w:tcW w:w="1140" w:type="dxa"/>
            <w:tcBorders>
              <w:top w:val="nil"/>
            </w:tcBorders>
          </w:tcPr>
          <w:p w:rsidR="003A2969" w:rsidRPr="00196D2C" w:rsidRDefault="003A2969" w:rsidP="00BF7FF4">
            <w:pPr>
              <w:spacing w:before="30" w:after="30"/>
              <w:ind w:left="57"/>
              <w:jc w:val="left"/>
              <w:rPr>
                <w:b/>
                <w:bCs/>
                <w:sz w:val="20"/>
                <w:lang w:val="es-ES_tradnl"/>
              </w:rPr>
            </w:pPr>
            <w:r w:rsidRPr="00196D2C">
              <w:rPr>
                <w:b/>
                <w:bCs/>
                <w:sz w:val="20"/>
                <w:lang w:val="es-ES_tradnl"/>
              </w:rPr>
              <w:t>BS</w:t>
            </w:r>
          </w:p>
        </w:tc>
        <w:tc>
          <w:tcPr>
            <w:tcW w:w="8220" w:type="dxa"/>
            <w:tcBorders>
              <w:top w:val="nil"/>
            </w:tcBorders>
          </w:tcPr>
          <w:p w:rsidR="003A2969" w:rsidRPr="00196D2C" w:rsidRDefault="003A2969" w:rsidP="00BF7F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96D2C">
              <w:rPr>
                <w:b w:val="0"/>
                <w:bCs/>
                <w:sz w:val="20"/>
                <w:lang w:val="es-ES_tradnl"/>
              </w:rPr>
              <w:t>Servicio de radiodifusión sonora</w:t>
            </w:r>
          </w:p>
        </w:tc>
      </w:tr>
      <w:tr w:rsidR="003A2969" w:rsidRPr="00196D2C" w:rsidTr="00BF7FF4">
        <w:tc>
          <w:tcPr>
            <w:tcW w:w="1140" w:type="dxa"/>
            <w:shd w:val="clear" w:color="auto" w:fill="auto"/>
          </w:tcPr>
          <w:p w:rsidR="003A2969" w:rsidRPr="00196D2C" w:rsidRDefault="003A2969" w:rsidP="00BF7FF4">
            <w:pPr>
              <w:spacing w:before="30" w:after="30"/>
              <w:ind w:left="57"/>
              <w:jc w:val="left"/>
              <w:rPr>
                <w:b/>
                <w:bCs/>
                <w:sz w:val="20"/>
                <w:lang w:val="es-ES_tradnl"/>
              </w:rPr>
            </w:pPr>
            <w:r w:rsidRPr="00196D2C">
              <w:rPr>
                <w:b/>
                <w:bCs/>
                <w:sz w:val="20"/>
                <w:lang w:val="es-ES_tradnl"/>
              </w:rPr>
              <w:t>BT</w:t>
            </w:r>
          </w:p>
        </w:tc>
        <w:tc>
          <w:tcPr>
            <w:tcW w:w="8220" w:type="dxa"/>
            <w:shd w:val="clear" w:color="auto" w:fill="auto"/>
          </w:tcPr>
          <w:p w:rsidR="003A2969" w:rsidRPr="00196D2C" w:rsidRDefault="003A2969" w:rsidP="00BF7F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96D2C">
              <w:rPr>
                <w:b w:val="0"/>
                <w:bCs/>
                <w:sz w:val="20"/>
                <w:lang w:val="es-ES_tradnl"/>
              </w:rPr>
              <w:t>Servicio de radiodifusión (televisión)</w:t>
            </w:r>
          </w:p>
        </w:tc>
      </w:tr>
      <w:tr w:rsidR="003A2969" w:rsidRPr="00196D2C" w:rsidTr="00BF7FF4">
        <w:tc>
          <w:tcPr>
            <w:tcW w:w="1140" w:type="dxa"/>
            <w:tcBorders>
              <w:bottom w:val="nil"/>
            </w:tcBorders>
            <w:shd w:val="clear" w:color="auto" w:fill="auto"/>
          </w:tcPr>
          <w:p w:rsidR="003A2969" w:rsidRPr="00196D2C" w:rsidRDefault="003A2969" w:rsidP="00BF7FF4">
            <w:pPr>
              <w:spacing w:before="30" w:after="30"/>
              <w:ind w:left="57"/>
              <w:jc w:val="left"/>
              <w:rPr>
                <w:b/>
                <w:bCs/>
                <w:sz w:val="20"/>
                <w:lang w:val="es-ES_tradnl"/>
              </w:rPr>
            </w:pPr>
            <w:r w:rsidRPr="00196D2C">
              <w:rPr>
                <w:b/>
                <w:bCs/>
                <w:sz w:val="20"/>
                <w:lang w:val="es-ES_tradnl"/>
              </w:rPr>
              <w:t>F</w:t>
            </w:r>
          </w:p>
        </w:tc>
        <w:tc>
          <w:tcPr>
            <w:tcW w:w="8220" w:type="dxa"/>
            <w:tcBorders>
              <w:bottom w:val="nil"/>
            </w:tcBorders>
            <w:shd w:val="clear" w:color="auto" w:fill="auto"/>
          </w:tcPr>
          <w:p w:rsidR="003A2969" w:rsidRPr="00196D2C" w:rsidRDefault="003A2969" w:rsidP="00BF7F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196D2C">
              <w:rPr>
                <w:bCs/>
                <w:sz w:val="20"/>
                <w:lang w:val="es-ES_tradnl"/>
              </w:rPr>
              <w:t>Servicio fijo</w:t>
            </w:r>
          </w:p>
        </w:tc>
      </w:tr>
      <w:tr w:rsidR="003A2969" w:rsidRPr="00196D2C" w:rsidTr="00BF7FF4">
        <w:tc>
          <w:tcPr>
            <w:tcW w:w="1140" w:type="dxa"/>
            <w:tcBorders>
              <w:top w:val="nil"/>
              <w:bottom w:val="nil"/>
            </w:tcBorders>
            <w:shd w:val="clear" w:color="auto" w:fill="auto"/>
          </w:tcPr>
          <w:p w:rsidR="003A2969" w:rsidRPr="00196D2C" w:rsidRDefault="003A2969" w:rsidP="00BF7FF4">
            <w:pPr>
              <w:spacing w:before="30" w:after="30"/>
              <w:ind w:left="57"/>
              <w:jc w:val="left"/>
              <w:rPr>
                <w:rFonts w:hAnsi="Times New Roman Bold"/>
                <w:b/>
                <w:bCs/>
                <w:sz w:val="20"/>
                <w:lang w:val="es-ES_tradnl"/>
              </w:rPr>
            </w:pPr>
            <w:r w:rsidRPr="00196D2C">
              <w:rPr>
                <w:rFonts w:hAnsi="Times New Roman Bold"/>
                <w:b/>
                <w:bCs/>
                <w:sz w:val="20"/>
                <w:lang w:val="es-ES_tradnl"/>
              </w:rPr>
              <w:t>M</w:t>
            </w:r>
          </w:p>
        </w:tc>
        <w:tc>
          <w:tcPr>
            <w:tcW w:w="8220" w:type="dxa"/>
            <w:tcBorders>
              <w:top w:val="nil"/>
              <w:bottom w:val="nil"/>
            </w:tcBorders>
            <w:shd w:val="clear" w:color="auto" w:fill="auto"/>
          </w:tcPr>
          <w:p w:rsidR="003A2969" w:rsidRPr="00196D2C" w:rsidRDefault="003A2969" w:rsidP="00BF7F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96D2C">
              <w:rPr>
                <w:rFonts w:hAnsi="Times New Roman Bold"/>
                <w:b w:val="0"/>
                <w:sz w:val="20"/>
                <w:lang w:val="es-ES_tradnl"/>
              </w:rPr>
              <w:t>Servicios m</w:t>
            </w:r>
            <w:r w:rsidRPr="00196D2C">
              <w:rPr>
                <w:rFonts w:hAnsi="Times New Roman Bold"/>
                <w:b w:val="0"/>
                <w:sz w:val="20"/>
                <w:lang w:val="es-ES_tradnl"/>
              </w:rPr>
              <w:t>ó</w:t>
            </w:r>
            <w:r w:rsidRPr="00196D2C">
              <w:rPr>
                <w:rFonts w:hAnsi="Times New Roman Bold"/>
                <w:b w:val="0"/>
                <w:sz w:val="20"/>
                <w:lang w:val="es-ES_tradnl"/>
              </w:rPr>
              <w:t>viles, de radiodeterminaci</w:t>
            </w:r>
            <w:r w:rsidRPr="00196D2C">
              <w:rPr>
                <w:rFonts w:hAnsi="Times New Roman Bold"/>
                <w:b w:val="0"/>
                <w:sz w:val="20"/>
                <w:lang w:val="es-ES_tradnl"/>
              </w:rPr>
              <w:t>ó</w:t>
            </w:r>
            <w:r w:rsidRPr="00196D2C">
              <w:rPr>
                <w:rFonts w:hAnsi="Times New Roman Bold"/>
                <w:b w:val="0"/>
                <w:sz w:val="20"/>
                <w:lang w:val="es-ES_tradnl"/>
              </w:rPr>
              <w:t>n, de aficionados y otros servicios por sat</w:t>
            </w:r>
            <w:r w:rsidRPr="00196D2C">
              <w:rPr>
                <w:rFonts w:hAnsi="Times New Roman Bold"/>
                <w:b w:val="0"/>
                <w:sz w:val="20"/>
                <w:lang w:val="es-ES_tradnl"/>
              </w:rPr>
              <w:t>é</w:t>
            </w:r>
            <w:r w:rsidRPr="00196D2C">
              <w:rPr>
                <w:rFonts w:hAnsi="Times New Roman Bold"/>
                <w:b w:val="0"/>
                <w:sz w:val="20"/>
                <w:lang w:val="es-ES_tradnl"/>
              </w:rPr>
              <w:t>lite conexos</w:t>
            </w:r>
          </w:p>
        </w:tc>
      </w:tr>
      <w:tr w:rsidR="003A2969" w:rsidRPr="00196D2C" w:rsidTr="00BF7FF4">
        <w:tc>
          <w:tcPr>
            <w:tcW w:w="1140" w:type="dxa"/>
            <w:tcBorders>
              <w:top w:val="nil"/>
            </w:tcBorders>
          </w:tcPr>
          <w:p w:rsidR="003A2969" w:rsidRPr="00196D2C" w:rsidRDefault="003A2969" w:rsidP="00BF7FF4">
            <w:pPr>
              <w:spacing w:before="30" w:after="30"/>
              <w:ind w:left="57"/>
              <w:jc w:val="left"/>
              <w:rPr>
                <w:b/>
                <w:bCs/>
                <w:sz w:val="20"/>
                <w:lang w:val="es-ES_tradnl"/>
              </w:rPr>
            </w:pPr>
            <w:r w:rsidRPr="00196D2C">
              <w:rPr>
                <w:b/>
                <w:bCs/>
                <w:sz w:val="20"/>
                <w:lang w:val="es-ES_tradnl"/>
              </w:rPr>
              <w:t>P</w:t>
            </w:r>
          </w:p>
        </w:tc>
        <w:tc>
          <w:tcPr>
            <w:tcW w:w="8220" w:type="dxa"/>
            <w:tcBorders>
              <w:top w:val="nil"/>
            </w:tcBorders>
          </w:tcPr>
          <w:p w:rsidR="003A2969" w:rsidRPr="00196D2C" w:rsidRDefault="003A2969" w:rsidP="00BF7FF4">
            <w:pPr>
              <w:spacing w:before="30" w:after="30"/>
              <w:jc w:val="left"/>
              <w:rPr>
                <w:bCs/>
                <w:sz w:val="20"/>
                <w:lang w:val="es-ES_tradnl"/>
              </w:rPr>
            </w:pPr>
            <w:r w:rsidRPr="00196D2C">
              <w:rPr>
                <w:bCs/>
                <w:sz w:val="20"/>
                <w:lang w:val="es-ES_tradnl"/>
              </w:rPr>
              <w:t>Propagación de las ondas radioeléctricas</w:t>
            </w:r>
          </w:p>
        </w:tc>
      </w:tr>
      <w:tr w:rsidR="003A2969" w:rsidRPr="00196D2C" w:rsidTr="00BF7FF4">
        <w:tc>
          <w:tcPr>
            <w:tcW w:w="1140" w:type="dxa"/>
          </w:tcPr>
          <w:p w:rsidR="003A2969" w:rsidRPr="00196D2C" w:rsidRDefault="003A2969" w:rsidP="00BF7FF4">
            <w:pPr>
              <w:spacing w:before="30" w:after="30"/>
              <w:ind w:left="57"/>
              <w:jc w:val="left"/>
              <w:rPr>
                <w:b/>
                <w:bCs/>
                <w:sz w:val="20"/>
                <w:lang w:val="es-ES_tradnl"/>
              </w:rPr>
            </w:pPr>
            <w:r w:rsidRPr="00196D2C">
              <w:rPr>
                <w:b/>
                <w:bCs/>
                <w:sz w:val="20"/>
                <w:lang w:val="es-ES_tradnl"/>
              </w:rPr>
              <w:t>RA</w:t>
            </w:r>
          </w:p>
        </w:tc>
        <w:tc>
          <w:tcPr>
            <w:tcW w:w="8220" w:type="dxa"/>
          </w:tcPr>
          <w:p w:rsidR="003A2969" w:rsidRPr="00196D2C" w:rsidRDefault="00BF7FF4" w:rsidP="00BF7F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196D2C">
              <w:rPr>
                <w:bCs/>
                <w:sz w:val="20"/>
                <w:lang w:val="es-ES_tradnl"/>
              </w:rPr>
              <w:t>Radio</w:t>
            </w:r>
            <w:r w:rsidR="003A2969" w:rsidRPr="00196D2C">
              <w:rPr>
                <w:bCs/>
                <w:sz w:val="20"/>
                <w:lang w:val="es-ES_tradnl"/>
              </w:rPr>
              <w:t>astronomía</w:t>
            </w:r>
          </w:p>
        </w:tc>
      </w:tr>
      <w:tr w:rsidR="003A2969" w:rsidRPr="00196D2C" w:rsidTr="00BF7FF4">
        <w:tc>
          <w:tcPr>
            <w:tcW w:w="1140" w:type="dxa"/>
          </w:tcPr>
          <w:p w:rsidR="003A2969" w:rsidRPr="00196D2C" w:rsidRDefault="003A2969" w:rsidP="00BF7FF4">
            <w:pPr>
              <w:spacing w:before="30" w:after="30"/>
              <w:ind w:left="57"/>
              <w:jc w:val="left"/>
              <w:rPr>
                <w:b/>
                <w:bCs/>
                <w:sz w:val="20"/>
                <w:lang w:val="es-ES_tradnl"/>
              </w:rPr>
            </w:pPr>
            <w:r w:rsidRPr="00196D2C">
              <w:rPr>
                <w:b/>
                <w:bCs/>
                <w:sz w:val="20"/>
                <w:lang w:val="es-ES_tradnl"/>
              </w:rPr>
              <w:t>RS</w:t>
            </w:r>
          </w:p>
        </w:tc>
        <w:tc>
          <w:tcPr>
            <w:tcW w:w="8220" w:type="dxa"/>
          </w:tcPr>
          <w:p w:rsidR="003A2969" w:rsidRPr="00196D2C" w:rsidRDefault="003A2969" w:rsidP="00BF7F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196D2C">
              <w:rPr>
                <w:bCs/>
                <w:sz w:val="20"/>
                <w:lang w:val="es-ES_tradnl"/>
              </w:rPr>
              <w:t>Sistemas de detección a distancia</w:t>
            </w:r>
          </w:p>
        </w:tc>
      </w:tr>
      <w:tr w:rsidR="003A2969" w:rsidRPr="00196D2C" w:rsidTr="00BF7FF4">
        <w:tc>
          <w:tcPr>
            <w:tcW w:w="1140" w:type="dxa"/>
          </w:tcPr>
          <w:p w:rsidR="003A2969" w:rsidRPr="00196D2C" w:rsidRDefault="003A2969" w:rsidP="00BF7FF4">
            <w:pPr>
              <w:spacing w:before="30" w:after="30"/>
              <w:ind w:left="57"/>
              <w:jc w:val="left"/>
              <w:rPr>
                <w:b/>
                <w:bCs/>
                <w:sz w:val="20"/>
                <w:lang w:val="es-ES_tradnl"/>
              </w:rPr>
            </w:pPr>
            <w:r w:rsidRPr="00196D2C">
              <w:rPr>
                <w:b/>
                <w:bCs/>
                <w:sz w:val="20"/>
                <w:lang w:val="es-ES_tradnl"/>
              </w:rPr>
              <w:t>S</w:t>
            </w:r>
          </w:p>
        </w:tc>
        <w:tc>
          <w:tcPr>
            <w:tcW w:w="8220" w:type="dxa"/>
          </w:tcPr>
          <w:p w:rsidR="003A2969" w:rsidRPr="00196D2C" w:rsidRDefault="003A2969" w:rsidP="00BF7FF4">
            <w:pPr>
              <w:spacing w:before="30" w:after="30"/>
              <w:jc w:val="left"/>
              <w:rPr>
                <w:bCs/>
                <w:sz w:val="20"/>
                <w:lang w:val="es-ES_tradnl"/>
              </w:rPr>
            </w:pPr>
            <w:r w:rsidRPr="00196D2C">
              <w:rPr>
                <w:bCs/>
                <w:sz w:val="20"/>
                <w:lang w:val="es-ES_tradnl"/>
              </w:rPr>
              <w:t>Servicio fijo por satélite</w:t>
            </w:r>
          </w:p>
        </w:tc>
      </w:tr>
      <w:tr w:rsidR="003A2969" w:rsidRPr="00196D2C" w:rsidTr="00BF7FF4">
        <w:tc>
          <w:tcPr>
            <w:tcW w:w="1140" w:type="dxa"/>
          </w:tcPr>
          <w:p w:rsidR="003A2969" w:rsidRPr="00196D2C" w:rsidRDefault="003A2969" w:rsidP="00BF7FF4">
            <w:pPr>
              <w:spacing w:before="30" w:after="30"/>
              <w:ind w:left="57"/>
              <w:jc w:val="left"/>
              <w:rPr>
                <w:b/>
                <w:bCs/>
                <w:sz w:val="20"/>
                <w:lang w:val="es-ES_tradnl"/>
              </w:rPr>
            </w:pPr>
            <w:r w:rsidRPr="00196D2C">
              <w:rPr>
                <w:b/>
                <w:bCs/>
                <w:sz w:val="20"/>
                <w:lang w:val="es-ES_tradnl"/>
              </w:rPr>
              <w:t>SA</w:t>
            </w:r>
          </w:p>
        </w:tc>
        <w:tc>
          <w:tcPr>
            <w:tcW w:w="8220" w:type="dxa"/>
          </w:tcPr>
          <w:p w:rsidR="003A2969" w:rsidRPr="00196D2C" w:rsidRDefault="003A2969" w:rsidP="00BF7FF4">
            <w:pPr>
              <w:spacing w:before="30" w:after="30"/>
              <w:jc w:val="left"/>
              <w:rPr>
                <w:bCs/>
                <w:sz w:val="20"/>
                <w:lang w:val="es-ES_tradnl"/>
              </w:rPr>
            </w:pPr>
            <w:r w:rsidRPr="00196D2C">
              <w:rPr>
                <w:bCs/>
                <w:sz w:val="20"/>
                <w:lang w:val="es-ES_tradnl"/>
              </w:rPr>
              <w:t>Aplicaciones espaciales y meteorología</w:t>
            </w:r>
          </w:p>
        </w:tc>
      </w:tr>
      <w:tr w:rsidR="003A2969" w:rsidRPr="00196D2C" w:rsidTr="00BF7FF4">
        <w:tc>
          <w:tcPr>
            <w:tcW w:w="1140" w:type="dxa"/>
          </w:tcPr>
          <w:p w:rsidR="003A2969" w:rsidRPr="00196D2C" w:rsidRDefault="003A2969" w:rsidP="00BF7FF4">
            <w:pPr>
              <w:spacing w:before="30" w:after="30"/>
              <w:ind w:left="57"/>
              <w:jc w:val="left"/>
              <w:rPr>
                <w:b/>
                <w:bCs/>
                <w:sz w:val="20"/>
                <w:lang w:val="es-ES_tradnl"/>
              </w:rPr>
            </w:pPr>
            <w:r w:rsidRPr="00196D2C">
              <w:rPr>
                <w:b/>
                <w:bCs/>
                <w:sz w:val="20"/>
                <w:lang w:val="es-ES_tradnl"/>
              </w:rPr>
              <w:t>SF</w:t>
            </w:r>
          </w:p>
        </w:tc>
        <w:tc>
          <w:tcPr>
            <w:tcW w:w="8220" w:type="dxa"/>
          </w:tcPr>
          <w:p w:rsidR="003A2969" w:rsidRPr="00196D2C" w:rsidRDefault="003A2969" w:rsidP="00BF7FF4">
            <w:pPr>
              <w:spacing w:before="30" w:after="30"/>
              <w:jc w:val="left"/>
              <w:rPr>
                <w:bCs/>
                <w:sz w:val="20"/>
                <w:lang w:val="es-ES_tradnl"/>
              </w:rPr>
            </w:pPr>
            <w:r w:rsidRPr="00196D2C">
              <w:rPr>
                <w:bCs/>
                <w:sz w:val="20"/>
                <w:lang w:val="es-ES_tradnl"/>
              </w:rPr>
              <w:t>Compartición de frecuencias y coordinación entre los sistemas del servicio fijo por satélite y del servicio fijo</w:t>
            </w:r>
          </w:p>
        </w:tc>
      </w:tr>
      <w:tr w:rsidR="003A2969" w:rsidRPr="00196D2C" w:rsidTr="00BF7FF4">
        <w:tc>
          <w:tcPr>
            <w:tcW w:w="1140" w:type="dxa"/>
            <w:shd w:val="clear" w:color="auto" w:fill="auto"/>
          </w:tcPr>
          <w:p w:rsidR="003A2969" w:rsidRPr="00196D2C" w:rsidRDefault="003A2969" w:rsidP="00BF7FF4">
            <w:pPr>
              <w:spacing w:before="30" w:after="30"/>
              <w:ind w:left="57"/>
              <w:jc w:val="left"/>
              <w:rPr>
                <w:b/>
                <w:bCs/>
                <w:sz w:val="20"/>
                <w:lang w:val="es-ES_tradnl"/>
              </w:rPr>
            </w:pPr>
            <w:r w:rsidRPr="00196D2C">
              <w:rPr>
                <w:b/>
                <w:bCs/>
                <w:sz w:val="20"/>
                <w:lang w:val="es-ES_tradnl"/>
              </w:rPr>
              <w:t>SM</w:t>
            </w:r>
          </w:p>
        </w:tc>
        <w:tc>
          <w:tcPr>
            <w:tcW w:w="8220" w:type="dxa"/>
            <w:shd w:val="clear" w:color="auto" w:fill="auto"/>
          </w:tcPr>
          <w:p w:rsidR="003A2969" w:rsidRPr="00196D2C" w:rsidRDefault="003A2969" w:rsidP="00BF7FF4">
            <w:pPr>
              <w:spacing w:before="30" w:after="30"/>
              <w:jc w:val="left"/>
              <w:rPr>
                <w:sz w:val="20"/>
                <w:lang w:val="es-ES_tradnl"/>
              </w:rPr>
            </w:pPr>
            <w:r w:rsidRPr="00196D2C">
              <w:rPr>
                <w:sz w:val="20"/>
                <w:lang w:val="es-ES_tradnl"/>
              </w:rPr>
              <w:t>Gestión del espectro</w:t>
            </w:r>
          </w:p>
        </w:tc>
      </w:tr>
      <w:tr w:rsidR="003A2969" w:rsidRPr="00196D2C" w:rsidTr="00BF7FF4">
        <w:tc>
          <w:tcPr>
            <w:tcW w:w="1140" w:type="dxa"/>
          </w:tcPr>
          <w:p w:rsidR="003A2969" w:rsidRPr="00196D2C" w:rsidRDefault="003A2969" w:rsidP="00BF7FF4">
            <w:pPr>
              <w:spacing w:before="30" w:after="30"/>
              <w:ind w:left="57"/>
              <w:jc w:val="left"/>
              <w:rPr>
                <w:b/>
                <w:bCs/>
                <w:sz w:val="20"/>
                <w:lang w:val="es-ES_tradnl"/>
              </w:rPr>
            </w:pPr>
            <w:r w:rsidRPr="00196D2C">
              <w:rPr>
                <w:b/>
                <w:bCs/>
                <w:sz w:val="20"/>
                <w:lang w:val="es-ES_tradnl"/>
              </w:rPr>
              <w:t>SNG</w:t>
            </w:r>
          </w:p>
        </w:tc>
        <w:tc>
          <w:tcPr>
            <w:tcW w:w="8220" w:type="dxa"/>
          </w:tcPr>
          <w:p w:rsidR="003A2969" w:rsidRPr="00196D2C" w:rsidRDefault="003A2969" w:rsidP="00BF7FF4">
            <w:pPr>
              <w:spacing w:before="30" w:after="30"/>
              <w:jc w:val="left"/>
              <w:rPr>
                <w:bCs/>
                <w:sz w:val="20"/>
                <w:lang w:val="es-ES_tradnl"/>
              </w:rPr>
            </w:pPr>
            <w:r w:rsidRPr="00196D2C">
              <w:rPr>
                <w:bCs/>
                <w:sz w:val="20"/>
                <w:lang w:val="es-ES_tradnl"/>
              </w:rPr>
              <w:t>Periodismo electrónico por satélite</w:t>
            </w:r>
          </w:p>
        </w:tc>
      </w:tr>
      <w:tr w:rsidR="003A2969" w:rsidRPr="00196D2C" w:rsidTr="00BF7FF4">
        <w:tc>
          <w:tcPr>
            <w:tcW w:w="1140" w:type="dxa"/>
          </w:tcPr>
          <w:p w:rsidR="003A2969" w:rsidRPr="00196D2C" w:rsidRDefault="003A2969" w:rsidP="00BF7FF4">
            <w:pPr>
              <w:spacing w:before="30" w:after="30"/>
              <w:ind w:left="57"/>
              <w:jc w:val="left"/>
              <w:rPr>
                <w:b/>
                <w:bCs/>
                <w:sz w:val="20"/>
                <w:lang w:val="es-ES_tradnl"/>
              </w:rPr>
            </w:pPr>
            <w:r w:rsidRPr="00196D2C">
              <w:rPr>
                <w:b/>
                <w:bCs/>
                <w:sz w:val="20"/>
                <w:lang w:val="es-ES_tradnl"/>
              </w:rPr>
              <w:t>TF</w:t>
            </w:r>
          </w:p>
        </w:tc>
        <w:tc>
          <w:tcPr>
            <w:tcW w:w="8220" w:type="dxa"/>
          </w:tcPr>
          <w:p w:rsidR="003A2969" w:rsidRPr="00196D2C" w:rsidRDefault="003A2969" w:rsidP="00BF7FF4">
            <w:pPr>
              <w:spacing w:before="30" w:after="30"/>
              <w:jc w:val="left"/>
              <w:rPr>
                <w:bCs/>
                <w:sz w:val="20"/>
                <w:lang w:val="es-ES_tradnl"/>
              </w:rPr>
            </w:pPr>
            <w:r w:rsidRPr="00196D2C">
              <w:rPr>
                <w:bCs/>
                <w:sz w:val="20"/>
                <w:lang w:val="es-ES_tradnl"/>
              </w:rPr>
              <w:t>Emisiones de frecuencias patrón y señales horarias</w:t>
            </w:r>
          </w:p>
        </w:tc>
      </w:tr>
      <w:tr w:rsidR="003A2969" w:rsidRPr="00196D2C" w:rsidTr="00BF7FF4">
        <w:tc>
          <w:tcPr>
            <w:tcW w:w="1140" w:type="dxa"/>
          </w:tcPr>
          <w:p w:rsidR="003A2969" w:rsidRPr="00196D2C" w:rsidRDefault="003A2969" w:rsidP="00BF7FF4">
            <w:pPr>
              <w:spacing w:before="30" w:after="30"/>
              <w:ind w:left="57"/>
              <w:jc w:val="left"/>
              <w:rPr>
                <w:b/>
                <w:bCs/>
                <w:sz w:val="20"/>
                <w:lang w:val="es-ES_tradnl"/>
              </w:rPr>
            </w:pPr>
            <w:r w:rsidRPr="00196D2C">
              <w:rPr>
                <w:b/>
                <w:bCs/>
                <w:sz w:val="20"/>
                <w:lang w:val="es-ES_tradnl"/>
              </w:rPr>
              <w:t>V</w:t>
            </w:r>
          </w:p>
        </w:tc>
        <w:tc>
          <w:tcPr>
            <w:tcW w:w="8220" w:type="dxa"/>
          </w:tcPr>
          <w:p w:rsidR="003A2969" w:rsidRPr="00196D2C" w:rsidRDefault="003A2969" w:rsidP="00BF7FF4">
            <w:pPr>
              <w:spacing w:before="30" w:after="140"/>
              <w:jc w:val="left"/>
              <w:rPr>
                <w:bCs/>
                <w:sz w:val="20"/>
                <w:lang w:val="es-ES_tradnl"/>
              </w:rPr>
            </w:pPr>
            <w:r w:rsidRPr="00196D2C">
              <w:rPr>
                <w:bCs/>
                <w:sz w:val="20"/>
                <w:lang w:val="es-ES_tradnl"/>
              </w:rPr>
              <w:t>Vocabulario y cuestiones afines</w:t>
            </w:r>
          </w:p>
        </w:tc>
      </w:tr>
    </w:tbl>
    <w:p w:rsidR="003A2969" w:rsidRPr="00036EE3" w:rsidRDefault="003A2969" w:rsidP="00BF7FF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A2969" w:rsidTr="00BF7FF4">
        <w:tc>
          <w:tcPr>
            <w:tcW w:w="720" w:type="dxa"/>
          </w:tcPr>
          <w:p w:rsidR="003A2969" w:rsidRDefault="003A2969" w:rsidP="00BF7FF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3A2969" w:rsidRPr="003A2969" w:rsidTr="00BF7FF4">
        <w:tc>
          <w:tcPr>
            <w:tcW w:w="9360" w:type="dxa"/>
          </w:tcPr>
          <w:p w:rsidR="003A2969" w:rsidRPr="00763D08" w:rsidRDefault="003A2969" w:rsidP="00BF7FF4">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3A2969" w:rsidRPr="00763D08" w:rsidRDefault="003A2969" w:rsidP="00BF7FF4">
      <w:pPr>
        <w:spacing w:before="0"/>
        <w:jc w:val="center"/>
        <w:rPr>
          <w:sz w:val="22"/>
          <w:lang w:val="es-ES_tradnl"/>
        </w:rPr>
      </w:pPr>
    </w:p>
    <w:p w:rsidR="003A2969" w:rsidRPr="00763D08" w:rsidRDefault="003A2969" w:rsidP="00BF7FF4">
      <w:pPr>
        <w:spacing w:before="60"/>
        <w:jc w:val="right"/>
        <w:rPr>
          <w:i/>
          <w:iCs/>
          <w:sz w:val="20"/>
          <w:lang w:val="es-ES_tradnl"/>
        </w:rPr>
      </w:pPr>
      <w:r w:rsidRPr="00763D08">
        <w:rPr>
          <w:i/>
          <w:iCs/>
          <w:sz w:val="20"/>
          <w:lang w:val="es-ES_tradnl"/>
        </w:rPr>
        <w:t>Publicación electrónica</w:t>
      </w:r>
    </w:p>
    <w:p w:rsidR="003A2969" w:rsidRPr="00763D08" w:rsidRDefault="003A2969" w:rsidP="00BF7FF4">
      <w:pPr>
        <w:spacing w:before="0" w:after="40"/>
        <w:jc w:val="right"/>
        <w:rPr>
          <w:sz w:val="20"/>
          <w:lang w:val="es-ES_tradnl"/>
        </w:rPr>
      </w:pPr>
      <w:r w:rsidRPr="00763D08">
        <w:rPr>
          <w:sz w:val="20"/>
          <w:lang w:val="es-ES_tradnl"/>
        </w:rPr>
        <w:t>Ginebra, 20</w:t>
      </w:r>
      <w:r>
        <w:rPr>
          <w:sz w:val="20"/>
          <w:lang w:val="es-ES_tradnl"/>
        </w:rPr>
        <w:t>12</w:t>
      </w:r>
    </w:p>
    <w:p w:rsidR="003A2969" w:rsidRPr="00763D08" w:rsidRDefault="003A2969" w:rsidP="00BF7FF4">
      <w:pPr>
        <w:spacing w:before="0"/>
        <w:jc w:val="center"/>
        <w:rPr>
          <w:sz w:val="22"/>
          <w:lang w:val="es-ES_tradnl"/>
        </w:rPr>
      </w:pPr>
    </w:p>
    <w:p w:rsidR="003A2969" w:rsidRPr="00763D08" w:rsidRDefault="003A2969" w:rsidP="00BF7FF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3A2969" w:rsidRPr="006C718C" w:rsidRDefault="003A2969" w:rsidP="00BF7FF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A2969" w:rsidRPr="006C718C" w:rsidRDefault="003A2969" w:rsidP="00BF7FF4">
      <w:pPr>
        <w:spacing w:before="160"/>
        <w:rPr>
          <w:i/>
          <w:sz w:val="20"/>
          <w:highlight w:val="yellow"/>
          <w:lang w:val="es-ES_tradnl"/>
        </w:rPr>
        <w:sectPr w:rsidR="003A2969" w:rsidRPr="006C718C" w:rsidSect="00BF7FF4">
          <w:headerReference w:type="even" r:id="rId12"/>
          <w:headerReference w:type="default" r:id="rId13"/>
          <w:pgSz w:w="11907" w:h="16834" w:code="9"/>
          <w:pgMar w:top="1418" w:right="1134" w:bottom="1134" w:left="1134" w:header="720" w:footer="482" w:gutter="0"/>
          <w:pgNumType w:fmt="lowerRoman" w:start="2"/>
          <w:cols w:space="720"/>
        </w:sectPr>
      </w:pPr>
    </w:p>
    <w:p w:rsidR="003A2969" w:rsidRPr="00196D2C" w:rsidRDefault="003A2969" w:rsidP="00BF7FF4">
      <w:pPr>
        <w:pStyle w:val="RecNo"/>
        <w:spacing w:before="0"/>
        <w:rPr>
          <w:lang w:val="es-ES_tradnl"/>
        </w:rPr>
      </w:pPr>
      <w:bookmarkStart w:id="3" w:name="irecnoe"/>
      <w:bookmarkEnd w:id="3"/>
      <w:r w:rsidRPr="00196D2C">
        <w:rPr>
          <w:lang w:val="es-ES_tradnl"/>
        </w:rPr>
        <w:lastRenderedPageBreak/>
        <w:t xml:space="preserve">RECOMENDACIÓN  </w:t>
      </w:r>
      <w:r w:rsidRPr="00196D2C">
        <w:rPr>
          <w:rStyle w:val="href"/>
          <w:lang w:val="es-ES_tradnl"/>
        </w:rPr>
        <w:t>UIT-R  BO.</w:t>
      </w:r>
      <w:r w:rsidR="00BF7FF4" w:rsidRPr="00196D2C">
        <w:rPr>
          <w:rStyle w:val="href"/>
          <w:lang w:val="es-ES_tradnl"/>
        </w:rPr>
        <w:t xml:space="preserve"> 1776-1</w:t>
      </w:r>
    </w:p>
    <w:p w:rsidR="00BF7FF4" w:rsidRDefault="00BF7FF4" w:rsidP="00BF7FF4">
      <w:pPr>
        <w:pStyle w:val="Rectitle"/>
        <w:rPr>
          <w:lang w:val="es-ES_tradnl"/>
        </w:rPr>
      </w:pPr>
      <w:r w:rsidRPr="00196D2C">
        <w:rPr>
          <w:lang w:val="es-ES_tradnl"/>
        </w:rPr>
        <w:t>Máxima densidad de flujo de potencia para el servicio de radiodifusión</w:t>
      </w:r>
      <w:r w:rsidRPr="00196D2C">
        <w:rPr>
          <w:lang w:val="es-ES_tradnl"/>
        </w:rPr>
        <w:br/>
        <w:t>por satélite en la banda 21,4-22,0 GHz en las Regiones 1 y 3</w:t>
      </w:r>
    </w:p>
    <w:p w:rsidR="002C4B07" w:rsidRPr="002C4B07" w:rsidRDefault="002C4B07" w:rsidP="002C4B07">
      <w:pPr>
        <w:pStyle w:val="Blanc"/>
      </w:pPr>
    </w:p>
    <w:p w:rsidR="00BF7FF4" w:rsidRPr="00196D2C" w:rsidRDefault="00BF7FF4" w:rsidP="00BF7FF4">
      <w:pPr>
        <w:pStyle w:val="Recdate"/>
        <w:rPr>
          <w:lang w:val="es-ES_tradnl" w:eastAsia="ja-JP"/>
        </w:rPr>
      </w:pPr>
      <w:r w:rsidRPr="00196D2C">
        <w:rPr>
          <w:lang w:val="es-ES_tradnl" w:eastAsia="ja-JP"/>
        </w:rPr>
        <w:t>(2006-2012)</w:t>
      </w:r>
    </w:p>
    <w:p w:rsidR="002C4B07" w:rsidRDefault="002C4B07" w:rsidP="002C4B07">
      <w:pPr>
        <w:pStyle w:val="Blanc"/>
      </w:pPr>
    </w:p>
    <w:p w:rsidR="00BF7FF4" w:rsidRPr="00196D2C" w:rsidRDefault="00BF7FF4" w:rsidP="000B2AC6">
      <w:pPr>
        <w:pStyle w:val="HeadingSum"/>
      </w:pPr>
      <w:bookmarkStart w:id="4" w:name="_GoBack"/>
      <w:bookmarkEnd w:id="4"/>
      <w:r w:rsidRPr="00196D2C">
        <w:t>Cometido</w:t>
      </w:r>
    </w:p>
    <w:p w:rsidR="00BF7FF4" w:rsidRPr="00196D2C" w:rsidRDefault="00BF7FF4" w:rsidP="000B2AC6">
      <w:pPr>
        <w:pStyle w:val="Summary"/>
        <w:rPr>
          <w:rFonts w:asciiTheme="majorBidi" w:hAnsiTheme="majorBidi" w:cstheme="majorBidi"/>
          <w:szCs w:val="24"/>
          <w:lang w:eastAsia="ja-JP"/>
        </w:rPr>
      </w:pPr>
      <w:r w:rsidRPr="00196D2C">
        <w:rPr>
          <w:rFonts w:asciiTheme="majorBidi" w:eastAsia="Malgun Gothic" w:hAnsiTheme="majorBidi" w:cstheme="majorBidi"/>
          <w:szCs w:val="24"/>
          <w:lang w:eastAsia="ja-JP"/>
        </w:rPr>
        <w:t>Esta Recomendación examina la máxima densidad de flujo de potencia</w:t>
      </w:r>
      <w:r w:rsidRPr="00196D2C">
        <w:rPr>
          <w:rFonts w:asciiTheme="majorBidi" w:hAnsiTheme="majorBidi" w:cstheme="majorBidi"/>
          <w:szCs w:val="24"/>
          <w:lang w:eastAsia="ja-JP"/>
        </w:rPr>
        <w:t xml:space="preserve"> (dfp) para un ángulo de elevación alto producida sobre la superficie de la Tierra por emisiones procedentes de una estación espacial del servicio de radiodifusión por satélite (SRS), que ha de utilizarse en los estudios de compartición para el SRS en la banda 21,4-22,0 GHz en las Regiones 1 y 3.</w:t>
      </w:r>
    </w:p>
    <w:p w:rsidR="00BF7FF4" w:rsidRPr="00196D2C" w:rsidRDefault="00BF7FF4" w:rsidP="000B2AC6">
      <w:pPr>
        <w:pStyle w:val="Normalaftertitle"/>
        <w:rPr>
          <w:lang w:val="es-ES_tradnl"/>
        </w:rPr>
      </w:pPr>
      <w:r w:rsidRPr="00196D2C">
        <w:rPr>
          <w:lang w:val="es-ES_tradnl"/>
        </w:rPr>
        <w:t>La Asamblea de Radiocomunicaciones de la UIT,</w:t>
      </w:r>
    </w:p>
    <w:p w:rsidR="00BF7FF4" w:rsidRPr="00196D2C" w:rsidRDefault="00BF7FF4" w:rsidP="000B2AC6">
      <w:pPr>
        <w:pStyle w:val="Call"/>
        <w:rPr>
          <w:lang w:val="es-ES_tradnl"/>
        </w:rPr>
      </w:pPr>
      <w:r w:rsidRPr="00196D2C">
        <w:rPr>
          <w:lang w:val="es-ES_tradnl"/>
        </w:rPr>
        <w:t>considerando</w:t>
      </w:r>
    </w:p>
    <w:p w:rsidR="00BF7FF4" w:rsidRPr="00196D2C" w:rsidRDefault="00BF7FF4" w:rsidP="000B2AC6">
      <w:pPr>
        <w:rPr>
          <w:lang w:val="es-ES_tradnl"/>
        </w:rPr>
      </w:pPr>
      <w:r w:rsidRPr="00196D2C">
        <w:rPr>
          <w:lang w:val="es-ES_tradnl"/>
        </w:rPr>
        <w:t>a)</w:t>
      </w:r>
      <w:r w:rsidRPr="00196D2C">
        <w:rPr>
          <w:lang w:val="es-ES_tradnl"/>
        </w:rPr>
        <w:tab/>
        <w:t>que los sistemas del SRS (servicio de radiodifusión por satélite) en la banda 21,4-22,0 GHz tienen la posibilidad de transmitir señales de RF de banda ancha, aunque se necesita una p.i.r.e. elevada de la estación espacial (es decir, una dfp intensa en la estación terrena receptora) para compensar la atenuación total del enlace debida a los efectos atmosféricos;</w:t>
      </w:r>
    </w:p>
    <w:p w:rsidR="00BF7FF4" w:rsidRPr="00196D2C" w:rsidRDefault="00BF7FF4" w:rsidP="000B2AC6">
      <w:pPr>
        <w:rPr>
          <w:lang w:val="es-ES_tradnl"/>
        </w:rPr>
      </w:pPr>
      <w:r w:rsidRPr="00196D2C">
        <w:rPr>
          <w:lang w:val="es-ES_tradnl"/>
        </w:rPr>
        <w:t>b)</w:t>
      </w:r>
      <w:r w:rsidRPr="00196D2C">
        <w:rPr>
          <w:lang w:val="es-ES_tradnl"/>
        </w:rPr>
        <w:tab/>
        <w:t xml:space="preserve">que se ha de lograr que la disponibilidad del SRS </w:t>
      </w:r>
      <w:r w:rsidRPr="00196D2C">
        <w:rPr>
          <w:lang w:val="es-ES_tradnl" w:eastAsia="ja-JP"/>
        </w:rPr>
        <w:t>en la banda </w:t>
      </w:r>
      <w:r w:rsidRPr="00196D2C">
        <w:rPr>
          <w:lang w:val="es-ES_tradnl"/>
        </w:rPr>
        <w:t>21,4</w:t>
      </w:r>
      <w:r w:rsidRPr="00196D2C">
        <w:rPr>
          <w:lang w:val="es-ES_tradnl"/>
        </w:rPr>
        <w:noBreakHyphen/>
        <w:t>22,0 GHz en las Regiones 1 y 3 tenga un porcentaje elevado a fin de avanzar, en</w:t>
      </w:r>
      <w:r w:rsidR="000B2AC6" w:rsidRPr="00196D2C">
        <w:rPr>
          <w:lang w:val="es-ES_tradnl"/>
        </w:rPr>
        <w:t xml:space="preserve"> la mayor medida posible, hacia</w:t>
      </w:r>
      <w:r w:rsidR="0052498F" w:rsidRPr="00196D2C">
        <w:rPr>
          <w:lang w:val="es-ES_tradnl"/>
        </w:rPr>
        <w:t xml:space="preserve"> </w:t>
      </w:r>
      <w:r w:rsidRPr="00196D2C">
        <w:rPr>
          <w:lang w:val="es-ES_tradnl"/>
        </w:rPr>
        <w:t>servicios de radiodifusión de televisión de alta definición (TVAD) más fiables;</w:t>
      </w:r>
    </w:p>
    <w:p w:rsidR="00BF7FF4" w:rsidRPr="00196D2C" w:rsidRDefault="00BF7FF4" w:rsidP="007261A8">
      <w:pPr>
        <w:rPr>
          <w:lang w:val="es-ES_tradnl"/>
        </w:rPr>
      </w:pPr>
      <w:r w:rsidRPr="00196D2C">
        <w:rPr>
          <w:lang w:val="es-ES_tradnl" w:eastAsia="ja-JP"/>
        </w:rPr>
        <w:t>c</w:t>
      </w:r>
      <w:r w:rsidRPr="00196D2C">
        <w:rPr>
          <w:lang w:val="es-ES_tradnl"/>
        </w:rPr>
        <w:t>)</w:t>
      </w:r>
      <w:r w:rsidRPr="00196D2C">
        <w:rPr>
          <w:lang w:val="es-ES_tradnl"/>
        </w:rPr>
        <w:tab/>
        <w:t>que la Recomendación UIT-R BO.1659 muestra que en las Regiones</w:t>
      </w:r>
      <w:r w:rsidR="007261A8">
        <w:rPr>
          <w:lang w:val="es-ES_tradnl"/>
        </w:rPr>
        <w:t> </w:t>
      </w:r>
      <w:r w:rsidRPr="00196D2C">
        <w:rPr>
          <w:lang w:val="es-ES_tradnl"/>
        </w:rPr>
        <w:t>1 y 3 se prevén disponibilidades de servicio elevadas de más del 99%, a lo largo del año transmitiendo una p.i.r.e. que dé lugar a una dfp de –105 dB(W/(m</w:t>
      </w:r>
      <w:r w:rsidRPr="00196D2C">
        <w:rPr>
          <w:szCs w:val="24"/>
          <w:vertAlign w:val="superscript"/>
          <w:lang w:val="es-ES_tradnl"/>
        </w:rPr>
        <w:t>2</w:t>
      </w:r>
      <w:r w:rsidRPr="00196D2C">
        <w:rPr>
          <w:szCs w:val="24"/>
          <w:lang w:val="es-ES_tradnl"/>
        </w:rPr>
        <w:t> </w:t>
      </w:r>
      <w:r w:rsidRPr="00196D2C">
        <w:rPr>
          <w:lang w:val="es-ES_tradnl" w:eastAsia="ja-JP"/>
        </w:rPr>
        <w:t>·</w:t>
      </w:r>
      <w:r w:rsidRPr="00196D2C">
        <w:rPr>
          <w:lang w:val="es-ES_tradnl"/>
        </w:rPr>
        <w:t> 1 MHz)) en zonas con elevados índices de pluviosidad para compensar la atenuación debida a la lluvia en la banda 21,4</w:t>
      </w:r>
      <w:r w:rsidRPr="00196D2C">
        <w:rPr>
          <w:lang w:val="es-ES_tradnl"/>
        </w:rPr>
        <w:noBreakHyphen/>
        <w:t>22,0 GHz;</w:t>
      </w:r>
    </w:p>
    <w:p w:rsidR="00BF7FF4" w:rsidRPr="00196D2C" w:rsidRDefault="00BF7FF4" w:rsidP="000B2AC6">
      <w:pPr>
        <w:rPr>
          <w:lang w:val="es-ES_tradnl" w:eastAsia="ko-KR"/>
        </w:rPr>
      </w:pPr>
      <w:r w:rsidRPr="00196D2C">
        <w:rPr>
          <w:lang w:val="es-ES_tradnl" w:eastAsia="ko-KR"/>
        </w:rPr>
        <w:t>d)</w:t>
      </w:r>
      <w:r w:rsidRPr="00196D2C">
        <w:rPr>
          <w:lang w:val="es-ES_tradnl" w:eastAsia="ko-KR"/>
        </w:rPr>
        <w:tab/>
        <w:t>que la calidad del enlace por satélite depende no sólo de la dfp en la estación terrena receptora sino también, entre otras cosas, del factor de mérito de dicha estación terrena;</w:t>
      </w:r>
    </w:p>
    <w:p w:rsidR="00BF7FF4" w:rsidRPr="00196D2C" w:rsidRDefault="00BF7FF4" w:rsidP="000B2AC6">
      <w:pPr>
        <w:rPr>
          <w:lang w:val="es-ES_tradnl" w:eastAsia="ko-KR"/>
        </w:rPr>
      </w:pPr>
      <w:r w:rsidRPr="00196D2C">
        <w:rPr>
          <w:lang w:val="es-ES_tradnl" w:eastAsia="ko-KR"/>
        </w:rPr>
        <w:t>e)</w:t>
      </w:r>
      <w:r w:rsidRPr="00196D2C">
        <w:rPr>
          <w:lang w:val="es-ES_tradnl" w:eastAsia="ko-KR"/>
        </w:rPr>
        <w:tab/>
        <w:t>que la atenuación debida a la lluvia depende no sólo del índice de pluviosidad sino también, entre otras cosas, del ángulo de elevación, de la altitud y de la latitud de la estación terrena;</w:t>
      </w:r>
    </w:p>
    <w:p w:rsidR="00BF7FF4" w:rsidRPr="00196D2C" w:rsidRDefault="00BF7FF4" w:rsidP="000B2AC6">
      <w:pPr>
        <w:rPr>
          <w:lang w:val="es-ES_tradnl" w:eastAsia="ko-KR"/>
        </w:rPr>
      </w:pPr>
      <w:r w:rsidRPr="00196D2C">
        <w:rPr>
          <w:lang w:val="es-ES_tradnl" w:eastAsia="ko-KR"/>
        </w:rPr>
        <w:t>f)</w:t>
      </w:r>
      <w:r w:rsidRPr="00196D2C">
        <w:rPr>
          <w:lang w:val="es-ES_tradnl" w:eastAsia="ko-KR"/>
        </w:rPr>
        <w:tab/>
        <w:t>que la disponibilidad de servicio requerida para cada sistema del SRS está relacionada con los requisitos de funcionamiento,</w:t>
      </w:r>
    </w:p>
    <w:p w:rsidR="00BF7FF4" w:rsidRPr="00196D2C" w:rsidRDefault="00BF7FF4" w:rsidP="000B2AC6">
      <w:pPr>
        <w:pStyle w:val="Call"/>
        <w:rPr>
          <w:lang w:val="es-ES_tradnl" w:eastAsia="ko-KR"/>
        </w:rPr>
      </w:pPr>
      <w:r w:rsidRPr="00196D2C">
        <w:rPr>
          <w:lang w:val="es-ES_tradnl" w:eastAsia="ko-KR"/>
        </w:rPr>
        <w:t>recomienda</w:t>
      </w:r>
    </w:p>
    <w:p w:rsidR="00BF7FF4" w:rsidRPr="00196D2C" w:rsidRDefault="00BF7FF4" w:rsidP="00D55FCE">
      <w:pPr>
        <w:rPr>
          <w:lang w:val="es-ES_tradnl" w:eastAsia="ja-JP"/>
        </w:rPr>
      </w:pPr>
      <w:r w:rsidRPr="00196D2C">
        <w:rPr>
          <w:b/>
          <w:lang w:val="es-ES_tradnl" w:eastAsia="ja-JP"/>
        </w:rPr>
        <w:t>1</w:t>
      </w:r>
      <w:r w:rsidRPr="00196D2C">
        <w:rPr>
          <w:lang w:val="es-ES_tradnl" w:eastAsia="ja-JP"/>
        </w:rPr>
        <w:tab/>
      </w:r>
      <w:r w:rsidRPr="00196D2C">
        <w:rPr>
          <w:lang w:val="es-ES_tradnl"/>
        </w:rPr>
        <w:t>que para compensar la atenuación total del enlace debida a los efectos atmosféricos calculada para una disponibilidad de servicio anual, se considere el valor de −</w:t>
      </w:r>
      <w:r w:rsidRPr="00196D2C">
        <w:rPr>
          <w:lang w:val="es-ES_tradnl" w:eastAsia="ja-JP"/>
        </w:rPr>
        <w:t>105 dB(W/(m</w:t>
      </w:r>
      <w:r w:rsidRPr="00196D2C">
        <w:rPr>
          <w:szCs w:val="24"/>
          <w:vertAlign w:val="superscript"/>
          <w:lang w:val="es-ES_tradnl" w:eastAsia="ja-JP"/>
        </w:rPr>
        <w:t>2</w:t>
      </w:r>
      <w:r w:rsidRPr="00196D2C">
        <w:rPr>
          <w:szCs w:val="24"/>
          <w:lang w:val="es-ES_tradnl" w:eastAsia="ja-JP"/>
        </w:rPr>
        <w:t> · 1 </w:t>
      </w:r>
      <w:r w:rsidRPr="00196D2C">
        <w:rPr>
          <w:lang w:val="es-ES_tradnl" w:eastAsia="ja-JP"/>
        </w:rPr>
        <w:t>MHz))</w:t>
      </w:r>
      <w:r w:rsidRPr="00196D2C">
        <w:rPr>
          <w:lang w:val="es-ES_tradnl"/>
        </w:rPr>
        <w:t xml:space="preserve"> como la máxima dfp para un ángulo de elevación alto sobre la superficie de la Tierra en condiciones de espacio libre, que ha de utilizarse en los estudios de compartición para el SRS en la banda 21,4-22,0</w:t>
      </w:r>
      <w:r w:rsidR="00D55FCE">
        <w:rPr>
          <w:lang w:val="es-ES_tradnl"/>
        </w:rPr>
        <w:t> </w:t>
      </w:r>
      <w:r w:rsidRPr="00196D2C">
        <w:rPr>
          <w:lang w:val="es-ES_tradnl"/>
        </w:rPr>
        <w:t>GHz (en el Anexo</w:t>
      </w:r>
      <w:r w:rsidR="00D55FCE">
        <w:rPr>
          <w:lang w:val="es-ES_tradnl"/>
        </w:rPr>
        <w:t> </w:t>
      </w:r>
      <w:r w:rsidRPr="00196D2C">
        <w:rPr>
          <w:lang w:val="es-ES_tradnl"/>
        </w:rPr>
        <w:t>1 aparecen ejemplos de diferentes ciudades en las Regiones</w:t>
      </w:r>
      <w:r w:rsidR="00D55FCE">
        <w:rPr>
          <w:lang w:val="es-ES_tradnl"/>
        </w:rPr>
        <w:t> </w:t>
      </w:r>
      <w:r w:rsidRPr="00196D2C">
        <w:rPr>
          <w:lang w:val="es-ES_tradnl"/>
        </w:rPr>
        <w:t>1 y 3);</w:t>
      </w:r>
    </w:p>
    <w:p w:rsidR="00BF7FF4" w:rsidRPr="00196D2C" w:rsidRDefault="00BF7FF4" w:rsidP="000B2AC6">
      <w:pPr>
        <w:rPr>
          <w:sz w:val="22"/>
          <w:szCs w:val="22"/>
          <w:lang w:val="es-ES_tradnl" w:eastAsia="ja-JP"/>
        </w:rPr>
      </w:pPr>
      <w:r w:rsidRPr="00196D2C">
        <w:rPr>
          <w:b/>
          <w:lang w:val="es-ES_tradnl" w:eastAsia="ja-JP"/>
        </w:rPr>
        <w:t>2</w:t>
      </w:r>
      <w:r w:rsidRPr="00196D2C">
        <w:rPr>
          <w:lang w:val="es-ES_tradnl" w:eastAsia="ja-JP"/>
        </w:rPr>
        <w:tab/>
      </w:r>
      <w:r w:rsidRPr="00196D2C">
        <w:rPr>
          <w:lang w:val="es-ES_tradnl"/>
        </w:rPr>
        <w:t>que las siguientes Notas se consideren parte integrante de la presente Recomendación.</w:t>
      </w:r>
    </w:p>
    <w:p w:rsidR="00BF7FF4" w:rsidRPr="00196D2C" w:rsidRDefault="00BF7FF4" w:rsidP="007261A8">
      <w:pPr>
        <w:rPr>
          <w:lang w:val="es-ES_tradnl" w:eastAsia="ja-JP"/>
        </w:rPr>
      </w:pPr>
      <w:r w:rsidRPr="00196D2C">
        <w:rPr>
          <w:lang w:val="es-ES_tradnl" w:eastAsia="ja-JP"/>
        </w:rPr>
        <w:t>NOTA 1 – </w:t>
      </w:r>
      <w:r w:rsidRPr="00196D2C">
        <w:rPr>
          <w:lang w:val="es-ES_tradnl"/>
        </w:rPr>
        <w:t xml:space="preserve">En los países que no están sometidos a una elevada atenuación total del enlace, puede considerarse un valor menor que el que figura en el </w:t>
      </w:r>
      <w:r w:rsidRPr="00196D2C">
        <w:rPr>
          <w:i/>
          <w:iCs/>
          <w:lang w:val="es-ES_tradnl"/>
        </w:rPr>
        <w:t>recomienda</w:t>
      </w:r>
      <w:r w:rsidR="007261A8">
        <w:rPr>
          <w:lang w:val="es-ES_tradnl"/>
        </w:rPr>
        <w:t> </w:t>
      </w:r>
      <w:r w:rsidRPr="00196D2C">
        <w:rPr>
          <w:lang w:val="es-ES_tradnl"/>
        </w:rPr>
        <w:t>1 como máxima dfp en la superficie de la Tierra producida por una estación espacial del SRS, que ha de utilizarse en los estudios de compartición para el SRS en la banda 21,4-22,0 GHz en las Regiones 1 y 3.</w:t>
      </w:r>
    </w:p>
    <w:p w:rsidR="00BF7FF4" w:rsidRDefault="00BF7FF4" w:rsidP="000B2AC6">
      <w:pPr>
        <w:rPr>
          <w:lang w:val="es-ES_tradnl"/>
        </w:rPr>
      </w:pPr>
      <w:r w:rsidRPr="00196D2C">
        <w:rPr>
          <w:szCs w:val="24"/>
          <w:lang w:val="es-ES_tradnl"/>
        </w:rPr>
        <w:lastRenderedPageBreak/>
        <w:t>NOTA 2 – </w:t>
      </w:r>
      <w:r w:rsidRPr="00196D2C">
        <w:rPr>
          <w:lang w:val="es-ES_tradnl"/>
        </w:rPr>
        <w:t>La mencionada atenuación total del enlace incluye la atenuación debida a la lluvia, las nubes y el centelleo así como la atenuación gaseosa causada por el vapor de agua y el oxígeno. En la Recomendación UIT-R P.618 se indica un método general para calcular la atenuación total del enlace.</w:t>
      </w:r>
    </w:p>
    <w:p w:rsidR="002C4B07" w:rsidRDefault="002C4B07" w:rsidP="000B2AC6">
      <w:pPr>
        <w:rPr>
          <w:lang w:val="es-ES_tradnl"/>
        </w:rPr>
      </w:pPr>
    </w:p>
    <w:p w:rsidR="002C4B07" w:rsidRDefault="002C4B07" w:rsidP="000B2AC6">
      <w:pPr>
        <w:rPr>
          <w:lang w:val="es-ES_tradnl"/>
        </w:rPr>
      </w:pPr>
    </w:p>
    <w:p w:rsidR="002C4B07" w:rsidRPr="00196D2C" w:rsidRDefault="002C4B07" w:rsidP="000B2AC6">
      <w:pPr>
        <w:rPr>
          <w:lang w:val="es-ES_tradnl"/>
        </w:rPr>
      </w:pPr>
    </w:p>
    <w:p w:rsidR="00BF7FF4" w:rsidRPr="00196D2C" w:rsidRDefault="00BF7FF4" w:rsidP="002C4B07">
      <w:pPr>
        <w:pStyle w:val="AnnexNoTitle"/>
        <w:rPr>
          <w:rFonts w:asciiTheme="majorBidi" w:hAnsiTheme="majorBidi" w:cstheme="majorBidi"/>
          <w:lang w:val="es-ES_tradnl" w:eastAsia="ja-JP"/>
        </w:rPr>
      </w:pPr>
      <w:r w:rsidRPr="00196D2C">
        <w:rPr>
          <w:rFonts w:asciiTheme="majorBidi" w:hAnsiTheme="majorBidi" w:cstheme="majorBidi"/>
          <w:lang w:val="es-ES_tradnl" w:eastAsia="ja-JP"/>
        </w:rPr>
        <w:t>Anexo</w:t>
      </w:r>
      <w:r w:rsidRPr="00196D2C" w:rsidDel="00EA5C05">
        <w:rPr>
          <w:rFonts w:asciiTheme="majorBidi" w:hAnsiTheme="majorBidi" w:cstheme="majorBidi"/>
          <w:lang w:val="es-ES_tradnl" w:eastAsia="ja-JP"/>
        </w:rPr>
        <w:t xml:space="preserve"> </w:t>
      </w:r>
      <w:r w:rsidRPr="00196D2C">
        <w:rPr>
          <w:rFonts w:asciiTheme="majorBidi" w:hAnsiTheme="majorBidi" w:cstheme="majorBidi"/>
          <w:lang w:val="es-ES_tradnl" w:eastAsia="ja-JP"/>
        </w:rPr>
        <w:t>1</w:t>
      </w:r>
      <w:r w:rsidRPr="00196D2C">
        <w:rPr>
          <w:rFonts w:asciiTheme="majorBidi" w:hAnsiTheme="majorBidi" w:cstheme="majorBidi"/>
          <w:lang w:val="es-ES_tradnl" w:eastAsia="ja-JP"/>
        </w:rPr>
        <w:br/>
      </w:r>
      <w:r w:rsidRPr="00196D2C">
        <w:rPr>
          <w:rFonts w:asciiTheme="majorBidi" w:hAnsiTheme="majorBidi" w:cstheme="majorBidi"/>
          <w:lang w:val="es-ES_tradnl" w:eastAsia="ja-JP"/>
        </w:rPr>
        <w:br/>
      </w:r>
      <w:r w:rsidRPr="00196D2C">
        <w:rPr>
          <w:lang w:val="es-ES_tradnl"/>
        </w:rPr>
        <w:t>Disponibilidad anual del servicio que puede obtenerse y atenuación</w:t>
      </w:r>
      <w:r w:rsidR="002C4B07">
        <w:rPr>
          <w:lang w:val="es-ES_tradnl"/>
        </w:rPr>
        <w:br/>
      </w:r>
      <w:r w:rsidRPr="00196D2C">
        <w:rPr>
          <w:lang w:val="es-ES_tradnl"/>
        </w:rPr>
        <w:t>total</w:t>
      </w:r>
      <w:r w:rsidR="002C4B07">
        <w:rPr>
          <w:lang w:val="es-ES_tradnl"/>
        </w:rPr>
        <w:t xml:space="preserve"> </w:t>
      </w:r>
      <w:r w:rsidRPr="00196D2C">
        <w:rPr>
          <w:lang w:val="es-ES_tradnl"/>
        </w:rPr>
        <w:t>del enlace en algunas ciudades de las Regiones 1 y 3, tomadas</w:t>
      </w:r>
      <w:r w:rsidR="002C4B07">
        <w:rPr>
          <w:lang w:val="es-ES_tradnl"/>
        </w:rPr>
        <w:br/>
      </w:r>
      <w:r w:rsidRPr="00196D2C">
        <w:rPr>
          <w:lang w:val="es-ES_tradnl"/>
        </w:rPr>
        <w:t>como ejemplo, suponiendo una dfp de</w:t>
      </w:r>
      <w:r w:rsidRPr="00196D2C">
        <w:rPr>
          <w:rFonts w:asciiTheme="majorBidi" w:hAnsiTheme="majorBidi" w:cstheme="majorBidi"/>
          <w:lang w:val="es-ES_tradnl" w:eastAsia="ja-JP"/>
        </w:rPr>
        <w:t xml:space="preserve"> −105 dB(W/(m</w:t>
      </w:r>
      <w:r w:rsidRPr="00196D2C">
        <w:rPr>
          <w:rFonts w:asciiTheme="majorBidi" w:hAnsiTheme="majorBidi" w:cstheme="majorBidi"/>
          <w:szCs w:val="28"/>
          <w:vertAlign w:val="superscript"/>
          <w:lang w:val="es-ES_tradnl" w:eastAsia="ja-JP"/>
        </w:rPr>
        <w:t>2</w:t>
      </w:r>
      <w:r w:rsidRPr="00196D2C">
        <w:rPr>
          <w:rFonts w:asciiTheme="majorBidi" w:hAnsiTheme="majorBidi" w:cstheme="majorBidi"/>
          <w:lang w:val="es-ES_tradnl" w:eastAsia="ja-JP"/>
        </w:rPr>
        <w:t> · 1 MHz))</w:t>
      </w:r>
      <w:r w:rsidR="002C4B07">
        <w:rPr>
          <w:rFonts w:asciiTheme="majorBidi" w:hAnsiTheme="majorBidi" w:cstheme="majorBidi"/>
          <w:lang w:val="es-ES_tradnl" w:eastAsia="ja-JP"/>
        </w:rPr>
        <w:br/>
      </w:r>
      <w:r w:rsidRPr="00196D2C">
        <w:rPr>
          <w:lang w:val="es-ES_tradnl"/>
        </w:rPr>
        <w:t>en la superficie</w:t>
      </w:r>
      <w:r w:rsidR="002C4B07">
        <w:rPr>
          <w:lang w:val="es-ES_tradnl"/>
        </w:rPr>
        <w:t xml:space="preserve"> </w:t>
      </w:r>
      <w:r w:rsidRPr="00196D2C">
        <w:rPr>
          <w:lang w:val="es-ES_tradnl"/>
        </w:rPr>
        <w:t>de la Tierra producida por emisiones</w:t>
      </w:r>
      <w:r w:rsidR="002C4B07">
        <w:rPr>
          <w:lang w:val="es-ES_tradnl"/>
        </w:rPr>
        <w:br/>
      </w:r>
      <w:r w:rsidRPr="00196D2C">
        <w:rPr>
          <w:lang w:val="es-ES_tradnl"/>
        </w:rPr>
        <w:t>procedentes de una estación</w:t>
      </w:r>
      <w:r w:rsidR="002C4B07">
        <w:rPr>
          <w:lang w:val="es-ES_tradnl"/>
        </w:rPr>
        <w:t xml:space="preserve"> </w:t>
      </w:r>
      <w:r w:rsidRPr="00196D2C">
        <w:rPr>
          <w:lang w:val="es-ES_tradnl"/>
        </w:rPr>
        <w:t>espacial del SRS</w:t>
      </w:r>
      <w:r w:rsidR="002C4B07">
        <w:rPr>
          <w:lang w:val="es-ES_tradnl"/>
        </w:rPr>
        <w:br/>
      </w:r>
      <w:r w:rsidRPr="00196D2C">
        <w:rPr>
          <w:lang w:val="es-ES_tradnl"/>
        </w:rPr>
        <w:t>en la banda</w:t>
      </w:r>
      <w:r w:rsidRPr="00196D2C">
        <w:rPr>
          <w:rFonts w:asciiTheme="majorBidi" w:hAnsiTheme="majorBidi" w:cstheme="majorBidi"/>
          <w:lang w:val="es-ES_tradnl" w:eastAsia="ja-JP"/>
        </w:rPr>
        <w:t xml:space="preserve"> 21,4-22,0 GHz</w:t>
      </w:r>
    </w:p>
    <w:p w:rsidR="00BF7FF4" w:rsidRPr="00196D2C" w:rsidRDefault="00BF7FF4" w:rsidP="002C4B07">
      <w:pPr>
        <w:pStyle w:val="Normalaftertitle"/>
        <w:rPr>
          <w:lang w:val="es-ES_tradnl" w:eastAsia="ja-JP"/>
        </w:rPr>
      </w:pPr>
      <w:r w:rsidRPr="00196D2C">
        <w:rPr>
          <w:lang w:val="es-ES_tradnl"/>
        </w:rPr>
        <w:t>Los Cuadros 1a y 1b muestran ejemplos de disponibilidad anual del servicio que puede alcanzarse y la atenuación total del enlace (entre paréntesis) en algunas ciudades de las Regiones</w:t>
      </w:r>
      <w:r w:rsidR="002C4B07">
        <w:rPr>
          <w:lang w:val="es-ES_tradnl"/>
        </w:rPr>
        <w:t> </w:t>
      </w:r>
      <w:r w:rsidRPr="00196D2C">
        <w:rPr>
          <w:lang w:val="es-ES_tradnl"/>
        </w:rPr>
        <w:t xml:space="preserve">1 y 3 al aplicar el valor de </w:t>
      </w:r>
      <w:r w:rsidRPr="00196D2C">
        <w:rPr>
          <w:lang w:val="es-ES_tradnl" w:eastAsia="ja-JP"/>
        </w:rPr>
        <w:t>–105 dB(W/(m</w:t>
      </w:r>
      <w:r w:rsidRPr="00196D2C">
        <w:rPr>
          <w:vertAlign w:val="superscript"/>
          <w:lang w:val="es-ES_tradnl" w:eastAsia="ja-JP"/>
        </w:rPr>
        <w:t>2</w:t>
      </w:r>
      <w:r w:rsidRPr="00196D2C">
        <w:rPr>
          <w:lang w:val="es-ES_tradnl" w:eastAsia="ja-JP"/>
        </w:rPr>
        <w:t xml:space="preserve"> · 1 MHz)) </w:t>
      </w:r>
      <w:r w:rsidRPr="00196D2C">
        <w:rPr>
          <w:lang w:val="es-ES_tradnl"/>
        </w:rPr>
        <w:t>como la dfp en la superficie de la Tierra producida por emisiones procedentes de una estación espacial del SRS en la banda 21,4-22,0</w:t>
      </w:r>
      <w:r w:rsidR="002C4B07">
        <w:rPr>
          <w:lang w:val="es-ES_tradnl"/>
        </w:rPr>
        <w:t> </w:t>
      </w:r>
      <w:r w:rsidRPr="00196D2C">
        <w:rPr>
          <w:lang w:val="es-ES_tradnl"/>
        </w:rPr>
        <w:t xml:space="preserve">GHz en condiciones de espacio libre. Se suponen unos valores de </w:t>
      </w:r>
      <w:r w:rsidRPr="00196D2C">
        <w:rPr>
          <w:i/>
          <w:lang w:val="es-ES_tradnl" w:eastAsia="ja-JP"/>
        </w:rPr>
        <w:t>C</w:t>
      </w:r>
      <w:r w:rsidRPr="00196D2C">
        <w:rPr>
          <w:iCs/>
          <w:lang w:val="es-ES_tradnl" w:eastAsia="ja-JP"/>
        </w:rPr>
        <w:t>/</w:t>
      </w:r>
      <w:r w:rsidRPr="00196D2C">
        <w:rPr>
          <w:i/>
          <w:lang w:val="es-ES_tradnl" w:eastAsia="ja-JP"/>
        </w:rPr>
        <w:t>N</w:t>
      </w:r>
      <w:r w:rsidRPr="00196D2C">
        <w:rPr>
          <w:lang w:val="es-ES_tradnl"/>
        </w:rPr>
        <w:t xml:space="preserve"> requeridos para cada esquema de modulación de 5,6</w:t>
      </w:r>
      <w:r w:rsidR="002C4B07">
        <w:rPr>
          <w:lang w:val="es-ES_tradnl"/>
        </w:rPr>
        <w:t> </w:t>
      </w:r>
      <w:r w:rsidRPr="00196D2C">
        <w:rPr>
          <w:lang w:val="es-ES_tradnl"/>
        </w:rPr>
        <w:t>dB y 7,5 dB para MDPQ y 10,7</w:t>
      </w:r>
      <w:r w:rsidR="002C4B07">
        <w:rPr>
          <w:lang w:val="es-ES_tradnl"/>
        </w:rPr>
        <w:t> </w:t>
      </w:r>
      <w:r w:rsidRPr="00196D2C">
        <w:rPr>
          <w:lang w:val="es-ES_tradnl"/>
        </w:rPr>
        <w:t xml:space="preserve">dB para MDP-8, incluido un margen para la implementación del hardware y </w:t>
      </w:r>
      <w:r w:rsidRPr="00196D2C">
        <w:rPr>
          <w:lang w:val="es-ES_tradnl" w:eastAsia="ja-JP"/>
        </w:rPr>
        <w:t>un margen de pérdidas en los circuitos del satélite, con referencia a la anchura de banda de ruido de Nyquist. Se ha supuesto un diámetro de antena receptora de 45 cm. A partir de dichos Cuadros se confirma que puede lograrse una disponibilidad anual del servicio en algunas ciudades, comprendida entre 99,78 y 99,99%.</w:t>
      </w:r>
    </w:p>
    <w:p w:rsidR="00BF7FF4" w:rsidRPr="00196D2C" w:rsidRDefault="00BF7FF4" w:rsidP="0052498F">
      <w:pPr>
        <w:pStyle w:val="TableNo"/>
        <w:rPr>
          <w:lang w:val="es-ES_tradnl"/>
        </w:rPr>
      </w:pPr>
      <w:r w:rsidRPr="00196D2C">
        <w:rPr>
          <w:lang w:val="es-ES_tradnl"/>
        </w:rPr>
        <w:t>CUADRO 1a</w:t>
      </w:r>
    </w:p>
    <w:p w:rsidR="00BF7FF4" w:rsidRPr="00196D2C" w:rsidRDefault="00BF7FF4" w:rsidP="002C4B07">
      <w:pPr>
        <w:pStyle w:val="Tabletitle"/>
        <w:rPr>
          <w:lang w:val="es-ES_tradnl"/>
        </w:rPr>
      </w:pPr>
      <w:r w:rsidRPr="00196D2C">
        <w:rPr>
          <w:lang w:val="es-ES_tradnl"/>
        </w:rPr>
        <w:t>Disponibilidad anual del servicio y atenuación total del enlace en el</w:t>
      </w:r>
      <w:r w:rsidR="002C4B07">
        <w:rPr>
          <w:lang w:val="es-ES_tradnl"/>
        </w:rPr>
        <w:t xml:space="preserve"> </w:t>
      </w:r>
      <w:r w:rsidRPr="00196D2C">
        <w:rPr>
          <w:lang w:val="es-ES_tradnl"/>
        </w:rPr>
        <w:t>enlace descendente</w:t>
      </w:r>
      <w:r w:rsidR="002C4B07">
        <w:rPr>
          <w:lang w:val="es-ES_tradnl"/>
        </w:rPr>
        <w:br/>
      </w:r>
      <w:r w:rsidRPr="00196D2C">
        <w:rPr>
          <w:lang w:val="es-ES_tradnl"/>
        </w:rPr>
        <w:t>del SRS de 21 GHz en algunas ciudades de la Región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1"/>
        <w:gridCol w:w="1871"/>
        <w:gridCol w:w="1474"/>
        <w:gridCol w:w="1474"/>
        <w:gridCol w:w="1474"/>
        <w:gridCol w:w="1474"/>
      </w:tblGrid>
      <w:tr w:rsidR="00BF7FF4" w:rsidRPr="00196D2C" w:rsidTr="002C4B07">
        <w:trPr>
          <w:jc w:val="center"/>
        </w:trPr>
        <w:tc>
          <w:tcPr>
            <w:tcW w:w="3742" w:type="dxa"/>
            <w:gridSpan w:val="2"/>
            <w:tcBorders>
              <w:top w:val="single" w:sz="4" w:space="0" w:color="000000"/>
              <w:left w:val="single" w:sz="4" w:space="0" w:color="000000"/>
              <w:bottom w:val="single" w:sz="4" w:space="0" w:color="000000"/>
              <w:right w:val="single" w:sz="4" w:space="0" w:color="000000"/>
            </w:tcBorders>
          </w:tcPr>
          <w:p w:rsidR="00BF7FF4" w:rsidRPr="00196D2C" w:rsidRDefault="00BF7FF4" w:rsidP="000B2AC6">
            <w:pPr>
              <w:pStyle w:val="Tablehead"/>
              <w:rPr>
                <w:rFonts w:asciiTheme="majorBidi" w:hAnsiTheme="majorBidi" w:cstheme="majorBidi"/>
                <w:highlight w:val="yellow"/>
                <w:lang w:val="es-ES_tradnl"/>
              </w:rPr>
            </w:pP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0B2AC6">
            <w:pPr>
              <w:pStyle w:val="Tablehead"/>
              <w:rPr>
                <w:rFonts w:asciiTheme="majorBidi" w:hAnsiTheme="majorBidi" w:cstheme="majorBidi"/>
                <w:lang w:val="es-ES_tradnl"/>
              </w:rPr>
            </w:pPr>
            <w:r w:rsidRPr="00196D2C">
              <w:rPr>
                <w:rFonts w:asciiTheme="majorBidi" w:hAnsiTheme="majorBidi" w:cstheme="majorBidi"/>
                <w:lang w:val="es-ES_tradnl"/>
              </w:rPr>
              <w:t>Tokyo</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0B2AC6">
            <w:pPr>
              <w:pStyle w:val="Tablehead"/>
              <w:rPr>
                <w:rFonts w:asciiTheme="majorBidi" w:hAnsiTheme="majorBidi" w:cstheme="majorBidi"/>
                <w:lang w:val="es-ES_tradnl"/>
              </w:rPr>
            </w:pPr>
            <w:r w:rsidRPr="00196D2C">
              <w:rPr>
                <w:rFonts w:asciiTheme="majorBidi" w:hAnsiTheme="majorBidi" w:cstheme="majorBidi"/>
                <w:lang w:val="es-ES_tradnl"/>
              </w:rPr>
              <w:t>Seúl</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0B2AC6">
            <w:pPr>
              <w:pStyle w:val="Tablehead"/>
              <w:rPr>
                <w:rFonts w:asciiTheme="majorBidi" w:hAnsiTheme="majorBidi" w:cstheme="majorBidi"/>
                <w:lang w:val="es-ES_tradnl"/>
              </w:rPr>
            </w:pPr>
            <w:r w:rsidRPr="00196D2C">
              <w:rPr>
                <w:rFonts w:asciiTheme="majorBidi" w:hAnsiTheme="majorBidi" w:cstheme="majorBidi"/>
                <w:lang w:val="es-ES_tradnl"/>
              </w:rPr>
              <w:t>Bangkok</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0B2AC6">
            <w:pPr>
              <w:pStyle w:val="Tablehead"/>
              <w:rPr>
                <w:rFonts w:asciiTheme="majorBidi" w:hAnsiTheme="majorBidi" w:cstheme="majorBidi"/>
                <w:lang w:val="es-ES_tradnl"/>
              </w:rPr>
            </w:pPr>
            <w:r w:rsidRPr="00196D2C">
              <w:rPr>
                <w:rFonts w:asciiTheme="majorBidi" w:hAnsiTheme="majorBidi" w:cstheme="majorBidi"/>
                <w:lang w:val="es-ES_tradnl"/>
              </w:rPr>
              <w:t>Wellington</w:t>
            </w:r>
          </w:p>
        </w:tc>
      </w:tr>
      <w:tr w:rsidR="00BF7FF4" w:rsidRPr="00196D2C" w:rsidTr="002C4B07">
        <w:trPr>
          <w:jc w:val="center"/>
        </w:trPr>
        <w:tc>
          <w:tcPr>
            <w:tcW w:w="3742" w:type="dxa"/>
            <w:gridSpan w:val="2"/>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left"/>
              <w:rPr>
                <w:rFonts w:asciiTheme="majorBidi" w:hAnsiTheme="majorBidi" w:cstheme="majorBidi"/>
                <w:lang w:val="es-ES_tradnl"/>
              </w:rPr>
            </w:pPr>
            <w:r w:rsidRPr="00196D2C">
              <w:rPr>
                <w:lang w:val="es-ES_tradnl" w:eastAsia="ja-JP"/>
              </w:rPr>
              <w:t>Ángulo de elevación (grados)</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38,0</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44,9</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73,5</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42,3</w:t>
            </w:r>
          </w:p>
        </w:tc>
      </w:tr>
      <w:tr w:rsidR="00BF7FF4" w:rsidRPr="00196D2C" w:rsidTr="002C4B07">
        <w:trPr>
          <w:jc w:val="center"/>
        </w:trPr>
        <w:tc>
          <w:tcPr>
            <w:tcW w:w="3742" w:type="dxa"/>
            <w:gridSpan w:val="2"/>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left"/>
              <w:rPr>
                <w:highlight w:val="yellow"/>
                <w:lang w:val="es-ES_tradnl"/>
              </w:rPr>
            </w:pPr>
            <w:r w:rsidRPr="00196D2C">
              <w:rPr>
                <w:lang w:val="es-ES_tradnl"/>
              </w:rPr>
              <w:t>Índice de pluviosidad durante el 0,01% del año (mm/h)</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caps/>
                <w:szCs w:val="22"/>
                <w:lang w:val="es-ES_tradnl" w:eastAsia="ko-KR"/>
              </w:rPr>
            </w:pPr>
            <w:r w:rsidRPr="00196D2C">
              <w:rPr>
                <w:rFonts w:asciiTheme="majorBidi" w:hAnsiTheme="majorBidi" w:cstheme="majorBidi"/>
                <w:caps/>
                <w:lang w:val="es-ES_tradnl" w:eastAsia="ko-KR"/>
              </w:rPr>
              <w:t>48,0</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eastAsia="ko-KR"/>
              </w:rPr>
            </w:pPr>
            <w:r w:rsidRPr="00196D2C">
              <w:rPr>
                <w:rFonts w:asciiTheme="majorBidi" w:hAnsiTheme="majorBidi" w:cstheme="majorBidi"/>
                <w:lang w:val="es-ES_tradnl" w:eastAsia="ko-KR"/>
              </w:rPr>
              <w:t>50,6</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caps/>
                <w:szCs w:val="22"/>
                <w:lang w:val="es-ES_tradnl" w:eastAsia="ko-KR"/>
              </w:rPr>
            </w:pPr>
            <w:r w:rsidRPr="00196D2C">
              <w:rPr>
                <w:rFonts w:asciiTheme="majorBidi" w:hAnsiTheme="majorBidi" w:cstheme="majorBidi"/>
                <w:caps/>
                <w:lang w:val="es-ES_tradnl" w:eastAsia="ko-KR"/>
              </w:rPr>
              <w:t>87,1</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caps/>
                <w:szCs w:val="22"/>
                <w:lang w:val="es-ES_tradnl" w:eastAsia="ko-KR"/>
              </w:rPr>
            </w:pPr>
            <w:r w:rsidRPr="00196D2C">
              <w:rPr>
                <w:rFonts w:asciiTheme="majorBidi" w:hAnsiTheme="majorBidi" w:cstheme="majorBidi"/>
                <w:caps/>
                <w:lang w:val="es-ES_tradnl" w:eastAsia="ko-KR"/>
              </w:rPr>
              <w:t>41,7</w:t>
            </w:r>
          </w:p>
        </w:tc>
      </w:tr>
      <w:tr w:rsidR="00BF7FF4" w:rsidRPr="00196D2C" w:rsidTr="002C4B07">
        <w:trPr>
          <w:jc w:val="center"/>
        </w:trPr>
        <w:tc>
          <w:tcPr>
            <w:tcW w:w="3742" w:type="dxa"/>
            <w:gridSpan w:val="2"/>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left"/>
              <w:rPr>
                <w:rFonts w:asciiTheme="majorBidi" w:hAnsiTheme="majorBidi" w:cstheme="majorBidi"/>
                <w:szCs w:val="22"/>
                <w:lang w:val="es-ES_tradnl"/>
              </w:rPr>
            </w:pPr>
            <w:r w:rsidRPr="00196D2C">
              <w:rPr>
                <w:rFonts w:asciiTheme="majorBidi" w:hAnsiTheme="majorBidi" w:cstheme="majorBidi"/>
                <w:lang w:val="es-ES_tradnl"/>
              </w:rPr>
              <w:t>dfp (dB(W/(m</w:t>
            </w:r>
            <w:r w:rsidRPr="00196D2C">
              <w:rPr>
                <w:rFonts w:asciiTheme="majorBidi" w:hAnsiTheme="majorBidi" w:cstheme="majorBidi"/>
                <w:vertAlign w:val="superscript"/>
                <w:lang w:val="es-ES_tradnl"/>
              </w:rPr>
              <w:t>2</w:t>
            </w:r>
            <w:r w:rsidRPr="00196D2C">
              <w:rPr>
                <w:rFonts w:asciiTheme="majorBidi" w:hAnsiTheme="majorBidi" w:cstheme="majorBidi"/>
                <w:lang w:val="es-ES_tradnl"/>
              </w:rPr>
              <w:t> · 1 MHz))</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–105,0</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–105,0</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–105,0</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–105,0</w:t>
            </w:r>
          </w:p>
        </w:tc>
      </w:tr>
      <w:tr w:rsidR="00BF7FF4" w:rsidRPr="00196D2C" w:rsidTr="002C4B07">
        <w:trPr>
          <w:jc w:val="center"/>
        </w:trPr>
        <w:tc>
          <w:tcPr>
            <w:tcW w:w="1871" w:type="dxa"/>
            <w:vMerge w:val="restart"/>
            <w:tcBorders>
              <w:top w:val="single" w:sz="4" w:space="0" w:color="000000"/>
              <w:left w:val="single" w:sz="4" w:space="0" w:color="000000"/>
              <w:bottom w:val="single" w:sz="4" w:space="0" w:color="000000"/>
              <w:right w:val="single" w:sz="4" w:space="0" w:color="000000"/>
            </w:tcBorders>
            <w:vAlign w:val="center"/>
            <w:hideMark/>
          </w:tcPr>
          <w:p w:rsidR="00BF7FF4" w:rsidRPr="00196D2C" w:rsidRDefault="00BF7FF4" w:rsidP="002C4B07">
            <w:pPr>
              <w:pStyle w:val="Tabletext"/>
              <w:jc w:val="center"/>
              <w:rPr>
                <w:rFonts w:asciiTheme="majorBidi" w:hAnsiTheme="majorBidi" w:cstheme="majorBidi"/>
                <w:iCs/>
                <w:lang w:val="es-ES_tradnl"/>
              </w:rPr>
            </w:pPr>
            <w:r w:rsidRPr="00196D2C">
              <w:rPr>
                <w:rFonts w:asciiTheme="majorBidi" w:hAnsiTheme="majorBidi" w:cstheme="majorBidi"/>
                <w:i/>
                <w:lang w:val="es-ES_tradnl"/>
              </w:rPr>
              <w:t>C</w:t>
            </w:r>
            <w:r w:rsidRPr="00196D2C">
              <w:rPr>
                <w:rFonts w:asciiTheme="majorBidi" w:hAnsiTheme="majorBidi" w:cstheme="majorBidi"/>
                <w:iCs/>
                <w:lang w:val="es-ES_tradnl"/>
              </w:rPr>
              <w:t>/</w:t>
            </w:r>
            <w:r w:rsidRPr="00196D2C">
              <w:rPr>
                <w:rFonts w:asciiTheme="majorBidi" w:hAnsiTheme="majorBidi" w:cstheme="majorBidi"/>
                <w:i/>
                <w:lang w:val="es-ES_tradnl"/>
              </w:rPr>
              <w:t>N</w:t>
            </w:r>
            <w:r w:rsidRPr="00196D2C">
              <w:rPr>
                <w:rFonts w:asciiTheme="majorBidi" w:hAnsiTheme="majorBidi" w:cstheme="majorBidi"/>
                <w:iCs/>
                <w:lang w:val="es-ES_tradnl"/>
              </w:rPr>
              <w:t xml:space="preserve"> total</w:t>
            </w:r>
          </w:p>
        </w:tc>
        <w:tc>
          <w:tcPr>
            <w:tcW w:w="1871" w:type="dxa"/>
            <w:tcBorders>
              <w:top w:val="single" w:sz="4" w:space="0" w:color="000000"/>
              <w:left w:val="single" w:sz="4" w:space="0" w:color="000000"/>
              <w:bottom w:val="single" w:sz="4" w:space="0" w:color="000000"/>
              <w:right w:val="single" w:sz="4" w:space="0" w:color="000000"/>
            </w:tcBorders>
            <w:vAlign w:val="center"/>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5,6 dB</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99,98%</w:t>
            </w:r>
            <w:r w:rsidRPr="00196D2C">
              <w:rPr>
                <w:rFonts w:asciiTheme="majorBidi" w:hAnsiTheme="majorBidi" w:cstheme="majorBidi"/>
                <w:lang w:val="es-ES_tradnl"/>
              </w:rPr>
              <w:br/>
              <w:t>(21,9 dB)</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99,98%</w:t>
            </w:r>
            <w:r w:rsidRPr="00196D2C">
              <w:rPr>
                <w:rFonts w:asciiTheme="majorBidi" w:hAnsiTheme="majorBidi" w:cstheme="majorBidi"/>
                <w:lang w:val="es-ES_tradnl"/>
              </w:rPr>
              <w:br/>
              <w:t>(22,1 dB)</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99,88%</w:t>
            </w:r>
            <w:r w:rsidRPr="00196D2C">
              <w:rPr>
                <w:rFonts w:asciiTheme="majorBidi" w:hAnsiTheme="majorBidi" w:cstheme="majorBidi"/>
                <w:lang w:val="es-ES_tradnl"/>
              </w:rPr>
              <w:br/>
              <w:t>(21,8 dB)</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szCs w:val="22"/>
                <w:lang w:val="es-ES_tradnl"/>
              </w:rPr>
            </w:pPr>
            <w:r w:rsidRPr="00196D2C">
              <w:rPr>
                <w:rFonts w:asciiTheme="majorBidi" w:hAnsiTheme="majorBidi" w:cstheme="majorBidi"/>
                <w:lang w:val="es-ES_tradnl"/>
              </w:rPr>
              <w:t>99,99%</w:t>
            </w:r>
            <w:r w:rsidRPr="00196D2C">
              <w:rPr>
                <w:rFonts w:asciiTheme="majorBidi" w:hAnsiTheme="majorBidi" w:cstheme="majorBidi"/>
                <w:lang w:val="es-ES_tradnl"/>
              </w:rPr>
              <w:br/>
              <w:t>(21,1 dB)</w:t>
            </w:r>
          </w:p>
        </w:tc>
      </w:tr>
      <w:tr w:rsidR="00BF7FF4" w:rsidRPr="00196D2C" w:rsidTr="002C4B07">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BF7FF4" w:rsidRPr="00196D2C" w:rsidRDefault="00BF7FF4" w:rsidP="000B2AC6">
            <w:pPr>
              <w:rPr>
                <w:rFonts w:asciiTheme="majorBidi" w:hAnsiTheme="majorBidi" w:cstheme="majorBidi"/>
                <w:sz w:val="20"/>
                <w:lang w:val="es-ES_tradnl"/>
              </w:rPr>
            </w:pPr>
          </w:p>
        </w:tc>
        <w:tc>
          <w:tcPr>
            <w:tcW w:w="1871" w:type="dxa"/>
            <w:tcBorders>
              <w:top w:val="single" w:sz="4" w:space="0" w:color="000000"/>
              <w:left w:val="single" w:sz="4" w:space="0" w:color="000000"/>
              <w:bottom w:val="single" w:sz="4" w:space="0" w:color="000000"/>
              <w:right w:val="single" w:sz="4" w:space="0" w:color="000000"/>
            </w:tcBorders>
            <w:vAlign w:val="center"/>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7,5 dB</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99,9</w:t>
            </w:r>
            <w:r w:rsidRPr="00196D2C">
              <w:rPr>
                <w:rFonts w:asciiTheme="majorBidi" w:hAnsiTheme="majorBidi" w:cstheme="majorBidi"/>
                <w:lang w:val="es-ES_tradnl" w:eastAsia="ko-KR"/>
              </w:rPr>
              <w:t>7</w:t>
            </w:r>
            <w:r w:rsidRPr="00196D2C">
              <w:rPr>
                <w:rFonts w:asciiTheme="majorBidi" w:hAnsiTheme="majorBidi" w:cstheme="majorBidi"/>
                <w:lang w:val="es-ES_tradnl"/>
              </w:rPr>
              <w:t>%</w:t>
            </w:r>
            <w:r w:rsidRPr="00196D2C">
              <w:rPr>
                <w:rFonts w:asciiTheme="majorBidi" w:hAnsiTheme="majorBidi" w:cstheme="majorBidi"/>
                <w:lang w:val="es-ES_tradnl"/>
              </w:rPr>
              <w:br/>
              <w:t>(20,0 dB)</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99,97%</w:t>
            </w:r>
            <w:r w:rsidRPr="00196D2C">
              <w:rPr>
                <w:rFonts w:asciiTheme="majorBidi" w:hAnsiTheme="majorBidi" w:cstheme="majorBidi"/>
                <w:lang w:val="es-ES_tradnl"/>
              </w:rPr>
              <w:br/>
              <w:t>(20,2 dB)</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99,8</w:t>
            </w:r>
            <w:r w:rsidRPr="00196D2C">
              <w:rPr>
                <w:rFonts w:asciiTheme="majorBidi" w:hAnsiTheme="majorBidi" w:cstheme="majorBidi"/>
                <w:lang w:val="es-ES_tradnl" w:eastAsia="ko-KR"/>
              </w:rPr>
              <w:t>5</w:t>
            </w:r>
            <w:r w:rsidRPr="00196D2C">
              <w:rPr>
                <w:rFonts w:asciiTheme="majorBidi" w:hAnsiTheme="majorBidi" w:cstheme="majorBidi"/>
                <w:lang w:val="es-ES_tradnl"/>
              </w:rPr>
              <w:t>%</w:t>
            </w:r>
            <w:r w:rsidRPr="00196D2C">
              <w:rPr>
                <w:rFonts w:asciiTheme="majorBidi" w:hAnsiTheme="majorBidi" w:cstheme="majorBidi"/>
                <w:lang w:val="es-ES_tradnl"/>
              </w:rPr>
              <w:br/>
              <w:t>(19,8 dB)</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99,99%</w:t>
            </w:r>
            <w:r w:rsidRPr="00196D2C">
              <w:rPr>
                <w:rFonts w:asciiTheme="majorBidi" w:hAnsiTheme="majorBidi" w:cstheme="majorBidi"/>
                <w:lang w:val="es-ES_tradnl"/>
              </w:rPr>
              <w:br/>
              <w:t>(19,1 dB)</w:t>
            </w:r>
          </w:p>
        </w:tc>
      </w:tr>
      <w:tr w:rsidR="00BF7FF4" w:rsidRPr="00196D2C" w:rsidTr="002C4B07">
        <w:trPr>
          <w:jc w:val="center"/>
        </w:trPr>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BF7FF4" w:rsidRPr="00196D2C" w:rsidRDefault="00BF7FF4" w:rsidP="000B2AC6">
            <w:pPr>
              <w:rPr>
                <w:rFonts w:asciiTheme="majorBidi" w:hAnsiTheme="majorBidi" w:cstheme="majorBidi"/>
                <w:sz w:val="20"/>
                <w:lang w:val="es-ES_tradnl"/>
              </w:rPr>
            </w:pPr>
          </w:p>
        </w:tc>
        <w:tc>
          <w:tcPr>
            <w:tcW w:w="1871" w:type="dxa"/>
            <w:tcBorders>
              <w:top w:val="single" w:sz="4" w:space="0" w:color="000000"/>
              <w:left w:val="single" w:sz="4" w:space="0" w:color="000000"/>
              <w:bottom w:val="single" w:sz="4" w:space="0" w:color="000000"/>
              <w:right w:val="single" w:sz="4" w:space="0" w:color="000000"/>
            </w:tcBorders>
            <w:vAlign w:val="center"/>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10,7 dB</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99,9</w:t>
            </w:r>
            <w:r w:rsidRPr="00196D2C">
              <w:rPr>
                <w:rFonts w:asciiTheme="majorBidi" w:hAnsiTheme="majorBidi" w:cstheme="majorBidi"/>
                <w:lang w:val="es-ES_tradnl" w:eastAsia="ko-KR"/>
              </w:rPr>
              <w:t>5</w:t>
            </w:r>
            <w:r w:rsidRPr="00196D2C">
              <w:rPr>
                <w:rFonts w:asciiTheme="majorBidi" w:hAnsiTheme="majorBidi" w:cstheme="majorBidi"/>
                <w:lang w:val="es-ES_tradnl"/>
              </w:rPr>
              <w:t>%</w:t>
            </w:r>
            <w:r w:rsidRPr="00196D2C">
              <w:rPr>
                <w:rFonts w:asciiTheme="majorBidi" w:hAnsiTheme="majorBidi" w:cstheme="majorBidi"/>
                <w:lang w:val="es-ES_tradnl"/>
              </w:rPr>
              <w:br/>
              <w:t>(16,7 dB)</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99,95%</w:t>
            </w:r>
            <w:r w:rsidRPr="00196D2C">
              <w:rPr>
                <w:rFonts w:asciiTheme="majorBidi" w:hAnsiTheme="majorBidi" w:cstheme="majorBidi"/>
                <w:lang w:val="es-ES_tradnl"/>
              </w:rPr>
              <w:br/>
              <w:t>(17,0 dB)</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99,7</w:t>
            </w:r>
            <w:r w:rsidRPr="00196D2C">
              <w:rPr>
                <w:rFonts w:asciiTheme="majorBidi" w:hAnsiTheme="majorBidi" w:cstheme="majorBidi"/>
                <w:lang w:val="es-ES_tradnl" w:eastAsia="ko-KR"/>
              </w:rPr>
              <w:t>8</w:t>
            </w:r>
            <w:r w:rsidRPr="00196D2C">
              <w:rPr>
                <w:rFonts w:asciiTheme="majorBidi" w:hAnsiTheme="majorBidi" w:cstheme="majorBidi"/>
                <w:lang w:val="es-ES_tradnl"/>
              </w:rPr>
              <w:t>%</w:t>
            </w:r>
            <w:r w:rsidRPr="00196D2C">
              <w:rPr>
                <w:rFonts w:asciiTheme="majorBidi" w:hAnsiTheme="majorBidi" w:cstheme="majorBidi"/>
                <w:lang w:val="es-ES_tradnl"/>
              </w:rPr>
              <w:br/>
              <w:t>(16,6 dB)</w:t>
            </w:r>
          </w:p>
        </w:tc>
        <w:tc>
          <w:tcPr>
            <w:tcW w:w="1474" w:type="dxa"/>
            <w:tcBorders>
              <w:top w:val="single" w:sz="4" w:space="0" w:color="000000"/>
              <w:left w:val="single" w:sz="4" w:space="0" w:color="000000"/>
              <w:bottom w:val="single" w:sz="4" w:space="0" w:color="000000"/>
              <w:right w:val="single" w:sz="4" w:space="0" w:color="000000"/>
            </w:tcBorders>
            <w:hideMark/>
          </w:tcPr>
          <w:p w:rsidR="00BF7FF4" w:rsidRPr="00196D2C" w:rsidRDefault="00BF7FF4" w:rsidP="0052498F">
            <w:pPr>
              <w:pStyle w:val="Tabletext"/>
              <w:jc w:val="center"/>
              <w:rPr>
                <w:rFonts w:asciiTheme="majorBidi" w:hAnsiTheme="majorBidi" w:cstheme="majorBidi"/>
                <w:lang w:val="es-ES_tradnl"/>
              </w:rPr>
            </w:pPr>
            <w:r w:rsidRPr="00196D2C">
              <w:rPr>
                <w:rFonts w:asciiTheme="majorBidi" w:hAnsiTheme="majorBidi" w:cstheme="majorBidi"/>
                <w:lang w:val="es-ES_tradnl"/>
              </w:rPr>
              <w:t>99,99%</w:t>
            </w:r>
            <w:r w:rsidRPr="00196D2C">
              <w:rPr>
                <w:rFonts w:asciiTheme="majorBidi" w:hAnsiTheme="majorBidi" w:cstheme="majorBidi"/>
                <w:lang w:val="es-ES_tradnl"/>
              </w:rPr>
              <w:br/>
              <w:t>(15,9 dB)</w:t>
            </w:r>
          </w:p>
        </w:tc>
      </w:tr>
    </w:tbl>
    <w:p w:rsidR="00BF7FF4" w:rsidRPr="00196D2C" w:rsidRDefault="00BF7FF4" w:rsidP="0052498F">
      <w:pPr>
        <w:pStyle w:val="Tablefin"/>
        <w:rPr>
          <w:rFonts w:eastAsia="Malgun Gothic"/>
          <w:lang w:val="es-ES_tradnl"/>
        </w:rPr>
      </w:pPr>
    </w:p>
    <w:p w:rsidR="00BF7FF4" w:rsidRPr="00196D2C" w:rsidRDefault="00BF7FF4" w:rsidP="002C4B07">
      <w:pPr>
        <w:pStyle w:val="Note"/>
        <w:rPr>
          <w:lang w:val="es-ES_tradnl" w:eastAsia="ja-JP"/>
        </w:rPr>
      </w:pPr>
      <w:r w:rsidRPr="00196D2C">
        <w:rPr>
          <w:rFonts w:eastAsia="Malgun Gothic"/>
          <w:lang w:val="es-ES_tradnl" w:eastAsia="ja-JP"/>
        </w:rPr>
        <w:t>NOTA </w:t>
      </w:r>
      <w:r w:rsidRPr="00196D2C">
        <w:rPr>
          <w:lang w:val="es-ES_tradnl" w:eastAsia="ja-JP"/>
        </w:rPr>
        <w:t>–</w:t>
      </w:r>
      <w:r w:rsidRPr="00196D2C">
        <w:rPr>
          <w:rFonts w:eastAsia="Malgun Gothic"/>
          <w:lang w:val="es-ES_tradnl" w:eastAsia="ja-JP"/>
        </w:rPr>
        <w:t> Los emplazamientos indicados en el Cuadro</w:t>
      </w:r>
      <w:r w:rsidR="002C4B07">
        <w:rPr>
          <w:rFonts w:eastAsia="Malgun Gothic"/>
          <w:lang w:val="es-ES_tradnl" w:eastAsia="ja-JP"/>
        </w:rPr>
        <w:t> </w:t>
      </w:r>
      <w:r w:rsidRPr="00196D2C">
        <w:rPr>
          <w:rFonts w:eastAsia="Malgun Gothic"/>
          <w:lang w:val="es-ES_tradnl" w:eastAsia="ja-JP"/>
        </w:rPr>
        <w:t>1a son sólo ejemplos de disponibilidad del servicio y atenuación total del enlace en la</w:t>
      </w:r>
      <w:r w:rsidRPr="00196D2C">
        <w:rPr>
          <w:rFonts w:eastAsia="Malgun Gothic"/>
          <w:caps/>
          <w:lang w:val="es-ES_tradnl" w:eastAsia="ja-JP"/>
        </w:rPr>
        <w:t xml:space="preserve"> R</w:t>
      </w:r>
      <w:r w:rsidRPr="00196D2C">
        <w:rPr>
          <w:rFonts w:eastAsia="Malgun Gothic"/>
          <w:lang w:val="es-ES_tradnl" w:eastAsia="ja-JP"/>
        </w:rPr>
        <w:t>egión</w:t>
      </w:r>
      <w:r w:rsidRPr="00196D2C">
        <w:rPr>
          <w:rFonts w:eastAsia="Malgun Gothic"/>
          <w:caps/>
          <w:lang w:val="es-ES_tradnl" w:eastAsia="ja-JP"/>
        </w:rPr>
        <w:t xml:space="preserve"> 3</w:t>
      </w:r>
      <w:r w:rsidRPr="00196D2C">
        <w:rPr>
          <w:rFonts w:eastAsia="Malgun Gothic"/>
          <w:lang w:val="es-ES_tradnl" w:eastAsia="ja-JP"/>
        </w:rPr>
        <w:t>.</w:t>
      </w:r>
    </w:p>
    <w:p w:rsidR="00BF7FF4" w:rsidRPr="00196D2C" w:rsidRDefault="00BF7FF4" w:rsidP="0052498F">
      <w:pPr>
        <w:pStyle w:val="TableNo"/>
        <w:rPr>
          <w:lang w:val="es-ES_tradnl"/>
        </w:rPr>
      </w:pPr>
      <w:r w:rsidRPr="00196D2C">
        <w:rPr>
          <w:lang w:val="es-ES_tradnl"/>
        </w:rPr>
        <w:lastRenderedPageBreak/>
        <w:t>CUADRO 1b</w:t>
      </w:r>
    </w:p>
    <w:p w:rsidR="00BF7FF4" w:rsidRPr="00196D2C" w:rsidRDefault="00BF7FF4" w:rsidP="002C4B07">
      <w:pPr>
        <w:pStyle w:val="Tabletitle"/>
        <w:rPr>
          <w:rFonts w:asciiTheme="majorBidi" w:hAnsiTheme="majorBidi" w:cstheme="majorBidi"/>
          <w:bCs/>
          <w:lang w:val="es-ES_tradnl" w:eastAsia="ja-JP"/>
        </w:rPr>
      </w:pPr>
      <w:r w:rsidRPr="00196D2C">
        <w:rPr>
          <w:rFonts w:asciiTheme="majorBidi" w:hAnsiTheme="majorBidi" w:cstheme="majorBidi"/>
          <w:lang w:val="es-ES_tradnl"/>
        </w:rPr>
        <w:t>Disponibilidad anual del servicio y atenuación total del enlace en el</w:t>
      </w:r>
      <w:r w:rsidR="002C4B07">
        <w:rPr>
          <w:rFonts w:asciiTheme="majorBidi" w:hAnsiTheme="majorBidi" w:cstheme="majorBidi"/>
          <w:lang w:val="es-ES_tradnl"/>
        </w:rPr>
        <w:t xml:space="preserve"> </w:t>
      </w:r>
      <w:r w:rsidRPr="00196D2C">
        <w:rPr>
          <w:rFonts w:asciiTheme="majorBidi" w:hAnsiTheme="majorBidi" w:cstheme="majorBidi"/>
          <w:lang w:val="es-ES_tradnl"/>
        </w:rPr>
        <w:t>enlace descendente</w:t>
      </w:r>
      <w:r w:rsidR="002C4B07">
        <w:rPr>
          <w:rFonts w:asciiTheme="majorBidi" w:hAnsiTheme="majorBidi" w:cstheme="majorBidi"/>
          <w:lang w:val="es-ES_tradnl"/>
        </w:rPr>
        <w:br/>
      </w:r>
      <w:r w:rsidRPr="00196D2C">
        <w:rPr>
          <w:rFonts w:asciiTheme="majorBidi" w:hAnsiTheme="majorBidi" w:cstheme="majorBidi"/>
          <w:lang w:val="es-ES_tradnl"/>
        </w:rPr>
        <w:t>del SRS de 21 GHz en algunas ciudades de la Región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1"/>
        <w:gridCol w:w="1871"/>
        <w:gridCol w:w="1474"/>
        <w:gridCol w:w="1474"/>
        <w:gridCol w:w="1474"/>
        <w:gridCol w:w="1474"/>
      </w:tblGrid>
      <w:tr w:rsidR="00BF7FF4" w:rsidRPr="00196D2C" w:rsidTr="00D55FCE">
        <w:trPr>
          <w:cantSplit/>
          <w:jc w:val="center"/>
        </w:trPr>
        <w:tc>
          <w:tcPr>
            <w:tcW w:w="3742" w:type="dxa"/>
            <w:gridSpan w:val="2"/>
            <w:tcBorders>
              <w:top w:val="single" w:sz="4" w:space="0" w:color="auto"/>
              <w:left w:val="single" w:sz="4" w:space="0" w:color="auto"/>
              <w:bottom w:val="single" w:sz="4" w:space="0" w:color="auto"/>
              <w:right w:val="single" w:sz="4" w:space="0" w:color="auto"/>
            </w:tcBorders>
          </w:tcPr>
          <w:p w:rsidR="00BF7FF4" w:rsidRPr="00196D2C" w:rsidRDefault="00BF7FF4" w:rsidP="000B2AC6">
            <w:pPr>
              <w:pStyle w:val="Tablehead"/>
              <w:rPr>
                <w:rFonts w:asciiTheme="majorBidi" w:hAnsiTheme="majorBidi" w:cstheme="majorBidi"/>
                <w:lang w:val="es-ES_tradnl" w:eastAsia="ja-JP"/>
              </w:rPr>
            </w:pP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0B2AC6">
            <w:pPr>
              <w:pStyle w:val="Tablehead"/>
              <w:rPr>
                <w:rFonts w:asciiTheme="majorBidi" w:hAnsiTheme="majorBidi" w:cstheme="majorBidi"/>
                <w:lang w:val="es-ES_tradnl" w:eastAsia="ja-JP"/>
              </w:rPr>
            </w:pPr>
            <w:r w:rsidRPr="00196D2C">
              <w:rPr>
                <w:rFonts w:asciiTheme="majorBidi" w:hAnsiTheme="majorBidi" w:cstheme="majorBidi"/>
                <w:lang w:val="es-ES_tradnl" w:eastAsia="ja-JP"/>
              </w:rPr>
              <w:t>Moscú</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0B2AC6">
            <w:pPr>
              <w:pStyle w:val="Tablehead"/>
              <w:rPr>
                <w:rFonts w:asciiTheme="majorBidi" w:hAnsiTheme="majorBidi" w:cstheme="majorBidi"/>
                <w:lang w:val="es-ES_tradnl" w:eastAsia="ja-JP"/>
              </w:rPr>
            </w:pPr>
            <w:r w:rsidRPr="00196D2C">
              <w:rPr>
                <w:rFonts w:asciiTheme="majorBidi" w:hAnsiTheme="majorBidi" w:cstheme="majorBidi"/>
                <w:lang w:val="es-ES_tradnl" w:eastAsia="ja-JP"/>
              </w:rPr>
              <w:t>París</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0B2AC6">
            <w:pPr>
              <w:pStyle w:val="Tablehead"/>
              <w:rPr>
                <w:rFonts w:asciiTheme="majorBidi" w:hAnsiTheme="majorBidi" w:cstheme="majorBidi"/>
                <w:lang w:val="es-ES_tradnl" w:eastAsia="ja-JP"/>
              </w:rPr>
            </w:pPr>
            <w:r w:rsidRPr="00196D2C">
              <w:rPr>
                <w:rFonts w:asciiTheme="majorBidi" w:hAnsiTheme="majorBidi" w:cstheme="majorBidi"/>
                <w:lang w:val="es-ES_tradnl" w:eastAsia="ja-JP"/>
              </w:rPr>
              <w:t>Estambul</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0B2AC6">
            <w:pPr>
              <w:pStyle w:val="Tablehead"/>
              <w:rPr>
                <w:rFonts w:asciiTheme="majorBidi" w:hAnsiTheme="majorBidi" w:cstheme="majorBidi"/>
                <w:lang w:val="es-ES_tradnl" w:eastAsia="ja-JP"/>
              </w:rPr>
            </w:pPr>
            <w:r w:rsidRPr="00196D2C">
              <w:rPr>
                <w:rFonts w:asciiTheme="majorBidi" w:hAnsiTheme="majorBidi" w:cstheme="majorBidi"/>
                <w:lang w:val="es-ES_tradnl" w:eastAsia="ja-JP"/>
              </w:rPr>
              <w:t>Pretoria</w:t>
            </w:r>
          </w:p>
        </w:tc>
      </w:tr>
      <w:tr w:rsidR="00BF7FF4" w:rsidRPr="00196D2C" w:rsidTr="00CE1539">
        <w:trPr>
          <w:cantSplit/>
          <w:jc w:val="center"/>
        </w:trPr>
        <w:tc>
          <w:tcPr>
            <w:tcW w:w="3742" w:type="dxa"/>
            <w:gridSpan w:val="2"/>
            <w:tcBorders>
              <w:top w:val="single" w:sz="4" w:space="0" w:color="auto"/>
              <w:left w:val="single" w:sz="4" w:space="0" w:color="auto"/>
              <w:bottom w:val="single" w:sz="4" w:space="0" w:color="auto"/>
              <w:right w:val="single" w:sz="4" w:space="0" w:color="auto"/>
            </w:tcBorders>
          </w:tcPr>
          <w:p w:rsidR="00BF7FF4" w:rsidRPr="00196D2C" w:rsidRDefault="00BF7FF4" w:rsidP="0052498F">
            <w:pPr>
              <w:pStyle w:val="Tabletext"/>
              <w:jc w:val="left"/>
              <w:rPr>
                <w:rFonts w:asciiTheme="majorBidi" w:hAnsiTheme="majorBidi" w:cstheme="majorBidi"/>
                <w:lang w:val="es-ES_tradnl" w:eastAsia="ja-JP"/>
              </w:rPr>
            </w:pPr>
            <w:r w:rsidRPr="00196D2C">
              <w:rPr>
                <w:lang w:val="es-ES_tradnl" w:eastAsia="ja-JP"/>
              </w:rPr>
              <w:t>Ángulo de elevación (grados)</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26,5</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33,2</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40,7</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59,9</w:t>
            </w:r>
          </w:p>
        </w:tc>
      </w:tr>
      <w:tr w:rsidR="00BF7FF4" w:rsidRPr="00196D2C" w:rsidTr="00CE1539">
        <w:trPr>
          <w:cantSplit/>
          <w:jc w:val="center"/>
        </w:trPr>
        <w:tc>
          <w:tcPr>
            <w:tcW w:w="3742" w:type="dxa"/>
            <w:gridSpan w:val="2"/>
            <w:tcBorders>
              <w:top w:val="single" w:sz="4" w:space="0" w:color="auto"/>
              <w:left w:val="single" w:sz="4" w:space="0" w:color="auto"/>
              <w:bottom w:val="single" w:sz="4" w:space="0" w:color="auto"/>
              <w:right w:val="single" w:sz="4" w:space="0" w:color="auto"/>
            </w:tcBorders>
          </w:tcPr>
          <w:p w:rsidR="00BF7FF4" w:rsidRPr="00196D2C" w:rsidRDefault="00BF7FF4" w:rsidP="0052498F">
            <w:pPr>
              <w:pStyle w:val="Tabletext"/>
              <w:jc w:val="left"/>
              <w:rPr>
                <w:rFonts w:asciiTheme="majorBidi" w:hAnsiTheme="majorBidi" w:cstheme="majorBidi"/>
                <w:lang w:val="es-ES_tradnl" w:eastAsia="ja-JP"/>
              </w:rPr>
            </w:pPr>
            <w:r w:rsidRPr="00196D2C">
              <w:rPr>
                <w:lang w:val="es-ES_tradnl"/>
              </w:rPr>
              <w:t>Índice de pluviosidad durante el 0,01% del año (mm/h)</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31,7</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31,8</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38,9</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53,2</w:t>
            </w:r>
          </w:p>
        </w:tc>
      </w:tr>
      <w:tr w:rsidR="00BF7FF4" w:rsidRPr="00196D2C" w:rsidTr="00CE1539">
        <w:trPr>
          <w:cantSplit/>
          <w:jc w:val="center"/>
        </w:trPr>
        <w:tc>
          <w:tcPr>
            <w:tcW w:w="3742" w:type="dxa"/>
            <w:gridSpan w:val="2"/>
            <w:tcBorders>
              <w:top w:val="single" w:sz="4" w:space="0" w:color="auto"/>
              <w:left w:val="single" w:sz="4" w:space="0" w:color="auto"/>
              <w:bottom w:val="single" w:sz="4" w:space="0" w:color="auto"/>
              <w:right w:val="single" w:sz="4" w:space="0" w:color="auto"/>
            </w:tcBorders>
          </w:tcPr>
          <w:p w:rsidR="00BF7FF4" w:rsidRPr="00196D2C" w:rsidRDefault="00BF7FF4" w:rsidP="0052498F">
            <w:pPr>
              <w:pStyle w:val="Tabletext"/>
              <w:jc w:val="left"/>
              <w:rPr>
                <w:rFonts w:asciiTheme="majorBidi" w:hAnsiTheme="majorBidi" w:cstheme="majorBidi"/>
                <w:lang w:val="es-ES_tradnl" w:eastAsia="ja-JP"/>
              </w:rPr>
            </w:pPr>
            <w:r w:rsidRPr="00196D2C">
              <w:rPr>
                <w:rFonts w:asciiTheme="majorBidi" w:hAnsiTheme="majorBidi" w:cstheme="majorBidi"/>
                <w:lang w:val="es-ES_tradnl"/>
              </w:rPr>
              <w:t>dfp</w:t>
            </w:r>
            <w:r w:rsidRPr="00196D2C">
              <w:rPr>
                <w:rFonts w:asciiTheme="majorBidi" w:hAnsiTheme="majorBidi" w:cstheme="majorBidi"/>
                <w:lang w:val="es-ES_tradnl" w:eastAsia="ja-JP"/>
              </w:rPr>
              <w:t xml:space="preserve"> (dB(W/(m</w:t>
            </w:r>
            <w:r w:rsidRPr="00196D2C">
              <w:rPr>
                <w:rFonts w:asciiTheme="majorBidi" w:hAnsiTheme="majorBidi" w:cstheme="majorBidi"/>
                <w:vertAlign w:val="superscript"/>
                <w:lang w:val="es-ES_tradnl" w:eastAsia="ja-JP"/>
              </w:rPr>
              <w:t>2</w:t>
            </w:r>
            <w:r w:rsidRPr="00196D2C">
              <w:rPr>
                <w:rFonts w:asciiTheme="majorBidi" w:hAnsiTheme="majorBidi" w:cstheme="majorBidi"/>
                <w:lang w:val="es-ES_tradnl" w:eastAsia="ja-JP"/>
              </w:rPr>
              <w:t> · 1 MHz))</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–105,0</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–105,0</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–105,0</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rPr>
              <w:t>−</w:t>
            </w:r>
            <w:r w:rsidRPr="00196D2C">
              <w:rPr>
                <w:rFonts w:asciiTheme="majorBidi" w:hAnsiTheme="majorBidi" w:cstheme="majorBidi"/>
                <w:lang w:val="es-ES_tradnl" w:eastAsia="ja-JP"/>
              </w:rPr>
              <w:t>105,0</w:t>
            </w:r>
          </w:p>
        </w:tc>
      </w:tr>
      <w:tr w:rsidR="00BF7FF4" w:rsidRPr="00196D2C" w:rsidTr="00CE1539">
        <w:trPr>
          <w:cantSplit/>
          <w:jc w:val="center"/>
        </w:trPr>
        <w:tc>
          <w:tcPr>
            <w:tcW w:w="1871" w:type="dxa"/>
            <w:vMerge w:val="restart"/>
            <w:tcBorders>
              <w:top w:val="single" w:sz="4" w:space="0" w:color="auto"/>
              <w:left w:val="single" w:sz="4" w:space="0" w:color="auto"/>
              <w:right w:val="single" w:sz="4" w:space="0" w:color="auto"/>
            </w:tcBorders>
            <w:vAlign w:val="center"/>
          </w:tcPr>
          <w:p w:rsidR="00BF7FF4" w:rsidRPr="00196D2C" w:rsidRDefault="00BF7FF4" w:rsidP="00762104">
            <w:pPr>
              <w:pStyle w:val="Tabletext"/>
              <w:jc w:val="center"/>
              <w:rPr>
                <w:rFonts w:asciiTheme="majorBidi" w:hAnsiTheme="majorBidi" w:cstheme="majorBidi"/>
                <w:lang w:val="es-ES_tradnl" w:eastAsia="ja-JP"/>
              </w:rPr>
            </w:pPr>
            <w:r w:rsidRPr="00196D2C">
              <w:rPr>
                <w:rFonts w:asciiTheme="majorBidi" w:hAnsiTheme="majorBidi" w:cstheme="majorBidi"/>
                <w:i/>
                <w:lang w:val="es-ES_tradnl"/>
              </w:rPr>
              <w:t>C</w:t>
            </w:r>
            <w:r w:rsidRPr="00196D2C">
              <w:rPr>
                <w:rFonts w:asciiTheme="majorBidi" w:hAnsiTheme="majorBidi" w:cstheme="majorBidi"/>
                <w:iCs/>
                <w:lang w:val="es-ES_tradnl"/>
              </w:rPr>
              <w:t>/</w:t>
            </w:r>
            <w:r w:rsidRPr="00196D2C">
              <w:rPr>
                <w:rFonts w:asciiTheme="majorBidi" w:hAnsiTheme="majorBidi" w:cstheme="majorBidi"/>
                <w:i/>
                <w:lang w:val="es-ES_tradnl"/>
              </w:rPr>
              <w:t>N</w:t>
            </w:r>
            <w:r w:rsidRPr="00196D2C">
              <w:rPr>
                <w:rFonts w:asciiTheme="majorBidi" w:hAnsiTheme="majorBidi" w:cstheme="majorBidi"/>
                <w:iCs/>
                <w:lang w:val="es-ES_tradnl"/>
              </w:rPr>
              <w:t xml:space="preserve"> total</w:t>
            </w:r>
          </w:p>
        </w:tc>
        <w:tc>
          <w:tcPr>
            <w:tcW w:w="1871" w:type="dxa"/>
            <w:tcBorders>
              <w:top w:val="single" w:sz="4" w:space="0" w:color="auto"/>
              <w:left w:val="single" w:sz="4" w:space="0" w:color="auto"/>
              <w:bottom w:val="single" w:sz="4" w:space="0" w:color="auto"/>
              <w:right w:val="single" w:sz="4" w:space="0" w:color="auto"/>
            </w:tcBorders>
            <w:vAlign w:val="center"/>
          </w:tcPr>
          <w:p w:rsidR="00BF7FF4" w:rsidRPr="00196D2C" w:rsidRDefault="00BF7FF4" w:rsidP="0052498F">
            <w:pPr>
              <w:pStyle w:val="Tabletext"/>
              <w:jc w:val="center"/>
              <w:rPr>
                <w:rFonts w:asciiTheme="majorBidi" w:hAnsiTheme="majorBidi" w:cstheme="majorBidi"/>
                <w:bCs/>
                <w:lang w:val="es-ES_tradnl" w:eastAsia="ja-JP"/>
              </w:rPr>
            </w:pPr>
            <w:r w:rsidRPr="00196D2C">
              <w:rPr>
                <w:rFonts w:asciiTheme="majorBidi" w:hAnsiTheme="majorBidi" w:cstheme="majorBidi"/>
                <w:bCs/>
                <w:lang w:val="es-ES_tradnl" w:eastAsia="ja-JP"/>
              </w:rPr>
              <w:t>5,6 dB</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99,99%</w:t>
            </w:r>
            <w:r w:rsidRPr="00196D2C">
              <w:rPr>
                <w:rFonts w:asciiTheme="majorBidi" w:hAnsiTheme="majorBidi" w:cstheme="majorBidi"/>
                <w:lang w:val="es-ES_tradnl" w:eastAsia="ja-JP"/>
              </w:rPr>
              <w:br/>
              <w:t>(22,0 dB)</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99,99%</w:t>
            </w:r>
            <w:r w:rsidRPr="00196D2C">
              <w:rPr>
                <w:rFonts w:asciiTheme="majorBidi" w:hAnsiTheme="majorBidi" w:cstheme="majorBidi"/>
                <w:lang w:val="es-ES_tradnl" w:eastAsia="ja-JP"/>
              </w:rPr>
              <w:br/>
              <w:t>(21,9 dB)</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99,99</w:t>
            </w:r>
            <w:r w:rsidRPr="00196D2C">
              <w:rPr>
                <w:rFonts w:asciiTheme="majorBidi" w:hAnsiTheme="majorBidi" w:cstheme="majorBidi"/>
                <w:lang w:val="es-ES_tradnl" w:eastAsia="ja-JP"/>
              </w:rPr>
              <w:br/>
              <w:t>(21,9 dB)</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99,97%</w:t>
            </w:r>
            <w:r w:rsidRPr="00196D2C">
              <w:rPr>
                <w:rFonts w:asciiTheme="majorBidi" w:hAnsiTheme="majorBidi" w:cstheme="majorBidi"/>
                <w:lang w:val="es-ES_tradnl" w:eastAsia="ja-JP"/>
              </w:rPr>
              <w:br/>
              <w:t>(22,1 dB)</w:t>
            </w:r>
          </w:p>
        </w:tc>
      </w:tr>
      <w:tr w:rsidR="00BF7FF4" w:rsidRPr="00196D2C" w:rsidTr="00CE1539">
        <w:trPr>
          <w:cantSplit/>
          <w:jc w:val="center"/>
        </w:trPr>
        <w:tc>
          <w:tcPr>
            <w:tcW w:w="1871" w:type="dxa"/>
            <w:vMerge/>
            <w:tcBorders>
              <w:left w:val="single" w:sz="4" w:space="0" w:color="auto"/>
              <w:right w:val="single" w:sz="4" w:space="0" w:color="auto"/>
            </w:tcBorders>
            <w:vAlign w:val="center"/>
          </w:tcPr>
          <w:p w:rsidR="00BF7FF4" w:rsidRPr="00196D2C" w:rsidRDefault="00BF7FF4" w:rsidP="000B2AC6">
            <w:pPr>
              <w:pStyle w:val="Tabletext"/>
              <w:rPr>
                <w:rFonts w:asciiTheme="majorBidi" w:hAnsiTheme="majorBidi" w:cstheme="majorBidi"/>
                <w:iCs/>
                <w:lang w:val="es-ES_tradnl" w:eastAsia="ja-JP"/>
              </w:rPr>
            </w:pPr>
          </w:p>
        </w:tc>
        <w:tc>
          <w:tcPr>
            <w:tcW w:w="1871" w:type="dxa"/>
            <w:tcBorders>
              <w:top w:val="single" w:sz="4" w:space="0" w:color="auto"/>
              <w:left w:val="single" w:sz="4" w:space="0" w:color="auto"/>
              <w:bottom w:val="single" w:sz="4" w:space="0" w:color="auto"/>
              <w:right w:val="single" w:sz="4" w:space="0" w:color="auto"/>
            </w:tcBorders>
            <w:vAlign w:val="center"/>
          </w:tcPr>
          <w:p w:rsidR="00BF7FF4" w:rsidRPr="00196D2C" w:rsidRDefault="00BF7FF4" w:rsidP="0052498F">
            <w:pPr>
              <w:pStyle w:val="Tabletext"/>
              <w:jc w:val="center"/>
              <w:rPr>
                <w:rFonts w:asciiTheme="majorBidi" w:hAnsiTheme="majorBidi" w:cstheme="majorBidi"/>
                <w:bCs/>
                <w:lang w:val="es-ES_tradnl" w:eastAsia="ja-JP"/>
              </w:rPr>
            </w:pPr>
            <w:r w:rsidRPr="00196D2C">
              <w:rPr>
                <w:rFonts w:asciiTheme="majorBidi" w:hAnsiTheme="majorBidi" w:cstheme="majorBidi"/>
                <w:bCs/>
                <w:lang w:val="es-ES_tradnl" w:eastAsia="ja-JP"/>
              </w:rPr>
              <w:t>7,5 dB</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99,99%</w:t>
            </w:r>
            <w:r w:rsidRPr="00196D2C">
              <w:rPr>
                <w:rFonts w:asciiTheme="majorBidi" w:hAnsiTheme="majorBidi" w:cstheme="majorBidi"/>
                <w:lang w:val="es-ES_tradnl" w:eastAsia="ja-JP"/>
              </w:rPr>
              <w:br/>
              <w:t>(20,1 dB)</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99,99%</w:t>
            </w:r>
            <w:r w:rsidRPr="00196D2C">
              <w:rPr>
                <w:rFonts w:asciiTheme="majorBidi" w:hAnsiTheme="majorBidi" w:cstheme="majorBidi"/>
                <w:lang w:val="es-ES_tradnl" w:eastAsia="ja-JP"/>
              </w:rPr>
              <w:br/>
              <w:t>(20,0 dB)</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99,99%</w:t>
            </w:r>
            <w:r w:rsidRPr="00196D2C">
              <w:rPr>
                <w:rFonts w:asciiTheme="majorBidi" w:hAnsiTheme="majorBidi" w:cstheme="majorBidi"/>
                <w:lang w:val="es-ES_tradnl" w:eastAsia="ja-JP"/>
              </w:rPr>
              <w:br/>
              <w:t>(20,0 dB)</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99,97%</w:t>
            </w:r>
            <w:r w:rsidRPr="00196D2C">
              <w:rPr>
                <w:rFonts w:asciiTheme="majorBidi" w:hAnsiTheme="majorBidi" w:cstheme="majorBidi"/>
                <w:lang w:val="es-ES_tradnl" w:eastAsia="ja-JP"/>
              </w:rPr>
              <w:br/>
              <w:t>(20,2 dB)</w:t>
            </w:r>
          </w:p>
        </w:tc>
      </w:tr>
      <w:tr w:rsidR="00BF7FF4" w:rsidRPr="00196D2C" w:rsidTr="00CE1539">
        <w:trPr>
          <w:cantSplit/>
          <w:jc w:val="center"/>
        </w:trPr>
        <w:tc>
          <w:tcPr>
            <w:tcW w:w="1871" w:type="dxa"/>
            <w:vMerge/>
            <w:tcBorders>
              <w:left w:val="single" w:sz="4" w:space="0" w:color="auto"/>
              <w:bottom w:val="single" w:sz="4" w:space="0" w:color="auto"/>
              <w:right w:val="single" w:sz="4" w:space="0" w:color="auto"/>
            </w:tcBorders>
          </w:tcPr>
          <w:p w:rsidR="00BF7FF4" w:rsidRPr="00196D2C" w:rsidRDefault="00BF7FF4" w:rsidP="000B2AC6">
            <w:pPr>
              <w:pStyle w:val="Tabletext"/>
              <w:rPr>
                <w:rFonts w:asciiTheme="majorBidi" w:hAnsiTheme="majorBidi" w:cstheme="majorBidi"/>
                <w:bCs/>
                <w:lang w:val="es-ES_tradnl" w:eastAsia="ja-JP"/>
              </w:rPr>
            </w:pPr>
          </w:p>
        </w:tc>
        <w:tc>
          <w:tcPr>
            <w:tcW w:w="1871" w:type="dxa"/>
            <w:tcBorders>
              <w:top w:val="single" w:sz="4" w:space="0" w:color="auto"/>
              <w:left w:val="single" w:sz="4" w:space="0" w:color="auto"/>
              <w:bottom w:val="single" w:sz="4" w:space="0" w:color="auto"/>
              <w:right w:val="single" w:sz="4" w:space="0" w:color="auto"/>
            </w:tcBorders>
            <w:vAlign w:val="center"/>
          </w:tcPr>
          <w:p w:rsidR="00BF7FF4" w:rsidRPr="00196D2C" w:rsidRDefault="00BF7FF4" w:rsidP="0052498F">
            <w:pPr>
              <w:pStyle w:val="Tabletext"/>
              <w:jc w:val="center"/>
              <w:rPr>
                <w:rFonts w:asciiTheme="majorBidi" w:hAnsiTheme="majorBidi" w:cstheme="majorBidi"/>
                <w:bCs/>
                <w:lang w:val="es-ES_tradnl" w:eastAsia="ja-JP"/>
              </w:rPr>
            </w:pPr>
            <w:r w:rsidRPr="00196D2C">
              <w:rPr>
                <w:rFonts w:asciiTheme="majorBidi" w:hAnsiTheme="majorBidi" w:cstheme="majorBidi"/>
                <w:bCs/>
                <w:lang w:val="es-ES_tradnl" w:eastAsia="ja-JP"/>
              </w:rPr>
              <w:t>10,7 dB</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99,98%</w:t>
            </w:r>
            <w:r w:rsidRPr="00196D2C">
              <w:rPr>
                <w:rFonts w:asciiTheme="majorBidi" w:hAnsiTheme="majorBidi" w:cstheme="majorBidi"/>
                <w:lang w:val="es-ES_tradnl" w:eastAsia="ja-JP"/>
              </w:rPr>
              <w:br/>
              <w:t>(16,8 dB)</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99,99%</w:t>
            </w:r>
            <w:r w:rsidRPr="00196D2C">
              <w:rPr>
                <w:rFonts w:asciiTheme="majorBidi" w:hAnsiTheme="majorBidi" w:cstheme="majorBidi"/>
                <w:lang w:val="es-ES_tradnl" w:eastAsia="ja-JP"/>
              </w:rPr>
              <w:br/>
              <w:t>(16,7 dB)</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99,99%</w:t>
            </w:r>
            <w:r w:rsidRPr="00196D2C">
              <w:rPr>
                <w:rFonts w:asciiTheme="majorBidi" w:hAnsiTheme="majorBidi" w:cstheme="majorBidi"/>
                <w:lang w:val="es-ES_tradnl" w:eastAsia="ja-JP"/>
              </w:rPr>
              <w:br/>
              <w:t>(16,7 dB)</w:t>
            </w:r>
          </w:p>
        </w:tc>
        <w:tc>
          <w:tcPr>
            <w:tcW w:w="1474" w:type="dxa"/>
            <w:tcBorders>
              <w:top w:val="single" w:sz="4" w:space="0" w:color="auto"/>
              <w:left w:val="single" w:sz="4" w:space="0" w:color="auto"/>
              <w:bottom w:val="single" w:sz="4" w:space="0" w:color="auto"/>
              <w:right w:val="single" w:sz="4" w:space="0" w:color="auto"/>
            </w:tcBorders>
          </w:tcPr>
          <w:p w:rsidR="00BF7FF4" w:rsidRPr="00196D2C" w:rsidRDefault="00BF7FF4" w:rsidP="00CE1539">
            <w:pPr>
              <w:pStyle w:val="Tabletext"/>
              <w:jc w:val="center"/>
              <w:rPr>
                <w:rFonts w:asciiTheme="majorBidi" w:hAnsiTheme="majorBidi" w:cstheme="majorBidi"/>
                <w:lang w:val="es-ES_tradnl" w:eastAsia="ja-JP"/>
              </w:rPr>
            </w:pPr>
            <w:r w:rsidRPr="00196D2C">
              <w:rPr>
                <w:rFonts w:asciiTheme="majorBidi" w:hAnsiTheme="majorBidi" w:cstheme="majorBidi"/>
                <w:lang w:val="es-ES_tradnl" w:eastAsia="ja-JP"/>
              </w:rPr>
              <w:t>99,95%</w:t>
            </w:r>
            <w:r w:rsidRPr="00196D2C">
              <w:rPr>
                <w:rFonts w:asciiTheme="majorBidi" w:hAnsiTheme="majorBidi" w:cstheme="majorBidi"/>
                <w:lang w:val="es-ES_tradnl" w:eastAsia="ja-JP"/>
              </w:rPr>
              <w:br/>
              <w:t>(16,9 dB)</w:t>
            </w:r>
          </w:p>
        </w:tc>
      </w:tr>
    </w:tbl>
    <w:p w:rsidR="00BF7FF4" w:rsidRPr="00196D2C" w:rsidRDefault="00BF7FF4" w:rsidP="000B2AC6">
      <w:pPr>
        <w:pStyle w:val="Tablefin"/>
        <w:rPr>
          <w:lang w:val="es-ES_tradnl" w:eastAsia="ja-JP"/>
        </w:rPr>
      </w:pPr>
    </w:p>
    <w:p w:rsidR="00BF7FF4" w:rsidRPr="00196D2C" w:rsidRDefault="00BF7FF4" w:rsidP="002C4B07">
      <w:pPr>
        <w:pStyle w:val="Note"/>
        <w:rPr>
          <w:rFonts w:eastAsia="Malgun Gothic"/>
          <w:lang w:val="es-ES_tradnl" w:eastAsia="ja-JP"/>
        </w:rPr>
      </w:pPr>
      <w:r w:rsidRPr="00196D2C">
        <w:rPr>
          <w:rFonts w:eastAsia="Malgun Gothic"/>
          <w:lang w:val="es-ES_tradnl" w:eastAsia="ja-JP"/>
        </w:rPr>
        <w:t>NOTA </w:t>
      </w:r>
      <w:r w:rsidRPr="00196D2C">
        <w:rPr>
          <w:lang w:val="es-ES_tradnl" w:eastAsia="ja-JP"/>
        </w:rPr>
        <w:t>–</w:t>
      </w:r>
      <w:r w:rsidRPr="00196D2C">
        <w:rPr>
          <w:rFonts w:eastAsia="Malgun Gothic"/>
          <w:lang w:val="es-ES_tradnl" w:eastAsia="ja-JP"/>
        </w:rPr>
        <w:t> Los emplazamientos indicados en el Cuadro</w:t>
      </w:r>
      <w:r w:rsidR="002C4B07">
        <w:rPr>
          <w:rFonts w:eastAsia="Malgun Gothic"/>
          <w:lang w:val="es-ES_tradnl" w:eastAsia="ja-JP"/>
        </w:rPr>
        <w:t> </w:t>
      </w:r>
      <w:r w:rsidRPr="00196D2C">
        <w:rPr>
          <w:rFonts w:eastAsia="Malgun Gothic"/>
          <w:lang w:val="es-ES_tradnl" w:eastAsia="ja-JP"/>
        </w:rPr>
        <w:t>1b son sólo ejemplos de disponibilidad del servicio y atenuación total del enlace en la</w:t>
      </w:r>
      <w:r w:rsidRPr="00196D2C">
        <w:rPr>
          <w:rFonts w:eastAsia="Malgun Gothic"/>
          <w:caps/>
          <w:lang w:val="es-ES_tradnl" w:eastAsia="ja-JP"/>
        </w:rPr>
        <w:t xml:space="preserve"> R</w:t>
      </w:r>
      <w:r w:rsidRPr="00196D2C">
        <w:rPr>
          <w:rFonts w:eastAsia="Malgun Gothic"/>
          <w:lang w:val="es-ES_tradnl" w:eastAsia="ja-JP"/>
        </w:rPr>
        <w:t>egión</w:t>
      </w:r>
      <w:r w:rsidRPr="00196D2C">
        <w:rPr>
          <w:rFonts w:eastAsia="Malgun Gothic"/>
          <w:caps/>
          <w:lang w:val="es-ES_tradnl" w:eastAsia="ja-JP"/>
        </w:rPr>
        <w:t xml:space="preserve"> 1</w:t>
      </w:r>
      <w:r w:rsidRPr="00196D2C">
        <w:rPr>
          <w:rFonts w:eastAsia="Malgun Gothic"/>
          <w:lang w:val="es-ES_tradnl" w:eastAsia="ja-JP"/>
        </w:rPr>
        <w:t>.</w:t>
      </w:r>
    </w:p>
    <w:p w:rsidR="0052498F" w:rsidRDefault="0052498F" w:rsidP="002C4B07">
      <w:pPr>
        <w:rPr>
          <w:rFonts w:eastAsia="Malgun Gothic"/>
          <w:lang w:val="es-ES_tradnl" w:eastAsia="ja-JP"/>
        </w:rPr>
      </w:pPr>
    </w:p>
    <w:p w:rsidR="002C4B07" w:rsidRPr="00196D2C" w:rsidRDefault="002C4B07" w:rsidP="002C4B07">
      <w:pPr>
        <w:rPr>
          <w:rFonts w:eastAsia="Malgun Gothic"/>
          <w:lang w:val="es-ES_tradnl" w:eastAsia="ja-JP"/>
        </w:rPr>
      </w:pPr>
    </w:p>
    <w:p w:rsidR="0052498F" w:rsidRPr="00196D2C" w:rsidRDefault="0052498F" w:rsidP="0052498F">
      <w:pPr>
        <w:pStyle w:val="Line"/>
        <w:rPr>
          <w:lang w:val="es-ES_tradnl" w:eastAsia="ja-JP"/>
        </w:rPr>
      </w:pPr>
    </w:p>
    <w:sectPr w:rsidR="0052498F" w:rsidRPr="00196D2C" w:rsidSect="00BF7FF4">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743" w:rsidRDefault="00752743">
      <w:r>
        <w:separator/>
      </w:r>
    </w:p>
  </w:endnote>
  <w:endnote w:type="continuationSeparator" w:id="0">
    <w:p w:rsidR="00752743" w:rsidRDefault="00752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algun Gothic">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743" w:rsidRDefault="00752743">
      <w:r>
        <w:separator/>
      </w:r>
    </w:p>
  </w:footnote>
  <w:footnote w:type="continuationSeparator" w:id="0">
    <w:p w:rsidR="00752743" w:rsidRDefault="007527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743" w:rsidRDefault="0075274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743" w:rsidRDefault="00752743" w:rsidP="00BF7FF4">
    <w:pPr>
      <w:pStyle w:val="Header"/>
      <w:ind w:right="360" w:firstLine="360"/>
    </w:pPr>
    <w:r>
      <w:rPr>
        <w:noProof/>
        <w:lang w:val="en-US" w:eastAsia="zh-CN"/>
      </w:rPr>
      <w:drawing>
        <wp:anchor distT="0" distB="0" distL="114300" distR="114300" simplePos="0" relativeHeight="251659264" behindDoc="1" locked="0" layoutInCell="1" allowOverlap="1" wp14:anchorId="6E8B68B7" wp14:editId="753D32C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743" w:rsidRDefault="00752743" w:rsidP="00BF7FF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B1A91">
      <w:rPr>
        <w:rStyle w:val="PageNumber"/>
        <w:b/>
        <w:bCs/>
        <w:noProof/>
      </w:rPr>
      <w:t>ii</w:t>
    </w:r>
    <w:r>
      <w:rPr>
        <w:rStyle w:val="PageNumber"/>
        <w:b/>
        <w:bCs/>
      </w:rPr>
      <w:fldChar w:fldCharType="end"/>
    </w:r>
    <w:r>
      <w:tab/>
    </w:r>
    <w:fldSimple w:instr=" DOCPROPERTY &quot;Header&quot; \* MERGEFORMAT ">
      <w:r w:rsidR="00760AAC" w:rsidRPr="00760AAC">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FB1A91">
      <w:rPr>
        <w:b/>
        <w:bCs/>
        <w:noProof/>
      </w:rPr>
      <w:t>UIT-R  BO. 1776-1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743" w:rsidRDefault="00752743">
    <w:pPr>
      <w:pStyle w:val="Header"/>
    </w:pPr>
    <w:r>
      <w:tab/>
    </w:r>
    <w:fldSimple w:instr=" DOCPROPERTY &quot;Header&quot; \* MERGEFORMAT ">
      <w:r w:rsidR="00760AAC" w:rsidRPr="00760AAC">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760AAC">
      <w:rPr>
        <w:b/>
        <w:bCs/>
        <w:noProof/>
      </w:rPr>
      <w:t>UIT-R  BO. 1776-1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60AAC">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743" w:rsidRDefault="0075274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7F56">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60AAC" w:rsidRPr="00760AA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E7F56">
      <w:rPr>
        <w:b/>
        <w:bCs/>
        <w:noProof/>
      </w:rPr>
      <w:t>UIT-R  BO. 1776-1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743" w:rsidRPr="00BF7FF4" w:rsidRDefault="00752743">
    <w:pPr>
      <w:pStyle w:val="Header"/>
      <w:rPr>
        <w:b/>
        <w:bCs/>
      </w:rPr>
    </w:pPr>
    <w:r>
      <w:tab/>
    </w:r>
    <w:fldSimple w:instr=" DOCPROPERTY &quot;Header&quot; \* MERGEFORMAT ">
      <w:r w:rsidR="00760AAC" w:rsidRPr="00760A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E7F56">
      <w:rPr>
        <w:b/>
        <w:bCs/>
        <w:noProof/>
      </w:rPr>
      <w:t>UIT-R  BO. 1776-1</w:t>
    </w:r>
    <w:r>
      <w:rPr>
        <w:b/>
        <w:bCs/>
      </w:rPr>
      <w:fldChar w:fldCharType="end"/>
    </w:r>
    <w:r>
      <w:tab/>
    </w:r>
    <w:r w:rsidRPr="00BF7FF4">
      <w:rPr>
        <w:b/>
        <w:bCs/>
      </w:rPr>
      <w:fldChar w:fldCharType="begin"/>
    </w:r>
    <w:r w:rsidRPr="00BF7FF4">
      <w:rPr>
        <w:b/>
        <w:bCs/>
      </w:rPr>
      <w:instrText>PAGE   \* MERGEFORMAT</w:instrText>
    </w:r>
    <w:r w:rsidRPr="00BF7FF4">
      <w:rPr>
        <w:b/>
        <w:bCs/>
      </w:rPr>
      <w:fldChar w:fldCharType="separate"/>
    </w:r>
    <w:r w:rsidR="00FE7F56">
      <w:rPr>
        <w:b/>
        <w:bCs/>
        <w:noProof/>
      </w:rPr>
      <w:t>3</w:t>
    </w:r>
    <w:r w:rsidRPr="00BF7FF4">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969"/>
    <w:rsid w:val="000B2AC6"/>
    <w:rsid w:val="00151884"/>
    <w:rsid w:val="00196D2C"/>
    <w:rsid w:val="00216324"/>
    <w:rsid w:val="00217EBF"/>
    <w:rsid w:val="0022264F"/>
    <w:rsid w:val="00242AEE"/>
    <w:rsid w:val="002C4B07"/>
    <w:rsid w:val="002D76C4"/>
    <w:rsid w:val="003A2969"/>
    <w:rsid w:val="004C2EE7"/>
    <w:rsid w:val="0052498F"/>
    <w:rsid w:val="0052529D"/>
    <w:rsid w:val="00607D68"/>
    <w:rsid w:val="007261A8"/>
    <w:rsid w:val="007468DA"/>
    <w:rsid w:val="00752743"/>
    <w:rsid w:val="00760AAC"/>
    <w:rsid w:val="00762104"/>
    <w:rsid w:val="007B4DA5"/>
    <w:rsid w:val="009E00A8"/>
    <w:rsid w:val="00A6617B"/>
    <w:rsid w:val="00AB0DC8"/>
    <w:rsid w:val="00B44E24"/>
    <w:rsid w:val="00BF7FF4"/>
    <w:rsid w:val="00C35DC1"/>
    <w:rsid w:val="00CE1539"/>
    <w:rsid w:val="00D55FCE"/>
    <w:rsid w:val="00DF4176"/>
    <w:rsid w:val="00FB1A91"/>
    <w:rsid w:val="00FE7F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49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2498F"/>
    <w:pPr>
      <w:keepNext/>
      <w:keepLines/>
      <w:spacing w:before="480"/>
      <w:ind w:left="794" w:hanging="794"/>
      <w:outlineLvl w:val="0"/>
    </w:pPr>
    <w:rPr>
      <w:b/>
    </w:rPr>
  </w:style>
  <w:style w:type="paragraph" w:styleId="Heading2">
    <w:name w:val="heading 2"/>
    <w:basedOn w:val="Heading1"/>
    <w:next w:val="Normal"/>
    <w:qFormat/>
    <w:rsid w:val="0052498F"/>
    <w:pPr>
      <w:spacing w:before="320"/>
      <w:outlineLvl w:val="1"/>
    </w:pPr>
  </w:style>
  <w:style w:type="paragraph" w:styleId="Heading3">
    <w:name w:val="heading 3"/>
    <w:basedOn w:val="Heading1"/>
    <w:next w:val="Normal"/>
    <w:qFormat/>
    <w:rsid w:val="0052498F"/>
    <w:pPr>
      <w:spacing w:before="200"/>
      <w:outlineLvl w:val="2"/>
    </w:pPr>
  </w:style>
  <w:style w:type="paragraph" w:styleId="Heading4">
    <w:name w:val="heading 4"/>
    <w:basedOn w:val="Heading3"/>
    <w:next w:val="Normal"/>
    <w:qFormat/>
    <w:rsid w:val="0052498F"/>
    <w:pPr>
      <w:tabs>
        <w:tab w:val="clear" w:pos="794"/>
        <w:tab w:val="left" w:pos="992"/>
      </w:tabs>
      <w:ind w:left="992" w:hanging="992"/>
      <w:outlineLvl w:val="3"/>
    </w:pPr>
  </w:style>
  <w:style w:type="paragraph" w:styleId="Heading5">
    <w:name w:val="heading 5"/>
    <w:basedOn w:val="Heading4"/>
    <w:next w:val="Normal"/>
    <w:qFormat/>
    <w:rsid w:val="0052498F"/>
    <w:pPr>
      <w:outlineLvl w:val="4"/>
    </w:pPr>
  </w:style>
  <w:style w:type="paragraph" w:styleId="Heading6">
    <w:name w:val="heading 6"/>
    <w:basedOn w:val="Heading4"/>
    <w:next w:val="Normal"/>
    <w:qFormat/>
    <w:rsid w:val="0052498F"/>
    <w:pPr>
      <w:tabs>
        <w:tab w:val="clear" w:pos="992"/>
        <w:tab w:val="clear" w:pos="1191"/>
      </w:tabs>
      <w:ind w:left="1588" w:hanging="1588"/>
      <w:outlineLvl w:val="5"/>
    </w:pPr>
  </w:style>
  <w:style w:type="paragraph" w:styleId="Heading7">
    <w:name w:val="heading 7"/>
    <w:basedOn w:val="Heading6"/>
    <w:next w:val="Normal"/>
    <w:qFormat/>
    <w:rsid w:val="0052498F"/>
    <w:pPr>
      <w:outlineLvl w:val="6"/>
    </w:pPr>
  </w:style>
  <w:style w:type="paragraph" w:styleId="Heading8">
    <w:name w:val="heading 8"/>
    <w:basedOn w:val="Heading6"/>
    <w:next w:val="Normal"/>
    <w:qFormat/>
    <w:rsid w:val="0052498F"/>
    <w:pPr>
      <w:outlineLvl w:val="7"/>
    </w:pPr>
  </w:style>
  <w:style w:type="paragraph" w:styleId="Heading9">
    <w:name w:val="heading 9"/>
    <w:basedOn w:val="Heading6"/>
    <w:next w:val="Normal"/>
    <w:qFormat/>
    <w:rsid w:val="0052498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2498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2498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2498F"/>
  </w:style>
  <w:style w:type="paragraph" w:customStyle="1" w:styleId="Headingb">
    <w:name w:val="Heading_b"/>
    <w:basedOn w:val="Heading3"/>
    <w:next w:val="Normal"/>
    <w:rsid w:val="0052498F"/>
    <w:pPr>
      <w:spacing w:before="160"/>
      <w:ind w:left="0" w:firstLine="0"/>
      <w:outlineLvl w:val="9"/>
    </w:pPr>
  </w:style>
  <w:style w:type="paragraph" w:customStyle="1" w:styleId="Headingi">
    <w:name w:val="Heading_i"/>
    <w:basedOn w:val="Heading3"/>
    <w:next w:val="Normal"/>
    <w:rsid w:val="0052498F"/>
    <w:pPr>
      <w:spacing w:before="160"/>
      <w:ind w:left="0" w:firstLine="0"/>
    </w:pPr>
    <w:rPr>
      <w:b w:val="0"/>
      <w:i/>
    </w:rPr>
  </w:style>
  <w:style w:type="character" w:customStyle="1" w:styleId="href">
    <w:name w:val="href"/>
    <w:basedOn w:val="DefaultParagraphFont"/>
    <w:rsid w:val="0052498F"/>
  </w:style>
  <w:style w:type="paragraph" w:customStyle="1" w:styleId="enumlev1">
    <w:name w:val="enumlev1"/>
    <w:basedOn w:val="Normal"/>
    <w:rsid w:val="0052498F"/>
    <w:pPr>
      <w:spacing w:before="80"/>
      <w:ind w:left="794" w:hanging="794"/>
    </w:pPr>
  </w:style>
  <w:style w:type="paragraph" w:customStyle="1" w:styleId="enumlev2">
    <w:name w:val="enumlev2"/>
    <w:basedOn w:val="enumlev1"/>
    <w:rsid w:val="0052498F"/>
    <w:pPr>
      <w:ind w:left="1191" w:hanging="397"/>
    </w:pPr>
  </w:style>
  <w:style w:type="paragraph" w:customStyle="1" w:styleId="enumlev3">
    <w:name w:val="enumlev3"/>
    <w:basedOn w:val="enumlev2"/>
    <w:rsid w:val="0052498F"/>
    <w:pPr>
      <w:ind w:left="1588"/>
    </w:pPr>
  </w:style>
  <w:style w:type="paragraph" w:customStyle="1" w:styleId="Normalaftertitle">
    <w:name w:val="Normal_after_title"/>
    <w:basedOn w:val="Normal"/>
    <w:next w:val="Normal"/>
    <w:link w:val="NormalaftertitleChar"/>
    <w:rsid w:val="0052498F"/>
    <w:pPr>
      <w:spacing w:before="320"/>
    </w:pPr>
  </w:style>
  <w:style w:type="paragraph" w:customStyle="1" w:styleId="Note">
    <w:name w:val="Note"/>
    <w:basedOn w:val="Normal"/>
    <w:rsid w:val="0052498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2498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2498F"/>
    <w:pPr>
      <w:spacing w:before="240"/>
    </w:pPr>
    <w:rPr>
      <w:sz w:val="22"/>
      <w:lang w:val="es-ES_tradnl"/>
    </w:rPr>
  </w:style>
  <w:style w:type="paragraph" w:customStyle="1" w:styleId="Recref">
    <w:name w:val="Rec_ref"/>
    <w:basedOn w:val="Normal"/>
    <w:next w:val="Recdate"/>
    <w:rsid w:val="0052498F"/>
    <w:pPr>
      <w:jc w:val="center"/>
    </w:pPr>
  </w:style>
  <w:style w:type="paragraph" w:customStyle="1" w:styleId="Recdate">
    <w:name w:val="Rec_date"/>
    <w:basedOn w:val="Recref"/>
    <w:next w:val="Normalaftertitle"/>
    <w:rsid w:val="0052498F"/>
    <w:pPr>
      <w:jc w:val="right"/>
    </w:pPr>
  </w:style>
  <w:style w:type="paragraph" w:customStyle="1" w:styleId="AnnexNoTitle">
    <w:name w:val="Annex_NoTitle"/>
    <w:basedOn w:val="Normal"/>
    <w:next w:val="Normalaftertitle"/>
    <w:link w:val="AnnexNoTitleChar"/>
    <w:rsid w:val="0052498F"/>
    <w:pPr>
      <w:keepNext/>
      <w:keepLines/>
      <w:spacing w:before="480" w:after="80"/>
      <w:jc w:val="center"/>
    </w:pPr>
    <w:rPr>
      <w:b/>
      <w:sz w:val="28"/>
    </w:rPr>
  </w:style>
  <w:style w:type="paragraph" w:customStyle="1" w:styleId="AppendixNoTitle">
    <w:name w:val="Appendix_NoTitle"/>
    <w:basedOn w:val="AnnexNoTitle"/>
    <w:next w:val="Normal"/>
    <w:rsid w:val="0052498F"/>
  </w:style>
  <w:style w:type="paragraph" w:customStyle="1" w:styleId="Tablefin">
    <w:name w:val="Table_fin"/>
    <w:basedOn w:val="Normal"/>
    <w:next w:val="Normal"/>
    <w:rsid w:val="0052498F"/>
    <w:pPr>
      <w:spacing w:before="0"/>
    </w:pPr>
    <w:rPr>
      <w:sz w:val="20"/>
      <w:lang w:val="en-GB"/>
    </w:rPr>
  </w:style>
  <w:style w:type="paragraph" w:customStyle="1" w:styleId="Tablehead">
    <w:name w:val="Table_head"/>
    <w:basedOn w:val="Normal"/>
    <w:next w:val="Normal"/>
    <w:rsid w:val="005249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249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52498F"/>
    <w:pPr>
      <w:keepNext/>
      <w:spacing w:before="360" w:after="120"/>
      <w:jc w:val="center"/>
    </w:pPr>
  </w:style>
  <w:style w:type="paragraph" w:customStyle="1" w:styleId="Tabletext">
    <w:name w:val="Table_text"/>
    <w:basedOn w:val="Normal"/>
    <w:link w:val="TabletextChar"/>
    <w:rsid w:val="005249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2498F"/>
    <w:pPr>
      <w:tabs>
        <w:tab w:val="clear" w:pos="1191"/>
        <w:tab w:val="clear" w:pos="1588"/>
        <w:tab w:val="clear" w:pos="1985"/>
        <w:tab w:val="center" w:pos="4820"/>
        <w:tab w:val="right" w:pos="9639"/>
      </w:tabs>
    </w:pPr>
  </w:style>
  <w:style w:type="paragraph" w:customStyle="1" w:styleId="Equationlegend">
    <w:name w:val="Equation_legend"/>
    <w:basedOn w:val="NormalIndent"/>
    <w:rsid w:val="0052498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2498F"/>
    <w:pPr>
      <w:ind w:left="794"/>
    </w:pPr>
  </w:style>
  <w:style w:type="paragraph" w:customStyle="1" w:styleId="Figurelegend">
    <w:name w:val="Figure_legend"/>
    <w:basedOn w:val="Normal"/>
    <w:rsid w:val="0052498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2498F"/>
    <w:pPr>
      <w:keepNext/>
      <w:keepLines/>
      <w:spacing w:before="480" w:after="80"/>
      <w:jc w:val="center"/>
    </w:pPr>
    <w:rPr>
      <w:caps/>
      <w:sz w:val="18"/>
    </w:rPr>
  </w:style>
  <w:style w:type="paragraph" w:customStyle="1" w:styleId="tocpart">
    <w:name w:val="tocpart"/>
    <w:basedOn w:val="Normal"/>
    <w:rsid w:val="0052498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2498F"/>
    <w:pPr>
      <w:keepNext/>
      <w:keepLines/>
      <w:spacing w:before="480"/>
      <w:jc w:val="center"/>
    </w:pPr>
    <w:rPr>
      <w:sz w:val="28"/>
    </w:rPr>
  </w:style>
  <w:style w:type="paragraph" w:customStyle="1" w:styleId="Arttitle">
    <w:name w:val="Art_title"/>
    <w:basedOn w:val="Normal"/>
    <w:next w:val="Normalaftertitle"/>
    <w:rsid w:val="0052498F"/>
    <w:pPr>
      <w:keepNext/>
      <w:keepLines/>
      <w:spacing w:before="240"/>
      <w:jc w:val="center"/>
    </w:pPr>
    <w:rPr>
      <w:b/>
      <w:sz w:val="28"/>
    </w:rPr>
  </w:style>
  <w:style w:type="paragraph" w:customStyle="1" w:styleId="Blanc">
    <w:name w:val="Blanc"/>
    <w:basedOn w:val="Normal"/>
    <w:next w:val="Tabletext"/>
    <w:rsid w:val="0052498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2498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2498F"/>
    <w:pPr>
      <w:keepNext/>
      <w:keepLines/>
      <w:spacing w:before="160"/>
      <w:ind w:left="794"/>
    </w:pPr>
    <w:rPr>
      <w:i/>
    </w:rPr>
  </w:style>
  <w:style w:type="paragraph" w:customStyle="1" w:styleId="ChapNo">
    <w:name w:val="Chap_No"/>
    <w:basedOn w:val="ArtNo"/>
    <w:next w:val="Chaptitle"/>
    <w:rsid w:val="0052498F"/>
    <w:rPr>
      <w:b/>
    </w:rPr>
  </w:style>
  <w:style w:type="paragraph" w:customStyle="1" w:styleId="Chaptitle">
    <w:name w:val="Chap_title"/>
    <w:basedOn w:val="Arttitle"/>
    <w:next w:val="Normalaftertitle"/>
    <w:rsid w:val="0052498F"/>
  </w:style>
  <w:style w:type="character" w:styleId="FootnoteReference">
    <w:name w:val="footnote reference"/>
    <w:basedOn w:val="DefaultParagraphFont"/>
    <w:semiHidden/>
    <w:rsid w:val="0052498F"/>
    <w:rPr>
      <w:position w:val="6"/>
      <w:sz w:val="18"/>
    </w:rPr>
  </w:style>
  <w:style w:type="paragraph" w:styleId="FootnoteText">
    <w:name w:val="footnote text"/>
    <w:basedOn w:val="Normal"/>
    <w:semiHidden/>
    <w:rsid w:val="0052498F"/>
    <w:pPr>
      <w:keepLines/>
      <w:tabs>
        <w:tab w:val="left" w:pos="255"/>
      </w:tabs>
      <w:ind w:left="255" w:hanging="255"/>
    </w:pPr>
    <w:rPr>
      <w:sz w:val="22"/>
    </w:rPr>
  </w:style>
  <w:style w:type="paragraph" w:styleId="Index1">
    <w:name w:val="index 1"/>
    <w:basedOn w:val="Normal"/>
    <w:next w:val="Normal"/>
    <w:semiHidden/>
    <w:rsid w:val="0052498F"/>
  </w:style>
  <w:style w:type="paragraph" w:styleId="Index2">
    <w:name w:val="index 2"/>
    <w:basedOn w:val="Normal"/>
    <w:next w:val="Normal"/>
    <w:semiHidden/>
    <w:rsid w:val="0052498F"/>
    <w:pPr>
      <w:ind w:left="283"/>
    </w:pPr>
  </w:style>
  <w:style w:type="paragraph" w:styleId="Index3">
    <w:name w:val="index 3"/>
    <w:basedOn w:val="Normal"/>
    <w:next w:val="Normal"/>
    <w:semiHidden/>
    <w:rsid w:val="0052498F"/>
    <w:pPr>
      <w:ind w:left="566"/>
    </w:pPr>
  </w:style>
  <w:style w:type="paragraph" w:styleId="IndexHeading">
    <w:name w:val="index heading"/>
    <w:basedOn w:val="Normal"/>
    <w:next w:val="Index1"/>
    <w:semiHidden/>
    <w:rsid w:val="0052498F"/>
  </w:style>
  <w:style w:type="paragraph" w:customStyle="1" w:styleId="Line">
    <w:name w:val="Line"/>
    <w:basedOn w:val="Normal"/>
    <w:next w:val="Normal"/>
    <w:rsid w:val="0052498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2498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2498F"/>
  </w:style>
  <w:style w:type="paragraph" w:customStyle="1" w:styleId="Partref">
    <w:name w:val="Part_ref"/>
    <w:basedOn w:val="Normal"/>
    <w:next w:val="Normal"/>
    <w:rsid w:val="0052498F"/>
    <w:pPr>
      <w:keepNext/>
      <w:keepLines/>
      <w:spacing w:after="280"/>
      <w:jc w:val="center"/>
    </w:pPr>
  </w:style>
  <w:style w:type="paragraph" w:customStyle="1" w:styleId="Parttitle">
    <w:name w:val="Part_title"/>
    <w:basedOn w:val="Normal"/>
    <w:next w:val="Normalaftertitle"/>
    <w:rsid w:val="0052498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2498F"/>
  </w:style>
  <w:style w:type="paragraph" w:customStyle="1" w:styleId="QuestionNo">
    <w:name w:val="Question_No"/>
    <w:basedOn w:val="RecNo"/>
    <w:next w:val="Normal"/>
    <w:rsid w:val="0052498F"/>
  </w:style>
  <w:style w:type="paragraph" w:customStyle="1" w:styleId="Questionref">
    <w:name w:val="Question_ref"/>
    <w:basedOn w:val="Recref"/>
    <w:next w:val="Questiondate"/>
    <w:rsid w:val="0052498F"/>
  </w:style>
  <w:style w:type="paragraph" w:customStyle="1" w:styleId="Questiontitle">
    <w:name w:val="Question_title"/>
    <w:basedOn w:val="Normal"/>
    <w:next w:val="Questionref"/>
    <w:rsid w:val="0052498F"/>
  </w:style>
  <w:style w:type="paragraph" w:customStyle="1" w:styleId="Reftext">
    <w:name w:val="Ref_text"/>
    <w:basedOn w:val="Normal"/>
    <w:rsid w:val="0052498F"/>
    <w:pPr>
      <w:ind w:left="794" w:hanging="794"/>
    </w:pPr>
    <w:rPr>
      <w:sz w:val="22"/>
    </w:rPr>
  </w:style>
  <w:style w:type="paragraph" w:customStyle="1" w:styleId="Reftitle">
    <w:name w:val="Ref_title"/>
    <w:basedOn w:val="Normal"/>
    <w:next w:val="Reftext"/>
    <w:rsid w:val="0052498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2498F"/>
  </w:style>
  <w:style w:type="paragraph" w:customStyle="1" w:styleId="RepNo">
    <w:name w:val="Rep_No"/>
    <w:basedOn w:val="RecNo"/>
    <w:next w:val="Reptitle"/>
    <w:rsid w:val="0052498F"/>
  </w:style>
  <w:style w:type="paragraph" w:customStyle="1" w:styleId="Repref">
    <w:name w:val="Rep_ref"/>
    <w:basedOn w:val="Recref"/>
    <w:next w:val="Repdate"/>
    <w:rsid w:val="0052498F"/>
  </w:style>
  <w:style w:type="paragraph" w:customStyle="1" w:styleId="Reptitle">
    <w:name w:val="Rep_title"/>
    <w:basedOn w:val="Rectitle"/>
    <w:next w:val="Repref"/>
    <w:rsid w:val="0052498F"/>
  </w:style>
  <w:style w:type="paragraph" w:customStyle="1" w:styleId="Resdate">
    <w:name w:val="Res_date"/>
    <w:basedOn w:val="Recdate"/>
    <w:next w:val="Normalaftertitle"/>
    <w:rsid w:val="0052498F"/>
  </w:style>
  <w:style w:type="paragraph" w:customStyle="1" w:styleId="ResNo">
    <w:name w:val="Res_No"/>
    <w:basedOn w:val="RecNo"/>
    <w:next w:val="Restitle"/>
    <w:rsid w:val="0052498F"/>
  </w:style>
  <w:style w:type="paragraph" w:customStyle="1" w:styleId="Resref">
    <w:name w:val="Res_ref"/>
    <w:basedOn w:val="Recref"/>
    <w:next w:val="Resdate"/>
    <w:rsid w:val="0052498F"/>
  </w:style>
  <w:style w:type="paragraph" w:customStyle="1" w:styleId="Restitle">
    <w:name w:val="Res_title"/>
    <w:basedOn w:val="Normal"/>
    <w:next w:val="Resref"/>
    <w:rsid w:val="0052498F"/>
    <w:pPr>
      <w:spacing w:before="240"/>
      <w:jc w:val="center"/>
    </w:pPr>
    <w:rPr>
      <w:b/>
      <w:sz w:val="28"/>
    </w:rPr>
  </w:style>
  <w:style w:type="paragraph" w:customStyle="1" w:styleId="SectionNo">
    <w:name w:val="Section_No"/>
    <w:basedOn w:val="Normal"/>
    <w:next w:val="Normal"/>
    <w:rsid w:val="0052498F"/>
  </w:style>
  <w:style w:type="paragraph" w:customStyle="1" w:styleId="Sectiontitle">
    <w:name w:val="Section_title"/>
    <w:basedOn w:val="Normal"/>
    <w:next w:val="Normalaftertitle"/>
    <w:rsid w:val="0052498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2498F"/>
    <w:pPr>
      <w:tabs>
        <w:tab w:val="clear" w:pos="794"/>
        <w:tab w:val="clear" w:pos="1191"/>
        <w:tab w:val="clear" w:pos="1588"/>
        <w:tab w:val="clear" w:pos="1985"/>
        <w:tab w:val="right" w:pos="9611"/>
      </w:tabs>
    </w:pPr>
    <w:rPr>
      <w:i/>
    </w:rPr>
  </w:style>
  <w:style w:type="paragraph" w:styleId="TOC1">
    <w:name w:val="toc 1"/>
    <w:basedOn w:val="Normal"/>
    <w:semiHidden/>
    <w:rsid w:val="0052498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2498F"/>
    <w:pPr>
      <w:tabs>
        <w:tab w:val="clear" w:pos="567"/>
        <w:tab w:val="left" w:pos="1276"/>
      </w:tabs>
      <w:spacing w:before="160"/>
      <w:ind w:left="1276" w:hanging="709"/>
    </w:pPr>
  </w:style>
  <w:style w:type="paragraph" w:styleId="TOC3">
    <w:name w:val="toc 3"/>
    <w:basedOn w:val="TOC2"/>
    <w:semiHidden/>
    <w:rsid w:val="0052498F"/>
    <w:pPr>
      <w:tabs>
        <w:tab w:val="clear" w:pos="1276"/>
        <w:tab w:val="left" w:pos="2155"/>
      </w:tabs>
      <w:ind w:left="2155" w:hanging="879"/>
    </w:pPr>
  </w:style>
  <w:style w:type="paragraph" w:styleId="TOC4">
    <w:name w:val="toc 4"/>
    <w:basedOn w:val="TOC3"/>
    <w:semiHidden/>
    <w:rsid w:val="0052498F"/>
    <w:pPr>
      <w:tabs>
        <w:tab w:val="left" w:pos="3261"/>
      </w:tabs>
      <w:spacing w:before="80"/>
      <w:ind w:left="3261" w:hanging="993"/>
    </w:pPr>
  </w:style>
  <w:style w:type="paragraph" w:styleId="TOC5">
    <w:name w:val="toc 5"/>
    <w:basedOn w:val="TOC4"/>
    <w:semiHidden/>
    <w:rsid w:val="0052498F"/>
  </w:style>
  <w:style w:type="paragraph" w:styleId="TOC6">
    <w:name w:val="toc 6"/>
    <w:basedOn w:val="TOC4"/>
    <w:semiHidden/>
    <w:rsid w:val="0052498F"/>
  </w:style>
  <w:style w:type="paragraph" w:styleId="TOC7">
    <w:name w:val="toc 7"/>
    <w:basedOn w:val="TOC4"/>
    <w:semiHidden/>
    <w:rsid w:val="0052498F"/>
  </w:style>
  <w:style w:type="paragraph" w:styleId="TOC8">
    <w:name w:val="toc 8"/>
    <w:basedOn w:val="TOC4"/>
    <w:semiHidden/>
    <w:rsid w:val="0052498F"/>
  </w:style>
  <w:style w:type="paragraph" w:customStyle="1" w:styleId="Rectitle">
    <w:name w:val="Rec_title"/>
    <w:basedOn w:val="Normal"/>
    <w:next w:val="Recref"/>
    <w:rsid w:val="0052498F"/>
    <w:pPr>
      <w:keepNext/>
      <w:keepLines/>
      <w:spacing w:before="240"/>
      <w:jc w:val="center"/>
    </w:pPr>
    <w:rPr>
      <w:b/>
      <w:sz w:val="28"/>
    </w:rPr>
  </w:style>
  <w:style w:type="paragraph" w:customStyle="1" w:styleId="Annexref">
    <w:name w:val="Annex_ref"/>
    <w:basedOn w:val="Normal"/>
    <w:next w:val="Normalaftertitle"/>
    <w:rsid w:val="0052498F"/>
    <w:pPr>
      <w:keepNext/>
      <w:keepLines/>
      <w:spacing w:after="280"/>
      <w:jc w:val="center"/>
    </w:pPr>
  </w:style>
  <w:style w:type="paragraph" w:customStyle="1" w:styleId="Appendixref">
    <w:name w:val="Appendix_ref"/>
    <w:basedOn w:val="Annexref"/>
    <w:next w:val="Normalaftertitle"/>
    <w:rsid w:val="0052498F"/>
  </w:style>
  <w:style w:type="paragraph" w:customStyle="1" w:styleId="Figuretitle">
    <w:name w:val="Figure_title"/>
    <w:basedOn w:val="Normal"/>
    <w:next w:val="Figure"/>
    <w:rsid w:val="0052498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52498F"/>
    <w:pPr>
      <w:keepNext/>
      <w:spacing w:before="0" w:after="120"/>
      <w:jc w:val="center"/>
    </w:pPr>
    <w:rPr>
      <w:b/>
    </w:rPr>
  </w:style>
  <w:style w:type="paragraph" w:customStyle="1" w:styleId="Summary">
    <w:name w:val="Summary"/>
    <w:basedOn w:val="Normal"/>
    <w:next w:val="Normalaftertitle"/>
    <w:autoRedefine/>
    <w:rsid w:val="0052498F"/>
    <w:pPr>
      <w:spacing w:after="480"/>
    </w:pPr>
    <w:rPr>
      <w:sz w:val="22"/>
      <w:lang w:val="es-ES_tradnl"/>
    </w:rPr>
  </w:style>
  <w:style w:type="paragraph" w:customStyle="1" w:styleId="TableLegendNote">
    <w:name w:val="Table_Legend_Note"/>
    <w:basedOn w:val="Tablelegend"/>
    <w:next w:val="Tablelegend"/>
    <w:rsid w:val="0052498F"/>
    <w:pPr>
      <w:ind w:left="-85" w:firstLine="0"/>
    </w:pPr>
    <w:rPr>
      <w:lang w:val="en-US"/>
    </w:rPr>
  </w:style>
  <w:style w:type="paragraph" w:customStyle="1" w:styleId="Figure">
    <w:name w:val="Figure"/>
    <w:basedOn w:val="FigureNo"/>
    <w:next w:val="Normal"/>
    <w:rsid w:val="0052498F"/>
    <w:pPr>
      <w:keepNext w:val="0"/>
      <w:spacing w:before="0" w:after="240"/>
    </w:pPr>
  </w:style>
  <w:style w:type="character" w:styleId="Hyperlink">
    <w:name w:val="Hyperlink"/>
    <w:basedOn w:val="DefaultParagraphFont"/>
    <w:rsid w:val="003A2969"/>
    <w:rPr>
      <w:color w:val="0000FF"/>
      <w:u w:val="single"/>
    </w:rPr>
  </w:style>
  <w:style w:type="table" w:styleId="TableGrid">
    <w:name w:val="Table Grid"/>
    <w:basedOn w:val="TableNormal"/>
    <w:rsid w:val="003A296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aftertitleChar">
    <w:name w:val="Normal_after_title Char"/>
    <w:basedOn w:val="DefaultParagraphFont"/>
    <w:link w:val="Normalaftertitle"/>
    <w:locked/>
    <w:rsid w:val="00BF7FF4"/>
    <w:rPr>
      <w:sz w:val="24"/>
      <w:lang w:val="fr-FR" w:eastAsia="en-US"/>
    </w:rPr>
  </w:style>
  <w:style w:type="character" w:customStyle="1" w:styleId="TabletextChar">
    <w:name w:val="Table_text Char"/>
    <w:basedOn w:val="DefaultParagraphFont"/>
    <w:link w:val="Tabletext"/>
    <w:locked/>
    <w:rsid w:val="00BF7FF4"/>
    <w:rPr>
      <w:sz w:val="22"/>
      <w:lang w:val="fr-FR" w:eastAsia="en-US"/>
    </w:rPr>
  </w:style>
  <w:style w:type="character" w:customStyle="1" w:styleId="Tabletitle0">
    <w:name w:val="Table_title Знак"/>
    <w:basedOn w:val="DefaultParagraphFont"/>
    <w:link w:val="Tabletitle"/>
    <w:locked/>
    <w:rsid w:val="00BF7FF4"/>
    <w:rPr>
      <w:b/>
      <w:sz w:val="24"/>
      <w:lang w:val="fr-FR" w:eastAsia="en-US"/>
    </w:rPr>
  </w:style>
  <w:style w:type="character" w:customStyle="1" w:styleId="TableNo0">
    <w:name w:val="Table_No Знак"/>
    <w:basedOn w:val="DefaultParagraphFont"/>
    <w:link w:val="TableNo"/>
    <w:locked/>
    <w:rsid w:val="00BF7FF4"/>
    <w:rPr>
      <w:sz w:val="24"/>
      <w:lang w:val="fr-FR" w:eastAsia="en-US"/>
    </w:rPr>
  </w:style>
  <w:style w:type="character" w:customStyle="1" w:styleId="AnnexNoTitleChar">
    <w:name w:val="Annex_NoTitle Char"/>
    <w:basedOn w:val="DefaultParagraphFont"/>
    <w:link w:val="AnnexNoTitle"/>
    <w:locked/>
    <w:rsid w:val="00BF7FF4"/>
    <w:rPr>
      <w:b/>
      <w:sz w:val="28"/>
      <w:lang w:val="fr-FR" w:eastAsia="en-US"/>
    </w:rPr>
  </w:style>
  <w:style w:type="paragraph" w:customStyle="1" w:styleId="RA">
    <w:name w:val="RA"/>
    <w:basedOn w:val="TableNo"/>
    <w:rsid w:val="00BF7FF4"/>
    <w:rPr>
      <w:rFonts w:asciiTheme="majorBidi" w:hAnsiTheme="majorBidi" w:cstheme="majorBidi"/>
      <w:lang w:val="en-US"/>
    </w:rPr>
  </w:style>
  <w:style w:type="paragraph" w:customStyle="1" w:styleId="Reasons">
    <w:name w:val="Reasons"/>
    <w:basedOn w:val="Normal"/>
    <w:qFormat/>
    <w:rsid w:val="00BF7FF4"/>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BF7FF4"/>
    <w:rPr>
      <w:sz w:val="24"/>
      <w:lang w:val="fr-FR" w:eastAsia="en-US"/>
    </w:rPr>
  </w:style>
  <w:style w:type="character" w:styleId="PlaceholderText">
    <w:name w:val="Placeholder Text"/>
    <w:basedOn w:val="DefaultParagraphFont"/>
    <w:uiPriority w:val="99"/>
    <w:semiHidden/>
    <w:rsid w:val="0052498F"/>
    <w:rPr>
      <w:color w:val="808080"/>
    </w:rPr>
  </w:style>
  <w:style w:type="paragraph" w:styleId="BalloonText">
    <w:name w:val="Balloon Text"/>
    <w:basedOn w:val="Normal"/>
    <w:link w:val="BalloonTextChar"/>
    <w:rsid w:val="0052498F"/>
    <w:pPr>
      <w:spacing w:before="0"/>
    </w:pPr>
    <w:rPr>
      <w:rFonts w:ascii="Tahoma" w:hAnsi="Tahoma" w:cs="Tahoma"/>
      <w:sz w:val="16"/>
      <w:szCs w:val="16"/>
    </w:rPr>
  </w:style>
  <w:style w:type="character" w:customStyle="1" w:styleId="BalloonTextChar">
    <w:name w:val="Balloon Text Char"/>
    <w:basedOn w:val="DefaultParagraphFont"/>
    <w:link w:val="BalloonText"/>
    <w:rsid w:val="0052498F"/>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49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2498F"/>
    <w:pPr>
      <w:keepNext/>
      <w:keepLines/>
      <w:spacing w:before="480"/>
      <w:ind w:left="794" w:hanging="794"/>
      <w:outlineLvl w:val="0"/>
    </w:pPr>
    <w:rPr>
      <w:b/>
    </w:rPr>
  </w:style>
  <w:style w:type="paragraph" w:styleId="Heading2">
    <w:name w:val="heading 2"/>
    <w:basedOn w:val="Heading1"/>
    <w:next w:val="Normal"/>
    <w:qFormat/>
    <w:rsid w:val="0052498F"/>
    <w:pPr>
      <w:spacing w:before="320"/>
      <w:outlineLvl w:val="1"/>
    </w:pPr>
  </w:style>
  <w:style w:type="paragraph" w:styleId="Heading3">
    <w:name w:val="heading 3"/>
    <w:basedOn w:val="Heading1"/>
    <w:next w:val="Normal"/>
    <w:qFormat/>
    <w:rsid w:val="0052498F"/>
    <w:pPr>
      <w:spacing w:before="200"/>
      <w:outlineLvl w:val="2"/>
    </w:pPr>
  </w:style>
  <w:style w:type="paragraph" w:styleId="Heading4">
    <w:name w:val="heading 4"/>
    <w:basedOn w:val="Heading3"/>
    <w:next w:val="Normal"/>
    <w:qFormat/>
    <w:rsid w:val="0052498F"/>
    <w:pPr>
      <w:tabs>
        <w:tab w:val="clear" w:pos="794"/>
        <w:tab w:val="left" w:pos="992"/>
      </w:tabs>
      <w:ind w:left="992" w:hanging="992"/>
      <w:outlineLvl w:val="3"/>
    </w:pPr>
  </w:style>
  <w:style w:type="paragraph" w:styleId="Heading5">
    <w:name w:val="heading 5"/>
    <w:basedOn w:val="Heading4"/>
    <w:next w:val="Normal"/>
    <w:qFormat/>
    <w:rsid w:val="0052498F"/>
    <w:pPr>
      <w:outlineLvl w:val="4"/>
    </w:pPr>
  </w:style>
  <w:style w:type="paragraph" w:styleId="Heading6">
    <w:name w:val="heading 6"/>
    <w:basedOn w:val="Heading4"/>
    <w:next w:val="Normal"/>
    <w:qFormat/>
    <w:rsid w:val="0052498F"/>
    <w:pPr>
      <w:tabs>
        <w:tab w:val="clear" w:pos="992"/>
        <w:tab w:val="clear" w:pos="1191"/>
      </w:tabs>
      <w:ind w:left="1588" w:hanging="1588"/>
      <w:outlineLvl w:val="5"/>
    </w:pPr>
  </w:style>
  <w:style w:type="paragraph" w:styleId="Heading7">
    <w:name w:val="heading 7"/>
    <w:basedOn w:val="Heading6"/>
    <w:next w:val="Normal"/>
    <w:qFormat/>
    <w:rsid w:val="0052498F"/>
    <w:pPr>
      <w:outlineLvl w:val="6"/>
    </w:pPr>
  </w:style>
  <w:style w:type="paragraph" w:styleId="Heading8">
    <w:name w:val="heading 8"/>
    <w:basedOn w:val="Heading6"/>
    <w:next w:val="Normal"/>
    <w:qFormat/>
    <w:rsid w:val="0052498F"/>
    <w:pPr>
      <w:outlineLvl w:val="7"/>
    </w:pPr>
  </w:style>
  <w:style w:type="paragraph" w:styleId="Heading9">
    <w:name w:val="heading 9"/>
    <w:basedOn w:val="Heading6"/>
    <w:next w:val="Normal"/>
    <w:qFormat/>
    <w:rsid w:val="0052498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2498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2498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2498F"/>
  </w:style>
  <w:style w:type="paragraph" w:customStyle="1" w:styleId="Headingb">
    <w:name w:val="Heading_b"/>
    <w:basedOn w:val="Heading3"/>
    <w:next w:val="Normal"/>
    <w:rsid w:val="0052498F"/>
    <w:pPr>
      <w:spacing w:before="160"/>
      <w:ind w:left="0" w:firstLine="0"/>
      <w:outlineLvl w:val="9"/>
    </w:pPr>
  </w:style>
  <w:style w:type="paragraph" w:customStyle="1" w:styleId="Headingi">
    <w:name w:val="Heading_i"/>
    <w:basedOn w:val="Heading3"/>
    <w:next w:val="Normal"/>
    <w:rsid w:val="0052498F"/>
    <w:pPr>
      <w:spacing w:before="160"/>
      <w:ind w:left="0" w:firstLine="0"/>
    </w:pPr>
    <w:rPr>
      <w:b w:val="0"/>
      <w:i/>
    </w:rPr>
  </w:style>
  <w:style w:type="character" w:customStyle="1" w:styleId="href">
    <w:name w:val="href"/>
    <w:basedOn w:val="DefaultParagraphFont"/>
    <w:rsid w:val="0052498F"/>
  </w:style>
  <w:style w:type="paragraph" w:customStyle="1" w:styleId="enumlev1">
    <w:name w:val="enumlev1"/>
    <w:basedOn w:val="Normal"/>
    <w:rsid w:val="0052498F"/>
    <w:pPr>
      <w:spacing w:before="80"/>
      <w:ind w:left="794" w:hanging="794"/>
    </w:pPr>
  </w:style>
  <w:style w:type="paragraph" w:customStyle="1" w:styleId="enumlev2">
    <w:name w:val="enumlev2"/>
    <w:basedOn w:val="enumlev1"/>
    <w:rsid w:val="0052498F"/>
    <w:pPr>
      <w:ind w:left="1191" w:hanging="397"/>
    </w:pPr>
  </w:style>
  <w:style w:type="paragraph" w:customStyle="1" w:styleId="enumlev3">
    <w:name w:val="enumlev3"/>
    <w:basedOn w:val="enumlev2"/>
    <w:rsid w:val="0052498F"/>
    <w:pPr>
      <w:ind w:left="1588"/>
    </w:pPr>
  </w:style>
  <w:style w:type="paragraph" w:customStyle="1" w:styleId="Normalaftertitle">
    <w:name w:val="Normal_after_title"/>
    <w:basedOn w:val="Normal"/>
    <w:next w:val="Normal"/>
    <w:link w:val="NormalaftertitleChar"/>
    <w:rsid w:val="0052498F"/>
    <w:pPr>
      <w:spacing w:before="320"/>
    </w:pPr>
  </w:style>
  <w:style w:type="paragraph" w:customStyle="1" w:styleId="Note">
    <w:name w:val="Note"/>
    <w:basedOn w:val="Normal"/>
    <w:rsid w:val="0052498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2498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2498F"/>
    <w:pPr>
      <w:spacing w:before="240"/>
    </w:pPr>
    <w:rPr>
      <w:sz w:val="22"/>
      <w:lang w:val="es-ES_tradnl"/>
    </w:rPr>
  </w:style>
  <w:style w:type="paragraph" w:customStyle="1" w:styleId="Recref">
    <w:name w:val="Rec_ref"/>
    <w:basedOn w:val="Normal"/>
    <w:next w:val="Recdate"/>
    <w:rsid w:val="0052498F"/>
    <w:pPr>
      <w:jc w:val="center"/>
    </w:pPr>
  </w:style>
  <w:style w:type="paragraph" w:customStyle="1" w:styleId="Recdate">
    <w:name w:val="Rec_date"/>
    <w:basedOn w:val="Recref"/>
    <w:next w:val="Normalaftertitle"/>
    <w:rsid w:val="0052498F"/>
    <w:pPr>
      <w:jc w:val="right"/>
    </w:pPr>
  </w:style>
  <w:style w:type="paragraph" w:customStyle="1" w:styleId="AnnexNoTitle">
    <w:name w:val="Annex_NoTitle"/>
    <w:basedOn w:val="Normal"/>
    <w:next w:val="Normalaftertitle"/>
    <w:link w:val="AnnexNoTitleChar"/>
    <w:rsid w:val="0052498F"/>
    <w:pPr>
      <w:keepNext/>
      <w:keepLines/>
      <w:spacing w:before="480" w:after="80"/>
      <w:jc w:val="center"/>
    </w:pPr>
    <w:rPr>
      <w:b/>
      <w:sz w:val="28"/>
    </w:rPr>
  </w:style>
  <w:style w:type="paragraph" w:customStyle="1" w:styleId="AppendixNoTitle">
    <w:name w:val="Appendix_NoTitle"/>
    <w:basedOn w:val="AnnexNoTitle"/>
    <w:next w:val="Normal"/>
    <w:rsid w:val="0052498F"/>
  </w:style>
  <w:style w:type="paragraph" w:customStyle="1" w:styleId="Tablefin">
    <w:name w:val="Table_fin"/>
    <w:basedOn w:val="Normal"/>
    <w:next w:val="Normal"/>
    <w:rsid w:val="0052498F"/>
    <w:pPr>
      <w:spacing w:before="0"/>
    </w:pPr>
    <w:rPr>
      <w:sz w:val="20"/>
      <w:lang w:val="en-GB"/>
    </w:rPr>
  </w:style>
  <w:style w:type="paragraph" w:customStyle="1" w:styleId="Tablehead">
    <w:name w:val="Table_head"/>
    <w:basedOn w:val="Normal"/>
    <w:next w:val="Normal"/>
    <w:rsid w:val="0052498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249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52498F"/>
    <w:pPr>
      <w:keepNext/>
      <w:spacing w:before="360" w:after="120"/>
      <w:jc w:val="center"/>
    </w:pPr>
  </w:style>
  <w:style w:type="paragraph" w:customStyle="1" w:styleId="Tabletext">
    <w:name w:val="Table_text"/>
    <w:basedOn w:val="Normal"/>
    <w:link w:val="TabletextChar"/>
    <w:rsid w:val="005249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2498F"/>
    <w:pPr>
      <w:tabs>
        <w:tab w:val="clear" w:pos="1191"/>
        <w:tab w:val="clear" w:pos="1588"/>
        <w:tab w:val="clear" w:pos="1985"/>
        <w:tab w:val="center" w:pos="4820"/>
        <w:tab w:val="right" w:pos="9639"/>
      </w:tabs>
    </w:pPr>
  </w:style>
  <w:style w:type="paragraph" w:customStyle="1" w:styleId="Equationlegend">
    <w:name w:val="Equation_legend"/>
    <w:basedOn w:val="NormalIndent"/>
    <w:rsid w:val="0052498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2498F"/>
    <w:pPr>
      <w:ind w:left="794"/>
    </w:pPr>
  </w:style>
  <w:style w:type="paragraph" w:customStyle="1" w:styleId="Figurelegend">
    <w:name w:val="Figure_legend"/>
    <w:basedOn w:val="Normal"/>
    <w:rsid w:val="0052498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2498F"/>
    <w:pPr>
      <w:keepNext/>
      <w:keepLines/>
      <w:spacing w:before="480" w:after="80"/>
      <w:jc w:val="center"/>
    </w:pPr>
    <w:rPr>
      <w:caps/>
      <w:sz w:val="18"/>
    </w:rPr>
  </w:style>
  <w:style w:type="paragraph" w:customStyle="1" w:styleId="tocpart">
    <w:name w:val="tocpart"/>
    <w:basedOn w:val="Normal"/>
    <w:rsid w:val="0052498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2498F"/>
    <w:pPr>
      <w:keepNext/>
      <w:keepLines/>
      <w:spacing w:before="480"/>
      <w:jc w:val="center"/>
    </w:pPr>
    <w:rPr>
      <w:sz w:val="28"/>
    </w:rPr>
  </w:style>
  <w:style w:type="paragraph" w:customStyle="1" w:styleId="Arttitle">
    <w:name w:val="Art_title"/>
    <w:basedOn w:val="Normal"/>
    <w:next w:val="Normalaftertitle"/>
    <w:rsid w:val="0052498F"/>
    <w:pPr>
      <w:keepNext/>
      <w:keepLines/>
      <w:spacing w:before="240"/>
      <w:jc w:val="center"/>
    </w:pPr>
    <w:rPr>
      <w:b/>
      <w:sz w:val="28"/>
    </w:rPr>
  </w:style>
  <w:style w:type="paragraph" w:customStyle="1" w:styleId="Blanc">
    <w:name w:val="Blanc"/>
    <w:basedOn w:val="Normal"/>
    <w:next w:val="Tabletext"/>
    <w:rsid w:val="0052498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2498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2498F"/>
    <w:pPr>
      <w:keepNext/>
      <w:keepLines/>
      <w:spacing w:before="160"/>
      <w:ind w:left="794"/>
    </w:pPr>
    <w:rPr>
      <w:i/>
    </w:rPr>
  </w:style>
  <w:style w:type="paragraph" w:customStyle="1" w:styleId="ChapNo">
    <w:name w:val="Chap_No"/>
    <w:basedOn w:val="ArtNo"/>
    <w:next w:val="Chaptitle"/>
    <w:rsid w:val="0052498F"/>
    <w:rPr>
      <w:b/>
    </w:rPr>
  </w:style>
  <w:style w:type="paragraph" w:customStyle="1" w:styleId="Chaptitle">
    <w:name w:val="Chap_title"/>
    <w:basedOn w:val="Arttitle"/>
    <w:next w:val="Normalaftertitle"/>
    <w:rsid w:val="0052498F"/>
  </w:style>
  <w:style w:type="character" w:styleId="FootnoteReference">
    <w:name w:val="footnote reference"/>
    <w:basedOn w:val="DefaultParagraphFont"/>
    <w:semiHidden/>
    <w:rsid w:val="0052498F"/>
    <w:rPr>
      <w:position w:val="6"/>
      <w:sz w:val="18"/>
    </w:rPr>
  </w:style>
  <w:style w:type="paragraph" w:styleId="FootnoteText">
    <w:name w:val="footnote text"/>
    <w:basedOn w:val="Normal"/>
    <w:semiHidden/>
    <w:rsid w:val="0052498F"/>
    <w:pPr>
      <w:keepLines/>
      <w:tabs>
        <w:tab w:val="left" w:pos="255"/>
      </w:tabs>
      <w:ind w:left="255" w:hanging="255"/>
    </w:pPr>
    <w:rPr>
      <w:sz w:val="22"/>
    </w:rPr>
  </w:style>
  <w:style w:type="paragraph" w:styleId="Index1">
    <w:name w:val="index 1"/>
    <w:basedOn w:val="Normal"/>
    <w:next w:val="Normal"/>
    <w:semiHidden/>
    <w:rsid w:val="0052498F"/>
  </w:style>
  <w:style w:type="paragraph" w:styleId="Index2">
    <w:name w:val="index 2"/>
    <w:basedOn w:val="Normal"/>
    <w:next w:val="Normal"/>
    <w:semiHidden/>
    <w:rsid w:val="0052498F"/>
    <w:pPr>
      <w:ind w:left="283"/>
    </w:pPr>
  </w:style>
  <w:style w:type="paragraph" w:styleId="Index3">
    <w:name w:val="index 3"/>
    <w:basedOn w:val="Normal"/>
    <w:next w:val="Normal"/>
    <w:semiHidden/>
    <w:rsid w:val="0052498F"/>
    <w:pPr>
      <w:ind w:left="566"/>
    </w:pPr>
  </w:style>
  <w:style w:type="paragraph" w:styleId="IndexHeading">
    <w:name w:val="index heading"/>
    <w:basedOn w:val="Normal"/>
    <w:next w:val="Index1"/>
    <w:semiHidden/>
    <w:rsid w:val="0052498F"/>
  </w:style>
  <w:style w:type="paragraph" w:customStyle="1" w:styleId="Line">
    <w:name w:val="Line"/>
    <w:basedOn w:val="Normal"/>
    <w:next w:val="Normal"/>
    <w:rsid w:val="0052498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2498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2498F"/>
  </w:style>
  <w:style w:type="paragraph" w:customStyle="1" w:styleId="Partref">
    <w:name w:val="Part_ref"/>
    <w:basedOn w:val="Normal"/>
    <w:next w:val="Normal"/>
    <w:rsid w:val="0052498F"/>
    <w:pPr>
      <w:keepNext/>
      <w:keepLines/>
      <w:spacing w:after="280"/>
      <w:jc w:val="center"/>
    </w:pPr>
  </w:style>
  <w:style w:type="paragraph" w:customStyle="1" w:styleId="Parttitle">
    <w:name w:val="Part_title"/>
    <w:basedOn w:val="Normal"/>
    <w:next w:val="Normalaftertitle"/>
    <w:rsid w:val="0052498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2498F"/>
  </w:style>
  <w:style w:type="paragraph" w:customStyle="1" w:styleId="QuestionNo">
    <w:name w:val="Question_No"/>
    <w:basedOn w:val="RecNo"/>
    <w:next w:val="Normal"/>
    <w:rsid w:val="0052498F"/>
  </w:style>
  <w:style w:type="paragraph" w:customStyle="1" w:styleId="Questionref">
    <w:name w:val="Question_ref"/>
    <w:basedOn w:val="Recref"/>
    <w:next w:val="Questiondate"/>
    <w:rsid w:val="0052498F"/>
  </w:style>
  <w:style w:type="paragraph" w:customStyle="1" w:styleId="Questiontitle">
    <w:name w:val="Question_title"/>
    <w:basedOn w:val="Normal"/>
    <w:next w:val="Questionref"/>
    <w:rsid w:val="0052498F"/>
  </w:style>
  <w:style w:type="paragraph" w:customStyle="1" w:styleId="Reftext">
    <w:name w:val="Ref_text"/>
    <w:basedOn w:val="Normal"/>
    <w:rsid w:val="0052498F"/>
    <w:pPr>
      <w:ind w:left="794" w:hanging="794"/>
    </w:pPr>
    <w:rPr>
      <w:sz w:val="22"/>
    </w:rPr>
  </w:style>
  <w:style w:type="paragraph" w:customStyle="1" w:styleId="Reftitle">
    <w:name w:val="Ref_title"/>
    <w:basedOn w:val="Normal"/>
    <w:next w:val="Reftext"/>
    <w:rsid w:val="0052498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2498F"/>
  </w:style>
  <w:style w:type="paragraph" w:customStyle="1" w:styleId="RepNo">
    <w:name w:val="Rep_No"/>
    <w:basedOn w:val="RecNo"/>
    <w:next w:val="Reptitle"/>
    <w:rsid w:val="0052498F"/>
  </w:style>
  <w:style w:type="paragraph" w:customStyle="1" w:styleId="Repref">
    <w:name w:val="Rep_ref"/>
    <w:basedOn w:val="Recref"/>
    <w:next w:val="Repdate"/>
    <w:rsid w:val="0052498F"/>
  </w:style>
  <w:style w:type="paragraph" w:customStyle="1" w:styleId="Reptitle">
    <w:name w:val="Rep_title"/>
    <w:basedOn w:val="Rectitle"/>
    <w:next w:val="Repref"/>
    <w:rsid w:val="0052498F"/>
  </w:style>
  <w:style w:type="paragraph" w:customStyle="1" w:styleId="Resdate">
    <w:name w:val="Res_date"/>
    <w:basedOn w:val="Recdate"/>
    <w:next w:val="Normalaftertitle"/>
    <w:rsid w:val="0052498F"/>
  </w:style>
  <w:style w:type="paragraph" w:customStyle="1" w:styleId="ResNo">
    <w:name w:val="Res_No"/>
    <w:basedOn w:val="RecNo"/>
    <w:next w:val="Restitle"/>
    <w:rsid w:val="0052498F"/>
  </w:style>
  <w:style w:type="paragraph" w:customStyle="1" w:styleId="Resref">
    <w:name w:val="Res_ref"/>
    <w:basedOn w:val="Recref"/>
    <w:next w:val="Resdate"/>
    <w:rsid w:val="0052498F"/>
  </w:style>
  <w:style w:type="paragraph" w:customStyle="1" w:styleId="Restitle">
    <w:name w:val="Res_title"/>
    <w:basedOn w:val="Normal"/>
    <w:next w:val="Resref"/>
    <w:rsid w:val="0052498F"/>
    <w:pPr>
      <w:spacing w:before="240"/>
      <w:jc w:val="center"/>
    </w:pPr>
    <w:rPr>
      <w:b/>
      <w:sz w:val="28"/>
    </w:rPr>
  </w:style>
  <w:style w:type="paragraph" w:customStyle="1" w:styleId="SectionNo">
    <w:name w:val="Section_No"/>
    <w:basedOn w:val="Normal"/>
    <w:next w:val="Normal"/>
    <w:rsid w:val="0052498F"/>
  </w:style>
  <w:style w:type="paragraph" w:customStyle="1" w:styleId="Sectiontitle">
    <w:name w:val="Section_title"/>
    <w:basedOn w:val="Normal"/>
    <w:next w:val="Normalaftertitle"/>
    <w:rsid w:val="0052498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2498F"/>
    <w:pPr>
      <w:tabs>
        <w:tab w:val="clear" w:pos="794"/>
        <w:tab w:val="clear" w:pos="1191"/>
        <w:tab w:val="clear" w:pos="1588"/>
        <w:tab w:val="clear" w:pos="1985"/>
        <w:tab w:val="right" w:pos="9611"/>
      </w:tabs>
    </w:pPr>
    <w:rPr>
      <w:i/>
    </w:rPr>
  </w:style>
  <w:style w:type="paragraph" w:styleId="TOC1">
    <w:name w:val="toc 1"/>
    <w:basedOn w:val="Normal"/>
    <w:semiHidden/>
    <w:rsid w:val="0052498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2498F"/>
    <w:pPr>
      <w:tabs>
        <w:tab w:val="clear" w:pos="567"/>
        <w:tab w:val="left" w:pos="1276"/>
      </w:tabs>
      <w:spacing w:before="160"/>
      <w:ind w:left="1276" w:hanging="709"/>
    </w:pPr>
  </w:style>
  <w:style w:type="paragraph" w:styleId="TOC3">
    <w:name w:val="toc 3"/>
    <w:basedOn w:val="TOC2"/>
    <w:semiHidden/>
    <w:rsid w:val="0052498F"/>
    <w:pPr>
      <w:tabs>
        <w:tab w:val="clear" w:pos="1276"/>
        <w:tab w:val="left" w:pos="2155"/>
      </w:tabs>
      <w:ind w:left="2155" w:hanging="879"/>
    </w:pPr>
  </w:style>
  <w:style w:type="paragraph" w:styleId="TOC4">
    <w:name w:val="toc 4"/>
    <w:basedOn w:val="TOC3"/>
    <w:semiHidden/>
    <w:rsid w:val="0052498F"/>
    <w:pPr>
      <w:tabs>
        <w:tab w:val="left" w:pos="3261"/>
      </w:tabs>
      <w:spacing w:before="80"/>
      <w:ind w:left="3261" w:hanging="993"/>
    </w:pPr>
  </w:style>
  <w:style w:type="paragraph" w:styleId="TOC5">
    <w:name w:val="toc 5"/>
    <w:basedOn w:val="TOC4"/>
    <w:semiHidden/>
    <w:rsid w:val="0052498F"/>
  </w:style>
  <w:style w:type="paragraph" w:styleId="TOC6">
    <w:name w:val="toc 6"/>
    <w:basedOn w:val="TOC4"/>
    <w:semiHidden/>
    <w:rsid w:val="0052498F"/>
  </w:style>
  <w:style w:type="paragraph" w:styleId="TOC7">
    <w:name w:val="toc 7"/>
    <w:basedOn w:val="TOC4"/>
    <w:semiHidden/>
    <w:rsid w:val="0052498F"/>
  </w:style>
  <w:style w:type="paragraph" w:styleId="TOC8">
    <w:name w:val="toc 8"/>
    <w:basedOn w:val="TOC4"/>
    <w:semiHidden/>
    <w:rsid w:val="0052498F"/>
  </w:style>
  <w:style w:type="paragraph" w:customStyle="1" w:styleId="Rectitle">
    <w:name w:val="Rec_title"/>
    <w:basedOn w:val="Normal"/>
    <w:next w:val="Recref"/>
    <w:rsid w:val="0052498F"/>
    <w:pPr>
      <w:keepNext/>
      <w:keepLines/>
      <w:spacing w:before="240"/>
      <w:jc w:val="center"/>
    </w:pPr>
    <w:rPr>
      <w:b/>
      <w:sz w:val="28"/>
    </w:rPr>
  </w:style>
  <w:style w:type="paragraph" w:customStyle="1" w:styleId="Annexref">
    <w:name w:val="Annex_ref"/>
    <w:basedOn w:val="Normal"/>
    <w:next w:val="Normalaftertitle"/>
    <w:rsid w:val="0052498F"/>
    <w:pPr>
      <w:keepNext/>
      <w:keepLines/>
      <w:spacing w:after="280"/>
      <w:jc w:val="center"/>
    </w:pPr>
  </w:style>
  <w:style w:type="paragraph" w:customStyle="1" w:styleId="Appendixref">
    <w:name w:val="Appendix_ref"/>
    <w:basedOn w:val="Annexref"/>
    <w:next w:val="Normalaftertitle"/>
    <w:rsid w:val="0052498F"/>
  </w:style>
  <w:style w:type="paragraph" w:customStyle="1" w:styleId="Figuretitle">
    <w:name w:val="Figure_title"/>
    <w:basedOn w:val="Normal"/>
    <w:next w:val="Figure"/>
    <w:rsid w:val="0052498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52498F"/>
    <w:pPr>
      <w:keepNext/>
      <w:spacing w:before="0" w:after="120"/>
      <w:jc w:val="center"/>
    </w:pPr>
    <w:rPr>
      <w:b/>
    </w:rPr>
  </w:style>
  <w:style w:type="paragraph" w:customStyle="1" w:styleId="Summary">
    <w:name w:val="Summary"/>
    <w:basedOn w:val="Normal"/>
    <w:next w:val="Normalaftertitle"/>
    <w:autoRedefine/>
    <w:rsid w:val="0052498F"/>
    <w:pPr>
      <w:spacing w:after="480"/>
    </w:pPr>
    <w:rPr>
      <w:sz w:val="22"/>
      <w:lang w:val="es-ES_tradnl"/>
    </w:rPr>
  </w:style>
  <w:style w:type="paragraph" w:customStyle="1" w:styleId="TableLegendNote">
    <w:name w:val="Table_Legend_Note"/>
    <w:basedOn w:val="Tablelegend"/>
    <w:next w:val="Tablelegend"/>
    <w:rsid w:val="0052498F"/>
    <w:pPr>
      <w:ind w:left="-85" w:firstLine="0"/>
    </w:pPr>
    <w:rPr>
      <w:lang w:val="en-US"/>
    </w:rPr>
  </w:style>
  <w:style w:type="paragraph" w:customStyle="1" w:styleId="Figure">
    <w:name w:val="Figure"/>
    <w:basedOn w:val="FigureNo"/>
    <w:next w:val="Normal"/>
    <w:rsid w:val="0052498F"/>
    <w:pPr>
      <w:keepNext w:val="0"/>
      <w:spacing w:before="0" w:after="240"/>
    </w:pPr>
  </w:style>
  <w:style w:type="character" w:styleId="Hyperlink">
    <w:name w:val="Hyperlink"/>
    <w:basedOn w:val="DefaultParagraphFont"/>
    <w:rsid w:val="003A2969"/>
    <w:rPr>
      <w:color w:val="0000FF"/>
      <w:u w:val="single"/>
    </w:rPr>
  </w:style>
  <w:style w:type="table" w:styleId="TableGrid">
    <w:name w:val="Table Grid"/>
    <w:basedOn w:val="TableNormal"/>
    <w:rsid w:val="003A296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aftertitleChar">
    <w:name w:val="Normal_after_title Char"/>
    <w:basedOn w:val="DefaultParagraphFont"/>
    <w:link w:val="Normalaftertitle"/>
    <w:locked/>
    <w:rsid w:val="00BF7FF4"/>
    <w:rPr>
      <w:sz w:val="24"/>
      <w:lang w:val="fr-FR" w:eastAsia="en-US"/>
    </w:rPr>
  </w:style>
  <w:style w:type="character" w:customStyle="1" w:styleId="TabletextChar">
    <w:name w:val="Table_text Char"/>
    <w:basedOn w:val="DefaultParagraphFont"/>
    <w:link w:val="Tabletext"/>
    <w:locked/>
    <w:rsid w:val="00BF7FF4"/>
    <w:rPr>
      <w:sz w:val="22"/>
      <w:lang w:val="fr-FR" w:eastAsia="en-US"/>
    </w:rPr>
  </w:style>
  <w:style w:type="character" w:customStyle="1" w:styleId="Tabletitle0">
    <w:name w:val="Table_title Знак"/>
    <w:basedOn w:val="DefaultParagraphFont"/>
    <w:link w:val="Tabletitle"/>
    <w:locked/>
    <w:rsid w:val="00BF7FF4"/>
    <w:rPr>
      <w:b/>
      <w:sz w:val="24"/>
      <w:lang w:val="fr-FR" w:eastAsia="en-US"/>
    </w:rPr>
  </w:style>
  <w:style w:type="character" w:customStyle="1" w:styleId="TableNo0">
    <w:name w:val="Table_No Знак"/>
    <w:basedOn w:val="DefaultParagraphFont"/>
    <w:link w:val="TableNo"/>
    <w:locked/>
    <w:rsid w:val="00BF7FF4"/>
    <w:rPr>
      <w:sz w:val="24"/>
      <w:lang w:val="fr-FR" w:eastAsia="en-US"/>
    </w:rPr>
  </w:style>
  <w:style w:type="character" w:customStyle="1" w:styleId="AnnexNoTitleChar">
    <w:name w:val="Annex_NoTitle Char"/>
    <w:basedOn w:val="DefaultParagraphFont"/>
    <w:link w:val="AnnexNoTitle"/>
    <w:locked/>
    <w:rsid w:val="00BF7FF4"/>
    <w:rPr>
      <w:b/>
      <w:sz w:val="28"/>
      <w:lang w:val="fr-FR" w:eastAsia="en-US"/>
    </w:rPr>
  </w:style>
  <w:style w:type="paragraph" w:customStyle="1" w:styleId="RA">
    <w:name w:val="RA"/>
    <w:basedOn w:val="TableNo"/>
    <w:rsid w:val="00BF7FF4"/>
    <w:rPr>
      <w:rFonts w:asciiTheme="majorBidi" w:hAnsiTheme="majorBidi" w:cstheme="majorBidi"/>
      <w:lang w:val="en-US"/>
    </w:rPr>
  </w:style>
  <w:style w:type="paragraph" w:customStyle="1" w:styleId="Reasons">
    <w:name w:val="Reasons"/>
    <w:basedOn w:val="Normal"/>
    <w:qFormat/>
    <w:rsid w:val="00BF7FF4"/>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BF7FF4"/>
    <w:rPr>
      <w:sz w:val="24"/>
      <w:lang w:val="fr-FR" w:eastAsia="en-US"/>
    </w:rPr>
  </w:style>
  <w:style w:type="character" w:styleId="PlaceholderText">
    <w:name w:val="Placeholder Text"/>
    <w:basedOn w:val="DefaultParagraphFont"/>
    <w:uiPriority w:val="99"/>
    <w:semiHidden/>
    <w:rsid w:val="0052498F"/>
    <w:rPr>
      <w:color w:val="808080"/>
    </w:rPr>
  </w:style>
  <w:style w:type="paragraph" w:styleId="BalloonText">
    <w:name w:val="Balloon Text"/>
    <w:basedOn w:val="Normal"/>
    <w:link w:val="BalloonTextChar"/>
    <w:rsid w:val="0052498F"/>
    <w:pPr>
      <w:spacing w:before="0"/>
    </w:pPr>
    <w:rPr>
      <w:rFonts w:ascii="Tahoma" w:hAnsi="Tahoma" w:cs="Tahoma"/>
      <w:sz w:val="16"/>
      <w:szCs w:val="16"/>
    </w:rPr>
  </w:style>
  <w:style w:type="character" w:customStyle="1" w:styleId="BalloonTextChar">
    <w:name w:val="Balloon Text Char"/>
    <w:basedOn w:val="DefaultParagraphFont"/>
    <w:link w:val="BalloonText"/>
    <w:rsid w:val="0052498F"/>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9A7BA-5EEF-4120-9C6A-CF587A4AF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145</TotalTime>
  <Pages>5</Pages>
  <Words>1413</Words>
  <Characters>7474</Characters>
  <Application>Microsoft Office Word</Application>
  <DocSecurity>0</DocSecurity>
  <Lines>207</Lines>
  <Paragraphs>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16</cp:revision>
  <cp:lastPrinted>2012-07-10T07:48:00Z</cp:lastPrinted>
  <dcterms:created xsi:type="dcterms:W3CDTF">2012-07-09T13:25:00Z</dcterms:created>
  <dcterms:modified xsi:type="dcterms:W3CDTF">2012-07-10T08:40:00Z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