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572" w:rsidRPr="00A07150" w:rsidRDefault="000A7572">
      <w:pPr>
        <w:rPr>
          <w:lang w:val="fr-CH"/>
        </w:rPr>
      </w:pPr>
      <w:bookmarkStart w:id="0" w:name="_GoBack"/>
      <w:bookmarkEnd w:id="0"/>
    </w:p>
    <w:p w:rsidR="000A7572" w:rsidRPr="00A07150" w:rsidRDefault="000A7572">
      <w:pPr>
        <w:rPr>
          <w:lang w:val="fr-CH"/>
        </w:rPr>
      </w:pPr>
    </w:p>
    <w:p w:rsidR="000A7572" w:rsidRPr="00A07150" w:rsidRDefault="000A7572">
      <w:pPr>
        <w:rPr>
          <w:lang w:val="fr-CH"/>
        </w:rPr>
      </w:pPr>
    </w:p>
    <w:p w:rsidR="000A7572" w:rsidRPr="00A07150" w:rsidRDefault="000A7572">
      <w:pPr>
        <w:rPr>
          <w:lang w:val="fr-CH"/>
        </w:rPr>
      </w:pPr>
    </w:p>
    <w:p w:rsidR="000A7572" w:rsidRPr="00A07150" w:rsidRDefault="000A7572">
      <w:pPr>
        <w:rPr>
          <w:lang w:val="fr-CH"/>
        </w:rPr>
      </w:pPr>
    </w:p>
    <w:p w:rsidR="000A7572" w:rsidRPr="00A07150" w:rsidRDefault="000A7572">
      <w:pPr>
        <w:rPr>
          <w:lang w:val="fr-CH"/>
        </w:rPr>
      </w:pPr>
    </w:p>
    <w:p w:rsidR="000A7572" w:rsidRPr="00A07150" w:rsidRDefault="000A7572">
      <w:pPr>
        <w:rPr>
          <w:lang w:val="fr-CH"/>
        </w:rPr>
      </w:pPr>
    </w:p>
    <w:p w:rsidR="000A7572" w:rsidRPr="00A07150" w:rsidRDefault="000A7572">
      <w:pPr>
        <w:rPr>
          <w:lang w:val="fr-CH"/>
        </w:rPr>
      </w:pPr>
    </w:p>
    <w:p w:rsidR="000A7572" w:rsidRPr="00A07150" w:rsidRDefault="000A7572">
      <w:pPr>
        <w:rPr>
          <w:lang w:val="fr-CH"/>
        </w:rPr>
      </w:pPr>
    </w:p>
    <w:p w:rsidR="000A7572" w:rsidRPr="00A07150" w:rsidRDefault="000A7572">
      <w:pPr>
        <w:rPr>
          <w:lang w:val="fr-CH"/>
        </w:rPr>
      </w:pPr>
    </w:p>
    <w:p w:rsidR="000A7572" w:rsidRPr="00A07150" w:rsidRDefault="000A7572">
      <w:pPr>
        <w:rPr>
          <w:lang w:val="fr-CH"/>
        </w:rPr>
      </w:pPr>
    </w:p>
    <w:p w:rsidR="000A7572" w:rsidRPr="00A07150" w:rsidRDefault="000A7572">
      <w:pPr>
        <w:rPr>
          <w:lang w:val="fr-CH"/>
        </w:rPr>
      </w:pPr>
    </w:p>
    <w:tbl>
      <w:tblPr>
        <w:tblW w:w="10089" w:type="dxa"/>
        <w:tblLook w:val="01E0" w:firstRow="1" w:lastRow="1" w:firstColumn="1" w:lastColumn="1" w:noHBand="0" w:noVBand="0"/>
      </w:tblPr>
      <w:tblGrid>
        <w:gridCol w:w="10089"/>
      </w:tblGrid>
      <w:tr w:rsidR="000A7572" w:rsidRPr="00A07150">
        <w:tc>
          <w:tcPr>
            <w:tcW w:w="10089" w:type="dxa"/>
          </w:tcPr>
          <w:p w:rsidR="000A7572" w:rsidRPr="00A07150" w:rsidRDefault="000A7572" w:rsidP="00013002">
            <w:pPr>
              <w:spacing w:before="380" w:line="280" w:lineRule="exact"/>
              <w:jc w:val="right"/>
              <w:rPr>
                <w:rFonts w:ascii="Tahoma" w:hAnsi="Tahoma" w:cs="Tahoma"/>
                <w:b/>
                <w:bCs/>
                <w:iCs/>
                <w:color w:val="243285"/>
                <w:sz w:val="32"/>
                <w:szCs w:val="32"/>
                <w:lang w:val="fr-CH"/>
              </w:rPr>
            </w:pPr>
          </w:p>
          <w:p w:rsidR="000A7572" w:rsidRPr="00A07150" w:rsidRDefault="000A7572" w:rsidP="005B35CF">
            <w:pPr>
              <w:spacing w:before="380" w:line="280" w:lineRule="exact"/>
              <w:jc w:val="right"/>
              <w:rPr>
                <w:rFonts w:ascii="Tahoma" w:hAnsi="Tahoma" w:cs="Tahoma"/>
                <w:b/>
                <w:bCs/>
                <w:iCs/>
                <w:color w:val="243285"/>
                <w:sz w:val="36"/>
                <w:szCs w:val="36"/>
                <w:lang w:val="fr-CH"/>
              </w:rPr>
            </w:pPr>
            <w:r w:rsidRPr="00A07150">
              <w:rPr>
                <w:rFonts w:ascii="Tahoma" w:hAnsi="Tahoma" w:cs="Tahoma"/>
                <w:b/>
                <w:bCs/>
                <w:iCs/>
                <w:color w:val="243285"/>
                <w:sz w:val="36"/>
                <w:szCs w:val="36"/>
                <w:lang w:val="fr-CH"/>
              </w:rPr>
              <w:t>Recommandation  UIT-R  BO.</w:t>
            </w:r>
            <w:r w:rsidR="005B35CF" w:rsidRPr="00A07150">
              <w:rPr>
                <w:rFonts w:ascii="Tahoma" w:hAnsi="Tahoma" w:cs="Tahoma"/>
                <w:b/>
                <w:bCs/>
                <w:iCs/>
                <w:color w:val="243285"/>
                <w:sz w:val="36"/>
                <w:szCs w:val="36"/>
                <w:lang w:val="fr-CH"/>
              </w:rPr>
              <w:t>1776-1</w:t>
            </w:r>
          </w:p>
          <w:p w:rsidR="000A7572" w:rsidRPr="00A07150" w:rsidRDefault="000A7572" w:rsidP="00FE79FE">
            <w:pPr>
              <w:spacing w:before="80" w:line="280" w:lineRule="exact"/>
              <w:jc w:val="right"/>
              <w:rPr>
                <w:rFonts w:ascii="Tahoma" w:hAnsi="Tahoma" w:cs="Tahoma"/>
                <w:b/>
                <w:bCs/>
                <w:iCs/>
                <w:color w:val="243285"/>
                <w:szCs w:val="24"/>
                <w:lang w:val="fr-CH"/>
              </w:rPr>
            </w:pPr>
            <w:r w:rsidRPr="00A07150">
              <w:rPr>
                <w:rFonts w:ascii="Tahoma" w:hAnsi="Tahoma" w:cs="Tahoma"/>
                <w:b/>
                <w:bCs/>
                <w:iCs/>
                <w:color w:val="243285"/>
                <w:szCs w:val="24"/>
                <w:lang w:val="fr-CH"/>
              </w:rPr>
              <w:t>(</w:t>
            </w:r>
            <w:r w:rsidR="005B35CF" w:rsidRPr="00A07150">
              <w:rPr>
                <w:rFonts w:ascii="Tahoma" w:hAnsi="Tahoma" w:cs="Tahoma"/>
                <w:b/>
                <w:bCs/>
                <w:iCs/>
                <w:color w:val="243285"/>
                <w:szCs w:val="24"/>
                <w:lang w:val="fr-CH"/>
              </w:rPr>
              <w:t>01/2012</w:t>
            </w:r>
            <w:r w:rsidRPr="00A07150">
              <w:rPr>
                <w:rFonts w:ascii="Tahoma" w:hAnsi="Tahoma" w:cs="Tahoma"/>
                <w:b/>
                <w:bCs/>
                <w:iCs/>
                <w:color w:val="243285"/>
                <w:szCs w:val="24"/>
                <w:lang w:val="fr-CH"/>
              </w:rPr>
              <w:t>)</w:t>
            </w:r>
          </w:p>
        </w:tc>
      </w:tr>
      <w:tr w:rsidR="000A7572" w:rsidRPr="00A07150">
        <w:tc>
          <w:tcPr>
            <w:tcW w:w="10089" w:type="dxa"/>
          </w:tcPr>
          <w:p w:rsidR="000A7572" w:rsidRPr="00A07150" w:rsidRDefault="000A7572" w:rsidP="00123FD5">
            <w:pPr>
              <w:spacing w:before="80" w:line="500" w:lineRule="exact"/>
              <w:jc w:val="right"/>
              <w:rPr>
                <w:rFonts w:ascii="Tahoma" w:hAnsi="Tahoma" w:cs="Tahoma"/>
                <w:b/>
                <w:bCs/>
                <w:iCs/>
                <w:color w:val="243285"/>
                <w:sz w:val="44"/>
                <w:szCs w:val="44"/>
                <w:lang w:val="fr-CH"/>
              </w:rPr>
            </w:pPr>
          </w:p>
          <w:p w:rsidR="000A7572" w:rsidRPr="00A07150" w:rsidRDefault="005B35CF" w:rsidP="005B35CF">
            <w:pPr>
              <w:spacing w:before="80" w:line="500" w:lineRule="exact"/>
              <w:jc w:val="right"/>
              <w:rPr>
                <w:rFonts w:ascii="Tahoma" w:hAnsi="Tahoma" w:cs="Tahoma"/>
                <w:b/>
                <w:bCs/>
                <w:iCs/>
                <w:color w:val="243285"/>
                <w:sz w:val="44"/>
                <w:szCs w:val="44"/>
                <w:lang w:val="fr-CH"/>
              </w:rPr>
            </w:pPr>
            <w:r w:rsidRPr="00A07150">
              <w:rPr>
                <w:rFonts w:ascii="Tahoma" w:hAnsi="Tahoma" w:cs="Tahoma"/>
                <w:b/>
                <w:bCs/>
                <w:color w:val="243285"/>
                <w:sz w:val="44"/>
                <w:szCs w:val="44"/>
                <w:lang w:val="fr-CH"/>
              </w:rPr>
              <w:t xml:space="preserve">Puissance surfacique maximale pour le service de radiodiffusion par satellite dans la bande 21,4-22,0 GHz dans les </w:t>
            </w:r>
            <w:r w:rsidRPr="00A07150">
              <w:rPr>
                <w:rFonts w:ascii="Tahoma" w:hAnsi="Tahoma" w:cs="Tahoma"/>
                <w:b/>
                <w:bCs/>
                <w:color w:val="243285"/>
                <w:sz w:val="44"/>
                <w:szCs w:val="44"/>
                <w:lang w:val="fr-CH"/>
              </w:rPr>
              <w:br/>
              <w:t>Régions 1 et 3</w:t>
            </w:r>
          </w:p>
        </w:tc>
      </w:tr>
      <w:tr w:rsidR="000A7572" w:rsidRPr="00A07150">
        <w:tc>
          <w:tcPr>
            <w:tcW w:w="10089" w:type="dxa"/>
          </w:tcPr>
          <w:p w:rsidR="000A7572" w:rsidRPr="00A07150" w:rsidRDefault="000A7572" w:rsidP="00AD267B">
            <w:pPr>
              <w:spacing w:before="80" w:line="280" w:lineRule="exact"/>
              <w:ind w:right="640"/>
              <w:rPr>
                <w:rFonts w:ascii="Tahoma" w:hAnsi="Tahoma" w:cs="Tahoma"/>
                <w:b/>
                <w:bCs/>
                <w:iCs/>
                <w:color w:val="243285"/>
                <w:sz w:val="32"/>
                <w:szCs w:val="32"/>
                <w:lang w:val="fr-CH"/>
              </w:rPr>
            </w:pPr>
          </w:p>
          <w:p w:rsidR="000A7572" w:rsidRPr="00A07150" w:rsidRDefault="000A7572" w:rsidP="00AD267B">
            <w:pPr>
              <w:spacing w:before="80" w:line="280" w:lineRule="exact"/>
              <w:ind w:right="640"/>
              <w:rPr>
                <w:rFonts w:ascii="Tahoma" w:hAnsi="Tahoma" w:cs="Tahoma"/>
                <w:b/>
                <w:bCs/>
                <w:iCs/>
                <w:color w:val="243285"/>
                <w:sz w:val="32"/>
                <w:szCs w:val="32"/>
                <w:lang w:val="fr-CH"/>
              </w:rPr>
            </w:pPr>
          </w:p>
          <w:p w:rsidR="000A7572" w:rsidRPr="00A07150" w:rsidRDefault="000A7572" w:rsidP="004A4D65">
            <w:pPr>
              <w:spacing w:before="80" w:after="180" w:line="360" w:lineRule="exact"/>
              <w:ind w:right="720"/>
              <w:rPr>
                <w:rFonts w:ascii="Tahoma" w:hAnsi="Tahoma" w:cs="Tahoma"/>
                <w:b/>
                <w:bCs/>
                <w:iCs/>
                <w:color w:val="243285"/>
                <w:sz w:val="36"/>
                <w:szCs w:val="36"/>
                <w:lang w:val="fr-CH"/>
              </w:rPr>
            </w:pPr>
          </w:p>
          <w:p w:rsidR="000A7572" w:rsidRPr="00A07150" w:rsidRDefault="000A7572" w:rsidP="00B21066">
            <w:pPr>
              <w:spacing w:before="80" w:after="180" w:line="360" w:lineRule="exact"/>
              <w:jc w:val="right"/>
              <w:rPr>
                <w:rFonts w:ascii="Tahoma" w:hAnsi="Tahoma" w:cs="Tahoma"/>
                <w:b/>
                <w:bCs/>
                <w:iCs/>
                <w:color w:val="243285"/>
                <w:sz w:val="36"/>
                <w:szCs w:val="36"/>
                <w:lang w:val="fr-CH"/>
              </w:rPr>
            </w:pPr>
            <w:r w:rsidRPr="00A07150">
              <w:rPr>
                <w:rFonts w:ascii="Tahoma" w:hAnsi="Tahoma" w:cs="Tahoma"/>
                <w:b/>
                <w:bCs/>
                <w:iCs/>
                <w:color w:val="243285"/>
                <w:sz w:val="36"/>
                <w:szCs w:val="36"/>
                <w:lang w:val="fr-CH"/>
              </w:rPr>
              <w:t>Série BO</w:t>
            </w:r>
          </w:p>
          <w:p w:rsidR="000A7572" w:rsidRPr="00A07150" w:rsidRDefault="000A7572" w:rsidP="00AD267B">
            <w:pPr>
              <w:spacing w:before="80" w:line="420" w:lineRule="exact"/>
              <w:jc w:val="right"/>
              <w:rPr>
                <w:rFonts w:ascii="Tahoma" w:hAnsi="Tahoma" w:cs="Tahoma"/>
                <w:b/>
                <w:bCs/>
                <w:iCs/>
                <w:color w:val="243285"/>
                <w:sz w:val="36"/>
                <w:szCs w:val="36"/>
                <w:lang w:val="fr-CH"/>
              </w:rPr>
            </w:pPr>
            <w:r w:rsidRPr="00A07150">
              <w:rPr>
                <w:rFonts w:ascii="Tahoma" w:hAnsi="Tahoma" w:cs="Tahoma"/>
                <w:b/>
                <w:bCs/>
                <w:iCs/>
                <w:color w:val="243285"/>
                <w:sz w:val="36"/>
                <w:szCs w:val="36"/>
                <w:lang w:val="fr-CH"/>
              </w:rPr>
              <w:t>Diffusion par satellite</w:t>
            </w:r>
          </w:p>
        </w:tc>
      </w:tr>
    </w:tbl>
    <w:p w:rsidR="000A7572" w:rsidRPr="00A07150" w:rsidRDefault="000A7572" w:rsidP="00CD659B">
      <w:pPr>
        <w:spacing w:before="80"/>
        <w:rPr>
          <w:i/>
          <w:sz w:val="22"/>
          <w:lang w:val="fr-CH"/>
        </w:rPr>
      </w:pPr>
    </w:p>
    <w:p w:rsidR="000A7572" w:rsidRPr="00A07150" w:rsidRDefault="000A7572" w:rsidP="00CD659B">
      <w:pPr>
        <w:spacing w:before="80"/>
        <w:rPr>
          <w:i/>
          <w:sz w:val="22"/>
          <w:lang w:val="fr-CH"/>
        </w:rPr>
      </w:pPr>
    </w:p>
    <w:p w:rsidR="000A7572" w:rsidRPr="00A07150" w:rsidRDefault="000A7572" w:rsidP="00CD659B">
      <w:pPr>
        <w:spacing w:before="80"/>
        <w:rPr>
          <w:i/>
          <w:sz w:val="22"/>
          <w:lang w:val="fr-CH"/>
        </w:rPr>
      </w:pPr>
    </w:p>
    <w:p w:rsidR="000A7572" w:rsidRPr="00A07150" w:rsidRDefault="000A7572" w:rsidP="00CD659B">
      <w:pPr>
        <w:spacing w:before="80"/>
        <w:rPr>
          <w:i/>
          <w:sz w:val="22"/>
          <w:lang w:val="fr-CH"/>
        </w:rPr>
      </w:pPr>
    </w:p>
    <w:p w:rsidR="000A7572" w:rsidRPr="00A07150" w:rsidRDefault="000A7572" w:rsidP="00CD659B">
      <w:pPr>
        <w:spacing w:before="80"/>
        <w:rPr>
          <w:i/>
          <w:sz w:val="22"/>
          <w:lang w:val="fr-CH"/>
        </w:rPr>
      </w:pPr>
    </w:p>
    <w:p w:rsidR="000A7572" w:rsidRPr="00A07150" w:rsidRDefault="000A7572" w:rsidP="00CD659B">
      <w:pPr>
        <w:spacing w:before="80"/>
        <w:rPr>
          <w:i/>
          <w:sz w:val="22"/>
          <w:lang w:val="fr-CH"/>
        </w:rPr>
      </w:pPr>
    </w:p>
    <w:p w:rsidR="000A7572" w:rsidRPr="00A07150" w:rsidRDefault="000A7572" w:rsidP="00CD659B">
      <w:pPr>
        <w:pStyle w:val="Equation"/>
        <w:tabs>
          <w:tab w:val="clear" w:pos="4820"/>
          <w:tab w:val="clear" w:pos="9639"/>
          <w:tab w:val="left" w:pos="1191"/>
          <w:tab w:val="left" w:pos="1588"/>
          <w:tab w:val="left" w:pos="1985"/>
        </w:tabs>
        <w:rPr>
          <w:rFonts w:ascii="Palatino Linotype" w:hAnsi="Palatino Linotype"/>
          <w:lang w:val="fr-CH"/>
        </w:rPr>
        <w:sectPr w:rsidR="000A7572" w:rsidRPr="00A07150" w:rsidSect="004030AF">
          <w:headerReference w:type="even" r:id="rId7"/>
          <w:headerReference w:type="default" r:id="rId8"/>
          <w:pgSz w:w="11907" w:h="16834" w:code="9"/>
          <w:pgMar w:top="1418" w:right="1134" w:bottom="1134" w:left="1134" w:header="720" w:footer="482" w:gutter="0"/>
          <w:paperSrc w:first="15" w:other="15"/>
          <w:cols w:space="720"/>
        </w:sectPr>
      </w:pPr>
    </w:p>
    <w:p w:rsidR="000A7572" w:rsidRPr="00A07150" w:rsidRDefault="000A7572"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A07150">
        <w:rPr>
          <w:bCs/>
          <w:sz w:val="24"/>
          <w:szCs w:val="24"/>
          <w:lang w:val="fr-CH"/>
        </w:rPr>
        <w:lastRenderedPageBreak/>
        <w:t>Avant-propos</w:t>
      </w:r>
    </w:p>
    <w:p w:rsidR="000A7572" w:rsidRPr="00A07150" w:rsidRDefault="000A7572" w:rsidP="00F54FBD">
      <w:pPr>
        <w:spacing w:before="240"/>
        <w:rPr>
          <w:sz w:val="20"/>
          <w:lang w:val="fr-CH"/>
        </w:rPr>
      </w:pPr>
      <w:r w:rsidRPr="00A07150">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A7572" w:rsidRPr="00A07150" w:rsidRDefault="000A7572" w:rsidP="00F54FBD">
      <w:pPr>
        <w:rPr>
          <w:sz w:val="20"/>
          <w:lang w:val="fr-CH"/>
        </w:rPr>
      </w:pPr>
      <w:r w:rsidRPr="00A07150">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0A7572" w:rsidRPr="00A07150" w:rsidRDefault="000A7572" w:rsidP="00614CC6">
      <w:pPr>
        <w:pStyle w:val="Heading1"/>
        <w:spacing w:before="360"/>
        <w:jc w:val="center"/>
        <w:rPr>
          <w:szCs w:val="24"/>
          <w:lang w:val="fr-CH"/>
        </w:rPr>
      </w:pPr>
      <w:r w:rsidRPr="00A07150">
        <w:rPr>
          <w:szCs w:val="24"/>
          <w:lang w:val="fr-CH"/>
        </w:rPr>
        <w:t>Politique en matière de droits de propriété intellectuelle (IPR)</w:t>
      </w:r>
    </w:p>
    <w:p w:rsidR="000A7572" w:rsidRPr="00A07150" w:rsidRDefault="000A7572" w:rsidP="00E44CBB">
      <w:pPr>
        <w:spacing w:before="240"/>
        <w:rPr>
          <w:sz w:val="20"/>
          <w:lang w:val="fr-CH"/>
        </w:rPr>
      </w:pPr>
      <w:r w:rsidRPr="00A07150">
        <w:rPr>
          <w:sz w:val="20"/>
          <w:lang w:val="fr-CH"/>
        </w:rPr>
        <w:t>La politique de l'UIT</w:t>
      </w:r>
      <w:r w:rsidRPr="00A07150">
        <w:rPr>
          <w:sz w:val="20"/>
          <w:lang w:val="fr-CH"/>
        </w:rPr>
        <w:noBreakHyphen/>
        <w:t>R en matière de droits de propriété intellectuelle est décrite dans la «Politique commune de l'UIT</w:t>
      </w:r>
      <w:r w:rsidRPr="00A07150">
        <w:rPr>
          <w:sz w:val="20"/>
          <w:lang w:val="fr-CH"/>
        </w:rPr>
        <w:noBreakHyphen/>
        <w:t>T, l'UIT</w:t>
      </w:r>
      <w:r w:rsidRPr="00A07150">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A07150">
          <w:rPr>
            <w:rStyle w:val="Hyperlink"/>
            <w:sz w:val="20"/>
            <w:lang w:val="fr-CH"/>
          </w:rPr>
          <w:t>http://www.itu.int/ITU-R/go/patents/fr</w:t>
        </w:r>
      </w:hyperlink>
      <w:r w:rsidRPr="00A07150">
        <w:rPr>
          <w:sz w:val="20"/>
          <w:lang w:val="fr-CH"/>
        </w:rPr>
        <w:t>, où l'on trouvera également les Lignes directrices pour la mise en oeuvre de la politique commune en matière de brevets de l'UIT</w:t>
      </w:r>
      <w:r w:rsidRPr="00A07150">
        <w:rPr>
          <w:sz w:val="20"/>
          <w:lang w:val="fr-CH"/>
        </w:rPr>
        <w:noBreakHyphen/>
        <w:t>T, l'UIT</w:t>
      </w:r>
      <w:r w:rsidRPr="00A07150">
        <w:rPr>
          <w:sz w:val="20"/>
          <w:lang w:val="fr-CH"/>
        </w:rPr>
        <w:noBreakHyphen/>
        <w:t>R, l'ISO et la CEI</w:t>
      </w:r>
      <w:r w:rsidRPr="00A07150" w:rsidDel="0061025C">
        <w:rPr>
          <w:sz w:val="20"/>
          <w:lang w:val="fr-CH"/>
        </w:rPr>
        <w:t xml:space="preserve"> </w:t>
      </w:r>
      <w:r w:rsidRPr="00A07150">
        <w:rPr>
          <w:sz w:val="20"/>
          <w:lang w:val="fr-CH"/>
        </w:rPr>
        <w:t>et la base de données en matière de brevets de l'UIT-R.</w:t>
      </w:r>
    </w:p>
    <w:p w:rsidR="000A7572" w:rsidRPr="00A07150" w:rsidRDefault="000A7572"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A7572" w:rsidRPr="00A07150">
        <w:tc>
          <w:tcPr>
            <w:tcW w:w="9360" w:type="dxa"/>
            <w:gridSpan w:val="2"/>
          </w:tcPr>
          <w:p w:rsidR="000A7572" w:rsidRPr="00A07150" w:rsidRDefault="000A7572"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A07150">
              <w:rPr>
                <w:sz w:val="22"/>
                <w:szCs w:val="22"/>
                <w:lang w:val="fr-CH"/>
              </w:rPr>
              <w:t xml:space="preserve">Séries des Recommandations UIT-R </w:t>
            </w:r>
          </w:p>
          <w:p w:rsidR="000A7572" w:rsidRPr="00A07150" w:rsidRDefault="000A7572"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A07150">
              <w:rPr>
                <w:b w:val="0"/>
                <w:sz w:val="18"/>
                <w:szCs w:val="18"/>
                <w:lang w:val="fr-CH"/>
              </w:rPr>
              <w:t xml:space="preserve">(Egalement disponible en ligne: </w:t>
            </w:r>
            <w:hyperlink r:id="rId10" w:history="1">
              <w:r w:rsidRPr="00A07150">
                <w:rPr>
                  <w:rStyle w:val="Hyperlink"/>
                  <w:b w:val="0"/>
                  <w:bCs/>
                  <w:sz w:val="18"/>
                  <w:szCs w:val="18"/>
                  <w:lang w:val="fr-CH"/>
                </w:rPr>
                <w:t>http://www.itu.int/publ/R-REC/fr</w:t>
              </w:r>
            </w:hyperlink>
            <w:r w:rsidRPr="00A07150">
              <w:rPr>
                <w:b w:val="0"/>
                <w:bCs/>
                <w:sz w:val="18"/>
                <w:szCs w:val="18"/>
                <w:lang w:val="fr-CH"/>
              </w:rPr>
              <w:t>)</w:t>
            </w:r>
          </w:p>
        </w:tc>
      </w:tr>
      <w:tr w:rsidR="000A7572" w:rsidRPr="00A07150" w:rsidTr="00B21066">
        <w:tc>
          <w:tcPr>
            <w:tcW w:w="1140" w:type="dxa"/>
            <w:tcBorders>
              <w:bottom w:val="nil"/>
            </w:tcBorders>
          </w:tcPr>
          <w:p w:rsidR="000A7572" w:rsidRPr="00A07150" w:rsidRDefault="000A7572" w:rsidP="00614CC6">
            <w:pPr>
              <w:spacing w:before="90" w:after="100"/>
              <w:ind w:left="57"/>
              <w:rPr>
                <w:b/>
                <w:bCs/>
                <w:sz w:val="20"/>
                <w:lang w:val="fr-CH"/>
              </w:rPr>
            </w:pPr>
            <w:r w:rsidRPr="00A07150">
              <w:rPr>
                <w:b/>
                <w:bCs/>
                <w:sz w:val="20"/>
                <w:lang w:val="fr-CH"/>
              </w:rPr>
              <w:t>Séries</w:t>
            </w:r>
          </w:p>
        </w:tc>
        <w:tc>
          <w:tcPr>
            <w:tcW w:w="8220" w:type="dxa"/>
            <w:tcBorders>
              <w:bottom w:val="nil"/>
            </w:tcBorders>
          </w:tcPr>
          <w:p w:rsidR="000A7572" w:rsidRPr="00A07150" w:rsidRDefault="000A7572"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A07150">
              <w:rPr>
                <w:bCs/>
                <w:sz w:val="20"/>
                <w:lang w:val="fr-CH"/>
              </w:rPr>
              <w:t>Titre</w:t>
            </w:r>
          </w:p>
        </w:tc>
      </w:tr>
      <w:tr w:rsidR="000A7572" w:rsidRPr="00A07150" w:rsidTr="00B21066">
        <w:tc>
          <w:tcPr>
            <w:tcW w:w="1140" w:type="dxa"/>
            <w:tcBorders>
              <w:top w:val="nil"/>
              <w:bottom w:val="nil"/>
            </w:tcBorders>
            <w:shd w:val="clear" w:color="auto" w:fill="F3F3F3"/>
          </w:tcPr>
          <w:p w:rsidR="000A7572" w:rsidRPr="00A07150" w:rsidRDefault="000A7572" w:rsidP="00F336CC">
            <w:pPr>
              <w:spacing w:before="30" w:after="30"/>
              <w:ind w:left="57"/>
              <w:jc w:val="left"/>
              <w:rPr>
                <w:b/>
                <w:bCs/>
                <w:color w:val="000080"/>
                <w:sz w:val="20"/>
                <w:lang w:val="fr-CH"/>
              </w:rPr>
            </w:pPr>
            <w:r w:rsidRPr="00A07150">
              <w:rPr>
                <w:b/>
                <w:bCs/>
                <w:color w:val="000080"/>
                <w:sz w:val="20"/>
                <w:lang w:val="fr-CH"/>
              </w:rPr>
              <w:t>BO</w:t>
            </w:r>
          </w:p>
        </w:tc>
        <w:tc>
          <w:tcPr>
            <w:tcW w:w="8220" w:type="dxa"/>
            <w:tcBorders>
              <w:top w:val="nil"/>
              <w:bottom w:val="nil"/>
            </w:tcBorders>
            <w:shd w:val="clear" w:color="auto" w:fill="F3F3F3"/>
          </w:tcPr>
          <w:p w:rsidR="000A7572" w:rsidRPr="00A07150" w:rsidRDefault="000A7572"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A07150">
              <w:rPr>
                <w:bCs/>
                <w:color w:val="000080"/>
                <w:sz w:val="20"/>
                <w:lang w:val="fr-CH"/>
              </w:rPr>
              <w:t>Diffusion par satellite</w:t>
            </w:r>
          </w:p>
        </w:tc>
      </w:tr>
      <w:tr w:rsidR="000A7572" w:rsidRPr="00A07150" w:rsidTr="00B21066">
        <w:tc>
          <w:tcPr>
            <w:tcW w:w="1140" w:type="dxa"/>
            <w:tcBorders>
              <w:top w:val="nil"/>
            </w:tcBorders>
          </w:tcPr>
          <w:p w:rsidR="000A7572" w:rsidRPr="00A07150" w:rsidRDefault="000A7572" w:rsidP="00F336CC">
            <w:pPr>
              <w:spacing w:before="30" w:after="30"/>
              <w:ind w:left="57"/>
              <w:jc w:val="left"/>
              <w:rPr>
                <w:b/>
                <w:bCs/>
                <w:sz w:val="20"/>
                <w:lang w:val="fr-CH"/>
              </w:rPr>
            </w:pPr>
            <w:r w:rsidRPr="00A07150">
              <w:rPr>
                <w:b/>
                <w:bCs/>
                <w:sz w:val="20"/>
                <w:lang w:val="fr-CH"/>
              </w:rPr>
              <w:t>BR</w:t>
            </w:r>
          </w:p>
        </w:tc>
        <w:tc>
          <w:tcPr>
            <w:tcW w:w="8220" w:type="dxa"/>
            <w:tcBorders>
              <w:top w:val="nil"/>
            </w:tcBorders>
          </w:tcPr>
          <w:p w:rsidR="000A7572" w:rsidRPr="00A07150" w:rsidRDefault="000A7572"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07150">
              <w:rPr>
                <w:b w:val="0"/>
                <w:bCs/>
                <w:sz w:val="20"/>
                <w:lang w:val="fr-CH"/>
              </w:rPr>
              <w:t>Enregistrement pour la production, l'archivage et la diffusion; films pour la télévision</w:t>
            </w:r>
          </w:p>
        </w:tc>
      </w:tr>
      <w:tr w:rsidR="000A7572" w:rsidRPr="00A07150">
        <w:tc>
          <w:tcPr>
            <w:tcW w:w="1140" w:type="dxa"/>
          </w:tcPr>
          <w:p w:rsidR="000A7572" w:rsidRPr="00A07150" w:rsidRDefault="000A7572" w:rsidP="00F336CC">
            <w:pPr>
              <w:spacing w:before="30" w:after="30"/>
              <w:ind w:left="57"/>
              <w:jc w:val="left"/>
              <w:rPr>
                <w:b/>
                <w:bCs/>
                <w:sz w:val="20"/>
                <w:lang w:val="fr-CH"/>
              </w:rPr>
            </w:pPr>
            <w:r w:rsidRPr="00A07150">
              <w:rPr>
                <w:b/>
                <w:bCs/>
                <w:sz w:val="20"/>
                <w:lang w:val="fr-CH"/>
              </w:rPr>
              <w:t>BS</w:t>
            </w:r>
          </w:p>
        </w:tc>
        <w:tc>
          <w:tcPr>
            <w:tcW w:w="8220" w:type="dxa"/>
          </w:tcPr>
          <w:p w:rsidR="000A7572" w:rsidRPr="00A07150" w:rsidRDefault="000A7572"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07150">
              <w:rPr>
                <w:b w:val="0"/>
                <w:bCs/>
                <w:sz w:val="20"/>
                <w:lang w:val="fr-CH"/>
              </w:rPr>
              <w:t>Service de radiodiffusion sonore</w:t>
            </w:r>
          </w:p>
        </w:tc>
      </w:tr>
      <w:tr w:rsidR="000A7572" w:rsidRPr="00A07150">
        <w:tc>
          <w:tcPr>
            <w:tcW w:w="1140" w:type="dxa"/>
            <w:shd w:val="clear" w:color="auto" w:fill="auto"/>
          </w:tcPr>
          <w:p w:rsidR="000A7572" w:rsidRPr="00A07150" w:rsidRDefault="000A7572" w:rsidP="00F336CC">
            <w:pPr>
              <w:spacing w:before="30" w:after="30"/>
              <w:ind w:left="57"/>
              <w:jc w:val="left"/>
              <w:rPr>
                <w:b/>
                <w:bCs/>
                <w:sz w:val="20"/>
                <w:lang w:val="fr-CH"/>
              </w:rPr>
            </w:pPr>
            <w:r w:rsidRPr="00A07150">
              <w:rPr>
                <w:b/>
                <w:bCs/>
                <w:sz w:val="20"/>
                <w:lang w:val="fr-CH"/>
              </w:rPr>
              <w:t>BT</w:t>
            </w:r>
          </w:p>
        </w:tc>
        <w:tc>
          <w:tcPr>
            <w:tcW w:w="8220" w:type="dxa"/>
            <w:shd w:val="clear" w:color="auto" w:fill="auto"/>
          </w:tcPr>
          <w:p w:rsidR="000A7572" w:rsidRPr="00A07150" w:rsidRDefault="000A7572"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07150">
              <w:rPr>
                <w:b w:val="0"/>
                <w:bCs/>
                <w:sz w:val="20"/>
                <w:lang w:val="fr-CH"/>
              </w:rPr>
              <w:t>Service de radiodiffusion télévisuelle</w:t>
            </w:r>
          </w:p>
        </w:tc>
      </w:tr>
      <w:tr w:rsidR="000A7572" w:rsidRPr="00A07150" w:rsidTr="00B21066">
        <w:tc>
          <w:tcPr>
            <w:tcW w:w="1140" w:type="dxa"/>
            <w:tcBorders>
              <w:bottom w:val="nil"/>
            </w:tcBorders>
            <w:shd w:val="clear" w:color="auto" w:fill="auto"/>
          </w:tcPr>
          <w:p w:rsidR="000A7572" w:rsidRPr="00A07150" w:rsidRDefault="000A7572" w:rsidP="00F336CC">
            <w:pPr>
              <w:spacing w:before="30" w:after="30"/>
              <w:ind w:left="57"/>
              <w:jc w:val="left"/>
              <w:rPr>
                <w:b/>
                <w:bCs/>
                <w:sz w:val="20"/>
                <w:lang w:val="fr-CH"/>
              </w:rPr>
            </w:pPr>
            <w:r w:rsidRPr="00A07150">
              <w:rPr>
                <w:b/>
                <w:bCs/>
                <w:sz w:val="20"/>
                <w:lang w:val="fr-CH"/>
              </w:rPr>
              <w:t>F</w:t>
            </w:r>
          </w:p>
        </w:tc>
        <w:tc>
          <w:tcPr>
            <w:tcW w:w="8220" w:type="dxa"/>
            <w:tcBorders>
              <w:bottom w:val="nil"/>
            </w:tcBorders>
            <w:shd w:val="clear" w:color="auto" w:fill="auto"/>
          </w:tcPr>
          <w:p w:rsidR="000A7572" w:rsidRPr="00A07150" w:rsidRDefault="000A7572"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07150">
              <w:rPr>
                <w:sz w:val="20"/>
                <w:lang w:val="fr-CH"/>
              </w:rPr>
              <w:t>Service fixe</w:t>
            </w:r>
          </w:p>
        </w:tc>
      </w:tr>
      <w:tr w:rsidR="000A7572" w:rsidRPr="00A07150" w:rsidTr="00B21066">
        <w:tc>
          <w:tcPr>
            <w:tcW w:w="1140" w:type="dxa"/>
            <w:tcBorders>
              <w:top w:val="nil"/>
              <w:bottom w:val="nil"/>
            </w:tcBorders>
            <w:shd w:val="clear" w:color="auto" w:fill="auto"/>
          </w:tcPr>
          <w:p w:rsidR="000A7572" w:rsidRPr="00A07150" w:rsidRDefault="000A7572" w:rsidP="00F336CC">
            <w:pPr>
              <w:spacing w:before="30" w:after="30"/>
              <w:ind w:left="57"/>
              <w:jc w:val="left"/>
              <w:rPr>
                <w:b/>
                <w:bCs/>
                <w:sz w:val="20"/>
                <w:lang w:val="fr-CH"/>
              </w:rPr>
            </w:pPr>
            <w:r w:rsidRPr="00A07150">
              <w:rPr>
                <w:b/>
                <w:bCs/>
                <w:sz w:val="20"/>
                <w:lang w:val="fr-CH"/>
              </w:rPr>
              <w:t>M</w:t>
            </w:r>
          </w:p>
        </w:tc>
        <w:tc>
          <w:tcPr>
            <w:tcW w:w="8220" w:type="dxa"/>
            <w:tcBorders>
              <w:top w:val="nil"/>
              <w:bottom w:val="nil"/>
            </w:tcBorders>
            <w:shd w:val="clear" w:color="auto" w:fill="auto"/>
          </w:tcPr>
          <w:p w:rsidR="000A7572" w:rsidRPr="00A07150" w:rsidRDefault="000A7572"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07150">
              <w:rPr>
                <w:b w:val="0"/>
                <w:sz w:val="20"/>
                <w:lang w:val="fr-CH"/>
              </w:rPr>
              <w:t>Services mobile, de radiorepérage et d'amateur y compris les services par satellite associés</w:t>
            </w:r>
          </w:p>
        </w:tc>
      </w:tr>
      <w:tr w:rsidR="000A7572" w:rsidRPr="00A07150" w:rsidTr="00B21066">
        <w:tc>
          <w:tcPr>
            <w:tcW w:w="1140" w:type="dxa"/>
            <w:tcBorders>
              <w:top w:val="nil"/>
            </w:tcBorders>
          </w:tcPr>
          <w:p w:rsidR="000A7572" w:rsidRPr="00A07150" w:rsidRDefault="000A7572" w:rsidP="00F336CC">
            <w:pPr>
              <w:spacing w:before="30" w:after="30"/>
              <w:ind w:left="57"/>
              <w:jc w:val="left"/>
              <w:rPr>
                <w:b/>
                <w:bCs/>
                <w:sz w:val="20"/>
                <w:lang w:val="fr-CH"/>
              </w:rPr>
            </w:pPr>
            <w:r w:rsidRPr="00A07150">
              <w:rPr>
                <w:b/>
                <w:bCs/>
                <w:sz w:val="20"/>
                <w:lang w:val="fr-CH"/>
              </w:rPr>
              <w:t>P</w:t>
            </w:r>
          </w:p>
        </w:tc>
        <w:tc>
          <w:tcPr>
            <w:tcW w:w="8220" w:type="dxa"/>
            <w:tcBorders>
              <w:top w:val="nil"/>
            </w:tcBorders>
          </w:tcPr>
          <w:p w:rsidR="000A7572" w:rsidRPr="00A07150" w:rsidRDefault="000A7572" w:rsidP="00F336CC">
            <w:pPr>
              <w:spacing w:before="30" w:after="30"/>
              <w:jc w:val="left"/>
              <w:rPr>
                <w:sz w:val="20"/>
                <w:lang w:val="fr-CH"/>
              </w:rPr>
            </w:pPr>
            <w:r w:rsidRPr="00A07150">
              <w:rPr>
                <w:sz w:val="20"/>
                <w:lang w:val="fr-CH"/>
              </w:rPr>
              <w:t>Propagation des ondes radioélectriques</w:t>
            </w:r>
          </w:p>
        </w:tc>
      </w:tr>
      <w:tr w:rsidR="000A7572" w:rsidRPr="00A07150">
        <w:tc>
          <w:tcPr>
            <w:tcW w:w="1140" w:type="dxa"/>
          </w:tcPr>
          <w:p w:rsidR="000A7572" w:rsidRPr="00A07150" w:rsidRDefault="000A7572" w:rsidP="00F336CC">
            <w:pPr>
              <w:spacing w:before="30" w:after="30"/>
              <w:ind w:left="57"/>
              <w:jc w:val="left"/>
              <w:rPr>
                <w:b/>
                <w:bCs/>
                <w:sz w:val="20"/>
                <w:lang w:val="fr-CH"/>
              </w:rPr>
            </w:pPr>
            <w:r w:rsidRPr="00A07150">
              <w:rPr>
                <w:b/>
                <w:bCs/>
                <w:sz w:val="20"/>
                <w:lang w:val="fr-CH"/>
              </w:rPr>
              <w:t>RA</w:t>
            </w:r>
          </w:p>
        </w:tc>
        <w:tc>
          <w:tcPr>
            <w:tcW w:w="8220" w:type="dxa"/>
          </w:tcPr>
          <w:p w:rsidR="000A7572" w:rsidRPr="00A07150" w:rsidRDefault="000A7572"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07150">
              <w:rPr>
                <w:sz w:val="20"/>
                <w:lang w:val="fr-CH"/>
              </w:rPr>
              <w:t>Radio astronomie</w:t>
            </w:r>
          </w:p>
        </w:tc>
      </w:tr>
      <w:tr w:rsidR="000A7572" w:rsidRPr="00A07150">
        <w:tc>
          <w:tcPr>
            <w:tcW w:w="1140" w:type="dxa"/>
          </w:tcPr>
          <w:p w:rsidR="000A7572" w:rsidRPr="00A07150" w:rsidRDefault="000A7572" w:rsidP="00F336CC">
            <w:pPr>
              <w:spacing w:before="30" w:after="30"/>
              <w:ind w:left="57"/>
              <w:jc w:val="left"/>
              <w:rPr>
                <w:b/>
                <w:bCs/>
                <w:sz w:val="20"/>
                <w:lang w:val="fr-CH"/>
              </w:rPr>
            </w:pPr>
            <w:r w:rsidRPr="00A07150">
              <w:rPr>
                <w:b/>
                <w:bCs/>
                <w:sz w:val="20"/>
                <w:lang w:val="fr-CH"/>
              </w:rPr>
              <w:t>RS</w:t>
            </w:r>
          </w:p>
        </w:tc>
        <w:tc>
          <w:tcPr>
            <w:tcW w:w="8220" w:type="dxa"/>
          </w:tcPr>
          <w:p w:rsidR="000A7572" w:rsidRPr="00A07150" w:rsidRDefault="000A7572"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07150">
              <w:rPr>
                <w:sz w:val="20"/>
                <w:lang w:val="fr-CH"/>
              </w:rPr>
              <w:t>Systèmes de télédétection</w:t>
            </w:r>
          </w:p>
        </w:tc>
      </w:tr>
      <w:tr w:rsidR="000A7572" w:rsidRPr="00A07150">
        <w:tc>
          <w:tcPr>
            <w:tcW w:w="1140" w:type="dxa"/>
          </w:tcPr>
          <w:p w:rsidR="000A7572" w:rsidRPr="00A07150" w:rsidRDefault="000A7572" w:rsidP="00F336CC">
            <w:pPr>
              <w:spacing w:before="30" w:after="30"/>
              <w:ind w:left="57"/>
              <w:jc w:val="left"/>
              <w:rPr>
                <w:b/>
                <w:bCs/>
                <w:sz w:val="20"/>
                <w:lang w:val="fr-CH"/>
              </w:rPr>
            </w:pPr>
            <w:r w:rsidRPr="00A07150">
              <w:rPr>
                <w:b/>
                <w:bCs/>
                <w:sz w:val="20"/>
                <w:lang w:val="fr-CH"/>
              </w:rPr>
              <w:t>S</w:t>
            </w:r>
          </w:p>
        </w:tc>
        <w:tc>
          <w:tcPr>
            <w:tcW w:w="8220" w:type="dxa"/>
          </w:tcPr>
          <w:p w:rsidR="000A7572" w:rsidRPr="00A07150" w:rsidRDefault="000A7572" w:rsidP="00F336CC">
            <w:pPr>
              <w:spacing w:before="30" w:after="30"/>
              <w:jc w:val="left"/>
              <w:rPr>
                <w:sz w:val="20"/>
                <w:lang w:val="fr-CH"/>
              </w:rPr>
            </w:pPr>
            <w:r w:rsidRPr="00A07150">
              <w:rPr>
                <w:sz w:val="20"/>
                <w:lang w:val="fr-CH"/>
              </w:rPr>
              <w:t>Service fixe par satellite</w:t>
            </w:r>
          </w:p>
        </w:tc>
      </w:tr>
      <w:tr w:rsidR="000A7572" w:rsidRPr="00A07150">
        <w:tc>
          <w:tcPr>
            <w:tcW w:w="1140" w:type="dxa"/>
          </w:tcPr>
          <w:p w:rsidR="000A7572" w:rsidRPr="00A07150" w:rsidRDefault="000A7572" w:rsidP="00F336CC">
            <w:pPr>
              <w:spacing w:before="30" w:after="30"/>
              <w:ind w:left="57"/>
              <w:jc w:val="left"/>
              <w:rPr>
                <w:b/>
                <w:bCs/>
                <w:sz w:val="20"/>
                <w:lang w:val="fr-CH"/>
              </w:rPr>
            </w:pPr>
            <w:r w:rsidRPr="00A07150">
              <w:rPr>
                <w:b/>
                <w:bCs/>
                <w:sz w:val="20"/>
                <w:lang w:val="fr-CH"/>
              </w:rPr>
              <w:t>SA</w:t>
            </w:r>
          </w:p>
        </w:tc>
        <w:tc>
          <w:tcPr>
            <w:tcW w:w="8220" w:type="dxa"/>
          </w:tcPr>
          <w:p w:rsidR="000A7572" w:rsidRPr="00A07150" w:rsidRDefault="000A7572" w:rsidP="00F336CC">
            <w:pPr>
              <w:spacing w:before="30" w:after="30"/>
              <w:jc w:val="left"/>
              <w:rPr>
                <w:sz w:val="20"/>
                <w:lang w:val="fr-CH"/>
              </w:rPr>
            </w:pPr>
            <w:r w:rsidRPr="00A07150">
              <w:rPr>
                <w:sz w:val="20"/>
                <w:lang w:val="fr-CH"/>
              </w:rPr>
              <w:t>Applications spatiales et météorologie</w:t>
            </w:r>
          </w:p>
        </w:tc>
      </w:tr>
      <w:tr w:rsidR="000A7572" w:rsidRPr="00A07150">
        <w:tc>
          <w:tcPr>
            <w:tcW w:w="1140" w:type="dxa"/>
          </w:tcPr>
          <w:p w:rsidR="000A7572" w:rsidRPr="00A07150" w:rsidRDefault="000A7572" w:rsidP="00F336CC">
            <w:pPr>
              <w:spacing w:before="30" w:after="30"/>
              <w:ind w:left="57"/>
              <w:jc w:val="left"/>
              <w:rPr>
                <w:b/>
                <w:bCs/>
                <w:sz w:val="20"/>
                <w:lang w:val="fr-CH"/>
              </w:rPr>
            </w:pPr>
            <w:r w:rsidRPr="00A07150">
              <w:rPr>
                <w:b/>
                <w:bCs/>
                <w:sz w:val="20"/>
                <w:lang w:val="fr-CH"/>
              </w:rPr>
              <w:t>SF</w:t>
            </w:r>
          </w:p>
        </w:tc>
        <w:tc>
          <w:tcPr>
            <w:tcW w:w="8220" w:type="dxa"/>
          </w:tcPr>
          <w:p w:rsidR="000A7572" w:rsidRPr="00A07150" w:rsidRDefault="000A7572" w:rsidP="00F336CC">
            <w:pPr>
              <w:spacing w:before="30" w:after="30"/>
              <w:jc w:val="left"/>
              <w:rPr>
                <w:sz w:val="20"/>
                <w:lang w:val="fr-CH"/>
              </w:rPr>
            </w:pPr>
            <w:r w:rsidRPr="00A07150">
              <w:rPr>
                <w:sz w:val="20"/>
                <w:lang w:val="fr-CH"/>
              </w:rPr>
              <w:t>Partage des fréquences et coordination entre les systèmes du service fixe par satellite et du service fixe</w:t>
            </w:r>
          </w:p>
        </w:tc>
      </w:tr>
      <w:tr w:rsidR="000A7572" w:rsidRPr="00A07150">
        <w:tc>
          <w:tcPr>
            <w:tcW w:w="1140" w:type="dxa"/>
            <w:shd w:val="clear" w:color="auto" w:fill="auto"/>
          </w:tcPr>
          <w:p w:rsidR="000A7572" w:rsidRPr="00A07150" w:rsidRDefault="000A7572" w:rsidP="00F336CC">
            <w:pPr>
              <w:spacing w:before="30" w:after="30"/>
              <w:ind w:left="57"/>
              <w:jc w:val="left"/>
              <w:rPr>
                <w:b/>
                <w:bCs/>
                <w:sz w:val="20"/>
                <w:lang w:val="fr-CH"/>
              </w:rPr>
            </w:pPr>
            <w:r w:rsidRPr="00A07150">
              <w:rPr>
                <w:b/>
                <w:bCs/>
                <w:sz w:val="20"/>
                <w:lang w:val="fr-CH"/>
              </w:rPr>
              <w:t>SM</w:t>
            </w:r>
          </w:p>
        </w:tc>
        <w:tc>
          <w:tcPr>
            <w:tcW w:w="8220" w:type="dxa"/>
            <w:shd w:val="clear" w:color="auto" w:fill="auto"/>
          </w:tcPr>
          <w:p w:rsidR="000A7572" w:rsidRPr="00A07150" w:rsidRDefault="000A7572" w:rsidP="00F336CC">
            <w:pPr>
              <w:spacing w:before="30" w:after="30"/>
              <w:jc w:val="left"/>
              <w:rPr>
                <w:sz w:val="20"/>
                <w:lang w:val="fr-CH"/>
              </w:rPr>
            </w:pPr>
            <w:r w:rsidRPr="00A07150">
              <w:rPr>
                <w:sz w:val="20"/>
                <w:lang w:val="fr-CH"/>
              </w:rPr>
              <w:t>Gestion du spectre</w:t>
            </w:r>
          </w:p>
        </w:tc>
      </w:tr>
      <w:tr w:rsidR="000A7572" w:rsidRPr="00A07150">
        <w:tc>
          <w:tcPr>
            <w:tcW w:w="1140" w:type="dxa"/>
          </w:tcPr>
          <w:p w:rsidR="000A7572" w:rsidRPr="00A07150" w:rsidRDefault="000A7572" w:rsidP="00F336CC">
            <w:pPr>
              <w:spacing w:before="30" w:after="30"/>
              <w:ind w:left="57"/>
              <w:jc w:val="left"/>
              <w:rPr>
                <w:b/>
                <w:bCs/>
                <w:sz w:val="20"/>
                <w:lang w:val="fr-CH"/>
              </w:rPr>
            </w:pPr>
            <w:r w:rsidRPr="00A07150">
              <w:rPr>
                <w:b/>
                <w:bCs/>
                <w:sz w:val="20"/>
                <w:lang w:val="fr-CH"/>
              </w:rPr>
              <w:t>SNG</w:t>
            </w:r>
          </w:p>
        </w:tc>
        <w:tc>
          <w:tcPr>
            <w:tcW w:w="8220" w:type="dxa"/>
          </w:tcPr>
          <w:p w:rsidR="000A7572" w:rsidRPr="00A07150" w:rsidRDefault="000A7572" w:rsidP="00F336CC">
            <w:pPr>
              <w:spacing w:before="30" w:after="30"/>
              <w:jc w:val="left"/>
              <w:rPr>
                <w:sz w:val="20"/>
                <w:lang w:val="fr-CH"/>
              </w:rPr>
            </w:pPr>
            <w:r w:rsidRPr="00A07150">
              <w:rPr>
                <w:sz w:val="20"/>
                <w:lang w:val="fr-CH"/>
              </w:rPr>
              <w:t>Reportage d'actualités par satellite</w:t>
            </w:r>
          </w:p>
        </w:tc>
      </w:tr>
      <w:tr w:rsidR="000A7572" w:rsidRPr="00A07150">
        <w:tc>
          <w:tcPr>
            <w:tcW w:w="1140" w:type="dxa"/>
          </w:tcPr>
          <w:p w:rsidR="000A7572" w:rsidRPr="00A07150" w:rsidRDefault="000A7572" w:rsidP="00F336CC">
            <w:pPr>
              <w:spacing w:before="30" w:after="30"/>
              <w:ind w:left="57"/>
              <w:jc w:val="left"/>
              <w:rPr>
                <w:b/>
                <w:bCs/>
                <w:sz w:val="20"/>
                <w:lang w:val="fr-CH"/>
              </w:rPr>
            </w:pPr>
            <w:r w:rsidRPr="00A07150">
              <w:rPr>
                <w:b/>
                <w:bCs/>
                <w:sz w:val="20"/>
                <w:lang w:val="fr-CH"/>
              </w:rPr>
              <w:t>TF</w:t>
            </w:r>
          </w:p>
        </w:tc>
        <w:tc>
          <w:tcPr>
            <w:tcW w:w="8220" w:type="dxa"/>
          </w:tcPr>
          <w:p w:rsidR="000A7572" w:rsidRPr="00A07150" w:rsidRDefault="000A7572" w:rsidP="00F336CC">
            <w:pPr>
              <w:spacing w:before="30" w:after="30"/>
              <w:jc w:val="left"/>
              <w:rPr>
                <w:sz w:val="20"/>
                <w:lang w:val="fr-CH"/>
              </w:rPr>
            </w:pPr>
            <w:r w:rsidRPr="00A07150">
              <w:rPr>
                <w:sz w:val="20"/>
                <w:lang w:val="fr-CH"/>
              </w:rPr>
              <w:t>Emissions de fréquences étalon et de signaux horaires</w:t>
            </w:r>
          </w:p>
        </w:tc>
      </w:tr>
      <w:tr w:rsidR="000A7572" w:rsidRPr="00A07150">
        <w:tc>
          <w:tcPr>
            <w:tcW w:w="1140" w:type="dxa"/>
          </w:tcPr>
          <w:p w:rsidR="000A7572" w:rsidRPr="00A07150" w:rsidRDefault="000A7572" w:rsidP="00F336CC">
            <w:pPr>
              <w:spacing w:before="30" w:after="30"/>
              <w:ind w:left="57"/>
              <w:jc w:val="left"/>
              <w:rPr>
                <w:b/>
                <w:bCs/>
                <w:sz w:val="20"/>
                <w:lang w:val="fr-CH"/>
              </w:rPr>
            </w:pPr>
            <w:r w:rsidRPr="00A07150">
              <w:rPr>
                <w:b/>
                <w:bCs/>
                <w:sz w:val="20"/>
                <w:lang w:val="fr-CH"/>
              </w:rPr>
              <w:t>V</w:t>
            </w:r>
          </w:p>
        </w:tc>
        <w:tc>
          <w:tcPr>
            <w:tcW w:w="8220" w:type="dxa"/>
          </w:tcPr>
          <w:p w:rsidR="000A7572" w:rsidRPr="00A07150" w:rsidRDefault="000A7572" w:rsidP="00614CC6">
            <w:pPr>
              <w:spacing w:before="30" w:after="140"/>
              <w:jc w:val="left"/>
              <w:rPr>
                <w:sz w:val="20"/>
                <w:lang w:val="fr-CH"/>
              </w:rPr>
            </w:pPr>
            <w:r w:rsidRPr="00A07150">
              <w:rPr>
                <w:sz w:val="20"/>
                <w:lang w:val="fr-CH"/>
              </w:rPr>
              <w:t>Vocabulaire et sujets associés</w:t>
            </w:r>
          </w:p>
        </w:tc>
      </w:tr>
    </w:tbl>
    <w:p w:rsidR="000A7572" w:rsidRPr="00A07150" w:rsidRDefault="000A7572" w:rsidP="00614CC6">
      <w:pPr>
        <w:spacing w:before="0"/>
        <w:jc w:val="center"/>
        <w:rPr>
          <w:sz w:val="20"/>
          <w:lang w:val="fr-CH"/>
        </w:rPr>
      </w:pPr>
    </w:p>
    <w:p w:rsidR="000A7572" w:rsidRPr="00A07150" w:rsidRDefault="000A7572"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A7572" w:rsidRPr="00A07150">
        <w:tc>
          <w:tcPr>
            <w:tcW w:w="9360" w:type="dxa"/>
          </w:tcPr>
          <w:p w:rsidR="000A7572" w:rsidRPr="00A07150" w:rsidRDefault="000A7572" w:rsidP="004507FE">
            <w:pPr>
              <w:spacing w:before="80" w:after="80"/>
              <w:jc w:val="left"/>
              <w:rPr>
                <w:i/>
                <w:iCs/>
                <w:sz w:val="20"/>
                <w:lang w:val="fr-CH"/>
              </w:rPr>
            </w:pPr>
            <w:r w:rsidRPr="00A07150">
              <w:rPr>
                <w:b/>
                <w:bCs/>
                <w:i/>
                <w:iCs/>
                <w:sz w:val="20"/>
                <w:lang w:val="fr-CH"/>
              </w:rPr>
              <w:t>Note</w:t>
            </w:r>
            <w:r w:rsidRPr="00A07150">
              <w:rPr>
                <w:i/>
                <w:iCs/>
                <w:sz w:val="20"/>
                <w:lang w:val="fr-CH"/>
              </w:rPr>
              <w:t>: Cette Recommandation UIT-R a été approuvée en anglais aux termes de la procédure détaillée dans la</w:t>
            </w:r>
            <w:r w:rsidRPr="00A07150">
              <w:rPr>
                <w:i/>
                <w:iCs/>
                <w:sz w:val="20"/>
                <w:lang w:val="fr-CH"/>
              </w:rPr>
              <w:br/>
              <w:t xml:space="preserve">Résolution UIT-R 1. </w:t>
            </w:r>
          </w:p>
        </w:tc>
      </w:tr>
    </w:tbl>
    <w:p w:rsidR="000A7572" w:rsidRPr="00A07150" w:rsidRDefault="000A7572" w:rsidP="00F54FBD">
      <w:pPr>
        <w:spacing w:before="0"/>
        <w:jc w:val="center"/>
        <w:rPr>
          <w:sz w:val="22"/>
          <w:lang w:val="fr-CH"/>
        </w:rPr>
      </w:pPr>
    </w:p>
    <w:p w:rsidR="000A7572" w:rsidRPr="00A07150" w:rsidRDefault="000A7572" w:rsidP="00756B4D">
      <w:pPr>
        <w:spacing w:before="100"/>
        <w:jc w:val="right"/>
        <w:rPr>
          <w:i/>
          <w:iCs/>
          <w:sz w:val="20"/>
          <w:lang w:val="fr-CH"/>
        </w:rPr>
      </w:pPr>
      <w:r w:rsidRPr="00A07150">
        <w:rPr>
          <w:i/>
          <w:iCs/>
          <w:sz w:val="20"/>
          <w:lang w:val="fr-CH"/>
        </w:rPr>
        <w:t>Publication électronique</w:t>
      </w:r>
    </w:p>
    <w:p w:rsidR="000A7572" w:rsidRPr="00A07150" w:rsidRDefault="000A7572" w:rsidP="005B35CF">
      <w:pPr>
        <w:spacing w:before="0"/>
        <w:jc w:val="right"/>
        <w:rPr>
          <w:sz w:val="20"/>
          <w:lang w:val="fr-CH"/>
        </w:rPr>
      </w:pPr>
      <w:r w:rsidRPr="00A07150">
        <w:rPr>
          <w:sz w:val="20"/>
          <w:lang w:val="fr-CH"/>
        </w:rPr>
        <w:t>Genève, 201</w:t>
      </w:r>
      <w:r w:rsidR="005B35CF" w:rsidRPr="00A07150">
        <w:rPr>
          <w:sz w:val="20"/>
          <w:lang w:val="fr-CH"/>
        </w:rPr>
        <w:t>2</w:t>
      </w:r>
    </w:p>
    <w:p w:rsidR="000A7572" w:rsidRPr="00A07150" w:rsidRDefault="000A7572" w:rsidP="00FB51A0">
      <w:pPr>
        <w:spacing w:before="200"/>
        <w:jc w:val="center"/>
        <w:rPr>
          <w:sz w:val="20"/>
          <w:lang w:val="fr-CH"/>
        </w:rPr>
      </w:pPr>
      <w:r w:rsidRPr="00A07150">
        <w:rPr>
          <w:sz w:val="20"/>
          <w:lang w:val="fr-CH"/>
        </w:rPr>
        <w:sym w:font="Symbol" w:char="F0E3"/>
      </w:r>
      <w:r w:rsidRPr="00A07150">
        <w:rPr>
          <w:sz w:val="20"/>
          <w:lang w:val="fr-CH"/>
        </w:rPr>
        <w:t xml:space="preserve"> UIT </w:t>
      </w:r>
      <w:bookmarkStart w:id="2" w:name="iiannee"/>
      <w:bookmarkEnd w:id="2"/>
      <w:r w:rsidRPr="00A07150">
        <w:rPr>
          <w:sz w:val="20"/>
          <w:lang w:val="fr-CH"/>
        </w:rPr>
        <w:t>20</w:t>
      </w:r>
      <w:r w:rsidR="005B35CF" w:rsidRPr="00A07150">
        <w:rPr>
          <w:sz w:val="20"/>
          <w:lang w:val="fr-CH"/>
        </w:rPr>
        <w:t>12</w:t>
      </w:r>
    </w:p>
    <w:p w:rsidR="000A7572" w:rsidRPr="00A07150" w:rsidRDefault="000A7572" w:rsidP="00614CC6">
      <w:pPr>
        <w:rPr>
          <w:sz w:val="18"/>
          <w:szCs w:val="18"/>
          <w:lang w:val="fr-CH"/>
        </w:rPr>
      </w:pPr>
      <w:r w:rsidRPr="00A07150">
        <w:rPr>
          <w:sz w:val="18"/>
          <w:szCs w:val="18"/>
          <w:lang w:val="fr-CH"/>
        </w:rPr>
        <w:t>Tous droits réservés. Aucune partie de cette publication ne peut être reproduite, par quelque procédé que ce soit, sans l’accord écrit préalable de l’UIT.</w:t>
      </w:r>
    </w:p>
    <w:p w:rsidR="000A7572" w:rsidRPr="00A07150" w:rsidRDefault="000A7572" w:rsidP="00CD659B">
      <w:pPr>
        <w:spacing w:before="160"/>
        <w:rPr>
          <w:i/>
          <w:sz w:val="20"/>
          <w:highlight w:val="yellow"/>
          <w:lang w:val="fr-CH"/>
        </w:rPr>
        <w:sectPr w:rsidR="000A7572" w:rsidRPr="00A07150"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0A7572" w:rsidRPr="00A07150" w:rsidRDefault="000A7572" w:rsidP="005B35CF">
      <w:pPr>
        <w:pStyle w:val="RecNo"/>
        <w:spacing w:before="0"/>
        <w:rPr>
          <w:lang w:val="fr-CH"/>
        </w:rPr>
      </w:pPr>
      <w:bookmarkStart w:id="3" w:name="irecnoe"/>
      <w:bookmarkEnd w:id="3"/>
      <w:r w:rsidRPr="00A07150">
        <w:rPr>
          <w:lang w:val="fr-CH"/>
        </w:rPr>
        <w:lastRenderedPageBreak/>
        <w:t xml:space="preserve">RECOMMANDATION  </w:t>
      </w:r>
      <w:r w:rsidRPr="00A07150">
        <w:rPr>
          <w:rStyle w:val="href"/>
          <w:lang w:val="fr-CH"/>
        </w:rPr>
        <w:t>UIT-R  BO.</w:t>
      </w:r>
      <w:r w:rsidR="005B35CF" w:rsidRPr="00A07150">
        <w:rPr>
          <w:rStyle w:val="href"/>
          <w:lang w:val="fr-CH"/>
        </w:rPr>
        <w:t>1776-1</w:t>
      </w:r>
    </w:p>
    <w:p w:rsidR="005B35CF" w:rsidRPr="00A07150" w:rsidRDefault="005B35CF" w:rsidP="005B35CF">
      <w:pPr>
        <w:pStyle w:val="Rectitle"/>
        <w:rPr>
          <w:lang w:val="fr-CH"/>
        </w:rPr>
      </w:pPr>
      <w:r w:rsidRPr="00A07150">
        <w:rPr>
          <w:lang w:val="fr-CH"/>
        </w:rPr>
        <w:t>Puissance surfacique maximale pour le service de radiodiffusion par satellite</w:t>
      </w:r>
      <w:r w:rsidRPr="00A07150">
        <w:rPr>
          <w:lang w:val="fr-CH"/>
        </w:rPr>
        <w:br/>
        <w:t>dans la bande 21,4-22,0 GHz dans les Régions 1 et 3</w:t>
      </w:r>
    </w:p>
    <w:p w:rsidR="005B35CF" w:rsidRPr="00A07150" w:rsidRDefault="005B35CF" w:rsidP="005B35CF">
      <w:pPr>
        <w:pStyle w:val="Recdate"/>
        <w:rPr>
          <w:lang w:val="fr-CH"/>
        </w:rPr>
      </w:pPr>
      <w:bookmarkStart w:id="4" w:name="Revision_history"/>
      <w:r w:rsidRPr="00A07150">
        <w:rPr>
          <w:lang w:val="fr-CH"/>
        </w:rPr>
        <w:t>(2006-2012)</w:t>
      </w:r>
      <w:bookmarkEnd w:id="4"/>
    </w:p>
    <w:p w:rsidR="005B35CF" w:rsidRPr="00A07150" w:rsidRDefault="005B35CF" w:rsidP="005B35CF">
      <w:pPr>
        <w:pStyle w:val="HeadingSum"/>
        <w:rPr>
          <w:lang w:val="fr-CH"/>
        </w:rPr>
      </w:pPr>
      <w:r w:rsidRPr="00A07150">
        <w:rPr>
          <w:lang w:val="fr-CH"/>
        </w:rPr>
        <w:t>Domaine d'application</w:t>
      </w:r>
    </w:p>
    <w:p w:rsidR="005B35CF" w:rsidRPr="00A07150" w:rsidRDefault="005B35CF" w:rsidP="005B35CF">
      <w:pPr>
        <w:pStyle w:val="Summary"/>
        <w:rPr>
          <w:lang w:val="fr-CH"/>
        </w:rPr>
      </w:pPr>
      <w:r w:rsidRPr="00A07150">
        <w:rPr>
          <w:lang w:val="fr-CH"/>
        </w:rPr>
        <w:t>La présente Recommandation traite de la puissance surfacique maximale produite à un angle d'élévation élevé à la surface de la Terre par les émissions d'une station spatiale du service de radiodiffusion par satellite (SRS) à utiliser dans les études de partage en ce qui concerne le SRS dans la bande 21,4-22,0 GHz dans les Régions 1 et 3.</w:t>
      </w:r>
    </w:p>
    <w:p w:rsidR="005B35CF" w:rsidRPr="00A07150" w:rsidRDefault="005B35CF" w:rsidP="005B35CF">
      <w:pPr>
        <w:pStyle w:val="Normalaftertitle"/>
        <w:rPr>
          <w:lang w:val="fr-CH"/>
        </w:rPr>
      </w:pPr>
      <w:r w:rsidRPr="00A07150">
        <w:rPr>
          <w:lang w:val="fr-CH"/>
        </w:rPr>
        <w:t>L'Assemblée des radiocommunications de l'UIT,</w:t>
      </w:r>
    </w:p>
    <w:p w:rsidR="005B35CF" w:rsidRPr="00A07150" w:rsidRDefault="005B35CF" w:rsidP="005B35CF">
      <w:pPr>
        <w:pStyle w:val="Call"/>
        <w:rPr>
          <w:lang w:val="fr-CH"/>
        </w:rPr>
      </w:pPr>
      <w:r w:rsidRPr="00A07150">
        <w:rPr>
          <w:lang w:val="fr-CH"/>
        </w:rPr>
        <w:t>considérant</w:t>
      </w:r>
    </w:p>
    <w:p w:rsidR="005B35CF" w:rsidRPr="00A07150" w:rsidRDefault="005B35CF" w:rsidP="005B35CF">
      <w:pPr>
        <w:rPr>
          <w:lang w:val="fr-CH"/>
        </w:rPr>
      </w:pPr>
      <w:r w:rsidRPr="00A07150">
        <w:rPr>
          <w:lang w:val="fr-CH" w:eastAsia="ja-JP"/>
        </w:rPr>
        <w:t>a)</w:t>
      </w:r>
      <w:r w:rsidRPr="00A07150">
        <w:rPr>
          <w:lang w:val="fr-CH" w:eastAsia="ja-JP"/>
        </w:rPr>
        <w:tab/>
      </w:r>
      <w:r w:rsidRPr="00A07150">
        <w:rPr>
          <w:lang w:val="fr-CH"/>
        </w:rPr>
        <w:t>que les systèmes du SRS exploités dans la bande 21,4-22,0 GHz peuvent rayonner des signaux radiofréquence à large bande, mais qu'une p.i.r.e. élevée au niveau de la station spatiale (puissance surfacique élevée au niveau de la station terrienne de réception) est nécessaire pour compenser l'affaiblissement total sur la liaison dû aux phénomènes atmosphériques;</w:t>
      </w:r>
    </w:p>
    <w:p w:rsidR="005B35CF" w:rsidRPr="00A07150" w:rsidRDefault="005B35CF" w:rsidP="005B35CF">
      <w:pPr>
        <w:rPr>
          <w:lang w:val="fr-CH"/>
        </w:rPr>
      </w:pPr>
      <w:r w:rsidRPr="00A07150">
        <w:rPr>
          <w:lang w:val="fr-CH" w:eastAsia="ja-JP"/>
        </w:rPr>
        <w:t>b</w:t>
      </w:r>
      <w:r w:rsidRPr="00A07150">
        <w:rPr>
          <w:lang w:val="fr-CH"/>
        </w:rPr>
        <w:t>)</w:t>
      </w:r>
      <w:r w:rsidRPr="00A07150">
        <w:rPr>
          <w:lang w:val="fr-CH"/>
        </w:rPr>
        <w:tab/>
        <w:t>qu'il convient de faire en sorte que le pourcentage de disponibilité du SRS dans la bande 21,4-22,0 GHz dans les Régions 1 et 3 soit élevé, afin d'améliorer le plus possible la fiabilité des services de radiodiffusion de TVHD;</w:t>
      </w:r>
    </w:p>
    <w:p w:rsidR="005B35CF" w:rsidRPr="00A07150" w:rsidRDefault="005B35CF" w:rsidP="005B35CF">
      <w:pPr>
        <w:rPr>
          <w:lang w:val="fr-CH" w:eastAsia="ja-JP"/>
        </w:rPr>
      </w:pPr>
      <w:r w:rsidRPr="00A07150">
        <w:rPr>
          <w:lang w:val="fr-CH" w:eastAsia="ja-JP"/>
        </w:rPr>
        <w:t>c</w:t>
      </w:r>
      <w:r w:rsidRPr="00A07150">
        <w:rPr>
          <w:lang w:val="fr-CH"/>
        </w:rPr>
        <w:t>)</w:t>
      </w:r>
      <w:r w:rsidRPr="00A07150">
        <w:rPr>
          <w:lang w:val="fr-CH"/>
        </w:rPr>
        <w:tab/>
        <w:t>que la Recommandation UIT-R BO.1659 montre que des valeurs de disponibilité de service annuelle supérieures à 99% devraient être obtenues dans les Régions 1 et 3 si on utilise une p.i.r.e. donnant lieu à une valeur de puissance surfacique égale à −105 dB(W/(m</w:t>
      </w:r>
      <w:r w:rsidRPr="00A07150">
        <w:rPr>
          <w:szCs w:val="24"/>
          <w:vertAlign w:val="superscript"/>
          <w:lang w:val="fr-CH"/>
        </w:rPr>
        <w:t>2</w:t>
      </w:r>
      <w:r w:rsidRPr="00A07150">
        <w:rPr>
          <w:szCs w:val="24"/>
          <w:lang w:val="fr-CH"/>
        </w:rPr>
        <w:t> </w:t>
      </w:r>
      <w:r w:rsidRPr="00A07150">
        <w:rPr>
          <w:lang w:val="fr-CH" w:eastAsia="ja-JP"/>
        </w:rPr>
        <w:t>· 1</w:t>
      </w:r>
      <w:r w:rsidRPr="00A07150">
        <w:rPr>
          <w:lang w:val="fr-CH"/>
        </w:rPr>
        <w:t> MHz)) dans les zones où l'intensité de pluie est élevée afin de compenser l'affaiblissement dû à la pluie dans la bande 21,4-22,0 GHz;</w:t>
      </w:r>
    </w:p>
    <w:p w:rsidR="005B35CF" w:rsidRPr="00A07150" w:rsidRDefault="005B35CF" w:rsidP="005B35CF">
      <w:pPr>
        <w:rPr>
          <w:lang w:val="fr-CH" w:eastAsia="ko-KR"/>
        </w:rPr>
      </w:pPr>
      <w:r w:rsidRPr="00A07150">
        <w:rPr>
          <w:lang w:val="fr-CH" w:eastAsia="ko-KR"/>
        </w:rPr>
        <w:t>d)</w:t>
      </w:r>
      <w:r w:rsidRPr="00A07150">
        <w:rPr>
          <w:lang w:val="fr-CH" w:eastAsia="ko-KR"/>
        </w:rPr>
        <w:tab/>
        <w:t>que la qualité de fonctionnement de la liaison par satellite dépend non seulement de la puissance surfacique au niveau de la station terrienne de réception mais aussi, entre autres, du facteur de qualité de ladite station;</w:t>
      </w:r>
    </w:p>
    <w:p w:rsidR="005B35CF" w:rsidRPr="00A07150" w:rsidRDefault="005B35CF" w:rsidP="005B35CF">
      <w:pPr>
        <w:rPr>
          <w:lang w:val="fr-CH" w:eastAsia="ko-KR"/>
        </w:rPr>
      </w:pPr>
      <w:r w:rsidRPr="00A07150">
        <w:rPr>
          <w:lang w:val="fr-CH" w:eastAsia="ko-KR"/>
        </w:rPr>
        <w:t>e)</w:t>
      </w:r>
      <w:r w:rsidRPr="00A07150">
        <w:rPr>
          <w:lang w:val="fr-CH" w:eastAsia="ko-KR"/>
        </w:rPr>
        <w:tab/>
        <w:t>que l'affaiblissement dû à la pluie dépend non seulement de l'intensité de pluie mais aussi, entre autres, de l'angle d'élévation, de l'altitude et de la latitude de la station terrienne;</w:t>
      </w:r>
    </w:p>
    <w:p w:rsidR="005B35CF" w:rsidRPr="00A07150" w:rsidRDefault="005B35CF" w:rsidP="005B35CF">
      <w:pPr>
        <w:rPr>
          <w:lang w:val="fr-CH" w:eastAsia="ko-KR"/>
        </w:rPr>
      </w:pPr>
      <w:r w:rsidRPr="00A07150">
        <w:rPr>
          <w:lang w:val="fr-CH" w:eastAsia="ko-KR"/>
        </w:rPr>
        <w:t>f)</w:t>
      </w:r>
      <w:r w:rsidRPr="00A07150">
        <w:rPr>
          <w:lang w:val="fr-CH" w:eastAsia="ko-KR"/>
        </w:rPr>
        <w:tab/>
        <w:t>que la disponibilité de service requise pour chaque système du SRS est liée aux exigences d'exploitation,</w:t>
      </w:r>
    </w:p>
    <w:p w:rsidR="005B35CF" w:rsidRPr="00A07150" w:rsidRDefault="005B35CF" w:rsidP="005B35CF">
      <w:pPr>
        <w:pStyle w:val="Call"/>
        <w:rPr>
          <w:lang w:val="fr-CH" w:eastAsia="ja-JP"/>
        </w:rPr>
      </w:pPr>
      <w:r w:rsidRPr="00A07150">
        <w:rPr>
          <w:lang w:val="fr-CH"/>
        </w:rPr>
        <w:t xml:space="preserve">recommande </w:t>
      </w:r>
    </w:p>
    <w:p w:rsidR="005B35CF" w:rsidRPr="00A07150" w:rsidRDefault="005B35CF" w:rsidP="00A07150">
      <w:pPr>
        <w:rPr>
          <w:lang w:val="fr-CH" w:eastAsia="ja-JP"/>
        </w:rPr>
      </w:pPr>
      <w:r w:rsidRPr="00A07150">
        <w:rPr>
          <w:b/>
          <w:lang w:val="fr-CH" w:eastAsia="ja-JP"/>
        </w:rPr>
        <w:t>1</w:t>
      </w:r>
      <w:r w:rsidRPr="00A07150">
        <w:rPr>
          <w:lang w:val="fr-CH" w:eastAsia="ja-JP"/>
        </w:rPr>
        <w:tab/>
        <w:t xml:space="preserve">afin de compenser l'affaiblissement total sur la liaison dû aux </w:t>
      </w:r>
      <w:r w:rsidRPr="00A07150">
        <w:rPr>
          <w:lang w:val="fr-CH"/>
        </w:rPr>
        <w:t>phénomènes</w:t>
      </w:r>
      <w:r w:rsidRPr="00A07150">
        <w:rPr>
          <w:lang w:val="fr-CH" w:eastAsia="ja-JP"/>
        </w:rPr>
        <w:t xml:space="preserve"> atmosphériques calculé pour une valeur élevée de la disponibilité de service annuelle, d'envisager d'utiliser, pour la puissance surfacique maximale à un angle d'élévation élevé à la surface de la Terre dans les conditions de propagation en espace libre, une valeur de –105 dB(W/(m</w:t>
      </w:r>
      <w:r w:rsidRPr="00A07150">
        <w:rPr>
          <w:szCs w:val="24"/>
          <w:vertAlign w:val="superscript"/>
          <w:lang w:val="fr-CH" w:eastAsia="ja-JP"/>
        </w:rPr>
        <w:t>2</w:t>
      </w:r>
      <w:r w:rsidRPr="00A07150">
        <w:rPr>
          <w:szCs w:val="24"/>
          <w:lang w:val="fr-CH" w:eastAsia="ja-JP"/>
        </w:rPr>
        <w:t> · 1 </w:t>
      </w:r>
      <w:r w:rsidRPr="00A07150">
        <w:rPr>
          <w:lang w:val="fr-CH" w:eastAsia="ja-JP"/>
        </w:rPr>
        <w:t>MHz)) dans les études de partage en ce qui concerne le SRS dans la bande 21,4-22,0 GHz (l'Annexe 1 donne des exemples dans différentes villes des Régions 1 et 3);</w:t>
      </w:r>
    </w:p>
    <w:p w:rsidR="005B35CF" w:rsidRPr="00A07150" w:rsidRDefault="005B35CF" w:rsidP="005B35CF">
      <w:pPr>
        <w:rPr>
          <w:sz w:val="22"/>
          <w:szCs w:val="22"/>
          <w:lang w:val="fr-CH" w:eastAsia="ja-JP"/>
        </w:rPr>
      </w:pPr>
      <w:r w:rsidRPr="00A07150">
        <w:rPr>
          <w:b/>
          <w:lang w:val="fr-CH" w:eastAsia="ja-JP"/>
        </w:rPr>
        <w:t>2</w:t>
      </w:r>
      <w:r w:rsidRPr="00A07150">
        <w:rPr>
          <w:lang w:val="fr-CH" w:eastAsia="ja-JP"/>
        </w:rPr>
        <w:tab/>
        <w:t>de considérer que les Notes suivantes font partie de la présente Recommandation.</w:t>
      </w:r>
    </w:p>
    <w:p w:rsidR="005B35CF" w:rsidRPr="00A07150" w:rsidRDefault="005B35CF" w:rsidP="005B35CF">
      <w:pPr>
        <w:keepNext/>
        <w:keepLines/>
        <w:rPr>
          <w:lang w:val="fr-CH"/>
        </w:rPr>
      </w:pPr>
      <w:r w:rsidRPr="00A07150">
        <w:rPr>
          <w:lang w:val="fr-CH" w:eastAsia="ja-JP"/>
        </w:rPr>
        <w:lastRenderedPageBreak/>
        <w:t>NOTE 1 – </w:t>
      </w:r>
      <w:r w:rsidRPr="00A07150">
        <w:rPr>
          <w:lang w:val="fr-CH"/>
        </w:rPr>
        <w:t xml:space="preserve">Dans le cas des pays où l'affaiblissement total sur la liaison n'est pas élevé, on pourrait envisager d'utiliser, pour la puissance surfacique maximale produite à la surface de la Terre par une station spatiale du SRS, une valeur inférieure à la valeur indiquée au point 1 du </w:t>
      </w:r>
      <w:r w:rsidRPr="00A07150">
        <w:rPr>
          <w:i/>
          <w:iCs/>
          <w:lang w:val="fr-CH"/>
        </w:rPr>
        <w:t>recommande</w:t>
      </w:r>
      <w:r w:rsidRPr="00A07150">
        <w:rPr>
          <w:lang w:val="fr-CH"/>
        </w:rPr>
        <w:t xml:space="preserve"> ci</w:t>
      </w:r>
      <w:r w:rsidRPr="00A07150">
        <w:rPr>
          <w:lang w:val="fr-CH"/>
        </w:rPr>
        <w:noBreakHyphen/>
        <w:t>dessus dans les études de partage en ce qui concerne le SRS dans la bande 21,4</w:t>
      </w:r>
      <w:r w:rsidRPr="00A07150">
        <w:rPr>
          <w:lang w:val="fr-CH"/>
        </w:rPr>
        <w:noBreakHyphen/>
        <w:t>22,0 GHz dans les Régions 1 et 3.</w:t>
      </w:r>
    </w:p>
    <w:p w:rsidR="005B35CF" w:rsidRPr="00A07150" w:rsidRDefault="005B35CF" w:rsidP="005B35CF">
      <w:pPr>
        <w:rPr>
          <w:lang w:val="fr-CH"/>
        </w:rPr>
      </w:pPr>
      <w:r w:rsidRPr="00A07150">
        <w:rPr>
          <w:szCs w:val="24"/>
          <w:lang w:val="fr-CH"/>
        </w:rPr>
        <w:t>NOTE 2 – L'affaiblissement t</w:t>
      </w:r>
      <w:r w:rsidRPr="00A07150">
        <w:rPr>
          <w:szCs w:val="24"/>
          <w:lang w:val="fr-CH" w:eastAsia="ko-KR"/>
        </w:rPr>
        <w:t xml:space="preserve">otal sur la liaison </w:t>
      </w:r>
      <w:r w:rsidRPr="00A07150">
        <w:rPr>
          <w:lang w:val="fr-CH"/>
        </w:rPr>
        <w:t>me</w:t>
      </w:r>
      <w:r w:rsidRPr="00A07150">
        <w:rPr>
          <w:szCs w:val="24"/>
          <w:lang w:val="fr-CH" w:eastAsia="ko-KR"/>
        </w:rPr>
        <w:t>ntionné ci-dessus inclut l'affaiblissement dû à la pluie et aux nuages, l'affaiblissement dû à la scintillation et l'affaiblissement gazeux dû à la vapeur d'eau et à l'oxygène. La Recommandation UIT</w:t>
      </w:r>
      <w:r w:rsidRPr="00A07150">
        <w:rPr>
          <w:szCs w:val="24"/>
          <w:lang w:val="fr-CH" w:eastAsia="ko-KR"/>
        </w:rPr>
        <w:noBreakHyphen/>
        <w:t>R P.618 contient une méthode générale de calcul de l'affaiblissement total sur la liaison.</w:t>
      </w:r>
    </w:p>
    <w:p w:rsidR="005B35CF" w:rsidRPr="00A07150" w:rsidRDefault="005B35CF" w:rsidP="005B35CF">
      <w:pPr>
        <w:rPr>
          <w:lang w:val="fr-CH" w:eastAsia="ja-JP"/>
        </w:rPr>
      </w:pPr>
    </w:p>
    <w:p w:rsidR="005B35CF" w:rsidRPr="00A07150" w:rsidRDefault="005B35CF" w:rsidP="005B35CF">
      <w:pPr>
        <w:rPr>
          <w:lang w:val="fr-CH" w:eastAsia="ja-JP"/>
        </w:rPr>
      </w:pPr>
    </w:p>
    <w:p w:rsidR="005B35CF" w:rsidRPr="00A07150" w:rsidRDefault="005B35CF" w:rsidP="005B35CF">
      <w:pPr>
        <w:pStyle w:val="AnnexNoTitle"/>
        <w:rPr>
          <w:lang w:val="fr-CH" w:eastAsia="ja-JP"/>
        </w:rPr>
      </w:pPr>
      <w:r w:rsidRPr="00A07150">
        <w:rPr>
          <w:lang w:val="fr-CH" w:eastAsia="ja-JP"/>
        </w:rPr>
        <w:t>Annexe</w:t>
      </w:r>
      <w:r w:rsidRPr="00A07150" w:rsidDel="00EA5C05">
        <w:rPr>
          <w:lang w:val="fr-CH" w:eastAsia="ja-JP"/>
        </w:rPr>
        <w:t xml:space="preserve"> </w:t>
      </w:r>
      <w:r w:rsidRPr="00A07150">
        <w:rPr>
          <w:lang w:val="fr-CH" w:eastAsia="ja-JP"/>
        </w:rPr>
        <w:t>1</w:t>
      </w:r>
      <w:r w:rsidRPr="00A07150">
        <w:rPr>
          <w:lang w:val="fr-CH" w:eastAsia="ja-JP"/>
        </w:rPr>
        <w:br/>
      </w:r>
      <w:r w:rsidRPr="00A07150">
        <w:rPr>
          <w:lang w:val="fr-CH" w:eastAsia="ja-JP"/>
        </w:rPr>
        <w:br/>
        <w:t xml:space="preserve">Valeurs de disponibilité de service annuelle pouvant être atteinte et d'affaiblissement total sur la liaison dans certaines villes des Régions 1 et 3, </w:t>
      </w:r>
      <w:r w:rsidRPr="00A07150">
        <w:rPr>
          <w:lang w:val="fr-CH" w:eastAsia="ja-JP"/>
        </w:rPr>
        <w:br/>
        <w:t xml:space="preserve">dans l'hypothèse où la puissance surfacique produite à la surface de la Terre </w:t>
      </w:r>
      <w:r w:rsidRPr="00A07150">
        <w:rPr>
          <w:lang w:val="fr-CH" w:eastAsia="ja-JP"/>
        </w:rPr>
        <w:br/>
        <w:t xml:space="preserve">par les émissions d'une station spatiale du SRS dans la </w:t>
      </w:r>
      <w:r w:rsidRPr="00A07150">
        <w:rPr>
          <w:lang w:val="fr-CH"/>
        </w:rPr>
        <w:t>bande 21,4-22,0 GHz</w:t>
      </w:r>
      <w:r w:rsidRPr="00A07150">
        <w:rPr>
          <w:lang w:val="fr-CH"/>
        </w:rPr>
        <w:br/>
        <w:t xml:space="preserve">est égale à </w:t>
      </w:r>
      <w:r w:rsidRPr="00A07150">
        <w:rPr>
          <w:lang w:val="fr-CH" w:eastAsia="ja-JP"/>
        </w:rPr>
        <w:t>−105 dB(W/(m</w:t>
      </w:r>
      <w:r w:rsidRPr="00A07150">
        <w:rPr>
          <w:szCs w:val="28"/>
          <w:vertAlign w:val="superscript"/>
          <w:lang w:val="fr-CH" w:eastAsia="ja-JP"/>
        </w:rPr>
        <w:t>2</w:t>
      </w:r>
      <w:r w:rsidRPr="00A07150">
        <w:rPr>
          <w:lang w:val="fr-CH" w:eastAsia="ja-JP"/>
        </w:rPr>
        <w:t xml:space="preserve"> · 1 MHz)) </w:t>
      </w:r>
    </w:p>
    <w:p w:rsidR="005B35CF" w:rsidRPr="00A07150" w:rsidRDefault="005B35CF" w:rsidP="005B35CF">
      <w:pPr>
        <w:pStyle w:val="Normalaftertitle"/>
        <w:rPr>
          <w:lang w:val="fr-CH" w:eastAsia="ja-JP"/>
        </w:rPr>
      </w:pPr>
      <w:r w:rsidRPr="00A07150">
        <w:rPr>
          <w:lang w:val="fr-CH" w:eastAsia="ja-JP"/>
        </w:rPr>
        <w:t>Les Tableaux 1a et 1b donnent des exemples de valeurs de disponibilité de service annuelle pouvant être atteinte et d'affaiblissement total sur la liaison (entre parenthèses) dans certaines villes des Régions 1 et 3 lorsque la puissance surfacique produite à la surface de la Terre par les émissions d'une station spatiale du SRS dans la bande 21,4-22,0 GHz dans les conditions de propagation en espace libre est égale à −105 dB(W/(m</w:t>
      </w:r>
      <w:r w:rsidRPr="00A07150">
        <w:rPr>
          <w:vertAlign w:val="superscript"/>
          <w:lang w:val="fr-CH" w:eastAsia="ja-JP"/>
        </w:rPr>
        <w:t>2</w:t>
      </w:r>
      <w:r w:rsidRPr="00A07150">
        <w:rPr>
          <w:lang w:val="fr-CH" w:eastAsia="ja-JP"/>
        </w:rPr>
        <w:t xml:space="preserve"> · 1 MHz)). Les valeurs du rapport </w:t>
      </w:r>
      <w:r w:rsidRPr="00A07150">
        <w:rPr>
          <w:i/>
          <w:iCs/>
          <w:lang w:val="fr-CH" w:eastAsia="ja-JP"/>
        </w:rPr>
        <w:t>C</w:t>
      </w:r>
      <w:r w:rsidRPr="00A07150">
        <w:rPr>
          <w:lang w:val="fr-CH" w:eastAsia="ja-JP"/>
        </w:rPr>
        <w:t>/</w:t>
      </w:r>
      <w:r w:rsidRPr="00A07150">
        <w:rPr>
          <w:i/>
          <w:iCs/>
          <w:lang w:val="fr-CH" w:eastAsia="ja-JP"/>
        </w:rPr>
        <w:t>N</w:t>
      </w:r>
      <w:r w:rsidRPr="00A07150">
        <w:rPr>
          <w:lang w:val="fr-CH" w:eastAsia="ja-JP"/>
        </w:rPr>
        <w:t xml:space="preserve"> requis sont supposées être de 5,6 dB et 7,5 dB pour la modulation MDP-4 et de 10,7 dB pour la modulation MDP-8, y compris une marge pour la mise en œuvre technique et une marge pour les pertes dans les circuits du satellite, valeurs rapportées à la largeur de bande du bruit de Nyquist. Par hypothèse, le diamètre de l'antenne de réception est de 45 cm. Ces Tableaux confirment que l'on peut atteindre dans ces villes une valeur de disponibilité de service annuelle comprise entre 99,78 et 99,99%.</w:t>
      </w:r>
    </w:p>
    <w:p w:rsidR="005B35CF" w:rsidRPr="00A07150" w:rsidRDefault="005B35CF" w:rsidP="005B35CF">
      <w:pPr>
        <w:pStyle w:val="TableNo"/>
        <w:keepLines/>
        <w:rPr>
          <w:rFonts w:asciiTheme="majorBidi" w:hAnsiTheme="majorBidi" w:cstheme="majorBidi"/>
          <w:lang w:val="fr-CH"/>
        </w:rPr>
      </w:pPr>
      <w:r w:rsidRPr="00A07150">
        <w:rPr>
          <w:lang w:val="fr-CH"/>
        </w:rPr>
        <w:lastRenderedPageBreak/>
        <w:t>TABLEAU</w:t>
      </w:r>
      <w:r w:rsidRPr="00A07150">
        <w:rPr>
          <w:rFonts w:asciiTheme="majorBidi" w:hAnsiTheme="majorBidi" w:cstheme="majorBidi"/>
          <w:lang w:val="fr-CH"/>
        </w:rPr>
        <w:t xml:space="preserve"> 1a</w:t>
      </w:r>
    </w:p>
    <w:p w:rsidR="005B35CF" w:rsidRPr="00A07150" w:rsidRDefault="005B35CF" w:rsidP="005B35CF">
      <w:pPr>
        <w:pStyle w:val="Tabletitle"/>
        <w:keepLines/>
        <w:rPr>
          <w:rFonts w:asciiTheme="majorBidi" w:hAnsiTheme="majorBidi" w:cstheme="majorBidi"/>
          <w:lang w:val="fr-CH"/>
        </w:rPr>
      </w:pPr>
      <w:r w:rsidRPr="00A07150">
        <w:rPr>
          <w:rFonts w:asciiTheme="majorBidi" w:hAnsiTheme="majorBidi" w:cstheme="majorBidi"/>
          <w:lang w:val="fr-CH"/>
        </w:rPr>
        <w:t xml:space="preserve">Valeurs de disponibilité de service annuelle </w:t>
      </w:r>
      <w:r w:rsidRPr="00A07150">
        <w:rPr>
          <w:lang w:val="fr-CH"/>
        </w:rPr>
        <w:t>et</w:t>
      </w:r>
      <w:r w:rsidRPr="00A07150">
        <w:rPr>
          <w:rFonts w:asciiTheme="majorBidi" w:hAnsiTheme="majorBidi" w:cstheme="majorBidi"/>
          <w:lang w:val="fr-CH"/>
        </w:rPr>
        <w:t xml:space="preserve"> d'affaiblissement total sur la liaison applicables</w:t>
      </w:r>
      <w:r w:rsidRPr="00A07150">
        <w:rPr>
          <w:rFonts w:asciiTheme="majorBidi" w:hAnsiTheme="majorBidi" w:cstheme="majorBidi"/>
          <w:lang w:val="fr-CH"/>
        </w:rPr>
        <w:br/>
        <w:t xml:space="preserve">aux liaisons descendantes du SRS dans la bande des 21 GHz dans certaines </w:t>
      </w:r>
      <w:r w:rsidRPr="00A07150">
        <w:rPr>
          <w:rFonts w:asciiTheme="majorBidi" w:hAnsiTheme="majorBidi" w:cstheme="majorBidi"/>
          <w:lang w:val="fr-CH"/>
        </w:rPr>
        <w:br/>
        <w:t>villes de la Région 3</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701"/>
        <w:gridCol w:w="1559"/>
        <w:gridCol w:w="1559"/>
        <w:gridCol w:w="1559"/>
        <w:gridCol w:w="1559"/>
      </w:tblGrid>
      <w:tr w:rsidR="005B35CF" w:rsidRPr="00A07150" w:rsidTr="00311F98">
        <w:trPr>
          <w:jc w:val="center"/>
        </w:trPr>
        <w:tc>
          <w:tcPr>
            <w:tcW w:w="1701" w:type="dxa"/>
            <w:gridSpan w:val="2"/>
            <w:tcBorders>
              <w:top w:val="single" w:sz="4" w:space="0" w:color="000000"/>
              <w:left w:val="single" w:sz="4" w:space="0" w:color="000000"/>
              <w:bottom w:val="single" w:sz="4" w:space="0" w:color="000000"/>
              <w:right w:val="single" w:sz="4" w:space="0" w:color="000000"/>
            </w:tcBorders>
          </w:tcPr>
          <w:p w:rsidR="005B35CF" w:rsidRPr="00A07150" w:rsidRDefault="005B35CF" w:rsidP="005B35CF">
            <w:pPr>
              <w:pStyle w:val="Tablehead"/>
              <w:keepLines/>
              <w:rPr>
                <w:rFonts w:asciiTheme="majorBidi" w:hAnsiTheme="majorBidi" w:cstheme="majorBidi"/>
                <w:highlight w:val="yellow"/>
                <w:lang w:val="fr-CH"/>
              </w:rPr>
            </w:pP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head"/>
              <w:keepLines/>
              <w:rPr>
                <w:rFonts w:asciiTheme="majorBidi" w:hAnsiTheme="majorBidi" w:cstheme="majorBidi"/>
                <w:lang w:val="fr-CH"/>
              </w:rPr>
            </w:pPr>
            <w:r w:rsidRPr="00A07150">
              <w:rPr>
                <w:rFonts w:asciiTheme="majorBidi" w:hAnsiTheme="majorBidi" w:cstheme="majorBidi"/>
                <w:lang w:val="fr-CH"/>
              </w:rPr>
              <w:t>Tokyo</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head"/>
              <w:keepLines/>
              <w:rPr>
                <w:rFonts w:asciiTheme="majorBidi" w:hAnsiTheme="majorBidi" w:cstheme="majorBidi"/>
                <w:lang w:val="fr-CH"/>
              </w:rPr>
            </w:pPr>
            <w:r w:rsidRPr="00A07150">
              <w:rPr>
                <w:rFonts w:asciiTheme="majorBidi" w:hAnsiTheme="majorBidi" w:cstheme="majorBidi"/>
                <w:lang w:val="fr-CH"/>
              </w:rPr>
              <w:t>Séoul</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head"/>
              <w:keepLines/>
              <w:rPr>
                <w:rFonts w:asciiTheme="majorBidi" w:hAnsiTheme="majorBidi" w:cstheme="majorBidi"/>
                <w:lang w:val="fr-CH"/>
              </w:rPr>
            </w:pPr>
            <w:r w:rsidRPr="00A07150">
              <w:rPr>
                <w:rFonts w:asciiTheme="majorBidi" w:hAnsiTheme="majorBidi" w:cstheme="majorBidi"/>
                <w:lang w:val="fr-CH"/>
              </w:rPr>
              <w:t>Bangkok</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head"/>
              <w:keepLines/>
              <w:rPr>
                <w:rFonts w:asciiTheme="majorBidi" w:hAnsiTheme="majorBidi" w:cstheme="majorBidi"/>
                <w:lang w:val="fr-CH"/>
              </w:rPr>
            </w:pPr>
            <w:r w:rsidRPr="00A07150">
              <w:rPr>
                <w:rFonts w:asciiTheme="majorBidi" w:hAnsiTheme="majorBidi" w:cstheme="majorBidi"/>
                <w:lang w:val="fr-CH"/>
              </w:rPr>
              <w:t>Wellington</w:t>
            </w:r>
          </w:p>
        </w:tc>
      </w:tr>
      <w:tr w:rsidR="005B35CF" w:rsidRPr="00A07150" w:rsidTr="00311F98">
        <w:trPr>
          <w:jc w:val="center"/>
        </w:trPr>
        <w:tc>
          <w:tcPr>
            <w:tcW w:w="1701" w:type="dxa"/>
            <w:gridSpan w:val="2"/>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left"/>
              <w:rPr>
                <w:rFonts w:asciiTheme="majorBidi" w:hAnsiTheme="majorBidi" w:cstheme="majorBidi"/>
                <w:lang w:val="fr-CH"/>
              </w:rPr>
            </w:pPr>
            <w:r w:rsidRPr="00A07150">
              <w:rPr>
                <w:rFonts w:asciiTheme="majorBidi" w:hAnsiTheme="majorBidi" w:cstheme="majorBidi"/>
                <w:lang w:val="fr-CH"/>
              </w:rPr>
              <w:t>Angle d'élévation (degrés)</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38,0</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44,9</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73,5</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42,3</w:t>
            </w:r>
          </w:p>
        </w:tc>
      </w:tr>
      <w:tr w:rsidR="005B35CF" w:rsidRPr="00A07150" w:rsidTr="00311F98">
        <w:trPr>
          <w:jc w:val="center"/>
        </w:trPr>
        <w:tc>
          <w:tcPr>
            <w:tcW w:w="1701" w:type="dxa"/>
            <w:gridSpan w:val="2"/>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left"/>
              <w:rPr>
                <w:highlight w:val="yellow"/>
                <w:lang w:val="fr-CH"/>
              </w:rPr>
            </w:pPr>
            <w:r w:rsidRPr="00A07150">
              <w:rPr>
                <w:lang w:val="fr-CH"/>
              </w:rPr>
              <w:t>Intensité de pluie pendant 0,01% de l'année (mm/h)</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caps/>
                <w:szCs w:val="22"/>
                <w:lang w:val="fr-CH" w:eastAsia="ko-KR"/>
              </w:rPr>
            </w:pPr>
            <w:r w:rsidRPr="00A07150">
              <w:rPr>
                <w:rFonts w:asciiTheme="majorBidi" w:hAnsiTheme="majorBidi" w:cstheme="majorBidi"/>
                <w:caps/>
                <w:lang w:val="fr-CH" w:eastAsia="ko-KR"/>
              </w:rPr>
              <w:t>48,0</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lang w:val="fr-CH" w:eastAsia="ko-KR"/>
              </w:rPr>
            </w:pPr>
            <w:r w:rsidRPr="00A07150">
              <w:rPr>
                <w:rFonts w:asciiTheme="majorBidi" w:hAnsiTheme="majorBidi" w:cstheme="majorBidi"/>
                <w:lang w:val="fr-CH" w:eastAsia="ko-KR"/>
              </w:rPr>
              <w:t>50,6</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caps/>
                <w:szCs w:val="22"/>
                <w:lang w:val="fr-CH" w:eastAsia="ko-KR"/>
              </w:rPr>
            </w:pPr>
            <w:r w:rsidRPr="00A07150">
              <w:rPr>
                <w:rFonts w:asciiTheme="majorBidi" w:hAnsiTheme="majorBidi" w:cstheme="majorBidi"/>
                <w:caps/>
                <w:lang w:val="fr-CH" w:eastAsia="ko-KR"/>
              </w:rPr>
              <w:t>87,1</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caps/>
                <w:szCs w:val="22"/>
                <w:lang w:val="fr-CH" w:eastAsia="ko-KR"/>
              </w:rPr>
            </w:pPr>
            <w:r w:rsidRPr="00A07150">
              <w:rPr>
                <w:rFonts w:asciiTheme="majorBidi" w:hAnsiTheme="majorBidi" w:cstheme="majorBidi"/>
                <w:caps/>
                <w:lang w:val="fr-CH" w:eastAsia="ko-KR"/>
              </w:rPr>
              <w:t>41,7</w:t>
            </w:r>
          </w:p>
        </w:tc>
      </w:tr>
      <w:tr w:rsidR="005B35CF" w:rsidRPr="00A07150" w:rsidTr="00311F98">
        <w:trPr>
          <w:jc w:val="center"/>
        </w:trPr>
        <w:tc>
          <w:tcPr>
            <w:tcW w:w="1701" w:type="dxa"/>
            <w:gridSpan w:val="2"/>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left"/>
              <w:rPr>
                <w:rFonts w:asciiTheme="majorBidi" w:hAnsiTheme="majorBidi" w:cstheme="majorBidi"/>
                <w:szCs w:val="22"/>
                <w:lang w:val="fr-CH"/>
              </w:rPr>
            </w:pPr>
            <w:r w:rsidRPr="00A07150">
              <w:rPr>
                <w:rFonts w:asciiTheme="majorBidi" w:hAnsiTheme="majorBidi" w:cstheme="majorBidi"/>
                <w:lang w:val="fr-CH" w:eastAsia="ja-JP"/>
              </w:rPr>
              <w:t>Puissance surfacique (dB(W/(m</w:t>
            </w:r>
            <w:r w:rsidRPr="00A07150">
              <w:rPr>
                <w:rFonts w:asciiTheme="majorBidi" w:hAnsiTheme="majorBidi" w:cstheme="majorBidi"/>
                <w:vertAlign w:val="superscript"/>
                <w:lang w:val="fr-CH" w:eastAsia="ja-JP"/>
              </w:rPr>
              <w:t>2</w:t>
            </w:r>
            <w:r w:rsidRPr="00A07150">
              <w:rPr>
                <w:rFonts w:asciiTheme="majorBidi" w:hAnsiTheme="majorBidi" w:cstheme="majorBidi"/>
                <w:lang w:val="fr-CH" w:eastAsia="ja-JP"/>
              </w:rPr>
              <w:t> · 1 MHz))</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–105,0</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–105,0</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–105,0</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–105,0</w:t>
            </w:r>
          </w:p>
        </w:tc>
      </w:tr>
      <w:tr w:rsidR="005B35CF" w:rsidRPr="00A07150" w:rsidTr="00311F98">
        <w:trPr>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5B35CF" w:rsidRPr="00A07150" w:rsidRDefault="005B35CF" w:rsidP="005B35CF">
            <w:pPr>
              <w:pStyle w:val="Tabletext"/>
              <w:keepNext/>
              <w:keepLines/>
              <w:jc w:val="left"/>
              <w:rPr>
                <w:rFonts w:asciiTheme="majorBidi" w:hAnsiTheme="majorBidi" w:cstheme="majorBidi"/>
                <w:lang w:val="fr-CH"/>
              </w:rPr>
            </w:pPr>
            <w:r w:rsidRPr="00A07150">
              <w:rPr>
                <w:rFonts w:asciiTheme="majorBidi" w:hAnsiTheme="majorBidi" w:cstheme="majorBidi"/>
                <w:i/>
                <w:lang w:val="fr-CH"/>
              </w:rPr>
              <w:t>C</w:t>
            </w:r>
            <w:r w:rsidRPr="00A07150">
              <w:rPr>
                <w:rFonts w:asciiTheme="majorBidi" w:hAnsiTheme="majorBidi" w:cstheme="majorBidi"/>
                <w:iCs/>
                <w:lang w:val="fr-CH"/>
              </w:rPr>
              <w:t>/</w:t>
            </w:r>
            <w:r w:rsidRPr="00A07150">
              <w:rPr>
                <w:rFonts w:asciiTheme="majorBidi" w:hAnsiTheme="majorBidi" w:cstheme="majorBidi"/>
                <w:i/>
                <w:lang w:val="fr-CH"/>
              </w:rPr>
              <w:t>N</w:t>
            </w:r>
            <w:r w:rsidRPr="00A07150">
              <w:rPr>
                <w:rFonts w:asciiTheme="majorBidi" w:hAnsiTheme="majorBidi" w:cstheme="majorBidi"/>
                <w:lang w:val="fr-CH"/>
              </w:rPr>
              <w:t xml:space="preserve"> total</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5,6 dB</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99,98%</w:t>
            </w:r>
            <w:r w:rsidRPr="00A07150">
              <w:rPr>
                <w:rFonts w:asciiTheme="majorBidi" w:hAnsiTheme="majorBidi" w:cstheme="majorBidi"/>
                <w:lang w:val="fr-CH"/>
              </w:rPr>
              <w:br/>
              <w:t>(21,9 dB)</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99,98%</w:t>
            </w:r>
            <w:r w:rsidRPr="00A07150">
              <w:rPr>
                <w:rFonts w:asciiTheme="majorBidi" w:hAnsiTheme="majorBidi" w:cstheme="majorBidi"/>
                <w:lang w:val="fr-CH"/>
              </w:rPr>
              <w:br/>
              <w:t>(22,1 dB)</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99,88%</w:t>
            </w:r>
            <w:r w:rsidRPr="00A07150">
              <w:rPr>
                <w:rFonts w:asciiTheme="majorBidi" w:hAnsiTheme="majorBidi" w:cstheme="majorBidi"/>
                <w:lang w:val="fr-CH"/>
              </w:rPr>
              <w:br/>
              <w:t>(21,8 dB)</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szCs w:val="22"/>
                <w:lang w:val="fr-CH"/>
              </w:rPr>
            </w:pPr>
            <w:r w:rsidRPr="00A07150">
              <w:rPr>
                <w:rFonts w:asciiTheme="majorBidi" w:hAnsiTheme="majorBidi" w:cstheme="majorBidi"/>
                <w:lang w:val="fr-CH"/>
              </w:rPr>
              <w:t>99,99%</w:t>
            </w:r>
            <w:r w:rsidRPr="00A07150">
              <w:rPr>
                <w:rFonts w:asciiTheme="majorBidi" w:hAnsiTheme="majorBidi" w:cstheme="majorBidi"/>
                <w:lang w:val="fr-CH"/>
              </w:rPr>
              <w:br/>
              <w:t>(21,1 dB)</w:t>
            </w:r>
          </w:p>
        </w:tc>
      </w:tr>
      <w:tr w:rsidR="005B35CF" w:rsidRPr="00A07150" w:rsidTr="00311F98">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5B35CF" w:rsidRPr="00A07150" w:rsidRDefault="005B35CF" w:rsidP="005B35CF">
            <w:pPr>
              <w:keepNext/>
              <w:keepLines/>
              <w:rPr>
                <w:rFonts w:asciiTheme="majorBidi" w:hAnsiTheme="majorBidi" w:cstheme="majorBidi"/>
                <w:sz w:val="20"/>
                <w:lang w:val="fr-CH"/>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7,5 dB</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99,9</w:t>
            </w:r>
            <w:r w:rsidRPr="00A07150">
              <w:rPr>
                <w:rFonts w:asciiTheme="majorBidi" w:hAnsiTheme="majorBidi" w:cstheme="majorBidi"/>
                <w:lang w:val="fr-CH" w:eastAsia="ko-KR"/>
              </w:rPr>
              <w:t>7</w:t>
            </w:r>
            <w:r w:rsidRPr="00A07150">
              <w:rPr>
                <w:rFonts w:asciiTheme="majorBidi" w:hAnsiTheme="majorBidi" w:cstheme="majorBidi"/>
                <w:lang w:val="fr-CH"/>
              </w:rPr>
              <w:t>%</w:t>
            </w:r>
            <w:r w:rsidRPr="00A07150">
              <w:rPr>
                <w:rFonts w:asciiTheme="majorBidi" w:hAnsiTheme="majorBidi" w:cstheme="majorBidi"/>
                <w:lang w:val="fr-CH"/>
              </w:rPr>
              <w:br/>
              <w:t>(20,0 dB)</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99,97%</w:t>
            </w:r>
            <w:r w:rsidRPr="00A07150">
              <w:rPr>
                <w:rFonts w:asciiTheme="majorBidi" w:hAnsiTheme="majorBidi" w:cstheme="majorBidi"/>
                <w:lang w:val="fr-CH"/>
              </w:rPr>
              <w:br/>
              <w:t>(20,2 dB)</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99,8</w:t>
            </w:r>
            <w:r w:rsidRPr="00A07150">
              <w:rPr>
                <w:rFonts w:asciiTheme="majorBidi" w:hAnsiTheme="majorBidi" w:cstheme="majorBidi"/>
                <w:lang w:val="fr-CH" w:eastAsia="ko-KR"/>
              </w:rPr>
              <w:t>5</w:t>
            </w:r>
            <w:r w:rsidRPr="00A07150">
              <w:rPr>
                <w:rFonts w:asciiTheme="majorBidi" w:hAnsiTheme="majorBidi" w:cstheme="majorBidi"/>
                <w:lang w:val="fr-CH"/>
              </w:rPr>
              <w:t>%</w:t>
            </w:r>
            <w:r w:rsidRPr="00A07150">
              <w:rPr>
                <w:rFonts w:asciiTheme="majorBidi" w:hAnsiTheme="majorBidi" w:cstheme="majorBidi"/>
                <w:lang w:val="fr-CH"/>
              </w:rPr>
              <w:br/>
              <w:t>(19,8 dB)</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keepNext/>
              <w:keepLines/>
              <w:jc w:val="center"/>
              <w:rPr>
                <w:rFonts w:asciiTheme="majorBidi" w:hAnsiTheme="majorBidi" w:cstheme="majorBidi"/>
                <w:lang w:val="fr-CH"/>
              </w:rPr>
            </w:pPr>
            <w:r w:rsidRPr="00A07150">
              <w:rPr>
                <w:rFonts w:asciiTheme="majorBidi" w:hAnsiTheme="majorBidi" w:cstheme="majorBidi"/>
                <w:lang w:val="fr-CH"/>
              </w:rPr>
              <w:t>99,99%</w:t>
            </w:r>
            <w:r w:rsidRPr="00A07150">
              <w:rPr>
                <w:rFonts w:asciiTheme="majorBidi" w:hAnsiTheme="majorBidi" w:cstheme="majorBidi"/>
                <w:lang w:val="fr-CH"/>
              </w:rPr>
              <w:br/>
              <w:t>(19,1 dB)</w:t>
            </w:r>
          </w:p>
        </w:tc>
      </w:tr>
      <w:tr w:rsidR="005B35CF" w:rsidRPr="00A07150" w:rsidTr="00311F98">
        <w:trPr>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5B35CF" w:rsidRPr="00A07150" w:rsidRDefault="005B35CF" w:rsidP="005B35CF">
            <w:pPr>
              <w:rPr>
                <w:rFonts w:asciiTheme="majorBidi" w:hAnsiTheme="majorBidi" w:cstheme="majorBidi"/>
                <w:sz w:val="20"/>
                <w:lang w:val="fr-CH"/>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B35CF" w:rsidRPr="00A07150" w:rsidRDefault="005B35CF" w:rsidP="005B35CF">
            <w:pPr>
              <w:pStyle w:val="Tabletext"/>
              <w:jc w:val="center"/>
              <w:rPr>
                <w:rFonts w:asciiTheme="majorBidi" w:hAnsiTheme="majorBidi" w:cstheme="majorBidi"/>
                <w:lang w:val="fr-CH"/>
              </w:rPr>
            </w:pPr>
            <w:r w:rsidRPr="00A07150">
              <w:rPr>
                <w:rFonts w:asciiTheme="majorBidi" w:hAnsiTheme="majorBidi" w:cstheme="majorBidi"/>
                <w:lang w:val="fr-CH"/>
              </w:rPr>
              <w:t>10,7 dB</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jc w:val="center"/>
              <w:rPr>
                <w:rFonts w:asciiTheme="majorBidi" w:hAnsiTheme="majorBidi" w:cstheme="majorBidi"/>
                <w:lang w:val="fr-CH"/>
              </w:rPr>
            </w:pPr>
            <w:r w:rsidRPr="00A07150">
              <w:rPr>
                <w:rFonts w:asciiTheme="majorBidi" w:hAnsiTheme="majorBidi" w:cstheme="majorBidi"/>
                <w:lang w:val="fr-CH"/>
              </w:rPr>
              <w:t>99,9</w:t>
            </w:r>
            <w:r w:rsidRPr="00A07150">
              <w:rPr>
                <w:rFonts w:asciiTheme="majorBidi" w:hAnsiTheme="majorBidi" w:cstheme="majorBidi"/>
                <w:lang w:val="fr-CH" w:eastAsia="ko-KR"/>
              </w:rPr>
              <w:t>5</w:t>
            </w:r>
            <w:r w:rsidRPr="00A07150">
              <w:rPr>
                <w:rFonts w:asciiTheme="majorBidi" w:hAnsiTheme="majorBidi" w:cstheme="majorBidi"/>
                <w:lang w:val="fr-CH"/>
              </w:rPr>
              <w:t>%</w:t>
            </w:r>
            <w:r w:rsidRPr="00A07150">
              <w:rPr>
                <w:rFonts w:asciiTheme="majorBidi" w:hAnsiTheme="majorBidi" w:cstheme="majorBidi"/>
                <w:lang w:val="fr-CH"/>
              </w:rPr>
              <w:br/>
              <w:t>(16,7 dB)</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jc w:val="center"/>
              <w:rPr>
                <w:rFonts w:asciiTheme="majorBidi" w:hAnsiTheme="majorBidi" w:cstheme="majorBidi"/>
                <w:lang w:val="fr-CH"/>
              </w:rPr>
            </w:pPr>
            <w:r w:rsidRPr="00A07150">
              <w:rPr>
                <w:rFonts w:asciiTheme="majorBidi" w:hAnsiTheme="majorBidi" w:cstheme="majorBidi"/>
                <w:lang w:val="fr-CH"/>
              </w:rPr>
              <w:t>99,95%</w:t>
            </w:r>
            <w:r w:rsidRPr="00A07150">
              <w:rPr>
                <w:rFonts w:asciiTheme="majorBidi" w:hAnsiTheme="majorBidi" w:cstheme="majorBidi"/>
                <w:lang w:val="fr-CH"/>
              </w:rPr>
              <w:br/>
              <w:t>(17,0 dB)</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jc w:val="center"/>
              <w:rPr>
                <w:rFonts w:asciiTheme="majorBidi" w:hAnsiTheme="majorBidi" w:cstheme="majorBidi"/>
                <w:lang w:val="fr-CH"/>
              </w:rPr>
            </w:pPr>
            <w:r w:rsidRPr="00A07150">
              <w:rPr>
                <w:rFonts w:asciiTheme="majorBidi" w:hAnsiTheme="majorBidi" w:cstheme="majorBidi"/>
                <w:lang w:val="fr-CH"/>
              </w:rPr>
              <w:t>99,7</w:t>
            </w:r>
            <w:r w:rsidRPr="00A07150">
              <w:rPr>
                <w:rFonts w:asciiTheme="majorBidi" w:hAnsiTheme="majorBidi" w:cstheme="majorBidi"/>
                <w:lang w:val="fr-CH" w:eastAsia="ko-KR"/>
              </w:rPr>
              <w:t>8</w:t>
            </w:r>
            <w:r w:rsidRPr="00A07150">
              <w:rPr>
                <w:rFonts w:asciiTheme="majorBidi" w:hAnsiTheme="majorBidi" w:cstheme="majorBidi"/>
                <w:lang w:val="fr-CH"/>
              </w:rPr>
              <w:t>%</w:t>
            </w:r>
            <w:r w:rsidRPr="00A07150">
              <w:rPr>
                <w:rFonts w:asciiTheme="majorBidi" w:hAnsiTheme="majorBidi" w:cstheme="majorBidi"/>
                <w:lang w:val="fr-CH"/>
              </w:rPr>
              <w:br/>
              <w:t>(16,6 dB)</w:t>
            </w:r>
          </w:p>
        </w:tc>
        <w:tc>
          <w:tcPr>
            <w:tcW w:w="1559" w:type="dxa"/>
            <w:tcBorders>
              <w:top w:val="single" w:sz="4" w:space="0" w:color="000000"/>
              <w:left w:val="single" w:sz="4" w:space="0" w:color="000000"/>
              <w:bottom w:val="single" w:sz="4" w:space="0" w:color="000000"/>
              <w:right w:val="single" w:sz="4" w:space="0" w:color="000000"/>
            </w:tcBorders>
            <w:hideMark/>
          </w:tcPr>
          <w:p w:rsidR="005B35CF" w:rsidRPr="00A07150" w:rsidRDefault="005B35CF" w:rsidP="005B35CF">
            <w:pPr>
              <w:pStyle w:val="Tabletext"/>
              <w:jc w:val="center"/>
              <w:rPr>
                <w:rFonts w:asciiTheme="majorBidi" w:hAnsiTheme="majorBidi" w:cstheme="majorBidi"/>
                <w:lang w:val="fr-CH"/>
              </w:rPr>
            </w:pPr>
            <w:r w:rsidRPr="00A07150">
              <w:rPr>
                <w:rFonts w:asciiTheme="majorBidi" w:hAnsiTheme="majorBidi" w:cstheme="majorBidi"/>
                <w:lang w:val="fr-CH"/>
              </w:rPr>
              <w:t>99,99%</w:t>
            </w:r>
            <w:r w:rsidRPr="00A07150">
              <w:rPr>
                <w:rFonts w:asciiTheme="majorBidi" w:hAnsiTheme="majorBidi" w:cstheme="majorBidi"/>
                <w:lang w:val="fr-CH"/>
              </w:rPr>
              <w:br/>
              <w:t>(15,9 dB)</w:t>
            </w:r>
          </w:p>
        </w:tc>
      </w:tr>
    </w:tbl>
    <w:p w:rsidR="005B35CF" w:rsidRPr="00A07150" w:rsidRDefault="005B35CF" w:rsidP="005B35CF">
      <w:pPr>
        <w:pStyle w:val="Tablefin"/>
        <w:rPr>
          <w:rFonts w:eastAsia="Malgun Gothic"/>
          <w:lang w:val="fr-CH" w:eastAsia="ja-JP"/>
        </w:rPr>
      </w:pPr>
    </w:p>
    <w:p w:rsidR="005B35CF" w:rsidRPr="00A07150" w:rsidRDefault="005B35CF" w:rsidP="005B35CF">
      <w:pPr>
        <w:pStyle w:val="Note"/>
        <w:rPr>
          <w:lang w:val="fr-CH" w:eastAsia="ja-JP"/>
        </w:rPr>
      </w:pPr>
      <w:r w:rsidRPr="00A07150">
        <w:rPr>
          <w:rFonts w:eastAsia="Malgun Gothic"/>
          <w:lang w:val="fr-CH" w:eastAsia="ja-JP"/>
        </w:rPr>
        <w:t>NOTE </w:t>
      </w:r>
      <w:r w:rsidRPr="00A07150">
        <w:rPr>
          <w:lang w:val="fr-CH" w:eastAsia="ja-JP"/>
        </w:rPr>
        <w:t>–</w:t>
      </w:r>
      <w:r w:rsidRPr="00A07150">
        <w:rPr>
          <w:rFonts w:eastAsia="Malgun Gothic"/>
          <w:lang w:val="fr-CH" w:eastAsia="ja-JP"/>
        </w:rPr>
        <w:t xml:space="preserve"> Les emplacements présentés dans le Tableau 1a ne donnent que des exemples de la disponibilité de service et de l'affaiblissement total sur la liaison dans la </w:t>
      </w:r>
      <w:r w:rsidRPr="00A07150">
        <w:rPr>
          <w:rFonts w:eastAsia="Malgun Gothic"/>
          <w:caps/>
          <w:lang w:val="fr-CH" w:eastAsia="ja-JP"/>
        </w:rPr>
        <w:t>R</w:t>
      </w:r>
      <w:r w:rsidRPr="00A07150">
        <w:rPr>
          <w:rFonts w:eastAsia="Malgun Gothic"/>
          <w:lang w:val="fr-CH" w:eastAsia="ja-JP"/>
        </w:rPr>
        <w:t>égion</w:t>
      </w:r>
      <w:r w:rsidRPr="00A07150">
        <w:rPr>
          <w:rFonts w:eastAsia="Malgun Gothic"/>
          <w:caps/>
          <w:lang w:val="fr-CH" w:eastAsia="ja-JP"/>
        </w:rPr>
        <w:t> 3</w:t>
      </w:r>
      <w:r w:rsidRPr="00A07150">
        <w:rPr>
          <w:rFonts w:eastAsia="Malgun Gothic"/>
          <w:lang w:val="fr-CH" w:eastAsia="ja-JP"/>
        </w:rPr>
        <w:t>.</w:t>
      </w:r>
    </w:p>
    <w:p w:rsidR="005B35CF" w:rsidRPr="00A07150" w:rsidRDefault="005B35CF" w:rsidP="005B35CF">
      <w:pPr>
        <w:pStyle w:val="TableNo"/>
        <w:rPr>
          <w:lang w:val="fr-CH"/>
        </w:rPr>
      </w:pPr>
      <w:r w:rsidRPr="00A07150">
        <w:rPr>
          <w:lang w:val="fr-CH"/>
        </w:rPr>
        <w:t>TABLEAU 1b</w:t>
      </w:r>
    </w:p>
    <w:p w:rsidR="005B35CF" w:rsidRPr="00A07150" w:rsidRDefault="005B35CF" w:rsidP="005B35CF">
      <w:pPr>
        <w:pStyle w:val="Tabletitle"/>
        <w:rPr>
          <w:rFonts w:asciiTheme="majorBidi" w:hAnsiTheme="majorBidi" w:cstheme="majorBidi"/>
          <w:bCs/>
          <w:lang w:val="fr-CH" w:eastAsia="ja-JP"/>
        </w:rPr>
      </w:pPr>
      <w:r w:rsidRPr="00A07150">
        <w:rPr>
          <w:rFonts w:asciiTheme="majorBidi" w:hAnsiTheme="majorBidi" w:cstheme="majorBidi"/>
          <w:lang w:val="fr-CH"/>
        </w:rPr>
        <w:t>Valeurs de disponibilité de service annuelle et d'affaiblissement total sur la liaison applicables</w:t>
      </w:r>
      <w:r w:rsidRPr="00A07150">
        <w:rPr>
          <w:rFonts w:asciiTheme="majorBidi" w:hAnsiTheme="majorBidi" w:cstheme="majorBidi"/>
          <w:lang w:val="fr-CH"/>
        </w:rPr>
        <w:br/>
        <w:t xml:space="preserve">aux liaisons descendantes du SRS dans la bande des 21 GHz dans certaines </w:t>
      </w:r>
      <w:r w:rsidRPr="00A07150">
        <w:rPr>
          <w:rFonts w:asciiTheme="majorBidi" w:hAnsiTheme="majorBidi" w:cstheme="majorBidi"/>
          <w:lang w:val="fr-CH"/>
        </w:rPr>
        <w:br/>
        <w:t xml:space="preserve">villes de la Région </w:t>
      </w:r>
      <w:r w:rsidRPr="00A07150">
        <w:rPr>
          <w:rFonts w:asciiTheme="majorBidi" w:hAnsiTheme="majorBidi" w:cstheme="majorBidi"/>
          <w:bCs/>
          <w:lang w:val="fr-CH" w:eastAsia="ja-JP"/>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701"/>
        <w:gridCol w:w="1559"/>
        <w:gridCol w:w="1559"/>
        <w:gridCol w:w="1559"/>
        <w:gridCol w:w="1559"/>
      </w:tblGrid>
      <w:tr w:rsidR="005B35CF" w:rsidRPr="00A07150" w:rsidTr="00311F98">
        <w:trPr>
          <w:cantSplit/>
          <w:jc w:val="center"/>
        </w:trPr>
        <w:tc>
          <w:tcPr>
            <w:tcW w:w="1701" w:type="dxa"/>
            <w:gridSpan w:val="2"/>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head"/>
              <w:rPr>
                <w:lang w:val="fr-CH"/>
              </w:rPr>
            </w:pP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head"/>
              <w:rPr>
                <w:lang w:val="fr-CH"/>
              </w:rPr>
            </w:pPr>
            <w:r w:rsidRPr="00A07150">
              <w:rPr>
                <w:lang w:val="fr-CH"/>
              </w:rPr>
              <w:t>Moscou</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head"/>
              <w:rPr>
                <w:lang w:val="fr-CH"/>
              </w:rPr>
            </w:pPr>
            <w:r w:rsidRPr="00A07150">
              <w:rPr>
                <w:lang w:val="fr-CH"/>
              </w:rPr>
              <w:t>Paris</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head"/>
              <w:rPr>
                <w:lang w:val="fr-CH"/>
              </w:rPr>
            </w:pPr>
            <w:r w:rsidRPr="00A07150">
              <w:rPr>
                <w:lang w:val="fr-CH"/>
              </w:rPr>
              <w:t>Istanbul</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head"/>
              <w:rPr>
                <w:lang w:val="fr-CH"/>
              </w:rPr>
            </w:pPr>
            <w:r w:rsidRPr="00A07150">
              <w:rPr>
                <w:lang w:val="fr-CH"/>
              </w:rPr>
              <w:t>Pretoria</w:t>
            </w:r>
          </w:p>
        </w:tc>
      </w:tr>
      <w:tr w:rsidR="005B35CF" w:rsidRPr="00A07150" w:rsidTr="00311F98">
        <w:trPr>
          <w:cantSplit/>
          <w:jc w:val="center"/>
        </w:trPr>
        <w:tc>
          <w:tcPr>
            <w:tcW w:w="1701" w:type="dxa"/>
            <w:gridSpan w:val="2"/>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left"/>
              <w:rPr>
                <w:rFonts w:asciiTheme="majorBidi" w:hAnsiTheme="majorBidi" w:cstheme="majorBidi"/>
                <w:lang w:val="fr-CH" w:eastAsia="ja-JP"/>
              </w:rPr>
            </w:pPr>
            <w:r w:rsidRPr="00A07150">
              <w:rPr>
                <w:rFonts w:asciiTheme="majorBidi" w:hAnsiTheme="majorBidi" w:cstheme="majorBidi"/>
                <w:lang w:val="fr-CH" w:eastAsia="ja-JP"/>
              </w:rPr>
              <w:t>Angle d'élévation (degrés)</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26,5</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33,2</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40,7</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59,9</w:t>
            </w:r>
          </w:p>
        </w:tc>
      </w:tr>
      <w:tr w:rsidR="005B35CF" w:rsidRPr="00A07150" w:rsidTr="00311F98">
        <w:trPr>
          <w:cantSplit/>
          <w:jc w:val="center"/>
        </w:trPr>
        <w:tc>
          <w:tcPr>
            <w:tcW w:w="1701" w:type="dxa"/>
            <w:gridSpan w:val="2"/>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left"/>
              <w:rPr>
                <w:lang w:val="fr-CH"/>
              </w:rPr>
            </w:pPr>
            <w:r w:rsidRPr="00A07150">
              <w:rPr>
                <w:lang w:val="fr-CH"/>
              </w:rPr>
              <w:t>Intensité de pluie pendant 0,01% de l'année (mm/h)</w:t>
            </w:r>
          </w:p>
        </w:tc>
        <w:tc>
          <w:tcPr>
            <w:tcW w:w="1559" w:type="dxa"/>
            <w:tcBorders>
              <w:top w:val="single" w:sz="4" w:space="0" w:color="auto"/>
              <w:left w:val="single" w:sz="4" w:space="0" w:color="auto"/>
              <w:bottom w:val="single" w:sz="4" w:space="0" w:color="auto"/>
              <w:right w:val="single" w:sz="4" w:space="0" w:color="auto"/>
            </w:tcBorders>
            <w:vAlign w:val="center"/>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31,7</w:t>
            </w:r>
          </w:p>
        </w:tc>
        <w:tc>
          <w:tcPr>
            <w:tcW w:w="1559" w:type="dxa"/>
            <w:tcBorders>
              <w:top w:val="single" w:sz="4" w:space="0" w:color="auto"/>
              <w:left w:val="single" w:sz="4" w:space="0" w:color="auto"/>
              <w:bottom w:val="single" w:sz="4" w:space="0" w:color="auto"/>
              <w:right w:val="single" w:sz="4" w:space="0" w:color="auto"/>
            </w:tcBorders>
            <w:vAlign w:val="center"/>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31,8</w:t>
            </w:r>
          </w:p>
        </w:tc>
        <w:tc>
          <w:tcPr>
            <w:tcW w:w="1559" w:type="dxa"/>
            <w:tcBorders>
              <w:top w:val="single" w:sz="4" w:space="0" w:color="auto"/>
              <w:left w:val="single" w:sz="4" w:space="0" w:color="auto"/>
              <w:bottom w:val="single" w:sz="4" w:space="0" w:color="auto"/>
              <w:right w:val="single" w:sz="4" w:space="0" w:color="auto"/>
            </w:tcBorders>
            <w:vAlign w:val="center"/>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38,9</w:t>
            </w:r>
          </w:p>
        </w:tc>
        <w:tc>
          <w:tcPr>
            <w:tcW w:w="1559" w:type="dxa"/>
            <w:tcBorders>
              <w:top w:val="single" w:sz="4" w:space="0" w:color="auto"/>
              <w:left w:val="single" w:sz="4" w:space="0" w:color="auto"/>
              <w:bottom w:val="single" w:sz="4" w:space="0" w:color="auto"/>
              <w:right w:val="single" w:sz="4" w:space="0" w:color="auto"/>
            </w:tcBorders>
            <w:vAlign w:val="center"/>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53,2</w:t>
            </w:r>
          </w:p>
        </w:tc>
      </w:tr>
      <w:tr w:rsidR="005B35CF" w:rsidRPr="00A07150" w:rsidTr="005B35CF">
        <w:trPr>
          <w:cantSplit/>
          <w:jc w:val="center"/>
        </w:trPr>
        <w:tc>
          <w:tcPr>
            <w:tcW w:w="1701" w:type="dxa"/>
            <w:gridSpan w:val="2"/>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left"/>
              <w:rPr>
                <w:rFonts w:asciiTheme="majorBidi" w:hAnsiTheme="majorBidi" w:cstheme="majorBidi"/>
                <w:lang w:val="fr-CH" w:eastAsia="ja-JP"/>
              </w:rPr>
            </w:pPr>
            <w:r w:rsidRPr="00A07150">
              <w:rPr>
                <w:rFonts w:asciiTheme="majorBidi" w:hAnsiTheme="majorBidi" w:cstheme="majorBidi"/>
                <w:lang w:val="fr-CH" w:eastAsia="ja-JP"/>
              </w:rPr>
              <w:t>Puissance surfacique (dB(W/(m</w:t>
            </w:r>
            <w:r w:rsidRPr="00A07150">
              <w:rPr>
                <w:rFonts w:asciiTheme="majorBidi" w:hAnsiTheme="majorBidi" w:cstheme="majorBidi"/>
                <w:vertAlign w:val="superscript"/>
                <w:lang w:val="fr-CH" w:eastAsia="ja-JP"/>
              </w:rPr>
              <w:t>2</w:t>
            </w:r>
            <w:r w:rsidRPr="00A07150">
              <w:rPr>
                <w:rFonts w:asciiTheme="majorBidi" w:hAnsiTheme="majorBidi" w:cstheme="majorBidi"/>
                <w:lang w:val="fr-CH" w:eastAsia="ja-JP"/>
              </w:rPr>
              <w:t> · 1 MHz))</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–105,0</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–105,0</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–105,0</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rPr>
              <w:t>−</w:t>
            </w:r>
            <w:r w:rsidRPr="00A07150">
              <w:rPr>
                <w:rFonts w:asciiTheme="majorBidi" w:hAnsiTheme="majorBidi" w:cstheme="majorBidi"/>
                <w:lang w:val="fr-CH" w:eastAsia="ja-JP"/>
              </w:rPr>
              <w:t>105,0</w:t>
            </w:r>
          </w:p>
        </w:tc>
      </w:tr>
      <w:tr w:rsidR="005B35CF" w:rsidRPr="00A07150" w:rsidTr="00311F98">
        <w:trPr>
          <w:cantSplit/>
          <w:jc w:val="center"/>
        </w:trPr>
        <w:tc>
          <w:tcPr>
            <w:tcW w:w="1701" w:type="dxa"/>
            <w:vMerge w:val="restart"/>
            <w:tcBorders>
              <w:top w:val="single" w:sz="4" w:space="0" w:color="auto"/>
              <w:left w:val="single" w:sz="4" w:space="0" w:color="auto"/>
              <w:right w:val="single" w:sz="4" w:space="0" w:color="auto"/>
            </w:tcBorders>
            <w:vAlign w:val="center"/>
          </w:tcPr>
          <w:p w:rsidR="005B35CF" w:rsidRPr="00A07150" w:rsidRDefault="005B35CF" w:rsidP="005B35CF">
            <w:pPr>
              <w:pStyle w:val="Tabletext"/>
              <w:jc w:val="left"/>
              <w:rPr>
                <w:rFonts w:asciiTheme="majorBidi" w:hAnsiTheme="majorBidi" w:cstheme="majorBidi"/>
                <w:lang w:val="fr-CH" w:eastAsia="ja-JP"/>
              </w:rPr>
            </w:pPr>
            <w:r w:rsidRPr="00A07150">
              <w:rPr>
                <w:rFonts w:asciiTheme="majorBidi" w:hAnsiTheme="majorBidi" w:cstheme="majorBidi"/>
                <w:i/>
                <w:lang w:val="fr-CH" w:eastAsia="ja-JP"/>
              </w:rPr>
              <w:t>C</w:t>
            </w:r>
            <w:r w:rsidRPr="00A07150">
              <w:rPr>
                <w:rFonts w:asciiTheme="majorBidi" w:hAnsiTheme="majorBidi" w:cstheme="majorBidi"/>
                <w:iCs/>
                <w:lang w:val="fr-CH" w:eastAsia="ja-JP"/>
              </w:rPr>
              <w:t>/</w:t>
            </w:r>
            <w:r w:rsidRPr="00A07150">
              <w:rPr>
                <w:rFonts w:asciiTheme="majorBidi" w:hAnsiTheme="majorBidi" w:cstheme="majorBidi"/>
                <w:i/>
                <w:lang w:val="fr-CH" w:eastAsia="ja-JP"/>
              </w:rPr>
              <w:t>N</w:t>
            </w:r>
            <w:r w:rsidRPr="00A07150">
              <w:rPr>
                <w:rFonts w:asciiTheme="majorBidi" w:hAnsiTheme="majorBidi" w:cstheme="majorBidi"/>
                <w:lang w:val="fr-CH" w:eastAsia="ja-JP"/>
              </w:rPr>
              <w:t xml:space="preserve"> total</w:t>
            </w:r>
          </w:p>
        </w:tc>
        <w:tc>
          <w:tcPr>
            <w:tcW w:w="1701" w:type="dxa"/>
            <w:tcBorders>
              <w:top w:val="single" w:sz="4" w:space="0" w:color="auto"/>
              <w:left w:val="single" w:sz="4" w:space="0" w:color="auto"/>
              <w:bottom w:val="single" w:sz="4" w:space="0" w:color="auto"/>
              <w:right w:val="single" w:sz="4" w:space="0" w:color="auto"/>
            </w:tcBorders>
            <w:vAlign w:val="center"/>
          </w:tcPr>
          <w:p w:rsidR="005B35CF" w:rsidRPr="00A07150" w:rsidRDefault="005B35CF" w:rsidP="005B35CF">
            <w:pPr>
              <w:pStyle w:val="Tabletext"/>
              <w:jc w:val="center"/>
              <w:rPr>
                <w:rFonts w:asciiTheme="majorBidi" w:hAnsiTheme="majorBidi" w:cstheme="majorBidi"/>
                <w:bCs/>
                <w:lang w:val="fr-CH" w:eastAsia="ja-JP"/>
              </w:rPr>
            </w:pPr>
            <w:r w:rsidRPr="00A07150">
              <w:rPr>
                <w:rFonts w:asciiTheme="majorBidi" w:hAnsiTheme="majorBidi" w:cstheme="majorBidi"/>
                <w:bCs/>
                <w:lang w:val="fr-CH" w:eastAsia="ja-JP"/>
              </w:rPr>
              <w:t>5,6 dB</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99,99%</w:t>
            </w:r>
            <w:r w:rsidRPr="00A07150">
              <w:rPr>
                <w:rFonts w:asciiTheme="majorBidi" w:hAnsiTheme="majorBidi" w:cstheme="majorBidi"/>
                <w:lang w:val="fr-CH" w:eastAsia="ja-JP"/>
              </w:rPr>
              <w:br/>
              <w:t>(22,0 dB)</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99,99%</w:t>
            </w:r>
            <w:r w:rsidRPr="00A07150">
              <w:rPr>
                <w:rFonts w:asciiTheme="majorBidi" w:hAnsiTheme="majorBidi" w:cstheme="majorBidi"/>
                <w:lang w:val="fr-CH" w:eastAsia="ja-JP"/>
              </w:rPr>
              <w:br/>
              <w:t>(21,9 dB)</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99,99</w:t>
            </w:r>
            <w:r w:rsidRPr="00A07150">
              <w:rPr>
                <w:rFonts w:asciiTheme="majorBidi" w:hAnsiTheme="majorBidi" w:cstheme="majorBidi"/>
                <w:lang w:val="fr-CH" w:eastAsia="ja-JP"/>
              </w:rPr>
              <w:br/>
              <w:t>(21,9 dB)</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99,97%</w:t>
            </w:r>
            <w:r w:rsidRPr="00A07150">
              <w:rPr>
                <w:rFonts w:asciiTheme="majorBidi" w:hAnsiTheme="majorBidi" w:cstheme="majorBidi"/>
                <w:lang w:val="fr-CH" w:eastAsia="ja-JP"/>
              </w:rPr>
              <w:br/>
              <w:t>(22,1 dB)</w:t>
            </w:r>
          </w:p>
        </w:tc>
      </w:tr>
      <w:tr w:rsidR="005B35CF" w:rsidRPr="00A07150" w:rsidTr="00311F98">
        <w:trPr>
          <w:cantSplit/>
          <w:jc w:val="center"/>
        </w:trPr>
        <w:tc>
          <w:tcPr>
            <w:tcW w:w="1701" w:type="dxa"/>
            <w:vMerge/>
            <w:tcBorders>
              <w:left w:val="single" w:sz="4" w:space="0" w:color="auto"/>
              <w:right w:val="single" w:sz="4" w:space="0" w:color="auto"/>
            </w:tcBorders>
            <w:vAlign w:val="center"/>
          </w:tcPr>
          <w:p w:rsidR="005B35CF" w:rsidRPr="00A07150" w:rsidRDefault="005B35CF" w:rsidP="005B35CF">
            <w:pPr>
              <w:pStyle w:val="Tabletext"/>
              <w:jc w:val="left"/>
              <w:rPr>
                <w:rFonts w:asciiTheme="majorBidi" w:hAnsiTheme="majorBidi" w:cstheme="majorBidi"/>
                <w:iCs/>
                <w:lang w:val="fr-CH" w:eastAsia="ja-JP"/>
              </w:rPr>
            </w:pPr>
          </w:p>
        </w:tc>
        <w:tc>
          <w:tcPr>
            <w:tcW w:w="1701" w:type="dxa"/>
            <w:tcBorders>
              <w:top w:val="single" w:sz="4" w:space="0" w:color="auto"/>
              <w:left w:val="single" w:sz="4" w:space="0" w:color="auto"/>
              <w:bottom w:val="single" w:sz="4" w:space="0" w:color="auto"/>
              <w:right w:val="single" w:sz="4" w:space="0" w:color="auto"/>
            </w:tcBorders>
            <w:vAlign w:val="center"/>
          </w:tcPr>
          <w:p w:rsidR="005B35CF" w:rsidRPr="00A07150" w:rsidRDefault="005B35CF" w:rsidP="005B35CF">
            <w:pPr>
              <w:pStyle w:val="Tabletext"/>
              <w:jc w:val="center"/>
              <w:rPr>
                <w:rFonts w:asciiTheme="majorBidi" w:hAnsiTheme="majorBidi" w:cstheme="majorBidi"/>
                <w:bCs/>
                <w:lang w:val="fr-CH" w:eastAsia="ja-JP"/>
              </w:rPr>
            </w:pPr>
            <w:r w:rsidRPr="00A07150">
              <w:rPr>
                <w:rFonts w:asciiTheme="majorBidi" w:hAnsiTheme="majorBidi" w:cstheme="majorBidi"/>
                <w:bCs/>
                <w:lang w:val="fr-CH" w:eastAsia="ja-JP"/>
              </w:rPr>
              <w:t>7</w:t>
            </w:r>
            <w:r w:rsidRPr="00A07150">
              <w:rPr>
                <w:rFonts w:asciiTheme="majorBidi" w:hAnsiTheme="majorBidi" w:cstheme="majorBidi"/>
                <w:lang w:val="fr-CH" w:eastAsia="ja-JP"/>
              </w:rPr>
              <w:t>,</w:t>
            </w:r>
            <w:r w:rsidRPr="00A07150">
              <w:rPr>
                <w:rFonts w:asciiTheme="majorBidi" w:hAnsiTheme="majorBidi" w:cstheme="majorBidi"/>
                <w:bCs/>
                <w:lang w:val="fr-CH" w:eastAsia="ja-JP"/>
              </w:rPr>
              <w:t>5 dB</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99,99%</w:t>
            </w:r>
            <w:r w:rsidRPr="00A07150">
              <w:rPr>
                <w:rFonts w:asciiTheme="majorBidi" w:hAnsiTheme="majorBidi" w:cstheme="majorBidi"/>
                <w:lang w:val="fr-CH" w:eastAsia="ja-JP"/>
              </w:rPr>
              <w:br/>
              <w:t>(20,1 dB)</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99,99%</w:t>
            </w:r>
            <w:r w:rsidRPr="00A07150">
              <w:rPr>
                <w:rFonts w:asciiTheme="majorBidi" w:hAnsiTheme="majorBidi" w:cstheme="majorBidi"/>
                <w:lang w:val="fr-CH" w:eastAsia="ja-JP"/>
              </w:rPr>
              <w:br/>
              <w:t>(20,0 dB)</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99,99%</w:t>
            </w:r>
            <w:r w:rsidRPr="00A07150">
              <w:rPr>
                <w:rFonts w:asciiTheme="majorBidi" w:hAnsiTheme="majorBidi" w:cstheme="majorBidi"/>
                <w:lang w:val="fr-CH" w:eastAsia="ja-JP"/>
              </w:rPr>
              <w:br/>
              <w:t>(20,0 dB)</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99,97%</w:t>
            </w:r>
            <w:r w:rsidRPr="00A07150">
              <w:rPr>
                <w:rFonts w:asciiTheme="majorBidi" w:hAnsiTheme="majorBidi" w:cstheme="majorBidi"/>
                <w:lang w:val="fr-CH" w:eastAsia="ja-JP"/>
              </w:rPr>
              <w:br/>
              <w:t>(20,2 dB)</w:t>
            </w:r>
          </w:p>
        </w:tc>
      </w:tr>
      <w:tr w:rsidR="005B35CF" w:rsidRPr="00A07150" w:rsidTr="00311F98">
        <w:trPr>
          <w:cantSplit/>
          <w:jc w:val="center"/>
        </w:trPr>
        <w:tc>
          <w:tcPr>
            <w:tcW w:w="1701" w:type="dxa"/>
            <w:vMerge/>
            <w:tcBorders>
              <w:left w:val="single" w:sz="4" w:space="0" w:color="auto"/>
              <w:bottom w:val="single" w:sz="4" w:space="0" w:color="auto"/>
              <w:right w:val="single" w:sz="4" w:space="0" w:color="auto"/>
            </w:tcBorders>
          </w:tcPr>
          <w:p w:rsidR="005B35CF" w:rsidRPr="00A07150" w:rsidRDefault="005B35CF" w:rsidP="005B35CF">
            <w:pPr>
              <w:pStyle w:val="Tabletext"/>
              <w:jc w:val="left"/>
              <w:rPr>
                <w:rFonts w:asciiTheme="majorBidi" w:hAnsiTheme="majorBidi" w:cstheme="majorBidi"/>
                <w:bCs/>
                <w:lang w:val="fr-CH" w:eastAsia="ja-JP"/>
              </w:rPr>
            </w:pPr>
          </w:p>
        </w:tc>
        <w:tc>
          <w:tcPr>
            <w:tcW w:w="1701" w:type="dxa"/>
            <w:tcBorders>
              <w:top w:val="single" w:sz="4" w:space="0" w:color="auto"/>
              <w:left w:val="single" w:sz="4" w:space="0" w:color="auto"/>
              <w:bottom w:val="single" w:sz="4" w:space="0" w:color="auto"/>
              <w:right w:val="single" w:sz="4" w:space="0" w:color="auto"/>
            </w:tcBorders>
            <w:vAlign w:val="center"/>
          </w:tcPr>
          <w:p w:rsidR="005B35CF" w:rsidRPr="00A07150" w:rsidRDefault="005B35CF" w:rsidP="005B35CF">
            <w:pPr>
              <w:pStyle w:val="Tabletext"/>
              <w:jc w:val="center"/>
              <w:rPr>
                <w:rFonts w:asciiTheme="majorBidi" w:hAnsiTheme="majorBidi" w:cstheme="majorBidi"/>
                <w:bCs/>
                <w:lang w:val="fr-CH" w:eastAsia="ja-JP"/>
              </w:rPr>
            </w:pPr>
            <w:r w:rsidRPr="00A07150">
              <w:rPr>
                <w:rFonts w:asciiTheme="majorBidi" w:hAnsiTheme="majorBidi" w:cstheme="majorBidi"/>
                <w:bCs/>
                <w:lang w:val="fr-CH" w:eastAsia="ja-JP"/>
              </w:rPr>
              <w:t>10</w:t>
            </w:r>
            <w:r w:rsidRPr="00A07150">
              <w:rPr>
                <w:rFonts w:asciiTheme="majorBidi" w:hAnsiTheme="majorBidi" w:cstheme="majorBidi"/>
                <w:lang w:val="fr-CH" w:eastAsia="ja-JP"/>
              </w:rPr>
              <w:t>,</w:t>
            </w:r>
            <w:r w:rsidRPr="00A07150">
              <w:rPr>
                <w:rFonts w:asciiTheme="majorBidi" w:hAnsiTheme="majorBidi" w:cstheme="majorBidi"/>
                <w:bCs/>
                <w:lang w:val="fr-CH" w:eastAsia="ja-JP"/>
              </w:rPr>
              <w:t>7 dB</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99,98%</w:t>
            </w:r>
            <w:r w:rsidRPr="00A07150">
              <w:rPr>
                <w:rFonts w:asciiTheme="majorBidi" w:hAnsiTheme="majorBidi" w:cstheme="majorBidi"/>
                <w:lang w:val="fr-CH" w:eastAsia="ja-JP"/>
              </w:rPr>
              <w:br/>
              <w:t>(16,8 dB)</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99,99%</w:t>
            </w:r>
            <w:r w:rsidRPr="00A07150">
              <w:rPr>
                <w:rFonts w:asciiTheme="majorBidi" w:hAnsiTheme="majorBidi" w:cstheme="majorBidi"/>
                <w:lang w:val="fr-CH" w:eastAsia="ja-JP"/>
              </w:rPr>
              <w:br/>
              <w:t>(16,7 dB)</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99,99%</w:t>
            </w:r>
            <w:r w:rsidRPr="00A07150">
              <w:rPr>
                <w:rFonts w:asciiTheme="majorBidi" w:hAnsiTheme="majorBidi" w:cstheme="majorBidi"/>
                <w:lang w:val="fr-CH" w:eastAsia="ja-JP"/>
              </w:rPr>
              <w:br/>
              <w:t>(16,7 dB)</w:t>
            </w:r>
          </w:p>
        </w:tc>
        <w:tc>
          <w:tcPr>
            <w:tcW w:w="1559" w:type="dxa"/>
            <w:tcBorders>
              <w:top w:val="single" w:sz="4" w:space="0" w:color="auto"/>
              <w:left w:val="single" w:sz="4" w:space="0" w:color="auto"/>
              <w:bottom w:val="single" w:sz="4" w:space="0" w:color="auto"/>
              <w:right w:val="single" w:sz="4" w:space="0" w:color="auto"/>
            </w:tcBorders>
          </w:tcPr>
          <w:p w:rsidR="005B35CF" w:rsidRPr="00A07150" w:rsidRDefault="005B35CF" w:rsidP="005B35CF">
            <w:pPr>
              <w:pStyle w:val="Tabletext"/>
              <w:jc w:val="center"/>
              <w:rPr>
                <w:rFonts w:asciiTheme="majorBidi" w:hAnsiTheme="majorBidi" w:cstheme="majorBidi"/>
                <w:lang w:val="fr-CH" w:eastAsia="ja-JP"/>
              </w:rPr>
            </w:pPr>
            <w:r w:rsidRPr="00A07150">
              <w:rPr>
                <w:rFonts w:asciiTheme="majorBidi" w:hAnsiTheme="majorBidi" w:cstheme="majorBidi"/>
                <w:lang w:val="fr-CH" w:eastAsia="ja-JP"/>
              </w:rPr>
              <w:t>99,95%</w:t>
            </w:r>
            <w:r w:rsidRPr="00A07150">
              <w:rPr>
                <w:rFonts w:asciiTheme="majorBidi" w:hAnsiTheme="majorBidi" w:cstheme="majorBidi"/>
                <w:lang w:val="fr-CH" w:eastAsia="ja-JP"/>
              </w:rPr>
              <w:br/>
              <w:t>(16,9 dB)</w:t>
            </w:r>
          </w:p>
        </w:tc>
      </w:tr>
    </w:tbl>
    <w:p w:rsidR="005B35CF" w:rsidRPr="00A07150" w:rsidRDefault="005B35CF" w:rsidP="005B35CF">
      <w:pPr>
        <w:pStyle w:val="Tablefin"/>
        <w:rPr>
          <w:lang w:val="fr-CH" w:eastAsia="ja-JP"/>
        </w:rPr>
      </w:pPr>
    </w:p>
    <w:p w:rsidR="005B35CF" w:rsidRPr="00A07150" w:rsidRDefault="005B35CF" w:rsidP="005B35CF">
      <w:pPr>
        <w:pStyle w:val="Note"/>
        <w:rPr>
          <w:rFonts w:eastAsia="Malgun Gothic"/>
          <w:lang w:val="fr-CH" w:eastAsia="ja-JP"/>
        </w:rPr>
      </w:pPr>
      <w:r w:rsidRPr="00A07150">
        <w:rPr>
          <w:rFonts w:eastAsia="Malgun Gothic"/>
          <w:lang w:val="fr-CH" w:eastAsia="ja-JP"/>
        </w:rPr>
        <w:t>NOTE </w:t>
      </w:r>
      <w:r w:rsidRPr="00A07150">
        <w:rPr>
          <w:lang w:val="fr-CH" w:eastAsia="ja-JP"/>
        </w:rPr>
        <w:t>–</w:t>
      </w:r>
      <w:r w:rsidRPr="00A07150">
        <w:rPr>
          <w:rFonts w:eastAsia="Malgun Gothic"/>
          <w:lang w:val="fr-CH" w:eastAsia="ja-JP"/>
        </w:rPr>
        <w:t xml:space="preserve"> Les emplacements présentés dans le Tableau 1b ne donnent que des exemples de la disponibilité de service et de l'affaiblissement total sur la liaison dans la </w:t>
      </w:r>
      <w:r w:rsidRPr="00A07150">
        <w:rPr>
          <w:rFonts w:eastAsia="Malgun Gothic"/>
          <w:caps/>
          <w:lang w:val="fr-CH" w:eastAsia="ja-JP"/>
        </w:rPr>
        <w:t>R</w:t>
      </w:r>
      <w:r w:rsidRPr="00A07150">
        <w:rPr>
          <w:rFonts w:eastAsia="Malgun Gothic"/>
          <w:lang w:val="fr-CH" w:eastAsia="ja-JP"/>
        </w:rPr>
        <w:t>égion</w:t>
      </w:r>
      <w:r w:rsidRPr="00A07150">
        <w:rPr>
          <w:rFonts w:eastAsia="Malgun Gothic"/>
          <w:caps/>
          <w:lang w:val="fr-CH" w:eastAsia="ja-JP"/>
        </w:rPr>
        <w:t> 1</w:t>
      </w:r>
      <w:r w:rsidRPr="00A07150">
        <w:rPr>
          <w:rFonts w:eastAsia="Malgun Gothic"/>
          <w:lang w:val="fr-CH" w:eastAsia="ja-JP"/>
        </w:rPr>
        <w:t>.</w:t>
      </w:r>
    </w:p>
    <w:p w:rsidR="005B35CF" w:rsidRPr="00A07150" w:rsidRDefault="005B35CF" w:rsidP="005B35CF">
      <w:pPr>
        <w:pStyle w:val="Note"/>
        <w:rPr>
          <w:lang w:val="fr-CH" w:eastAsia="ja-JP"/>
        </w:rPr>
      </w:pPr>
    </w:p>
    <w:p w:rsidR="005B35CF" w:rsidRPr="00A07150" w:rsidRDefault="005B35CF" w:rsidP="005B35CF">
      <w:pPr>
        <w:pStyle w:val="Line"/>
        <w:rPr>
          <w:lang w:val="fr-CH"/>
        </w:rPr>
      </w:pPr>
    </w:p>
    <w:p w:rsidR="005B35CF" w:rsidRPr="00A07150" w:rsidRDefault="005B35CF" w:rsidP="005B35CF">
      <w:pPr>
        <w:rPr>
          <w:lang w:val="fr-CH"/>
        </w:rPr>
      </w:pPr>
    </w:p>
    <w:sectPr w:rsidR="005B35CF" w:rsidRPr="00A07150" w:rsidSect="005B35CF">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572" w:rsidRDefault="000A7572">
      <w:r>
        <w:separator/>
      </w:r>
    </w:p>
  </w:endnote>
  <w:endnote w:type="continuationSeparator" w:id="0">
    <w:p w:rsidR="000A7572" w:rsidRDefault="000A7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algun Gothic">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572" w:rsidRDefault="000A7572">
      <w:r>
        <w:separator/>
      </w:r>
    </w:p>
  </w:footnote>
  <w:footnote w:type="continuationSeparator" w:id="0">
    <w:p w:rsidR="000A7572" w:rsidRDefault="000A75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572" w:rsidRDefault="000A757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572" w:rsidRDefault="000A7572" w:rsidP="00C668C8">
    <w:pPr>
      <w:pStyle w:val="Header"/>
      <w:ind w:right="360" w:firstLine="360"/>
    </w:pPr>
    <w:r>
      <w:rPr>
        <w:noProof/>
        <w:lang w:val="en-US" w:eastAsia="zh-CN"/>
      </w:rPr>
      <w:drawing>
        <wp:anchor distT="0" distB="0" distL="114300" distR="114300" simplePos="0" relativeHeight="251659264" behindDoc="1" locked="0" layoutInCell="1" allowOverlap="1" wp14:anchorId="43A34102" wp14:editId="6901CD6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572" w:rsidRPr="00837CB5" w:rsidRDefault="000A7572" w:rsidP="005B35CF">
    <w:pPr>
      <w:pStyle w:val="Header"/>
      <w:tabs>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7649F">
      <w:rPr>
        <w:rStyle w:val="PageNumber"/>
        <w:b/>
        <w:bCs/>
        <w:noProof/>
      </w:rPr>
      <w:t>ii</w:t>
    </w:r>
    <w:r>
      <w:rPr>
        <w:rStyle w:val="PageNumber"/>
        <w:b/>
        <w:bCs/>
      </w:rPr>
      <w:fldChar w:fldCharType="end"/>
    </w:r>
    <w:r w:rsidRPr="00837CB5">
      <w:tab/>
    </w:r>
    <w:fldSimple w:instr=" DOCPROPERTY &quot;Header&quot; \* MERGEFORMAT ">
      <w:r>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7649F">
      <w:rPr>
        <w:b/>
        <w:bCs/>
        <w:noProof/>
      </w:rPr>
      <w:t>UIT-R  BO.1776-1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572" w:rsidRDefault="000A7572">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BO.xxxx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5B35CF">
    <w:pPr>
      <w:pStyle w:val="Header"/>
      <w:tabs>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7649F">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A7572" w:rsidRPr="000A757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7649F">
      <w:rPr>
        <w:b/>
        <w:bCs/>
        <w:noProof/>
      </w:rPr>
      <w:t>UIT-R  BO.1776-1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5B35CF">
    <w:pPr>
      <w:pStyle w:val="Header"/>
      <w:tabs>
        <w:tab w:val="center" w:pos="9696"/>
      </w:tabs>
    </w:pPr>
    <w:r>
      <w:tab/>
    </w:r>
    <w:r w:rsidR="0097649F">
      <w:fldChar w:fldCharType="begin"/>
    </w:r>
    <w:r w:rsidR="0097649F">
      <w:instrText xml:space="preserve"> DOCPROPERTY "Header" \* MERGEFORMAT </w:instrText>
    </w:r>
    <w:r w:rsidR="0097649F">
      <w:fldChar w:fldCharType="separate"/>
    </w:r>
    <w:r w:rsidR="000A7572" w:rsidRPr="000A7572">
      <w:rPr>
        <w:b/>
        <w:bCs/>
      </w:rPr>
      <w:t xml:space="preserve">Rec. </w:t>
    </w:r>
    <w:r w:rsidR="0097649F">
      <w:rPr>
        <w:b/>
        <w:bCs/>
      </w:rPr>
      <w:fldChar w:fldCharType="end"/>
    </w:r>
    <w:r>
      <w:rPr>
        <w:b/>
        <w:bCs/>
      </w:rPr>
      <w:t xml:space="preserve"> </w:t>
    </w:r>
    <w:r>
      <w:rPr>
        <w:b/>
        <w:bCs/>
      </w:rPr>
      <w:fldChar w:fldCharType="begin"/>
    </w:r>
    <w:r>
      <w:rPr>
        <w:b/>
        <w:bCs/>
      </w:rPr>
      <w:instrText>styleref href</w:instrText>
    </w:r>
    <w:r>
      <w:rPr>
        <w:b/>
        <w:bCs/>
      </w:rPr>
      <w:fldChar w:fldCharType="separate"/>
    </w:r>
    <w:r w:rsidR="0097649F">
      <w:rPr>
        <w:b/>
        <w:bCs/>
        <w:noProof/>
      </w:rPr>
      <w:t>UIT-R  BO.1776-1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7649F">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572"/>
    <w:rsid w:val="000A7572"/>
    <w:rsid w:val="00217EBF"/>
    <w:rsid w:val="00242AEE"/>
    <w:rsid w:val="002D76C4"/>
    <w:rsid w:val="0052529D"/>
    <w:rsid w:val="005B35CF"/>
    <w:rsid w:val="00607D68"/>
    <w:rsid w:val="007468DA"/>
    <w:rsid w:val="0097649F"/>
    <w:rsid w:val="009E00A8"/>
    <w:rsid w:val="00A07150"/>
    <w:rsid w:val="00A6617B"/>
    <w:rsid w:val="00AB0DC8"/>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A7572"/>
    <w:rPr>
      <w:color w:val="0000FF"/>
      <w:u w:val="single"/>
    </w:rPr>
  </w:style>
  <w:style w:type="character" w:customStyle="1" w:styleId="NormalaftertitleChar">
    <w:name w:val="Normal_after_title Char"/>
    <w:basedOn w:val="DefaultParagraphFont"/>
    <w:link w:val="Normalaftertitle"/>
    <w:locked/>
    <w:rsid w:val="005B35CF"/>
    <w:rPr>
      <w:sz w:val="24"/>
      <w:lang w:val="fr-FR" w:eastAsia="en-US"/>
    </w:rPr>
  </w:style>
  <w:style w:type="character" w:customStyle="1" w:styleId="TabletextChar">
    <w:name w:val="Table_text Char"/>
    <w:basedOn w:val="DefaultParagraphFont"/>
    <w:link w:val="Tabletext"/>
    <w:locked/>
    <w:rsid w:val="005B35CF"/>
    <w:rPr>
      <w:sz w:val="22"/>
      <w:lang w:val="fr-FR" w:eastAsia="en-US"/>
    </w:rPr>
  </w:style>
  <w:style w:type="character" w:customStyle="1" w:styleId="Tabletitle0">
    <w:name w:val="Table_title Знак"/>
    <w:basedOn w:val="DefaultParagraphFont"/>
    <w:link w:val="Tabletitle"/>
    <w:locked/>
    <w:rsid w:val="005B35CF"/>
    <w:rPr>
      <w:b/>
      <w:sz w:val="24"/>
      <w:lang w:val="fr-FR" w:eastAsia="en-US"/>
    </w:rPr>
  </w:style>
  <w:style w:type="character" w:customStyle="1" w:styleId="TableNo0">
    <w:name w:val="Table_No Знак"/>
    <w:basedOn w:val="DefaultParagraphFont"/>
    <w:link w:val="TableNo"/>
    <w:locked/>
    <w:rsid w:val="005B35CF"/>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A7572"/>
    <w:rPr>
      <w:color w:val="0000FF"/>
      <w:u w:val="single"/>
    </w:rPr>
  </w:style>
  <w:style w:type="character" w:customStyle="1" w:styleId="NormalaftertitleChar">
    <w:name w:val="Normal_after_title Char"/>
    <w:basedOn w:val="DefaultParagraphFont"/>
    <w:link w:val="Normalaftertitle"/>
    <w:locked/>
    <w:rsid w:val="005B35CF"/>
    <w:rPr>
      <w:sz w:val="24"/>
      <w:lang w:val="fr-FR" w:eastAsia="en-US"/>
    </w:rPr>
  </w:style>
  <w:style w:type="character" w:customStyle="1" w:styleId="TabletextChar">
    <w:name w:val="Table_text Char"/>
    <w:basedOn w:val="DefaultParagraphFont"/>
    <w:link w:val="Tabletext"/>
    <w:locked/>
    <w:rsid w:val="005B35CF"/>
    <w:rPr>
      <w:sz w:val="22"/>
      <w:lang w:val="fr-FR" w:eastAsia="en-US"/>
    </w:rPr>
  </w:style>
  <w:style w:type="character" w:customStyle="1" w:styleId="Tabletitle0">
    <w:name w:val="Table_title Знак"/>
    <w:basedOn w:val="DefaultParagraphFont"/>
    <w:link w:val="Tabletitle"/>
    <w:locked/>
    <w:rsid w:val="005B35CF"/>
    <w:rPr>
      <w:b/>
      <w:sz w:val="24"/>
      <w:lang w:val="fr-FR" w:eastAsia="en-US"/>
    </w:rPr>
  </w:style>
  <w:style w:type="character" w:customStyle="1" w:styleId="TableNo0">
    <w:name w:val="Table_No Знак"/>
    <w:basedOn w:val="DefaultParagraphFont"/>
    <w:link w:val="TableNo"/>
    <w:locked/>
    <w:rsid w:val="005B35C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0</TotalTime>
  <Pages>5</Pages>
  <Words>1400</Words>
  <Characters>7983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delaroqu</cp:lastModifiedBy>
  <cp:revision>2</cp:revision>
  <cp:lastPrinted>2005-02-10T15:54:00Z</cp:lastPrinted>
  <dcterms:created xsi:type="dcterms:W3CDTF">2012-06-07T07:23:00Z</dcterms:created>
  <dcterms:modified xsi:type="dcterms:W3CDTF">2012-06-07T07:23:00Z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