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77504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1B164E">
              <w:rPr>
                <w:rFonts w:ascii="Tahoma" w:hAnsi="Tahoma" w:cs="Tahoma"/>
                <w:b/>
                <w:bCs/>
                <w:iCs/>
                <w:color w:val="243285"/>
                <w:sz w:val="36"/>
                <w:szCs w:val="36"/>
                <w:lang w:val="en-US"/>
              </w:rPr>
              <w:t>BO</w:t>
            </w:r>
            <w:r w:rsidRPr="001511A6">
              <w:rPr>
                <w:rFonts w:ascii="Tahoma" w:hAnsi="Tahoma" w:cs="Tahoma"/>
                <w:b/>
                <w:bCs/>
                <w:iCs/>
                <w:color w:val="243285"/>
                <w:sz w:val="36"/>
                <w:szCs w:val="36"/>
                <w:lang w:val="en-US"/>
              </w:rPr>
              <w:t>.</w:t>
            </w:r>
            <w:r w:rsidR="00775045">
              <w:rPr>
                <w:rFonts w:ascii="Tahoma" w:hAnsi="Tahoma" w:cs="Tahoma"/>
                <w:b/>
                <w:bCs/>
                <w:iCs/>
                <w:color w:val="243285"/>
                <w:sz w:val="36"/>
                <w:szCs w:val="36"/>
                <w:lang w:val="en-US"/>
              </w:rPr>
              <w:t>1776-1</w:t>
            </w:r>
          </w:p>
          <w:p w:rsidR="00FE79FE" w:rsidRPr="001511A6" w:rsidRDefault="00FE79FE" w:rsidP="0077504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75045">
              <w:rPr>
                <w:rFonts w:ascii="Tahoma" w:hAnsi="Tahoma" w:cs="Tahoma"/>
                <w:b/>
                <w:bCs/>
                <w:iCs/>
                <w:color w:val="243285"/>
                <w:szCs w:val="24"/>
                <w:lang w:val="en-US"/>
              </w:rPr>
              <w:t>01</w:t>
            </w:r>
            <w:r w:rsidRPr="001511A6">
              <w:rPr>
                <w:rFonts w:ascii="Tahoma" w:hAnsi="Tahoma" w:cs="Tahoma"/>
                <w:b/>
                <w:bCs/>
                <w:iCs/>
                <w:color w:val="243285"/>
                <w:szCs w:val="24"/>
                <w:lang w:val="en-US"/>
              </w:rPr>
              <w:t>/</w:t>
            </w:r>
            <w:r w:rsidR="00775045">
              <w:rPr>
                <w:rFonts w:ascii="Tahoma" w:hAnsi="Tahoma" w:cs="Tahoma"/>
                <w:b/>
                <w:bCs/>
                <w:iCs/>
                <w:color w:val="243285"/>
                <w:szCs w:val="24"/>
                <w:lang w:val="en-US"/>
              </w:rPr>
              <w:t>2012</w:t>
            </w:r>
            <w:r w:rsidRPr="001511A6">
              <w:rPr>
                <w:rFonts w:ascii="Tahoma" w:hAnsi="Tahoma" w:cs="Tahoma"/>
                <w:b/>
                <w:bCs/>
                <w:iCs/>
                <w:color w:val="243285"/>
                <w:szCs w:val="24"/>
                <w:lang w:val="en-US"/>
              </w:rPr>
              <w:t>)</w:t>
            </w:r>
          </w:p>
        </w:tc>
      </w:tr>
      <w:tr w:rsidR="00FE79FE" w:rsidRPr="005441AD">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75045" w:rsidP="0077504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Maximum power flux-density for the broadcasting-satellite service</w:t>
            </w:r>
            <w:r>
              <w:rPr>
                <w:rFonts w:ascii="Tahoma" w:hAnsi="Tahoma" w:cs="Tahoma"/>
                <w:b/>
                <w:bCs/>
                <w:iCs/>
                <w:color w:val="243285"/>
                <w:sz w:val="44"/>
                <w:szCs w:val="44"/>
                <w:lang w:val="en-US"/>
              </w:rPr>
              <w:br/>
              <w:t>in the band 21.4-22.0 GHz</w:t>
            </w:r>
            <w:r>
              <w:rPr>
                <w:rFonts w:ascii="Tahoma" w:hAnsi="Tahoma" w:cs="Tahoma"/>
                <w:b/>
                <w:bCs/>
                <w:iCs/>
                <w:color w:val="243285"/>
                <w:sz w:val="44"/>
                <w:szCs w:val="44"/>
                <w:lang w:val="en-US"/>
              </w:rPr>
              <w:br/>
              <w:t>in Regions 1 and 3</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Pr="00775045" w:rsidRDefault="001F38BB" w:rsidP="001F38BB">
            <w:pPr>
              <w:spacing w:before="80" w:line="280" w:lineRule="exact"/>
              <w:ind w:right="640"/>
              <w:rPr>
                <w:rFonts w:ascii="Tahoma" w:hAnsi="Tahoma" w:cs="Tahoma"/>
                <w:b/>
                <w:bCs/>
                <w:iCs/>
                <w:color w:val="243285"/>
                <w:sz w:val="32"/>
                <w:szCs w:val="32"/>
                <w:lang w:val="en-US"/>
              </w:rPr>
            </w:pPr>
          </w:p>
          <w:p w:rsidR="001F38BB" w:rsidRPr="00775045" w:rsidRDefault="001F38BB" w:rsidP="001F38BB">
            <w:pPr>
              <w:spacing w:before="80" w:line="280" w:lineRule="exact"/>
              <w:ind w:right="640"/>
              <w:rPr>
                <w:rFonts w:ascii="Tahoma" w:hAnsi="Tahoma" w:cs="Tahoma"/>
                <w:b/>
                <w:bCs/>
                <w:iCs/>
                <w:color w:val="243285"/>
                <w:sz w:val="32"/>
                <w:szCs w:val="32"/>
                <w:lang w:val="en-US"/>
              </w:rPr>
            </w:pPr>
          </w:p>
          <w:p w:rsidR="001F38BB" w:rsidRPr="00775045"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1B164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BO</w:t>
            </w:r>
            <w:r w:rsidR="00FE79FE" w:rsidRPr="001511A6">
              <w:rPr>
                <w:rFonts w:ascii="Tahoma" w:hAnsi="Tahoma" w:cs="Tahoma"/>
                <w:b/>
                <w:bCs/>
                <w:iCs/>
                <w:color w:val="243285"/>
                <w:sz w:val="36"/>
                <w:szCs w:val="36"/>
                <w:lang w:val="en-US"/>
              </w:rPr>
              <w:t xml:space="preserve"> Series</w:t>
            </w:r>
          </w:p>
          <w:p w:rsidR="00FE79FE" w:rsidRPr="001511A6" w:rsidRDefault="001B164E"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 xml:space="preserve">Satellite </w:t>
            </w:r>
            <w:smartTag w:uri="urn:schemas-microsoft-com:office:smarttags" w:element="State">
              <w:smartTag w:uri="urn:schemas-microsoft-com:office:smarttags" w:element="place">
                <w:r>
                  <w:rPr>
                    <w:rFonts w:ascii="Tahoma" w:hAnsi="Tahoma" w:cs="Tahoma"/>
                    <w:b/>
                    <w:bCs/>
                    <w:iCs/>
                    <w:color w:val="243285"/>
                    <w:sz w:val="36"/>
                    <w:szCs w:val="36"/>
                    <w:lang w:val="en-US"/>
                  </w:rPr>
                  <w:t>del</w:t>
                </w:r>
              </w:smartTag>
            </w:smartTag>
            <w:r>
              <w:rPr>
                <w:rFonts w:ascii="Tahoma" w:hAnsi="Tahoma" w:cs="Tahoma"/>
                <w:b/>
                <w:bCs/>
                <w:iCs/>
                <w:color w:val="243285"/>
                <w:sz w:val="36"/>
                <w:szCs w:val="36"/>
                <w:lang w:val="en-US"/>
              </w:rPr>
              <w:t>ivery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5441A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F92A40">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rsidTr="001B164E">
        <w:tc>
          <w:tcPr>
            <w:tcW w:w="1140" w:type="dxa"/>
            <w:tcBorders>
              <w:top w:val="nil"/>
              <w:bottom w:val="nil"/>
            </w:tcBorders>
            <w:shd w:val="clear" w:color="auto" w:fill="F3F3F3"/>
          </w:tcPr>
          <w:p w:rsidR="00A31928" w:rsidRPr="00F92A40" w:rsidRDefault="00A31928" w:rsidP="006B1D2B">
            <w:pPr>
              <w:spacing w:before="30" w:after="30"/>
              <w:ind w:left="57"/>
              <w:jc w:val="left"/>
              <w:rPr>
                <w:rFonts w:hAnsi="Times New Roman Bold"/>
                <w:b/>
                <w:color w:val="000080"/>
                <w:sz w:val="20"/>
                <w:lang w:val="en-US"/>
              </w:rPr>
            </w:pPr>
            <w:r w:rsidRPr="00F92A40">
              <w:rPr>
                <w:rFonts w:hAnsi="Times New Roman Bold"/>
                <w:b/>
                <w:color w:val="000080"/>
                <w:sz w:val="20"/>
                <w:lang w:val="en-US"/>
              </w:rPr>
              <w:t>BO</w:t>
            </w:r>
          </w:p>
        </w:tc>
        <w:tc>
          <w:tcPr>
            <w:tcW w:w="8220" w:type="dxa"/>
            <w:tcBorders>
              <w:top w:val="nil"/>
              <w:bottom w:val="nil"/>
            </w:tcBorders>
            <w:shd w:val="clear" w:color="auto" w:fill="F3F3F3"/>
          </w:tcPr>
          <w:p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F92A40">
              <w:rPr>
                <w:rFonts w:hAnsi="Times New Roman Bold"/>
                <w:color w:val="000080"/>
                <w:sz w:val="20"/>
                <w:lang w:val="en-US"/>
              </w:rPr>
              <w:t>Satellite delivery</w:t>
            </w:r>
          </w:p>
        </w:tc>
      </w:tr>
      <w:tr w:rsidR="00A31928" w:rsidRPr="005441AD"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441AD" w:rsidTr="001B164E">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441A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5441A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9A41F9">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B0286E">
        <w:rPr>
          <w:sz w:val="20"/>
          <w:lang w:val="en-US"/>
        </w:rPr>
        <w:t>1</w:t>
      </w:r>
      <w:r w:rsidR="005441AD">
        <w:rPr>
          <w:sz w:val="20"/>
          <w:lang w:val="en-US"/>
        </w:rPr>
        <w:t>2</w:t>
      </w:r>
    </w:p>
    <w:p w:rsidR="00470E28" w:rsidRDefault="00470E28" w:rsidP="00906589">
      <w:pPr>
        <w:jc w:val="center"/>
        <w:rPr>
          <w:sz w:val="22"/>
          <w:lang w:val="en-US"/>
        </w:rPr>
      </w:pPr>
    </w:p>
    <w:p w:rsidR="00586EF8" w:rsidRPr="00470E28" w:rsidRDefault="00586EF8" w:rsidP="005441A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0286E">
        <w:rPr>
          <w:sz w:val="20"/>
          <w:lang w:val="en-US"/>
        </w:rPr>
        <w:t>1</w:t>
      </w:r>
      <w:r w:rsidR="005441AD">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775045" w:rsidRDefault="00775045" w:rsidP="00775045">
      <w:pPr>
        <w:pStyle w:val="RecNo"/>
        <w:spacing w:before="0"/>
        <w:rPr>
          <w:lang w:val="en-US"/>
        </w:rPr>
      </w:pPr>
      <w:bookmarkStart w:id="2" w:name="irecnoe"/>
      <w:bookmarkEnd w:id="2"/>
      <w:r w:rsidRPr="00775045">
        <w:rPr>
          <w:lang w:val="en-US"/>
        </w:rPr>
        <w:lastRenderedPageBreak/>
        <w:t xml:space="preserve">RECOMMENDATION  </w:t>
      </w:r>
      <w:r w:rsidRPr="00BF487A">
        <w:rPr>
          <w:rStyle w:val="href"/>
          <w:lang w:val="en-US"/>
        </w:rPr>
        <w:t xml:space="preserve">ITU-R  </w:t>
      </w:r>
      <w:r>
        <w:rPr>
          <w:rStyle w:val="href"/>
          <w:lang w:val="en-US"/>
        </w:rPr>
        <w:t>BO</w:t>
      </w:r>
      <w:r w:rsidRPr="00BF487A">
        <w:rPr>
          <w:rStyle w:val="href"/>
          <w:lang w:val="en-US"/>
        </w:rPr>
        <w:t>.</w:t>
      </w:r>
      <w:r>
        <w:rPr>
          <w:rStyle w:val="href"/>
          <w:lang w:val="en-US"/>
        </w:rPr>
        <w:t>1776-1</w:t>
      </w:r>
    </w:p>
    <w:p w:rsidR="00775045" w:rsidRPr="00775045" w:rsidRDefault="00775045" w:rsidP="00775045">
      <w:pPr>
        <w:pStyle w:val="Rectitle"/>
        <w:rPr>
          <w:rFonts w:asciiTheme="majorBidi" w:hAnsiTheme="majorBidi" w:cstheme="majorBidi"/>
          <w:lang w:val="en-US"/>
        </w:rPr>
      </w:pPr>
      <w:r w:rsidRPr="00775045">
        <w:rPr>
          <w:rFonts w:asciiTheme="majorBidi" w:hAnsiTheme="majorBidi" w:cstheme="majorBidi"/>
          <w:lang w:val="en-US"/>
        </w:rPr>
        <w:t>Maximum power flux-density for the broadcasting-satellite service</w:t>
      </w:r>
      <w:r w:rsidRPr="00775045">
        <w:rPr>
          <w:rFonts w:asciiTheme="majorBidi" w:hAnsiTheme="majorBidi" w:cstheme="majorBidi"/>
          <w:lang w:val="en-US"/>
        </w:rPr>
        <w:br/>
        <w:t>in the band 21.4-22.0 GHz in Regions 1 and 3</w:t>
      </w:r>
    </w:p>
    <w:p w:rsidR="00775045" w:rsidRPr="00775045" w:rsidRDefault="00775045" w:rsidP="00775045">
      <w:pPr>
        <w:pStyle w:val="Recdate"/>
        <w:rPr>
          <w:rFonts w:asciiTheme="majorBidi" w:hAnsiTheme="majorBidi" w:cstheme="majorBidi"/>
          <w:lang w:val="en-US" w:eastAsia="ja-JP"/>
        </w:rPr>
      </w:pPr>
    </w:p>
    <w:p w:rsidR="00775045" w:rsidRPr="00775045" w:rsidRDefault="00775045" w:rsidP="005441AD">
      <w:pPr>
        <w:pStyle w:val="Recdate"/>
        <w:rPr>
          <w:rFonts w:asciiTheme="majorBidi" w:hAnsiTheme="majorBidi" w:cstheme="majorBidi"/>
          <w:lang w:val="en-US" w:eastAsia="ja-JP"/>
        </w:rPr>
      </w:pPr>
      <w:r w:rsidRPr="00775045">
        <w:rPr>
          <w:rFonts w:asciiTheme="majorBidi" w:hAnsiTheme="majorBidi" w:cstheme="majorBidi"/>
          <w:lang w:val="en-US" w:eastAsia="ja-JP"/>
        </w:rPr>
        <w:t>(2006</w:t>
      </w:r>
      <w:r w:rsidR="008D3FB0">
        <w:rPr>
          <w:rFonts w:asciiTheme="majorBidi" w:hAnsiTheme="majorBidi" w:cstheme="majorBidi"/>
          <w:lang w:val="en-US" w:eastAsia="ja-JP"/>
        </w:rPr>
        <w:t>-201</w:t>
      </w:r>
      <w:r w:rsidR="005441AD">
        <w:rPr>
          <w:rFonts w:asciiTheme="majorBidi" w:hAnsiTheme="majorBidi" w:cstheme="majorBidi"/>
          <w:lang w:val="en-US" w:eastAsia="ja-JP"/>
        </w:rPr>
        <w:t>2</w:t>
      </w:r>
      <w:r w:rsidRPr="00775045">
        <w:rPr>
          <w:rFonts w:asciiTheme="majorBidi" w:hAnsiTheme="majorBidi" w:cstheme="majorBidi"/>
          <w:lang w:val="en-US" w:eastAsia="ja-JP"/>
        </w:rPr>
        <w:t>)</w:t>
      </w:r>
    </w:p>
    <w:p w:rsidR="00775045" w:rsidRPr="008D3FB0" w:rsidRDefault="00775045" w:rsidP="00775045">
      <w:pPr>
        <w:pStyle w:val="HeadingSum"/>
        <w:rPr>
          <w:rFonts w:asciiTheme="majorBidi" w:hAnsiTheme="majorBidi" w:cstheme="majorBidi"/>
          <w:sz w:val="22"/>
          <w:lang w:val="en-GB" w:eastAsia="ja-JP"/>
        </w:rPr>
      </w:pPr>
      <w:r w:rsidRPr="008D3FB0">
        <w:rPr>
          <w:rFonts w:asciiTheme="majorBidi" w:hAnsiTheme="majorBidi" w:cstheme="majorBidi"/>
          <w:sz w:val="22"/>
          <w:lang w:val="en-GB" w:eastAsia="ja-JP"/>
        </w:rPr>
        <w:t>Scope</w:t>
      </w:r>
    </w:p>
    <w:p w:rsidR="00775045" w:rsidRPr="008D3FB0" w:rsidRDefault="00775045" w:rsidP="008D3FB0">
      <w:pPr>
        <w:pStyle w:val="Summary"/>
        <w:rPr>
          <w:rFonts w:asciiTheme="majorBidi" w:hAnsiTheme="majorBidi" w:cstheme="majorBidi"/>
          <w:sz w:val="22"/>
          <w:szCs w:val="24"/>
          <w:lang w:val="en-GB" w:eastAsia="ja-JP"/>
        </w:rPr>
      </w:pPr>
      <w:r w:rsidRPr="008D3FB0">
        <w:rPr>
          <w:rFonts w:asciiTheme="majorBidi" w:eastAsia="Malgun Gothic" w:hAnsiTheme="majorBidi" w:cstheme="majorBidi"/>
          <w:sz w:val="22"/>
          <w:szCs w:val="24"/>
          <w:lang w:val="en-GB" w:eastAsia="ja-JP"/>
        </w:rPr>
        <w:t xml:space="preserve">This Recommendation </w:t>
      </w:r>
      <w:r w:rsidRPr="008D3FB0">
        <w:rPr>
          <w:rFonts w:asciiTheme="majorBidi" w:hAnsiTheme="majorBidi" w:cstheme="majorBidi"/>
          <w:sz w:val="22"/>
          <w:szCs w:val="24"/>
          <w:lang w:val="en-GB" w:eastAsia="ja-JP"/>
        </w:rPr>
        <w:t>addresses the maximum power flux-density (pfd) at high elevation angle on the Earth’s surface produced by emissions from a space station in the broadcasting-satellite service (BSS) to be used in studies on sharing for the BSS in the band 21.4-22.0 GHz in Regions 1 and 3.</w:t>
      </w:r>
    </w:p>
    <w:p w:rsidR="00775045" w:rsidRPr="00775045" w:rsidRDefault="00775045" w:rsidP="00775045">
      <w:pPr>
        <w:pStyle w:val="Normalaftertitle"/>
        <w:rPr>
          <w:rFonts w:asciiTheme="majorBidi" w:hAnsiTheme="majorBidi" w:cstheme="majorBidi"/>
          <w:lang w:val="en-US"/>
        </w:rPr>
      </w:pPr>
      <w:r w:rsidRPr="00775045">
        <w:rPr>
          <w:rFonts w:asciiTheme="majorBidi" w:hAnsiTheme="majorBidi" w:cstheme="majorBidi"/>
          <w:lang w:val="en-US"/>
        </w:rPr>
        <w:t>The ITU Radiocommunication Assembly,</w:t>
      </w:r>
    </w:p>
    <w:p w:rsidR="00775045" w:rsidRPr="00775045" w:rsidRDefault="00775045" w:rsidP="00775045">
      <w:pPr>
        <w:pStyle w:val="Call"/>
        <w:rPr>
          <w:rFonts w:asciiTheme="majorBidi" w:hAnsiTheme="majorBidi" w:cstheme="majorBidi"/>
          <w:lang w:val="en-US"/>
        </w:rPr>
      </w:pPr>
      <w:r w:rsidRPr="00775045">
        <w:rPr>
          <w:rFonts w:asciiTheme="majorBidi" w:hAnsiTheme="majorBidi" w:cstheme="majorBidi"/>
          <w:lang w:val="en-US"/>
        </w:rPr>
        <w:t>considering</w:t>
      </w:r>
    </w:p>
    <w:p w:rsidR="00775045" w:rsidRPr="00775045" w:rsidRDefault="00775045" w:rsidP="00775045">
      <w:pPr>
        <w:rPr>
          <w:lang w:val="en-US"/>
        </w:rPr>
      </w:pPr>
      <w:r w:rsidRPr="00775045">
        <w:rPr>
          <w:lang w:val="en-US" w:eastAsia="ja-JP"/>
        </w:rPr>
        <w:t>a)</w:t>
      </w:r>
      <w:r w:rsidRPr="00775045">
        <w:rPr>
          <w:lang w:val="en-US" w:eastAsia="ja-JP"/>
        </w:rPr>
        <w:tab/>
      </w:r>
      <w:r w:rsidRPr="00775045">
        <w:rPr>
          <w:lang w:val="en-US"/>
        </w:rPr>
        <w:t>that the BSS systems in the 21.4-22.0 GHz band have the possibility to deliver wide RF band signals, however high e.i.r.p.</w:t>
      </w:r>
      <w:r w:rsidRPr="00775045">
        <w:rPr>
          <w:lang w:val="en-US" w:eastAsia="ja-JP"/>
        </w:rPr>
        <w:t xml:space="preserve"> of the space station (i.e. high pfd at the receiving earth station) </w:t>
      </w:r>
      <w:r w:rsidRPr="00775045">
        <w:rPr>
          <w:lang w:val="en-US"/>
        </w:rPr>
        <w:t>is needed to compensate for the total link attenuation due to atmospheric effects;</w:t>
      </w:r>
    </w:p>
    <w:p w:rsidR="00775045" w:rsidRPr="00775045" w:rsidRDefault="00775045" w:rsidP="00775045">
      <w:pPr>
        <w:rPr>
          <w:lang w:val="en-US"/>
        </w:rPr>
      </w:pPr>
      <w:r w:rsidRPr="00775045">
        <w:rPr>
          <w:lang w:val="en-US" w:eastAsia="ja-JP"/>
        </w:rPr>
        <w:t>b</w:t>
      </w:r>
      <w:r w:rsidRPr="00775045">
        <w:rPr>
          <w:lang w:val="en-US"/>
        </w:rPr>
        <w:t>)</w:t>
      </w:r>
      <w:r w:rsidRPr="00775045">
        <w:rPr>
          <w:lang w:val="en-US"/>
        </w:rPr>
        <w:tab/>
        <w:t>that service availability of the BSS in the band 21.4-22.0 GHz in Regions 1 and 3 should be aimed at a high percentage to progress, to the maximum extent, towards more reliable high definition television (HDTV) broadcasting services;</w:t>
      </w:r>
    </w:p>
    <w:p w:rsidR="00775045" w:rsidRPr="00775045" w:rsidRDefault="00775045" w:rsidP="00775045">
      <w:pPr>
        <w:rPr>
          <w:lang w:val="en-US" w:eastAsia="ja-JP"/>
        </w:rPr>
      </w:pPr>
      <w:r w:rsidRPr="00775045">
        <w:rPr>
          <w:lang w:val="en-US" w:eastAsia="ja-JP"/>
        </w:rPr>
        <w:t>c</w:t>
      </w:r>
      <w:r w:rsidRPr="00775045">
        <w:rPr>
          <w:lang w:val="en-US"/>
        </w:rPr>
        <w:t>)</w:t>
      </w:r>
      <w:r w:rsidRPr="00775045">
        <w:rPr>
          <w:lang w:val="en-US"/>
        </w:rPr>
        <w:tab/>
        <w:t>that Recommendation ITU-R BO.1659 shows that high service availabilities of more than 99% over the year are expected in Regions 1 and 3 by transmitting an e.i.r.p. leading to a pfd value that equals –105 dB(W/(m</w:t>
      </w:r>
      <w:r w:rsidRPr="00775045">
        <w:rPr>
          <w:szCs w:val="24"/>
          <w:vertAlign w:val="superscript"/>
          <w:lang w:val="en-US"/>
        </w:rPr>
        <w:t>2</w:t>
      </w:r>
      <w:r w:rsidRPr="00775045">
        <w:rPr>
          <w:szCs w:val="24"/>
          <w:lang w:val="en-US"/>
        </w:rPr>
        <w:t> </w:t>
      </w:r>
      <w:r w:rsidRPr="00775045">
        <w:rPr>
          <w:lang w:val="en-US" w:eastAsia="ja-JP"/>
        </w:rPr>
        <w:t>·</w:t>
      </w:r>
      <w:r w:rsidRPr="00775045">
        <w:rPr>
          <w:lang w:val="en-US"/>
        </w:rPr>
        <w:t> 1 MHz)) for areas with high rain rates to compensate for rain attenuation in the band 21.4-22.0 GHz</w:t>
      </w:r>
      <w:r w:rsidRPr="00775045">
        <w:rPr>
          <w:lang w:val="en-US" w:eastAsia="ja-JP"/>
        </w:rPr>
        <w:t>;</w:t>
      </w:r>
    </w:p>
    <w:p w:rsidR="00775045" w:rsidRPr="00775045" w:rsidRDefault="00775045" w:rsidP="00775045">
      <w:pPr>
        <w:rPr>
          <w:lang w:val="en-US" w:eastAsia="ko-KR"/>
        </w:rPr>
      </w:pPr>
      <w:r w:rsidRPr="00775045">
        <w:rPr>
          <w:lang w:val="en-US" w:eastAsia="ko-KR"/>
        </w:rPr>
        <w:t>d)</w:t>
      </w:r>
      <w:r w:rsidRPr="00775045">
        <w:rPr>
          <w:lang w:val="en-US" w:eastAsia="ko-KR"/>
        </w:rPr>
        <w:tab/>
        <w:t xml:space="preserve">that satellite link performance is dependent on not only pfd at the receiving earth station but also, </w:t>
      </w:r>
      <w:r w:rsidRPr="00775045">
        <w:rPr>
          <w:i/>
          <w:lang w:val="en-US" w:eastAsia="ko-KR"/>
        </w:rPr>
        <w:t>inter alia</w:t>
      </w:r>
      <w:r w:rsidRPr="00775045">
        <w:rPr>
          <w:lang w:val="en-US" w:eastAsia="ko-KR"/>
        </w:rPr>
        <w:t>, figure of merit of receiving earth station;</w:t>
      </w:r>
    </w:p>
    <w:p w:rsidR="00775045" w:rsidRPr="00775045" w:rsidRDefault="00775045" w:rsidP="00775045">
      <w:pPr>
        <w:rPr>
          <w:lang w:val="en-US" w:eastAsia="ko-KR"/>
        </w:rPr>
      </w:pPr>
      <w:r w:rsidRPr="00775045">
        <w:rPr>
          <w:lang w:val="en-US" w:eastAsia="ko-KR"/>
        </w:rPr>
        <w:t>e)</w:t>
      </w:r>
      <w:r w:rsidRPr="00775045">
        <w:rPr>
          <w:lang w:val="en-US" w:eastAsia="ko-KR"/>
        </w:rPr>
        <w:tab/>
        <w:t xml:space="preserve">that rain attenuation is dependent on not only rainfall rate but also, </w:t>
      </w:r>
      <w:r w:rsidRPr="00775045">
        <w:rPr>
          <w:i/>
          <w:lang w:val="en-US" w:eastAsia="ko-KR"/>
        </w:rPr>
        <w:t>inter alia</w:t>
      </w:r>
      <w:r w:rsidRPr="00775045">
        <w:rPr>
          <w:lang w:val="en-US" w:eastAsia="ko-KR"/>
        </w:rPr>
        <w:t>, elevation angle, altitude and latitude of the earth station;</w:t>
      </w:r>
    </w:p>
    <w:p w:rsidR="00775045" w:rsidRPr="00775045" w:rsidRDefault="00775045" w:rsidP="00775045">
      <w:pPr>
        <w:rPr>
          <w:lang w:val="en-US" w:eastAsia="ko-KR"/>
        </w:rPr>
      </w:pPr>
      <w:r w:rsidRPr="00775045">
        <w:rPr>
          <w:lang w:val="en-US" w:eastAsia="ko-KR"/>
        </w:rPr>
        <w:t>f)</w:t>
      </w:r>
      <w:r w:rsidRPr="00775045">
        <w:rPr>
          <w:lang w:val="en-US" w:eastAsia="ko-KR"/>
        </w:rPr>
        <w:tab/>
        <w:t>that required service availability of each BSS system is related to the operational requirements,</w:t>
      </w:r>
    </w:p>
    <w:p w:rsidR="00775045" w:rsidRPr="00775045" w:rsidRDefault="00775045" w:rsidP="00775045">
      <w:pPr>
        <w:pStyle w:val="Call"/>
        <w:rPr>
          <w:rFonts w:asciiTheme="majorBidi" w:hAnsiTheme="majorBidi" w:cstheme="majorBidi"/>
          <w:lang w:val="en-US" w:eastAsia="ja-JP"/>
        </w:rPr>
      </w:pPr>
      <w:r w:rsidRPr="00775045">
        <w:rPr>
          <w:rFonts w:asciiTheme="majorBidi" w:hAnsiTheme="majorBidi" w:cstheme="majorBidi"/>
          <w:lang w:val="en-US"/>
        </w:rPr>
        <w:t xml:space="preserve">recommends </w:t>
      </w:r>
    </w:p>
    <w:p w:rsidR="00775045" w:rsidRPr="00775045" w:rsidRDefault="00775045" w:rsidP="00775045">
      <w:pPr>
        <w:rPr>
          <w:lang w:val="en-US" w:eastAsia="ja-JP"/>
        </w:rPr>
      </w:pPr>
      <w:r w:rsidRPr="00775045">
        <w:rPr>
          <w:b/>
          <w:lang w:val="en-US" w:eastAsia="ja-JP"/>
        </w:rPr>
        <w:t>1</w:t>
      </w:r>
      <w:r w:rsidRPr="00775045">
        <w:rPr>
          <w:lang w:val="en-US" w:eastAsia="ja-JP"/>
        </w:rPr>
        <w:tab/>
        <w:t>that, in order to compensate for the total link attenuation due to atmospheric effects calculated for high annual service availability, –105 dB(W/(m</w:t>
      </w:r>
      <w:r w:rsidRPr="00775045">
        <w:rPr>
          <w:szCs w:val="24"/>
          <w:vertAlign w:val="superscript"/>
          <w:lang w:val="en-US" w:eastAsia="ja-JP"/>
        </w:rPr>
        <w:t>2</w:t>
      </w:r>
      <w:r w:rsidRPr="00775045">
        <w:rPr>
          <w:szCs w:val="24"/>
          <w:lang w:val="en-US" w:eastAsia="ja-JP"/>
        </w:rPr>
        <w:t> · 1 </w:t>
      </w:r>
      <w:r w:rsidRPr="00775045">
        <w:rPr>
          <w:lang w:val="en-US" w:eastAsia="ja-JP"/>
        </w:rPr>
        <w:t xml:space="preserve">MHz)) should be considered as the maximum pfd at high elevation angle on the Earth’s surface </w:t>
      </w:r>
      <w:r w:rsidRPr="00775045">
        <w:rPr>
          <w:szCs w:val="24"/>
          <w:lang w:val="en-US" w:eastAsia="ja-JP"/>
        </w:rPr>
        <w:t>under free-space conditions</w:t>
      </w:r>
      <w:r w:rsidRPr="00775045">
        <w:rPr>
          <w:lang w:val="en-US" w:eastAsia="ja-JP"/>
        </w:rPr>
        <w:t xml:space="preserve"> to be used in sharing studies for the BSS in the band 21.4-22.0 GHz (see Annex 1 for examples in different cities in Regions 1 and 3);</w:t>
      </w:r>
    </w:p>
    <w:p w:rsidR="00775045" w:rsidRPr="00775045" w:rsidRDefault="00775045" w:rsidP="00775045">
      <w:pPr>
        <w:rPr>
          <w:sz w:val="22"/>
          <w:szCs w:val="22"/>
          <w:lang w:val="en-US" w:eastAsia="ja-JP"/>
        </w:rPr>
      </w:pPr>
      <w:r w:rsidRPr="00775045">
        <w:rPr>
          <w:b/>
          <w:lang w:val="en-US" w:eastAsia="ja-JP"/>
        </w:rPr>
        <w:t>2</w:t>
      </w:r>
      <w:r w:rsidRPr="00775045">
        <w:rPr>
          <w:lang w:val="en-US" w:eastAsia="ja-JP"/>
        </w:rPr>
        <w:tab/>
        <w:t>that the following Notes should be considered as part of this Recommendation.</w:t>
      </w:r>
    </w:p>
    <w:p w:rsidR="00775045" w:rsidRPr="00775045" w:rsidRDefault="00775045" w:rsidP="00775045">
      <w:pPr>
        <w:rPr>
          <w:lang w:val="en-US"/>
        </w:rPr>
      </w:pPr>
      <w:r w:rsidRPr="00775045">
        <w:rPr>
          <w:lang w:val="en-US" w:eastAsia="ja-JP"/>
        </w:rPr>
        <w:t>NOTE 1 – </w:t>
      </w:r>
      <w:r w:rsidRPr="00775045">
        <w:rPr>
          <w:lang w:val="en-US"/>
        </w:rPr>
        <w:t xml:space="preserve">For countries not subject to high total link attenuation, a lower value than the value in </w:t>
      </w:r>
      <w:r w:rsidRPr="00C44DC3">
        <w:rPr>
          <w:i/>
          <w:lang w:val="en-GB"/>
        </w:rPr>
        <w:t>recommends</w:t>
      </w:r>
      <w:r w:rsidRPr="00775045">
        <w:rPr>
          <w:lang w:val="en-US"/>
        </w:rPr>
        <w:t xml:space="preserve"> 1 above could be considered as the maximum pfd at the Earth’s surface produced by a space station in the BSS to be used in sharing studies for the BSS in the band 21.4-22.0 GHz in Regions 1 and 3.</w:t>
      </w:r>
    </w:p>
    <w:p w:rsidR="00775045" w:rsidRPr="00775045" w:rsidRDefault="00775045" w:rsidP="008D3FB0">
      <w:pPr>
        <w:rPr>
          <w:lang w:val="en-US"/>
        </w:rPr>
      </w:pPr>
      <w:r w:rsidRPr="00775045">
        <w:rPr>
          <w:szCs w:val="24"/>
          <w:lang w:val="en-US"/>
        </w:rPr>
        <w:t>NOTE</w:t>
      </w:r>
      <w:r w:rsidR="008D3FB0">
        <w:rPr>
          <w:szCs w:val="24"/>
          <w:lang w:val="en-US"/>
        </w:rPr>
        <w:t> </w:t>
      </w:r>
      <w:r w:rsidRPr="00775045">
        <w:rPr>
          <w:szCs w:val="24"/>
          <w:lang w:val="en-US"/>
        </w:rPr>
        <w:t>2</w:t>
      </w:r>
      <w:r w:rsidR="008D3FB0">
        <w:rPr>
          <w:szCs w:val="24"/>
          <w:lang w:val="en-US"/>
        </w:rPr>
        <w:t> </w:t>
      </w:r>
      <w:r w:rsidRPr="00775045">
        <w:rPr>
          <w:szCs w:val="24"/>
          <w:lang w:val="en-US"/>
        </w:rPr>
        <w:t>–</w:t>
      </w:r>
      <w:r w:rsidR="008D3FB0">
        <w:rPr>
          <w:szCs w:val="24"/>
          <w:lang w:val="en-US"/>
        </w:rPr>
        <w:t> </w:t>
      </w:r>
      <w:r w:rsidRPr="00775045">
        <w:rPr>
          <w:szCs w:val="24"/>
          <w:lang w:val="en-US"/>
        </w:rPr>
        <w:t>The above-mentioned t</w:t>
      </w:r>
      <w:r w:rsidRPr="00775045">
        <w:rPr>
          <w:szCs w:val="24"/>
          <w:lang w:val="en-US" w:eastAsia="ko-KR"/>
        </w:rPr>
        <w:t>otal link attenuation includes attenuation due to rain and clouds, scintillation, and gaseous attenuation due to water vapour and oxygen. A general method for calculating total link attenuation is given in Recommendation ITU-R P.618.</w:t>
      </w:r>
    </w:p>
    <w:p w:rsidR="00775045" w:rsidRPr="00775045" w:rsidRDefault="00775045" w:rsidP="008D3FB0">
      <w:pPr>
        <w:pStyle w:val="AnnexNoTitle"/>
        <w:rPr>
          <w:rFonts w:asciiTheme="majorBidi" w:hAnsiTheme="majorBidi" w:cstheme="majorBidi"/>
          <w:lang w:val="en-US" w:eastAsia="ja-JP"/>
        </w:rPr>
      </w:pPr>
      <w:r w:rsidRPr="00775045">
        <w:rPr>
          <w:rFonts w:asciiTheme="majorBidi" w:hAnsiTheme="majorBidi" w:cstheme="majorBidi"/>
          <w:lang w:val="en-US" w:eastAsia="ja-JP"/>
        </w:rPr>
        <w:t>Annex</w:t>
      </w:r>
      <w:r w:rsidRPr="00775045" w:rsidDel="00EA5C05">
        <w:rPr>
          <w:rFonts w:asciiTheme="majorBidi" w:hAnsiTheme="majorBidi" w:cstheme="majorBidi"/>
          <w:lang w:val="en-US" w:eastAsia="ja-JP"/>
        </w:rPr>
        <w:t xml:space="preserve"> </w:t>
      </w:r>
      <w:r w:rsidRPr="00775045">
        <w:rPr>
          <w:rFonts w:asciiTheme="majorBidi" w:hAnsiTheme="majorBidi" w:cstheme="majorBidi"/>
          <w:lang w:val="en-US" w:eastAsia="ja-JP"/>
        </w:rPr>
        <w:t>1</w:t>
      </w:r>
      <w:r w:rsidRPr="00775045">
        <w:rPr>
          <w:rFonts w:asciiTheme="majorBidi" w:hAnsiTheme="majorBidi" w:cstheme="majorBidi"/>
          <w:lang w:val="en-US" w:eastAsia="ja-JP"/>
        </w:rPr>
        <w:br/>
      </w:r>
      <w:r w:rsidRPr="00775045">
        <w:rPr>
          <w:rFonts w:asciiTheme="majorBidi" w:hAnsiTheme="majorBidi" w:cstheme="majorBidi"/>
          <w:lang w:val="en-US" w:eastAsia="ja-JP"/>
        </w:rPr>
        <w:br/>
        <w:t>Attainable annual service availability and total link attenuation</w:t>
      </w:r>
      <w:r w:rsidR="008D3FB0">
        <w:rPr>
          <w:rFonts w:asciiTheme="majorBidi" w:hAnsiTheme="majorBidi" w:cstheme="majorBidi"/>
          <w:lang w:val="en-US" w:eastAsia="ja-JP"/>
        </w:rPr>
        <w:t xml:space="preserve"> </w:t>
      </w:r>
      <w:r w:rsidRPr="00775045">
        <w:rPr>
          <w:rFonts w:asciiTheme="majorBidi" w:hAnsiTheme="majorBidi" w:cstheme="majorBidi"/>
          <w:lang w:val="en-US" w:eastAsia="ja-JP"/>
        </w:rPr>
        <w:t>in some</w:t>
      </w:r>
      <w:r w:rsidR="008D3FB0">
        <w:rPr>
          <w:rFonts w:asciiTheme="majorBidi" w:hAnsiTheme="majorBidi" w:cstheme="majorBidi"/>
          <w:lang w:val="en-US" w:eastAsia="ja-JP"/>
        </w:rPr>
        <w:br/>
      </w:r>
      <w:r w:rsidRPr="00775045">
        <w:rPr>
          <w:rFonts w:asciiTheme="majorBidi" w:hAnsiTheme="majorBidi" w:cstheme="majorBidi"/>
          <w:lang w:val="en-US" w:eastAsia="ja-JP"/>
        </w:rPr>
        <w:t>example</w:t>
      </w:r>
      <w:r w:rsidR="008D3FB0">
        <w:rPr>
          <w:rFonts w:asciiTheme="majorBidi" w:hAnsiTheme="majorBidi" w:cstheme="majorBidi"/>
          <w:lang w:val="en-US" w:eastAsia="ja-JP"/>
        </w:rPr>
        <w:t xml:space="preserve"> </w:t>
      </w:r>
      <w:r w:rsidRPr="00775045">
        <w:rPr>
          <w:rFonts w:asciiTheme="majorBidi" w:hAnsiTheme="majorBidi" w:cstheme="majorBidi"/>
          <w:lang w:val="en-US" w:eastAsia="ja-JP"/>
        </w:rPr>
        <w:t>cities in Regions 1 and 3, assuming −105 dB(W/(m</w:t>
      </w:r>
      <w:r w:rsidRPr="00775045">
        <w:rPr>
          <w:rFonts w:asciiTheme="majorBidi" w:hAnsiTheme="majorBidi" w:cstheme="majorBidi"/>
          <w:szCs w:val="28"/>
          <w:vertAlign w:val="superscript"/>
          <w:lang w:val="en-US" w:eastAsia="ja-JP"/>
        </w:rPr>
        <w:t>2</w:t>
      </w:r>
      <w:r w:rsidRPr="00775045">
        <w:rPr>
          <w:rFonts w:asciiTheme="majorBidi" w:hAnsiTheme="majorBidi" w:cstheme="majorBidi"/>
          <w:lang w:val="en-US" w:eastAsia="ja-JP"/>
        </w:rPr>
        <w:t> · 1 MHz))</w:t>
      </w:r>
      <w:r w:rsidR="008D3FB0">
        <w:rPr>
          <w:rFonts w:asciiTheme="majorBidi" w:hAnsiTheme="majorBidi" w:cstheme="majorBidi"/>
          <w:lang w:val="en-US" w:eastAsia="ja-JP"/>
        </w:rPr>
        <w:br/>
      </w:r>
      <w:r w:rsidRPr="00775045">
        <w:rPr>
          <w:rFonts w:asciiTheme="majorBidi" w:hAnsiTheme="majorBidi" w:cstheme="majorBidi"/>
          <w:lang w:val="en-US" w:eastAsia="ja-JP"/>
        </w:rPr>
        <w:t>as the pfd</w:t>
      </w:r>
      <w:r w:rsidR="008D3FB0">
        <w:rPr>
          <w:rFonts w:asciiTheme="majorBidi" w:hAnsiTheme="majorBidi" w:cstheme="majorBidi"/>
          <w:lang w:val="en-US" w:eastAsia="ja-JP"/>
        </w:rPr>
        <w:t xml:space="preserve"> </w:t>
      </w:r>
      <w:r w:rsidRPr="00775045">
        <w:rPr>
          <w:rFonts w:asciiTheme="majorBidi" w:hAnsiTheme="majorBidi" w:cstheme="majorBidi"/>
          <w:lang w:val="en-US" w:eastAsia="ja-JP"/>
        </w:rPr>
        <w:t>at the Earth’s surface produced by emissions</w:t>
      </w:r>
      <w:r w:rsidR="008D3FB0">
        <w:rPr>
          <w:rFonts w:asciiTheme="majorBidi" w:hAnsiTheme="majorBidi" w:cstheme="majorBidi"/>
          <w:lang w:val="en-US" w:eastAsia="ja-JP"/>
        </w:rPr>
        <w:br/>
      </w:r>
      <w:r w:rsidRPr="00775045">
        <w:rPr>
          <w:rFonts w:asciiTheme="majorBidi" w:hAnsiTheme="majorBidi" w:cstheme="majorBidi"/>
          <w:lang w:val="en-US" w:eastAsia="ja-JP"/>
        </w:rPr>
        <w:t>from</w:t>
      </w:r>
      <w:r w:rsidR="008D3FB0">
        <w:rPr>
          <w:rFonts w:asciiTheme="majorBidi" w:hAnsiTheme="majorBidi" w:cstheme="majorBidi"/>
          <w:lang w:val="en-US" w:eastAsia="ja-JP"/>
        </w:rPr>
        <w:t xml:space="preserve"> </w:t>
      </w:r>
      <w:r w:rsidRPr="00775045">
        <w:rPr>
          <w:rFonts w:asciiTheme="majorBidi" w:hAnsiTheme="majorBidi" w:cstheme="majorBidi"/>
          <w:lang w:val="en-US" w:eastAsia="ja-JP"/>
        </w:rPr>
        <w:t>a BSS space station in the band 21.4-22.0 GHz</w:t>
      </w:r>
    </w:p>
    <w:p w:rsidR="00775045" w:rsidRDefault="00775045" w:rsidP="00775045">
      <w:pPr>
        <w:pStyle w:val="Normalaftertitle"/>
        <w:rPr>
          <w:lang w:val="en-US" w:eastAsia="ja-JP"/>
        </w:rPr>
      </w:pPr>
      <w:r w:rsidRPr="00775045">
        <w:rPr>
          <w:lang w:val="en-US" w:eastAsia="ja-JP"/>
        </w:rPr>
        <w:t>Tables 1a and 1b show examples of attainable annual service availability and total link attenuation (in brackets) in some cities in</w:t>
      </w:r>
      <w:r w:rsidR="007576DA">
        <w:rPr>
          <w:lang w:val="en-US" w:eastAsia="ja-JP"/>
        </w:rPr>
        <w:t xml:space="preserve"> Regions 1 and 3 when applying –</w:t>
      </w:r>
      <w:r w:rsidRPr="00775045">
        <w:rPr>
          <w:lang w:val="en-US" w:eastAsia="ja-JP"/>
        </w:rPr>
        <w:t>105 dB(W/(m</w:t>
      </w:r>
      <w:r w:rsidRPr="00775045">
        <w:rPr>
          <w:vertAlign w:val="superscript"/>
          <w:lang w:val="en-US" w:eastAsia="ja-JP"/>
        </w:rPr>
        <w:t>2</w:t>
      </w:r>
      <w:r w:rsidRPr="00775045">
        <w:rPr>
          <w:lang w:val="en-US" w:eastAsia="ja-JP"/>
        </w:rPr>
        <w:t> · 1 MHz)) as the pfd at the Earth’s surface produced by emissions from a BSS space station in the band 21.4</w:t>
      </w:r>
      <w:r w:rsidRPr="00775045">
        <w:rPr>
          <w:lang w:val="en-US" w:eastAsia="ja-JP"/>
        </w:rPr>
        <w:noBreakHyphen/>
        <w:t>22.0 GHz</w:t>
      </w:r>
      <w:r w:rsidRPr="00775045">
        <w:rPr>
          <w:szCs w:val="24"/>
          <w:lang w:val="en-US" w:eastAsia="ja-JP"/>
        </w:rPr>
        <w:t xml:space="preserve"> under free-space conditions</w:t>
      </w:r>
      <w:r w:rsidRPr="00775045">
        <w:rPr>
          <w:lang w:val="en-US" w:eastAsia="ja-JP"/>
        </w:rPr>
        <w:t xml:space="preserve">. The required </w:t>
      </w:r>
      <w:r w:rsidRPr="00775045">
        <w:rPr>
          <w:i/>
          <w:lang w:val="en-US" w:eastAsia="ja-JP"/>
        </w:rPr>
        <w:t>C</w:t>
      </w:r>
      <w:r w:rsidRPr="00775045">
        <w:rPr>
          <w:iCs/>
          <w:lang w:val="en-US" w:eastAsia="ja-JP"/>
        </w:rPr>
        <w:t>/</w:t>
      </w:r>
      <w:r w:rsidRPr="00775045">
        <w:rPr>
          <w:i/>
          <w:lang w:val="en-US" w:eastAsia="ja-JP"/>
        </w:rPr>
        <w:t xml:space="preserve">N </w:t>
      </w:r>
      <w:r w:rsidRPr="00C44DC3">
        <w:rPr>
          <w:lang w:val="en-GB" w:eastAsia="ja-JP"/>
        </w:rPr>
        <w:t xml:space="preserve">values </w:t>
      </w:r>
      <w:r w:rsidRPr="00775045">
        <w:rPr>
          <w:lang w:val="en-US" w:eastAsia="ja-JP"/>
        </w:rPr>
        <w:t>for each modulation scheme are assumed as 5.6 dB and 7.5 dB for QPSK and 10.7 dB for 8-PSK, including a hardware implementation margin and satellite hardware loss margin, with reference to the Nyquist noise bandwidth. A receiving antenna diameter of 45 cm was assumed. From these Tables, it can be confirmed that annual service availability can be attained for these cities in the range of between 99.78 and 99.99%.</w:t>
      </w:r>
    </w:p>
    <w:p w:rsidR="00BA156A" w:rsidRPr="00BA156A" w:rsidRDefault="00BA156A" w:rsidP="00BA156A">
      <w:pPr>
        <w:rPr>
          <w:lang w:val="en-US" w:eastAsia="ja-JP"/>
        </w:rPr>
      </w:pPr>
    </w:p>
    <w:p w:rsidR="00775045" w:rsidRPr="007576DA" w:rsidRDefault="00775045" w:rsidP="00775045">
      <w:pPr>
        <w:pStyle w:val="TableNo"/>
        <w:rPr>
          <w:rFonts w:asciiTheme="majorBidi" w:hAnsiTheme="majorBidi" w:cstheme="majorBidi"/>
          <w:lang w:val="en-US"/>
        </w:rPr>
      </w:pPr>
      <w:r w:rsidRPr="007576DA">
        <w:rPr>
          <w:rFonts w:asciiTheme="majorBidi" w:hAnsiTheme="majorBidi" w:cstheme="majorBidi"/>
          <w:lang w:val="en-US"/>
        </w:rPr>
        <w:t>TABLE 1a</w:t>
      </w:r>
    </w:p>
    <w:p w:rsidR="00775045" w:rsidRPr="00775045" w:rsidRDefault="00775045" w:rsidP="007576DA">
      <w:pPr>
        <w:pStyle w:val="Tabletitle"/>
        <w:rPr>
          <w:rFonts w:asciiTheme="majorBidi" w:hAnsiTheme="majorBidi" w:cstheme="majorBidi"/>
          <w:lang w:val="en-US"/>
        </w:rPr>
      </w:pPr>
      <w:r w:rsidRPr="00775045">
        <w:rPr>
          <w:rFonts w:asciiTheme="majorBidi" w:hAnsiTheme="majorBidi" w:cstheme="majorBidi"/>
          <w:lang w:val="en-US"/>
        </w:rPr>
        <w:t>Annual service availability and total link attenuation of 21 GHz band BSS</w:t>
      </w:r>
      <w:r w:rsidR="007576DA">
        <w:rPr>
          <w:rFonts w:asciiTheme="majorBidi" w:hAnsiTheme="majorBidi" w:cstheme="majorBidi"/>
          <w:lang w:val="en-US"/>
        </w:rPr>
        <w:t xml:space="preserve"> </w:t>
      </w:r>
      <w:r w:rsidRPr="00775045">
        <w:rPr>
          <w:rFonts w:asciiTheme="majorBidi" w:hAnsiTheme="majorBidi" w:cstheme="majorBidi"/>
          <w:lang w:val="en-US"/>
        </w:rPr>
        <w:t>downlink</w:t>
      </w:r>
      <w:r w:rsidR="007576DA">
        <w:rPr>
          <w:rFonts w:asciiTheme="majorBidi" w:hAnsiTheme="majorBidi" w:cstheme="majorBidi"/>
          <w:lang w:val="en-US"/>
        </w:rPr>
        <w:br/>
      </w:r>
      <w:r w:rsidRPr="00775045">
        <w:rPr>
          <w:rFonts w:asciiTheme="majorBidi" w:hAnsiTheme="majorBidi" w:cstheme="majorBidi"/>
          <w:lang w:val="en-US"/>
        </w:rPr>
        <w:t>in some example cities in Region 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701"/>
        <w:gridCol w:w="1559"/>
        <w:gridCol w:w="1559"/>
        <w:gridCol w:w="1559"/>
        <w:gridCol w:w="1559"/>
      </w:tblGrid>
      <w:tr w:rsidR="00775045" w:rsidRPr="00E70B7A" w:rsidTr="007576DA">
        <w:trPr>
          <w:jc w:val="center"/>
        </w:trPr>
        <w:tc>
          <w:tcPr>
            <w:tcW w:w="1701" w:type="dxa"/>
            <w:gridSpan w:val="2"/>
            <w:tcBorders>
              <w:top w:val="single" w:sz="4" w:space="0" w:color="000000"/>
              <w:left w:val="single" w:sz="4" w:space="0" w:color="000000"/>
              <w:bottom w:val="single" w:sz="4" w:space="0" w:color="000000"/>
              <w:right w:val="single" w:sz="4" w:space="0" w:color="000000"/>
            </w:tcBorders>
          </w:tcPr>
          <w:p w:rsidR="00775045" w:rsidRPr="00775045" w:rsidRDefault="00775045" w:rsidP="008D3FB0">
            <w:pPr>
              <w:pStyle w:val="Tablehead"/>
              <w:rPr>
                <w:rFonts w:asciiTheme="majorBidi" w:hAnsiTheme="majorBidi" w:cstheme="majorBidi"/>
                <w:highlight w:val="yellow"/>
                <w:lang w:val="en-US"/>
              </w:rPr>
            </w:pP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head"/>
              <w:rPr>
                <w:rFonts w:asciiTheme="majorBidi" w:hAnsiTheme="majorBidi" w:cstheme="majorBidi"/>
              </w:rPr>
            </w:pPr>
            <w:r w:rsidRPr="00E70B7A">
              <w:rPr>
                <w:rFonts w:asciiTheme="majorBidi" w:hAnsiTheme="majorBidi" w:cstheme="majorBidi"/>
              </w:rPr>
              <w:t>Tokyo</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head"/>
              <w:rPr>
                <w:rFonts w:asciiTheme="majorBidi" w:hAnsiTheme="majorBidi" w:cstheme="majorBidi"/>
              </w:rPr>
            </w:pPr>
            <w:r w:rsidRPr="00E70B7A">
              <w:rPr>
                <w:rFonts w:asciiTheme="majorBidi" w:hAnsiTheme="majorBidi" w:cstheme="majorBidi"/>
              </w:rPr>
              <w:t>Seoul</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head"/>
              <w:rPr>
                <w:rFonts w:asciiTheme="majorBidi" w:hAnsiTheme="majorBidi" w:cstheme="majorBidi"/>
              </w:rPr>
            </w:pPr>
            <w:r w:rsidRPr="00E70B7A">
              <w:rPr>
                <w:rFonts w:asciiTheme="majorBidi" w:hAnsiTheme="majorBidi" w:cstheme="majorBidi"/>
              </w:rPr>
              <w:t>Bangkok</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head"/>
              <w:rPr>
                <w:rFonts w:asciiTheme="majorBidi" w:hAnsiTheme="majorBidi" w:cstheme="majorBidi"/>
              </w:rPr>
            </w:pPr>
            <w:r w:rsidRPr="00E70B7A">
              <w:rPr>
                <w:rFonts w:asciiTheme="majorBidi" w:hAnsiTheme="majorBidi" w:cstheme="majorBidi"/>
              </w:rPr>
              <w:t>Wellington</w:t>
            </w:r>
          </w:p>
        </w:tc>
      </w:tr>
      <w:tr w:rsidR="00775045" w:rsidRPr="00E70B7A" w:rsidTr="007576DA">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text"/>
              <w:rPr>
                <w:rFonts w:asciiTheme="majorBidi" w:hAnsiTheme="majorBidi" w:cstheme="majorBidi"/>
              </w:rPr>
            </w:pPr>
            <w:r w:rsidRPr="00E70B7A">
              <w:rPr>
                <w:rFonts w:asciiTheme="majorBidi" w:hAnsiTheme="majorBidi" w:cstheme="majorBidi"/>
              </w:rPr>
              <w:t>Elevation angle (degrees)</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ind w:right="397"/>
              <w:jc w:val="right"/>
              <w:rPr>
                <w:rFonts w:asciiTheme="majorBidi" w:hAnsiTheme="majorBidi" w:cstheme="majorBidi"/>
              </w:rPr>
            </w:pPr>
            <w:r w:rsidRPr="00E70B7A">
              <w:rPr>
                <w:rFonts w:asciiTheme="majorBidi" w:hAnsiTheme="majorBidi" w:cstheme="majorBidi"/>
              </w:rPr>
              <w:t>38.0</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ind w:right="397"/>
              <w:jc w:val="right"/>
              <w:rPr>
                <w:rFonts w:asciiTheme="majorBidi" w:hAnsiTheme="majorBidi" w:cstheme="majorBidi"/>
              </w:rPr>
            </w:pPr>
            <w:r w:rsidRPr="00E70B7A">
              <w:rPr>
                <w:rFonts w:asciiTheme="majorBidi" w:hAnsiTheme="majorBidi" w:cstheme="majorBidi"/>
              </w:rPr>
              <w:t>44.9</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ind w:right="397"/>
              <w:jc w:val="right"/>
              <w:rPr>
                <w:rFonts w:asciiTheme="majorBidi" w:hAnsiTheme="majorBidi" w:cstheme="majorBidi"/>
              </w:rPr>
            </w:pPr>
            <w:r w:rsidRPr="00E70B7A">
              <w:rPr>
                <w:rFonts w:asciiTheme="majorBidi" w:hAnsiTheme="majorBidi" w:cstheme="majorBidi"/>
              </w:rPr>
              <w:t>73.5</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ind w:right="397"/>
              <w:jc w:val="right"/>
              <w:rPr>
                <w:rFonts w:asciiTheme="majorBidi" w:hAnsiTheme="majorBidi" w:cstheme="majorBidi"/>
              </w:rPr>
            </w:pPr>
            <w:r w:rsidRPr="00E70B7A">
              <w:rPr>
                <w:rFonts w:asciiTheme="majorBidi" w:hAnsiTheme="majorBidi" w:cstheme="majorBidi"/>
              </w:rPr>
              <w:t>42.3</w:t>
            </w:r>
          </w:p>
        </w:tc>
      </w:tr>
      <w:tr w:rsidR="00775045" w:rsidRPr="00E70B7A" w:rsidTr="007576DA">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775045" w:rsidRPr="00C44DC3" w:rsidRDefault="00775045" w:rsidP="008D3FB0">
            <w:pPr>
              <w:pStyle w:val="Tabletext"/>
              <w:rPr>
                <w:highlight w:val="yellow"/>
                <w:lang w:val="en-GB"/>
              </w:rPr>
            </w:pPr>
            <w:r w:rsidRPr="00775045">
              <w:rPr>
                <w:lang w:val="en-US"/>
              </w:rPr>
              <w:t>Rainfall rate for 0.01% of the year (mm/h)</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keepNext/>
              <w:keepLines/>
              <w:tabs>
                <w:tab w:val="left" w:leader="dot" w:pos="7938"/>
                <w:tab w:val="center" w:pos="9526"/>
              </w:tabs>
              <w:ind w:right="397"/>
              <w:jc w:val="right"/>
              <w:rPr>
                <w:rFonts w:asciiTheme="majorBidi" w:hAnsiTheme="majorBidi" w:cstheme="majorBidi"/>
                <w:caps/>
                <w:szCs w:val="22"/>
                <w:lang w:eastAsia="ko-KR"/>
              </w:rPr>
            </w:pPr>
            <w:r w:rsidRPr="00E70B7A">
              <w:rPr>
                <w:rFonts w:asciiTheme="majorBidi" w:hAnsiTheme="majorBidi" w:cstheme="majorBidi"/>
                <w:caps/>
                <w:lang w:eastAsia="ko-KR"/>
              </w:rPr>
              <w:t>48.0</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ind w:right="397"/>
              <w:jc w:val="right"/>
              <w:rPr>
                <w:rFonts w:asciiTheme="majorBidi" w:hAnsiTheme="majorBidi" w:cstheme="majorBidi"/>
                <w:lang w:eastAsia="ko-KR"/>
              </w:rPr>
            </w:pPr>
            <w:r w:rsidRPr="00E70B7A">
              <w:rPr>
                <w:rFonts w:asciiTheme="majorBidi" w:hAnsiTheme="majorBidi" w:cstheme="majorBidi"/>
                <w:lang w:eastAsia="ko-KR"/>
              </w:rPr>
              <w:t>50.6</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keepNext/>
              <w:keepLines/>
              <w:tabs>
                <w:tab w:val="left" w:leader="dot" w:pos="7938"/>
                <w:tab w:val="center" w:pos="9526"/>
              </w:tabs>
              <w:ind w:right="397"/>
              <w:jc w:val="right"/>
              <w:rPr>
                <w:rFonts w:asciiTheme="majorBidi" w:hAnsiTheme="majorBidi" w:cstheme="majorBidi"/>
                <w:caps/>
                <w:szCs w:val="22"/>
                <w:lang w:eastAsia="ko-KR"/>
              </w:rPr>
            </w:pPr>
            <w:r w:rsidRPr="00E70B7A">
              <w:rPr>
                <w:rFonts w:asciiTheme="majorBidi" w:hAnsiTheme="majorBidi" w:cstheme="majorBidi"/>
                <w:caps/>
                <w:lang w:eastAsia="ko-KR"/>
              </w:rPr>
              <w:t>87.1</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75045" w:rsidP="005B15C7">
            <w:pPr>
              <w:pStyle w:val="Tabletext"/>
              <w:keepNext/>
              <w:keepLines/>
              <w:tabs>
                <w:tab w:val="left" w:leader="dot" w:pos="7938"/>
                <w:tab w:val="center" w:pos="9526"/>
              </w:tabs>
              <w:ind w:right="397"/>
              <w:jc w:val="right"/>
              <w:rPr>
                <w:rFonts w:asciiTheme="majorBidi" w:hAnsiTheme="majorBidi" w:cstheme="majorBidi"/>
                <w:caps/>
                <w:szCs w:val="22"/>
                <w:lang w:eastAsia="ko-KR"/>
              </w:rPr>
            </w:pPr>
            <w:r w:rsidRPr="00E70B7A">
              <w:rPr>
                <w:rFonts w:asciiTheme="majorBidi" w:hAnsiTheme="majorBidi" w:cstheme="majorBidi"/>
                <w:caps/>
                <w:lang w:eastAsia="ko-KR"/>
              </w:rPr>
              <w:t>41.7</w:t>
            </w:r>
          </w:p>
        </w:tc>
      </w:tr>
      <w:tr w:rsidR="00775045" w:rsidRPr="00E70B7A" w:rsidTr="007576DA">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775045" w:rsidRPr="00E70B7A" w:rsidRDefault="00775045" w:rsidP="008D3FB0">
            <w:pPr>
              <w:pStyle w:val="Tabletext"/>
              <w:keepNext/>
              <w:keepLines/>
              <w:tabs>
                <w:tab w:val="left" w:leader="dot" w:pos="7938"/>
                <w:tab w:val="center" w:pos="9526"/>
              </w:tabs>
              <w:ind w:left="567" w:hanging="567"/>
              <w:rPr>
                <w:rFonts w:asciiTheme="majorBidi" w:hAnsiTheme="majorBidi" w:cstheme="majorBidi"/>
                <w:szCs w:val="22"/>
              </w:rPr>
            </w:pPr>
            <w:r w:rsidRPr="00E70B7A">
              <w:rPr>
                <w:rFonts w:asciiTheme="majorBidi" w:hAnsiTheme="majorBidi" w:cstheme="majorBidi"/>
              </w:rPr>
              <w:t>pfd (dB(W/(m</w:t>
            </w:r>
            <w:r w:rsidRPr="00E70B7A">
              <w:rPr>
                <w:rFonts w:asciiTheme="majorBidi" w:hAnsiTheme="majorBidi" w:cstheme="majorBidi"/>
                <w:vertAlign w:val="superscript"/>
              </w:rPr>
              <w:t>2</w:t>
            </w:r>
            <w:r w:rsidRPr="00E70B7A">
              <w:rPr>
                <w:rFonts w:asciiTheme="majorBidi" w:hAnsiTheme="majorBidi" w:cstheme="majorBidi"/>
              </w:rPr>
              <w:t> · 1 MHz))</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8D3FB0" w:rsidP="005B15C7">
            <w:pPr>
              <w:pStyle w:val="Tabletext"/>
              <w:ind w:right="397"/>
              <w:jc w:val="right"/>
              <w:rPr>
                <w:rFonts w:asciiTheme="majorBidi" w:hAnsiTheme="majorBidi" w:cstheme="majorBidi"/>
              </w:rPr>
            </w:pPr>
            <w:r>
              <w:rPr>
                <w:rFonts w:asciiTheme="majorBidi" w:hAnsiTheme="majorBidi" w:cstheme="majorBidi"/>
              </w:rPr>
              <w:t>–</w:t>
            </w:r>
            <w:r w:rsidR="00775045" w:rsidRPr="00E70B7A">
              <w:rPr>
                <w:rFonts w:asciiTheme="majorBidi" w:hAnsiTheme="majorBidi" w:cstheme="majorBidi"/>
              </w:rPr>
              <w:t>105.0</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8D3FB0" w:rsidP="005B15C7">
            <w:pPr>
              <w:pStyle w:val="Tabletext"/>
              <w:ind w:right="397"/>
              <w:jc w:val="right"/>
              <w:rPr>
                <w:rFonts w:asciiTheme="majorBidi" w:hAnsiTheme="majorBidi" w:cstheme="majorBidi"/>
              </w:rPr>
            </w:pPr>
            <w:r>
              <w:rPr>
                <w:rFonts w:asciiTheme="majorBidi" w:hAnsiTheme="majorBidi" w:cstheme="majorBidi"/>
              </w:rPr>
              <w:t>–</w:t>
            </w:r>
            <w:r w:rsidR="00775045" w:rsidRPr="00E70B7A">
              <w:rPr>
                <w:rFonts w:asciiTheme="majorBidi" w:hAnsiTheme="majorBidi" w:cstheme="majorBidi"/>
              </w:rPr>
              <w:t>105.0</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8D3FB0" w:rsidP="005B15C7">
            <w:pPr>
              <w:pStyle w:val="Tabletext"/>
              <w:ind w:right="397"/>
              <w:jc w:val="right"/>
              <w:rPr>
                <w:rFonts w:asciiTheme="majorBidi" w:hAnsiTheme="majorBidi" w:cstheme="majorBidi"/>
              </w:rPr>
            </w:pPr>
            <w:r>
              <w:rPr>
                <w:rFonts w:asciiTheme="majorBidi" w:hAnsiTheme="majorBidi" w:cstheme="majorBidi"/>
              </w:rPr>
              <w:t>–</w:t>
            </w:r>
            <w:r w:rsidR="00775045" w:rsidRPr="00E70B7A">
              <w:rPr>
                <w:rFonts w:asciiTheme="majorBidi" w:hAnsiTheme="majorBidi" w:cstheme="majorBidi"/>
              </w:rPr>
              <w:t>105.0</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E70B7A" w:rsidRDefault="007576DA" w:rsidP="005B15C7">
            <w:pPr>
              <w:pStyle w:val="Tabletext"/>
              <w:ind w:right="397"/>
              <w:jc w:val="right"/>
              <w:rPr>
                <w:rFonts w:asciiTheme="majorBidi" w:hAnsiTheme="majorBidi" w:cstheme="majorBidi"/>
              </w:rPr>
            </w:pPr>
            <w:r>
              <w:rPr>
                <w:rFonts w:asciiTheme="majorBidi" w:hAnsiTheme="majorBidi" w:cstheme="majorBidi"/>
              </w:rPr>
              <w:t>–</w:t>
            </w:r>
            <w:r w:rsidR="00775045" w:rsidRPr="00E70B7A">
              <w:rPr>
                <w:rFonts w:asciiTheme="majorBidi" w:hAnsiTheme="majorBidi" w:cstheme="majorBidi"/>
              </w:rPr>
              <w:t>105.0</w:t>
            </w:r>
          </w:p>
        </w:tc>
      </w:tr>
      <w:tr w:rsidR="00775045" w:rsidRPr="008D3FB0" w:rsidTr="004828C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75045" w:rsidRPr="00E70B7A" w:rsidRDefault="00775045" w:rsidP="008D3FB0">
            <w:pPr>
              <w:pStyle w:val="Tabletext"/>
              <w:jc w:val="left"/>
              <w:rPr>
                <w:rFonts w:asciiTheme="majorBidi" w:hAnsiTheme="majorBidi" w:cstheme="majorBidi"/>
              </w:rPr>
            </w:pPr>
            <w:r w:rsidRPr="00E70B7A">
              <w:rPr>
                <w:rFonts w:asciiTheme="majorBidi" w:hAnsiTheme="majorBidi" w:cstheme="majorBidi"/>
              </w:rPr>
              <w:t xml:space="preserve">Overall </w:t>
            </w:r>
            <w:r w:rsidRPr="00E70B7A">
              <w:rPr>
                <w:rFonts w:asciiTheme="majorBidi" w:hAnsiTheme="majorBidi" w:cstheme="majorBidi"/>
                <w:i/>
              </w:rPr>
              <w:t>C</w:t>
            </w:r>
            <w:r w:rsidRPr="00E70B7A">
              <w:rPr>
                <w:rFonts w:asciiTheme="majorBidi" w:hAnsiTheme="majorBidi" w:cstheme="majorBidi"/>
                <w:iCs/>
              </w:rPr>
              <w:t>/</w:t>
            </w:r>
            <w:r w:rsidRPr="00E70B7A">
              <w:rPr>
                <w:rFonts w:asciiTheme="majorBidi" w:hAnsiTheme="majorBidi" w:cstheme="majorBidi"/>
                <w:i/>
              </w:rPr>
              <w:t>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5045" w:rsidRPr="00E70B7A" w:rsidRDefault="00775045" w:rsidP="008D3FB0">
            <w:pPr>
              <w:pStyle w:val="Tabletext"/>
              <w:jc w:val="center"/>
              <w:rPr>
                <w:rFonts w:asciiTheme="majorBidi" w:hAnsiTheme="majorBidi" w:cstheme="majorBidi"/>
              </w:rPr>
            </w:pPr>
            <w:r w:rsidRPr="00E70B7A">
              <w:rPr>
                <w:rFonts w:asciiTheme="majorBidi" w:hAnsiTheme="majorBidi" w:cstheme="majorBidi"/>
              </w:rPr>
              <w:t>5.6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99.98%</w:t>
            </w:r>
            <w:r w:rsidR="008D3FB0" w:rsidRPr="008D3FB0">
              <w:rPr>
                <w:rFonts w:asciiTheme="majorBidi" w:hAnsiTheme="majorBidi" w:cstheme="majorBidi"/>
                <w:lang w:val="en-US"/>
              </w:rPr>
              <w:br/>
            </w:r>
            <w:r w:rsidRPr="008D3FB0">
              <w:rPr>
                <w:rFonts w:asciiTheme="majorBidi" w:hAnsiTheme="majorBidi" w:cstheme="majorBidi"/>
                <w:lang w:val="en-US"/>
              </w:rPr>
              <w:t>(21.9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99.98%</w:t>
            </w:r>
            <w:r w:rsidR="008D3FB0">
              <w:rPr>
                <w:rFonts w:asciiTheme="majorBidi" w:hAnsiTheme="majorBidi" w:cstheme="majorBidi"/>
                <w:lang w:val="en-US"/>
              </w:rPr>
              <w:br/>
            </w:r>
            <w:r w:rsidRPr="008D3FB0">
              <w:rPr>
                <w:rFonts w:asciiTheme="majorBidi" w:hAnsiTheme="majorBidi" w:cstheme="majorBidi"/>
                <w:lang w:val="en-US"/>
              </w:rPr>
              <w:t>(22.1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99.88%</w:t>
            </w:r>
            <w:r w:rsidR="008D3FB0">
              <w:rPr>
                <w:rFonts w:asciiTheme="majorBidi" w:hAnsiTheme="majorBidi" w:cstheme="majorBidi"/>
                <w:lang w:val="en-US"/>
              </w:rPr>
              <w:br/>
            </w:r>
            <w:r w:rsidRPr="008D3FB0">
              <w:rPr>
                <w:rFonts w:asciiTheme="majorBidi" w:hAnsiTheme="majorBidi" w:cstheme="majorBidi"/>
                <w:lang w:val="en-US"/>
              </w:rPr>
              <w:t>(21.8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keepNext/>
              <w:keepLines/>
              <w:tabs>
                <w:tab w:val="left" w:leader="dot" w:pos="7938"/>
                <w:tab w:val="center" w:pos="9526"/>
              </w:tabs>
              <w:jc w:val="center"/>
              <w:rPr>
                <w:rFonts w:asciiTheme="majorBidi" w:hAnsiTheme="majorBidi" w:cstheme="majorBidi"/>
                <w:szCs w:val="22"/>
                <w:lang w:val="en-US"/>
              </w:rPr>
            </w:pPr>
            <w:r w:rsidRPr="008D3FB0">
              <w:rPr>
                <w:rFonts w:asciiTheme="majorBidi" w:hAnsiTheme="majorBidi" w:cstheme="majorBidi"/>
                <w:lang w:val="en-US"/>
              </w:rPr>
              <w:t>99.99%</w:t>
            </w:r>
            <w:r w:rsidR="008D3FB0">
              <w:rPr>
                <w:rFonts w:asciiTheme="majorBidi" w:hAnsiTheme="majorBidi" w:cstheme="majorBidi"/>
                <w:lang w:val="en-US"/>
              </w:rPr>
              <w:br/>
            </w:r>
            <w:r w:rsidRPr="008D3FB0">
              <w:rPr>
                <w:rFonts w:asciiTheme="majorBidi" w:hAnsiTheme="majorBidi" w:cstheme="majorBidi"/>
                <w:lang w:val="en-US"/>
              </w:rPr>
              <w:t>(21.1 dB)</w:t>
            </w:r>
          </w:p>
        </w:tc>
      </w:tr>
      <w:tr w:rsidR="00775045" w:rsidRPr="007576DA" w:rsidTr="004828C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75045" w:rsidRPr="008D3FB0" w:rsidRDefault="00775045" w:rsidP="008D3FB0">
            <w:pPr>
              <w:overflowPunct/>
              <w:autoSpaceDE/>
              <w:autoSpaceDN/>
              <w:adjustRightInd/>
              <w:spacing w:before="0"/>
              <w:rPr>
                <w:rFonts w:asciiTheme="majorBidi" w:hAnsiTheme="majorBidi" w:cstheme="majorBidi"/>
                <w:sz w:val="20"/>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5045" w:rsidRPr="008D3FB0" w:rsidRDefault="00775045" w:rsidP="008D3FB0">
            <w:pPr>
              <w:pStyle w:val="Tabletext"/>
              <w:jc w:val="center"/>
              <w:rPr>
                <w:rFonts w:asciiTheme="majorBidi" w:hAnsiTheme="majorBidi" w:cstheme="majorBidi"/>
                <w:lang w:val="en-US"/>
              </w:rPr>
            </w:pPr>
            <w:r w:rsidRPr="008D3FB0">
              <w:rPr>
                <w:rFonts w:asciiTheme="majorBidi" w:hAnsiTheme="majorBidi" w:cstheme="majorBidi"/>
                <w:lang w:val="en-US"/>
              </w:rPr>
              <w:t>7.5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w:t>
            </w:r>
            <w:r w:rsidRPr="008D3FB0">
              <w:rPr>
                <w:rFonts w:asciiTheme="majorBidi" w:hAnsiTheme="majorBidi" w:cstheme="majorBidi"/>
                <w:lang w:val="en-US" w:eastAsia="ko-KR"/>
              </w:rPr>
              <w:t>7</w:t>
            </w:r>
            <w:r w:rsidRPr="008D3FB0">
              <w:rPr>
                <w:rFonts w:asciiTheme="majorBidi" w:hAnsiTheme="majorBidi" w:cstheme="majorBidi"/>
                <w:lang w:val="en-US"/>
              </w:rPr>
              <w:t>%</w:t>
            </w:r>
            <w:r w:rsidR="007576DA">
              <w:rPr>
                <w:rFonts w:asciiTheme="majorBidi" w:hAnsiTheme="majorBidi" w:cstheme="majorBidi"/>
                <w:lang w:val="en-US"/>
              </w:rPr>
              <w:br/>
            </w:r>
            <w:r w:rsidRPr="008D3FB0">
              <w:rPr>
                <w:rFonts w:asciiTheme="majorBidi" w:hAnsiTheme="majorBidi" w:cstheme="majorBidi"/>
                <w:lang w:val="en-US"/>
              </w:rPr>
              <w:t>(20.0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99.97%</w:t>
            </w:r>
            <w:r w:rsidR="007576DA">
              <w:rPr>
                <w:rFonts w:asciiTheme="majorBidi" w:hAnsiTheme="majorBidi" w:cstheme="majorBidi"/>
                <w:lang w:val="en-US"/>
              </w:rPr>
              <w:br/>
            </w:r>
            <w:r w:rsidRPr="008D3FB0">
              <w:rPr>
                <w:rFonts w:asciiTheme="majorBidi" w:hAnsiTheme="majorBidi" w:cstheme="majorBidi"/>
                <w:lang w:val="en-US"/>
              </w:rPr>
              <w:t>(20.2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99.8</w:t>
            </w:r>
            <w:r w:rsidRPr="008D3FB0">
              <w:rPr>
                <w:rFonts w:asciiTheme="majorBidi" w:hAnsiTheme="majorBidi" w:cstheme="majorBidi"/>
                <w:lang w:val="en-US" w:eastAsia="ko-KR"/>
              </w:rPr>
              <w:t>5</w:t>
            </w:r>
            <w:r w:rsidRPr="008D3FB0">
              <w:rPr>
                <w:rFonts w:asciiTheme="majorBidi" w:hAnsiTheme="majorBidi" w:cstheme="majorBidi"/>
                <w:lang w:val="en-US"/>
              </w:rPr>
              <w:t>%</w:t>
            </w:r>
            <w:r w:rsidR="007576DA">
              <w:rPr>
                <w:rFonts w:asciiTheme="majorBidi" w:hAnsiTheme="majorBidi" w:cstheme="majorBidi"/>
                <w:lang w:val="en-US"/>
              </w:rPr>
              <w:br/>
            </w:r>
            <w:r w:rsidRPr="008D3FB0">
              <w:rPr>
                <w:rFonts w:asciiTheme="majorBidi" w:hAnsiTheme="majorBidi" w:cstheme="majorBidi"/>
                <w:lang w:val="en-US"/>
              </w:rPr>
              <w:t>(19.8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99.99%</w:t>
            </w:r>
            <w:r w:rsidR="008D3FB0">
              <w:rPr>
                <w:rFonts w:asciiTheme="majorBidi" w:hAnsiTheme="majorBidi" w:cstheme="majorBidi"/>
                <w:lang w:val="en-US"/>
              </w:rPr>
              <w:br/>
            </w:r>
            <w:r w:rsidRPr="008D3FB0">
              <w:rPr>
                <w:rFonts w:asciiTheme="majorBidi" w:hAnsiTheme="majorBidi" w:cstheme="majorBidi"/>
                <w:lang w:val="en-US"/>
              </w:rPr>
              <w:t>(19.1 dB)</w:t>
            </w:r>
          </w:p>
        </w:tc>
      </w:tr>
      <w:tr w:rsidR="00775045" w:rsidRPr="007576DA" w:rsidTr="004828C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75045" w:rsidRPr="008D3FB0" w:rsidRDefault="00775045" w:rsidP="008D3FB0">
            <w:pPr>
              <w:overflowPunct/>
              <w:autoSpaceDE/>
              <w:autoSpaceDN/>
              <w:adjustRightInd/>
              <w:spacing w:before="0"/>
              <w:rPr>
                <w:rFonts w:asciiTheme="majorBidi" w:hAnsiTheme="majorBidi" w:cstheme="majorBidi"/>
                <w:sz w:val="20"/>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75045" w:rsidRPr="008D3FB0" w:rsidRDefault="00775045" w:rsidP="008D3FB0">
            <w:pPr>
              <w:pStyle w:val="Tabletext"/>
              <w:jc w:val="center"/>
              <w:rPr>
                <w:rFonts w:asciiTheme="majorBidi" w:hAnsiTheme="majorBidi" w:cstheme="majorBidi"/>
                <w:lang w:val="en-US"/>
              </w:rPr>
            </w:pPr>
            <w:r w:rsidRPr="008D3FB0">
              <w:rPr>
                <w:rFonts w:asciiTheme="majorBidi" w:hAnsiTheme="majorBidi" w:cstheme="majorBidi"/>
                <w:lang w:val="en-US"/>
              </w:rPr>
              <w:t>10.7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w:t>
            </w:r>
            <w:r w:rsidRPr="008D3FB0">
              <w:rPr>
                <w:rFonts w:asciiTheme="majorBidi" w:hAnsiTheme="majorBidi" w:cstheme="majorBidi"/>
                <w:lang w:val="en-US" w:eastAsia="ko-KR"/>
              </w:rPr>
              <w:t>5</w:t>
            </w:r>
            <w:r w:rsidRPr="008D3FB0">
              <w:rPr>
                <w:rFonts w:asciiTheme="majorBidi" w:hAnsiTheme="majorBidi" w:cstheme="majorBidi"/>
                <w:lang w:val="en-US"/>
              </w:rPr>
              <w:t>%</w:t>
            </w:r>
            <w:r w:rsidR="007576DA">
              <w:rPr>
                <w:rFonts w:asciiTheme="majorBidi" w:hAnsiTheme="majorBidi" w:cstheme="majorBidi"/>
                <w:lang w:val="en-US"/>
              </w:rPr>
              <w:br/>
            </w:r>
            <w:r w:rsidRPr="008D3FB0">
              <w:rPr>
                <w:rFonts w:asciiTheme="majorBidi" w:hAnsiTheme="majorBidi" w:cstheme="majorBidi"/>
                <w:lang w:val="en-US"/>
              </w:rPr>
              <w:t>(16.7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99.95%</w:t>
            </w:r>
            <w:r w:rsidR="007576DA">
              <w:rPr>
                <w:rFonts w:asciiTheme="majorBidi" w:hAnsiTheme="majorBidi" w:cstheme="majorBidi"/>
                <w:lang w:val="en-US"/>
              </w:rPr>
              <w:br/>
            </w:r>
            <w:r w:rsidRPr="008D3FB0">
              <w:rPr>
                <w:rFonts w:asciiTheme="majorBidi" w:hAnsiTheme="majorBidi" w:cstheme="majorBidi"/>
                <w:lang w:val="en-US"/>
              </w:rPr>
              <w:t>(17.0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7576DA"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99.7</w:t>
            </w:r>
            <w:r w:rsidRPr="008D3FB0">
              <w:rPr>
                <w:rFonts w:asciiTheme="majorBidi" w:hAnsiTheme="majorBidi" w:cstheme="majorBidi"/>
                <w:lang w:val="en-US" w:eastAsia="ko-KR"/>
              </w:rPr>
              <w:t>8</w:t>
            </w:r>
            <w:r w:rsidRPr="008D3FB0">
              <w:rPr>
                <w:rFonts w:asciiTheme="majorBidi" w:hAnsiTheme="majorBidi" w:cstheme="majorBidi"/>
                <w:lang w:val="en-US"/>
              </w:rPr>
              <w:t>%</w:t>
            </w:r>
            <w:r w:rsidR="007576DA">
              <w:rPr>
                <w:rFonts w:asciiTheme="majorBidi" w:hAnsiTheme="majorBidi" w:cstheme="majorBidi"/>
                <w:lang w:val="en-US"/>
              </w:rPr>
              <w:br/>
            </w:r>
            <w:r w:rsidRPr="007576DA">
              <w:rPr>
                <w:rFonts w:asciiTheme="majorBidi" w:hAnsiTheme="majorBidi" w:cstheme="majorBidi"/>
                <w:lang w:val="en-US"/>
              </w:rPr>
              <w:t>(16.6 dB)</w:t>
            </w:r>
          </w:p>
        </w:tc>
        <w:tc>
          <w:tcPr>
            <w:tcW w:w="1559" w:type="dxa"/>
            <w:tcBorders>
              <w:top w:val="single" w:sz="4" w:space="0" w:color="000000"/>
              <w:left w:val="single" w:sz="4" w:space="0" w:color="000000"/>
              <w:bottom w:val="single" w:sz="4" w:space="0" w:color="000000"/>
              <w:right w:val="single" w:sz="4" w:space="0" w:color="000000"/>
            </w:tcBorders>
            <w:hideMark/>
          </w:tcPr>
          <w:p w:rsidR="00775045" w:rsidRPr="008D3FB0" w:rsidRDefault="00775045" w:rsidP="005B15C7">
            <w:pPr>
              <w:pStyle w:val="Tabletext"/>
              <w:jc w:val="center"/>
              <w:rPr>
                <w:rFonts w:asciiTheme="majorBidi" w:hAnsiTheme="majorBidi" w:cstheme="majorBidi"/>
                <w:lang w:val="en-US"/>
              </w:rPr>
            </w:pPr>
            <w:r w:rsidRPr="008D3FB0">
              <w:rPr>
                <w:rFonts w:asciiTheme="majorBidi" w:hAnsiTheme="majorBidi" w:cstheme="majorBidi"/>
                <w:lang w:val="en-US"/>
              </w:rPr>
              <w:t>99.99%</w:t>
            </w:r>
            <w:r w:rsidR="008D3FB0" w:rsidRPr="008D3FB0">
              <w:rPr>
                <w:rFonts w:asciiTheme="majorBidi" w:hAnsiTheme="majorBidi" w:cstheme="majorBidi"/>
                <w:lang w:val="en-US"/>
              </w:rPr>
              <w:br/>
            </w:r>
            <w:r w:rsidRPr="008D3FB0">
              <w:rPr>
                <w:rFonts w:asciiTheme="majorBidi" w:hAnsiTheme="majorBidi" w:cstheme="majorBidi"/>
                <w:lang w:val="en-US"/>
              </w:rPr>
              <w:t>(15.9 dB)</w:t>
            </w:r>
          </w:p>
        </w:tc>
      </w:tr>
    </w:tbl>
    <w:p w:rsidR="007576DA" w:rsidRDefault="007576DA" w:rsidP="007576DA">
      <w:pPr>
        <w:pStyle w:val="Tablefin"/>
        <w:rPr>
          <w:rFonts w:eastAsia="Malgun Gothic"/>
          <w:lang w:eastAsia="ja-JP"/>
        </w:rPr>
      </w:pPr>
    </w:p>
    <w:p w:rsidR="00775045" w:rsidRPr="00775045" w:rsidRDefault="00775045" w:rsidP="007576DA">
      <w:pPr>
        <w:pStyle w:val="Note"/>
        <w:rPr>
          <w:lang w:val="en-US" w:eastAsia="ja-JP"/>
        </w:rPr>
      </w:pPr>
      <w:r w:rsidRPr="00775045">
        <w:rPr>
          <w:rFonts w:eastAsia="Malgun Gothic"/>
          <w:lang w:val="en-US" w:eastAsia="ja-JP"/>
        </w:rPr>
        <w:t>NOTE</w:t>
      </w:r>
      <w:r w:rsidR="007576DA">
        <w:rPr>
          <w:rFonts w:eastAsia="Malgun Gothic"/>
          <w:lang w:val="en-US" w:eastAsia="ja-JP"/>
        </w:rPr>
        <w:t> </w:t>
      </w:r>
      <w:r w:rsidRPr="00775045">
        <w:rPr>
          <w:lang w:val="en-US" w:eastAsia="ja-JP"/>
        </w:rPr>
        <w:t>–</w:t>
      </w:r>
      <w:r w:rsidR="007576DA">
        <w:rPr>
          <w:rFonts w:eastAsia="Malgun Gothic"/>
          <w:lang w:val="en-US" w:eastAsia="ja-JP"/>
        </w:rPr>
        <w:t> </w:t>
      </w:r>
      <w:r w:rsidRPr="00775045">
        <w:rPr>
          <w:rFonts w:eastAsia="Malgun Gothic"/>
          <w:lang w:val="en-US" w:eastAsia="ja-JP"/>
        </w:rPr>
        <w:t xml:space="preserve">The locations presented in Table 1a give </w:t>
      </w:r>
      <w:r w:rsidRPr="00775045">
        <w:rPr>
          <w:rFonts w:eastAsia="Malgun Gothic"/>
          <w:lang w:val="en-US" w:eastAsia="ko-KR"/>
        </w:rPr>
        <w:t>only</w:t>
      </w:r>
      <w:r w:rsidRPr="00775045">
        <w:rPr>
          <w:lang w:val="en-US" w:eastAsia="ko-KR"/>
        </w:rPr>
        <w:t xml:space="preserve"> </w:t>
      </w:r>
      <w:r w:rsidRPr="00775045">
        <w:rPr>
          <w:rFonts w:eastAsia="Malgun Gothic"/>
          <w:lang w:val="en-US" w:eastAsia="ja-JP"/>
        </w:rPr>
        <w:t>examples of the service availability and total link attenuation in</w:t>
      </w:r>
      <w:r w:rsidRPr="00775045">
        <w:rPr>
          <w:rFonts w:eastAsia="Malgun Gothic"/>
          <w:caps/>
          <w:lang w:val="en-US" w:eastAsia="ja-JP"/>
        </w:rPr>
        <w:t xml:space="preserve"> R</w:t>
      </w:r>
      <w:r w:rsidRPr="00775045">
        <w:rPr>
          <w:rFonts w:eastAsia="Malgun Gothic"/>
          <w:lang w:val="en-US" w:eastAsia="ja-JP"/>
        </w:rPr>
        <w:t>egion</w:t>
      </w:r>
      <w:r w:rsidRPr="00775045">
        <w:rPr>
          <w:rFonts w:eastAsia="Malgun Gothic"/>
          <w:caps/>
          <w:lang w:val="en-US" w:eastAsia="ja-JP"/>
        </w:rPr>
        <w:t xml:space="preserve"> 3</w:t>
      </w:r>
      <w:r w:rsidRPr="00775045">
        <w:rPr>
          <w:rFonts w:eastAsia="Malgun Gothic"/>
          <w:lang w:val="en-US" w:eastAsia="ja-JP"/>
        </w:rPr>
        <w:t>.</w:t>
      </w:r>
    </w:p>
    <w:p w:rsidR="00775045" w:rsidRPr="00775045" w:rsidRDefault="00775045" w:rsidP="00775045">
      <w:pPr>
        <w:pStyle w:val="TableNo"/>
        <w:rPr>
          <w:rFonts w:asciiTheme="majorBidi" w:hAnsiTheme="majorBidi" w:cstheme="majorBidi"/>
          <w:lang w:val="en-US" w:eastAsia="ja-JP"/>
        </w:rPr>
      </w:pPr>
      <w:r w:rsidRPr="00775045">
        <w:rPr>
          <w:rFonts w:asciiTheme="majorBidi" w:hAnsiTheme="majorBidi" w:cstheme="majorBidi"/>
          <w:lang w:val="en-US" w:eastAsia="ja-JP"/>
        </w:rPr>
        <w:t>TABLE 1</w:t>
      </w:r>
      <w:r w:rsidRPr="007576DA">
        <w:rPr>
          <w:rFonts w:asciiTheme="majorBidi" w:hAnsiTheme="majorBidi" w:cstheme="majorBidi"/>
          <w:sz w:val="20"/>
          <w:lang w:val="en-GB" w:eastAsia="ja-JP"/>
        </w:rPr>
        <w:t>b</w:t>
      </w:r>
    </w:p>
    <w:p w:rsidR="00775045" w:rsidRPr="00775045" w:rsidRDefault="00775045" w:rsidP="007576DA">
      <w:pPr>
        <w:pStyle w:val="Tabletitle"/>
        <w:rPr>
          <w:rFonts w:asciiTheme="majorBidi" w:hAnsiTheme="majorBidi" w:cstheme="majorBidi"/>
          <w:bCs/>
          <w:lang w:val="en-US" w:eastAsia="ja-JP"/>
        </w:rPr>
      </w:pPr>
      <w:r w:rsidRPr="00775045">
        <w:rPr>
          <w:rFonts w:asciiTheme="majorBidi" w:hAnsiTheme="majorBidi" w:cstheme="majorBidi"/>
          <w:bCs/>
          <w:lang w:val="en-US" w:eastAsia="ja-JP"/>
        </w:rPr>
        <w:t>Annual service availability and total link attenuation of 21 GHz band BSS downlink</w:t>
      </w:r>
      <w:r w:rsidR="007576DA">
        <w:rPr>
          <w:rFonts w:asciiTheme="majorBidi" w:hAnsiTheme="majorBidi" w:cstheme="majorBidi"/>
          <w:bCs/>
          <w:lang w:val="en-US" w:eastAsia="ja-JP"/>
        </w:rPr>
        <w:br/>
      </w:r>
      <w:r w:rsidRPr="00775045">
        <w:rPr>
          <w:rFonts w:asciiTheme="majorBidi" w:hAnsiTheme="majorBidi" w:cstheme="majorBidi"/>
          <w:bCs/>
          <w:lang w:val="en-US" w:eastAsia="ja-JP"/>
        </w:rPr>
        <w:t>in some example cities in Region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1"/>
        <w:gridCol w:w="1559"/>
        <w:gridCol w:w="1559"/>
        <w:gridCol w:w="1559"/>
        <w:gridCol w:w="1559"/>
      </w:tblGrid>
      <w:tr w:rsidR="00775045" w:rsidRPr="00E70B7A" w:rsidTr="007576DA">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775045" w:rsidRPr="00775045" w:rsidRDefault="00775045" w:rsidP="008D3FB0">
            <w:pPr>
              <w:pStyle w:val="Tablehead"/>
              <w:rPr>
                <w:rFonts w:asciiTheme="majorBidi" w:hAnsiTheme="majorBidi" w:cstheme="majorBidi"/>
                <w:lang w:val="en-US" w:eastAsia="ja-JP"/>
              </w:rPr>
            </w:pP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7576DA">
            <w:pPr>
              <w:pStyle w:val="Tablehead"/>
              <w:rPr>
                <w:rFonts w:asciiTheme="majorBidi" w:hAnsiTheme="majorBidi" w:cstheme="majorBidi"/>
                <w:lang w:eastAsia="ja-JP"/>
              </w:rPr>
            </w:pPr>
            <w:r w:rsidRPr="00E70B7A">
              <w:rPr>
                <w:rFonts w:asciiTheme="majorBidi" w:hAnsiTheme="majorBidi" w:cstheme="majorBidi"/>
                <w:lang w:eastAsia="ja-JP"/>
              </w:rPr>
              <w:t>Moscow</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7576DA">
            <w:pPr>
              <w:pStyle w:val="Tablehead"/>
              <w:rPr>
                <w:rFonts w:asciiTheme="majorBidi" w:hAnsiTheme="majorBidi" w:cstheme="majorBidi"/>
                <w:lang w:eastAsia="ja-JP"/>
              </w:rPr>
            </w:pPr>
            <w:r w:rsidRPr="00E70B7A">
              <w:rPr>
                <w:rFonts w:asciiTheme="majorBidi" w:hAnsiTheme="majorBidi" w:cstheme="majorBidi"/>
                <w:lang w:eastAsia="ja-JP"/>
              </w:rPr>
              <w:t>Paris</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7576DA">
            <w:pPr>
              <w:pStyle w:val="Tablehead"/>
              <w:rPr>
                <w:rFonts w:asciiTheme="majorBidi" w:hAnsiTheme="majorBidi" w:cstheme="majorBidi"/>
                <w:lang w:eastAsia="ja-JP"/>
              </w:rPr>
            </w:pPr>
            <w:r w:rsidRPr="00E70B7A">
              <w:rPr>
                <w:rFonts w:asciiTheme="majorBidi" w:hAnsiTheme="majorBidi" w:cstheme="majorBidi"/>
                <w:lang w:eastAsia="ja-JP"/>
              </w:rPr>
              <w:t>Istanbul</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7576DA">
            <w:pPr>
              <w:pStyle w:val="Tablehead"/>
              <w:rPr>
                <w:rFonts w:asciiTheme="majorBidi" w:hAnsiTheme="majorBidi" w:cstheme="majorBidi"/>
                <w:lang w:eastAsia="ja-JP"/>
              </w:rPr>
            </w:pPr>
            <w:r w:rsidRPr="00E70B7A">
              <w:rPr>
                <w:rFonts w:asciiTheme="majorBidi" w:hAnsiTheme="majorBidi" w:cstheme="majorBidi"/>
                <w:lang w:eastAsia="ja-JP"/>
              </w:rPr>
              <w:t>Pretoria</w:t>
            </w:r>
          </w:p>
        </w:tc>
      </w:tr>
      <w:tr w:rsidR="00775045" w:rsidRPr="00E70B7A" w:rsidTr="007576DA">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rPr>
                <w:rFonts w:asciiTheme="majorBidi" w:hAnsiTheme="majorBidi" w:cstheme="majorBidi"/>
                <w:lang w:eastAsia="ja-JP"/>
              </w:rPr>
            </w:pPr>
            <w:r w:rsidRPr="00E70B7A">
              <w:rPr>
                <w:rFonts w:asciiTheme="majorBidi" w:hAnsiTheme="majorBidi" w:cstheme="majorBidi"/>
                <w:lang w:eastAsia="ja-JP"/>
              </w:rPr>
              <w:t>Elevation angle (degrees)</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26.5</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33.2</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40.7</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59.9</w:t>
            </w:r>
          </w:p>
        </w:tc>
      </w:tr>
      <w:tr w:rsidR="00775045" w:rsidRPr="00E70B7A" w:rsidTr="007576DA">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775045" w:rsidRPr="00775045" w:rsidRDefault="00775045" w:rsidP="00BA156A">
            <w:pPr>
              <w:pStyle w:val="Tabletext"/>
              <w:keepNext/>
              <w:rPr>
                <w:rFonts w:asciiTheme="majorBidi" w:hAnsiTheme="majorBidi" w:cstheme="majorBidi"/>
                <w:lang w:val="en-US" w:eastAsia="ja-JP"/>
              </w:rPr>
            </w:pPr>
            <w:r w:rsidRPr="00775045">
              <w:rPr>
                <w:rFonts w:asciiTheme="majorBidi" w:hAnsiTheme="majorBidi" w:cstheme="majorBidi"/>
                <w:lang w:val="en-US" w:eastAsia="ja-JP"/>
              </w:rPr>
              <w:t>Rainfall rate for 0.01% of the year (mm/h)</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31.7</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31.8</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38.9</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53.2</w:t>
            </w:r>
          </w:p>
        </w:tc>
      </w:tr>
      <w:tr w:rsidR="00775045" w:rsidRPr="00E70B7A" w:rsidTr="007576DA">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rPr>
                <w:rFonts w:asciiTheme="majorBidi" w:hAnsiTheme="majorBidi" w:cstheme="majorBidi"/>
                <w:lang w:eastAsia="ja-JP"/>
              </w:rPr>
            </w:pPr>
            <w:r w:rsidRPr="00E70B7A">
              <w:rPr>
                <w:rFonts w:asciiTheme="majorBidi" w:hAnsiTheme="majorBidi" w:cstheme="majorBidi"/>
                <w:lang w:eastAsia="ja-JP"/>
              </w:rPr>
              <w:t>pfd (dB(W/(m</w:t>
            </w:r>
            <w:r w:rsidRPr="00E70B7A">
              <w:rPr>
                <w:rFonts w:asciiTheme="majorBidi" w:hAnsiTheme="majorBidi" w:cstheme="majorBidi"/>
                <w:vertAlign w:val="superscript"/>
                <w:lang w:eastAsia="ja-JP"/>
              </w:rPr>
              <w:t>2</w:t>
            </w:r>
            <w:r w:rsidRPr="00E70B7A">
              <w:rPr>
                <w:rFonts w:asciiTheme="majorBidi" w:hAnsiTheme="majorBidi" w:cstheme="majorBidi"/>
                <w:lang w:eastAsia="ja-JP"/>
              </w:rPr>
              <w:t> · 1 MHz))</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576DA" w:rsidP="00BA156A">
            <w:pPr>
              <w:pStyle w:val="Tabletext"/>
              <w:keepNext/>
              <w:ind w:right="397"/>
              <w:jc w:val="right"/>
              <w:rPr>
                <w:rFonts w:asciiTheme="majorBidi" w:hAnsiTheme="majorBidi" w:cstheme="majorBidi"/>
                <w:lang w:eastAsia="ja-JP"/>
              </w:rPr>
            </w:pPr>
            <w:r>
              <w:rPr>
                <w:rFonts w:asciiTheme="majorBidi" w:hAnsiTheme="majorBidi" w:cstheme="majorBidi"/>
                <w:lang w:eastAsia="ja-JP"/>
              </w:rPr>
              <w:t>–</w:t>
            </w:r>
            <w:r w:rsidR="00775045" w:rsidRPr="00E70B7A">
              <w:rPr>
                <w:rFonts w:asciiTheme="majorBidi" w:hAnsiTheme="majorBidi" w:cstheme="majorBidi"/>
                <w:lang w:eastAsia="ja-JP"/>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lang w:eastAsia="ja-JP"/>
              </w:rPr>
              <w:t>–105.0</w:t>
            </w:r>
          </w:p>
        </w:tc>
        <w:tc>
          <w:tcPr>
            <w:tcW w:w="1559" w:type="dxa"/>
            <w:tcBorders>
              <w:top w:val="single" w:sz="4" w:space="0" w:color="auto"/>
              <w:left w:val="single" w:sz="4" w:space="0" w:color="auto"/>
              <w:bottom w:val="single" w:sz="4" w:space="0" w:color="auto"/>
              <w:right w:val="single" w:sz="4" w:space="0" w:color="auto"/>
            </w:tcBorders>
          </w:tcPr>
          <w:p w:rsidR="00775045" w:rsidRPr="00E70B7A" w:rsidRDefault="00775045" w:rsidP="00BA156A">
            <w:pPr>
              <w:pStyle w:val="Tabletext"/>
              <w:keepNext/>
              <w:ind w:right="397"/>
              <w:jc w:val="right"/>
              <w:rPr>
                <w:rFonts w:asciiTheme="majorBidi" w:hAnsiTheme="majorBidi" w:cstheme="majorBidi"/>
                <w:lang w:eastAsia="ja-JP"/>
              </w:rPr>
            </w:pPr>
            <w:r w:rsidRPr="00E70B7A">
              <w:rPr>
                <w:rFonts w:asciiTheme="majorBidi" w:hAnsiTheme="majorBidi" w:cstheme="majorBidi"/>
              </w:rPr>
              <w:t>−</w:t>
            </w:r>
            <w:r w:rsidRPr="00E70B7A">
              <w:rPr>
                <w:rFonts w:asciiTheme="majorBidi" w:hAnsiTheme="majorBidi" w:cstheme="majorBidi"/>
                <w:lang w:eastAsia="ja-JP"/>
              </w:rPr>
              <w:t>105.0</w:t>
            </w:r>
          </w:p>
        </w:tc>
      </w:tr>
      <w:tr w:rsidR="00775045" w:rsidRPr="007576DA" w:rsidTr="004828C6">
        <w:trPr>
          <w:cantSplit/>
          <w:jc w:val="center"/>
        </w:trPr>
        <w:tc>
          <w:tcPr>
            <w:tcW w:w="1701" w:type="dxa"/>
            <w:vMerge w:val="restart"/>
            <w:tcBorders>
              <w:top w:val="single" w:sz="4" w:space="0" w:color="auto"/>
              <w:left w:val="single" w:sz="4" w:space="0" w:color="auto"/>
              <w:right w:val="single" w:sz="4" w:space="0" w:color="auto"/>
            </w:tcBorders>
            <w:vAlign w:val="center"/>
          </w:tcPr>
          <w:p w:rsidR="00775045" w:rsidRPr="00E70B7A" w:rsidRDefault="00775045" w:rsidP="008D3FB0">
            <w:pPr>
              <w:pStyle w:val="Tabletext"/>
              <w:rPr>
                <w:rFonts w:asciiTheme="majorBidi" w:hAnsiTheme="majorBidi" w:cstheme="majorBidi"/>
                <w:lang w:eastAsia="ja-JP"/>
              </w:rPr>
            </w:pPr>
            <w:r w:rsidRPr="00E70B7A">
              <w:rPr>
                <w:rFonts w:asciiTheme="majorBidi" w:hAnsiTheme="majorBidi" w:cstheme="majorBidi"/>
                <w:lang w:eastAsia="ja-JP"/>
              </w:rPr>
              <w:t xml:space="preserve">Overall </w:t>
            </w:r>
            <w:r w:rsidRPr="00E70B7A">
              <w:rPr>
                <w:rFonts w:asciiTheme="majorBidi" w:hAnsiTheme="majorBidi" w:cstheme="majorBidi"/>
                <w:i/>
                <w:lang w:eastAsia="ja-JP"/>
              </w:rPr>
              <w:t>C</w:t>
            </w:r>
            <w:r w:rsidRPr="00E70B7A">
              <w:rPr>
                <w:rFonts w:asciiTheme="majorBidi" w:hAnsiTheme="majorBidi" w:cstheme="majorBidi"/>
                <w:iCs/>
                <w:lang w:eastAsia="ja-JP"/>
              </w:rPr>
              <w:t>/</w:t>
            </w:r>
            <w:r w:rsidRPr="00E70B7A">
              <w:rPr>
                <w:rFonts w:asciiTheme="majorBidi" w:hAnsiTheme="majorBidi" w:cstheme="majorBidi"/>
                <w:i/>
                <w:lang w:eastAsia="ja-JP"/>
              </w:rPr>
              <w:t>N</w:t>
            </w:r>
          </w:p>
        </w:tc>
        <w:tc>
          <w:tcPr>
            <w:tcW w:w="1701" w:type="dxa"/>
            <w:tcBorders>
              <w:top w:val="single" w:sz="4" w:space="0" w:color="auto"/>
              <w:left w:val="single" w:sz="4" w:space="0" w:color="auto"/>
              <w:bottom w:val="single" w:sz="4" w:space="0" w:color="auto"/>
              <w:right w:val="single" w:sz="4" w:space="0" w:color="auto"/>
            </w:tcBorders>
            <w:vAlign w:val="center"/>
          </w:tcPr>
          <w:p w:rsidR="00775045" w:rsidRPr="00E70B7A" w:rsidRDefault="00775045" w:rsidP="008D3FB0">
            <w:pPr>
              <w:pStyle w:val="Tabletext"/>
              <w:ind w:right="284"/>
              <w:jc w:val="right"/>
              <w:rPr>
                <w:rFonts w:asciiTheme="majorBidi" w:hAnsiTheme="majorBidi" w:cstheme="majorBidi"/>
                <w:bCs/>
                <w:lang w:eastAsia="ja-JP"/>
              </w:rPr>
            </w:pPr>
            <w:r w:rsidRPr="00E70B7A">
              <w:rPr>
                <w:rFonts w:asciiTheme="majorBidi" w:hAnsiTheme="majorBidi" w:cstheme="majorBidi"/>
                <w:bCs/>
                <w:lang w:eastAsia="ja-JP"/>
              </w:rPr>
              <w:t>5.6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7576DA" w:rsidRPr="007576DA">
              <w:rPr>
                <w:rFonts w:asciiTheme="majorBidi" w:hAnsiTheme="majorBidi" w:cstheme="majorBidi"/>
                <w:lang w:val="en-US" w:eastAsia="ja-JP"/>
              </w:rPr>
              <w:br/>
            </w:r>
            <w:r w:rsidRPr="007576DA">
              <w:rPr>
                <w:rFonts w:asciiTheme="majorBidi" w:hAnsiTheme="majorBidi" w:cstheme="majorBidi"/>
                <w:lang w:val="en-US" w:eastAsia="ja-JP"/>
              </w:rPr>
              <w:t>(22.0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7576DA">
              <w:rPr>
                <w:rFonts w:asciiTheme="majorBidi" w:hAnsiTheme="majorBidi" w:cstheme="majorBidi"/>
                <w:lang w:val="en-US" w:eastAsia="ja-JP"/>
              </w:rPr>
              <w:br/>
            </w:r>
            <w:r w:rsidRPr="007576DA">
              <w:rPr>
                <w:rFonts w:asciiTheme="majorBidi" w:hAnsiTheme="majorBidi" w:cstheme="majorBidi"/>
                <w:lang w:val="en-US" w:eastAsia="ja-JP"/>
              </w:rPr>
              <w:t>(21.9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7576DA">
              <w:rPr>
                <w:rFonts w:asciiTheme="majorBidi" w:hAnsiTheme="majorBidi" w:cstheme="majorBidi"/>
                <w:lang w:val="en-US" w:eastAsia="ja-JP"/>
              </w:rPr>
              <w:br/>
            </w:r>
            <w:r w:rsidRPr="007576DA">
              <w:rPr>
                <w:rFonts w:asciiTheme="majorBidi" w:hAnsiTheme="majorBidi" w:cstheme="majorBidi"/>
                <w:lang w:val="en-US" w:eastAsia="ja-JP"/>
              </w:rPr>
              <w:t>(21.9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99.97%</w:t>
            </w:r>
            <w:r w:rsidR="007576DA">
              <w:rPr>
                <w:rFonts w:asciiTheme="majorBidi" w:hAnsiTheme="majorBidi" w:cstheme="majorBidi"/>
                <w:lang w:val="en-US" w:eastAsia="ja-JP"/>
              </w:rPr>
              <w:br/>
            </w:r>
            <w:r w:rsidRPr="007576DA">
              <w:rPr>
                <w:rFonts w:asciiTheme="majorBidi" w:hAnsiTheme="majorBidi" w:cstheme="majorBidi"/>
                <w:lang w:val="en-US" w:eastAsia="ja-JP"/>
              </w:rPr>
              <w:t>(22.1 dB)</w:t>
            </w:r>
          </w:p>
        </w:tc>
      </w:tr>
      <w:tr w:rsidR="00775045" w:rsidRPr="007576DA" w:rsidTr="004828C6">
        <w:trPr>
          <w:cantSplit/>
          <w:jc w:val="center"/>
        </w:trPr>
        <w:tc>
          <w:tcPr>
            <w:tcW w:w="1701" w:type="dxa"/>
            <w:vMerge/>
            <w:tcBorders>
              <w:left w:val="single" w:sz="4" w:space="0" w:color="auto"/>
              <w:right w:val="single" w:sz="4" w:space="0" w:color="auto"/>
            </w:tcBorders>
            <w:vAlign w:val="center"/>
          </w:tcPr>
          <w:p w:rsidR="00775045" w:rsidRPr="007576DA" w:rsidRDefault="00775045" w:rsidP="008D3FB0">
            <w:pPr>
              <w:pStyle w:val="Tabletext"/>
              <w:rPr>
                <w:rFonts w:asciiTheme="majorBidi" w:hAnsiTheme="majorBidi" w:cstheme="majorBidi"/>
                <w:iCs/>
                <w:lang w:val="en-US"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rsidR="00775045" w:rsidRPr="007576DA" w:rsidRDefault="00775045" w:rsidP="008D3FB0">
            <w:pPr>
              <w:pStyle w:val="Tabletext"/>
              <w:ind w:right="284"/>
              <w:jc w:val="right"/>
              <w:rPr>
                <w:rFonts w:asciiTheme="majorBidi" w:hAnsiTheme="majorBidi" w:cstheme="majorBidi"/>
                <w:bCs/>
                <w:lang w:val="en-US" w:eastAsia="ja-JP"/>
              </w:rPr>
            </w:pPr>
            <w:r w:rsidRPr="007576DA">
              <w:rPr>
                <w:rFonts w:asciiTheme="majorBidi" w:hAnsiTheme="majorBidi" w:cstheme="majorBidi"/>
                <w:bCs/>
                <w:lang w:val="en-US" w:eastAsia="ja-JP"/>
              </w:rPr>
              <w:t>7</w:t>
            </w:r>
            <w:r w:rsidRPr="007576DA">
              <w:rPr>
                <w:rFonts w:asciiTheme="majorBidi" w:hAnsiTheme="majorBidi" w:cstheme="majorBidi"/>
                <w:lang w:val="en-US" w:eastAsia="ja-JP"/>
              </w:rPr>
              <w:t>.</w:t>
            </w:r>
            <w:r w:rsidRPr="007576DA">
              <w:rPr>
                <w:rFonts w:asciiTheme="majorBidi" w:hAnsiTheme="majorBidi" w:cstheme="majorBidi"/>
                <w:bCs/>
                <w:lang w:val="en-US" w:eastAsia="ja-JP"/>
              </w:rPr>
              <w:t>5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5B15C7">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5B15C7">
              <w:rPr>
                <w:rFonts w:asciiTheme="majorBidi" w:hAnsiTheme="majorBidi" w:cstheme="majorBidi"/>
                <w:lang w:val="en-US" w:eastAsia="ja-JP"/>
              </w:rPr>
              <w:br/>
            </w:r>
            <w:r w:rsidRPr="007576DA">
              <w:rPr>
                <w:rFonts w:asciiTheme="majorBidi" w:hAnsiTheme="majorBidi" w:cstheme="majorBidi"/>
                <w:lang w:val="en-US" w:eastAsia="ja-JP"/>
              </w:rPr>
              <w:t>(20.1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5B15C7">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5B15C7">
              <w:rPr>
                <w:rFonts w:asciiTheme="majorBidi" w:hAnsiTheme="majorBidi" w:cstheme="majorBidi"/>
                <w:lang w:val="en-US" w:eastAsia="ja-JP"/>
              </w:rPr>
              <w:br/>
            </w:r>
            <w:r w:rsidRPr="007576DA">
              <w:rPr>
                <w:rFonts w:asciiTheme="majorBidi" w:hAnsiTheme="majorBidi" w:cstheme="majorBidi"/>
                <w:lang w:val="en-US" w:eastAsia="ja-JP"/>
              </w:rPr>
              <w:t>(20.0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5B15C7">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5B15C7">
              <w:rPr>
                <w:rFonts w:asciiTheme="majorBidi" w:hAnsiTheme="majorBidi" w:cstheme="majorBidi"/>
                <w:lang w:val="en-US" w:eastAsia="ja-JP"/>
              </w:rPr>
              <w:br/>
            </w:r>
            <w:r w:rsidRPr="007576DA">
              <w:rPr>
                <w:rFonts w:asciiTheme="majorBidi" w:hAnsiTheme="majorBidi" w:cstheme="majorBidi"/>
                <w:lang w:val="en-US" w:eastAsia="ja-JP"/>
              </w:rPr>
              <w:t>(20.0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99.97%</w:t>
            </w:r>
            <w:r w:rsidR="007576DA">
              <w:rPr>
                <w:rFonts w:asciiTheme="majorBidi" w:hAnsiTheme="majorBidi" w:cstheme="majorBidi"/>
                <w:lang w:val="en-US" w:eastAsia="ja-JP"/>
              </w:rPr>
              <w:br/>
            </w:r>
            <w:r w:rsidRPr="007576DA">
              <w:rPr>
                <w:rFonts w:asciiTheme="majorBidi" w:hAnsiTheme="majorBidi" w:cstheme="majorBidi"/>
                <w:lang w:val="en-US" w:eastAsia="ja-JP"/>
              </w:rPr>
              <w:t>(20.2 dB)</w:t>
            </w:r>
          </w:p>
        </w:tc>
      </w:tr>
      <w:tr w:rsidR="00775045" w:rsidRPr="007576DA" w:rsidTr="004828C6">
        <w:trPr>
          <w:cantSplit/>
          <w:jc w:val="center"/>
        </w:trPr>
        <w:tc>
          <w:tcPr>
            <w:tcW w:w="1701" w:type="dxa"/>
            <w:vMerge/>
            <w:tcBorders>
              <w:left w:val="single" w:sz="4" w:space="0" w:color="auto"/>
              <w:bottom w:val="single" w:sz="4" w:space="0" w:color="auto"/>
              <w:right w:val="single" w:sz="4" w:space="0" w:color="auto"/>
            </w:tcBorders>
          </w:tcPr>
          <w:p w:rsidR="00775045" w:rsidRPr="007576DA" w:rsidRDefault="00775045" w:rsidP="008D3FB0">
            <w:pPr>
              <w:pStyle w:val="Tabletext"/>
              <w:rPr>
                <w:rFonts w:asciiTheme="majorBidi" w:hAnsiTheme="majorBidi" w:cstheme="majorBidi"/>
                <w:bCs/>
                <w:lang w:val="en-US"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rsidR="00775045" w:rsidRPr="007576DA" w:rsidRDefault="00775045" w:rsidP="008D3FB0">
            <w:pPr>
              <w:pStyle w:val="Tabletext"/>
              <w:ind w:right="284"/>
              <w:jc w:val="right"/>
              <w:rPr>
                <w:rFonts w:asciiTheme="majorBidi" w:hAnsiTheme="majorBidi" w:cstheme="majorBidi"/>
                <w:bCs/>
                <w:lang w:val="en-US" w:eastAsia="ja-JP"/>
              </w:rPr>
            </w:pPr>
            <w:r w:rsidRPr="007576DA">
              <w:rPr>
                <w:rFonts w:asciiTheme="majorBidi" w:hAnsiTheme="majorBidi" w:cstheme="majorBidi"/>
                <w:bCs/>
                <w:lang w:val="en-US" w:eastAsia="ja-JP"/>
              </w:rPr>
              <w:t>10</w:t>
            </w:r>
            <w:r w:rsidRPr="007576DA">
              <w:rPr>
                <w:rFonts w:asciiTheme="majorBidi" w:hAnsiTheme="majorBidi" w:cstheme="majorBidi"/>
                <w:lang w:val="en-US" w:eastAsia="ja-JP"/>
              </w:rPr>
              <w:t>.</w:t>
            </w:r>
            <w:r w:rsidRPr="007576DA">
              <w:rPr>
                <w:rFonts w:asciiTheme="majorBidi" w:hAnsiTheme="majorBidi" w:cstheme="majorBidi"/>
                <w:bCs/>
                <w:lang w:val="en-US" w:eastAsia="ja-JP"/>
              </w:rPr>
              <w:t>7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99.98%</w:t>
            </w:r>
            <w:r w:rsidR="007576DA">
              <w:rPr>
                <w:rFonts w:asciiTheme="majorBidi" w:hAnsiTheme="majorBidi" w:cstheme="majorBidi"/>
                <w:lang w:val="en-US" w:eastAsia="ja-JP"/>
              </w:rPr>
              <w:br/>
            </w:r>
            <w:r w:rsidRPr="007576DA">
              <w:rPr>
                <w:rFonts w:asciiTheme="majorBidi" w:hAnsiTheme="majorBidi" w:cstheme="majorBidi"/>
                <w:lang w:val="en-US" w:eastAsia="ja-JP"/>
              </w:rPr>
              <w:t>(16.8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7576DA">
              <w:rPr>
                <w:rFonts w:asciiTheme="majorBidi" w:hAnsiTheme="majorBidi" w:cstheme="majorBidi"/>
                <w:lang w:val="en-US" w:eastAsia="ja-JP"/>
              </w:rPr>
              <w:br/>
            </w:r>
            <w:r w:rsidRPr="007576DA">
              <w:rPr>
                <w:rFonts w:asciiTheme="majorBidi" w:hAnsiTheme="majorBidi" w:cstheme="majorBidi"/>
                <w:lang w:val="en-US" w:eastAsia="ja-JP"/>
              </w:rPr>
              <w:t>(16.7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99.99%</w:t>
            </w:r>
            <w:r w:rsidR="007576DA" w:rsidRPr="007576DA">
              <w:rPr>
                <w:rFonts w:asciiTheme="majorBidi" w:hAnsiTheme="majorBidi" w:cstheme="majorBidi"/>
                <w:lang w:val="en-US" w:eastAsia="ja-JP"/>
              </w:rPr>
              <w:br/>
            </w:r>
            <w:r w:rsidRPr="007576DA">
              <w:rPr>
                <w:rFonts w:asciiTheme="majorBidi" w:hAnsiTheme="majorBidi" w:cstheme="majorBidi"/>
                <w:lang w:val="en-US" w:eastAsia="ja-JP"/>
              </w:rPr>
              <w:t>(16.7 dB)</w:t>
            </w:r>
          </w:p>
        </w:tc>
        <w:tc>
          <w:tcPr>
            <w:tcW w:w="1559" w:type="dxa"/>
            <w:tcBorders>
              <w:top w:val="single" w:sz="4" w:space="0" w:color="auto"/>
              <w:left w:val="single" w:sz="4" w:space="0" w:color="auto"/>
              <w:bottom w:val="single" w:sz="4" w:space="0" w:color="auto"/>
              <w:right w:val="single" w:sz="4" w:space="0" w:color="auto"/>
            </w:tcBorders>
          </w:tcPr>
          <w:p w:rsidR="00775045" w:rsidRPr="007576DA" w:rsidRDefault="00775045" w:rsidP="007576DA">
            <w:pPr>
              <w:pStyle w:val="Tabletext"/>
              <w:jc w:val="center"/>
              <w:rPr>
                <w:rFonts w:asciiTheme="majorBidi" w:hAnsiTheme="majorBidi" w:cstheme="majorBidi"/>
                <w:lang w:val="en-US" w:eastAsia="ja-JP"/>
              </w:rPr>
            </w:pPr>
            <w:r w:rsidRPr="007576DA">
              <w:rPr>
                <w:rFonts w:asciiTheme="majorBidi" w:hAnsiTheme="majorBidi" w:cstheme="majorBidi"/>
                <w:lang w:val="en-US" w:eastAsia="ja-JP"/>
              </w:rPr>
              <w:t>99.95%</w:t>
            </w:r>
            <w:r w:rsidR="007576DA" w:rsidRPr="007576DA">
              <w:rPr>
                <w:rFonts w:asciiTheme="majorBidi" w:hAnsiTheme="majorBidi" w:cstheme="majorBidi"/>
                <w:lang w:val="en-US" w:eastAsia="ja-JP"/>
              </w:rPr>
              <w:br/>
            </w:r>
            <w:r w:rsidRPr="007576DA">
              <w:rPr>
                <w:rFonts w:asciiTheme="majorBidi" w:hAnsiTheme="majorBidi" w:cstheme="majorBidi"/>
                <w:lang w:val="en-US" w:eastAsia="ja-JP"/>
              </w:rPr>
              <w:t>(16.9 dB)</w:t>
            </w:r>
          </w:p>
        </w:tc>
      </w:tr>
    </w:tbl>
    <w:p w:rsidR="007576DA" w:rsidRDefault="007576DA" w:rsidP="007576DA">
      <w:pPr>
        <w:pStyle w:val="Tablefin"/>
        <w:rPr>
          <w:lang w:eastAsia="ja-JP"/>
        </w:rPr>
      </w:pPr>
    </w:p>
    <w:p w:rsidR="00775045" w:rsidRPr="00775045" w:rsidRDefault="00775045" w:rsidP="007576DA">
      <w:pPr>
        <w:pStyle w:val="Note"/>
        <w:rPr>
          <w:lang w:val="en-US"/>
        </w:rPr>
      </w:pPr>
      <w:r w:rsidRPr="00775045">
        <w:rPr>
          <w:lang w:val="en-US" w:eastAsia="ja-JP"/>
        </w:rPr>
        <w:t>NOTE</w:t>
      </w:r>
      <w:r w:rsidR="007576DA">
        <w:rPr>
          <w:lang w:val="en-US" w:eastAsia="ja-JP"/>
        </w:rPr>
        <w:t> </w:t>
      </w:r>
      <w:r w:rsidRPr="00775045">
        <w:rPr>
          <w:lang w:val="en-US" w:eastAsia="ja-JP"/>
        </w:rPr>
        <w:t>–</w:t>
      </w:r>
      <w:r w:rsidR="007576DA">
        <w:rPr>
          <w:lang w:val="en-US" w:eastAsia="ja-JP"/>
        </w:rPr>
        <w:t> </w:t>
      </w:r>
      <w:r w:rsidRPr="00775045">
        <w:rPr>
          <w:lang w:val="en-US" w:eastAsia="ja-JP"/>
        </w:rPr>
        <w:t>The lo</w:t>
      </w:r>
      <w:bookmarkStart w:id="3" w:name="_GoBack"/>
      <w:bookmarkEnd w:id="3"/>
      <w:r w:rsidRPr="00775045">
        <w:rPr>
          <w:lang w:val="en-US" w:eastAsia="ja-JP"/>
        </w:rPr>
        <w:t>cations presented in Table 1b give only examples of the service availability and total link attenuation in Region 1.</w:t>
      </w:r>
    </w:p>
    <w:p w:rsidR="00775045" w:rsidRPr="00775045" w:rsidRDefault="00775045" w:rsidP="00775045">
      <w:pPr>
        <w:rPr>
          <w:lang w:val="en-US"/>
        </w:rPr>
      </w:pPr>
    </w:p>
    <w:p w:rsidR="00775045" w:rsidRPr="00775045" w:rsidRDefault="00775045" w:rsidP="00775045">
      <w:pPr>
        <w:rPr>
          <w:lang w:val="en-US"/>
        </w:rPr>
      </w:pPr>
    </w:p>
    <w:p w:rsidR="00775045" w:rsidRPr="00775045" w:rsidRDefault="00775045" w:rsidP="00775045">
      <w:pPr>
        <w:pStyle w:val="Line"/>
      </w:pPr>
    </w:p>
    <w:sectPr w:rsidR="00775045" w:rsidRPr="0077504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5C7" w:rsidRDefault="005B15C7">
      <w:r>
        <w:separator/>
      </w:r>
    </w:p>
  </w:endnote>
  <w:endnote w:type="continuationSeparator" w:id="0">
    <w:p w:rsidR="005B15C7" w:rsidRDefault="005B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5C7" w:rsidRDefault="005B15C7">
      <w:r>
        <w:separator/>
      </w:r>
    </w:p>
  </w:footnote>
  <w:footnote w:type="continuationSeparator" w:id="0">
    <w:p w:rsidR="005B15C7" w:rsidRDefault="005B1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C7" w:rsidRDefault="005B15C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C7" w:rsidRDefault="005B15C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C7" w:rsidRDefault="005B15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41AD">
      <w:rPr>
        <w:rStyle w:val="PageNumber"/>
        <w:b/>
        <w:bCs/>
        <w:noProof/>
        <w:lang w:val="en-US"/>
      </w:rPr>
      <w:t>2</w:t>
    </w:r>
    <w:r>
      <w:rPr>
        <w:rStyle w:val="PageNumber"/>
        <w:b/>
        <w:bCs/>
      </w:rPr>
      <w:fldChar w:fldCharType="end"/>
    </w:r>
    <w:r>
      <w:rPr>
        <w:lang w:val="en-US"/>
      </w:rPr>
      <w:tab/>
    </w:r>
    <w:fldSimple w:instr=" DOCPROPERTY &quot;Header&quot; \* MERGEFORMAT ">
      <w:r w:rsidR="0031239E" w:rsidRPr="0031239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441AD">
      <w:rPr>
        <w:b/>
        <w:bCs/>
        <w:noProof/>
      </w:rPr>
      <w:t>ITU-R  BO.1776-1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C7" w:rsidRDefault="005B15C7">
    <w:pPr>
      <w:pStyle w:val="Header"/>
    </w:pPr>
    <w:r>
      <w:tab/>
    </w:r>
    <w:fldSimple w:instr=" DOCPROPERTY &quot;Header&quot; \* MERGEFORMAT ">
      <w:r w:rsidR="0031239E" w:rsidRPr="0031239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441AD">
      <w:rPr>
        <w:b/>
        <w:bCs/>
        <w:noProof/>
      </w:rPr>
      <w:t>ITU-R  BO.1776-1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41A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5530"/>
    <w:rsid w:val="00096612"/>
    <w:rsid w:val="000B7683"/>
    <w:rsid w:val="000D0677"/>
    <w:rsid w:val="000E6A6E"/>
    <w:rsid w:val="00102934"/>
    <w:rsid w:val="00147110"/>
    <w:rsid w:val="001511A6"/>
    <w:rsid w:val="001B164E"/>
    <w:rsid w:val="001B7886"/>
    <w:rsid w:val="001F38BB"/>
    <w:rsid w:val="002058CE"/>
    <w:rsid w:val="002165F1"/>
    <w:rsid w:val="00276D21"/>
    <w:rsid w:val="00296D7F"/>
    <w:rsid w:val="002B3CF6"/>
    <w:rsid w:val="002C768A"/>
    <w:rsid w:val="002D76C4"/>
    <w:rsid w:val="002F5199"/>
    <w:rsid w:val="0031239E"/>
    <w:rsid w:val="00356B5D"/>
    <w:rsid w:val="00420DFD"/>
    <w:rsid w:val="00437A76"/>
    <w:rsid w:val="00470E28"/>
    <w:rsid w:val="004828C6"/>
    <w:rsid w:val="004934C5"/>
    <w:rsid w:val="005441AD"/>
    <w:rsid w:val="00556548"/>
    <w:rsid w:val="00571B1C"/>
    <w:rsid w:val="00586EF8"/>
    <w:rsid w:val="005B15C7"/>
    <w:rsid w:val="005B49AB"/>
    <w:rsid w:val="005B50E7"/>
    <w:rsid w:val="005E7B4F"/>
    <w:rsid w:val="00601882"/>
    <w:rsid w:val="00607D68"/>
    <w:rsid w:val="00613212"/>
    <w:rsid w:val="006149B1"/>
    <w:rsid w:val="00680D2B"/>
    <w:rsid w:val="00681B32"/>
    <w:rsid w:val="00697887"/>
    <w:rsid w:val="006B1D2B"/>
    <w:rsid w:val="006C37D5"/>
    <w:rsid w:val="006E1131"/>
    <w:rsid w:val="006E2037"/>
    <w:rsid w:val="006E6199"/>
    <w:rsid w:val="00712870"/>
    <w:rsid w:val="00743D85"/>
    <w:rsid w:val="00753CF4"/>
    <w:rsid w:val="007565CC"/>
    <w:rsid w:val="007576DA"/>
    <w:rsid w:val="00763B9A"/>
    <w:rsid w:val="00775045"/>
    <w:rsid w:val="007A6AA8"/>
    <w:rsid w:val="007B1357"/>
    <w:rsid w:val="008310C9"/>
    <w:rsid w:val="00853CC5"/>
    <w:rsid w:val="008C7848"/>
    <w:rsid w:val="008D3FB0"/>
    <w:rsid w:val="00906589"/>
    <w:rsid w:val="00906AD6"/>
    <w:rsid w:val="00917AF2"/>
    <w:rsid w:val="0092418A"/>
    <w:rsid w:val="00934ED7"/>
    <w:rsid w:val="009543C3"/>
    <w:rsid w:val="00966E1B"/>
    <w:rsid w:val="009947C0"/>
    <w:rsid w:val="009A41F9"/>
    <w:rsid w:val="009F2D2C"/>
    <w:rsid w:val="00A31928"/>
    <w:rsid w:val="00A62A14"/>
    <w:rsid w:val="00A6617B"/>
    <w:rsid w:val="00A71FE5"/>
    <w:rsid w:val="00A936CB"/>
    <w:rsid w:val="00A971A1"/>
    <w:rsid w:val="00AA3AD8"/>
    <w:rsid w:val="00AB0DC8"/>
    <w:rsid w:val="00B019A2"/>
    <w:rsid w:val="00B0286E"/>
    <w:rsid w:val="00B033C8"/>
    <w:rsid w:val="00B33425"/>
    <w:rsid w:val="00B44E24"/>
    <w:rsid w:val="00B54ECC"/>
    <w:rsid w:val="00B60AC0"/>
    <w:rsid w:val="00B714F3"/>
    <w:rsid w:val="00B87B6B"/>
    <w:rsid w:val="00BA156A"/>
    <w:rsid w:val="00BC5D77"/>
    <w:rsid w:val="00BF487A"/>
    <w:rsid w:val="00C46BD9"/>
    <w:rsid w:val="00C55258"/>
    <w:rsid w:val="00C73560"/>
    <w:rsid w:val="00CB0F14"/>
    <w:rsid w:val="00CD659B"/>
    <w:rsid w:val="00CE0A43"/>
    <w:rsid w:val="00D61962"/>
    <w:rsid w:val="00D83556"/>
    <w:rsid w:val="00DF4176"/>
    <w:rsid w:val="00E17240"/>
    <w:rsid w:val="00E74595"/>
    <w:rsid w:val="00EB7C57"/>
    <w:rsid w:val="00EC6AB1"/>
    <w:rsid w:val="00ED2695"/>
    <w:rsid w:val="00EE04BA"/>
    <w:rsid w:val="00F30C9B"/>
    <w:rsid w:val="00F354B1"/>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NormalaftertitleChar">
    <w:name w:val="Normal_after_title Char"/>
    <w:basedOn w:val="DefaultParagraphFont"/>
    <w:link w:val="Normalaftertitle"/>
    <w:locked/>
    <w:rsid w:val="00775045"/>
    <w:rPr>
      <w:sz w:val="24"/>
      <w:lang w:val="fr-FR" w:eastAsia="en-US"/>
    </w:rPr>
  </w:style>
  <w:style w:type="character" w:customStyle="1" w:styleId="CallChar">
    <w:name w:val="Call Char"/>
    <w:basedOn w:val="DefaultParagraphFont"/>
    <w:link w:val="Call"/>
    <w:locked/>
    <w:rsid w:val="00775045"/>
    <w:rPr>
      <w:i/>
      <w:sz w:val="24"/>
      <w:lang w:val="fr-FR" w:eastAsia="en-US"/>
    </w:rPr>
  </w:style>
  <w:style w:type="character" w:customStyle="1" w:styleId="TabletextChar">
    <w:name w:val="Table_text Char"/>
    <w:basedOn w:val="DefaultParagraphFont"/>
    <w:link w:val="Tabletext"/>
    <w:locked/>
    <w:rsid w:val="00775045"/>
    <w:rPr>
      <w:sz w:val="22"/>
      <w:lang w:val="fr-FR" w:eastAsia="en-US"/>
    </w:rPr>
  </w:style>
  <w:style w:type="character" w:customStyle="1" w:styleId="Tabletitle0">
    <w:name w:val="Table_title Знак"/>
    <w:basedOn w:val="DefaultParagraphFont"/>
    <w:link w:val="Tabletitle"/>
    <w:locked/>
    <w:rsid w:val="00775045"/>
    <w:rPr>
      <w:b/>
      <w:sz w:val="24"/>
      <w:lang w:val="fr-FR" w:eastAsia="en-US"/>
    </w:rPr>
  </w:style>
  <w:style w:type="character" w:customStyle="1" w:styleId="Rectitle0">
    <w:name w:val="Rec_title Знак"/>
    <w:basedOn w:val="DefaultParagraphFont"/>
    <w:link w:val="Rectitle"/>
    <w:locked/>
    <w:rsid w:val="00775045"/>
    <w:rPr>
      <w:b/>
      <w:sz w:val="28"/>
      <w:lang w:val="fr-FR" w:eastAsia="en-US"/>
    </w:rPr>
  </w:style>
  <w:style w:type="character" w:customStyle="1" w:styleId="TableNo0">
    <w:name w:val="Table_No Знак"/>
    <w:basedOn w:val="DefaultParagraphFont"/>
    <w:link w:val="TableNo"/>
    <w:locked/>
    <w:rsid w:val="00775045"/>
    <w:rPr>
      <w:sz w:val="24"/>
      <w:lang w:val="fr-FR" w:eastAsia="en-US"/>
    </w:rPr>
  </w:style>
  <w:style w:type="character" w:customStyle="1" w:styleId="AnnexNoTitleChar">
    <w:name w:val="Annex_NoTitle Char"/>
    <w:basedOn w:val="DefaultParagraphFont"/>
    <w:link w:val="AnnexNoTitle"/>
    <w:locked/>
    <w:rsid w:val="00775045"/>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NormalaftertitleChar">
    <w:name w:val="Normal_after_title Char"/>
    <w:basedOn w:val="DefaultParagraphFont"/>
    <w:link w:val="Normalaftertitle"/>
    <w:locked/>
    <w:rsid w:val="00775045"/>
    <w:rPr>
      <w:sz w:val="24"/>
      <w:lang w:val="fr-FR" w:eastAsia="en-US"/>
    </w:rPr>
  </w:style>
  <w:style w:type="character" w:customStyle="1" w:styleId="CallChar">
    <w:name w:val="Call Char"/>
    <w:basedOn w:val="DefaultParagraphFont"/>
    <w:link w:val="Call"/>
    <w:locked/>
    <w:rsid w:val="00775045"/>
    <w:rPr>
      <w:i/>
      <w:sz w:val="24"/>
      <w:lang w:val="fr-FR" w:eastAsia="en-US"/>
    </w:rPr>
  </w:style>
  <w:style w:type="character" w:customStyle="1" w:styleId="TabletextChar">
    <w:name w:val="Table_text Char"/>
    <w:basedOn w:val="DefaultParagraphFont"/>
    <w:link w:val="Tabletext"/>
    <w:locked/>
    <w:rsid w:val="00775045"/>
    <w:rPr>
      <w:sz w:val="22"/>
      <w:lang w:val="fr-FR" w:eastAsia="en-US"/>
    </w:rPr>
  </w:style>
  <w:style w:type="character" w:customStyle="1" w:styleId="Tabletitle0">
    <w:name w:val="Table_title Знак"/>
    <w:basedOn w:val="DefaultParagraphFont"/>
    <w:link w:val="Tabletitle"/>
    <w:locked/>
    <w:rsid w:val="00775045"/>
    <w:rPr>
      <w:b/>
      <w:sz w:val="24"/>
      <w:lang w:val="fr-FR" w:eastAsia="en-US"/>
    </w:rPr>
  </w:style>
  <w:style w:type="character" w:customStyle="1" w:styleId="Rectitle0">
    <w:name w:val="Rec_title Знак"/>
    <w:basedOn w:val="DefaultParagraphFont"/>
    <w:link w:val="Rectitle"/>
    <w:locked/>
    <w:rsid w:val="00775045"/>
    <w:rPr>
      <w:b/>
      <w:sz w:val="28"/>
      <w:lang w:val="fr-FR" w:eastAsia="en-US"/>
    </w:rPr>
  </w:style>
  <w:style w:type="character" w:customStyle="1" w:styleId="TableNo0">
    <w:name w:val="Table_No Знак"/>
    <w:basedOn w:val="DefaultParagraphFont"/>
    <w:link w:val="TableNo"/>
    <w:locked/>
    <w:rsid w:val="00775045"/>
    <w:rPr>
      <w:sz w:val="24"/>
      <w:lang w:val="fr-FR" w:eastAsia="en-US"/>
    </w:rPr>
  </w:style>
  <w:style w:type="character" w:customStyle="1" w:styleId="AnnexNoTitleChar">
    <w:name w:val="Annex_NoTitle Char"/>
    <w:basedOn w:val="DefaultParagraphFont"/>
    <w:link w:val="AnnexNoTitle"/>
    <w:locked/>
    <w:rsid w:val="00775045"/>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TotalTime>
  <Pages>5</Pages>
  <Words>1168</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RECOMMENDATION  ITU-R  BO.1776-1 - Maximum power flux-density for the broadcasting-satellite service in the band 21.4-22.0 GHz in Regions 1 and 3</vt:lpstr>
    </vt:vector>
  </TitlesOfParts>
  <Manager/>
  <Company>ITU</Company>
  <LinksUpToDate>false</LinksUpToDate>
  <CharactersWithSpaces>7571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BO.1776-1 - Maximum power flux-density for the broadcasting-satellite service in the band 21.4-22.0 GHz in Regions 1 and 3</dc:title>
  <dc:subject>BO Series = Broadcasting-satellite service (sound and television)</dc:subject>
  <dc:creator>ITU Radiocommunication Bureau (BR)</dc:creator>
  <cp:keywords>BO,1776-1</cp:keywords>
  <dc:description>Santosbo, 18.11.2011, MSB106309</dc:description>
  <cp:lastModifiedBy>Rose Yonga Omondi</cp:lastModifiedBy>
  <cp:revision>8</cp:revision>
  <cp:lastPrinted>2009-07-08T06:55:00Z</cp:lastPrinted>
  <dcterms:created xsi:type="dcterms:W3CDTF">2011-11-18T10:22:00Z</dcterms:created>
  <dcterms:modified xsi:type="dcterms:W3CDTF">2011-12-06T10:40:00Z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18. novembre 2011</vt:lpwstr>
  </property>
</Properties>
</file>