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7938"/>
      </w:tblGrid>
      <w:tr w:rsidR="00961BA6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1BA6" w:rsidRDefault="00810287">
            <w:pPr>
              <w:jc w:val="center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42950" cy="81661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16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1BA6" w:rsidRDefault="00541F6C">
            <w:pPr>
              <w:pageBreakBefore/>
              <w:tabs>
                <w:tab w:val="right" w:pos="8647"/>
              </w:tabs>
              <w:bidi/>
              <w:ind w:left="113"/>
            </w:pPr>
            <w:r>
              <w:rPr>
                <w:rFonts w:cs="Traditional Arabic" w:hint="cs"/>
                <w:sz w:val="64"/>
                <w:szCs w:val="64"/>
                <w:rtl/>
              </w:rPr>
              <w:t>الا تحــاد  الــدولي  للاتصــالات</w:t>
            </w:r>
          </w:p>
          <w:p w:rsidR="00961BA6" w:rsidRDefault="00541F6C">
            <w:pPr>
              <w:pageBreakBefore/>
              <w:tabs>
                <w:tab w:val="right" w:pos="8647"/>
              </w:tabs>
              <w:bidi/>
              <w:ind w:left="170"/>
            </w:pPr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>مكتب تقييس الاتصالات</w:t>
            </w:r>
          </w:p>
        </w:tc>
      </w:tr>
    </w:tbl>
    <w:p w:rsidR="00961BA6" w:rsidRDefault="00961BA6"/>
    <w:tbl>
      <w:tblPr>
        <w:bidiVisual/>
        <w:tblW w:w="963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33"/>
        <w:gridCol w:w="3340"/>
        <w:gridCol w:w="4760"/>
      </w:tblGrid>
      <w:tr w:rsidR="00961BA6">
        <w:trPr>
          <w:cantSplit/>
          <w:trHeight w:val="340"/>
        </w:trPr>
        <w:tc>
          <w:tcPr>
            <w:tcW w:w="1533" w:type="dxa"/>
          </w:tcPr>
          <w:p w:rsidR="00961BA6" w:rsidRDefault="00961BA6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</w:rPr>
            </w:pPr>
          </w:p>
        </w:tc>
        <w:tc>
          <w:tcPr>
            <w:tcW w:w="3340" w:type="dxa"/>
          </w:tcPr>
          <w:p w:rsidR="00961BA6" w:rsidRDefault="00961BA6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b/>
                <w:sz w:val="21"/>
                <w:szCs w:val="28"/>
              </w:rPr>
            </w:pPr>
          </w:p>
        </w:tc>
        <w:tc>
          <w:tcPr>
            <w:tcW w:w="4760" w:type="dxa"/>
          </w:tcPr>
          <w:p w:rsidR="00961BA6" w:rsidRDefault="00541F6C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jc w:val="right"/>
              <w:rPr>
                <w:rFonts w:cs="Traditional Arabic"/>
                <w:sz w:val="21"/>
                <w:szCs w:val="22"/>
                <w:rtl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جنيف،</w:t>
            </w:r>
            <w:r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>
              <w:rPr>
                <w:rFonts w:cs="Traditional Arabic"/>
                <w:sz w:val="21"/>
                <w:szCs w:val="22"/>
                <w:lang w:bidi="ar-EG"/>
              </w:rPr>
              <w:t>1 اكتوبر 2010</w:t>
            </w:r>
          </w:p>
          <w:p w:rsidR="00961BA6" w:rsidRDefault="00961BA6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</w:p>
        </w:tc>
      </w:tr>
      <w:tr w:rsidR="00961BA6">
        <w:trPr>
          <w:cantSplit/>
          <w:trHeight w:val="2724"/>
        </w:trPr>
        <w:tc>
          <w:tcPr>
            <w:tcW w:w="1533" w:type="dxa"/>
            <w:tcBorders>
              <w:bottom w:val="nil"/>
            </w:tcBorders>
          </w:tcPr>
          <w:p w:rsidR="00961BA6" w:rsidRDefault="00541F6C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المرجع:</w:t>
            </w:r>
          </w:p>
          <w:p w:rsidR="00961BA6" w:rsidRDefault="00541F6C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  <w:lang w:bidi="ar-SY"/>
              </w:rPr>
            </w:pPr>
            <w:r>
              <w:rPr>
                <w:rFonts w:cs="Traditional Arabic"/>
                <w:sz w:val="21"/>
                <w:szCs w:val="28"/>
                <w:rtl/>
                <w:lang w:bidi="ar-SY"/>
              </w:rPr>
              <w:br/>
            </w:r>
          </w:p>
          <w:p w:rsidR="00961BA6" w:rsidRDefault="00541F6C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  <w:lang w:bidi="ar-SY"/>
              </w:rPr>
              <w:t>الهاتف</w:t>
            </w:r>
            <w:r>
              <w:rPr>
                <w:rFonts w:cs="Traditional Arabic" w:hint="cs"/>
                <w:sz w:val="21"/>
                <w:szCs w:val="28"/>
                <w:rtl/>
              </w:rPr>
              <w:t>:</w:t>
            </w:r>
          </w:p>
          <w:p w:rsidR="00961BA6" w:rsidRDefault="00541F6C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الفاكس:</w:t>
            </w:r>
          </w:p>
          <w:p w:rsidR="00961BA6" w:rsidRDefault="00541F6C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البريد الإلكتروني:</w:t>
            </w:r>
          </w:p>
        </w:tc>
        <w:tc>
          <w:tcPr>
            <w:tcW w:w="3340" w:type="dxa"/>
            <w:tcBorders>
              <w:bottom w:val="nil"/>
            </w:tcBorders>
          </w:tcPr>
          <w:p w:rsidR="00961BA6" w:rsidRDefault="00541F6C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b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/>
                <w:sz w:val="21"/>
                <w:szCs w:val="28"/>
              </w:rPr>
              <w:t>TSB AAP-45</w:t>
            </w:r>
          </w:p>
          <w:p w:rsidR="00961BA6" w:rsidRDefault="00541F6C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Cs/>
                <w:sz w:val="21"/>
                <w:szCs w:val="28"/>
              </w:rPr>
              <w:t>AAP/MJ</w:t>
            </w:r>
            <w:r>
              <w:rPr>
                <w:rFonts w:cs="Traditional Arabic" w:hint="cs"/>
                <w:bCs/>
                <w:sz w:val="21"/>
                <w:szCs w:val="28"/>
                <w:rtl/>
              </w:rPr>
              <w:br/>
            </w:r>
          </w:p>
          <w:p w:rsidR="00961BA6" w:rsidRDefault="00541F6C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+41 22 730 5860</w:t>
            </w:r>
          </w:p>
          <w:p w:rsidR="00961BA6" w:rsidRDefault="00541F6C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+41 22 730 5853</w:t>
            </w:r>
          </w:p>
          <w:p w:rsidR="00961BA6" w:rsidRDefault="00541F6C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</w:rPr>
            </w:pPr>
            <w:r>
              <w:rPr>
                <w:rFonts w:cs="Traditional Arabic"/>
                <w:sz w:val="21"/>
                <w:szCs w:val="28"/>
              </w:rPr>
              <w:t>tsbdir@itu.int</w:t>
            </w:r>
          </w:p>
        </w:tc>
        <w:tc>
          <w:tcPr>
            <w:tcW w:w="4760" w:type="dxa"/>
            <w:tcBorders>
              <w:bottom w:val="nil"/>
            </w:tcBorders>
          </w:tcPr>
          <w:p w:rsidR="00961BA6" w:rsidRDefault="00541F6C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إدارات الدول الأعضاء في الاتحاد؛</w:t>
            </w:r>
          </w:p>
          <w:p w:rsidR="00961BA6" w:rsidRDefault="00541F6C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أعضاء قطاع تقييس الاتصالات؛</w:t>
            </w:r>
          </w:p>
          <w:p w:rsidR="00961BA6" w:rsidRDefault="00541F6C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 xml:space="preserve">إلى المنتسبين </w:t>
            </w:r>
            <w:r>
              <w:rPr>
                <w:rFonts w:cs="Traditional Arabic" w:hint="cs"/>
                <w:sz w:val="21"/>
                <w:szCs w:val="28"/>
                <w:rtl/>
              </w:rPr>
              <w:t>إلى</w:t>
            </w:r>
            <w:r>
              <w:rPr>
                <w:rFonts w:cs="Traditional Arabic"/>
                <w:sz w:val="21"/>
                <w:szCs w:val="28"/>
                <w:rtl/>
              </w:rPr>
              <w:t xml:space="preserve"> قطاع تقييس الاتصالات</w:t>
            </w:r>
          </w:p>
          <w:p w:rsidR="00961BA6" w:rsidRDefault="00961BA6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</w:p>
          <w:p w:rsidR="00961BA6" w:rsidRDefault="00541F6C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b/>
                <w:bCs/>
                <w:sz w:val="21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1"/>
                <w:szCs w:val="28"/>
                <w:rtl/>
              </w:rPr>
              <w:t>نسخة إلى:</w:t>
            </w:r>
          </w:p>
          <w:p w:rsidR="00961BA6" w:rsidRDefault="00541F6C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رؤساء لجان الدراسات في قطاع تقييس الاتصالات ونوابهم؛</w:t>
            </w:r>
          </w:p>
          <w:p w:rsidR="00961BA6" w:rsidRDefault="00541F6C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تنمية الاتصالات</w:t>
            </w:r>
            <w:r>
              <w:rPr>
                <w:rFonts w:cs="Traditional Arabic" w:hint="cs"/>
                <w:sz w:val="21"/>
                <w:szCs w:val="28"/>
                <w:rtl/>
              </w:rPr>
              <w:t>؛</w:t>
            </w:r>
          </w:p>
          <w:p w:rsidR="00961BA6" w:rsidRDefault="00541F6C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/>
                <w:sz w:val="21"/>
                <w:szCs w:val="28"/>
                <w:rtl/>
              </w:rPr>
              <w:t>مدير مكتب الاتصالات الراديوية</w:t>
            </w:r>
          </w:p>
        </w:tc>
      </w:tr>
    </w:tbl>
    <w:p w:rsidR="00961BA6" w:rsidRDefault="00961BA6">
      <w:pPr>
        <w:bidi/>
        <w:spacing w:line="300" w:lineRule="exact"/>
        <w:rPr>
          <w:rFonts w:cs="Traditional Arabic"/>
          <w:szCs w:val="30"/>
          <w:rtl/>
        </w:rPr>
      </w:pPr>
    </w:p>
    <w:p w:rsidR="00961BA6" w:rsidRDefault="00541F6C">
      <w:pPr>
        <w:bidi/>
        <w:spacing w:line="300" w:lineRule="exact"/>
        <w:ind w:left="926" w:hanging="926"/>
        <w:jc w:val="left"/>
        <w:rPr>
          <w:rFonts w:cs="Traditional Arabic"/>
          <w:szCs w:val="30"/>
          <w:lang w:bidi="ar-EG"/>
        </w:rPr>
      </w:pPr>
      <w:r>
        <w:rPr>
          <w:rFonts w:cs="Traditional Arabic" w:hint="cs"/>
          <w:szCs w:val="30"/>
          <w:rtl/>
        </w:rPr>
        <w:t>الموضوع:</w:t>
      </w:r>
      <w:r>
        <w:rPr>
          <w:rFonts w:cs="Traditional Arabic"/>
          <w:szCs w:val="30"/>
          <w:rtl/>
        </w:rPr>
        <w:tab/>
      </w:r>
      <w:r>
        <w:rPr>
          <w:rFonts w:cs="Traditional Arabic" w:hint="cs"/>
          <w:b/>
          <w:bCs/>
          <w:szCs w:val="30"/>
          <w:rtl/>
        </w:rPr>
        <w:t xml:space="preserve">حالة التوصيات الخاضعة لعملية الموافقة البديلة </w:t>
      </w:r>
      <w:r>
        <w:rPr>
          <w:rFonts w:cs="Traditional Arabic"/>
          <w:b/>
          <w:bCs/>
          <w:szCs w:val="30"/>
          <w:lang w:bidi="ar-EG"/>
        </w:rPr>
        <w:t>(AAP)</w:t>
      </w:r>
    </w:p>
    <w:p w:rsidR="00961BA6" w:rsidRDefault="00961BA6">
      <w:pPr>
        <w:bidi/>
        <w:spacing w:line="300" w:lineRule="exact"/>
        <w:jc w:val="left"/>
        <w:rPr>
          <w:rFonts w:cs="Traditional Arabic"/>
          <w:szCs w:val="30"/>
          <w:rtl/>
        </w:rPr>
      </w:pPr>
    </w:p>
    <w:p w:rsidR="00961BA6" w:rsidRDefault="00541F6C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حضرات السادة والسيدات،</w:t>
      </w:r>
    </w:p>
    <w:p w:rsidR="00961BA6" w:rsidRDefault="00541F6C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تحية طيبة وبعد،</w:t>
      </w:r>
    </w:p>
    <w:p w:rsidR="00961BA6" w:rsidRDefault="00541F6C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تنطبق</w:t>
      </w:r>
      <w:r>
        <w:rPr>
          <w:rFonts w:cs="Traditional Arabic" w:hint="cs"/>
          <w:szCs w:val="30"/>
          <w:rtl/>
          <w:lang w:bidi="ar-EG"/>
        </w:rPr>
        <w:t xml:space="preserve"> عملية الموافقة البديلة </w:t>
      </w:r>
      <w:r>
        <w:rPr>
          <w:rFonts w:cs="Traditional Arabic"/>
          <w:szCs w:val="30"/>
          <w:lang w:bidi="ar-EG"/>
        </w:rPr>
        <w:t>(AAP)</w:t>
      </w:r>
      <w:r>
        <w:rPr>
          <w:rFonts w:cs="Traditional Arabic" w:hint="cs"/>
          <w:szCs w:val="30"/>
          <w:rtl/>
          <w:lang w:bidi="ar-EG"/>
        </w:rPr>
        <w:t xml:space="preserve"> المعرفة في التوصية </w:t>
      </w:r>
      <w:r>
        <w:rPr>
          <w:rFonts w:cs="Traditional Arabic"/>
          <w:szCs w:val="30"/>
          <w:lang w:bidi="ar-EG"/>
        </w:rPr>
        <w:t>ITU</w:t>
      </w:r>
      <w:r>
        <w:rPr>
          <w:rFonts w:cs="Traditional Arabic"/>
          <w:szCs w:val="30"/>
          <w:lang w:bidi="ar-EG"/>
        </w:rPr>
        <w:noBreakHyphen/>
        <w:t>T A.8</w:t>
      </w:r>
      <w:r>
        <w:rPr>
          <w:rFonts w:cs="Traditional Arabic" w:hint="cs"/>
          <w:szCs w:val="30"/>
          <w:rtl/>
        </w:rPr>
        <w:t xml:space="preserve"> على التوصيات التي لا تنطوي على بعد سياسي أو</w:t>
      </w:r>
      <w:r>
        <w:rPr>
          <w:rFonts w:cs="Traditional Arabic" w:hint="cs"/>
          <w:szCs w:val="30"/>
          <w:rtl/>
        </w:rPr>
        <w:t xml:space="preserve">تنظيمي ولا تتطلب بالتالي استشارة الدول الأعضاء رسمياً (انظر الرقم </w:t>
      </w:r>
      <w:r>
        <w:rPr>
          <w:rFonts w:cs="Traditional Arabic"/>
          <w:szCs w:val="30"/>
          <w:lang w:bidi="ar-EG"/>
        </w:rPr>
        <w:t>246B</w:t>
      </w:r>
      <w:r>
        <w:rPr>
          <w:rFonts w:cs="Traditional Arabic" w:hint="cs"/>
          <w:szCs w:val="30"/>
          <w:rtl/>
        </w:rPr>
        <w:t xml:space="preserve"> من اتفاقية الاتحاد).</w:t>
      </w:r>
    </w:p>
    <w:p w:rsidR="00961BA6" w:rsidRDefault="00541F6C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 xml:space="preserve">ويتضمن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  <w:lang w:bidi="ar-EG"/>
        </w:rPr>
        <w:t>1</w:t>
      </w:r>
      <w:r>
        <w:rPr>
          <w:rFonts w:cs="Traditional Arabic" w:hint="cs"/>
          <w:szCs w:val="30"/>
          <w:rtl/>
        </w:rPr>
        <w:t xml:space="preserve"> لائحة بالنصوص التي تغيرت حالتها مقارنة بما جاء في إعلانات عملية الموافقة البديلة السابقة.</w:t>
      </w:r>
    </w:p>
    <w:p w:rsidR="00961BA6" w:rsidRDefault="00541F6C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إذا رغبتم في تقديم تعليق بشأن توصية ما خاضعة لعملية المواف</w:t>
      </w:r>
      <w:r>
        <w:rPr>
          <w:rFonts w:cs="Traditional Arabic" w:hint="cs"/>
          <w:szCs w:val="30"/>
          <w:rtl/>
        </w:rPr>
        <w:t xml:space="preserve">قة البديلة، فنرجو منكم استعمال استمارة التعليق على الخط المتوفّرة على موقع قطاع تقييس الاتصالات على صفحة عملية الموافقة البديلة </w:t>
      </w:r>
      <w:hyperlink r:id="rId8" w:history="1">
        <w:r>
          <w:rPr>
            <w:rStyle w:val="Hyperlink"/>
            <w:rFonts w:cs="Traditional Arabic"/>
            <w:bCs/>
            <w:szCs w:val="30"/>
          </w:rPr>
          <w:t>http://www.itu.int/ITU-T/aap</w:t>
        </w:r>
      </w:hyperlink>
      <w:r>
        <w:rPr>
          <w:rFonts w:cs="Traditional Arabic" w:hint="cs"/>
          <w:szCs w:val="30"/>
          <w:rtl/>
        </w:rPr>
        <w:t xml:space="preserve"> على المدخل الخاص بالتوصية المعنية (انظر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szCs w:val="30"/>
        </w:rPr>
        <w:t>(</w:t>
      </w:r>
      <w:r>
        <w:rPr>
          <w:rFonts w:cs="Traditional Arabic"/>
          <w:b/>
          <w:bCs/>
          <w:szCs w:val="30"/>
        </w:rPr>
        <w:t>2</w:t>
      </w:r>
      <w:r>
        <w:rPr>
          <w:rFonts w:cs="Traditional Arabic" w:hint="cs"/>
          <w:szCs w:val="30"/>
          <w:rtl/>
        </w:rPr>
        <w:t>. وبدي</w:t>
      </w:r>
      <w:r>
        <w:rPr>
          <w:rFonts w:cs="Traditional Arabic" w:hint="cs"/>
          <w:szCs w:val="30"/>
          <w:rtl/>
        </w:rPr>
        <w:t xml:space="preserve">لاً من ذلك، يمكنكم تقديم التعليقات باستكمال الاستمارة الواردة في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</w:rPr>
        <w:t>3</w:t>
      </w:r>
      <w:r>
        <w:rPr>
          <w:rFonts w:cs="Traditional Arabic" w:hint="cs"/>
          <w:szCs w:val="30"/>
          <w:rtl/>
          <w:lang w:bidi="ar-EG"/>
        </w:rPr>
        <w:t xml:space="preserve"> وإرسالها إلى أمانة لجنة الدراسات المعنية بالأمر.</w:t>
      </w:r>
    </w:p>
    <w:p w:rsidR="00961BA6" w:rsidRDefault="00541F6C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وتجدر الإشارة إلى أنه يفضّل عدم إرسال تعليقات تقتصر على تأييد اعتماد النص قيد النظر.</w:t>
      </w:r>
    </w:p>
    <w:p w:rsidR="00961BA6" w:rsidRDefault="00961BA6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961BA6" w:rsidRDefault="00541F6C">
      <w:pPr>
        <w:bidi/>
        <w:spacing w:before="0" w:after="840"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وتفضلوا بقبول فائق الاحترام والتقدير.</w:t>
      </w:r>
    </w:p>
    <w:p w:rsidR="00961BA6" w:rsidRDefault="00541F6C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/>
          <w:szCs w:val="30"/>
          <w:rtl/>
        </w:rPr>
        <w:t>مالكولم جونسون</w:t>
      </w:r>
      <w:r>
        <w:rPr>
          <w:rFonts w:cs="Traditional Arabic"/>
          <w:szCs w:val="30"/>
          <w:rtl/>
          <w:lang w:bidi="ar-EG"/>
        </w:rPr>
        <w:br/>
      </w:r>
      <w:r>
        <w:rPr>
          <w:rFonts w:cs="Traditional Arabic" w:hint="cs"/>
          <w:szCs w:val="30"/>
          <w:rtl/>
          <w:lang w:bidi="ar-EG"/>
        </w:rPr>
        <w:t>مدير مكتب تقييس الاتصالات</w:t>
      </w:r>
    </w:p>
    <w:p w:rsidR="00961BA6" w:rsidRDefault="00961BA6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961BA6" w:rsidRDefault="00541F6C">
      <w:pPr>
        <w:bidi/>
        <w:spacing w:line="300" w:lineRule="exact"/>
        <w:rPr>
          <w:rFonts w:cs="Traditional Arabic"/>
          <w:szCs w:val="30"/>
          <w:lang w:bidi="ar-EG"/>
        </w:rPr>
      </w:pPr>
      <w:r>
        <w:rPr>
          <w:rFonts w:cs="Traditional Arabic" w:hint="cs"/>
          <w:b/>
          <w:bCs/>
          <w:szCs w:val="30"/>
          <w:rtl/>
          <w:lang w:bidi="ar-EG"/>
        </w:rPr>
        <w:t xml:space="preserve">الملحقات: </w:t>
      </w:r>
      <w:r>
        <w:rPr>
          <w:rFonts w:cs="Traditional Arabic"/>
          <w:szCs w:val="30"/>
          <w:lang w:bidi="ar-EG"/>
        </w:rPr>
        <w:t>3</w:t>
      </w:r>
    </w:p>
    <w:p w:rsidR="00961BA6" w:rsidRDefault="00961BA6">
      <w:pPr>
        <w:spacing w:before="720"/>
        <w:sectPr w:rsidR="00961BA6">
          <w:headerReference w:type="default" r:id="rId9"/>
          <w:footerReference w:type="default" r:id="rId10"/>
          <w:footerReference w:type="first" r:id="rId11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961BA6" w:rsidRDefault="00541F6C">
      <w:pPr>
        <w:pStyle w:val="AnnexNotitle"/>
      </w:pPr>
      <w:r>
        <w:lastRenderedPageBreak/>
        <w:t>Annex 1</w:t>
      </w:r>
    </w:p>
    <w:p w:rsidR="00961BA6" w:rsidRDefault="00541F6C">
      <w:pPr>
        <w:jc w:val="center"/>
      </w:pPr>
      <w:r>
        <w:t>(to TSB AAP-45)</w:t>
      </w:r>
    </w:p>
    <w:p w:rsidR="00961BA6" w:rsidRDefault="00961BA6">
      <w:pPr>
        <w:rPr>
          <w:szCs w:val="22"/>
        </w:rPr>
      </w:pPr>
    </w:p>
    <w:p w:rsidR="00961BA6" w:rsidRDefault="00541F6C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961BA6" w:rsidRDefault="00541F6C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961BA6" w:rsidRDefault="00541F6C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961BA6" w:rsidRDefault="00541F6C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961BA6" w:rsidRDefault="00541F6C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961BA6" w:rsidRDefault="00541F6C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961BA6" w:rsidRDefault="00541F6C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961BA6" w:rsidRDefault="00541F6C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961BA6" w:rsidRDefault="00541F6C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961BA6" w:rsidRDefault="00541F6C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961BA6" w:rsidRDefault="00541F6C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961BA6" w:rsidRDefault="00541F6C">
      <w:pPr>
        <w:pStyle w:val="Headingb"/>
        <w:rPr>
          <w:szCs w:val="22"/>
        </w:rPr>
      </w:pPr>
      <w:r>
        <w:rPr>
          <w:szCs w:val="22"/>
        </w:rPr>
        <w:t>ITU-T website entry page:</w:t>
      </w:r>
    </w:p>
    <w:p w:rsidR="00961BA6" w:rsidRDefault="00961BA6">
      <w:pPr>
        <w:pStyle w:val="enumlev2"/>
        <w:rPr>
          <w:szCs w:val="22"/>
        </w:rPr>
      </w:pPr>
      <w:hyperlink r:id="rId12" w:history="1">
        <w:r w:rsidR="00541F6C">
          <w:rPr>
            <w:rStyle w:val="Hyperlink"/>
            <w:szCs w:val="22"/>
          </w:rPr>
          <w:t>http://www.itu.int/ITU-T</w:t>
        </w:r>
      </w:hyperlink>
    </w:p>
    <w:p w:rsidR="00961BA6" w:rsidRDefault="00541F6C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961BA6" w:rsidRDefault="00961BA6">
      <w:pPr>
        <w:pStyle w:val="enumlev2"/>
        <w:rPr>
          <w:szCs w:val="22"/>
        </w:rPr>
      </w:pPr>
      <w:hyperlink r:id="rId13" w:history="1">
        <w:r w:rsidR="00541F6C">
          <w:rPr>
            <w:rStyle w:val="Hyperlink"/>
            <w:szCs w:val="22"/>
          </w:rPr>
          <w:t>http://www.itu.int/ITU-T/aapinfo</w:t>
        </w:r>
      </w:hyperlink>
    </w:p>
    <w:p w:rsidR="00961BA6" w:rsidRDefault="00541F6C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961BA6" w:rsidRDefault="00541F6C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961BA6" w:rsidRDefault="00961BA6">
      <w:pPr>
        <w:pStyle w:val="enumlev2"/>
        <w:rPr>
          <w:szCs w:val="22"/>
        </w:rPr>
      </w:pPr>
      <w:hyperlink r:id="rId14" w:history="1">
        <w:r w:rsidR="00541F6C">
          <w:rPr>
            <w:rStyle w:val="Hyperlink"/>
            <w:szCs w:val="22"/>
          </w:rPr>
          <w:t>http://www.itu.int/ITU-T/aap/</w:t>
        </w:r>
      </w:hyperlink>
    </w:p>
    <w:p w:rsidR="00961BA6" w:rsidRDefault="00541F6C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961BA6">
        <w:tc>
          <w:tcPr>
            <w:tcW w:w="987" w:type="dxa"/>
          </w:tcPr>
          <w:p w:rsidR="00961BA6" w:rsidRDefault="00541F6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15" w:history="1">
              <w:r w:rsidR="00541F6C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541F6C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961BA6">
        <w:tc>
          <w:tcPr>
            <w:tcW w:w="0" w:type="auto"/>
          </w:tcPr>
          <w:p w:rsidR="00961BA6" w:rsidRDefault="00541F6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541F6C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541F6C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961BA6">
        <w:tc>
          <w:tcPr>
            <w:tcW w:w="0" w:type="auto"/>
          </w:tcPr>
          <w:p w:rsidR="00961BA6" w:rsidRDefault="00541F6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541F6C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541F6C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961BA6">
        <w:tc>
          <w:tcPr>
            <w:tcW w:w="0" w:type="auto"/>
          </w:tcPr>
          <w:p w:rsidR="00961BA6" w:rsidRDefault="00541F6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541F6C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541F6C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961BA6">
        <w:tc>
          <w:tcPr>
            <w:tcW w:w="0" w:type="auto"/>
          </w:tcPr>
          <w:p w:rsidR="00961BA6" w:rsidRDefault="00541F6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541F6C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541F6C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961BA6">
        <w:tc>
          <w:tcPr>
            <w:tcW w:w="0" w:type="auto"/>
          </w:tcPr>
          <w:p w:rsidR="00961BA6" w:rsidRDefault="00541F6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541F6C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541F6C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961BA6">
        <w:tc>
          <w:tcPr>
            <w:tcW w:w="0" w:type="auto"/>
          </w:tcPr>
          <w:p w:rsidR="00961BA6" w:rsidRDefault="00541F6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541F6C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541F6C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961BA6">
        <w:tc>
          <w:tcPr>
            <w:tcW w:w="0" w:type="auto"/>
          </w:tcPr>
          <w:p w:rsidR="00961BA6" w:rsidRDefault="00541F6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541F6C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541F6C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961BA6">
        <w:tc>
          <w:tcPr>
            <w:tcW w:w="0" w:type="auto"/>
          </w:tcPr>
          <w:p w:rsidR="00961BA6" w:rsidRDefault="00541F6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541F6C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541F6C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961BA6">
        <w:tc>
          <w:tcPr>
            <w:tcW w:w="0" w:type="auto"/>
          </w:tcPr>
          <w:p w:rsidR="00961BA6" w:rsidRDefault="00541F6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541F6C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961BA6" w:rsidRDefault="00961BA6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541F6C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961BA6" w:rsidRDefault="00961BA6">
      <w:pPr>
        <w:pStyle w:val="Header"/>
        <w:ind w:left="360"/>
        <w:rPr>
          <w:b/>
          <w:bCs/>
          <w:sz w:val="24"/>
        </w:rPr>
        <w:sectPr w:rsidR="00961BA6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961BA6" w:rsidRDefault="00541F6C">
      <w:pPr>
        <w:pStyle w:val="TableNotitle"/>
        <w:pageBreakBefore/>
      </w:pPr>
      <w:r>
        <w:t>Situation concerning Study Group 13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961BA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961BA6" w:rsidRDefault="00541F6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961BA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961BA6" w:rsidRDefault="00961BA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961BA6" w:rsidRDefault="00961BA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961BA6" w:rsidRDefault="00961BA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961BA6">
        <w:trPr>
          <w:cantSplit/>
        </w:trPr>
        <w:tc>
          <w:tcPr>
            <w:tcW w:w="2090" w:type="dxa"/>
          </w:tcPr>
          <w:p w:rsidR="00961BA6" w:rsidRDefault="00961BA6">
            <w:pPr>
              <w:jc w:val="left"/>
            </w:pPr>
            <w:hyperlink r:id="rId35" w:history="1">
              <w:r w:rsidR="00541F6C">
                <w:rPr>
                  <w:rStyle w:val="Hyperlink"/>
                  <w:sz w:val="20"/>
                </w:rPr>
                <w:t>Y.2281 (Y.NGN-vehicle)</w:t>
              </w:r>
            </w:hyperlink>
          </w:p>
        </w:tc>
        <w:tc>
          <w:tcPr>
            <w:tcW w:w="4000" w:type="dxa"/>
          </w:tcPr>
          <w:p w:rsidR="00961BA6" w:rsidRDefault="00541F6C">
            <w:r>
              <w:rPr>
                <w:sz w:val="20"/>
              </w:rPr>
              <w:t>Framework of networked vehicle using NGN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1150" w:type="dxa"/>
          </w:tcPr>
          <w:p w:rsidR="00961BA6" w:rsidRDefault="00961BA6">
            <w:pPr>
              <w:jc w:val="center"/>
            </w:pPr>
          </w:p>
        </w:tc>
        <w:tc>
          <w:tcPr>
            <w:tcW w:w="115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6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961BA6">
        <w:trPr>
          <w:cantSplit/>
        </w:trPr>
        <w:tc>
          <w:tcPr>
            <w:tcW w:w="2090" w:type="dxa"/>
          </w:tcPr>
          <w:p w:rsidR="00961BA6" w:rsidRDefault="00961BA6">
            <w:pPr>
              <w:jc w:val="left"/>
            </w:pPr>
            <w:hyperlink r:id="rId36" w:history="1">
              <w:r w:rsidR="00541F6C">
                <w:rPr>
                  <w:rStyle w:val="Hyperlink"/>
                  <w:sz w:val="20"/>
                </w:rPr>
                <w:t>Y.2291 (Y.ngn-hn (ex Y.msc-ngn-hn))</w:t>
              </w:r>
            </w:hyperlink>
          </w:p>
        </w:tc>
        <w:tc>
          <w:tcPr>
            <w:tcW w:w="4000" w:type="dxa"/>
          </w:tcPr>
          <w:p w:rsidR="00961BA6" w:rsidRDefault="00541F6C">
            <w:r>
              <w:rPr>
                <w:sz w:val="20"/>
              </w:rPr>
              <w:t>Framework for home network using NGN architecture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1150" w:type="dxa"/>
          </w:tcPr>
          <w:p w:rsidR="00961BA6" w:rsidRDefault="00961BA6">
            <w:pPr>
              <w:jc w:val="center"/>
            </w:pPr>
          </w:p>
        </w:tc>
        <w:tc>
          <w:tcPr>
            <w:tcW w:w="115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6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961BA6" w:rsidRDefault="00541F6C">
      <w:pPr>
        <w:pStyle w:val="TableNotitle"/>
        <w:pageBreakBefore/>
      </w:pPr>
      <w:r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961BA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961BA6" w:rsidRDefault="00541F6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961BA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961BA6" w:rsidRDefault="00961BA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961BA6" w:rsidRDefault="00961BA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961BA6" w:rsidRDefault="00961BA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961BA6">
        <w:trPr>
          <w:cantSplit/>
        </w:trPr>
        <w:tc>
          <w:tcPr>
            <w:tcW w:w="2090" w:type="dxa"/>
          </w:tcPr>
          <w:p w:rsidR="00961BA6" w:rsidRDefault="00961BA6">
            <w:pPr>
              <w:jc w:val="left"/>
            </w:pPr>
            <w:hyperlink r:id="rId37" w:history="1">
              <w:r w:rsidR="00541F6C">
                <w:rPr>
                  <w:rStyle w:val="Hyperlink"/>
                  <w:sz w:val="20"/>
                </w:rPr>
                <w:t>G.695</w:t>
              </w:r>
            </w:hyperlink>
          </w:p>
        </w:tc>
        <w:tc>
          <w:tcPr>
            <w:tcW w:w="4000" w:type="dxa"/>
          </w:tcPr>
          <w:p w:rsidR="00961BA6" w:rsidRDefault="00541F6C">
            <w:r>
              <w:rPr>
                <w:sz w:val="20"/>
              </w:rPr>
              <w:t>Optical interfaces for coarse wavelength division multiplexing (CWDM) applications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6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961BA6">
        <w:trPr>
          <w:cantSplit/>
        </w:trPr>
        <w:tc>
          <w:tcPr>
            <w:tcW w:w="2090" w:type="dxa"/>
          </w:tcPr>
          <w:p w:rsidR="00961BA6" w:rsidRDefault="00961BA6">
            <w:pPr>
              <w:jc w:val="left"/>
            </w:pPr>
            <w:hyperlink r:id="rId38" w:history="1">
              <w:r w:rsidR="00541F6C">
                <w:rPr>
                  <w:rStyle w:val="Hyperlink"/>
                  <w:sz w:val="20"/>
                </w:rPr>
                <w:t>G.798</w:t>
              </w:r>
            </w:hyperlink>
          </w:p>
        </w:tc>
        <w:tc>
          <w:tcPr>
            <w:tcW w:w="4000" w:type="dxa"/>
          </w:tcPr>
          <w:p w:rsidR="00961BA6" w:rsidRDefault="00541F6C">
            <w:r>
              <w:rPr>
                <w:sz w:val="20"/>
              </w:rPr>
              <w:t>Characteristics of optical transport network hierarchy equipment functional blocks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6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961BA6">
        <w:trPr>
          <w:cantSplit/>
        </w:trPr>
        <w:tc>
          <w:tcPr>
            <w:tcW w:w="2090" w:type="dxa"/>
          </w:tcPr>
          <w:p w:rsidR="00961BA6" w:rsidRDefault="00961BA6">
            <w:pPr>
              <w:jc w:val="left"/>
            </w:pPr>
            <w:hyperlink r:id="rId39" w:history="1">
              <w:r w:rsidR="00541F6C">
                <w:rPr>
                  <w:rStyle w:val="Hyperlink"/>
                  <w:sz w:val="20"/>
                </w:rPr>
                <w:t>G.8021/Y.1341</w:t>
              </w:r>
            </w:hyperlink>
          </w:p>
        </w:tc>
        <w:tc>
          <w:tcPr>
            <w:tcW w:w="4000" w:type="dxa"/>
          </w:tcPr>
          <w:p w:rsidR="00961BA6" w:rsidRDefault="00541F6C">
            <w:r>
              <w:rPr>
                <w:sz w:val="20"/>
              </w:rPr>
              <w:t>Characteristics of Ethernet transport network equipment functional blocks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2010-07-16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2010-08-12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6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961BA6">
        <w:trPr>
          <w:cantSplit/>
        </w:trPr>
        <w:tc>
          <w:tcPr>
            <w:tcW w:w="2090" w:type="dxa"/>
          </w:tcPr>
          <w:p w:rsidR="00961BA6" w:rsidRDefault="00961BA6">
            <w:pPr>
              <w:jc w:val="left"/>
            </w:pPr>
            <w:hyperlink r:id="rId40" w:history="1">
              <w:r w:rsidR="00541F6C">
                <w:rPr>
                  <w:rStyle w:val="Hyperlink"/>
                  <w:sz w:val="20"/>
                </w:rPr>
                <w:t>G.8081/Y.1353</w:t>
              </w:r>
            </w:hyperlink>
          </w:p>
        </w:tc>
        <w:tc>
          <w:tcPr>
            <w:tcW w:w="4000" w:type="dxa"/>
          </w:tcPr>
          <w:p w:rsidR="00961BA6" w:rsidRDefault="00541F6C">
            <w:r>
              <w:rPr>
                <w:sz w:val="20"/>
              </w:rPr>
              <w:t>Terms and definitions for Automatically Switched Optical Networks (ASON)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2010-09-01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2010-09-21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6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961BA6">
        <w:trPr>
          <w:cantSplit/>
        </w:trPr>
        <w:tc>
          <w:tcPr>
            <w:tcW w:w="2090" w:type="dxa"/>
          </w:tcPr>
          <w:p w:rsidR="00961BA6" w:rsidRDefault="00961BA6">
            <w:pPr>
              <w:jc w:val="left"/>
            </w:pPr>
            <w:hyperlink r:id="rId41" w:history="1">
              <w:r w:rsidR="00541F6C">
                <w:rPr>
                  <w:rStyle w:val="Hyperlink"/>
                  <w:sz w:val="20"/>
                </w:rPr>
                <w:t>G.8251</w:t>
              </w:r>
            </w:hyperlink>
          </w:p>
        </w:tc>
        <w:tc>
          <w:tcPr>
            <w:tcW w:w="4000" w:type="dxa"/>
          </w:tcPr>
          <w:p w:rsidR="00961BA6" w:rsidRDefault="00541F6C">
            <w:r>
              <w:rPr>
                <w:sz w:val="20"/>
              </w:rPr>
              <w:t>The control of jitter and wander within the optical transport network (OTN)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2010-09-01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2010-09-21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6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961BA6">
        <w:trPr>
          <w:cantSplit/>
        </w:trPr>
        <w:tc>
          <w:tcPr>
            <w:tcW w:w="2090" w:type="dxa"/>
          </w:tcPr>
          <w:p w:rsidR="00961BA6" w:rsidRDefault="00961BA6">
            <w:pPr>
              <w:jc w:val="left"/>
            </w:pPr>
            <w:hyperlink r:id="rId42" w:history="1">
              <w:r w:rsidR="00541F6C">
                <w:rPr>
                  <w:rStyle w:val="Hyperlink"/>
                  <w:sz w:val="20"/>
                </w:rPr>
                <w:t>G.8264/Y.1364 (2008) Amd.1 (G.pacmod)</w:t>
              </w:r>
            </w:hyperlink>
          </w:p>
        </w:tc>
        <w:tc>
          <w:tcPr>
            <w:tcW w:w="4000" w:type="dxa"/>
          </w:tcPr>
          <w:p w:rsidR="00961BA6" w:rsidRDefault="00541F6C">
            <w:r>
              <w:rPr>
                <w:sz w:val="20"/>
              </w:rPr>
              <w:t>Distribution of timing information through packet networks: Amendment 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2010-09-01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2010-09-21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6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AC</w:t>
            </w:r>
          </w:p>
        </w:tc>
      </w:tr>
    </w:tbl>
    <w:p w:rsidR="00961BA6" w:rsidRDefault="00541F6C">
      <w:pPr>
        <w:pStyle w:val="TableNotitle"/>
        <w:pageBreakBefore/>
      </w:pPr>
      <w:r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961BA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961BA6" w:rsidRDefault="00541F6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961BA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961BA6" w:rsidRDefault="00961BA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961BA6" w:rsidRDefault="00961BA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961BA6" w:rsidRDefault="00961BA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961BA6">
        <w:trPr>
          <w:cantSplit/>
        </w:trPr>
        <w:tc>
          <w:tcPr>
            <w:tcW w:w="2090" w:type="dxa"/>
          </w:tcPr>
          <w:p w:rsidR="00961BA6" w:rsidRDefault="00961BA6">
            <w:pPr>
              <w:jc w:val="left"/>
            </w:pPr>
            <w:hyperlink r:id="rId43" w:history="1">
              <w:r w:rsidR="00541F6C">
                <w:rPr>
                  <w:rStyle w:val="Hyperlink"/>
                  <w:sz w:val="20"/>
                </w:rPr>
                <w:t>G.718 (2008) Cor.3</w:t>
              </w:r>
            </w:hyperlink>
          </w:p>
        </w:tc>
        <w:tc>
          <w:tcPr>
            <w:tcW w:w="4000" w:type="dxa"/>
          </w:tcPr>
          <w:p w:rsidR="00961BA6" w:rsidRDefault="00541F6C">
            <w:r>
              <w:rPr>
                <w:sz w:val="20"/>
              </w:rPr>
              <w:t>Frame error robust narrowband and wideband embedded variable bit-rate coding of speech and audio from 8-32 kbit/s: Corrections to text and C-code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1150" w:type="dxa"/>
          </w:tcPr>
          <w:p w:rsidR="00961BA6" w:rsidRDefault="00961BA6">
            <w:pPr>
              <w:jc w:val="center"/>
            </w:pPr>
          </w:p>
        </w:tc>
        <w:tc>
          <w:tcPr>
            <w:tcW w:w="115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6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961BA6">
        <w:trPr>
          <w:cantSplit/>
        </w:trPr>
        <w:tc>
          <w:tcPr>
            <w:tcW w:w="2090" w:type="dxa"/>
          </w:tcPr>
          <w:p w:rsidR="00961BA6" w:rsidRDefault="00961BA6">
            <w:pPr>
              <w:jc w:val="left"/>
            </w:pPr>
            <w:hyperlink r:id="rId44" w:history="1">
              <w:r w:rsidR="00541F6C">
                <w:rPr>
                  <w:rStyle w:val="Hyperlink"/>
                  <w:sz w:val="20"/>
                </w:rPr>
                <w:t>G.720.1 (2010) Amd.1 (G.GSAD Annex A)</w:t>
              </w:r>
            </w:hyperlink>
          </w:p>
        </w:tc>
        <w:tc>
          <w:tcPr>
            <w:tcW w:w="4000" w:type="dxa"/>
          </w:tcPr>
          <w:p w:rsidR="00961BA6" w:rsidRDefault="00541F6C">
            <w:r>
              <w:rPr>
                <w:sz w:val="20"/>
              </w:rPr>
              <w:t>Generic sound activity detection: New Annex A on generic voice activity detection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1150" w:type="dxa"/>
          </w:tcPr>
          <w:p w:rsidR="00961BA6" w:rsidRDefault="00961BA6">
            <w:pPr>
              <w:jc w:val="center"/>
            </w:pPr>
          </w:p>
        </w:tc>
        <w:tc>
          <w:tcPr>
            <w:tcW w:w="115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6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961BA6" w:rsidRDefault="00541F6C">
      <w:pPr>
        <w:pStyle w:val="TableNotitle"/>
        <w:pageBreakBefore/>
      </w:pPr>
      <w:r>
        <w:t>Situation concerning Study Group 17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961BA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961BA6" w:rsidRDefault="00541F6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961BA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961BA6" w:rsidRDefault="00961BA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961BA6" w:rsidRDefault="00961BA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961BA6" w:rsidRDefault="00541F6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961BA6" w:rsidRDefault="00961BA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961BA6">
        <w:trPr>
          <w:cantSplit/>
        </w:trPr>
        <w:tc>
          <w:tcPr>
            <w:tcW w:w="2090" w:type="dxa"/>
          </w:tcPr>
          <w:p w:rsidR="00961BA6" w:rsidRDefault="00961BA6">
            <w:pPr>
              <w:jc w:val="left"/>
            </w:pPr>
            <w:hyperlink r:id="rId45" w:history="1">
              <w:r w:rsidR="00541F6C">
                <w:rPr>
                  <w:rStyle w:val="Hyperlink"/>
                  <w:sz w:val="20"/>
                </w:rPr>
                <w:t>X.672 (X.oid-res)</w:t>
              </w:r>
            </w:hyperlink>
          </w:p>
        </w:tc>
        <w:tc>
          <w:tcPr>
            <w:tcW w:w="4000" w:type="dxa"/>
          </w:tcPr>
          <w:p w:rsidR="00961BA6" w:rsidRDefault="00541F6C">
            <w:r>
              <w:rPr>
                <w:sz w:val="20"/>
              </w:rPr>
              <w:t>Information technology - Open systems interconnection - Object identifier resolution system (ORS)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2010-08-01</w:t>
            </w:r>
          </w:p>
        </w:tc>
        <w:tc>
          <w:tcPr>
            <w:tcW w:w="115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2010-08-28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961BA6" w:rsidRDefault="00961BA6">
            <w:pPr>
              <w:jc w:val="center"/>
            </w:pPr>
          </w:p>
        </w:tc>
        <w:tc>
          <w:tcPr>
            <w:tcW w:w="115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80" w:type="dxa"/>
          </w:tcPr>
          <w:p w:rsidR="00961BA6" w:rsidRDefault="00961BA6">
            <w:pPr>
              <w:jc w:val="center"/>
            </w:pPr>
          </w:p>
        </w:tc>
        <w:tc>
          <w:tcPr>
            <w:tcW w:w="860" w:type="dxa"/>
          </w:tcPr>
          <w:p w:rsidR="00961BA6" w:rsidRDefault="00541F6C">
            <w:pPr>
              <w:jc w:val="center"/>
            </w:pPr>
            <w:r>
              <w:rPr>
                <w:sz w:val="20"/>
              </w:rPr>
              <w:t>AT</w:t>
            </w:r>
          </w:p>
        </w:tc>
      </w:tr>
    </w:tbl>
    <w:p w:rsidR="00961BA6" w:rsidRDefault="00961BA6">
      <w:pPr>
        <w:pStyle w:val="Header"/>
        <w:ind w:left="360"/>
        <w:rPr>
          <w:b/>
          <w:bCs/>
          <w:sz w:val="24"/>
        </w:rPr>
        <w:sectPr w:rsidR="00961BA6">
          <w:headerReference w:type="default" r:id="rId46"/>
          <w:footerReference w:type="default" r:id="rId47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961BA6" w:rsidRDefault="00541F6C">
      <w:pPr>
        <w:pStyle w:val="AnnexNotitle"/>
      </w:pPr>
      <w:r>
        <w:t>Annex 2</w:t>
      </w:r>
    </w:p>
    <w:p w:rsidR="00961BA6" w:rsidRDefault="00541F6C">
      <w:pPr>
        <w:jc w:val="center"/>
        <w:rPr>
          <w:szCs w:val="22"/>
        </w:rPr>
      </w:pPr>
      <w:r>
        <w:rPr>
          <w:szCs w:val="22"/>
        </w:rPr>
        <w:t>(to TSB AAP-45)</w:t>
      </w:r>
    </w:p>
    <w:p w:rsidR="00961BA6" w:rsidRDefault="00541F6C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961BA6" w:rsidRDefault="00541F6C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961BA6" w:rsidRDefault="00541F6C">
      <w:r>
        <w:t>1)</w:t>
      </w:r>
      <w:r>
        <w:tab/>
        <w:t xml:space="preserve">Go to AAP search Web page at </w:t>
      </w:r>
      <w:hyperlink r:id="rId48" w:history="1">
        <w:r>
          <w:rPr>
            <w:rStyle w:val="Hyperlink"/>
            <w:szCs w:val="22"/>
          </w:rPr>
          <w:t>http://www.itu.int/ITU-T/aap/</w:t>
        </w:r>
      </w:hyperlink>
    </w:p>
    <w:p w:rsidR="00961BA6" w:rsidRDefault="00810287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A6" w:rsidRDefault="00541F6C">
      <w:r>
        <w:t>2)</w:t>
      </w:r>
      <w:r>
        <w:tab/>
        <w:t>Select your Recommendation</w:t>
      </w:r>
    </w:p>
    <w:p w:rsidR="00961BA6" w:rsidRDefault="00810287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A6" w:rsidRDefault="00541F6C">
      <w:pPr>
        <w:keepNext/>
      </w:pPr>
      <w:r>
        <w:t>3)</w:t>
      </w:r>
      <w:r>
        <w:tab/>
        <w:t>Click the "Submit Comment" button</w:t>
      </w:r>
    </w:p>
    <w:p w:rsidR="00961BA6" w:rsidRDefault="00810287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A6" w:rsidRDefault="00541F6C">
      <w:r>
        <w:t>4)</w:t>
      </w:r>
      <w:r>
        <w:tab/>
        <w:t>Complete the on-line form and click on "Submit"</w:t>
      </w:r>
    </w:p>
    <w:p w:rsidR="00961BA6" w:rsidRDefault="00810287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A6" w:rsidRDefault="00541F6C">
      <w:pPr>
        <w:jc w:val="left"/>
      </w:pPr>
      <w:r>
        <w:t>For more information, read the AAP tutorial on:</w:t>
      </w:r>
      <w:r>
        <w:tab/>
      </w:r>
      <w:r>
        <w:br/>
      </w:r>
      <w:hyperlink r:id="rId53" w:history="1">
        <w:r>
          <w:rPr>
            <w:rStyle w:val="Hyperlink"/>
          </w:rPr>
          <w:t>http://www.itu.int/ITU-T/aapinfo/files/AAPTu</w:t>
        </w:r>
        <w:r>
          <w:rPr>
            <w:rStyle w:val="Hyperlink"/>
          </w:rPr>
          <w:t>torial.pdf</w:t>
        </w:r>
      </w:hyperlink>
    </w:p>
    <w:p w:rsidR="00961BA6" w:rsidRDefault="00541F6C">
      <w:pPr>
        <w:pStyle w:val="AnnexNotitle"/>
      </w:pPr>
      <w:r>
        <w:br w:type="page"/>
        <w:t>Annex 3</w:t>
      </w:r>
    </w:p>
    <w:p w:rsidR="00961BA6" w:rsidRDefault="00541F6C">
      <w:pPr>
        <w:jc w:val="center"/>
        <w:rPr>
          <w:szCs w:val="22"/>
        </w:rPr>
      </w:pPr>
      <w:r>
        <w:rPr>
          <w:szCs w:val="22"/>
        </w:rPr>
        <w:t>(to TSB AAP-45)</w:t>
      </w:r>
    </w:p>
    <w:p w:rsidR="00961BA6" w:rsidRDefault="00541F6C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961BA6" w:rsidRDefault="00541F6C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961BA6">
        <w:tc>
          <w:tcPr>
            <w:tcW w:w="5000" w:type="pct"/>
            <w:gridSpan w:val="2"/>
            <w:shd w:val="clear" w:color="auto" w:fill="EFFAFF"/>
          </w:tcPr>
          <w:p w:rsidR="00961BA6" w:rsidRDefault="00541F6C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961B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961BA6" w:rsidRDefault="00541F6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961BA6" w:rsidRDefault="00961BA6">
            <w:pPr>
              <w:pStyle w:val="Tabletext"/>
              <w:jc w:val="left"/>
            </w:pPr>
          </w:p>
        </w:tc>
      </w:tr>
      <w:tr w:rsidR="00961B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961BA6" w:rsidRDefault="00541F6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961BA6" w:rsidRDefault="00961BA6">
            <w:pPr>
              <w:pStyle w:val="Tabletext"/>
              <w:jc w:val="left"/>
            </w:pPr>
          </w:p>
        </w:tc>
      </w:tr>
      <w:tr w:rsidR="00961B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961BA6" w:rsidRDefault="00541F6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961BA6" w:rsidRDefault="00961BA6">
            <w:pPr>
              <w:pStyle w:val="Tabletext"/>
              <w:jc w:val="left"/>
            </w:pPr>
          </w:p>
        </w:tc>
      </w:tr>
      <w:tr w:rsidR="00961BA6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961BA6" w:rsidRDefault="00541F6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961BA6" w:rsidRDefault="00541F6C">
            <w:pPr>
              <w:pStyle w:val="Tabletext"/>
              <w:jc w:val="left"/>
            </w:pPr>
            <w:r>
              <w:br/>
            </w:r>
            <w:r w:rsidR="00961BA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961BA6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961B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961BA6">
              <w:fldChar w:fldCharType="end"/>
            </w:r>
            <w:r>
              <w:t xml:space="preserve"> Additional Review (AR)</w:t>
            </w:r>
          </w:p>
        </w:tc>
      </w:tr>
      <w:tr w:rsidR="00961B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961BA6" w:rsidRDefault="00541F6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961BA6" w:rsidRDefault="00961BA6">
            <w:pPr>
              <w:pStyle w:val="Tabletext"/>
              <w:jc w:val="left"/>
            </w:pPr>
          </w:p>
        </w:tc>
      </w:tr>
      <w:tr w:rsidR="00961B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961BA6" w:rsidRDefault="00541F6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961BA6" w:rsidRDefault="00961BA6">
            <w:pPr>
              <w:pStyle w:val="Tabletext"/>
              <w:jc w:val="left"/>
            </w:pPr>
          </w:p>
        </w:tc>
      </w:tr>
      <w:tr w:rsidR="00961B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961BA6" w:rsidRDefault="00541F6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961BA6" w:rsidRDefault="00961BA6">
            <w:pPr>
              <w:pStyle w:val="Tabletext"/>
              <w:jc w:val="left"/>
            </w:pPr>
          </w:p>
        </w:tc>
      </w:tr>
      <w:tr w:rsidR="00961B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961BA6" w:rsidRDefault="00541F6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961BA6" w:rsidRDefault="00961BA6">
            <w:pPr>
              <w:pStyle w:val="Tabletext"/>
              <w:jc w:val="left"/>
            </w:pPr>
          </w:p>
        </w:tc>
      </w:tr>
      <w:tr w:rsidR="00961B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961BA6" w:rsidRDefault="00541F6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961BA6" w:rsidRDefault="00961BA6">
            <w:pPr>
              <w:pStyle w:val="Tabletext"/>
              <w:jc w:val="left"/>
            </w:pPr>
          </w:p>
        </w:tc>
      </w:tr>
      <w:tr w:rsidR="00961B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961BA6" w:rsidRDefault="00541F6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961BA6" w:rsidRDefault="00961BA6">
            <w:pPr>
              <w:pStyle w:val="Tabletext"/>
              <w:jc w:val="left"/>
            </w:pPr>
          </w:p>
        </w:tc>
      </w:tr>
      <w:tr w:rsidR="00961BA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961BA6" w:rsidRDefault="00541F6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961BA6" w:rsidRDefault="00961BA6">
            <w:pPr>
              <w:pStyle w:val="Tabletext"/>
              <w:jc w:val="left"/>
            </w:pPr>
          </w:p>
        </w:tc>
      </w:tr>
      <w:tr w:rsidR="00961BA6">
        <w:tc>
          <w:tcPr>
            <w:tcW w:w="1623" w:type="pct"/>
            <w:shd w:val="clear" w:color="auto" w:fill="EFFAFF"/>
            <w:vAlign w:val="center"/>
          </w:tcPr>
          <w:p w:rsidR="00961BA6" w:rsidRDefault="00541F6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961BA6" w:rsidRDefault="00541F6C">
            <w:pPr>
              <w:pStyle w:val="Tabletext"/>
              <w:jc w:val="left"/>
            </w:pPr>
            <w:r>
              <w:br/>
            </w:r>
            <w:r w:rsidR="00961B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961BA6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961B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961BA6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961BA6">
        <w:tc>
          <w:tcPr>
            <w:tcW w:w="1623" w:type="pct"/>
            <w:shd w:val="clear" w:color="auto" w:fill="EFFAFF"/>
            <w:vAlign w:val="center"/>
          </w:tcPr>
          <w:p w:rsidR="00961BA6" w:rsidRDefault="00541F6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961BA6" w:rsidRDefault="00541F6C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961BA6" w:rsidRDefault="00541F6C">
      <w:pPr>
        <w:jc w:val="left"/>
        <w:rPr>
          <w:szCs w:val="22"/>
        </w:rPr>
      </w:pPr>
      <w:r>
        <w:tab/>
      </w:r>
      <w:r w:rsidR="00961BA6" w:rsidRPr="00961BA6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961BA6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961BA6" w:rsidRDefault="00541F6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54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</w:t>
      </w:r>
      <w:r>
        <w:rPr>
          <w:i/>
          <w:iCs/>
          <w:szCs w:val="22"/>
        </w:rPr>
        <w:t>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961BA6" w:rsidRDefault="00961BA6">
      <w:pPr>
        <w:rPr>
          <w:i/>
          <w:iCs/>
          <w:szCs w:val="22"/>
        </w:rPr>
      </w:pPr>
    </w:p>
    <w:sectPr w:rsidR="00961BA6" w:rsidSect="00961BA6">
      <w:headerReference w:type="default" r:id="rId55"/>
      <w:footerReference w:type="default" r:id="rId56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F6C" w:rsidRDefault="00541F6C">
      <w:r>
        <w:separator/>
      </w:r>
    </w:p>
  </w:endnote>
  <w:endnote w:type="continuationSeparator" w:id="0">
    <w:p w:rsidR="00541F6C" w:rsidRDefault="00541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A6" w:rsidRDefault="00541F6C">
    <w:pPr>
      <w:pStyle w:val="Footer"/>
    </w:pPr>
    <w:r>
      <w:rPr>
        <w:sz w:val="18"/>
        <w:szCs w:val="18"/>
        <w:lang w:val="en-US"/>
      </w:rPr>
      <w:t>TSB AAP-45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2010-10-01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961BA6">
      <w:tc>
        <w:tcPr>
          <w:tcW w:w="1985" w:type="dxa"/>
        </w:tcPr>
        <w:p w:rsidR="00961BA6" w:rsidRDefault="00541F6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961BA6" w:rsidRDefault="00541F6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961BA6" w:rsidRDefault="00541F6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961BA6" w:rsidRDefault="00541F6C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961BA6" w:rsidRDefault="00541F6C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961BA6" w:rsidRDefault="00961BA6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A6" w:rsidRDefault="00541F6C">
    <w:pPr>
      <w:pStyle w:val="Footer"/>
    </w:pPr>
    <w:r>
      <w:rPr>
        <w:sz w:val="18"/>
        <w:szCs w:val="18"/>
        <w:lang w:val="en-US"/>
      </w:rPr>
      <w:t>TSB AAP-45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>2010-10-01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A6" w:rsidRDefault="00541F6C">
    <w:pPr>
      <w:pStyle w:val="Footer"/>
    </w:pPr>
    <w:r>
      <w:rPr>
        <w:sz w:val="18"/>
        <w:szCs w:val="18"/>
        <w:lang w:val="en-US"/>
      </w:rPr>
      <w:t>TSB AAP-45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2010-10-01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F6C" w:rsidRDefault="00541F6C">
      <w:r>
        <w:t>____________________</w:t>
      </w:r>
    </w:p>
  </w:footnote>
  <w:footnote w:type="continuationSeparator" w:id="0">
    <w:p w:rsidR="00541F6C" w:rsidRDefault="00541F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A6" w:rsidRDefault="00541F6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961BA6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961BA6">
      <w:rPr>
        <w:rStyle w:val="PageNumber"/>
        <w:szCs w:val="18"/>
      </w:rPr>
      <w:fldChar w:fldCharType="separate"/>
    </w:r>
    <w:r w:rsidR="00810287">
      <w:rPr>
        <w:rStyle w:val="PageNumber"/>
        <w:noProof/>
        <w:szCs w:val="18"/>
      </w:rPr>
      <w:t>2</w:t>
    </w:r>
    <w:r w:rsidR="00961BA6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A6" w:rsidRDefault="00541F6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961BA6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961BA6">
      <w:rPr>
        <w:rStyle w:val="PageNumber"/>
        <w:szCs w:val="18"/>
      </w:rPr>
      <w:fldChar w:fldCharType="separate"/>
    </w:r>
    <w:r w:rsidR="00810287">
      <w:rPr>
        <w:rStyle w:val="PageNumber"/>
        <w:noProof/>
        <w:szCs w:val="18"/>
      </w:rPr>
      <w:t>6</w:t>
    </w:r>
    <w:r w:rsidR="00961BA6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A6" w:rsidRDefault="00541F6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961BA6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961BA6">
      <w:rPr>
        <w:rStyle w:val="PageNumber"/>
        <w:szCs w:val="18"/>
      </w:rPr>
      <w:fldChar w:fldCharType="separate"/>
    </w:r>
    <w:r w:rsidR="00810287">
      <w:rPr>
        <w:rStyle w:val="PageNumber"/>
        <w:noProof/>
        <w:szCs w:val="18"/>
      </w:rPr>
      <w:t>9</w:t>
    </w:r>
    <w:r w:rsidR="00961BA6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61BA6"/>
    <w:rsid w:val="00541F6C"/>
    <w:rsid w:val="00810287"/>
    <w:rsid w:val="00961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961BA6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961BA6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961BA6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961BA6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61BA6"/>
    <w:pPr>
      <w:outlineLvl w:val="4"/>
    </w:pPr>
  </w:style>
  <w:style w:type="paragraph" w:styleId="Heading6">
    <w:name w:val="heading 6"/>
    <w:basedOn w:val="Heading4"/>
    <w:next w:val="Normal"/>
    <w:qFormat/>
    <w:rsid w:val="00961BA6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61BA6"/>
    <w:pPr>
      <w:outlineLvl w:val="6"/>
    </w:pPr>
  </w:style>
  <w:style w:type="paragraph" w:styleId="Heading8">
    <w:name w:val="heading 8"/>
    <w:basedOn w:val="Heading6"/>
    <w:next w:val="Normal"/>
    <w:qFormat/>
    <w:rsid w:val="00961BA6"/>
    <w:pPr>
      <w:outlineLvl w:val="7"/>
    </w:pPr>
  </w:style>
  <w:style w:type="paragraph" w:styleId="Heading9">
    <w:name w:val="heading 9"/>
    <w:basedOn w:val="Heading6"/>
    <w:next w:val="Normal"/>
    <w:qFormat/>
    <w:rsid w:val="00961BA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961BA6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961BA6"/>
    <w:pPr>
      <w:spacing w:before="360"/>
    </w:pPr>
  </w:style>
  <w:style w:type="paragraph" w:customStyle="1" w:styleId="ChapNo">
    <w:name w:val="Chap_No"/>
    <w:basedOn w:val="Normal"/>
    <w:next w:val="Chaptitle"/>
    <w:rsid w:val="00961BA6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961BA6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961BA6"/>
  </w:style>
  <w:style w:type="paragraph" w:customStyle="1" w:styleId="AnnexNotitle">
    <w:name w:val="Annex_No &amp; title"/>
    <w:basedOn w:val="Normal"/>
    <w:next w:val="Normalaftertitle"/>
    <w:rsid w:val="00961BA6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961BA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961BA6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961BA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961BA6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961BA6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961BA6"/>
    <w:pPr>
      <w:spacing w:before="80"/>
      <w:ind w:left="794" w:hanging="794"/>
    </w:pPr>
  </w:style>
  <w:style w:type="paragraph" w:customStyle="1" w:styleId="enumlev2">
    <w:name w:val="enumlev2"/>
    <w:basedOn w:val="enumlev1"/>
    <w:rsid w:val="00961BA6"/>
    <w:pPr>
      <w:ind w:left="1191" w:hanging="397"/>
    </w:pPr>
  </w:style>
  <w:style w:type="paragraph" w:customStyle="1" w:styleId="enumlev3">
    <w:name w:val="enumlev3"/>
    <w:basedOn w:val="enumlev2"/>
    <w:rsid w:val="00961BA6"/>
    <w:pPr>
      <w:ind w:left="1588"/>
    </w:pPr>
  </w:style>
  <w:style w:type="paragraph" w:customStyle="1" w:styleId="Equation">
    <w:name w:val="Equation"/>
    <w:basedOn w:val="Normal"/>
    <w:rsid w:val="00961BA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61BA6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61BA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961BA6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961BA6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961BA6"/>
  </w:style>
  <w:style w:type="paragraph" w:customStyle="1" w:styleId="Tabletext">
    <w:name w:val="Table_text"/>
    <w:basedOn w:val="Normal"/>
    <w:rsid w:val="00961BA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961BA6"/>
    <w:pPr>
      <w:keepLines/>
      <w:spacing w:before="240" w:after="120"/>
      <w:jc w:val="center"/>
    </w:pPr>
  </w:style>
  <w:style w:type="paragraph" w:styleId="Footer">
    <w:name w:val="footer"/>
    <w:basedOn w:val="Normal"/>
    <w:rsid w:val="00961BA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61BA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961BA6"/>
    <w:rPr>
      <w:position w:val="6"/>
      <w:sz w:val="18"/>
    </w:rPr>
  </w:style>
  <w:style w:type="paragraph" w:styleId="FootnoteText">
    <w:name w:val="footnote text"/>
    <w:basedOn w:val="Note"/>
    <w:semiHidden/>
    <w:rsid w:val="00961BA6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961BA6"/>
    <w:pPr>
      <w:spacing w:before="80"/>
    </w:pPr>
  </w:style>
  <w:style w:type="paragraph" w:styleId="Header">
    <w:name w:val="header"/>
    <w:basedOn w:val="Normal"/>
    <w:rsid w:val="00961BA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61BA6"/>
  </w:style>
  <w:style w:type="paragraph" w:styleId="Index2">
    <w:name w:val="index 2"/>
    <w:basedOn w:val="Normal"/>
    <w:next w:val="Normal"/>
    <w:semiHidden/>
    <w:rsid w:val="00961BA6"/>
    <w:pPr>
      <w:ind w:left="283"/>
    </w:pPr>
  </w:style>
  <w:style w:type="paragraph" w:styleId="Index3">
    <w:name w:val="index 3"/>
    <w:basedOn w:val="Normal"/>
    <w:next w:val="Normal"/>
    <w:semiHidden/>
    <w:rsid w:val="00961BA6"/>
    <w:pPr>
      <w:ind w:left="566"/>
    </w:pPr>
  </w:style>
  <w:style w:type="paragraph" w:customStyle="1" w:styleId="PartNo">
    <w:name w:val="Part_No"/>
    <w:basedOn w:val="Normal"/>
    <w:next w:val="Partref"/>
    <w:rsid w:val="00961BA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961BA6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61BA6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961BA6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961BA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961BA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961BA6"/>
  </w:style>
  <w:style w:type="paragraph" w:customStyle="1" w:styleId="QuestionNo">
    <w:name w:val="Question_No"/>
    <w:basedOn w:val="RecNo"/>
    <w:next w:val="Questiontitle"/>
    <w:rsid w:val="00961BA6"/>
  </w:style>
  <w:style w:type="paragraph" w:customStyle="1" w:styleId="RecNo">
    <w:name w:val="Rec_No"/>
    <w:basedOn w:val="Normal"/>
    <w:next w:val="Rectitle"/>
    <w:rsid w:val="00961BA6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961BA6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961BA6"/>
  </w:style>
  <w:style w:type="paragraph" w:customStyle="1" w:styleId="Questionref">
    <w:name w:val="Question_ref"/>
    <w:basedOn w:val="Recref"/>
    <w:next w:val="Questiondate"/>
    <w:rsid w:val="00961BA6"/>
  </w:style>
  <w:style w:type="paragraph" w:customStyle="1" w:styleId="Reftext">
    <w:name w:val="Ref_text"/>
    <w:basedOn w:val="Normal"/>
    <w:rsid w:val="00961BA6"/>
    <w:pPr>
      <w:ind w:left="794" w:hanging="794"/>
    </w:pPr>
  </w:style>
  <w:style w:type="paragraph" w:customStyle="1" w:styleId="Repdate">
    <w:name w:val="Rep_date"/>
    <w:basedOn w:val="Recdate"/>
    <w:next w:val="Normalaftertitle"/>
    <w:rsid w:val="00961BA6"/>
  </w:style>
  <w:style w:type="paragraph" w:customStyle="1" w:styleId="RepNo">
    <w:name w:val="Rep_No"/>
    <w:basedOn w:val="RecNo"/>
    <w:next w:val="Reptitle"/>
    <w:rsid w:val="00961BA6"/>
  </w:style>
  <w:style w:type="paragraph" w:customStyle="1" w:styleId="Reptitle">
    <w:name w:val="Rep_title"/>
    <w:basedOn w:val="Rectitle"/>
    <w:next w:val="Repref"/>
    <w:rsid w:val="00961BA6"/>
  </w:style>
  <w:style w:type="paragraph" w:customStyle="1" w:styleId="Repref">
    <w:name w:val="Rep_ref"/>
    <w:basedOn w:val="Recref"/>
    <w:next w:val="Repdate"/>
    <w:rsid w:val="00961BA6"/>
  </w:style>
  <w:style w:type="paragraph" w:customStyle="1" w:styleId="Resdate">
    <w:name w:val="Res_date"/>
    <w:basedOn w:val="Recdate"/>
    <w:next w:val="Normalaftertitle"/>
    <w:rsid w:val="00961BA6"/>
  </w:style>
  <w:style w:type="paragraph" w:customStyle="1" w:styleId="ResNo">
    <w:name w:val="Res_No"/>
    <w:basedOn w:val="RecNo"/>
    <w:next w:val="Restitle"/>
    <w:rsid w:val="00961BA6"/>
  </w:style>
  <w:style w:type="paragraph" w:customStyle="1" w:styleId="Restitle">
    <w:name w:val="Res_title"/>
    <w:basedOn w:val="Rectitle"/>
    <w:next w:val="Resref"/>
    <w:rsid w:val="00961BA6"/>
  </w:style>
  <w:style w:type="paragraph" w:customStyle="1" w:styleId="Resref">
    <w:name w:val="Res_ref"/>
    <w:basedOn w:val="Recref"/>
    <w:next w:val="Resdate"/>
    <w:rsid w:val="00961BA6"/>
  </w:style>
  <w:style w:type="paragraph" w:customStyle="1" w:styleId="SectionNo">
    <w:name w:val="Section_No"/>
    <w:basedOn w:val="Normal"/>
    <w:next w:val="Sectiontitle"/>
    <w:rsid w:val="00961BA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961BA6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961BA6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61BA6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961BA6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961BA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961BA6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961BA6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961BA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61BA6"/>
  </w:style>
  <w:style w:type="paragraph" w:customStyle="1" w:styleId="Title3">
    <w:name w:val="Title 3"/>
    <w:basedOn w:val="Title2"/>
    <w:next w:val="Title4"/>
    <w:rsid w:val="00961BA6"/>
    <w:rPr>
      <w:caps w:val="0"/>
    </w:rPr>
  </w:style>
  <w:style w:type="paragraph" w:customStyle="1" w:styleId="Title4">
    <w:name w:val="Title 4"/>
    <w:basedOn w:val="Title3"/>
    <w:next w:val="Heading1"/>
    <w:rsid w:val="00961BA6"/>
    <w:rPr>
      <w:b/>
    </w:rPr>
  </w:style>
  <w:style w:type="paragraph" w:customStyle="1" w:styleId="toc0">
    <w:name w:val="toc 0"/>
    <w:basedOn w:val="Normal"/>
    <w:next w:val="TOC1"/>
    <w:rsid w:val="00961BA6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61BA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61BA6"/>
    <w:pPr>
      <w:spacing w:before="80"/>
      <w:ind w:left="1531" w:hanging="851"/>
    </w:pPr>
  </w:style>
  <w:style w:type="paragraph" w:styleId="TOC3">
    <w:name w:val="toc 3"/>
    <w:basedOn w:val="TOC2"/>
    <w:semiHidden/>
    <w:rsid w:val="00961BA6"/>
  </w:style>
  <w:style w:type="paragraph" w:styleId="TOC4">
    <w:name w:val="toc 4"/>
    <w:basedOn w:val="TOC3"/>
    <w:semiHidden/>
    <w:rsid w:val="00961BA6"/>
  </w:style>
  <w:style w:type="paragraph" w:styleId="TOC5">
    <w:name w:val="toc 5"/>
    <w:basedOn w:val="TOC4"/>
    <w:semiHidden/>
    <w:rsid w:val="00961BA6"/>
  </w:style>
  <w:style w:type="paragraph" w:styleId="TOC6">
    <w:name w:val="toc 6"/>
    <w:basedOn w:val="TOC4"/>
    <w:semiHidden/>
    <w:rsid w:val="00961BA6"/>
  </w:style>
  <w:style w:type="paragraph" w:styleId="TOC7">
    <w:name w:val="toc 7"/>
    <w:basedOn w:val="TOC4"/>
    <w:semiHidden/>
    <w:rsid w:val="00961BA6"/>
  </w:style>
  <w:style w:type="paragraph" w:styleId="TOC8">
    <w:name w:val="toc 8"/>
    <w:basedOn w:val="TOC4"/>
    <w:semiHidden/>
    <w:rsid w:val="00961BA6"/>
  </w:style>
  <w:style w:type="character" w:customStyle="1" w:styleId="Appdef">
    <w:name w:val="App_def"/>
    <w:basedOn w:val="DefaultParagraphFont"/>
    <w:rsid w:val="00961BA6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61BA6"/>
  </w:style>
  <w:style w:type="character" w:customStyle="1" w:styleId="Artdef">
    <w:name w:val="Art_def"/>
    <w:basedOn w:val="DefaultParagraphFont"/>
    <w:rsid w:val="00961BA6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61BA6"/>
  </w:style>
  <w:style w:type="paragraph" w:customStyle="1" w:styleId="Reftitle">
    <w:name w:val="Ref_title"/>
    <w:basedOn w:val="Normal"/>
    <w:next w:val="Reftext"/>
    <w:rsid w:val="00961BA6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961BA6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961BA6"/>
    <w:rPr>
      <w:b/>
      <w:color w:val="auto"/>
    </w:rPr>
  </w:style>
  <w:style w:type="paragraph" w:customStyle="1" w:styleId="Formal">
    <w:name w:val="Formal"/>
    <w:basedOn w:val="ASN1"/>
    <w:rsid w:val="00961BA6"/>
    <w:rPr>
      <w:b w:val="0"/>
    </w:rPr>
  </w:style>
  <w:style w:type="paragraph" w:customStyle="1" w:styleId="FooterQP">
    <w:name w:val="Footer_QP"/>
    <w:basedOn w:val="Normal"/>
    <w:rsid w:val="00961BA6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961BA6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961BA6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961BA6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961BA6"/>
  </w:style>
  <w:style w:type="paragraph" w:customStyle="1" w:styleId="RepNoBR">
    <w:name w:val="Rep_No_BR"/>
    <w:basedOn w:val="RecNoBR"/>
    <w:next w:val="Reptitle"/>
    <w:rsid w:val="00961BA6"/>
  </w:style>
  <w:style w:type="paragraph" w:customStyle="1" w:styleId="ResNoBR">
    <w:name w:val="Res_No_BR"/>
    <w:basedOn w:val="RecNoBR"/>
    <w:next w:val="Restitle"/>
    <w:rsid w:val="00961BA6"/>
  </w:style>
  <w:style w:type="paragraph" w:customStyle="1" w:styleId="TabletitleBR">
    <w:name w:val="Table_title_BR"/>
    <w:basedOn w:val="Normal"/>
    <w:next w:val="Tablehead"/>
    <w:rsid w:val="00961BA6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961BA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961BA6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961BA6"/>
    <w:rPr>
      <w:b/>
    </w:rPr>
  </w:style>
  <w:style w:type="paragraph" w:customStyle="1" w:styleId="FiguretitleBR">
    <w:name w:val="Figure_title_BR"/>
    <w:basedOn w:val="TabletitleBR"/>
    <w:next w:val="Figurewithouttitle"/>
    <w:rsid w:val="00961BA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61BA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aapinfo/" TargetMode="External"/><Relationship Id="rId18" Type="http://schemas.openxmlformats.org/officeDocument/2006/relationships/hyperlink" Target="mailto:tsbsg3@itu.int" TargetMode="External"/><Relationship Id="rId26" Type="http://schemas.openxmlformats.org/officeDocument/2006/relationships/hyperlink" Target="mailto:tsbsg12@itu.int" TargetMode="External"/><Relationship Id="rId39" Type="http://schemas.openxmlformats.org/officeDocument/2006/relationships/hyperlink" Target="http://www.itu.int/itu-t/aap/AAPRecDetails.aspx?AAPSeqNo=2129" TargetMode="External"/><Relationship Id="rId21" Type="http://schemas.openxmlformats.org/officeDocument/2006/relationships/hyperlink" Target="http://www.itu.int/ITU-T/studygroups/com09" TargetMode="External"/><Relationship Id="rId34" Type="http://schemas.openxmlformats.org/officeDocument/2006/relationships/hyperlink" Target="mailto:tsbsg17@itu.int" TargetMode="External"/><Relationship Id="rId42" Type="http://schemas.openxmlformats.org/officeDocument/2006/relationships/hyperlink" Target="http://www.itu.int/itu-t/aap/AAPRecDetails.aspx?AAPSeqNo=2144" TargetMode="External"/><Relationship Id="rId47" Type="http://schemas.openxmlformats.org/officeDocument/2006/relationships/footer" Target="footer3.xml"/><Relationship Id="rId50" Type="http://schemas.openxmlformats.org/officeDocument/2006/relationships/image" Target="media/image3.gif"/><Relationship Id="rId55" Type="http://schemas.openxmlformats.org/officeDocument/2006/relationships/header" Target="header3.xml"/><Relationship Id="rId7" Type="http://schemas.openxmlformats.org/officeDocument/2006/relationships/image" Target="media/image1.wmf"/><Relationship Id="rId12" Type="http://schemas.openxmlformats.org/officeDocument/2006/relationships/hyperlink" Target="http://www.itu.int/ITU-T/" TargetMode="External"/><Relationship Id="rId17" Type="http://schemas.openxmlformats.org/officeDocument/2006/relationships/hyperlink" Target="http://www.itu.int/ITU-T/studygroups/com03" TargetMode="External"/><Relationship Id="rId25" Type="http://schemas.openxmlformats.org/officeDocument/2006/relationships/hyperlink" Target="http://www.itu.int/ITU-T/studygroups/com12" TargetMode="External"/><Relationship Id="rId33" Type="http://schemas.openxmlformats.org/officeDocument/2006/relationships/hyperlink" Target="http://www.itu.int/ITU-T/studygroups/com17" TargetMode="External"/><Relationship Id="rId38" Type="http://schemas.openxmlformats.org/officeDocument/2006/relationships/hyperlink" Target="http://www.itu.int/itu-t/aap/AAPRecDetails.aspx?AAPSeqNo=2128" TargetMode="External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mailto:tsbsg2@itu.int" TargetMode="External"/><Relationship Id="rId20" Type="http://schemas.openxmlformats.org/officeDocument/2006/relationships/hyperlink" Target="mailto:tsbsg5@itu.int" TargetMode="External"/><Relationship Id="rId29" Type="http://schemas.openxmlformats.org/officeDocument/2006/relationships/hyperlink" Target="http://www.itu.int/ITU-T/studygroups/com15" TargetMode="External"/><Relationship Id="rId41" Type="http://schemas.openxmlformats.org/officeDocument/2006/relationships/hyperlink" Target="http://www.itu.int/itu-t/aap/AAPRecDetails.aspx?AAPSeqNo=2140" TargetMode="External"/><Relationship Id="rId54" Type="http://schemas.openxmlformats.org/officeDocument/2006/relationships/hyperlink" Target="mailto:tsbsg....@itu.in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mailto:tsbsg11@itu.int" TargetMode="External"/><Relationship Id="rId32" Type="http://schemas.openxmlformats.org/officeDocument/2006/relationships/hyperlink" Target="mailto:tsbsg16@itu.int" TargetMode="External"/><Relationship Id="rId37" Type="http://schemas.openxmlformats.org/officeDocument/2006/relationships/hyperlink" Target="http://www.itu.int/itu-t/aap/AAPRecDetails.aspx?AAPSeqNo=2109" TargetMode="External"/><Relationship Id="rId40" Type="http://schemas.openxmlformats.org/officeDocument/2006/relationships/hyperlink" Target="http://www.itu.int/itu-t/aap/AAPRecDetails.aspx?AAPSeqNo=2126" TargetMode="External"/><Relationship Id="rId45" Type="http://schemas.openxmlformats.org/officeDocument/2006/relationships/hyperlink" Target="http://www.itu.int/itu-t/aap/AAPRecDetails.aspx?AAPSeqNo=2082" TargetMode="External"/><Relationship Id="rId53" Type="http://schemas.openxmlformats.org/officeDocument/2006/relationships/hyperlink" Target="http://www.itu.int/ITU-T/aapinfo/files/AAPTutorial.pdf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itu.int/ITU-T/studygroups/com02" TargetMode="External"/><Relationship Id="rId23" Type="http://schemas.openxmlformats.org/officeDocument/2006/relationships/hyperlink" Target="http://www.itu.int/ITU-T/studygroups/com11" TargetMode="External"/><Relationship Id="rId28" Type="http://schemas.openxmlformats.org/officeDocument/2006/relationships/hyperlink" Target="mailto:tsbsg13@itu.int" TargetMode="External"/><Relationship Id="rId36" Type="http://schemas.openxmlformats.org/officeDocument/2006/relationships/hyperlink" Target="http://www.itu.int/itu-t/aap/AAPRecDetails.aspx?AAPSeqNo=2182" TargetMode="External"/><Relationship Id="rId49" Type="http://schemas.openxmlformats.org/officeDocument/2006/relationships/image" Target="media/image2.gif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itu.int/ITU-T/studygroups/com05" TargetMode="External"/><Relationship Id="rId31" Type="http://schemas.openxmlformats.org/officeDocument/2006/relationships/hyperlink" Target="http://www.itu.int/ITU-T/studygroups/com16" TargetMode="External"/><Relationship Id="rId44" Type="http://schemas.openxmlformats.org/officeDocument/2006/relationships/hyperlink" Target="http://www.itu.int/itu-t/aap/AAPRecDetails.aspx?AAPSeqNo=2174" TargetMode="External"/><Relationship Id="rId52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itu.int/ITU-T/aap/" TargetMode="External"/><Relationship Id="rId22" Type="http://schemas.openxmlformats.org/officeDocument/2006/relationships/hyperlink" Target="mailto:tsbsg9@itu.int" TargetMode="External"/><Relationship Id="rId27" Type="http://schemas.openxmlformats.org/officeDocument/2006/relationships/hyperlink" Target="http://www.itu.int/ITU-T/studygroups/com13" TargetMode="External"/><Relationship Id="rId30" Type="http://schemas.openxmlformats.org/officeDocument/2006/relationships/hyperlink" Target="mailto:tsbsg15@itu.int" TargetMode="External"/><Relationship Id="rId35" Type="http://schemas.openxmlformats.org/officeDocument/2006/relationships/hyperlink" Target="http://www.itu.int/itu-t/aap/AAPRecDetails.aspx?AAPSeqNo=2183" TargetMode="External"/><Relationship Id="rId43" Type="http://schemas.openxmlformats.org/officeDocument/2006/relationships/hyperlink" Target="http://www.itu.int/itu-t/aap/AAPRecDetails.aspx?AAPSeqNo=2173" TargetMode="External"/><Relationship Id="rId48" Type="http://schemas.openxmlformats.org/officeDocument/2006/relationships/hyperlink" Target="http://www.itu.int/ITU-T/aap/" TargetMode="External"/><Relationship Id="rId56" Type="http://schemas.openxmlformats.org/officeDocument/2006/relationships/footer" Target="footer4.xml"/><Relationship Id="rId8" Type="http://schemas.openxmlformats.org/officeDocument/2006/relationships/hyperlink" Target="http://www.itu.int/ITU-T/aap/" TargetMode="External"/><Relationship Id="rId51" Type="http://schemas.openxmlformats.org/officeDocument/2006/relationships/image" Target="media/image4.gif"/><Relationship Id="rId3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1322</Words>
  <Characters>7537</Characters>
  <Application>Microsoft Office Word</Application>
  <DocSecurity>0</DocSecurity>
  <Lines>62</Lines>
  <Paragraphs>17</Paragraphs>
  <ScaleCrop>false</ScaleCrop>
  <Company/>
  <LinksUpToDate>false</LinksUpToDate>
  <CharactersWithSpaces>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ITU-T</dc:creator>
  <cp:keywords/>
  <dc:description/>
  <cp:lastModifiedBy>ITU-T</cp:lastModifiedBy>
  <cp:revision>2</cp:revision>
  <dcterms:created xsi:type="dcterms:W3CDTF">2010-09-30T13:30:00Z</dcterms:created>
  <dcterms:modified xsi:type="dcterms:W3CDTF">2010-09-30T13:30:00Z</dcterms:modified>
</cp:coreProperties>
</file>