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560"/>
        <w:gridCol w:w="3000"/>
        <w:gridCol w:w="840"/>
        <w:gridCol w:w="1080"/>
        <w:gridCol w:w="3026"/>
      </w:tblGrid>
      <w:tr w:rsidR="00A23447" w:rsidRPr="00A23447">
        <w:trPr>
          <w:cantSplit/>
        </w:trPr>
        <w:tc>
          <w:tcPr>
            <w:tcW w:w="1417" w:type="dxa"/>
            <w:vMerge w:val="restart"/>
          </w:tcPr>
          <w:p w:rsidR="00A23447" w:rsidRPr="00A23447" w:rsidRDefault="00A23447" w:rsidP="00A23447">
            <w:bookmarkStart w:id="0" w:name="InsertLogo"/>
            <w:bookmarkStart w:id="1" w:name="dnum" w:colFirst="2" w:colLast="2"/>
            <w:bookmarkStart w:id="2" w:name="dtableau"/>
            <w:bookmarkEnd w:id="0"/>
            <w:r w:rsidRPr="00A23447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25BDB696" wp14:editId="7A12673D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0" w:type="dxa"/>
            <w:gridSpan w:val="4"/>
          </w:tcPr>
          <w:p w:rsidR="00A23447" w:rsidRPr="00A23447" w:rsidRDefault="00A23447" w:rsidP="00A23447">
            <w:pPr>
              <w:rPr>
                <w:sz w:val="20"/>
                <w:lang w:val="fr-CH"/>
              </w:rPr>
            </w:pPr>
            <w:r w:rsidRPr="00A23447">
              <w:rPr>
                <w:sz w:val="20"/>
                <w:lang w:val="fr-CH"/>
              </w:rPr>
              <w:t>UNIÓN INTERNACIONAL DE TELECOMUNICACIONES</w:t>
            </w:r>
          </w:p>
        </w:tc>
        <w:tc>
          <w:tcPr>
            <w:tcW w:w="3026" w:type="dxa"/>
          </w:tcPr>
          <w:p w:rsidR="00A23447" w:rsidRDefault="00A23447" w:rsidP="00822E4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Documento Nº </w:t>
            </w:r>
            <w:r w:rsidR="00822E41">
              <w:rPr>
                <w:b/>
                <w:sz w:val="28"/>
              </w:rPr>
              <w:t>5</w:t>
            </w:r>
          </w:p>
        </w:tc>
      </w:tr>
      <w:tr w:rsidR="00A23447" w:rsidRPr="00A23447">
        <w:trPr>
          <w:cantSplit/>
          <w:trHeight w:val="355"/>
        </w:trPr>
        <w:tc>
          <w:tcPr>
            <w:tcW w:w="1417" w:type="dxa"/>
            <w:vMerge/>
          </w:tcPr>
          <w:p w:rsidR="00A23447" w:rsidRPr="00A23447" w:rsidRDefault="00A23447" w:rsidP="00A23447">
            <w:pPr>
              <w:rPr>
                <w:lang w:val="fr-CH"/>
              </w:rPr>
            </w:pPr>
            <w:bookmarkStart w:id="3" w:name="ddate" w:colFirst="2" w:colLast="2"/>
            <w:bookmarkEnd w:id="1"/>
          </w:p>
        </w:tc>
        <w:tc>
          <w:tcPr>
            <w:tcW w:w="4400" w:type="dxa"/>
            <w:gridSpan w:val="3"/>
            <w:vMerge w:val="restart"/>
          </w:tcPr>
          <w:p w:rsidR="00A23447" w:rsidRPr="00A23447" w:rsidRDefault="00A23447" w:rsidP="00A23447">
            <w:pPr>
              <w:rPr>
                <w:b/>
                <w:bCs/>
                <w:sz w:val="26"/>
                <w:lang w:val="es-ES"/>
              </w:rPr>
            </w:pPr>
            <w:r w:rsidRPr="00A23447">
              <w:rPr>
                <w:b/>
                <w:bCs/>
                <w:sz w:val="26"/>
                <w:lang w:val="es-ES"/>
              </w:rPr>
              <w:t>OFICINA DE NORMALIZACIÓN DE LAS TELECOMUNICACIONES</w:t>
            </w:r>
          </w:p>
          <w:p w:rsidR="00A23447" w:rsidRPr="00A23447" w:rsidRDefault="00A23447" w:rsidP="00A23447">
            <w:pPr>
              <w:rPr>
                <w:smallCaps/>
                <w:sz w:val="20"/>
                <w:lang w:val="fr-CH"/>
              </w:rPr>
            </w:pPr>
            <w:r w:rsidRPr="00A23447">
              <w:rPr>
                <w:sz w:val="20"/>
                <w:lang w:val="fr-CH"/>
              </w:rPr>
              <w:t xml:space="preserve">PERIODO DE ESTUDIOS </w:t>
            </w:r>
            <w:r>
              <w:rPr>
                <w:sz w:val="20"/>
                <w:lang w:val="fr-CH"/>
              </w:rPr>
              <w:t>2009-2012</w:t>
            </w:r>
          </w:p>
        </w:tc>
        <w:tc>
          <w:tcPr>
            <w:tcW w:w="4106" w:type="dxa"/>
            <w:gridSpan w:val="2"/>
            <w:vAlign w:val="center"/>
          </w:tcPr>
          <w:p w:rsidR="00A23447" w:rsidRPr="00A23447" w:rsidRDefault="00A23447" w:rsidP="00A23447">
            <w:pPr>
              <w:jc w:val="right"/>
              <w:rPr>
                <w:b/>
                <w:bCs/>
                <w:sz w:val="28"/>
                <w:lang w:val="fr-CH"/>
              </w:rPr>
            </w:pPr>
            <w:r>
              <w:rPr>
                <w:b/>
                <w:bCs/>
                <w:sz w:val="28"/>
                <w:lang w:val="fr-CH"/>
              </w:rPr>
              <w:t>9 de mayo de 2012</w:t>
            </w:r>
          </w:p>
        </w:tc>
      </w:tr>
      <w:tr w:rsidR="00A23447" w:rsidRPr="00A23447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A23447" w:rsidRPr="00A23447" w:rsidRDefault="00A23447" w:rsidP="00A23447">
            <w:pPr>
              <w:rPr>
                <w:lang w:val="fr-CH"/>
              </w:rPr>
            </w:pPr>
            <w:bookmarkStart w:id="4" w:name="dorlang" w:colFirst="2" w:colLast="2"/>
            <w:bookmarkEnd w:id="3"/>
          </w:p>
        </w:tc>
        <w:tc>
          <w:tcPr>
            <w:tcW w:w="4400" w:type="dxa"/>
            <w:gridSpan w:val="3"/>
            <w:vMerge/>
            <w:tcBorders>
              <w:bottom w:val="single" w:sz="12" w:space="0" w:color="auto"/>
            </w:tcBorders>
          </w:tcPr>
          <w:p w:rsidR="00A23447" w:rsidRPr="00A23447" w:rsidRDefault="00A23447" w:rsidP="00A23447">
            <w:pPr>
              <w:rPr>
                <w:b/>
                <w:bCs/>
                <w:sz w:val="26"/>
                <w:lang w:val="fr-CH"/>
              </w:rPr>
            </w:pPr>
          </w:p>
        </w:tc>
        <w:tc>
          <w:tcPr>
            <w:tcW w:w="4106" w:type="dxa"/>
            <w:gridSpan w:val="2"/>
            <w:tcBorders>
              <w:bottom w:val="single" w:sz="12" w:space="0" w:color="auto"/>
            </w:tcBorders>
            <w:vAlign w:val="center"/>
          </w:tcPr>
          <w:p w:rsidR="00A23447" w:rsidRPr="00A23447" w:rsidRDefault="00A23447" w:rsidP="00A23447">
            <w:pPr>
              <w:jc w:val="right"/>
              <w:rPr>
                <w:b/>
                <w:bCs/>
                <w:sz w:val="28"/>
                <w:lang w:val="fr-CH"/>
              </w:rPr>
            </w:pPr>
            <w:r>
              <w:rPr>
                <w:b/>
                <w:bCs/>
                <w:sz w:val="28"/>
                <w:lang w:val="fr-CH"/>
              </w:rPr>
              <w:t>Original: inglés</w:t>
            </w:r>
          </w:p>
        </w:tc>
      </w:tr>
      <w:tr w:rsidR="00A23447" w:rsidRPr="00A23447" w:rsidTr="007E6DD8">
        <w:trPr>
          <w:cantSplit/>
          <w:trHeight w:val="357"/>
        </w:trPr>
        <w:tc>
          <w:tcPr>
            <w:tcW w:w="4977" w:type="dxa"/>
            <w:gridSpan w:val="3"/>
          </w:tcPr>
          <w:p w:rsidR="00A23447" w:rsidRPr="00A23447" w:rsidRDefault="00A23447" w:rsidP="00A23447">
            <w:bookmarkStart w:id="5" w:name="dbluepink" w:colFirst="1" w:colLast="1"/>
            <w:bookmarkStart w:id="6" w:name="dmeeting" w:colFirst="2" w:colLast="2"/>
            <w:bookmarkEnd w:id="4"/>
            <w:r w:rsidRPr="00F82F7B">
              <w:rPr>
                <w:b/>
                <w:bCs/>
              </w:rPr>
              <w:t>Reunión preparatoria AMNT/CM</w:t>
            </w:r>
            <w:r>
              <w:rPr>
                <w:b/>
                <w:bCs/>
              </w:rPr>
              <w:t>T</w:t>
            </w:r>
            <w:r w:rsidRPr="00F82F7B">
              <w:rPr>
                <w:b/>
                <w:bCs/>
              </w:rPr>
              <w:t>I-12 Buenos Aires, Argentina</w:t>
            </w:r>
          </w:p>
        </w:tc>
        <w:tc>
          <w:tcPr>
            <w:tcW w:w="4946" w:type="dxa"/>
            <w:gridSpan w:val="3"/>
          </w:tcPr>
          <w:p w:rsidR="00A23447" w:rsidRPr="00A23447" w:rsidRDefault="00822E41" w:rsidP="00A23447">
            <w:pPr>
              <w:jc w:val="right"/>
            </w:pPr>
            <w:r w:rsidRPr="00822E41">
              <w:rPr>
                <w:b/>
                <w:bCs/>
                <w:lang w:val="en-GB"/>
              </w:rPr>
              <w:t>14-15 de mayo de 2012</w:t>
            </w:r>
          </w:p>
        </w:tc>
      </w:tr>
      <w:tr w:rsidR="00A23447" w:rsidRPr="00A23447">
        <w:trPr>
          <w:cantSplit/>
          <w:trHeight w:val="357"/>
        </w:trPr>
        <w:tc>
          <w:tcPr>
            <w:tcW w:w="9923" w:type="dxa"/>
            <w:gridSpan w:val="6"/>
          </w:tcPr>
          <w:p w:rsidR="00A23447" w:rsidRPr="00A23447" w:rsidRDefault="00A23447" w:rsidP="00822E41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2217EE">
              <w:rPr>
                <w:lang w:val="en-GB"/>
              </w:rPr>
              <w:t xml:space="preserve">CONTRIBUCIÓN Nº </w:t>
            </w:r>
            <w:r w:rsidR="00822E41" w:rsidRPr="002217EE">
              <w:rPr>
                <w:lang w:val="en-GB"/>
              </w:rPr>
              <w:t>5</w:t>
            </w:r>
          </w:p>
        </w:tc>
      </w:tr>
      <w:tr w:rsidR="00A23447" w:rsidRPr="00A23447">
        <w:trPr>
          <w:cantSplit/>
          <w:trHeight w:val="357"/>
        </w:trPr>
        <w:tc>
          <w:tcPr>
            <w:tcW w:w="1977" w:type="dxa"/>
            <w:gridSpan w:val="2"/>
          </w:tcPr>
          <w:p w:rsidR="00A23447" w:rsidRPr="00A23447" w:rsidRDefault="00A23447" w:rsidP="00A23447">
            <w:pPr>
              <w:rPr>
                <w:b/>
                <w:bCs/>
                <w:lang w:val="en-GB"/>
              </w:rPr>
            </w:pPr>
            <w:bookmarkStart w:id="8" w:name="dsource" w:colFirst="1" w:colLast="1"/>
            <w:bookmarkEnd w:id="7"/>
            <w:r w:rsidRPr="00A23447">
              <w:rPr>
                <w:b/>
                <w:bCs/>
                <w:lang w:val="en-GB"/>
              </w:rPr>
              <w:t>Origen:</w:t>
            </w:r>
          </w:p>
        </w:tc>
        <w:tc>
          <w:tcPr>
            <w:tcW w:w="7946" w:type="dxa"/>
            <w:gridSpan w:val="4"/>
          </w:tcPr>
          <w:p w:rsidR="00A23447" w:rsidRPr="00A23447" w:rsidRDefault="00A23447" w:rsidP="00A23447">
            <w:pPr>
              <w:rPr>
                <w:lang w:val="en-GB"/>
              </w:rPr>
            </w:pPr>
            <w:r>
              <w:t>Brasil</w:t>
            </w:r>
          </w:p>
        </w:tc>
      </w:tr>
      <w:tr w:rsidR="00A23447" w:rsidRPr="00A23447">
        <w:trPr>
          <w:cantSplit/>
          <w:trHeight w:val="357"/>
        </w:trPr>
        <w:tc>
          <w:tcPr>
            <w:tcW w:w="1977" w:type="dxa"/>
            <w:gridSpan w:val="2"/>
            <w:tcBorders>
              <w:bottom w:val="single" w:sz="12" w:space="0" w:color="auto"/>
            </w:tcBorders>
          </w:tcPr>
          <w:p w:rsidR="00A23447" w:rsidRPr="00A23447" w:rsidRDefault="00A23447" w:rsidP="00A23447">
            <w:pPr>
              <w:spacing w:after="120"/>
              <w:rPr>
                <w:b/>
                <w:bCs/>
                <w:lang w:val="fr-CH"/>
              </w:rPr>
            </w:pPr>
            <w:bookmarkStart w:id="9" w:name="dtitle1" w:colFirst="1" w:colLast="1"/>
            <w:bookmarkEnd w:id="8"/>
            <w:r w:rsidRPr="00A23447">
              <w:rPr>
                <w:b/>
                <w:bCs/>
                <w:lang w:val="fr-CH"/>
              </w:rPr>
              <w:t>Título:</w:t>
            </w:r>
          </w:p>
        </w:tc>
        <w:tc>
          <w:tcPr>
            <w:tcW w:w="7946" w:type="dxa"/>
            <w:gridSpan w:val="4"/>
            <w:tcBorders>
              <w:bottom w:val="single" w:sz="12" w:space="0" w:color="auto"/>
            </w:tcBorders>
          </w:tcPr>
          <w:p w:rsidR="00A23447" w:rsidRPr="00A23447" w:rsidRDefault="00822E41" w:rsidP="00822E41">
            <w:pPr>
              <w:spacing w:after="120"/>
            </w:pPr>
            <w:r>
              <w:rPr>
                <w:bCs/>
                <w:szCs w:val="24"/>
              </w:rPr>
              <w:t>Medidas para una tasación más eficaz de los servicios de telecomunicaciones internacionales</w:t>
            </w:r>
          </w:p>
        </w:tc>
      </w:tr>
    </w:tbl>
    <w:bookmarkEnd w:id="2"/>
    <w:bookmarkEnd w:id="9"/>
    <w:p w:rsidR="00822E41" w:rsidRDefault="00822E41" w:rsidP="007E6DD8">
      <w:pPr>
        <w:pStyle w:val="Headingb"/>
        <w:spacing w:before="480"/>
      </w:pPr>
      <w:r>
        <w:t>Antecedentes</w:t>
      </w:r>
      <w:r w:rsidR="007E6DD8">
        <w:t>:</w:t>
      </w:r>
    </w:p>
    <w:p w:rsidR="007E6DD8" w:rsidRPr="00FC63A5" w:rsidRDefault="007E6DD8" w:rsidP="007E6DD8">
      <w:pPr>
        <w:pStyle w:val="NormalWeb"/>
        <w:spacing w:before="120" w:beforeAutospacing="0" w:after="0" w:afterAutospacing="0"/>
        <w:rPr>
          <w:rFonts w:ascii="Arial" w:hAnsi="Arial" w:cs="Arial"/>
          <w:sz w:val="21"/>
          <w:szCs w:val="21"/>
          <w:lang w:val="es-ES_tradnl"/>
        </w:rPr>
      </w:pPr>
      <w:r>
        <w:rPr>
          <w:rStyle w:val="goog-gtc-translatable"/>
          <w:sz w:val="22"/>
          <w:szCs w:val="22"/>
          <w:lang w:val="es-ES_tradnl"/>
        </w:rPr>
        <w:t xml:space="preserve">La tasación </w:t>
      </w:r>
      <w:r w:rsidRPr="00FC63A5">
        <w:rPr>
          <w:rStyle w:val="goog-gtc-translatable"/>
          <w:sz w:val="22"/>
          <w:szCs w:val="22"/>
          <w:lang w:val="es-ES_tradnl"/>
        </w:rPr>
        <w:t>de los servicios de telecomunicaciones internacionales tiene en cuenta parámetros como tipo de servicio, origen, destino, cantidad, d</w:t>
      </w:r>
      <w:bookmarkStart w:id="10" w:name="_GoBack"/>
      <w:bookmarkEnd w:id="10"/>
      <w:r w:rsidRPr="00FC63A5">
        <w:rPr>
          <w:rStyle w:val="goog-gtc-translatable"/>
          <w:sz w:val="22"/>
          <w:szCs w:val="22"/>
          <w:lang w:val="es-ES_tradnl"/>
        </w:rPr>
        <w:t>uració</w:t>
      </w:r>
      <w:r>
        <w:rPr>
          <w:rStyle w:val="goog-gtc-translatable"/>
          <w:sz w:val="22"/>
          <w:szCs w:val="22"/>
          <w:lang w:val="es-ES_tradnl"/>
        </w:rPr>
        <w:t>n y volumen de datos transmitido</w:t>
      </w:r>
      <w:r w:rsidRPr="00FC63A5">
        <w:rPr>
          <w:rStyle w:val="goog-gtc-translatable"/>
          <w:sz w:val="22"/>
          <w:szCs w:val="22"/>
          <w:lang w:val="es-ES_tradnl"/>
        </w:rPr>
        <w:t>s.</w:t>
      </w:r>
      <w:r w:rsidRPr="00FC63A5">
        <w:rPr>
          <w:sz w:val="22"/>
          <w:szCs w:val="22"/>
          <w:lang w:val="es-ES_tradnl"/>
        </w:rPr>
        <w:t xml:space="preserve"> </w:t>
      </w:r>
      <w:r w:rsidRPr="00FC63A5">
        <w:rPr>
          <w:rStyle w:val="goog-gtc-translatable"/>
          <w:sz w:val="22"/>
          <w:szCs w:val="22"/>
          <w:lang w:val="es-ES_tradnl"/>
        </w:rPr>
        <w:t xml:space="preserve">Las </w:t>
      </w:r>
      <w:r>
        <w:rPr>
          <w:rStyle w:val="goog-gtc-translatable"/>
          <w:sz w:val="22"/>
          <w:szCs w:val="22"/>
          <w:lang w:val="es-ES_tradnl"/>
        </w:rPr>
        <w:t>empresas de explotación, por lo general, tiene</w:t>
      </w:r>
      <w:r w:rsidR="002217EE">
        <w:rPr>
          <w:rStyle w:val="goog-gtc-translatable"/>
          <w:sz w:val="22"/>
          <w:szCs w:val="22"/>
          <w:lang w:val="es-ES_tradnl"/>
        </w:rPr>
        <w:t>n</w:t>
      </w:r>
      <w:r>
        <w:rPr>
          <w:rStyle w:val="goog-gtc-translatable"/>
          <w:sz w:val="22"/>
          <w:szCs w:val="22"/>
          <w:lang w:val="es-ES_tradnl"/>
        </w:rPr>
        <w:t xml:space="preserve"> la libertad de </w:t>
      </w:r>
      <w:r w:rsidRPr="00FC63A5">
        <w:rPr>
          <w:rStyle w:val="goog-gtc-translatable"/>
          <w:sz w:val="22"/>
          <w:szCs w:val="22"/>
          <w:lang w:val="es-ES_tradnl"/>
        </w:rPr>
        <w:t xml:space="preserve">determinar sus propias metodologías de </w:t>
      </w:r>
      <w:r>
        <w:rPr>
          <w:rStyle w:val="goog-gtc-translatable"/>
          <w:sz w:val="22"/>
          <w:szCs w:val="22"/>
          <w:lang w:val="es-ES_tradnl"/>
        </w:rPr>
        <w:t xml:space="preserve">tasación </w:t>
      </w:r>
      <w:r w:rsidRPr="00FC63A5">
        <w:rPr>
          <w:rStyle w:val="goog-gtc-translatable"/>
          <w:sz w:val="22"/>
          <w:szCs w:val="22"/>
          <w:lang w:val="es-ES_tradnl"/>
        </w:rPr>
        <w:t xml:space="preserve">y la combinación de parámetros de </w:t>
      </w:r>
      <w:r>
        <w:rPr>
          <w:rStyle w:val="goog-gtc-translatable"/>
          <w:sz w:val="22"/>
          <w:szCs w:val="22"/>
          <w:lang w:val="es-ES_tradnl"/>
        </w:rPr>
        <w:t xml:space="preserve">tasación </w:t>
      </w:r>
      <w:r w:rsidRPr="00FC63A5">
        <w:rPr>
          <w:rStyle w:val="goog-gtc-translatable"/>
          <w:sz w:val="22"/>
          <w:szCs w:val="22"/>
          <w:lang w:val="es-ES_tradnl"/>
        </w:rPr>
        <w:t xml:space="preserve">y unidades de medición, </w:t>
      </w:r>
      <w:r>
        <w:rPr>
          <w:rStyle w:val="goog-gtc-translatable"/>
          <w:sz w:val="22"/>
          <w:szCs w:val="22"/>
          <w:lang w:val="es-ES_tradnl"/>
        </w:rPr>
        <w:t xml:space="preserve">según </w:t>
      </w:r>
      <w:r w:rsidRPr="00FC63A5">
        <w:rPr>
          <w:rStyle w:val="goog-gtc-translatable"/>
          <w:sz w:val="22"/>
          <w:szCs w:val="22"/>
          <w:lang w:val="es-ES_tradnl"/>
        </w:rPr>
        <w:t xml:space="preserve">sus </w:t>
      </w:r>
      <w:r>
        <w:rPr>
          <w:rStyle w:val="goog-gtc-translatable"/>
          <w:sz w:val="22"/>
          <w:szCs w:val="22"/>
          <w:lang w:val="es-ES_tradnl"/>
        </w:rPr>
        <w:t xml:space="preserve">correspondientes </w:t>
      </w:r>
      <w:r w:rsidRPr="00FC63A5">
        <w:rPr>
          <w:rStyle w:val="goog-gtc-translatable"/>
          <w:sz w:val="22"/>
          <w:szCs w:val="22"/>
          <w:lang w:val="es-ES_tradnl"/>
        </w:rPr>
        <w:t>estrategias de mercado</w:t>
      </w:r>
      <w:r>
        <w:rPr>
          <w:rStyle w:val="goog-gtc-translatable"/>
          <w:sz w:val="22"/>
          <w:szCs w:val="22"/>
          <w:lang w:val="es-ES_tradnl"/>
        </w:rPr>
        <w:t xml:space="preserve">. </w:t>
      </w:r>
    </w:p>
    <w:p w:rsidR="007E6DD8" w:rsidRPr="00FC63A5" w:rsidRDefault="007E6DD8" w:rsidP="007E6DD8">
      <w:pPr>
        <w:pStyle w:val="NormalWeb"/>
        <w:spacing w:before="120" w:beforeAutospacing="0" w:after="0" w:afterAutospacing="0"/>
        <w:rPr>
          <w:rFonts w:ascii="Arial" w:hAnsi="Arial" w:cs="Arial"/>
          <w:sz w:val="21"/>
          <w:szCs w:val="21"/>
          <w:lang w:val="es-ES_tradnl"/>
        </w:rPr>
      </w:pPr>
      <w:r>
        <w:rPr>
          <w:rStyle w:val="goog-gtc-translatable"/>
          <w:sz w:val="22"/>
          <w:szCs w:val="22"/>
          <w:lang w:val="es-ES_tradnl"/>
        </w:rPr>
        <w:t xml:space="preserve">Se observan </w:t>
      </w:r>
      <w:r w:rsidRPr="00FC63A5">
        <w:rPr>
          <w:rStyle w:val="goog-gtc-translatable"/>
          <w:sz w:val="22"/>
          <w:szCs w:val="22"/>
          <w:lang w:val="es-ES_tradnl"/>
        </w:rPr>
        <w:t xml:space="preserve">sin embargo discrepancias en la utilización de </w:t>
      </w:r>
      <w:r>
        <w:rPr>
          <w:rStyle w:val="goog-gtc-translatable"/>
          <w:sz w:val="22"/>
          <w:szCs w:val="22"/>
          <w:lang w:val="es-ES_tradnl"/>
        </w:rPr>
        <w:t>eso</w:t>
      </w:r>
      <w:r w:rsidRPr="00FC63A5">
        <w:rPr>
          <w:rStyle w:val="goog-gtc-translatable"/>
          <w:sz w:val="22"/>
          <w:szCs w:val="22"/>
          <w:lang w:val="es-ES_tradnl"/>
        </w:rPr>
        <w:t xml:space="preserve">s parámetros y unidades de medición, </w:t>
      </w:r>
      <w:r>
        <w:rPr>
          <w:rStyle w:val="goog-gtc-translatable"/>
          <w:sz w:val="22"/>
          <w:szCs w:val="22"/>
          <w:lang w:val="es-ES_tradnl"/>
        </w:rPr>
        <w:t xml:space="preserve">lo que puede dar lugar a la aplicación de tarifas </w:t>
      </w:r>
      <w:r w:rsidRPr="00FC63A5">
        <w:rPr>
          <w:rStyle w:val="goog-gtc-translatable"/>
          <w:sz w:val="22"/>
          <w:szCs w:val="22"/>
          <w:lang w:val="es-ES_tradnl"/>
        </w:rPr>
        <w:t>injust</w:t>
      </w:r>
      <w:r>
        <w:rPr>
          <w:rStyle w:val="goog-gtc-translatable"/>
          <w:sz w:val="22"/>
          <w:szCs w:val="22"/>
          <w:lang w:val="es-ES_tradnl"/>
        </w:rPr>
        <w:t>as</w:t>
      </w:r>
      <w:r w:rsidRPr="00FC63A5">
        <w:rPr>
          <w:rStyle w:val="goog-gtc-translatable"/>
          <w:sz w:val="22"/>
          <w:szCs w:val="22"/>
          <w:lang w:val="es-ES_tradnl"/>
        </w:rPr>
        <w:t xml:space="preserve"> e inefic</w:t>
      </w:r>
      <w:r>
        <w:rPr>
          <w:rStyle w:val="goog-gtc-translatable"/>
          <w:sz w:val="22"/>
          <w:szCs w:val="22"/>
          <w:lang w:val="es-ES_tradnl"/>
        </w:rPr>
        <w:t xml:space="preserve">aces a </w:t>
      </w:r>
      <w:r w:rsidRPr="00FC63A5">
        <w:rPr>
          <w:rStyle w:val="goog-gtc-translatable"/>
          <w:sz w:val="22"/>
          <w:szCs w:val="22"/>
          <w:lang w:val="es-ES_tradnl"/>
        </w:rPr>
        <w:t>l</w:t>
      </w:r>
      <w:r>
        <w:rPr>
          <w:rStyle w:val="goog-gtc-translatable"/>
          <w:sz w:val="22"/>
          <w:szCs w:val="22"/>
          <w:lang w:val="es-ES_tradnl"/>
        </w:rPr>
        <w:t>os</w:t>
      </w:r>
      <w:r w:rsidRPr="00FC63A5">
        <w:rPr>
          <w:rStyle w:val="goog-gtc-translatable"/>
          <w:sz w:val="22"/>
          <w:szCs w:val="22"/>
          <w:lang w:val="es-ES_tradnl"/>
        </w:rPr>
        <w:t xml:space="preserve"> </w:t>
      </w:r>
      <w:r>
        <w:rPr>
          <w:rStyle w:val="goog-gtc-translatable"/>
          <w:sz w:val="22"/>
          <w:szCs w:val="22"/>
          <w:lang w:val="es-ES_tradnl"/>
        </w:rPr>
        <w:t>usuarios</w:t>
      </w:r>
      <w:r w:rsidRPr="00FC63A5">
        <w:rPr>
          <w:rStyle w:val="goog-gtc-translatable"/>
          <w:sz w:val="22"/>
          <w:szCs w:val="22"/>
          <w:lang w:val="es-ES_tradnl"/>
        </w:rPr>
        <w:t>.</w:t>
      </w:r>
      <w:r w:rsidRPr="00FC63A5">
        <w:rPr>
          <w:sz w:val="22"/>
          <w:szCs w:val="22"/>
          <w:lang w:val="es-ES_tradnl"/>
        </w:rPr>
        <w:t xml:space="preserve"> </w:t>
      </w:r>
      <w:r>
        <w:rPr>
          <w:rStyle w:val="goog-gtc-translatable"/>
          <w:sz w:val="22"/>
          <w:szCs w:val="22"/>
          <w:lang w:val="es-ES_tradnl"/>
        </w:rPr>
        <w:t>Es</w:t>
      </w:r>
      <w:r w:rsidRPr="00FC63A5">
        <w:rPr>
          <w:rStyle w:val="goog-gtc-translatable"/>
          <w:sz w:val="22"/>
          <w:szCs w:val="22"/>
          <w:lang w:val="es-ES_tradnl"/>
        </w:rPr>
        <w:t xml:space="preserve">as discrepancias se </w:t>
      </w:r>
      <w:r>
        <w:rPr>
          <w:rStyle w:val="goog-gtc-translatable"/>
          <w:sz w:val="22"/>
          <w:szCs w:val="22"/>
          <w:lang w:val="es-ES_tradnl"/>
        </w:rPr>
        <w:t xml:space="preserve">constatan ante todo </w:t>
      </w:r>
      <w:r w:rsidRPr="00FC63A5">
        <w:rPr>
          <w:rStyle w:val="goog-gtc-translatable"/>
          <w:sz w:val="22"/>
          <w:szCs w:val="22"/>
          <w:lang w:val="es-ES_tradnl"/>
        </w:rPr>
        <w:t xml:space="preserve">en </w:t>
      </w:r>
      <w:r>
        <w:rPr>
          <w:rStyle w:val="goog-gtc-translatable"/>
          <w:sz w:val="22"/>
          <w:szCs w:val="22"/>
          <w:lang w:val="es-ES_tradnl"/>
        </w:rPr>
        <w:t xml:space="preserve">las </w:t>
      </w:r>
      <w:r w:rsidRPr="00FC63A5">
        <w:rPr>
          <w:rStyle w:val="goog-gtc-translatable"/>
          <w:sz w:val="22"/>
          <w:szCs w:val="22"/>
          <w:lang w:val="es-ES_tradnl"/>
        </w:rPr>
        <w:t xml:space="preserve">tarifas </w:t>
      </w:r>
      <w:r>
        <w:rPr>
          <w:rStyle w:val="goog-gtc-translatable"/>
          <w:sz w:val="22"/>
          <w:szCs w:val="22"/>
          <w:lang w:val="es-ES_tradnl"/>
        </w:rPr>
        <w:t xml:space="preserve">de itinerancia móvil </w:t>
      </w:r>
      <w:r w:rsidRPr="00FC63A5">
        <w:rPr>
          <w:rStyle w:val="goog-gtc-translatable"/>
          <w:sz w:val="22"/>
          <w:szCs w:val="22"/>
          <w:lang w:val="es-ES_tradnl"/>
        </w:rPr>
        <w:t xml:space="preserve">internacional, donde los parámetros y </w:t>
      </w:r>
      <w:r>
        <w:rPr>
          <w:rStyle w:val="goog-gtc-translatable"/>
          <w:sz w:val="22"/>
          <w:szCs w:val="22"/>
          <w:lang w:val="es-ES_tradnl"/>
        </w:rPr>
        <w:t xml:space="preserve">las </w:t>
      </w:r>
      <w:r w:rsidRPr="00FC63A5">
        <w:rPr>
          <w:rStyle w:val="goog-gtc-translatable"/>
          <w:sz w:val="22"/>
          <w:szCs w:val="22"/>
          <w:lang w:val="es-ES_tradnl"/>
        </w:rPr>
        <w:t xml:space="preserve">unidades de medición utilizados para </w:t>
      </w:r>
      <w:r>
        <w:rPr>
          <w:rStyle w:val="goog-gtc-translatable"/>
          <w:sz w:val="22"/>
          <w:szCs w:val="22"/>
          <w:lang w:val="es-ES_tradnl"/>
        </w:rPr>
        <w:t>establecer las tarifas de usuarios locales y en itinerancia pueden ser muy diferentes. A título de ejemplo, u</w:t>
      </w:r>
      <w:r w:rsidRPr="00FC63A5">
        <w:rPr>
          <w:rStyle w:val="goog-gtc-translatable"/>
          <w:sz w:val="22"/>
          <w:szCs w:val="22"/>
          <w:lang w:val="es-ES_tradnl"/>
        </w:rPr>
        <w:t>n operador de telefonía móvil puede</w:t>
      </w:r>
      <w:r>
        <w:rPr>
          <w:rStyle w:val="goog-gtc-translatable"/>
          <w:sz w:val="22"/>
          <w:szCs w:val="22"/>
          <w:lang w:val="es-ES_tradnl"/>
        </w:rPr>
        <w:t xml:space="preserve"> </w:t>
      </w:r>
      <w:r w:rsidRPr="00FC63A5">
        <w:rPr>
          <w:rStyle w:val="goog-gtc-translatable"/>
          <w:sz w:val="22"/>
          <w:szCs w:val="22"/>
          <w:lang w:val="es-ES_tradnl"/>
        </w:rPr>
        <w:t>determinar que</w:t>
      </w:r>
      <w:r>
        <w:rPr>
          <w:rStyle w:val="goog-gtc-translatable"/>
          <w:sz w:val="22"/>
          <w:szCs w:val="22"/>
          <w:lang w:val="es-ES_tradnl"/>
        </w:rPr>
        <w:t xml:space="preserve"> las</w:t>
      </w:r>
      <w:r w:rsidRPr="00FC63A5">
        <w:rPr>
          <w:rStyle w:val="goog-gtc-translatable"/>
          <w:sz w:val="22"/>
          <w:szCs w:val="22"/>
          <w:lang w:val="es-ES_tradnl"/>
        </w:rPr>
        <w:t xml:space="preserve"> llamadas originadas en la red nacional se</w:t>
      </w:r>
      <w:r>
        <w:rPr>
          <w:rStyle w:val="goog-gtc-translatable"/>
          <w:sz w:val="22"/>
          <w:szCs w:val="22"/>
          <w:lang w:val="es-ES_tradnl"/>
        </w:rPr>
        <w:t xml:space="preserve"> </w:t>
      </w:r>
      <w:r w:rsidRPr="00FC63A5">
        <w:rPr>
          <w:rStyle w:val="goog-gtc-translatable"/>
          <w:sz w:val="22"/>
          <w:szCs w:val="22"/>
          <w:lang w:val="es-ES_tradnl"/>
        </w:rPr>
        <w:t>fraccion</w:t>
      </w:r>
      <w:r>
        <w:rPr>
          <w:rStyle w:val="goog-gtc-translatable"/>
          <w:sz w:val="22"/>
          <w:szCs w:val="22"/>
          <w:lang w:val="es-ES_tradnl"/>
        </w:rPr>
        <w:t>arán po</w:t>
      </w:r>
      <w:r w:rsidRPr="00FC63A5">
        <w:rPr>
          <w:rStyle w:val="goog-gtc-translatable"/>
          <w:sz w:val="22"/>
          <w:szCs w:val="22"/>
          <w:lang w:val="es-ES_tradnl"/>
        </w:rPr>
        <w:t>r segundo,</w:t>
      </w:r>
      <w:r>
        <w:rPr>
          <w:rStyle w:val="goog-gtc-translatable"/>
          <w:sz w:val="22"/>
          <w:szCs w:val="22"/>
          <w:lang w:val="es-ES_tradnl"/>
        </w:rPr>
        <w:t xml:space="preserve"> en tanto que </w:t>
      </w:r>
      <w:r w:rsidRPr="00FC63A5">
        <w:rPr>
          <w:rStyle w:val="goog-gtc-translatable"/>
          <w:sz w:val="22"/>
          <w:szCs w:val="22"/>
          <w:lang w:val="es-ES_tradnl"/>
        </w:rPr>
        <w:t xml:space="preserve">los usuarios pagarán por minuto </w:t>
      </w:r>
      <w:r>
        <w:rPr>
          <w:rStyle w:val="goog-gtc-translatable"/>
          <w:sz w:val="22"/>
          <w:szCs w:val="22"/>
          <w:lang w:val="es-ES_tradnl"/>
        </w:rPr>
        <w:t>las</w:t>
      </w:r>
      <w:r w:rsidRPr="00FC63A5">
        <w:rPr>
          <w:rStyle w:val="goog-gtc-translatable"/>
          <w:sz w:val="22"/>
          <w:szCs w:val="22"/>
          <w:lang w:val="es-ES_tradnl"/>
        </w:rPr>
        <w:t xml:space="preserve"> llamadas </w:t>
      </w:r>
      <w:r>
        <w:rPr>
          <w:rStyle w:val="goog-gtc-translatable"/>
          <w:sz w:val="22"/>
          <w:szCs w:val="22"/>
          <w:lang w:val="es-ES_tradnl"/>
        </w:rPr>
        <w:t xml:space="preserve">enviadas cuando están fuera del país. </w:t>
      </w:r>
      <w:r w:rsidRPr="00FC63A5">
        <w:rPr>
          <w:rStyle w:val="goog-gtc-translatable"/>
          <w:sz w:val="22"/>
          <w:szCs w:val="22"/>
          <w:lang w:val="es-ES_tradnl"/>
        </w:rPr>
        <w:t>Los parámetros y las unidades de medi</w:t>
      </w:r>
      <w:r>
        <w:rPr>
          <w:rStyle w:val="goog-gtc-translatable"/>
          <w:sz w:val="22"/>
          <w:szCs w:val="22"/>
          <w:lang w:val="es-ES_tradnl"/>
        </w:rPr>
        <w:t xml:space="preserve">ción para tasar el </w:t>
      </w:r>
      <w:r w:rsidRPr="00FC63A5">
        <w:rPr>
          <w:rStyle w:val="goog-gtc-translatable"/>
          <w:sz w:val="22"/>
          <w:szCs w:val="22"/>
          <w:lang w:val="es-ES_tradnl"/>
        </w:rPr>
        <w:t xml:space="preserve">acceso a </w:t>
      </w:r>
      <w:r>
        <w:rPr>
          <w:rStyle w:val="goog-gtc-translatable"/>
          <w:sz w:val="22"/>
          <w:szCs w:val="22"/>
          <w:lang w:val="es-ES_tradnl"/>
        </w:rPr>
        <w:t xml:space="preserve">la </w:t>
      </w:r>
      <w:r w:rsidRPr="00FC63A5">
        <w:rPr>
          <w:rStyle w:val="goog-gtc-translatable"/>
          <w:sz w:val="22"/>
          <w:szCs w:val="22"/>
          <w:lang w:val="es-ES_tradnl"/>
        </w:rPr>
        <w:t>banda ancha móvil también suelen ser diferentes pa</w:t>
      </w:r>
      <w:r>
        <w:rPr>
          <w:rStyle w:val="goog-gtc-translatable"/>
          <w:sz w:val="22"/>
          <w:szCs w:val="22"/>
          <w:lang w:val="es-ES_tradnl"/>
        </w:rPr>
        <w:t>ra los usuarios locales y para es</w:t>
      </w:r>
      <w:r w:rsidRPr="00FC63A5">
        <w:rPr>
          <w:rStyle w:val="goog-gtc-translatable"/>
          <w:sz w:val="22"/>
          <w:szCs w:val="22"/>
          <w:lang w:val="es-ES_tradnl"/>
        </w:rPr>
        <w:t xml:space="preserve">os mismos usuarios </w:t>
      </w:r>
      <w:r>
        <w:rPr>
          <w:rStyle w:val="goog-gtc-translatable"/>
          <w:sz w:val="22"/>
          <w:szCs w:val="22"/>
          <w:lang w:val="es-ES_tradnl"/>
        </w:rPr>
        <w:t xml:space="preserve">cuando están </w:t>
      </w:r>
      <w:r w:rsidRPr="00FC63A5">
        <w:rPr>
          <w:rStyle w:val="goog-gtc-translatable"/>
          <w:sz w:val="22"/>
          <w:szCs w:val="22"/>
          <w:lang w:val="es-ES_tradnl"/>
        </w:rPr>
        <w:t>en itinerancia.</w:t>
      </w:r>
    </w:p>
    <w:p w:rsidR="00822E41" w:rsidRDefault="007E6DD8" w:rsidP="007E6DD8">
      <w:pPr>
        <w:rPr>
          <w:rStyle w:val="goog-gtc-translatable"/>
          <w:sz w:val="22"/>
          <w:szCs w:val="22"/>
        </w:rPr>
      </w:pPr>
      <w:r>
        <w:rPr>
          <w:rStyle w:val="goog-gtc-translatable"/>
          <w:sz w:val="22"/>
          <w:szCs w:val="22"/>
        </w:rPr>
        <w:t xml:space="preserve">La aplicación </w:t>
      </w:r>
      <w:r w:rsidRPr="00FC63A5">
        <w:rPr>
          <w:rStyle w:val="goog-gtc-translatable"/>
          <w:sz w:val="22"/>
          <w:szCs w:val="22"/>
        </w:rPr>
        <w:t>de diferentes unidades de fraccionamiento y medición para la</w:t>
      </w:r>
      <w:r>
        <w:rPr>
          <w:rStyle w:val="goog-gtc-translatable"/>
          <w:sz w:val="22"/>
          <w:szCs w:val="22"/>
        </w:rPr>
        <w:t xml:space="preserve"> tasación de </w:t>
      </w:r>
      <w:r w:rsidRPr="00FC63A5">
        <w:rPr>
          <w:rStyle w:val="goog-gtc-translatable"/>
          <w:sz w:val="22"/>
          <w:szCs w:val="22"/>
        </w:rPr>
        <w:t xml:space="preserve">servicios de telecomunicaciones puede </w:t>
      </w:r>
      <w:r>
        <w:rPr>
          <w:rStyle w:val="goog-gtc-translatable"/>
          <w:sz w:val="22"/>
          <w:szCs w:val="22"/>
        </w:rPr>
        <w:t xml:space="preserve">llevar a la determinación de tarifas poco razonables y a un </w:t>
      </w:r>
      <w:r w:rsidRPr="00FC63A5">
        <w:rPr>
          <w:rStyle w:val="goog-gtc-translatable"/>
          <w:sz w:val="22"/>
          <w:szCs w:val="22"/>
        </w:rPr>
        <w:t xml:space="preserve">redondeo </w:t>
      </w:r>
      <w:r>
        <w:rPr>
          <w:rStyle w:val="goog-gtc-translatable"/>
          <w:sz w:val="22"/>
          <w:szCs w:val="22"/>
        </w:rPr>
        <w:t xml:space="preserve">injusto de las mismas, desviándose de esa forma del </w:t>
      </w:r>
      <w:r w:rsidRPr="00FC63A5">
        <w:rPr>
          <w:rStyle w:val="goog-gtc-translatable"/>
          <w:sz w:val="22"/>
          <w:szCs w:val="22"/>
        </w:rPr>
        <w:t xml:space="preserve">principio básico de cobrar a los </w:t>
      </w:r>
      <w:r>
        <w:rPr>
          <w:rStyle w:val="goog-gtc-translatable"/>
          <w:sz w:val="22"/>
          <w:szCs w:val="22"/>
        </w:rPr>
        <w:t>usuario</w:t>
      </w:r>
      <w:r w:rsidRPr="00FC63A5">
        <w:rPr>
          <w:rStyle w:val="goog-gtc-translatable"/>
          <w:sz w:val="22"/>
          <w:szCs w:val="22"/>
        </w:rPr>
        <w:t xml:space="preserve">s </w:t>
      </w:r>
      <w:r>
        <w:rPr>
          <w:rStyle w:val="goog-gtc-translatable"/>
          <w:sz w:val="22"/>
          <w:szCs w:val="22"/>
        </w:rPr>
        <w:t xml:space="preserve">sólo lo que </w:t>
      </w:r>
      <w:r w:rsidRPr="00FC63A5">
        <w:rPr>
          <w:rStyle w:val="goog-gtc-translatable"/>
          <w:sz w:val="22"/>
          <w:szCs w:val="22"/>
        </w:rPr>
        <w:t>efectivamente consume</w:t>
      </w:r>
      <w:r>
        <w:rPr>
          <w:rStyle w:val="goog-gtc-translatable"/>
          <w:sz w:val="22"/>
          <w:szCs w:val="22"/>
        </w:rPr>
        <w:t>n</w:t>
      </w:r>
      <w:r w:rsidRPr="00FC63A5">
        <w:rPr>
          <w:rStyle w:val="goog-gtc-translatable"/>
          <w:sz w:val="22"/>
          <w:szCs w:val="22"/>
        </w:rPr>
        <w:t>.</w:t>
      </w:r>
      <w:r w:rsidRPr="00FC63A5">
        <w:rPr>
          <w:sz w:val="22"/>
          <w:szCs w:val="22"/>
        </w:rPr>
        <w:t xml:space="preserve"> </w:t>
      </w:r>
      <w:r w:rsidRPr="00FC63A5">
        <w:rPr>
          <w:rStyle w:val="goog-gtc-translatable"/>
          <w:sz w:val="22"/>
          <w:szCs w:val="22"/>
        </w:rPr>
        <w:t>La utilización de unidades de medi</w:t>
      </w:r>
      <w:r>
        <w:rPr>
          <w:rStyle w:val="goog-gtc-translatable"/>
          <w:sz w:val="22"/>
          <w:szCs w:val="22"/>
        </w:rPr>
        <w:t xml:space="preserve">ción </w:t>
      </w:r>
      <w:r w:rsidRPr="00FC63A5">
        <w:rPr>
          <w:rStyle w:val="goog-gtc-translatable"/>
          <w:sz w:val="22"/>
          <w:szCs w:val="22"/>
        </w:rPr>
        <w:t>razonable</w:t>
      </w:r>
      <w:r>
        <w:rPr>
          <w:rStyle w:val="goog-gtc-translatable"/>
          <w:sz w:val="22"/>
          <w:szCs w:val="22"/>
        </w:rPr>
        <w:t>s</w:t>
      </w:r>
      <w:r w:rsidRPr="00FC63A5">
        <w:rPr>
          <w:rStyle w:val="goog-gtc-translatable"/>
          <w:sz w:val="22"/>
          <w:szCs w:val="22"/>
        </w:rPr>
        <w:t xml:space="preserve"> y coherente</w:t>
      </w:r>
      <w:r>
        <w:rPr>
          <w:rStyle w:val="goog-gtc-translatable"/>
          <w:sz w:val="22"/>
          <w:szCs w:val="22"/>
        </w:rPr>
        <w:t xml:space="preserve">s puede contribuir a crear </w:t>
      </w:r>
      <w:r w:rsidRPr="00FC63A5">
        <w:rPr>
          <w:rStyle w:val="goog-gtc-translatable"/>
          <w:sz w:val="22"/>
          <w:szCs w:val="22"/>
        </w:rPr>
        <w:t xml:space="preserve">un entorno de mercado menos susceptible a la </w:t>
      </w:r>
      <w:r>
        <w:rPr>
          <w:rStyle w:val="goog-gtc-translatable"/>
          <w:sz w:val="22"/>
          <w:szCs w:val="22"/>
        </w:rPr>
        <w:t>desigualdad en la tasación de l</w:t>
      </w:r>
      <w:r w:rsidRPr="00FC63A5">
        <w:rPr>
          <w:rStyle w:val="goog-gtc-translatable"/>
          <w:sz w:val="22"/>
          <w:szCs w:val="22"/>
        </w:rPr>
        <w:t>os servicios de telecomunicaciones</w:t>
      </w:r>
      <w:r>
        <w:rPr>
          <w:rStyle w:val="goog-gtc-translatable"/>
          <w:sz w:val="22"/>
          <w:szCs w:val="22"/>
        </w:rPr>
        <w:t>.</w:t>
      </w:r>
    </w:p>
    <w:p w:rsidR="007E6DD8" w:rsidRDefault="007E6DD8" w:rsidP="007E6DD8">
      <w:pPr>
        <w:jc w:val="both"/>
        <w:rPr>
          <w:b/>
          <w:lang w:val="en-GB"/>
        </w:rPr>
      </w:pPr>
      <w:r w:rsidRPr="007E6DD8">
        <w:rPr>
          <w:b/>
          <w:lang w:val="en-GB"/>
        </w:rPr>
        <w:t>Propuesta</w:t>
      </w:r>
      <w:r>
        <w:rPr>
          <w:b/>
          <w:lang w:val="en-GB"/>
        </w:rPr>
        <w:t>:</w:t>
      </w:r>
    </w:p>
    <w:p w:rsidR="007E6DD8" w:rsidRPr="00FC63A5" w:rsidRDefault="007E6DD8" w:rsidP="007E6DD8">
      <w:pPr>
        <w:pStyle w:val="NormalWeb"/>
        <w:spacing w:before="120" w:beforeAutospacing="0" w:after="0" w:afterAutospacing="0"/>
        <w:rPr>
          <w:rFonts w:ascii="Arial" w:hAnsi="Arial" w:cs="Arial"/>
          <w:sz w:val="21"/>
          <w:szCs w:val="21"/>
          <w:lang w:val="es-ES_tradnl"/>
        </w:rPr>
      </w:pPr>
      <w:r>
        <w:rPr>
          <w:rStyle w:val="goog-gtc-translatable"/>
          <w:sz w:val="22"/>
          <w:szCs w:val="22"/>
          <w:lang w:val="es-ES_tradnl"/>
        </w:rPr>
        <w:t>Inc</w:t>
      </w:r>
      <w:r w:rsidRPr="00FC63A5">
        <w:rPr>
          <w:rStyle w:val="goog-gtc-translatable"/>
          <w:sz w:val="22"/>
          <w:szCs w:val="22"/>
          <w:lang w:val="es-ES_tradnl"/>
        </w:rPr>
        <w:t xml:space="preserve">luir las siguientes disposiciones en el </w:t>
      </w:r>
      <w:r>
        <w:rPr>
          <w:rStyle w:val="goog-gtc-translatable"/>
          <w:sz w:val="22"/>
          <w:szCs w:val="22"/>
          <w:lang w:val="es-ES_tradnl"/>
        </w:rPr>
        <w:t>A</w:t>
      </w:r>
      <w:r w:rsidRPr="00FC63A5">
        <w:rPr>
          <w:rStyle w:val="goog-gtc-translatable"/>
          <w:sz w:val="22"/>
          <w:szCs w:val="22"/>
          <w:lang w:val="es-ES_tradnl"/>
        </w:rPr>
        <w:t>rtículo 6, "Tasación y contabilidad", de</w:t>
      </w:r>
      <w:r>
        <w:rPr>
          <w:rStyle w:val="goog-gtc-translatable"/>
          <w:sz w:val="22"/>
          <w:szCs w:val="22"/>
          <w:lang w:val="es-ES_tradnl"/>
        </w:rPr>
        <w:t>l</w:t>
      </w:r>
      <w:r w:rsidRPr="00FC63A5">
        <w:rPr>
          <w:rStyle w:val="goog-gtc-translatable"/>
          <w:sz w:val="22"/>
          <w:szCs w:val="22"/>
          <w:lang w:val="es-ES_tradnl"/>
        </w:rPr>
        <w:t xml:space="preserve"> Reglamento de </w:t>
      </w:r>
      <w:r>
        <w:rPr>
          <w:rStyle w:val="goog-gtc-translatable"/>
          <w:sz w:val="22"/>
          <w:szCs w:val="22"/>
          <w:lang w:val="es-ES_tradnl"/>
        </w:rPr>
        <w:t xml:space="preserve">las </w:t>
      </w:r>
      <w:r w:rsidRPr="00FC63A5">
        <w:rPr>
          <w:rStyle w:val="goog-gtc-translatable"/>
          <w:sz w:val="22"/>
          <w:szCs w:val="22"/>
          <w:lang w:val="es-ES_tradnl"/>
        </w:rPr>
        <w:t>Telecomunicaciones Internacionales:</w:t>
      </w:r>
    </w:p>
    <w:p w:rsidR="007E6DD8" w:rsidRDefault="007E6DD8" w:rsidP="007E6DD8">
      <w:pPr>
        <w:jc w:val="both"/>
        <w:rPr>
          <w:rStyle w:val="goog-gtc-translatable"/>
          <w:sz w:val="22"/>
          <w:szCs w:val="22"/>
        </w:rPr>
      </w:pPr>
      <w:r w:rsidRPr="00FC63A5">
        <w:rPr>
          <w:rStyle w:val="goog-gtc-translatable"/>
          <w:sz w:val="22"/>
          <w:szCs w:val="22"/>
        </w:rPr>
        <w:t xml:space="preserve">"Los Estados </w:t>
      </w:r>
      <w:r>
        <w:rPr>
          <w:rStyle w:val="goog-gtc-translatable"/>
          <w:sz w:val="22"/>
          <w:szCs w:val="22"/>
        </w:rPr>
        <w:t>M</w:t>
      </w:r>
      <w:r w:rsidRPr="00FC63A5">
        <w:rPr>
          <w:rStyle w:val="goog-gtc-translatable"/>
          <w:sz w:val="22"/>
          <w:szCs w:val="22"/>
        </w:rPr>
        <w:t xml:space="preserve">iembros velarán por que las empresas </w:t>
      </w:r>
      <w:r>
        <w:rPr>
          <w:rStyle w:val="goog-gtc-translatable"/>
          <w:sz w:val="22"/>
          <w:szCs w:val="22"/>
        </w:rPr>
        <w:t xml:space="preserve">de </w:t>
      </w:r>
      <w:r w:rsidRPr="00FC63A5">
        <w:rPr>
          <w:rStyle w:val="goog-gtc-translatable"/>
          <w:sz w:val="22"/>
          <w:szCs w:val="22"/>
        </w:rPr>
        <w:t>explota</w:t>
      </w:r>
      <w:r>
        <w:rPr>
          <w:rStyle w:val="goog-gtc-translatable"/>
          <w:sz w:val="22"/>
          <w:szCs w:val="22"/>
        </w:rPr>
        <w:t xml:space="preserve">ción establezcan unidades y parámetros de tasación que permitan facturar a los usuarios </w:t>
      </w:r>
      <w:r w:rsidRPr="00FC63A5">
        <w:rPr>
          <w:rStyle w:val="goog-gtc-translatable"/>
          <w:sz w:val="22"/>
          <w:szCs w:val="22"/>
        </w:rPr>
        <w:t xml:space="preserve">de </w:t>
      </w:r>
      <w:r>
        <w:rPr>
          <w:rStyle w:val="goog-gtc-translatable"/>
          <w:sz w:val="22"/>
          <w:szCs w:val="22"/>
        </w:rPr>
        <w:t xml:space="preserve">los </w:t>
      </w:r>
      <w:r w:rsidRPr="00FC63A5">
        <w:rPr>
          <w:rStyle w:val="goog-gtc-translatable"/>
          <w:sz w:val="22"/>
          <w:szCs w:val="22"/>
        </w:rPr>
        <w:t>servicios de telecomunicaciones lo que efectivamente consum</w:t>
      </w:r>
      <w:r>
        <w:rPr>
          <w:rStyle w:val="goog-gtc-translatable"/>
          <w:sz w:val="22"/>
          <w:szCs w:val="22"/>
        </w:rPr>
        <w:t>en</w:t>
      </w:r>
      <w:r w:rsidRPr="00FC63A5">
        <w:rPr>
          <w:rStyle w:val="goog-gtc-translatable"/>
          <w:sz w:val="22"/>
          <w:szCs w:val="22"/>
        </w:rPr>
        <w:t>."</w:t>
      </w:r>
    </w:p>
    <w:p w:rsidR="007E6DD8" w:rsidRDefault="007E6DD8" w:rsidP="007E6DD8">
      <w:pPr>
        <w:jc w:val="both"/>
        <w:rPr>
          <w:rStyle w:val="goog-gtc-translatable"/>
          <w:sz w:val="22"/>
          <w:szCs w:val="22"/>
        </w:rPr>
      </w:pPr>
    </w:p>
    <w:p w:rsidR="007E6DD8" w:rsidRDefault="007E6DD8" w:rsidP="007E6DD8">
      <w:pPr>
        <w:jc w:val="both"/>
        <w:rPr>
          <w:rStyle w:val="goog-gtc-translatable"/>
          <w:sz w:val="22"/>
          <w:szCs w:val="22"/>
        </w:rPr>
      </w:pPr>
    </w:p>
    <w:p w:rsidR="007E6DD8" w:rsidRDefault="007E6DD8">
      <w:pPr>
        <w:jc w:val="center"/>
      </w:pPr>
      <w:r>
        <w:t>______________</w:t>
      </w:r>
    </w:p>
    <w:sectPr w:rsidR="007E6DD8" w:rsidSect="00A23447">
      <w:headerReference w:type="default" r:id="rId8"/>
      <w:footerReference w:type="default" r:id="rId9"/>
      <w:footerReference w:type="first" r:id="rId10"/>
      <w:pgSz w:w="11907" w:h="16834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D8" w:rsidRDefault="007E6DD8">
      <w:r>
        <w:separator/>
      </w:r>
    </w:p>
  </w:endnote>
  <w:endnote w:type="continuationSeparator" w:id="0">
    <w:p w:rsidR="007E6DD8" w:rsidRDefault="007E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D8" w:rsidRPr="00A23447" w:rsidRDefault="007E6DD8" w:rsidP="00A23447">
    <w:pPr>
      <w:pStyle w:val="Footer"/>
      <w:rPr>
        <w:lang w:val="fr-CH"/>
      </w:rPr>
    </w:pPr>
    <w:r w:rsidRPr="00A23447">
      <w:rPr>
        <w:lang w:val="fr-CH"/>
      </w:rPr>
      <w:t>ITU-T\COM-T\COM02\C\S.DOC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7E6DD8" w:rsidRPr="00A23447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7E6DD8" w:rsidRPr="00A23447" w:rsidRDefault="007E6DD8" w:rsidP="00A23447">
          <w:pPr>
            <w:spacing w:before="0"/>
            <w:rPr>
              <w:rFonts w:eastAsia="SimSun"/>
              <w:sz w:val="18"/>
              <w:szCs w:val="18"/>
              <w:lang w:val="es-ES" w:eastAsia="zh-CN"/>
            </w:rPr>
          </w:pPr>
          <w:r w:rsidRPr="00A23447">
            <w:rPr>
              <w:b/>
              <w:bCs/>
              <w:sz w:val="18"/>
              <w:szCs w:val="18"/>
              <w:lang w:val="es-ES" w:eastAsia="zh-CN"/>
            </w:rPr>
            <w:t>Atención</w:t>
          </w:r>
          <w:r w:rsidRPr="00A23447">
            <w:rPr>
              <w:sz w:val="18"/>
              <w:szCs w:val="18"/>
              <w:lang w:val="es-ES" w:eastAsia="zh-CN"/>
            </w:rPr>
            <w:t>: La presente publicación no está destinada al público, se trata de </w:t>
          </w:r>
          <w:r w:rsidRPr="00A23447">
            <w:rPr>
              <w:b/>
              <w:bCs/>
              <w:sz w:val="18"/>
              <w:szCs w:val="18"/>
              <w:lang w:val="es-ES" w:eastAsia="zh-CN"/>
            </w:rPr>
            <w:t xml:space="preserve">un documento interno del UIT-T </w:t>
          </w:r>
          <w:r w:rsidRPr="00A23447">
            <w:rPr>
              <w:sz w:val="18"/>
              <w:szCs w:val="18"/>
              <w:lang w:val="es-ES" w:eastAsia="zh-CN"/>
            </w:rPr>
            <w:t>destinado únicamente a los Estados Miembros de la UIT, los Miembros de Sector del UIT-T y los Asociados, así como a sus respectivos empleados y colaboradores en los trabajos relacionados con la UIT. Ninguna otra persona o entidad podrá disponer o hacer uso de ella sin previo consentimiento por escrito del UIT-T.</w:t>
          </w:r>
        </w:p>
      </w:tc>
    </w:tr>
  </w:tbl>
  <w:p w:rsidR="007E6DD8" w:rsidRDefault="007E6DD8" w:rsidP="00A23447">
    <w:pPr>
      <w:spacing w:before="0"/>
      <w:rPr>
        <w:sz w:val="18"/>
        <w:lang w:val="es-ES"/>
      </w:rPr>
    </w:pPr>
  </w:p>
  <w:p w:rsidR="007E6DD8" w:rsidRPr="007E6DD8" w:rsidRDefault="007E6DD8">
    <w:pPr>
      <w:pStyle w:val="Footer"/>
      <w:rPr>
        <w:lang w:val="fr-CH"/>
      </w:rPr>
    </w:pPr>
    <w:r>
      <w:fldChar w:fldCharType="begin"/>
    </w:r>
    <w:r w:rsidRPr="007E6DD8">
      <w:rPr>
        <w:lang w:val="fr-CH"/>
      </w:rPr>
      <w:instrText xml:space="preserve"> FILENAME \p  \* MERGEFORMAT </w:instrText>
    </w:r>
    <w:r>
      <w:fldChar w:fldCharType="separate"/>
    </w:r>
    <w:r w:rsidR="002217EE">
      <w:rPr>
        <w:lang w:val="fr-CH"/>
      </w:rPr>
      <w:t>P:\ESP\ITU-T\BUREAU\326288S.DOCX</w:t>
    </w:r>
    <w:r>
      <w:fldChar w:fldCharType="end"/>
    </w:r>
    <w:r w:rsidRPr="007E6DD8">
      <w:rPr>
        <w:lang w:val="fr-CH"/>
      </w:rPr>
      <w:t xml:space="preserve"> (</w:t>
    </w:r>
    <w:r>
      <w:rPr>
        <w:lang w:val="fr-CH"/>
      </w:rPr>
      <w:t>326288</w:t>
    </w:r>
    <w:r w:rsidRPr="007E6DD8">
      <w:rPr>
        <w:lang w:val="fr-CH"/>
      </w:rPr>
      <w:t>)</w:t>
    </w:r>
    <w:r w:rsidRPr="007E6DD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217EE">
      <w:t>11.05.12</w:t>
    </w:r>
    <w:r>
      <w:fldChar w:fldCharType="end"/>
    </w:r>
    <w:r w:rsidRPr="007E6DD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17EE">
      <w:t>11.05.12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D8" w:rsidRDefault="007E6DD8">
      <w:r>
        <w:t>____________________</w:t>
      </w:r>
    </w:p>
  </w:footnote>
  <w:footnote w:type="continuationSeparator" w:id="0">
    <w:p w:rsidR="007E6DD8" w:rsidRDefault="007E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D8" w:rsidRPr="00A23447" w:rsidRDefault="007E6DD8" w:rsidP="00A23447">
    <w:pPr>
      <w:pStyle w:val="Header"/>
    </w:pPr>
    <w:r w:rsidRPr="00A23447">
      <w:t xml:space="preserve">- </w:t>
    </w:r>
    <w:r w:rsidRPr="00A23447">
      <w:fldChar w:fldCharType="begin"/>
    </w:r>
    <w:r w:rsidRPr="00A23447">
      <w:instrText xml:space="preserve"> PAGE  \* MERGEFORMAT </w:instrText>
    </w:r>
    <w:r w:rsidRPr="00A23447">
      <w:fldChar w:fldCharType="separate"/>
    </w:r>
    <w:r w:rsidR="002217EE">
      <w:rPr>
        <w:noProof/>
      </w:rPr>
      <w:t>1</w:t>
    </w:r>
    <w:r w:rsidRPr="00A23447">
      <w:fldChar w:fldCharType="end"/>
    </w:r>
    <w:r w:rsidRPr="00A23447">
      <w:t xml:space="preserve"> -</w:t>
    </w:r>
  </w:p>
  <w:p w:rsidR="007E6DD8" w:rsidRPr="00A23447" w:rsidRDefault="007E6DD8" w:rsidP="00A23447">
    <w:pPr>
      <w:pStyle w:val="Header"/>
      <w:spacing w:after="240"/>
    </w:pPr>
    <w:r w:rsidRPr="00A23447">
      <w:t>COM 2 – C  –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47"/>
    <w:rsid w:val="00037E1C"/>
    <w:rsid w:val="000D200E"/>
    <w:rsid w:val="00103412"/>
    <w:rsid w:val="002217EE"/>
    <w:rsid w:val="003865B1"/>
    <w:rsid w:val="007E6DD8"/>
    <w:rsid w:val="00822E41"/>
    <w:rsid w:val="00A2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NormalWeb">
    <w:name w:val="Normal (Web)"/>
    <w:basedOn w:val="Normal"/>
    <w:uiPriority w:val="99"/>
    <w:unhideWhenUsed/>
    <w:rsid w:val="007E6D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goog-gtc-translatable">
    <w:name w:val="goog-gtc-translatable"/>
    <w:basedOn w:val="DefaultParagraphFont"/>
    <w:rsid w:val="007E6DD8"/>
  </w:style>
  <w:style w:type="paragraph" w:customStyle="1" w:styleId="Reasons">
    <w:name w:val="Reasons"/>
    <w:basedOn w:val="Normal"/>
    <w:qFormat/>
    <w:rsid w:val="007E6D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NormalWeb">
    <w:name w:val="Normal (Web)"/>
    <w:basedOn w:val="Normal"/>
    <w:uiPriority w:val="99"/>
    <w:unhideWhenUsed/>
    <w:rsid w:val="007E6D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goog-gtc-translatable">
    <w:name w:val="goog-gtc-translatable"/>
    <w:basedOn w:val="DefaultParagraphFont"/>
    <w:rsid w:val="007E6DD8"/>
  </w:style>
  <w:style w:type="paragraph" w:customStyle="1" w:styleId="Reasons">
    <w:name w:val="Reasons"/>
    <w:basedOn w:val="Normal"/>
    <w:qFormat/>
    <w:rsid w:val="007E6D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PS_TSB.dotm</Template>
  <TotalTime>30</TotalTime>
  <Pages>1</Pages>
  <Words>382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ESTUDIO 2 – CONTRIBUCIÓN</vt:lpstr>
    </vt:vector>
  </TitlesOfParts>
  <Manager>ITU-T</Manager>
  <Company>International Telecommunication Union (ITU)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ESTUDIO 2 – CONTRIBUCIÓN</dc:title>
  <dc:subject/>
  <dc:creator>tello</dc:creator>
  <cp:keywords/>
  <dc:description>COM 2 – C – S  For: _x000d_Document date: Mayo de 2012_x000d_Saved by MJT106334 at 08:54:15 on 11.05.2012</dc:description>
  <cp:lastModifiedBy>amiguez</cp:lastModifiedBy>
  <cp:revision>3</cp:revision>
  <cp:lastPrinted>2012-05-11T13:13:00Z</cp:lastPrinted>
  <dcterms:created xsi:type="dcterms:W3CDTF">2012-05-11T12:41:00Z</dcterms:created>
  <dcterms:modified xsi:type="dcterms:W3CDTF">2012-05-11T13:13:00Z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2 – C – S</vt:lpwstr>
  </property>
  <property fmtid="{D5CDD505-2E9C-101B-9397-08002B2CF9AE}" pid="3" name="Docdate">
    <vt:lpwstr>Mayo de 2012</vt:lpwstr>
  </property>
  <property fmtid="{D5CDD505-2E9C-101B-9397-08002B2CF9AE}" pid="4" name="Docorlang">
    <vt:lpwstr>Original: inglés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