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Layout w:type="fixed"/>
        <w:tblCellMar>
          <w:left w:w="57" w:type="dxa"/>
          <w:right w:w="57" w:type="dxa"/>
        </w:tblCellMar>
        <w:tblLook w:val="0000"/>
      </w:tblPr>
      <w:tblGrid>
        <w:gridCol w:w="1617"/>
        <w:gridCol w:w="567"/>
        <w:gridCol w:w="2673"/>
        <w:gridCol w:w="120"/>
        <w:gridCol w:w="1034"/>
        <w:gridCol w:w="3912"/>
      </w:tblGrid>
      <w:tr w:rsidR="001D55D5" w:rsidRPr="00F86180" w:rsidTr="00EE2B9A">
        <w:tblPrEx>
          <w:tblCellMar>
            <w:top w:w="0" w:type="dxa"/>
            <w:bottom w:w="0" w:type="dxa"/>
          </w:tblCellMar>
        </w:tblPrEx>
        <w:trPr>
          <w:cantSplit/>
        </w:trPr>
        <w:tc>
          <w:tcPr>
            <w:tcW w:w="4857" w:type="dxa"/>
            <w:gridSpan w:val="3"/>
          </w:tcPr>
          <w:p w:rsidR="001D55D5" w:rsidRPr="00F86180" w:rsidRDefault="001D55D5" w:rsidP="00EE2B9A">
            <w:pPr>
              <w:rPr>
                <w:sz w:val="20"/>
              </w:rPr>
            </w:pPr>
            <w:bookmarkStart w:id="0" w:name="dsg" w:colFirst="1" w:colLast="1"/>
            <w:r w:rsidRPr="00F86180">
              <w:rPr>
                <w:sz w:val="20"/>
              </w:rPr>
              <w:t xml:space="preserve">INTERNATIONAL TELECOMMUNICATION </w:t>
            </w:r>
            <w:smartTag w:uri="urn:schemas-microsoft-com:office:smarttags" w:element="place">
              <w:r w:rsidRPr="00F86180">
                <w:rPr>
                  <w:sz w:val="20"/>
                </w:rPr>
                <w:t>UNION</w:t>
              </w:r>
            </w:smartTag>
          </w:p>
        </w:tc>
        <w:tc>
          <w:tcPr>
            <w:tcW w:w="5066" w:type="dxa"/>
            <w:gridSpan w:val="3"/>
          </w:tcPr>
          <w:p w:rsidR="001D55D5" w:rsidRPr="00F86180" w:rsidRDefault="001D55D5" w:rsidP="00EE2B9A">
            <w:pPr>
              <w:jc w:val="right"/>
              <w:rPr>
                <w:b/>
                <w:bCs/>
                <w:smallCaps/>
                <w:sz w:val="32"/>
              </w:rPr>
            </w:pPr>
            <w:r w:rsidRPr="00E078C4">
              <w:rPr>
                <w:b/>
                <w:bCs/>
                <w:sz w:val="32"/>
              </w:rPr>
              <w:t>ICT&amp;CC Joint Coordination Activity (JCA- ICT&amp;CC)</w:t>
            </w:r>
          </w:p>
        </w:tc>
      </w:tr>
      <w:tr w:rsidR="001D55D5" w:rsidRPr="00F86180" w:rsidTr="00EE2B9A">
        <w:tblPrEx>
          <w:tblCellMar>
            <w:top w:w="0" w:type="dxa"/>
            <w:bottom w:w="0" w:type="dxa"/>
          </w:tblCellMar>
        </w:tblPrEx>
        <w:trPr>
          <w:cantSplit/>
          <w:trHeight w:val="461"/>
        </w:trPr>
        <w:tc>
          <w:tcPr>
            <w:tcW w:w="4857" w:type="dxa"/>
            <w:gridSpan w:val="3"/>
            <w:vMerge w:val="restart"/>
            <w:tcBorders>
              <w:bottom w:val="nil"/>
            </w:tcBorders>
          </w:tcPr>
          <w:p w:rsidR="001D55D5" w:rsidRPr="00F86180" w:rsidRDefault="001D55D5" w:rsidP="00EE2B9A">
            <w:pPr>
              <w:rPr>
                <w:b/>
                <w:bCs/>
                <w:sz w:val="26"/>
              </w:rPr>
            </w:pPr>
            <w:bookmarkStart w:id="1" w:name="dnum" w:colFirst="1" w:colLast="1"/>
            <w:bookmarkEnd w:id="0"/>
            <w:r w:rsidRPr="00F86180">
              <w:rPr>
                <w:b/>
                <w:bCs/>
                <w:sz w:val="26"/>
              </w:rPr>
              <w:t>TELECOMMUNICATION</w:t>
            </w:r>
            <w:r w:rsidRPr="00F86180">
              <w:rPr>
                <w:b/>
                <w:bCs/>
                <w:sz w:val="26"/>
              </w:rPr>
              <w:br/>
              <w:t>STANDARDIZATION SECTOR</w:t>
            </w:r>
          </w:p>
          <w:p w:rsidR="001D55D5" w:rsidRPr="00F86180" w:rsidRDefault="001D55D5" w:rsidP="00EE2B9A">
            <w:pPr>
              <w:rPr>
                <w:smallCaps/>
                <w:sz w:val="20"/>
              </w:rPr>
            </w:pPr>
            <w:r w:rsidRPr="00F86180">
              <w:rPr>
                <w:sz w:val="20"/>
              </w:rPr>
              <w:t xml:space="preserve">STUDY PERIOD </w:t>
            </w:r>
            <w:r>
              <w:rPr>
                <w:sz w:val="20"/>
              </w:rPr>
              <w:t>2009-2012</w:t>
            </w:r>
          </w:p>
        </w:tc>
        <w:tc>
          <w:tcPr>
            <w:tcW w:w="5066" w:type="dxa"/>
            <w:gridSpan w:val="3"/>
            <w:tcBorders>
              <w:bottom w:val="nil"/>
            </w:tcBorders>
          </w:tcPr>
          <w:p w:rsidR="001D55D5" w:rsidRPr="00F86180" w:rsidRDefault="001D55D5" w:rsidP="001D55D5">
            <w:pPr>
              <w:jc w:val="right"/>
              <w:rPr>
                <w:b/>
                <w:bCs/>
                <w:sz w:val="40"/>
              </w:rPr>
            </w:pPr>
            <w:r>
              <w:rPr>
                <w:b/>
                <w:bCs/>
                <w:sz w:val="40"/>
              </w:rPr>
              <w:t xml:space="preserve">Doc </w:t>
            </w:r>
            <w:r>
              <w:rPr>
                <w:b/>
                <w:bCs/>
                <w:sz w:val="40"/>
              </w:rPr>
              <w:t>20</w:t>
            </w:r>
          </w:p>
        </w:tc>
      </w:tr>
      <w:tr w:rsidR="001D55D5" w:rsidRPr="00F86180" w:rsidTr="00EE2B9A">
        <w:tblPrEx>
          <w:tblCellMar>
            <w:top w:w="0" w:type="dxa"/>
            <w:bottom w:w="0" w:type="dxa"/>
          </w:tblCellMar>
        </w:tblPrEx>
        <w:trPr>
          <w:cantSplit/>
          <w:trHeight w:val="355"/>
        </w:trPr>
        <w:tc>
          <w:tcPr>
            <w:tcW w:w="4857" w:type="dxa"/>
            <w:gridSpan w:val="3"/>
            <w:vMerge/>
            <w:tcBorders>
              <w:bottom w:val="single" w:sz="12" w:space="0" w:color="auto"/>
            </w:tcBorders>
          </w:tcPr>
          <w:p w:rsidR="001D55D5" w:rsidRPr="00F86180" w:rsidRDefault="001D55D5" w:rsidP="00EE2B9A">
            <w:pPr>
              <w:rPr>
                <w:b/>
                <w:bCs/>
                <w:sz w:val="26"/>
              </w:rPr>
            </w:pPr>
            <w:bookmarkStart w:id="2" w:name="dorlang" w:colFirst="1" w:colLast="1"/>
            <w:bookmarkEnd w:id="1"/>
          </w:p>
        </w:tc>
        <w:tc>
          <w:tcPr>
            <w:tcW w:w="5066" w:type="dxa"/>
            <w:gridSpan w:val="3"/>
            <w:tcBorders>
              <w:bottom w:val="single" w:sz="12" w:space="0" w:color="auto"/>
            </w:tcBorders>
          </w:tcPr>
          <w:p w:rsidR="001D55D5" w:rsidRDefault="001D55D5" w:rsidP="00EE2B9A">
            <w:pPr>
              <w:jc w:val="right"/>
              <w:rPr>
                <w:b/>
                <w:bCs/>
                <w:sz w:val="28"/>
              </w:rPr>
            </w:pPr>
            <w:r>
              <w:rPr>
                <w:b/>
                <w:bCs/>
                <w:sz w:val="28"/>
              </w:rPr>
              <w:t>English only</w:t>
            </w:r>
          </w:p>
          <w:p w:rsidR="001D55D5" w:rsidRPr="00F86180" w:rsidRDefault="001D55D5" w:rsidP="00EE2B9A">
            <w:pPr>
              <w:jc w:val="right"/>
              <w:rPr>
                <w:b/>
                <w:bCs/>
                <w:sz w:val="28"/>
              </w:rPr>
            </w:pPr>
            <w:r>
              <w:rPr>
                <w:b/>
                <w:bCs/>
                <w:sz w:val="28"/>
              </w:rPr>
              <w:t>Original: English</w:t>
            </w:r>
          </w:p>
        </w:tc>
      </w:tr>
      <w:tr w:rsidR="00222817" w:rsidRPr="00222817">
        <w:tblPrEx>
          <w:tblCellMar>
            <w:top w:w="0" w:type="dxa"/>
            <w:bottom w:w="0" w:type="dxa"/>
          </w:tblCellMar>
        </w:tblPrEx>
        <w:trPr>
          <w:cantSplit/>
          <w:trHeight w:val="357"/>
        </w:trPr>
        <w:tc>
          <w:tcPr>
            <w:tcW w:w="1617" w:type="dxa"/>
          </w:tcPr>
          <w:p w:rsidR="00222817" w:rsidRPr="00222817" w:rsidRDefault="00222817" w:rsidP="00222817">
            <w:pPr>
              <w:rPr>
                <w:b/>
                <w:bCs/>
              </w:rPr>
            </w:pPr>
            <w:bookmarkStart w:id="3" w:name="dtableau"/>
            <w:bookmarkStart w:id="4" w:name="dmeeting" w:colFirst="2" w:colLast="2"/>
            <w:bookmarkStart w:id="5" w:name="dbluepink" w:colFirst="1" w:colLast="1"/>
            <w:bookmarkEnd w:id="2"/>
          </w:p>
        </w:tc>
        <w:tc>
          <w:tcPr>
            <w:tcW w:w="3360" w:type="dxa"/>
            <w:gridSpan w:val="3"/>
          </w:tcPr>
          <w:p w:rsidR="00222817" w:rsidRPr="00222817" w:rsidRDefault="00222817" w:rsidP="00222817"/>
        </w:tc>
        <w:tc>
          <w:tcPr>
            <w:tcW w:w="4946" w:type="dxa"/>
            <w:gridSpan w:val="2"/>
          </w:tcPr>
          <w:p w:rsidR="00222817" w:rsidRPr="00222817" w:rsidRDefault="001D55D5" w:rsidP="008958C9">
            <w:pPr>
              <w:jc w:val="right"/>
            </w:pPr>
            <w:r>
              <w:t>Rome 29 September</w:t>
            </w:r>
            <w:r w:rsidR="008958C9">
              <w:t xml:space="preserve"> 2010</w:t>
            </w:r>
          </w:p>
        </w:tc>
      </w:tr>
      <w:tr w:rsidR="00222817" w:rsidRPr="00222817">
        <w:tblPrEx>
          <w:tblCellMar>
            <w:top w:w="0" w:type="dxa"/>
            <w:bottom w:w="0" w:type="dxa"/>
          </w:tblCellMar>
        </w:tblPrEx>
        <w:trPr>
          <w:cantSplit/>
          <w:trHeight w:val="357"/>
        </w:trPr>
        <w:tc>
          <w:tcPr>
            <w:tcW w:w="9923" w:type="dxa"/>
            <w:gridSpan w:val="6"/>
          </w:tcPr>
          <w:p w:rsidR="00222817" w:rsidRDefault="00222817" w:rsidP="00222817">
            <w:pPr>
              <w:jc w:val="center"/>
              <w:rPr>
                <w:b/>
              </w:rPr>
            </w:pPr>
            <w:bookmarkStart w:id="6" w:name="dtitle" w:colFirst="0" w:colLast="0"/>
            <w:bookmarkEnd w:id="4"/>
            <w:bookmarkEnd w:id="5"/>
            <w:r w:rsidRPr="002E6A1A">
              <w:rPr>
                <w:b/>
              </w:rPr>
              <w:t>LIAISON STATEMENT</w:t>
            </w:r>
          </w:p>
          <w:p w:rsidR="001D55D5" w:rsidRPr="00222817" w:rsidRDefault="001D55D5" w:rsidP="001D55D5">
            <w:pPr>
              <w:jc w:val="center"/>
              <w:rPr>
                <w:b/>
                <w:bCs/>
              </w:rPr>
            </w:pPr>
            <w:r w:rsidRPr="001D55D5">
              <w:rPr>
                <w:b/>
                <w:bCs/>
              </w:rPr>
              <w:t>(Ref. : COM 16 – LS 1</w:t>
            </w:r>
            <w:r>
              <w:rPr>
                <w:b/>
                <w:bCs/>
              </w:rPr>
              <w:t>59</w:t>
            </w:r>
            <w:r w:rsidRPr="001D55D5">
              <w:rPr>
                <w:b/>
                <w:bCs/>
              </w:rPr>
              <w:t xml:space="preserve"> – E)</w:t>
            </w:r>
          </w:p>
        </w:tc>
      </w:tr>
      <w:tr w:rsidR="00222817" w:rsidRPr="00222817">
        <w:tblPrEx>
          <w:tblCellMar>
            <w:top w:w="0" w:type="dxa"/>
            <w:bottom w:w="0" w:type="dxa"/>
          </w:tblCellMar>
        </w:tblPrEx>
        <w:trPr>
          <w:cantSplit/>
          <w:trHeight w:val="357"/>
        </w:trPr>
        <w:tc>
          <w:tcPr>
            <w:tcW w:w="1617" w:type="dxa"/>
          </w:tcPr>
          <w:p w:rsidR="00222817" w:rsidRPr="00222817" w:rsidRDefault="00222817" w:rsidP="00222817">
            <w:pPr>
              <w:rPr>
                <w:b/>
                <w:bCs/>
              </w:rPr>
            </w:pPr>
            <w:bookmarkStart w:id="7" w:name="dsource" w:colFirst="1" w:colLast="1"/>
            <w:bookmarkEnd w:id="6"/>
            <w:r w:rsidRPr="00222817">
              <w:rPr>
                <w:b/>
                <w:bCs/>
              </w:rPr>
              <w:t>Source:</w:t>
            </w:r>
          </w:p>
        </w:tc>
        <w:tc>
          <w:tcPr>
            <w:tcW w:w="8306" w:type="dxa"/>
            <w:gridSpan w:val="5"/>
          </w:tcPr>
          <w:p w:rsidR="00222817" w:rsidRPr="00222817" w:rsidRDefault="00222817" w:rsidP="00222817">
            <w:r>
              <w:t xml:space="preserve">ITU-T SG </w:t>
            </w:r>
            <w:r w:rsidRPr="00222817">
              <w:t>16</w:t>
            </w:r>
          </w:p>
        </w:tc>
      </w:tr>
      <w:tr w:rsidR="00222817" w:rsidRPr="00222817">
        <w:tblPrEx>
          <w:tblCellMar>
            <w:top w:w="0" w:type="dxa"/>
            <w:bottom w:w="0" w:type="dxa"/>
          </w:tblCellMar>
        </w:tblPrEx>
        <w:trPr>
          <w:cantSplit/>
          <w:trHeight w:val="357"/>
        </w:trPr>
        <w:tc>
          <w:tcPr>
            <w:tcW w:w="1617" w:type="dxa"/>
            <w:tcBorders>
              <w:bottom w:val="single" w:sz="12" w:space="0" w:color="auto"/>
            </w:tcBorders>
          </w:tcPr>
          <w:p w:rsidR="00222817" w:rsidRPr="00222817" w:rsidRDefault="00222817" w:rsidP="00222817">
            <w:pPr>
              <w:spacing w:after="120"/>
            </w:pPr>
            <w:bookmarkStart w:id="8" w:name="dtitle1" w:colFirst="1" w:colLast="1"/>
            <w:bookmarkEnd w:id="7"/>
            <w:r w:rsidRPr="00222817">
              <w:rPr>
                <w:b/>
                <w:bCs/>
              </w:rPr>
              <w:t>Title:</w:t>
            </w:r>
          </w:p>
        </w:tc>
        <w:tc>
          <w:tcPr>
            <w:tcW w:w="8306" w:type="dxa"/>
            <w:gridSpan w:val="5"/>
            <w:tcBorders>
              <w:bottom w:val="single" w:sz="12" w:space="0" w:color="auto"/>
            </w:tcBorders>
          </w:tcPr>
          <w:p w:rsidR="00222817" w:rsidRPr="00222817" w:rsidRDefault="00222817" w:rsidP="00222817">
            <w:pPr>
              <w:spacing w:after="120"/>
            </w:pPr>
            <w:r w:rsidRPr="00222817">
              <w:t>LS to All ITU-T SGs, TSAG, ITU-R SG 6, ITU-D SG2, IETF RAI, ISO/IEC JTC 1/SC 29, IMTC, JCA-ICT&amp;CC, JCA-AHF on approval of a new Question on telepresence systems</w:t>
            </w:r>
          </w:p>
        </w:tc>
      </w:tr>
      <w:bookmarkEnd w:id="3"/>
      <w:bookmarkEnd w:id="8"/>
      <w:tr w:rsidR="00222817" w:rsidRPr="002E6A1A" w:rsidTr="00945323">
        <w:tblPrEx>
          <w:tblCellMar>
            <w:top w:w="0" w:type="dxa"/>
            <w:bottom w:w="0" w:type="dxa"/>
          </w:tblCellMar>
        </w:tblPrEx>
        <w:trPr>
          <w:cantSplit/>
          <w:trHeight w:val="357"/>
        </w:trPr>
        <w:tc>
          <w:tcPr>
            <w:tcW w:w="9923" w:type="dxa"/>
            <w:gridSpan w:val="6"/>
            <w:tcBorders>
              <w:top w:val="single" w:sz="12" w:space="0" w:color="auto"/>
            </w:tcBorders>
          </w:tcPr>
          <w:p w:rsidR="00222817" w:rsidRPr="002E6A1A" w:rsidRDefault="00222817" w:rsidP="00222817">
            <w:pPr>
              <w:jc w:val="center"/>
              <w:rPr>
                <w:b/>
              </w:rPr>
            </w:pPr>
            <w:r w:rsidRPr="002E6A1A">
              <w:rPr>
                <w:b/>
              </w:rPr>
              <w:t>LIAISON STATEMENT</w:t>
            </w:r>
          </w:p>
        </w:tc>
      </w:tr>
      <w:tr w:rsidR="00222817" w:rsidRPr="002E6A1A" w:rsidTr="00945323">
        <w:tblPrEx>
          <w:tblCellMar>
            <w:top w:w="0" w:type="dxa"/>
            <w:bottom w:w="0" w:type="dxa"/>
          </w:tblCellMar>
        </w:tblPrEx>
        <w:trPr>
          <w:cantSplit/>
          <w:trHeight w:val="357"/>
        </w:trPr>
        <w:tc>
          <w:tcPr>
            <w:tcW w:w="2184" w:type="dxa"/>
            <w:gridSpan w:val="2"/>
          </w:tcPr>
          <w:p w:rsidR="00222817" w:rsidRPr="002E6A1A" w:rsidRDefault="00222817" w:rsidP="00945323">
            <w:pPr>
              <w:rPr>
                <w:b/>
                <w:bCs/>
              </w:rPr>
            </w:pPr>
            <w:r w:rsidRPr="002E6A1A">
              <w:rPr>
                <w:b/>
                <w:bCs/>
              </w:rPr>
              <w:t>For action to:</w:t>
            </w:r>
          </w:p>
        </w:tc>
        <w:tc>
          <w:tcPr>
            <w:tcW w:w="7739" w:type="dxa"/>
            <w:gridSpan w:val="4"/>
          </w:tcPr>
          <w:p w:rsidR="00222817" w:rsidRPr="002E6A1A" w:rsidRDefault="00222817" w:rsidP="00945323">
            <w:pPr>
              <w:pStyle w:val="LSForAction"/>
            </w:pPr>
            <w:bookmarkStart w:id="9" w:name="_Toc268615373"/>
            <w:r w:rsidRPr="002E6A1A">
              <w:t>-</w:t>
            </w:r>
            <w:bookmarkEnd w:id="9"/>
          </w:p>
        </w:tc>
      </w:tr>
      <w:tr w:rsidR="00222817" w:rsidRPr="002E6A1A" w:rsidTr="00945323">
        <w:tblPrEx>
          <w:tblCellMar>
            <w:top w:w="0" w:type="dxa"/>
            <w:bottom w:w="0" w:type="dxa"/>
          </w:tblCellMar>
        </w:tblPrEx>
        <w:trPr>
          <w:cantSplit/>
          <w:trHeight w:val="357"/>
        </w:trPr>
        <w:tc>
          <w:tcPr>
            <w:tcW w:w="2184" w:type="dxa"/>
            <w:gridSpan w:val="2"/>
          </w:tcPr>
          <w:p w:rsidR="00222817" w:rsidRPr="002E6A1A" w:rsidRDefault="00222817" w:rsidP="00945323">
            <w:pPr>
              <w:rPr>
                <w:b/>
                <w:bCs/>
              </w:rPr>
            </w:pPr>
            <w:r w:rsidRPr="002E6A1A">
              <w:rPr>
                <w:b/>
                <w:bCs/>
              </w:rPr>
              <w:t>For comment to:</w:t>
            </w:r>
          </w:p>
        </w:tc>
        <w:tc>
          <w:tcPr>
            <w:tcW w:w="7739" w:type="dxa"/>
            <w:gridSpan w:val="4"/>
          </w:tcPr>
          <w:p w:rsidR="00222817" w:rsidRPr="002E6A1A" w:rsidRDefault="00222817" w:rsidP="00945323">
            <w:pPr>
              <w:pStyle w:val="LSForComment"/>
              <w:rPr>
                <w:highlight w:val="yellow"/>
              </w:rPr>
            </w:pPr>
            <w:bookmarkStart w:id="10" w:name="_Toc268615374"/>
            <w:r w:rsidRPr="002E6A1A">
              <w:t>-</w:t>
            </w:r>
            <w:bookmarkEnd w:id="10"/>
          </w:p>
        </w:tc>
      </w:tr>
      <w:tr w:rsidR="00222817" w:rsidRPr="002E6A1A" w:rsidTr="00945323">
        <w:tblPrEx>
          <w:tblCellMar>
            <w:top w:w="0" w:type="dxa"/>
            <w:bottom w:w="0" w:type="dxa"/>
          </w:tblCellMar>
        </w:tblPrEx>
        <w:trPr>
          <w:cantSplit/>
          <w:trHeight w:val="357"/>
        </w:trPr>
        <w:tc>
          <w:tcPr>
            <w:tcW w:w="2184" w:type="dxa"/>
            <w:gridSpan w:val="2"/>
          </w:tcPr>
          <w:p w:rsidR="00222817" w:rsidRPr="002E6A1A" w:rsidRDefault="00222817" w:rsidP="00945323">
            <w:pPr>
              <w:rPr>
                <w:b/>
                <w:bCs/>
              </w:rPr>
            </w:pPr>
            <w:r w:rsidRPr="002E6A1A">
              <w:rPr>
                <w:b/>
                <w:bCs/>
              </w:rPr>
              <w:t>For information to:</w:t>
            </w:r>
          </w:p>
        </w:tc>
        <w:tc>
          <w:tcPr>
            <w:tcW w:w="7739" w:type="dxa"/>
            <w:gridSpan w:val="4"/>
          </w:tcPr>
          <w:p w:rsidR="00222817" w:rsidRPr="002E6A1A" w:rsidRDefault="00222817" w:rsidP="00945323">
            <w:pPr>
              <w:pStyle w:val="LSForInfo"/>
              <w:rPr>
                <w:highlight w:val="yellow"/>
              </w:rPr>
            </w:pPr>
            <w:bookmarkStart w:id="11" w:name="_Toc268615375"/>
            <w:r w:rsidRPr="002E6A1A">
              <w:t>All ITU-T SGs, TSAG, ITU-R SG 6, ITU-D SG2, IETF RAI, ISO/IEC JTC 1/SC 29, IMTC, JCA-ICT&amp;CC, JCA-AHF</w:t>
            </w:r>
            <w:bookmarkEnd w:id="11"/>
          </w:p>
        </w:tc>
      </w:tr>
      <w:tr w:rsidR="00222817" w:rsidRPr="002E6A1A" w:rsidTr="00945323">
        <w:tblPrEx>
          <w:tblCellMar>
            <w:top w:w="0" w:type="dxa"/>
            <w:bottom w:w="0" w:type="dxa"/>
          </w:tblCellMar>
        </w:tblPrEx>
        <w:trPr>
          <w:cantSplit/>
          <w:trHeight w:val="357"/>
        </w:trPr>
        <w:tc>
          <w:tcPr>
            <w:tcW w:w="2184" w:type="dxa"/>
            <w:gridSpan w:val="2"/>
          </w:tcPr>
          <w:p w:rsidR="00222817" w:rsidRPr="002E6A1A" w:rsidRDefault="00222817" w:rsidP="00945323">
            <w:pPr>
              <w:rPr>
                <w:b/>
                <w:bCs/>
              </w:rPr>
            </w:pPr>
            <w:r w:rsidRPr="002E6A1A">
              <w:rPr>
                <w:b/>
                <w:bCs/>
              </w:rPr>
              <w:t>Approval:</w:t>
            </w:r>
          </w:p>
        </w:tc>
        <w:tc>
          <w:tcPr>
            <w:tcW w:w="7739" w:type="dxa"/>
            <w:gridSpan w:val="4"/>
          </w:tcPr>
          <w:p w:rsidR="00222817" w:rsidRPr="002E6A1A" w:rsidRDefault="00222817" w:rsidP="00945323">
            <w:pPr>
              <w:rPr>
                <w:b/>
                <w:bCs/>
              </w:rPr>
            </w:pPr>
            <w:r w:rsidRPr="002E6A1A">
              <w:rPr>
                <w:b/>
              </w:rPr>
              <w:t>ITU-T SG 16 meeting (</w:t>
            </w:r>
            <w:smartTag w:uri="urn:schemas-microsoft-com:office:smarttags" w:element="place">
              <w:smartTag w:uri="urn:schemas-microsoft-com:office:smarttags" w:element="City">
                <w:r w:rsidRPr="002E6A1A">
                  <w:rPr>
                    <w:b/>
                    <w:color w:val="000000"/>
                  </w:rPr>
                  <w:t>Geneva</w:t>
                </w:r>
              </w:smartTag>
            </w:smartTag>
            <w:r w:rsidRPr="002E6A1A">
              <w:rPr>
                <w:b/>
                <w:color w:val="000000"/>
              </w:rPr>
              <w:t>, 19-30 July 2010</w:t>
            </w:r>
            <w:r w:rsidRPr="002E6A1A">
              <w:rPr>
                <w:b/>
              </w:rPr>
              <w:t>)</w:t>
            </w:r>
          </w:p>
        </w:tc>
      </w:tr>
      <w:tr w:rsidR="00222817" w:rsidRPr="002E6A1A" w:rsidTr="00945323">
        <w:tblPrEx>
          <w:tblCellMar>
            <w:top w:w="0" w:type="dxa"/>
            <w:bottom w:w="0" w:type="dxa"/>
          </w:tblCellMar>
        </w:tblPrEx>
        <w:trPr>
          <w:cantSplit/>
          <w:trHeight w:val="357"/>
        </w:trPr>
        <w:tc>
          <w:tcPr>
            <w:tcW w:w="2184" w:type="dxa"/>
            <w:gridSpan w:val="2"/>
            <w:tcBorders>
              <w:bottom w:val="single" w:sz="12" w:space="0" w:color="auto"/>
            </w:tcBorders>
          </w:tcPr>
          <w:p w:rsidR="00222817" w:rsidRPr="002E6A1A" w:rsidRDefault="00222817" w:rsidP="00945323">
            <w:pPr>
              <w:rPr>
                <w:b/>
                <w:bCs/>
              </w:rPr>
            </w:pPr>
            <w:r w:rsidRPr="002E6A1A">
              <w:rPr>
                <w:b/>
                <w:bCs/>
              </w:rPr>
              <w:t>Deadline:</w:t>
            </w:r>
          </w:p>
        </w:tc>
        <w:tc>
          <w:tcPr>
            <w:tcW w:w="7739" w:type="dxa"/>
            <w:gridSpan w:val="4"/>
            <w:tcBorders>
              <w:bottom w:val="single" w:sz="12" w:space="0" w:color="auto"/>
            </w:tcBorders>
          </w:tcPr>
          <w:p w:rsidR="00222817" w:rsidRPr="002E6A1A" w:rsidRDefault="00222817" w:rsidP="00945323">
            <w:pPr>
              <w:pStyle w:val="LSDeadline"/>
            </w:pPr>
            <w:bookmarkStart w:id="12" w:name="_Toc268615376"/>
            <w:r w:rsidRPr="002E6A1A">
              <w:t>N/A</w:t>
            </w:r>
            <w:bookmarkEnd w:id="12"/>
          </w:p>
        </w:tc>
      </w:tr>
      <w:tr w:rsidR="00222817" w:rsidRPr="002E6A1A" w:rsidTr="00945323">
        <w:tblPrEx>
          <w:tblCellMar>
            <w:top w:w="0" w:type="dxa"/>
            <w:bottom w:w="0" w:type="dxa"/>
          </w:tblCellMar>
        </w:tblPrEx>
        <w:trPr>
          <w:cantSplit/>
          <w:trHeight w:val="204"/>
        </w:trPr>
        <w:tc>
          <w:tcPr>
            <w:tcW w:w="1617" w:type="dxa"/>
            <w:tcBorders>
              <w:top w:val="single" w:sz="12" w:space="0" w:color="auto"/>
            </w:tcBorders>
          </w:tcPr>
          <w:p w:rsidR="00222817" w:rsidRPr="002E6A1A" w:rsidRDefault="00222817" w:rsidP="00945323">
            <w:pPr>
              <w:rPr>
                <w:b/>
                <w:bCs/>
              </w:rPr>
            </w:pPr>
            <w:r w:rsidRPr="002E6A1A">
              <w:rPr>
                <w:b/>
                <w:bCs/>
              </w:rPr>
              <w:t>Contact:</w:t>
            </w:r>
          </w:p>
        </w:tc>
        <w:tc>
          <w:tcPr>
            <w:tcW w:w="4394" w:type="dxa"/>
            <w:gridSpan w:val="4"/>
            <w:tcBorders>
              <w:top w:val="single" w:sz="12" w:space="0" w:color="auto"/>
            </w:tcBorders>
          </w:tcPr>
          <w:p w:rsidR="00222817" w:rsidRPr="002E6A1A" w:rsidRDefault="00222817" w:rsidP="00945323">
            <w:r w:rsidRPr="002E6A1A">
              <w:t>Stephen Botzko</w:t>
            </w:r>
            <w:r w:rsidRPr="002E6A1A">
              <w:br/>
              <w:t>Polycom</w:t>
            </w:r>
            <w:r w:rsidRPr="002E6A1A">
              <w:br/>
              <w:t>US</w:t>
            </w:r>
          </w:p>
        </w:tc>
        <w:tc>
          <w:tcPr>
            <w:tcW w:w="3912" w:type="dxa"/>
            <w:tcBorders>
              <w:top w:val="single" w:sz="12" w:space="0" w:color="auto"/>
            </w:tcBorders>
          </w:tcPr>
          <w:p w:rsidR="00222817" w:rsidRPr="002E6A1A" w:rsidRDefault="00222817" w:rsidP="00945323">
            <w:r w:rsidRPr="002E6A1A">
              <w:t>Tel: +1 (978) 292-5395</w:t>
            </w:r>
            <w:r w:rsidRPr="002E6A1A">
              <w:br/>
              <w:t>Fax:</w:t>
            </w:r>
            <w:r w:rsidRPr="002E6A1A">
              <w:br/>
              <w:t xml:space="preserve">Email: </w:t>
            </w:r>
            <w:hyperlink r:id="rId7" w:history="1">
              <w:r w:rsidRPr="002E6A1A">
                <w:rPr>
                  <w:rStyle w:val="Hyperlink"/>
                </w:rPr>
                <w:t>Stephen.Botzko@polycom.com</w:t>
              </w:r>
            </w:hyperlink>
          </w:p>
        </w:tc>
      </w:tr>
      <w:tr w:rsidR="00222817" w:rsidRPr="002E6A1A" w:rsidTr="00945323">
        <w:tblPrEx>
          <w:tblCellMar>
            <w:top w:w="0" w:type="dxa"/>
            <w:bottom w:w="0" w:type="dxa"/>
          </w:tblCellMar>
        </w:tblPrEx>
        <w:trPr>
          <w:cantSplit/>
          <w:trHeight w:val="204"/>
        </w:trPr>
        <w:tc>
          <w:tcPr>
            <w:tcW w:w="9923" w:type="dxa"/>
            <w:gridSpan w:val="6"/>
            <w:tcBorders>
              <w:top w:val="single" w:sz="12" w:space="0" w:color="auto"/>
            </w:tcBorders>
          </w:tcPr>
          <w:p w:rsidR="00222817" w:rsidRPr="002E6A1A" w:rsidRDefault="00222817" w:rsidP="00945323">
            <w:pPr>
              <w:spacing w:before="0"/>
              <w:rPr>
                <w:sz w:val="18"/>
              </w:rPr>
            </w:pPr>
          </w:p>
        </w:tc>
      </w:tr>
    </w:tbl>
    <w:p w:rsidR="00222817" w:rsidRPr="002E6A1A" w:rsidRDefault="00222817" w:rsidP="00222817">
      <w:r w:rsidRPr="002E6A1A">
        <w:t>At its 19-30 July 2010 meeting, ITU-T Study Group 16 agreed to the creation of a new Question entitled “Telepresence systems” as per WTSA Res. 1, Clause 7.1.8, with support from many members.</w:t>
      </w:r>
    </w:p>
    <w:p w:rsidR="00222817" w:rsidRPr="002E6A1A" w:rsidRDefault="00222817" w:rsidP="00222817">
      <w:r w:rsidRPr="002E6A1A">
        <w:t>We welcome any information that you might share with us that is related to this topic, and look forward to collaborating with you on the subject.</w:t>
      </w:r>
    </w:p>
    <w:p w:rsidR="00222817" w:rsidRPr="002E6A1A" w:rsidRDefault="00222817" w:rsidP="00222817"/>
    <w:p w:rsidR="00222817" w:rsidRPr="002E6A1A" w:rsidRDefault="00222817" w:rsidP="00222817">
      <w:pPr>
        <w:pStyle w:val="AnnexNotitle"/>
      </w:pPr>
      <w:r w:rsidRPr="002E6A1A">
        <w:t>Annex A</w:t>
      </w:r>
      <w:r w:rsidRPr="002E6A1A">
        <w:br/>
        <w:t>New ITU-T Study Group 16 Question 5/16: Telepresence systems</w:t>
      </w:r>
    </w:p>
    <w:p w:rsidR="00222817" w:rsidRPr="002E6A1A" w:rsidRDefault="00222817" w:rsidP="00222817">
      <w:pPr>
        <w:pStyle w:val="Heading3"/>
        <w:ind w:left="720" w:hanging="720"/>
        <w:rPr>
          <w:lang w:eastAsia="ko-KR"/>
        </w:rPr>
      </w:pPr>
      <w:r w:rsidRPr="002E6A1A">
        <w:rPr>
          <w:rFonts w:hint="eastAsia"/>
          <w:lang w:eastAsia="ko-KR"/>
        </w:rPr>
        <w:t>1</w:t>
      </w:r>
      <w:r w:rsidRPr="002E6A1A">
        <w:t>.</w:t>
      </w:r>
      <w:r w:rsidRPr="002E6A1A">
        <w:rPr>
          <w:rFonts w:hint="eastAsia"/>
          <w:lang w:eastAsia="ko-KR"/>
        </w:rPr>
        <w:t xml:space="preserve"> Motivation</w:t>
      </w:r>
    </w:p>
    <w:p w:rsidR="00222817" w:rsidRPr="002E6A1A" w:rsidRDefault="00222817" w:rsidP="00222817">
      <w:r w:rsidRPr="002E6A1A">
        <w:t xml:space="preserve">Telepresence represents an important evolution of the videoconferencing market. This trend is expected to accelerate, as mainstream video applications begin to offer telepresence features. Many products exist today that, although they are based on IETF SIP and ITU-T H.323 protocols, lack </w:t>
      </w:r>
      <w:r w:rsidRPr="002E6A1A">
        <w:lastRenderedPageBreak/>
        <w:t>interoperability due to proprietary extensions needed to these base protocols to offer a user-rich experience.</w:t>
      </w:r>
    </w:p>
    <w:p w:rsidR="00222817" w:rsidRPr="002E6A1A" w:rsidRDefault="00222817" w:rsidP="00222817">
      <w:r w:rsidRPr="002E6A1A">
        <w:t>The increased penetration of broadband communications and higher user awareness of video applications, coupled with financial and environmental gains brought by remote collaboration tools have brought a boost to applications such as telepresence. This makes it important that standardized solutions be developed to ensure multi-vendor interoperability on a global basis.</w:t>
      </w:r>
    </w:p>
    <w:p w:rsidR="00222817" w:rsidRPr="002E6A1A" w:rsidRDefault="00222817" w:rsidP="00222817">
      <w:pPr>
        <w:pStyle w:val="Heading3"/>
        <w:ind w:left="720" w:hanging="720"/>
        <w:rPr>
          <w:lang w:eastAsia="ko-KR"/>
        </w:rPr>
      </w:pPr>
      <w:r w:rsidRPr="002E6A1A">
        <w:rPr>
          <w:rFonts w:hint="eastAsia"/>
          <w:lang w:eastAsia="ko-KR"/>
        </w:rPr>
        <w:t>2</w:t>
      </w:r>
      <w:r w:rsidRPr="002E6A1A">
        <w:t>.</w:t>
      </w:r>
      <w:r w:rsidRPr="002E6A1A">
        <w:rPr>
          <w:rFonts w:hint="eastAsia"/>
          <w:lang w:eastAsia="ko-KR"/>
        </w:rPr>
        <w:t xml:space="preserve"> Question</w:t>
      </w:r>
    </w:p>
    <w:p w:rsidR="00222817" w:rsidRPr="002E6A1A" w:rsidRDefault="00222817" w:rsidP="00222817">
      <w:pPr>
        <w:spacing w:before="60"/>
        <w:rPr>
          <w:lang w:eastAsia="ko-KR"/>
        </w:rPr>
      </w:pPr>
      <w:r w:rsidRPr="002E6A1A">
        <w:t>Study items to be considered include, but are not limited to:</w:t>
      </w:r>
    </w:p>
    <w:p w:rsidR="00222817" w:rsidRPr="002E6A1A" w:rsidRDefault="00222817" w:rsidP="00222817">
      <w:pPr>
        <w:numPr>
          <w:ilvl w:val="0"/>
          <w:numId w:val="4"/>
        </w:numPr>
      </w:pPr>
      <w:r w:rsidRPr="002E6A1A">
        <w:t>Definition and scope of telepresence systems</w:t>
      </w:r>
    </w:p>
    <w:p w:rsidR="00222817" w:rsidRPr="002E6A1A" w:rsidRDefault="00222817" w:rsidP="00222817">
      <w:pPr>
        <w:numPr>
          <w:ilvl w:val="0"/>
          <w:numId w:val="4"/>
        </w:numPr>
      </w:pPr>
      <w:r w:rsidRPr="002E6A1A">
        <w:t>Function</w:t>
      </w:r>
      <w:r w:rsidRPr="002E6A1A">
        <w:rPr>
          <w:rFonts w:hint="eastAsia"/>
        </w:rPr>
        <w:t>s and service</w:t>
      </w:r>
      <w:r w:rsidRPr="002E6A1A">
        <w:t xml:space="preserve"> requirements</w:t>
      </w:r>
      <w:r w:rsidRPr="002E6A1A">
        <w:rPr>
          <w:rFonts w:hint="eastAsia"/>
        </w:rPr>
        <w:t xml:space="preserve"> </w:t>
      </w:r>
      <w:r w:rsidRPr="002E6A1A">
        <w:t>for interoperable telepresence systems</w:t>
      </w:r>
    </w:p>
    <w:p w:rsidR="00222817" w:rsidRPr="002E6A1A" w:rsidRDefault="00222817" w:rsidP="00222817">
      <w:pPr>
        <w:numPr>
          <w:ilvl w:val="0"/>
          <w:numId w:val="4"/>
        </w:numPr>
      </w:pPr>
      <w:r w:rsidRPr="002E6A1A">
        <w:t xml:space="preserve">Standardizing the means for full interworking between telepresence systems, including means facilitating the coherent presentation of multiple audio and video streams – allowing remote participants to be rendered at their true size for their apparent distance, maintaining correct eye contact, gesticular cues, and simultaneously providing spatial audio that is consistent with the video presentation, as well as </w:t>
      </w:r>
      <w:r w:rsidRPr="002E6A1A">
        <w:rPr>
          <w:bCs/>
          <w:iCs/>
        </w:rPr>
        <w:t>taking into account the meeting environment to provide a more immersive experience.</w:t>
      </w:r>
    </w:p>
    <w:p w:rsidR="00222817" w:rsidRPr="002E6A1A" w:rsidRDefault="00222817" w:rsidP="00222817">
      <w:pPr>
        <w:numPr>
          <w:ilvl w:val="0"/>
          <w:numId w:val="4"/>
        </w:numPr>
      </w:pPr>
      <w:r w:rsidRPr="002E6A1A">
        <w:t>Standardizing the means for interworking between current telepresence systems and other systems, including the legacy telephone network and advanced multimedia systems, through additions to ITU-T H.246 and other Recommendations as necessary.</w:t>
      </w:r>
    </w:p>
    <w:p w:rsidR="00222817" w:rsidRPr="002E6A1A" w:rsidRDefault="00222817" w:rsidP="00222817">
      <w:pPr>
        <w:numPr>
          <w:ilvl w:val="0"/>
          <w:numId w:val="4"/>
        </w:numPr>
      </w:pPr>
      <w:r w:rsidRPr="002E6A1A">
        <w:t>Considerations on how to further enhance telepresence systems to mitigate negative impact on climate change and to encourage a positive impact reducing greenhouse gas (GHG) emissions.</w:t>
      </w:r>
    </w:p>
    <w:p w:rsidR="00222817" w:rsidRPr="002E6A1A" w:rsidRDefault="00222817" w:rsidP="00222817">
      <w:r w:rsidRPr="002E6A1A">
        <w:rPr>
          <w:rFonts w:hint="eastAsia"/>
          <w:b/>
          <w:lang w:eastAsia="ko-KR"/>
        </w:rPr>
        <w:t>3</w:t>
      </w:r>
      <w:r w:rsidRPr="002E6A1A">
        <w:rPr>
          <w:b/>
        </w:rPr>
        <w:t>.</w:t>
      </w:r>
      <w:r w:rsidRPr="002E6A1A">
        <w:rPr>
          <w:rFonts w:hint="eastAsia"/>
          <w:b/>
          <w:lang w:eastAsia="ko-KR"/>
        </w:rPr>
        <w:t xml:space="preserve"> Tasks</w:t>
      </w:r>
    </w:p>
    <w:p w:rsidR="00222817" w:rsidRPr="002E6A1A" w:rsidRDefault="00222817" w:rsidP="00222817">
      <w:pPr>
        <w:spacing w:before="60"/>
        <w:rPr>
          <w:lang w:eastAsia="ko-KR"/>
        </w:rPr>
      </w:pPr>
      <w:r w:rsidRPr="002E6A1A">
        <w:t>Tasks include but are not limited to:</w:t>
      </w:r>
    </w:p>
    <w:p w:rsidR="00222817" w:rsidRPr="002E6A1A" w:rsidRDefault="00222817" w:rsidP="00222817">
      <w:pPr>
        <w:numPr>
          <w:ilvl w:val="0"/>
          <w:numId w:val="3"/>
        </w:numPr>
      </w:pPr>
      <w:r w:rsidRPr="002E6A1A">
        <w:t>Define</w:t>
      </w:r>
      <w:r w:rsidRPr="002E6A1A">
        <w:rPr>
          <w:rFonts w:hint="eastAsia"/>
        </w:rPr>
        <w:t xml:space="preserve"> services and functions to support </w:t>
      </w:r>
      <w:r w:rsidRPr="002E6A1A">
        <w:t>interoperability of current generation telepresence systems using existing protocols such as ITU-T H.323 and SIP.</w:t>
      </w:r>
    </w:p>
    <w:p w:rsidR="00222817" w:rsidRPr="002E6A1A" w:rsidRDefault="00222817" w:rsidP="00222817">
      <w:pPr>
        <w:numPr>
          <w:ilvl w:val="0"/>
          <w:numId w:val="3"/>
        </w:numPr>
      </w:pPr>
      <w:r w:rsidRPr="002E6A1A">
        <w:t>Identify modification and/or extensions needed in existing protocols to support telepresence, in coordination with other standardization bodies, forums and consortia, as needed.</w:t>
      </w:r>
    </w:p>
    <w:p w:rsidR="00222817" w:rsidRPr="002E6A1A" w:rsidRDefault="00222817" w:rsidP="00222817">
      <w:pPr>
        <w:numPr>
          <w:ilvl w:val="0"/>
          <w:numId w:val="3"/>
        </w:numPr>
      </w:pPr>
      <w:r w:rsidRPr="002E6A1A">
        <w:t>Modify and/or extend existing protocols under the ITU-T SG 16 responsibility to enable interoperable telepresence systems (in particular, Recommendations of the ITU-T H.300 series).</w:t>
      </w:r>
    </w:p>
    <w:p w:rsidR="00222817" w:rsidRPr="002E6A1A" w:rsidRDefault="00222817" w:rsidP="00222817">
      <w:pPr>
        <w:numPr>
          <w:ilvl w:val="0"/>
          <w:numId w:val="3"/>
        </w:numPr>
      </w:pPr>
      <w:r w:rsidRPr="002E6A1A">
        <w:t>Identify methods for exchange of meeting environment information in order to allow adaptation between unlike telepresence system environments.</w:t>
      </w:r>
    </w:p>
    <w:p w:rsidR="00222817" w:rsidRPr="002E6A1A" w:rsidRDefault="00222817" w:rsidP="00222817">
      <w:pPr>
        <w:numPr>
          <w:ilvl w:val="0"/>
          <w:numId w:val="3"/>
        </w:numPr>
      </w:pPr>
      <w:r w:rsidRPr="002E6A1A">
        <w:t>Provide guidelines to achieve the required user experience for telepresence systems (such as methods to achieve eye contact, same lighting environments in separate rooms, audio levels, and echo cancellation).</w:t>
      </w:r>
    </w:p>
    <w:p w:rsidR="00222817" w:rsidRPr="002E6A1A" w:rsidRDefault="00222817" w:rsidP="00222817">
      <w:pPr>
        <w:numPr>
          <w:ilvl w:val="0"/>
          <w:numId w:val="3"/>
        </w:numPr>
      </w:pPr>
      <w:r w:rsidRPr="002E6A1A">
        <w:t>Identify requirements for media codecs, taking into account needs for scalability, multiple views, multiple audio channels, and mixing of media streams including efficient compressed digital to compressed digital processing.</w:t>
      </w:r>
    </w:p>
    <w:p w:rsidR="00222817" w:rsidRPr="002E6A1A" w:rsidRDefault="00222817" w:rsidP="00222817">
      <w:pPr>
        <w:numPr>
          <w:ilvl w:val="0"/>
          <w:numId w:val="3"/>
        </w:numPr>
      </w:pPr>
      <w:r w:rsidRPr="002E6A1A">
        <w:t>Enable interoperable telecoms/ICT accessibility features in telepresence systems.</w:t>
      </w:r>
    </w:p>
    <w:p w:rsidR="00222817" w:rsidRPr="002E6A1A" w:rsidRDefault="00222817" w:rsidP="00222817">
      <w:pPr>
        <w:numPr>
          <w:ilvl w:val="0"/>
          <w:numId w:val="3"/>
        </w:numPr>
      </w:pPr>
      <w:r w:rsidRPr="002E6A1A">
        <w:t>Identify requirements towards second-generation telepresence systems.</w:t>
      </w:r>
    </w:p>
    <w:p w:rsidR="00222817" w:rsidRPr="002E6A1A" w:rsidRDefault="00222817" w:rsidP="00222817">
      <w:pPr>
        <w:numPr>
          <w:ilvl w:val="0"/>
          <w:numId w:val="3"/>
        </w:numPr>
      </w:pPr>
      <w:r w:rsidRPr="002E6A1A">
        <w:lastRenderedPageBreak/>
        <w:t>Consider the role of control systems in telepresence systems.</w:t>
      </w:r>
    </w:p>
    <w:p w:rsidR="00222817" w:rsidRPr="002E6A1A" w:rsidRDefault="00222817" w:rsidP="00222817">
      <w:pPr>
        <w:pStyle w:val="Heading3"/>
        <w:ind w:left="0" w:firstLine="0"/>
        <w:rPr>
          <w:lang w:eastAsia="ko-KR"/>
        </w:rPr>
      </w:pPr>
      <w:r w:rsidRPr="002E6A1A">
        <w:rPr>
          <w:rFonts w:hint="eastAsia"/>
          <w:lang w:eastAsia="ko-KR"/>
        </w:rPr>
        <w:t>4</w:t>
      </w:r>
      <w:r w:rsidRPr="002E6A1A">
        <w:t>.</w:t>
      </w:r>
      <w:r w:rsidRPr="002E6A1A">
        <w:rPr>
          <w:rFonts w:hint="eastAsia"/>
          <w:lang w:eastAsia="ko-KR"/>
        </w:rPr>
        <w:t xml:space="preserve"> Relationships</w:t>
      </w:r>
    </w:p>
    <w:p w:rsidR="00222817" w:rsidRPr="002E6A1A" w:rsidRDefault="00222817" w:rsidP="00222817">
      <w:pPr>
        <w:pStyle w:val="Headingb"/>
      </w:pPr>
      <w:r w:rsidRPr="002E6A1A">
        <w:t>Recommendations:</w:t>
      </w:r>
    </w:p>
    <w:p w:rsidR="00222817" w:rsidRPr="002E6A1A" w:rsidRDefault="00222817" w:rsidP="00222817">
      <w:pPr>
        <w:tabs>
          <w:tab w:val="left" w:pos="2880"/>
        </w:tabs>
        <w:ind w:left="2880" w:hanging="2880"/>
        <w:rPr>
          <w:lang w:eastAsia="ko-KR"/>
        </w:rPr>
      </w:pPr>
      <w:r w:rsidRPr="002E6A1A">
        <w:rPr>
          <w:rFonts w:hint="eastAsia"/>
          <w:lang w:eastAsia="ko-KR"/>
        </w:rPr>
        <w:t>H</w:t>
      </w:r>
      <w:r w:rsidRPr="002E6A1A">
        <w:t>.</w:t>
      </w:r>
      <w:r w:rsidRPr="002E6A1A">
        <w:rPr>
          <w:rFonts w:hint="eastAsia"/>
          <w:lang w:eastAsia="ko-KR"/>
        </w:rPr>
        <w:t xml:space="preserve"> </w:t>
      </w:r>
      <w:r w:rsidRPr="002E6A1A">
        <w:t>series</w:t>
      </w:r>
      <w:r w:rsidRPr="002E6A1A">
        <w:rPr>
          <w:rFonts w:hint="eastAsia"/>
          <w:lang w:eastAsia="ko-KR"/>
        </w:rPr>
        <w:t xml:space="preserve"> and</w:t>
      </w:r>
      <w:r w:rsidRPr="002E6A1A">
        <w:rPr>
          <w:rFonts w:hint="eastAsia"/>
          <w:lang w:eastAsia="ja-JP"/>
        </w:rPr>
        <w:t xml:space="preserve"> </w:t>
      </w:r>
      <w:r w:rsidRPr="002E6A1A">
        <w:rPr>
          <w:rFonts w:hint="eastAsia"/>
          <w:lang w:eastAsia="ko-KR"/>
        </w:rPr>
        <w:t>relevant F/</w:t>
      </w:r>
      <w:r w:rsidRPr="002E6A1A">
        <w:rPr>
          <w:lang w:eastAsia="ko-KR"/>
        </w:rPr>
        <w:t>G/</w:t>
      </w:r>
      <w:r w:rsidRPr="002E6A1A">
        <w:rPr>
          <w:rFonts w:hint="eastAsia"/>
          <w:lang w:eastAsia="ko-KR"/>
        </w:rPr>
        <w:t>T</w:t>
      </w:r>
      <w:r w:rsidRPr="002E6A1A">
        <w:rPr>
          <w:lang w:eastAsia="ko-KR"/>
        </w:rPr>
        <w:t>-</w:t>
      </w:r>
      <w:r w:rsidRPr="002E6A1A">
        <w:rPr>
          <w:rFonts w:hint="eastAsia"/>
          <w:lang w:eastAsia="ko-KR"/>
        </w:rPr>
        <w:t>series</w:t>
      </w:r>
    </w:p>
    <w:p w:rsidR="00222817" w:rsidRPr="002E6A1A" w:rsidRDefault="00222817" w:rsidP="00222817">
      <w:pPr>
        <w:pStyle w:val="Headingb"/>
      </w:pPr>
      <w:r w:rsidRPr="002E6A1A">
        <w:t>Questions:</w:t>
      </w:r>
    </w:p>
    <w:p w:rsidR="00222817" w:rsidRPr="002E6A1A" w:rsidRDefault="00222817" w:rsidP="00222817">
      <w:pPr>
        <w:rPr>
          <w:lang w:eastAsia="ja-JP"/>
        </w:rPr>
      </w:pPr>
      <w:r w:rsidRPr="002E6A1A">
        <w:rPr>
          <w:lang w:eastAsia="ja-JP"/>
        </w:rPr>
        <w:t>Q1/16 (</w:t>
      </w:r>
      <w:r w:rsidRPr="002E6A1A">
        <w:rPr>
          <w:i/>
          <w:iCs/>
          <w:lang w:eastAsia="ja-JP"/>
        </w:rPr>
        <w:t>Multimedia systems and terminals</w:t>
      </w:r>
      <w:r w:rsidRPr="002E6A1A">
        <w:rPr>
          <w:lang w:eastAsia="ja-JP"/>
        </w:rPr>
        <w:t>), Q2/16 (</w:t>
      </w:r>
      <w:r w:rsidRPr="002E6A1A">
        <w:rPr>
          <w:i/>
          <w:iCs/>
          <w:lang w:eastAsia="ja-JP"/>
        </w:rPr>
        <w:t>H.323 systems</w:t>
      </w:r>
      <w:r w:rsidRPr="002E6A1A">
        <w:rPr>
          <w:lang w:eastAsia="ja-JP"/>
        </w:rPr>
        <w:t>), Q3/16 (</w:t>
      </w:r>
      <w:r w:rsidRPr="002E6A1A">
        <w:rPr>
          <w:i/>
          <w:iCs/>
          <w:lang w:eastAsia="ja-JP"/>
        </w:rPr>
        <w:t>Multimedia Gateways</w:t>
      </w:r>
      <w:r w:rsidRPr="002E6A1A">
        <w:rPr>
          <w:lang w:eastAsia="ja-JP"/>
        </w:rPr>
        <w:t>), Q4/16 (</w:t>
      </w:r>
      <w:r w:rsidRPr="002E6A1A">
        <w:rPr>
          <w:i/>
          <w:iCs/>
          <w:lang w:eastAsia="ja-JP"/>
        </w:rPr>
        <w:t>QoS</w:t>
      </w:r>
      <w:r w:rsidRPr="002E6A1A">
        <w:rPr>
          <w:lang w:eastAsia="ja-JP"/>
        </w:rPr>
        <w:t>), Q6/16 (</w:t>
      </w:r>
      <w:r w:rsidRPr="002E6A1A">
        <w:rPr>
          <w:i/>
          <w:lang w:eastAsia="ja-JP"/>
        </w:rPr>
        <w:t>Visual Coding</w:t>
      </w:r>
      <w:r w:rsidRPr="002E6A1A">
        <w:rPr>
          <w:lang w:eastAsia="ja-JP"/>
        </w:rPr>
        <w:t>), Q7/16 (</w:t>
      </w:r>
      <w:r w:rsidRPr="002E6A1A">
        <w:rPr>
          <w:i/>
          <w:lang w:eastAsia="ja-JP"/>
        </w:rPr>
        <w:t>Systems and coordination aspects of media coding</w:t>
      </w:r>
      <w:r w:rsidRPr="002E6A1A">
        <w:rPr>
          <w:lang w:eastAsia="ja-JP"/>
        </w:rPr>
        <w:t>), Q10/16 (</w:t>
      </w:r>
      <w:r w:rsidRPr="002E6A1A">
        <w:rPr>
          <w:i/>
          <w:lang w:eastAsia="ja-JP"/>
        </w:rPr>
        <w:t>Speech and audio coding and related software tools</w:t>
      </w:r>
      <w:r w:rsidRPr="002E6A1A">
        <w:rPr>
          <w:lang w:eastAsia="ja-JP"/>
        </w:rPr>
        <w:t>), Q12/16 (</w:t>
      </w:r>
      <w:r w:rsidRPr="002E6A1A">
        <w:rPr>
          <w:i/>
          <w:iCs/>
          <w:lang w:eastAsia="ja-JP"/>
        </w:rPr>
        <w:t>AMS</w:t>
      </w:r>
      <w:r w:rsidRPr="002E6A1A">
        <w:rPr>
          <w:lang w:eastAsia="ja-JP"/>
        </w:rPr>
        <w:t>), Q13/16 (</w:t>
      </w:r>
      <w:r w:rsidRPr="002E6A1A">
        <w:rPr>
          <w:i/>
          <w:iCs/>
          <w:lang w:eastAsia="ja-JP"/>
        </w:rPr>
        <w:t>IPTV</w:t>
      </w:r>
      <w:r w:rsidRPr="002E6A1A">
        <w:rPr>
          <w:lang w:eastAsia="ja-JP"/>
        </w:rPr>
        <w:t>), Q16/16 (</w:t>
      </w:r>
      <w:r w:rsidRPr="002E6A1A">
        <w:rPr>
          <w:i/>
          <w:lang w:eastAsia="ja-JP"/>
        </w:rPr>
        <w:t>Speech enhancement functions in signal processing network equipment</w:t>
      </w:r>
      <w:r w:rsidRPr="002E6A1A">
        <w:rPr>
          <w:lang w:eastAsia="ja-JP"/>
        </w:rPr>
        <w:t>), Q18/16 (</w:t>
      </w:r>
      <w:r w:rsidRPr="002E6A1A">
        <w:rPr>
          <w:i/>
          <w:lang w:eastAsia="ja-JP"/>
        </w:rPr>
        <w:t>Interaction aspects of signal processing network equipment</w:t>
      </w:r>
      <w:r w:rsidRPr="002E6A1A">
        <w:rPr>
          <w:lang w:eastAsia="ja-JP"/>
        </w:rPr>
        <w:t>), Q22/16 (</w:t>
      </w:r>
      <w:r w:rsidRPr="002E6A1A">
        <w:rPr>
          <w:i/>
          <w:iCs/>
          <w:lang w:eastAsia="ja-JP"/>
        </w:rPr>
        <w:t>Multimedia applications and services</w:t>
      </w:r>
      <w:r w:rsidRPr="002E6A1A">
        <w:rPr>
          <w:lang w:eastAsia="ja-JP"/>
        </w:rPr>
        <w:t>), Q26/16 (</w:t>
      </w:r>
      <w:r w:rsidRPr="002E6A1A">
        <w:rPr>
          <w:i/>
          <w:iCs/>
          <w:lang w:eastAsia="ja-JP"/>
        </w:rPr>
        <w:t>Accessibility to Multimedia Systems and Services</w:t>
      </w:r>
      <w:r w:rsidRPr="002E6A1A">
        <w:rPr>
          <w:lang w:eastAsia="ja-JP"/>
        </w:rPr>
        <w:t>)</w:t>
      </w:r>
    </w:p>
    <w:p w:rsidR="00222817" w:rsidRPr="002E6A1A" w:rsidRDefault="00222817" w:rsidP="00222817">
      <w:pPr>
        <w:pStyle w:val="Headingb"/>
        <w:rPr>
          <w:lang w:eastAsia="ko-KR"/>
        </w:rPr>
      </w:pPr>
      <w:r w:rsidRPr="002E6A1A">
        <w:t>Study Groups:</w:t>
      </w:r>
    </w:p>
    <w:p w:rsidR="00222817" w:rsidRPr="002E6A1A" w:rsidRDefault="00222817" w:rsidP="00222817">
      <w:pPr>
        <w:numPr>
          <w:ilvl w:val="0"/>
          <w:numId w:val="2"/>
        </w:numPr>
      </w:pPr>
      <w:r w:rsidRPr="002E6A1A">
        <w:t>ITU-T Study Groups: 5 (</w:t>
      </w:r>
      <w:r w:rsidRPr="002E6A1A">
        <w:rPr>
          <w:i/>
        </w:rPr>
        <w:t>Environment and Climate Change</w:t>
      </w:r>
      <w:r w:rsidRPr="002E6A1A">
        <w:t>), 9 (</w:t>
      </w:r>
      <w:r w:rsidRPr="002E6A1A">
        <w:rPr>
          <w:i/>
          <w:iCs/>
        </w:rPr>
        <w:t>cable, video quality</w:t>
      </w:r>
      <w:r w:rsidRPr="002E6A1A">
        <w:t>), 11 (</w:t>
      </w:r>
      <w:r w:rsidRPr="002E6A1A">
        <w:rPr>
          <w:i/>
          <w:iCs/>
        </w:rPr>
        <w:t>signalling</w:t>
      </w:r>
      <w:r w:rsidRPr="002E6A1A">
        <w:t>), 12 (</w:t>
      </w:r>
      <w:r w:rsidRPr="002E6A1A">
        <w:rPr>
          <w:i/>
          <w:iCs/>
        </w:rPr>
        <w:t>QoS, QoE, Quality assessment methodologies</w:t>
      </w:r>
      <w:r w:rsidRPr="002E6A1A">
        <w:t>), 13 (</w:t>
      </w:r>
      <w:r w:rsidRPr="002E6A1A">
        <w:rPr>
          <w:i/>
          <w:iCs/>
        </w:rPr>
        <w:t>NGN, future networks</w:t>
      </w:r>
      <w:r w:rsidRPr="002E6A1A">
        <w:t>), 17 (</w:t>
      </w:r>
      <w:r w:rsidRPr="002E6A1A">
        <w:rPr>
          <w:i/>
          <w:iCs/>
        </w:rPr>
        <w:t>Security, languages</w:t>
      </w:r>
      <w:r w:rsidRPr="002E6A1A">
        <w:t>)</w:t>
      </w:r>
    </w:p>
    <w:p w:rsidR="00222817" w:rsidRPr="002E6A1A" w:rsidRDefault="00222817" w:rsidP="00222817">
      <w:pPr>
        <w:numPr>
          <w:ilvl w:val="0"/>
          <w:numId w:val="2"/>
        </w:numPr>
      </w:pPr>
      <w:r w:rsidRPr="002E6A1A">
        <w:t>ITU-R Study Group 6 (</w:t>
      </w:r>
      <w:r w:rsidRPr="002E6A1A">
        <w:rPr>
          <w:i/>
          <w:iCs/>
        </w:rPr>
        <w:t>Broadcasting</w:t>
      </w:r>
      <w:r w:rsidRPr="002E6A1A">
        <w:t>)</w:t>
      </w:r>
    </w:p>
    <w:p w:rsidR="00222817" w:rsidRPr="002E6A1A" w:rsidRDefault="00222817" w:rsidP="00222817">
      <w:pPr>
        <w:numPr>
          <w:ilvl w:val="0"/>
          <w:numId w:val="2"/>
        </w:numPr>
      </w:pPr>
      <w:r w:rsidRPr="002E6A1A">
        <w:t>ITU-D Study Group 2</w:t>
      </w:r>
    </w:p>
    <w:p w:rsidR="00222817" w:rsidRPr="002E6A1A" w:rsidRDefault="00222817" w:rsidP="00222817">
      <w:pPr>
        <w:pStyle w:val="Headingb"/>
        <w:rPr>
          <w:lang w:eastAsia="ko-KR"/>
        </w:rPr>
      </w:pPr>
      <w:r w:rsidRPr="002E6A1A">
        <w:t>Standardization bodies, forums and consortia:</w:t>
      </w:r>
    </w:p>
    <w:p w:rsidR="00222817" w:rsidRPr="002E6A1A" w:rsidRDefault="00222817" w:rsidP="00222817">
      <w:pPr>
        <w:numPr>
          <w:ilvl w:val="0"/>
          <w:numId w:val="1"/>
        </w:numPr>
      </w:pPr>
      <w:r w:rsidRPr="002E6A1A">
        <w:t>ISO/IEC JTC 1/SC 29 "</w:t>
      </w:r>
      <w:r w:rsidRPr="002E6A1A">
        <w:rPr>
          <w:i/>
          <w:iCs/>
        </w:rPr>
        <w:t>Coding of audio, picture, multimedia and hypermedia information</w:t>
      </w:r>
      <w:r w:rsidRPr="002E6A1A">
        <w:t>"</w:t>
      </w:r>
    </w:p>
    <w:p w:rsidR="00222817" w:rsidRPr="002E6A1A" w:rsidRDefault="00222817" w:rsidP="00222817">
      <w:pPr>
        <w:numPr>
          <w:ilvl w:val="0"/>
          <w:numId w:val="1"/>
        </w:numPr>
      </w:pPr>
      <w:r w:rsidRPr="002E6A1A">
        <w:t>International Multimedia Teleconferencing Consortium (IMTC) for interoperability aspects and enhancements to existing Recommendations</w:t>
      </w:r>
    </w:p>
    <w:p w:rsidR="00222817" w:rsidRPr="002E6A1A" w:rsidRDefault="00222817" w:rsidP="00222817">
      <w:pPr>
        <w:numPr>
          <w:ilvl w:val="0"/>
          <w:numId w:val="1"/>
        </w:numPr>
      </w:pPr>
      <w:r w:rsidRPr="002E6A1A">
        <w:t>IETF Real-time Applications and Infrastructure (RAI) for IETF-defined protocols</w:t>
      </w:r>
    </w:p>
    <w:p w:rsidR="00222817" w:rsidRPr="002E6A1A" w:rsidRDefault="00222817" w:rsidP="00222817">
      <w:pPr>
        <w:numPr>
          <w:ilvl w:val="0"/>
          <w:numId w:val="1"/>
        </w:numPr>
      </w:pPr>
      <w:r w:rsidRPr="002E6A1A">
        <w:t>Unified Communications Interoperability Forum (UCIF) for interoperability aspects between enterprises, service providers, and consumer clouds.</w:t>
      </w:r>
    </w:p>
    <w:p w:rsidR="00222817" w:rsidRPr="002E6A1A" w:rsidRDefault="00222817" w:rsidP="00222817"/>
    <w:p w:rsidR="007E4B09" w:rsidRDefault="00222817" w:rsidP="00222817">
      <w:pPr>
        <w:jc w:val="center"/>
      </w:pPr>
      <w:r w:rsidRPr="002E6A1A">
        <w:t>_________________</w:t>
      </w:r>
    </w:p>
    <w:sectPr w:rsidR="007E4B09" w:rsidSect="00222817">
      <w:headerReference w:type="default" r:id="rId8"/>
      <w:footerReference w:type="first" r:id="rId9"/>
      <w:pgSz w:w="11906" w:h="16838"/>
      <w:pgMar w:top="1417" w:right="1134" w:bottom="1417" w:left="113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0CD" w:rsidRDefault="004210CD" w:rsidP="00222817">
      <w:pPr>
        <w:spacing w:before="0"/>
      </w:pPr>
      <w:r>
        <w:separator/>
      </w:r>
    </w:p>
  </w:endnote>
  <w:endnote w:type="continuationSeparator" w:id="0">
    <w:p w:rsidR="004210CD" w:rsidRDefault="004210CD" w:rsidP="00222817">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jc w:val="center"/>
      <w:tblLayout w:type="fixed"/>
      <w:tblLook w:val="0000"/>
    </w:tblPr>
    <w:tblGrid>
      <w:gridCol w:w="9923"/>
    </w:tblGrid>
    <w:tr w:rsidR="00222817" w:rsidRPr="00222817">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222817" w:rsidRPr="00222817" w:rsidRDefault="00222817" w:rsidP="00222817">
          <w:pPr>
            <w:spacing w:before="0"/>
            <w:rPr>
              <w:sz w:val="18"/>
            </w:rPr>
          </w:pPr>
          <w:r w:rsidRPr="00222817">
            <w:rPr>
              <w:b/>
              <w:bCs/>
              <w:sz w:val="18"/>
            </w:rPr>
            <w:t>Attention:</w:t>
          </w:r>
          <w:r w:rsidRPr="00222817">
            <w:rPr>
              <w:sz w:val="18"/>
            </w:rPr>
            <w:t xml:space="preserve"> Some or all of the material attached to this liaison statement may be subject to ITU copyright. In such a case this will be indicated in the individual document. </w:t>
          </w:r>
        </w:p>
        <w:p w:rsidR="00222817" w:rsidRPr="00222817" w:rsidRDefault="00222817" w:rsidP="00222817">
          <w:pPr>
            <w:spacing w:before="0"/>
            <w:rPr>
              <w:sz w:val="18"/>
            </w:rPr>
          </w:pPr>
          <w:r w:rsidRPr="00222817">
            <w:rPr>
              <w:sz w:val="18"/>
            </w:rPr>
            <w:t>Such a copyright does not prevent the use of the material for its intended purpose, but it prevents the reproduction of all or part of it in a publication without the authorization of ITU.</w:t>
          </w:r>
        </w:p>
      </w:tc>
    </w:tr>
  </w:tbl>
  <w:p w:rsidR="00222817" w:rsidRPr="00222817" w:rsidRDefault="00222817" w:rsidP="00222817">
    <w:pPr>
      <w:spacing w:before="0"/>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0CD" w:rsidRDefault="004210CD" w:rsidP="00222817">
      <w:pPr>
        <w:spacing w:before="0"/>
      </w:pPr>
      <w:r>
        <w:separator/>
      </w:r>
    </w:p>
  </w:footnote>
  <w:footnote w:type="continuationSeparator" w:id="0">
    <w:p w:rsidR="004210CD" w:rsidRDefault="004210CD" w:rsidP="00222817">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817" w:rsidRPr="00222817" w:rsidRDefault="00222817" w:rsidP="001D55D5">
    <w:pPr>
      <w:pStyle w:val="Header"/>
      <w:jc w:val="center"/>
      <w:rPr>
        <w:sz w:val="18"/>
      </w:rPr>
    </w:pPr>
    <w:r w:rsidRPr="00222817">
      <w:rPr>
        <w:sz w:val="18"/>
      </w:rPr>
      <w:t xml:space="preserve">- </w:t>
    </w:r>
    <w:r w:rsidR="004A2AEF" w:rsidRPr="00222817">
      <w:rPr>
        <w:sz w:val="18"/>
      </w:rPr>
      <w:fldChar w:fldCharType="begin"/>
    </w:r>
    <w:r w:rsidRPr="00222817">
      <w:rPr>
        <w:sz w:val="18"/>
      </w:rPr>
      <w:instrText xml:space="preserve"> PAGE  \* MERGEFORMAT </w:instrText>
    </w:r>
    <w:r w:rsidR="004A2AEF" w:rsidRPr="00222817">
      <w:rPr>
        <w:sz w:val="18"/>
      </w:rPr>
      <w:fldChar w:fldCharType="separate"/>
    </w:r>
    <w:r w:rsidR="001D55D5">
      <w:rPr>
        <w:noProof/>
        <w:sz w:val="18"/>
      </w:rPr>
      <w:t>3</w:t>
    </w:r>
    <w:r w:rsidR="004A2AEF" w:rsidRPr="00222817">
      <w:rPr>
        <w:sz w:val="18"/>
      </w:rPr>
      <w:fldChar w:fldCharType="end"/>
    </w:r>
    <w:r w:rsidRPr="00222817">
      <w:rPr>
        <w:sz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74C5A"/>
    <w:multiLevelType w:val="hybridMultilevel"/>
    <w:tmpl w:val="9A2E3C62"/>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C8218AF"/>
    <w:multiLevelType w:val="hybridMultilevel"/>
    <w:tmpl w:val="70DE9698"/>
    <w:lvl w:ilvl="0" w:tplc="753E41C8">
      <w:start w:val="158"/>
      <w:numFmt w:val="decimal"/>
      <w:lvlText w:val="COM16-LS-%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3F69D1"/>
    <w:multiLevelType w:val="hybridMultilevel"/>
    <w:tmpl w:val="73643BC0"/>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DB01C74"/>
    <w:multiLevelType w:val="hybridMultilevel"/>
    <w:tmpl w:val="872AE140"/>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41E95597"/>
    <w:multiLevelType w:val="hybridMultilevel"/>
    <w:tmpl w:val="80280438"/>
    <w:lvl w:ilvl="0" w:tplc="00CCF5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1"/>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222817"/>
    <w:rsid w:val="001D55D5"/>
    <w:rsid w:val="00222817"/>
    <w:rsid w:val="004210CD"/>
    <w:rsid w:val="004A2AEF"/>
    <w:rsid w:val="007E4B09"/>
    <w:rsid w:val="008958C9"/>
    <w:rsid w:val="00CF233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817"/>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paragraph" w:styleId="Heading1">
    <w:name w:val="heading 1"/>
    <w:basedOn w:val="Normal"/>
    <w:next w:val="Normal"/>
    <w:link w:val="Heading1Char"/>
    <w:uiPriority w:val="9"/>
    <w:qFormat/>
    <w:rsid w:val="002228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aliases w:val="H3,H31,subsection,h 3,h3,3rd level,heading 3,l3,3,heading 3 + Indent: Left 0.25 in,le3"/>
    <w:basedOn w:val="Heading1"/>
    <w:next w:val="Normal"/>
    <w:link w:val="Heading3Char"/>
    <w:qFormat/>
    <w:rsid w:val="00222817"/>
    <w:pPr>
      <w:spacing w:before="160"/>
      <w:ind w:left="794" w:hanging="794"/>
      <w:outlineLvl w:val="2"/>
    </w:pPr>
    <w:rPr>
      <w:rFonts w:ascii="Times New Roman" w:eastAsia="Times New Roman" w:hAnsi="Times New Roman" w:cs="Times New Roman"/>
      <w:bCs w:val="0"/>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H31 Char,subsection Char,h 3 Char,h3 Char,3rd level Char,heading 3 Char,l3 Char,3 Char,heading 3 + Indent: Left 0.25 in Char,le3 Char"/>
    <w:basedOn w:val="DefaultParagraphFont"/>
    <w:link w:val="Heading3"/>
    <w:rsid w:val="00222817"/>
    <w:rPr>
      <w:rFonts w:ascii="Times New Roman" w:eastAsia="Times New Roman" w:hAnsi="Times New Roman" w:cs="Times New Roman"/>
      <w:b/>
      <w:sz w:val="24"/>
      <w:szCs w:val="20"/>
      <w:lang w:val="en-GB" w:eastAsia="en-US"/>
    </w:rPr>
  </w:style>
  <w:style w:type="paragraph" w:customStyle="1" w:styleId="AnnexNotitle">
    <w:name w:val="Annex_No &amp; title"/>
    <w:basedOn w:val="Normal"/>
    <w:next w:val="Normal"/>
    <w:rsid w:val="00222817"/>
    <w:pPr>
      <w:keepNext/>
      <w:keepLines/>
      <w:spacing w:before="480"/>
      <w:jc w:val="center"/>
    </w:pPr>
    <w:rPr>
      <w:b/>
      <w:sz w:val="28"/>
    </w:rPr>
  </w:style>
  <w:style w:type="paragraph" w:customStyle="1" w:styleId="Headingb">
    <w:name w:val="Heading_b"/>
    <w:basedOn w:val="Normal"/>
    <w:next w:val="Normal"/>
    <w:rsid w:val="00222817"/>
    <w:pPr>
      <w:keepNext/>
      <w:spacing w:before="160"/>
    </w:pPr>
    <w:rPr>
      <w:b/>
    </w:rPr>
  </w:style>
  <w:style w:type="paragraph" w:customStyle="1" w:styleId="LSTitle">
    <w:name w:val="LSTitle"/>
    <w:basedOn w:val="Normal"/>
    <w:link w:val="LSTitleChar"/>
    <w:rsid w:val="00222817"/>
    <w:rPr>
      <w:b/>
      <w:bCs/>
    </w:rPr>
  </w:style>
  <w:style w:type="paragraph" w:customStyle="1" w:styleId="LSSource">
    <w:name w:val="LSSource"/>
    <w:basedOn w:val="Normal"/>
    <w:rsid w:val="00222817"/>
    <w:rPr>
      <w:b/>
      <w:bCs/>
    </w:rPr>
  </w:style>
  <w:style w:type="paragraph" w:customStyle="1" w:styleId="LSDeadline">
    <w:name w:val="LSDeadline"/>
    <w:basedOn w:val="Normal"/>
    <w:rsid w:val="00222817"/>
    <w:rPr>
      <w:b/>
      <w:bCs/>
    </w:rPr>
  </w:style>
  <w:style w:type="character" w:styleId="Hyperlink">
    <w:name w:val="Hyperlink"/>
    <w:basedOn w:val="DefaultParagraphFont"/>
    <w:uiPriority w:val="99"/>
    <w:rsid w:val="00222817"/>
    <w:rPr>
      <w:color w:val="0000FF"/>
      <w:u w:val="single"/>
    </w:rPr>
  </w:style>
  <w:style w:type="character" w:customStyle="1" w:styleId="LSTitleChar">
    <w:name w:val="LSTitle Char"/>
    <w:basedOn w:val="DefaultParagraphFont"/>
    <w:link w:val="LSTitle"/>
    <w:rsid w:val="00222817"/>
    <w:rPr>
      <w:rFonts w:ascii="Times New Roman" w:eastAsia="Times New Roman" w:hAnsi="Times New Roman" w:cs="Times New Roman"/>
      <w:b/>
      <w:bCs/>
      <w:sz w:val="24"/>
      <w:szCs w:val="20"/>
      <w:lang w:val="en-GB" w:eastAsia="en-US"/>
    </w:rPr>
  </w:style>
  <w:style w:type="paragraph" w:customStyle="1" w:styleId="LSForAction">
    <w:name w:val="LSForAction"/>
    <w:basedOn w:val="Normal"/>
    <w:rsid w:val="00222817"/>
    <w:rPr>
      <w:b/>
      <w:bCs/>
    </w:rPr>
  </w:style>
  <w:style w:type="paragraph" w:customStyle="1" w:styleId="LSForInfo">
    <w:name w:val="LSForInfo"/>
    <w:basedOn w:val="LSForAction"/>
    <w:rsid w:val="00222817"/>
  </w:style>
  <w:style w:type="paragraph" w:customStyle="1" w:styleId="LSForComment">
    <w:name w:val="LSForComment"/>
    <w:basedOn w:val="LSForAction"/>
    <w:rsid w:val="00222817"/>
  </w:style>
  <w:style w:type="character" w:customStyle="1" w:styleId="Heading1Char">
    <w:name w:val="Heading 1 Char"/>
    <w:basedOn w:val="DefaultParagraphFont"/>
    <w:link w:val="Heading1"/>
    <w:uiPriority w:val="9"/>
    <w:rsid w:val="00222817"/>
    <w:rPr>
      <w:rFonts w:asciiTheme="majorHAnsi" w:eastAsiaTheme="majorEastAsia" w:hAnsiTheme="majorHAnsi" w:cstheme="majorBidi"/>
      <w:b/>
      <w:bCs/>
      <w:color w:val="365F91" w:themeColor="accent1" w:themeShade="BF"/>
      <w:sz w:val="28"/>
      <w:szCs w:val="28"/>
      <w:lang w:val="en-GB" w:eastAsia="en-US"/>
    </w:rPr>
  </w:style>
  <w:style w:type="paragraph" w:styleId="Header">
    <w:name w:val="header"/>
    <w:basedOn w:val="Normal"/>
    <w:link w:val="HeaderChar"/>
    <w:uiPriority w:val="99"/>
    <w:semiHidden/>
    <w:unhideWhenUsed/>
    <w:rsid w:val="00222817"/>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semiHidden/>
    <w:rsid w:val="00222817"/>
    <w:rPr>
      <w:rFonts w:ascii="Times New Roman" w:eastAsia="Times New Roman" w:hAnsi="Times New Roman" w:cs="Times New Roman"/>
      <w:sz w:val="24"/>
      <w:szCs w:val="20"/>
      <w:lang w:val="en-GB" w:eastAsia="en-US"/>
    </w:rPr>
  </w:style>
  <w:style w:type="paragraph" w:styleId="Footer">
    <w:name w:val="footer"/>
    <w:basedOn w:val="Normal"/>
    <w:link w:val="FooterChar"/>
    <w:uiPriority w:val="99"/>
    <w:unhideWhenUsed/>
    <w:rsid w:val="00222817"/>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222817"/>
    <w:rPr>
      <w:rFonts w:ascii="Times New Roman" w:eastAsia="Times New Roman" w:hAnsi="Times New Roman" w:cs="Times New Roman"/>
      <w:sz w:val="24"/>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ephen.Botzko@polyc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881</Words>
  <Characters>5024</Characters>
  <Application>Microsoft Office Word</Application>
  <DocSecurity>0</DocSecurity>
  <Lines>41</Lines>
  <Paragraphs>11</Paragraphs>
  <ScaleCrop>false</ScaleCrop>
  <Manager>ITU-T</Manager>
  <Company>International Telecommunication Union (ITU)</Company>
  <LinksUpToDate>false</LinksUpToDate>
  <CharactersWithSpaces>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to All ITU-T SGs, TSAG, ITU-R SG 6, ITU-D SG2, IETF RAI, ISO/IEC JTC 1/SC 29, IMTC, JCA-ICT&amp;CC, JCA-AHF on approval of a new Question on telepresence systems</dc:title>
  <dc:subject/>
  <dc:creator>Rapporteur Q5/16</dc:creator>
  <cp:keywords>5/16</cp:keywords>
  <dc:description>COM 16 – LS 159 – E  For: Geneva, 14 - 25 March 2011_x000d_Document date: _x000d_Saved by RA-106969 at 12:17:55 on 04.08.2010</dc:description>
  <cp:lastModifiedBy>Hiroshi OTA</cp:lastModifiedBy>
  <cp:revision>3</cp:revision>
  <dcterms:created xsi:type="dcterms:W3CDTF">2010-08-04T10:17:00Z</dcterms:created>
  <dcterms:modified xsi:type="dcterms:W3CDTF">2010-09-03T09:39:00Z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16 – LS 159 – E</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5/16</vt:lpwstr>
  </property>
  <property fmtid="{D5CDD505-2E9C-101B-9397-08002B2CF9AE}" pid="6" name="Docdest">
    <vt:lpwstr>Geneva, 14 - 25 March 2011</vt:lpwstr>
  </property>
  <property fmtid="{D5CDD505-2E9C-101B-9397-08002B2CF9AE}" pid="7" name="Docauthor">
    <vt:lpwstr>Rapporteur Q5/16</vt:lpwstr>
  </property>
</Properties>
</file>