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Ind w:w="-85" w:type="dxa"/>
        <w:tblLayout w:type="fixed"/>
        <w:tblCellMar>
          <w:left w:w="57" w:type="dxa"/>
          <w:right w:w="57" w:type="dxa"/>
        </w:tblCellMar>
        <w:tblLook w:val="0000" w:firstRow="0" w:lastRow="0" w:firstColumn="0" w:lastColumn="0" w:noHBand="0" w:noVBand="0"/>
      </w:tblPr>
      <w:tblGrid>
        <w:gridCol w:w="1702"/>
        <w:gridCol w:w="3240"/>
        <w:gridCol w:w="5066"/>
      </w:tblGrid>
      <w:tr w:rsidR="00C4707E" w:rsidRPr="005F03C0" w:rsidTr="00C02056">
        <w:trPr>
          <w:cantSplit/>
        </w:trPr>
        <w:tc>
          <w:tcPr>
            <w:tcW w:w="4942" w:type="dxa"/>
            <w:gridSpan w:val="2"/>
          </w:tcPr>
          <w:p w:rsidR="00C4707E" w:rsidRPr="005F03C0" w:rsidRDefault="00C4707E" w:rsidP="00C02056">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C4707E" w:rsidRPr="005F03C0" w:rsidRDefault="00C4707E" w:rsidP="00C02056">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C4707E" w:rsidRPr="005F03C0" w:rsidRDefault="00C4707E" w:rsidP="00C02056">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C4707E" w:rsidRPr="005F03C0" w:rsidTr="00C02056">
        <w:trPr>
          <w:cantSplit/>
          <w:trHeight w:val="461"/>
        </w:trPr>
        <w:tc>
          <w:tcPr>
            <w:tcW w:w="4942" w:type="dxa"/>
            <w:gridSpan w:val="2"/>
            <w:vMerge w:val="restart"/>
            <w:tcBorders>
              <w:bottom w:val="nil"/>
            </w:tcBorders>
          </w:tcPr>
          <w:p w:rsidR="00C4707E" w:rsidRPr="005F03C0" w:rsidRDefault="00C4707E" w:rsidP="00C02056">
            <w:pPr>
              <w:rPr>
                <w:rFonts w:asciiTheme="majorBidi" w:hAnsiTheme="majorBidi" w:cstheme="majorBidi"/>
                <w:smallCaps/>
                <w:sz w:val="20"/>
              </w:rPr>
            </w:pPr>
          </w:p>
        </w:tc>
        <w:tc>
          <w:tcPr>
            <w:tcW w:w="5066" w:type="dxa"/>
            <w:tcBorders>
              <w:bottom w:val="nil"/>
            </w:tcBorders>
          </w:tcPr>
          <w:p w:rsidR="00C4707E" w:rsidRPr="005F03C0" w:rsidRDefault="00C4707E" w:rsidP="00C4707E">
            <w:pPr>
              <w:jc w:val="right"/>
              <w:rPr>
                <w:rFonts w:asciiTheme="majorBidi" w:hAnsiTheme="majorBidi" w:cstheme="majorBidi"/>
                <w:b/>
                <w:bCs w:val="0"/>
                <w:sz w:val="40"/>
              </w:rPr>
            </w:pPr>
            <w:r w:rsidRPr="005F03C0">
              <w:rPr>
                <w:rFonts w:asciiTheme="majorBidi" w:hAnsiTheme="majorBidi" w:cstheme="majorBidi"/>
                <w:b/>
                <w:sz w:val="40"/>
              </w:rPr>
              <w:t>Doc. 1</w:t>
            </w:r>
            <w:r>
              <w:rPr>
                <w:rFonts w:asciiTheme="majorBidi" w:hAnsiTheme="majorBidi" w:cstheme="majorBidi"/>
                <w:b/>
                <w:sz w:val="40"/>
              </w:rPr>
              <w:t>41</w:t>
            </w:r>
          </w:p>
        </w:tc>
      </w:tr>
      <w:tr w:rsidR="00C4707E" w:rsidRPr="005F03C0" w:rsidTr="00C02056">
        <w:trPr>
          <w:cantSplit/>
          <w:trHeight w:val="355"/>
        </w:trPr>
        <w:tc>
          <w:tcPr>
            <w:tcW w:w="4942" w:type="dxa"/>
            <w:gridSpan w:val="2"/>
            <w:vMerge/>
            <w:tcBorders>
              <w:bottom w:val="single" w:sz="12" w:space="0" w:color="auto"/>
            </w:tcBorders>
          </w:tcPr>
          <w:p w:rsidR="00C4707E" w:rsidRPr="005F03C0" w:rsidRDefault="00C4707E" w:rsidP="00C02056">
            <w:pPr>
              <w:rPr>
                <w:rFonts w:asciiTheme="majorBidi" w:hAnsiTheme="majorBidi" w:cstheme="majorBidi"/>
                <w:b/>
                <w:bCs w:val="0"/>
                <w:sz w:val="26"/>
              </w:rPr>
            </w:pPr>
          </w:p>
        </w:tc>
        <w:tc>
          <w:tcPr>
            <w:tcW w:w="5066" w:type="dxa"/>
            <w:tcBorders>
              <w:bottom w:val="single" w:sz="12" w:space="0" w:color="auto"/>
            </w:tcBorders>
          </w:tcPr>
          <w:p w:rsidR="00C4707E" w:rsidRPr="005F03C0" w:rsidRDefault="00C4707E" w:rsidP="00C02056">
            <w:pPr>
              <w:jc w:val="right"/>
              <w:rPr>
                <w:rFonts w:asciiTheme="majorBidi" w:hAnsiTheme="majorBidi" w:cstheme="majorBidi"/>
                <w:b/>
                <w:bCs w:val="0"/>
                <w:sz w:val="28"/>
              </w:rPr>
            </w:pPr>
            <w:r w:rsidRPr="005F03C0">
              <w:rPr>
                <w:rFonts w:asciiTheme="majorBidi" w:hAnsiTheme="majorBidi" w:cstheme="majorBidi"/>
                <w:b/>
                <w:sz w:val="28"/>
              </w:rPr>
              <w:t>English only</w:t>
            </w:r>
          </w:p>
          <w:p w:rsidR="00C4707E" w:rsidRPr="005F03C0" w:rsidRDefault="00C4707E" w:rsidP="00C02056">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C4707E" w:rsidRPr="005F03C0" w:rsidTr="00C02056">
        <w:trPr>
          <w:cantSplit/>
          <w:trHeight w:val="357"/>
        </w:trPr>
        <w:tc>
          <w:tcPr>
            <w:tcW w:w="1702" w:type="dxa"/>
          </w:tcPr>
          <w:p w:rsidR="00C4707E" w:rsidRPr="005F03C0" w:rsidRDefault="00C4707E" w:rsidP="00C02056">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C4707E" w:rsidRPr="005F03C0" w:rsidRDefault="00C4707E" w:rsidP="00C02056">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C4707E" w:rsidRPr="005F03C0" w:rsidTr="00C02056">
        <w:trPr>
          <w:cantSplit/>
          <w:trHeight w:val="357"/>
        </w:trPr>
        <w:tc>
          <w:tcPr>
            <w:tcW w:w="1702" w:type="dxa"/>
            <w:tcBorders>
              <w:bottom w:val="single" w:sz="12" w:space="0" w:color="auto"/>
            </w:tcBorders>
          </w:tcPr>
          <w:p w:rsidR="00C4707E" w:rsidRPr="00C503EB" w:rsidRDefault="00C4707E" w:rsidP="00C02056">
            <w:pPr>
              <w:rPr>
                <w:rFonts w:asciiTheme="majorBidi" w:hAnsiTheme="majorBidi" w:cstheme="majorBidi"/>
                <w:b/>
                <w:bCs w:val="0"/>
                <w:sz w:val="24"/>
                <w:szCs w:val="24"/>
              </w:rPr>
            </w:pPr>
            <w:r w:rsidRPr="00C503EB">
              <w:rPr>
                <w:rFonts w:asciiTheme="majorBidi" w:hAnsiTheme="majorBidi" w:cstheme="majorBidi"/>
                <w:b/>
                <w:bCs w:val="0"/>
                <w:sz w:val="24"/>
                <w:szCs w:val="24"/>
              </w:rPr>
              <w:t>Title:</w:t>
            </w:r>
          </w:p>
        </w:tc>
        <w:tc>
          <w:tcPr>
            <w:tcW w:w="8306" w:type="dxa"/>
            <w:gridSpan w:val="2"/>
            <w:tcBorders>
              <w:bottom w:val="single" w:sz="12" w:space="0" w:color="auto"/>
            </w:tcBorders>
          </w:tcPr>
          <w:p w:rsidR="00C4707E" w:rsidRPr="00C503EB" w:rsidRDefault="00C4707E" w:rsidP="00C4707E">
            <w:pPr>
              <w:rPr>
                <w:rFonts w:asciiTheme="majorBidi" w:hAnsiTheme="majorBidi" w:cstheme="majorBidi"/>
                <w:sz w:val="24"/>
                <w:szCs w:val="24"/>
              </w:rPr>
            </w:pPr>
            <w:r w:rsidRPr="00C4707E">
              <w:rPr>
                <w:rFonts w:asciiTheme="majorBidi" w:hAnsiTheme="majorBidi" w:cstheme="majorBidi"/>
                <w:sz w:val="24"/>
                <w:szCs w:val="24"/>
              </w:rPr>
              <w:t>Contribution to revise text relating to United States of America as contained in the draft report on National Legal and Policy Frameworks to Promote ICT Access by Persons with Disabilities</w:t>
            </w:r>
            <w:r>
              <w:rPr>
                <w:rFonts w:asciiTheme="majorBidi" w:hAnsiTheme="majorBidi" w:cstheme="majorBidi"/>
                <w:sz w:val="24"/>
                <w:szCs w:val="24"/>
              </w:rPr>
              <w:t xml:space="preserve"> </w:t>
            </w:r>
            <w:r>
              <w:rPr>
                <w:rFonts w:asciiTheme="majorBidi" w:hAnsiTheme="majorBidi" w:cstheme="majorBidi"/>
                <w:sz w:val="24"/>
                <w:szCs w:val="24"/>
              </w:rPr>
              <w:t xml:space="preserve">(document submitted by </w:t>
            </w:r>
            <w:r>
              <w:rPr>
                <w:rFonts w:asciiTheme="majorBidi" w:hAnsiTheme="majorBidi" w:cstheme="majorBidi"/>
                <w:sz w:val="24"/>
                <w:szCs w:val="24"/>
              </w:rPr>
              <w:t xml:space="preserve">United States of America </w:t>
            </w:r>
            <w:r>
              <w:rPr>
                <w:rFonts w:asciiTheme="majorBidi" w:hAnsiTheme="majorBidi" w:cstheme="majorBidi"/>
                <w:sz w:val="24"/>
                <w:szCs w:val="24"/>
              </w:rPr>
              <w:t xml:space="preserve">to the Q.20/1, </w:t>
            </w:r>
            <w:r w:rsidRPr="005F03C0">
              <w:rPr>
                <w:rFonts w:asciiTheme="majorBidi" w:hAnsiTheme="majorBidi" w:cstheme="majorBidi"/>
                <w:sz w:val="24"/>
                <w:szCs w:val="24"/>
              </w:rPr>
              <w:t xml:space="preserve">Second Meeting of ITU-D Study Group 1 Geneva, 5-9 September 2011) </w:t>
            </w:r>
          </w:p>
        </w:tc>
      </w:tr>
    </w:tbl>
    <w:p w:rsidR="00C4707E" w:rsidRPr="005F03C0" w:rsidRDefault="00C4707E" w:rsidP="00C4707E">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C4707E" w:rsidRDefault="00C4707E">
      <w:pPr>
        <w:rPr>
          <w:b/>
          <w:bCs w:val="0"/>
        </w:rPr>
      </w:pPr>
    </w:p>
    <w:p w:rsidR="00C4707E" w:rsidRDefault="00C4707E">
      <w:pPr>
        <w:spacing w:before="0" w:after="0"/>
        <w:rPr>
          <w:b/>
          <w:bCs w:val="0"/>
        </w:rPr>
      </w:pPr>
      <w:r>
        <w:rPr>
          <w:b/>
          <w:bCs w:val="0"/>
        </w:rPr>
        <w:br w:type="page"/>
      </w:r>
    </w:p>
    <w:p w:rsidR="00C4707E" w:rsidRDefault="00C4707E"/>
    <w:tbl>
      <w:tblPr>
        <w:tblW w:w="5000" w:type="pct"/>
        <w:jc w:val="center"/>
        <w:tblLayout w:type="fixed"/>
        <w:tblLook w:val="0000" w:firstRow="0" w:lastRow="0" w:firstColumn="0" w:lastColumn="0" w:noHBand="0" w:noVBand="0"/>
      </w:tblPr>
      <w:tblGrid>
        <w:gridCol w:w="2093"/>
        <w:gridCol w:w="4961"/>
        <w:gridCol w:w="3369"/>
      </w:tblGrid>
      <w:tr w:rsidR="005363F4" w:rsidRPr="009D4B99">
        <w:trPr>
          <w:cantSplit/>
          <w:jc w:val="center"/>
        </w:trPr>
        <w:tc>
          <w:tcPr>
            <w:tcW w:w="7054" w:type="dxa"/>
            <w:gridSpan w:val="2"/>
          </w:tcPr>
          <w:p w:rsidR="005363F4" w:rsidRPr="009D4B99" w:rsidRDefault="005363F4">
            <w:pPr>
              <w:pStyle w:val="CEOSectorName"/>
              <w:rPr>
                <w:lang w:val="en-US"/>
              </w:rPr>
            </w:pPr>
            <w:r w:rsidRPr="009D4B99">
              <w:rPr>
                <w:lang w:val="en-US"/>
              </w:rPr>
              <w:t>Telecommunication</w:t>
            </w:r>
            <w:r w:rsidRPr="009D4B99">
              <w:rPr>
                <w:lang w:val="en-US"/>
              </w:rPr>
              <w:br/>
              <w:t>Development Sector</w:t>
            </w:r>
          </w:p>
          <w:p w:rsidR="005363F4" w:rsidRPr="009D4B99" w:rsidRDefault="005363F4">
            <w:pPr>
              <w:pStyle w:val="CEOMeetingName"/>
              <w:rPr>
                <w:lang w:val="en-US"/>
              </w:rPr>
            </w:pPr>
            <w:r w:rsidRPr="009D4B99">
              <w:rPr>
                <w:lang w:val="en-US"/>
              </w:rPr>
              <w:t>Study Groups</w:t>
            </w:r>
          </w:p>
        </w:tc>
        <w:tc>
          <w:tcPr>
            <w:tcW w:w="3369" w:type="dxa"/>
          </w:tcPr>
          <w:p w:rsidR="005363F4" w:rsidRPr="009D4B99" w:rsidRDefault="002E67B3">
            <w:pPr>
              <w:pStyle w:val="CEOLogo"/>
              <w:rPr>
                <w:lang w:val="en-US"/>
              </w:rPr>
            </w:pPr>
            <w:r>
              <w:rPr>
                <w:noProof/>
                <w:lang w:val="en-US" w:eastAsia="zh-CN"/>
              </w:rPr>
              <w:drawing>
                <wp:inline distT="0" distB="0" distL="0" distR="0" wp14:anchorId="51F3F8CA" wp14:editId="179C2C36">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9D4B99" w:rsidTr="00951891">
        <w:trPr>
          <w:cantSplit/>
          <w:jc w:val="center"/>
        </w:trPr>
        <w:tc>
          <w:tcPr>
            <w:tcW w:w="7054" w:type="dxa"/>
            <w:gridSpan w:val="2"/>
            <w:vAlign w:val="bottom"/>
          </w:tcPr>
          <w:p w:rsidR="005363F4" w:rsidRPr="009D4B99" w:rsidRDefault="002E67B3">
            <w:pPr>
              <w:pStyle w:val="CEOMeetingName"/>
              <w:rPr>
                <w:lang w:val="en-US"/>
              </w:rPr>
            </w:pPr>
            <w:bookmarkStart w:id="0" w:name="Meeting"/>
            <w:bookmarkEnd w:id="0"/>
            <w:r>
              <w:rPr>
                <w:lang w:val="en-US"/>
              </w:rPr>
              <w:t>Second Meeting of ITU-D Study Group 1</w:t>
            </w:r>
          </w:p>
        </w:tc>
        <w:tc>
          <w:tcPr>
            <w:tcW w:w="3369" w:type="dxa"/>
          </w:tcPr>
          <w:p w:rsidR="005363F4" w:rsidRPr="009D4B99" w:rsidRDefault="005363F4">
            <w:pPr>
              <w:pStyle w:val="CEONormal"/>
              <w:rPr>
                <w:lang w:val="en-US"/>
              </w:rPr>
            </w:pPr>
          </w:p>
        </w:tc>
      </w:tr>
      <w:tr w:rsidR="005363F4" w:rsidRPr="009D4B99">
        <w:trPr>
          <w:cantSplit/>
          <w:jc w:val="center"/>
        </w:trPr>
        <w:tc>
          <w:tcPr>
            <w:tcW w:w="7054" w:type="dxa"/>
            <w:gridSpan w:val="2"/>
            <w:tcBorders>
              <w:bottom w:val="single" w:sz="12" w:space="0" w:color="auto"/>
            </w:tcBorders>
          </w:tcPr>
          <w:p w:rsidR="005363F4" w:rsidRPr="009D4B99" w:rsidRDefault="002E67B3">
            <w:pPr>
              <w:pStyle w:val="CEOMeetingDates"/>
              <w:rPr>
                <w:lang w:val="en-US"/>
              </w:rPr>
            </w:pPr>
            <w:bookmarkStart w:id="1" w:name="PlaceDate"/>
            <w:bookmarkEnd w:id="1"/>
            <w:r>
              <w:rPr>
                <w:lang w:val="en-US"/>
              </w:rPr>
              <w:t>Geneva, 5-9 September 2011</w:t>
            </w:r>
          </w:p>
        </w:tc>
        <w:tc>
          <w:tcPr>
            <w:tcW w:w="3369" w:type="dxa"/>
            <w:tcBorders>
              <w:bottom w:val="single" w:sz="12" w:space="0" w:color="auto"/>
            </w:tcBorders>
          </w:tcPr>
          <w:p w:rsidR="005363F4" w:rsidRPr="009D4B99" w:rsidRDefault="005363F4">
            <w:pPr>
              <w:pStyle w:val="CEONormal"/>
              <w:rPr>
                <w:lang w:val="en-US"/>
              </w:rPr>
            </w:pPr>
          </w:p>
        </w:tc>
      </w:tr>
      <w:tr w:rsidR="005363F4" w:rsidRPr="009D4B99">
        <w:trPr>
          <w:cantSplit/>
          <w:jc w:val="center"/>
        </w:trPr>
        <w:tc>
          <w:tcPr>
            <w:tcW w:w="7054" w:type="dxa"/>
            <w:gridSpan w:val="2"/>
            <w:tcBorders>
              <w:top w:val="single" w:sz="12" w:space="0" w:color="auto"/>
            </w:tcBorders>
          </w:tcPr>
          <w:p w:rsidR="005363F4" w:rsidRPr="009D4B99" w:rsidRDefault="005363F4">
            <w:pPr>
              <w:pStyle w:val="CEONormal"/>
              <w:rPr>
                <w:lang w:val="en-US"/>
              </w:rPr>
            </w:pPr>
          </w:p>
        </w:tc>
        <w:tc>
          <w:tcPr>
            <w:tcW w:w="3369" w:type="dxa"/>
            <w:tcBorders>
              <w:top w:val="single" w:sz="12" w:space="0" w:color="auto"/>
            </w:tcBorders>
          </w:tcPr>
          <w:p w:rsidR="005363F4" w:rsidRPr="009D4B99" w:rsidRDefault="005363F4">
            <w:pPr>
              <w:pStyle w:val="CEONormal"/>
              <w:rPr>
                <w:lang w:val="en-US"/>
              </w:rPr>
            </w:pPr>
          </w:p>
        </w:tc>
      </w:tr>
      <w:tr w:rsidR="005363F4" w:rsidRPr="009D4B99">
        <w:trPr>
          <w:cantSplit/>
          <w:trHeight w:val="23"/>
          <w:jc w:val="center"/>
        </w:trPr>
        <w:tc>
          <w:tcPr>
            <w:tcW w:w="7054" w:type="dxa"/>
            <w:gridSpan w:val="2"/>
            <w:vMerge w:val="restart"/>
          </w:tcPr>
          <w:p w:rsidR="005363F4" w:rsidRPr="009D4B99" w:rsidRDefault="005363F4">
            <w:pPr>
              <w:pStyle w:val="CEONormal"/>
              <w:rPr>
                <w:lang w:val="en-US"/>
              </w:rPr>
            </w:pPr>
          </w:p>
        </w:tc>
        <w:tc>
          <w:tcPr>
            <w:tcW w:w="3369" w:type="dxa"/>
          </w:tcPr>
          <w:p w:rsidR="005363F4" w:rsidRPr="009D4B99" w:rsidRDefault="005363F4">
            <w:pPr>
              <w:pStyle w:val="CEODocNo"/>
              <w:rPr>
                <w:lang w:val="en-US"/>
              </w:rPr>
            </w:pPr>
            <w:r w:rsidRPr="009D4B99">
              <w:rPr>
                <w:lang w:val="en-US"/>
              </w:rPr>
              <w:t xml:space="preserve">Document </w:t>
            </w:r>
            <w:bookmarkStart w:id="2" w:name="DocRef1"/>
            <w:bookmarkStart w:id="3" w:name="DocNo1"/>
            <w:bookmarkEnd w:id="2"/>
            <w:bookmarkEnd w:id="3"/>
            <w:r w:rsidR="002E67B3">
              <w:rPr>
                <w:lang w:val="en-US"/>
              </w:rPr>
              <w:t>1/</w:t>
            </w:r>
            <w:r w:rsidR="00333E30">
              <w:rPr>
                <w:lang w:val="en-US"/>
              </w:rPr>
              <w:t>70-E</w:t>
            </w:r>
          </w:p>
        </w:tc>
      </w:tr>
      <w:tr w:rsidR="005363F4" w:rsidRPr="009D4B99">
        <w:trPr>
          <w:cantSplit/>
          <w:trHeight w:val="2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2E67B3">
            <w:pPr>
              <w:pStyle w:val="CEODocDates"/>
              <w:rPr>
                <w:lang w:val="en-US"/>
              </w:rPr>
            </w:pPr>
            <w:bookmarkStart w:id="4" w:name="CreationDate"/>
            <w:bookmarkEnd w:id="4"/>
            <w:r>
              <w:rPr>
                <w:lang w:val="en-US"/>
              </w:rPr>
              <w:t>4 July 2011</w:t>
            </w:r>
          </w:p>
        </w:tc>
      </w:tr>
      <w:tr w:rsidR="005363F4" w:rsidRPr="009D4B99">
        <w:trPr>
          <w:cantSplit/>
          <w:trHeight w:val="33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5363F4">
            <w:pPr>
              <w:pStyle w:val="CEOOriginalLanguage"/>
              <w:rPr>
                <w:lang w:val="en-US"/>
              </w:rPr>
            </w:pPr>
            <w:r w:rsidRPr="009D4B99">
              <w:rPr>
                <w:lang w:val="en-US"/>
              </w:rPr>
              <w:t xml:space="preserve">Original: </w:t>
            </w:r>
            <w:bookmarkStart w:id="5" w:name="Original"/>
            <w:bookmarkEnd w:id="5"/>
            <w:r w:rsidR="002E67B3">
              <w:rPr>
                <w:lang w:val="en-US"/>
              </w:rPr>
              <w:t>English</w:t>
            </w:r>
          </w:p>
        </w:tc>
      </w:tr>
      <w:tr w:rsidR="005363F4" w:rsidRPr="009D4B99">
        <w:trPr>
          <w:cantSplit/>
          <w:trHeight w:val="533"/>
          <w:jc w:val="center"/>
        </w:trPr>
        <w:tc>
          <w:tcPr>
            <w:tcW w:w="7054" w:type="dxa"/>
            <w:gridSpan w:val="2"/>
            <w:vAlign w:val="center"/>
          </w:tcPr>
          <w:p w:rsidR="005363F4" w:rsidRPr="009D4B99" w:rsidRDefault="005363F4">
            <w:pPr>
              <w:pStyle w:val="CEONormal"/>
              <w:rPr>
                <w:lang w:val="en-US"/>
              </w:rPr>
            </w:pPr>
          </w:p>
        </w:tc>
        <w:tc>
          <w:tcPr>
            <w:tcW w:w="3369" w:type="dxa"/>
            <w:vAlign w:val="center"/>
          </w:tcPr>
          <w:p w:rsidR="005363F4" w:rsidRPr="009D4B99" w:rsidRDefault="002E67B3" w:rsidP="00274D0E">
            <w:pPr>
              <w:pStyle w:val="CEOForAction"/>
              <w:rPr>
                <w:lang w:val="en-US"/>
              </w:rPr>
            </w:pPr>
            <w:bookmarkStart w:id="6" w:name="ActionInfo"/>
            <w:bookmarkEnd w:id="6"/>
            <w:r>
              <w:rPr>
                <w:lang w:val="en-US"/>
              </w:rPr>
              <w:t>For action</w:t>
            </w:r>
          </w:p>
        </w:tc>
      </w:tr>
      <w:tr w:rsidR="005363F4" w:rsidRPr="009D4B99">
        <w:trPr>
          <w:cantSplit/>
          <w:trHeight w:val="23"/>
          <w:jc w:val="center"/>
        </w:trPr>
        <w:tc>
          <w:tcPr>
            <w:tcW w:w="10423" w:type="dxa"/>
            <w:gridSpan w:val="3"/>
          </w:tcPr>
          <w:p w:rsidR="005363F4" w:rsidRPr="009D4B99" w:rsidRDefault="002E67B3">
            <w:pPr>
              <w:pStyle w:val="CEOQuestion"/>
              <w:rPr>
                <w:lang w:val="en-US"/>
              </w:rPr>
            </w:pPr>
            <w:bookmarkStart w:id="7" w:name="QShort"/>
            <w:bookmarkEnd w:id="7"/>
            <w:r>
              <w:rPr>
                <w:lang w:val="en-US"/>
              </w:rPr>
              <w:t xml:space="preserve">Question 20-1/1: </w:t>
            </w:r>
            <w:r>
              <w:rPr>
                <w:lang w:val="en-US"/>
              </w:rPr>
              <w:tab/>
              <w:t>Access to telecommunication services and information and communication technologies (ICTs) by persons with disabilities</w:t>
            </w:r>
          </w:p>
        </w:tc>
      </w:tr>
      <w:tr w:rsidR="005363F4" w:rsidRPr="009D4B99" w:rsidTr="00126F53">
        <w:trPr>
          <w:cantSplit/>
          <w:trHeight w:val="23"/>
          <w:jc w:val="center"/>
        </w:trPr>
        <w:tc>
          <w:tcPr>
            <w:tcW w:w="2093" w:type="dxa"/>
          </w:tcPr>
          <w:p w:rsidR="005363F4" w:rsidRPr="009D4B99" w:rsidRDefault="005363F4" w:rsidP="007B0FC6">
            <w:pPr>
              <w:pStyle w:val="CEOSourceTitle"/>
              <w:rPr>
                <w:lang w:val="en-US"/>
              </w:rPr>
            </w:pPr>
            <w:r w:rsidRPr="009D4B99">
              <w:rPr>
                <w:lang w:val="en-US"/>
              </w:rPr>
              <w:t>SOURCE</w:t>
            </w:r>
          </w:p>
        </w:tc>
        <w:tc>
          <w:tcPr>
            <w:tcW w:w="8330" w:type="dxa"/>
            <w:gridSpan w:val="2"/>
          </w:tcPr>
          <w:p w:rsidR="005363F4" w:rsidRPr="009D4B99" w:rsidRDefault="00333E30">
            <w:pPr>
              <w:pStyle w:val="CEOSourceTitleDetails"/>
              <w:rPr>
                <w:lang w:val="en-US"/>
              </w:rPr>
            </w:pPr>
            <w:bookmarkStart w:id="8" w:name="Source"/>
            <w:bookmarkEnd w:id="8"/>
            <w:r>
              <w:rPr>
                <w:lang w:val="en-US"/>
              </w:rPr>
              <w:t>United States of America</w:t>
            </w:r>
          </w:p>
        </w:tc>
      </w:tr>
      <w:tr w:rsidR="005363F4" w:rsidRPr="009D4B99" w:rsidTr="00126F53">
        <w:trPr>
          <w:cantSplit/>
          <w:trHeight w:val="537"/>
          <w:jc w:val="center"/>
        </w:trPr>
        <w:tc>
          <w:tcPr>
            <w:tcW w:w="2093" w:type="dxa"/>
          </w:tcPr>
          <w:p w:rsidR="005363F4" w:rsidRPr="009D4B99" w:rsidRDefault="005363F4" w:rsidP="007B0FC6">
            <w:pPr>
              <w:pStyle w:val="CEOSourceTitle"/>
              <w:rPr>
                <w:lang w:val="en-US"/>
              </w:rPr>
            </w:pPr>
            <w:r w:rsidRPr="009D4B99">
              <w:rPr>
                <w:lang w:val="en-US"/>
              </w:rPr>
              <w:t>TITLE</w:t>
            </w:r>
          </w:p>
        </w:tc>
        <w:tc>
          <w:tcPr>
            <w:tcW w:w="8330" w:type="dxa"/>
            <w:gridSpan w:val="2"/>
          </w:tcPr>
          <w:p w:rsidR="005363F4" w:rsidRPr="009D4B99" w:rsidRDefault="002E67B3" w:rsidP="00333E30">
            <w:pPr>
              <w:pStyle w:val="CEOSourceTitleDetails"/>
              <w:rPr>
                <w:lang w:val="en-US"/>
              </w:rPr>
            </w:pPr>
            <w:bookmarkStart w:id="9" w:name="Title"/>
            <w:bookmarkEnd w:id="9"/>
            <w:r>
              <w:rPr>
                <w:lang w:val="en-US"/>
              </w:rPr>
              <w:t xml:space="preserve">Contribution to revise text relating to </w:t>
            </w:r>
            <w:r w:rsidR="00333E30">
              <w:rPr>
                <w:lang w:val="en-US"/>
              </w:rPr>
              <w:t xml:space="preserve">United States of America </w:t>
            </w:r>
            <w:r>
              <w:rPr>
                <w:lang w:val="en-US"/>
              </w:rPr>
              <w:t>as contained i</w:t>
            </w:r>
            <w:r w:rsidR="00090A6F">
              <w:rPr>
                <w:lang w:val="en-US"/>
              </w:rPr>
              <w:t xml:space="preserve">n the draft report on </w:t>
            </w:r>
            <w:r w:rsidR="00090A6F">
              <w:t>National Legal and Policy Frameworks to Promote ICT Access by Persons with Disabilities</w:t>
            </w:r>
          </w:p>
        </w:tc>
      </w:tr>
      <w:tr w:rsidR="001F6D4D" w:rsidRPr="009D4B99" w:rsidTr="00CD345B">
        <w:trPr>
          <w:cantSplit/>
          <w:trHeight w:val="537"/>
          <w:jc w:val="center"/>
        </w:trPr>
        <w:tc>
          <w:tcPr>
            <w:tcW w:w="10423" w:type="dxa"/>
            <w:gridSpan w:val="3"/>
          </w:tcPr>
          <w:p w:rsidR="001F6D4D" w:rsidRPr="00090A6F" w:rsidRDefault="002E67B3" w:rsidP="00835170">
            <w:pPr>
              <w:pStyle w:val="CEORevision"/>
              <w:rPr>
                <w:sz w:val="19"/>
                <w:szCs w:val="19"/>
                <w:lang w:val="en-US"/>
              </w:rPr>
            </w:pPr>
            <w:bookmarkStart w:id="10" w:name="Revision"/>
            <w:bookmarkEnd w:id="10"/>
            <w:r w:rsidRPr="00090A6F">
              <w:rPr>
                <w:sz w:val="19"/>
                <w:szCs w:val="19"/>
                <w:lang w:val="en-US"/>
              </w:rPr>
              <w:t xml:space="preserve">Revision to Document </w:t>
            </w:r>
            <w:hyperlink r:id="rId10" w:history="1">
              <w:r w:rsidRPr="00090A6F">
                <w:rPr>
                  <w:rStyle w:val="Hyperlink"/>
                  <w:szCs w:val="19"/>
                  <w:lang w:val="en-US"/>
                </w:rPr>
                <w:t>N° RGQ 20-1/1/</w:t>
              </w:r>
              <w:r w:rsidR="00835170" w:rsidRPr="00090A6F">
                <w:rPr>
                  <w:rStyle w:val="Hyperlink"/>
                  <w:szCs w:val="19"/>
                  <w:lang w:val="en-US"/>
                </w:rPr>
                <w:t>5</w:t>
              </w:r>
            </w:hyperlink>
          </w:p>
        </w:tc>
      </w:tr>
      <w:tr w:rsidR="001F6D4D" w:rsidRPr="009D4B99" w:rsidTr="00CD345B">
        <w:trPr>
          <w:cantSplit/>
          <w:trHeight w:val="537"/>
          <w:jc w:val="center"/>
        </w:trPr>
        <w:tc>
          <w:tcPr>
            <w:tcW w:w="10423" w:type="dxa"/>
            <w:gridSpan w:val="3"/>
          </w:tcPr>
          <w:p w:rsidR="001F6D4D" w:rsidRPr="00835170" w:rsidRDefault="001F6D4D" w:rsidP="00C620DB">
            <w:pPr>
              <w:pStyle w:val="CEORevisionNote"/>
            </w:pPr>
            <w:bookmarkStart w:id="11" w:name="RevNote"/>
            <w:bookmarkEnd w:id="11"/>
          </w:p>
        </w:tc>
      </w:tr>
      <w:tr w:rsidR="00C620DB" w:rsidRPr="009D4B99" w:rsidTr="00126F53">
        <w:trPr>
          <w:cantSplit/>
          <w:trHeight w:val="537"/>
          <w:jc w:val="center"/>
        </w:trPr>
        <w:tc>
          <w:tcPr>
            <w:tcW w:w="2093" w:type="dxa"/>
          </w:tcPr>
          <w:p w:rsidR="00C620DB" w:rsidRPr="009D4B99" w:rsidRDefault="002E67B3" w:rsidP="00C620DB">
            <w:pPr>
              <w:pStyle w:val="CEOActionRequired"/>
              <w:rPr>
                <w:lang w:val="en-US"/>
              </w:rPr>
            </w:pPr>
            <w:bookmarkStart w:id="12" w:name="ActionReq"/>
            <w:bookmarkEnd w:id="12"/>
            <w:r>
              <w:rPr>
                <w:lang w:val="en-US"/>
              </w:rPr>
              <w:t>Action required:</w:t>
            </w:r>
          </w:p>
        </w:tc>
        <w:tc>
          <w:tcPr>
            <w:tcW w:w="8330" w:type="dxa"/>
            <w:gridSpan w:val="2"/>
          </w:tcPr>
          <w:p w:rsidR="00C620DB" w:rsidRPr="009D4B99" w:rsidRDefault="002E67B3" w:rsidP="00333E30">
            <w:pPr>
              <w:pStyle w:val="CEOActionRequiredDetails"/>
              <w:rPr>
                <w:lang w:val="en-US"/>
              </w:rPr>
            </w:pPr>
            <w:bookmarkStart w:id="13" w:name="ActionReqDetails"/>
            <w:bookmarkEnd w:id="13"/>
            <w:r>
              <w:rPr>
                <w:lang w:val="en-US"/>
              </w:rPr>
              <w:t xml:space="preserve">Revise/substitute text relating to </w:t>
            </w:r>
            <w:r w:rsidR="00333E30">
              <w:rPr>
                <w:lang w:val="en-US"/>
              </w:rPr>
              <w:t xml:space="preserve">the United States </w:t>
            </w:r>
            <w:r>
              <w:rPr>
                <w:lang w:val="en-US"/>
              </w:rPr>
              <w:t xml:space="preserve">in the </w:t>
            </w:r>
            <w:r w:rsidR="00090A6F">
              <w:rPr>
                <w:lang w:val="en-US"/>
              </w:rPr>
              <w:t>d</w:t>
            </w:r>
            <w:r>
              <w:rPr>
                <w:lang w:val="en-US"/>
              </w:rPr>
              <w:t xml:space="preserve">raft report on </w:t>
            </w:r>
            <w:r w:rsidR="00090A6F">
              <w:t xml:space="preserve">National Legal and Policy Frameworks to Promote ICT Access by Persons with Disabilities </w:t>
            </w:r>
            <w:r>
              <w:rPr>
                <w:lang w:val="en-US"/>
              </w:rPr>
              <w:t xml:space="preserve">with </w:t>
            </w:r>
            <w:r w:rsidR="00090A6F">
              <w:rPr>
                <w:lang w:val="en-US"/>
              </w:rPr>
              <w:t xml:space="preserve">the </w:t>
            </w:r>
            <w:r>
              <w:rPr>
                <w:lang w:val="en-US"/>
              </w:rPr>
              <w:t>text provided in this contribution</w:t>
            </w:r>
            <w:r w:rsidR="00090A6F">
              <w:rPr>
                <w:lang w:val="en-US"/>
              </w:rPr>
              <w:t>.</w:t>
            </w:r>
          </w:p>
        </w:tc>
      </w:tr>
    </w:tbl>
    <w:p w:rsidR="005363F4" w:rsidRPr="009D4B99" w:rsidRDefault="009D4B99" w:rsidP="0014388D">
      <w:pPr>
        <w:pStyle w:val="CEOAbstract"/>
        <w:rPr>
          <w:lang w:val="en-US"/>
        </w:rPr>
      </w:pPr>
      <w:r w:rsidRPr="009D4B99">
        <w:rPr>
          <w:lang w:val="en-US"/>
        </w:rPr>
        <w:t>Abstract:</w:t>
      </w:r>
    </w:p>
    <w:p w:rsidR="005363F4" w:rsidRPr="009D4B99" w:rsidRDefault="002E67B3" w:rsidP="00333E30">
      <w:pPr>
        <w:pStyle w:val="CEONormal"/>
        <w:rPr>
          <w:lang w:val="en-US"/>
        </w:rPr>
      </w:pPr>
      <w:bookmarkStart w:id="14" w:name="Abstract"/>
      <w:bookmarkEnd w:id="14"/>
      <w:r>
        <w:rPr>
          <w:lang w:val="en-US"/>
        </w:rPr>
        <w:t xml:space="preserve">This contribution provides an update to the information relating to </w:t>
      </w:r>
      <w:r w:rsidR="00333E30">
        <w:rPr>
          <w:lang w:val="en-US"/>
        </w:rPr>
        <w:t xml:space="preserve">the United States </w:t>
      </w:r>
      <w:r>
        <w:rPr>
          <w:lang w:val="en-US"/>
        </w:rPr>
        <w:t xml:space="preserve">as currently contained in the draft report on National Legal and Policy Frameworks to Promote ICT Access by Persons with Disabilities. Specifically, this contribution updates the information regarding measures implemented by </w:t>
      </w:r>
      <w:r w:rsidR="00333E30">
        <w:rPr>
          <w:lang w:val="en-US"/>
        </w:rPr>
        <w:t xml:space="preserve">the United States </w:t>
      </w:r>
      <w:r>
        <w:rPr>
          <w:lang w:val="en-US"/>
        </w:rPr>
        <w:t>to facilitate accessibility in telecommunications for persons with disabilities.</w:t>
      </w:r>
    </w:p>
    <w:p w:rsidR="00C4707E" w:rsidRDefault="00C4707E" w:rsidP="00195598"/>
    <w:p w:rsidR="00C4707E" w:rsidRDefault="00C4707E" w:rsidP="00195598"/>
    <w:p w:rsidR="00C4707E" w:rsidRDefault="00C4707E" w:rsidP="00195598"/>
    <w:p w:rsidR="00C4707E" w:rsidRDefault="00C4707E" w:rsidP="00195598"/>
    <w:p w:rsidR="00C4707E" w:rsidRDefault="00C4707E" w:rsidP="00195598"/>
    <w:p w:rsidR="00C4707E" w:rsidRDefault="00C4707E" w:rsidP="00195598"/>
    <w:p w:rsidR="00C4707E" w:rsidRDefault="00C4707E" w:rsidP="00195598">
      <w:bookmarkStart w:id="15" w:name="_GoBack"/>
      <w:bookmarkEnd w:id="15"/>
    </w:p>
    <w:p w:rsidR="00C4707E" w:rsidRDefault="00C4707E" w:rsidP="00C4707E">
      <w:pPr>
        <w:pStyle w:val="CEOFooterContact1"/>
        <w:rPr>
          <w:lang w:val="en-US"/>
        </w:rPr>
      </w:pPr>
      <w:r>
        <w:rPr>
          <w:lang w:val="en-US"/>
        </w:rPr>
        <w:t>Contact Point:</w:t>
      </w:r>
      <w:r>
        <w:rPr>
          <w:lang w:val="en-US"/>
        </w:rPr>
        <w:tab/>
        <w:t>Name/organization/entity:</w:t>
      </w:r>
      <w:r>
        <w:rPr>
          <w:lang w:val="en-US"/>
        </w:rPr>
        <w:tab/>
      </w:r>
      <w:bookmarkStart w:id="16" w:name="OrgName"/>
      <w:bookmarkEnd w:id="16"/>
      <w:r>
        <w:rPr>
          <w:lang w:val="en-US"/>
        </w:rPr>
        <w:t xml:space="preserve">Ms Roxanne </w:t>
      </w:r>
      <w:proofErr w:type="spellStart"/>
      <w:r>
        <w:rPr>
          <w:lang w:val="en-US"/>
        </w:rPr>
        <w:t>McElvane</w:t>
      </w:r>
      <w:proofErr w:type="spellEnd"/>
      <w:r>
        <w:rPr>
          <w:lang w:val="en-US"/>
        </w:rPr>
        <w:t xml:space="preserve">, Federal Communications Commission, </w:t>
      </w:r>
      <w:proofErr w:type="gramStart"/>
      <w:r>
        <w:rPr>
          <w:lang w:val="en-US"/>
        </w:rPr>
        <w:t>United</w:t>
      </w:r>
      <w:proofErr w:type="gramEnd"/>
      <w:r>
        <w:rPr>
          <w:lang w:val="en-US"/>
        </w:rPr>
        <w:t xml:space="preserve"> States of America</w:t>
      </w:r>
    </w:p>
    <w:p w:rsidR="00C4707E" w:rsidRPr="002E67B3" w:rsidRDefault="00C4707E" w:rsidP="00C4707E">
      <w:pPr>
        <w:pStyle w:val="CEOFooterContact2-3"/>
        <w:rPr>
          <w:lang w:val="en-US"/>
        </w:rPr>
      </w:pPr>
      <w:r w:rsidRPr="002E67B3">
        <w:rPr>
          <w:lang w:val="en-US"/>
        </w:rPr>
        <w:t>Phone number:</w:t>
      </w:r>
      <w:r w:rsidRPr="002E67B3">
        <w:rPr>
          <w:lang w:val="en-US"/>
        </w:rPr>
        <w:tab/>
      </w:r>
      <w:bookmarkStart w:id="17" w:name="PhoneNo"/>
      <w:bookmarkEnd w:id="17"/>
      <w:r w:rsidRPr="002E67B3">
        <w:rPr>
          <w:lang w:val="en-US"/>
        </w:rPr>
        <w:t>+</w:t>
      </w:r>
      <w:r>
        <w:rPr>
          <w:lang w:val="en-US"/>
        </w:rPr>
        <w:t>1 202 4181489</w:t>
      </w:r>
    </w:p>
    <w:p w:rsidR="00C4707E" w:rsidRDefault="00C4707E" w:rsidP="00C4707E">
      <w:pPr>
        <w:pStyle w:val="CEOFooterContact2-3"/>
      </w:pPr>
      <w:r w:rsidRPr="002E67B3">
        <w:rPr>
          <w:lang w:val="en-US"/>
        </w:rPr>
        <w:t>Email</w:t>
      </w:r>
      <w:r>
        <w:t>:</w:t>
      </w:r>
      <w:r>
        <w:tab/>
      </w:r>
      <w:bookmarkStart w:id="18" w:name="Email"/>
      <w:bookmarkEnd w:id="18"/>
      <w:r>
        <w:fldChar w:fldCharType="begin"/>
      </w:r>
      <w:r>
        <w:instrText xml:space="preserve"> HYPERLINK "mailto:</w:instrText>
      </w:r>
      <w:r w:rsidRPr="00E84F0B">
        <w:instrText>roxanne.mcelvane@fcc.gov</w:instrText>
      </w:r>
      <w:r>
        <w:instrText xml:space="preserve">" </w:instrText>
      </w:r>
      <w:r>
        <w:fldChar w:fldCharType="separate"/>
      </w:r>
      <w:r w:rsidRPr="002B53C3">
        <w:rPr>
          <w:rStyle w:val="Hyperlink"/>
          <w:sz w:val="16"/>
        </w:rPr>
        <w:t>roxanne.mcelvane@fcc.gov</w:t>
      </w:r>
      <w:r>
        <w:fldChar w:fldCharType="end"/>
      </w:r>
    </w:p>
    <w:p w:rsidR="00C4707E" w:rsidRDefault="00C4707E" w:rsidP="00195598"/>
    <w:p w:rsidR="00090A6F" w:rsidRDefault="005363F4" w:rsidP="00195598">
      <w:pPr>
        <w:rPr>
          <w:b/>
          <w:szCs w:val="19"/>
        </w:rPr>
      </w:pPr>
      <w:r w:rsidRPr="009D4B99">
        <w:br w:type="page"/>
      </w:r>
      <w:bookmarkStart w:id="19" w:name="Proposal"/>
      <w:bookmarkEnd w:id="19"/>
      <w:r w:rsidR="00195598">
        <w:rPr>
          <w:b/>
          <w:szCs w:val="19"/>
        </w:rPr>
        <w:lastRenderedPageBreak/>
        <w:t>United States</w:t>
      </w:r>
    </w:p>
    <w:p w:rsidR="00333E30" w:rsidRPr="00333E30" w:rsidRDefault="00333E30" w:rsidP="00333E30">
      <w:pPr>
        <w:spacing w:before="160"/>
        <w:rPr>
          <w:szCs w:val="19"/>
        </w:rPr>
      </w:pPr>
      <w:r w:rsidRPr="00333E30">
        <w:rPr>
          <w:szCs w:val="19"/>
        </w:rPr>
        <w:t xml:space="preserve">The United States has a range of general and specific laws mandating telecommunication access </w:t>
      </w:r>
      <w:r>
        <w:rPr>
          <w:szCs w:val="19"/>
        </w:rPr>
        <w:t xml:space="preserve">for persons with </w:t>
      </w:r>
      <w:proofErr w:type="spellStart"/>
      <w:r>
        <w:rPr>
          <w:szCs w:val="19"/>
        </w:rPr>
        <w:t>disabilities.</w:t>
      </w:r>
      <w:r w:rsidRPr="00333E30">
        <w:rPr>
          <w:szCs w:val="19"/>
        </w:rPr>
        <w:t>The</w:t>
      </w:r>
      <w:proofErr w:type="spellEnd"/>
      <w:r w:rsidRPr="00333E30">
        <w:rPr>
          <w:szCs w:val="19"/>
        </w:rPr>
        <w:t xml:space="preserve"> Federal Communications Commission </w:t>
      </w:r>
      <w:r w:rsidRPr="00333E30">
        <w:rPr>
          <w:szCs w:val="19"/>
          <w:vertAlign w:val="superscript"/>
        </w:rPr>
        <w:footnoteReference w:id="1"/>
      </w:r>
      <w:r w:rsidRPr="00333E30">
        <w:rPr>
          <w:szCs w:val="19"/>
        </w:rPr>
        <w:t xml:space="preserve"> (FCC) is the regulatory body in charge of media and communication pra</w:t>
      </w:r>
      <w:r>
        <w:rPr>
          <w:szCs w:val="19"/>
        </w:rPr>
        <w:t>ctices and policies in the US.</w:t>
      </w:r>
    </w:p>
    <w:p w:rsidR="00333E30" w:rsidRPr="00333E30" w:rsidRDefault="00333E30" w:rsidP="00333E30">
      <w:pPr>
        <w:spacing w:before="160"/>
        <w:rPr>
          <w:szCs w:val="19"/>
        </w:rPr>
      </w:pPr>
      <w:r w:rsidRPr="00333E30">
        <w:rPr>
          <w:szCs w:val="19"/>
        </w:rPr>
        <w:t>As part of the Telecommunications Act of 1996</w:t>
      </w:r>
      <w:r w:rsidRPr="00333E30">
        <w:rPr>
          <w:szCs w:val="19"/>
          <w:vertAlign w:val="superscript"/>
        </w:rPr>
        <w:footnoteReference w:id="2"/>
      </w:r>
      <w:r w:rsidRPr="00333E30">
        <w:rPr>
          <w:szCs w:val="19"/>
        </w:rPr>
        <w:t xml:space="preserve"> that mandated the FCC to establish a Universal Service Fund</w:t>
      </w:r>
      <w:r w:rsidRPr="00333E30">
        <w:rPr>
          <w:szCs w:val="19"/>
          <w:vertAlign w:val="superscript"/>
        </w:rPr>
        <w:footnoteReference w:id="3"/>
      </w:r>
      <w:r w:rsidRPr="00333E30">
        <w:rPr>
          <w:szCs w:val="19"/>
        </w:rPr>
        <w:t>, Section 255</w:t>
      </w:r>
      <w:r w:rsidRPr="00333E30">
        <w:rPr>
          <w:szCs w:val="19"/>
          <w:vertAlign w:val="superscript"/>
        </w:rPr>
        <w:footnoteReference w:id="4"/>
      </w:r>
      <w:r w:rsidRPr="00333E30">
        <w:rPr>
          <w:szCs w:val="19"/>
        </w:rPr>
        <w:t xml:space="preserve"> and Section 251(a) (2)</w:t>
      </w:r>
      <w:r w:rsidRPr="00333E30">
        <w:rPr>
          <w:szCs w:val="19"/>
          <w:vertAlign w:val="superscript"/>
        </w:rPr>
        <w:footnoteReference w:id="5"/>
      </w:r>
      <w:r w:rsidRPr="00333E30">
        <w:rPr>
          <w:szCs w:val="19"/>
        </w:rPr>
        <w:t xml:space="preserve"> of this act requires manufacturers of telecommunications equipment and service providers to ensure that their products and services are accessible to and usable by persons with disabilities, if such access is readily achievable. This covers telephones, cell phones, pagers, call-waiting, and operator services.</w:t>
      </w:r>
    </w:p>
    <w:p w:rsidR="00333E30" w:rsidRPr="00333E30" w:rsidRDefault="00333E30" w:rsidP="00333E30">
      <w:pPr>
        <w:spacing w:before="160"/>
        <w:rPr>
          <w:szCs w:val="19"/>
        </w:rPr>
      </w:pPr>
      <w:r w:rsidRPr="00333E30">
        <w:rPr>
          <w:szCs w:val="19"/>
        </w:rPr>
        <w:t>Where access is not readily achievable, Section 255 requires manufacturers and service providers to make their devices and services compatible with peripheral devices and specialized customer premises equipment that are commonly used by people with disabilities, if such compatibility is readily achievable. The “readily achievable” standard requires companies to incorporate access features that can easily be provided without much difficulty or expense.  Title IV of the  Americans with Disabilities Act, 1990 (ADA) which took effect on July 26, 1992 requires all telephone companies across the United States to provide telecommunications relay services (TRS).  Pursuant to this statute, the FCC has also made regulations for the provision of TRS.</w:t>
      </w:r>
      <w:r w:rsidRPr="00333E30">
        <w:rPr>
          <w:szCs w:val="19"/>
          <w:vertAlign w:val="superscript"/>
        </w:rPr>
        <w:t xml:space="preserve"> </w:t>
      </w:r>
      <w:r w:rsidRPr="00333E30">
        <w:rPr>
          <w:szCs w:val="19"/>
          <w:vertAlign w:val="superscript"/>
        </w:rPr>
        <w:footnoteReference w:id="6"/>
      </w:r>
    </w:p>
    <w:p w:rsidR="00333E30" w:rsidRPr="00333E30" w:rsidRDefault="00333E30" w:rsidP="00333E30">
      <w:pPr>
        <w:spacing w:before="160"/>
        <w:rPr>
          <w:szCs w:val="19"/>
        </w:rPr>
      </w:pPr>
      <w:r w:rsidRPr="00333E30">
        <w:rPr>
          <w:szCs w:val="19"/>
        </w:rPr>
        <w:t xml:space="preserve">TRS allows people who are deaf, hard of hearing, or speech impaired to communicate through a communications assistant (CA) with people who use a standard telephone. A CA relays the TTY (text telephone or telecommunications device for deaf and hard of hearing people) input to the telephone user and types that person’s response back to the TTY user. </w:t>
      </w:r>
    </w:p>
    <w:p w:rsidR="00333E30" w:rsidRPr="00333E30" w:rsidRDefault="00333E30" w:rsidP="00333E30">
      <w:pPr>
        <w:spacing w:before="160"/>
        <w:rPr>
          <w:szCs w:val="19"/>
        </w:rPr>
      </w:pPr>
      <w:r w:rsidRPr="00333E30">
        <w:rPr>
          <w:szCs w:val="19"/>
        </w:rPr>
        <w:t>Since 2000, the FCC authorized several forms of TRS designed to meet the needs of certain users, and allows greater access to telecommunications via Internet.  For example, Speech-to-Speech relay service for persons with speech disabilities, Internet-Protocol relay service and video relay service for persons with hearing disability who communicate in sign language.</w:t>
      </w:r>
    </w:p>
    <w:p w:rsidR="00333E30" w:rsidRPr="00333E30" w:rsidRDefault="00333E30" w:rsidP="00333E30">
      <w:pPr>
        <w:spacing w:before="160"/>
        <w:rPr>
          <w:szCs w:val="19"/>
        </w:rPr>
      </w:pPr>
      <w:r w:rsidRPr="00333E30">
        <w:rPr>
          <w:szCs w:val="19"/>
        </w:rPr>
        <w:t xml:space="preserve">The costs of intrastate TRS services are recovered by the states, either through rate adjustments or surcharges on local telephone bills. Costs for interstate TRS are recovered through a shared-funding mechanism (TRS Fund) set forth in the Commission's rules. All providers of interstate telecommunications services contribute to the TRS Fund, and TRS providers recover the costs of providing interstate TRS from the TRS Fund on a minutes-of-use basis. </w:t>
      </w:r>
    </w:p>
    <w:p w:rsidR="00333E30" w:rsidRPr="00333E30" w:rsidRDefault="00333E30" w:rsidP="00333E30">
      <w:pPr>
        <w:spacing w:before="160"/>
        <w:rPr>
          <w:szCs w:val="19"/>
        </w:rPr>
      </w:pPr>
      <w:r w:rsidRPr="00333E30">
        <w:rPr>
          <w:szCs w:val="19"/>
        </w:rPr>
        <w:t>As per the Hearing Aid Compatibility Act of 1988 (HAC Act),  the FCC ensures that all telephones manufactured or imported for use in the United States and all ‘essential telephones’</w:t>
      </w:r>
      <w:r w:rsidRPr="00333E30">
        <w:rPr>
          <w:szCs w:val="19"/>
          <w:vertAlign w:val="superscript"/>
        </w:rPr>
        <w:footnoteReference w:id="7"/>
      </w:r>
      <w:r w:rsidRPr="00333E30">
        <w:rPr>
          <w:szCs w:val="19"/>
        </w:rPr>
        <w:t xml:space="preserve"> are hearing aid-compatible. FCC also has extended this requirement to wireless/mobile telephones.</w:t>
      </w:r>
      <w:r w:rsidRPr="00333E30">
        <w:rPr>
          <w:szCs w:val="19"/>
          <w:vertAlign w:val="superscript"/>
        </w:rPr>
        <w:footnoteReference w:id="8"/>
      </w:r>
      <w:r w:rsidRPr="00333E30">
        <w:rPr>
          <w:szCs w:val="19"/>
        </w:rPr>
        <w:t xml:space="preserve"> </w:t>
      </w:r>
    </w:p>
    <w:p w:rsidR="00333E30" w:rsidRPr="00E84F0B" w:rsidRDefault="00333E30" w:rsidP="00E84F0B">
      <w:pPr>
        <w:pStyle w:val="ListParagraph"/>
        <w:numPr>
          <w:ilvl w:val="0"/>
          <w:numId w:val="38"/>
        </w:numPr>
        <w:spacing w:before="160" w:after="0"/>
        <w:rPr>
          <w:szCs w:val="19"/>
        </w:rPr>
      </w:pPr>
      <w:r w:rsidRPr="00E84F0B">
        <w:rPr>
          <w:szCs w:val="19"/>
        </w:rPr>
        <w:t>In October 2010, the US Congress passed the Twenty-First Century Communications and Video Accessibility Act of 2010 (CVAA),</w:t>
      </w:r>
      <w:r w:rsidRPr="00333E30">
        <w:rPr>
          <w:vertAlign w:val="superscript"/>
        </w:rPr>
        <w:footnoteReference w:id="9"/>
      </w:r>
      <w:r w:rsidRPr="00E84F0B">
        <w:rPr>
          <w:szCs w:val="19"/>
        </w:rPr>
        <w:t xml:space="preserve"> the aim of which is to improve access to “advanced communications” (including interconnected and non-interconnected voice over Internet protocol (VoIP), electronic messaging, and interoperable video conferencing services) and “consumer-generated media” for persons with disabilities. Section 102</w:t>
      </w:r>
      <w:r w:rsidRPr="00333E30">
        <w:rPr>
          <w:vertAlign w:val="superscript"/>
        </w:rPr>
        <w:footnoteReference w:id="10"/>
      </w:r>
      <w:r w:rsidRPr="00E84F0B">
        <w:rPr>
          <w:szCs w:val="19"/>
        </w:rPr>
        <w:t xml:space="preserve"> of this Act requires that telephones which are used with the </w:t>
      </w:r>
      <w:r w:rsidRPr="00E84F0B">
        <w:rPr>
          <w:szCs w:val="19"/>
        </w:rPr>
        <w:lastRenderedPageBreak/>
        <w:t xml:space="preserve">Internet need to accommodate hearing aids. Section 104, outlines access to advanced communications services and equipment which is an expansion of Section 255’s accessibility mandates to advanced communications services and equipment. This section has a modified standard which defines “achievable” as reasonable effort or expense, as determined by the FCC. </w:t>
      </w:r>
    </w:p>
    <w:p w:rsidR="00333E30" w:rsidRPr="00333E30" w:rsidRDefault="00333E30" w:rsidP="00333E30">
      <w:pPr>
        <w:spacing w:before="160"/>
        <w:rPr>
          <w:szCs w:val="19"/>
        </w:rPr>
      </w:pPr>
      <w:r w:rsidRPr="00333E30">
        <w:rPr>
          <w:szCs w:val="19"/>
        </w:rPr>
        <w:t>Basically, CVAA follows a string of laws, passed in the 1980s and 1990s, that were designed to ensure that telephone and television services would be accessible to all Americans with disabilities.</w:t>
      </w:r>
      <w:r w:rsidRPr="00195598">
        <w:rPr>
          <w:vertAlign w:val="superscript"/>
        </w:rPr>
        <w:footnoteReference w:id="11"/>
      </w:r>
      <w:r w:rsidRPr="00195598">
        <w:rPr>
          <w:szCs w:val="19"/>
          <w:vertAlign w:val="superscript"/>
        </w:rPr>
        <w:t xml:space="preserve"> </w:t>
      </w:r>
      <w:r w:rsidRPr="00333E30">
        <w:rPr>
          <w:szCs w:val="19"/>
        </w:rPr>
        <w:t xml:space="preserve"> The followings are the key requirements:</w:t>
      </w:r>
    </w:p>
    <w:p w:rsidR="00333E30" w:rsidRPr="00E84F0B" w:rsidRDefault="00333E30" w:rsidP="00E84F0B">
      <w:pPr>
        <w:pStyle w:val="ListParagraph"/>
        <w:numPr>
          <w:ilvl w:val="0"/>
          <w:numId w:val="38"/>
        </w:numPr>
        <w:spacing w:before="160" w:after="0" w:line="360" w:lineRule="auto"/>
        <w:ind w:left="357" w:hanging="357"/>
        <w:rPr>
          <w:szCs w:val="19"/>
        </w:rPr>
      </w:pPr>
      <w:r w:rsidRPr="00E84F0B">
        <w:rPr>
          <w:szCs w:val="19"/>
        </w:rPr>
        <w:t xml:space="preserve">Access to Internet browsers on mobile phones </w:t>
      </w:r>
    </w:p>
    <w:p w:rsidR="00333E30" w:rsidRPr="00E84F0B" w:rsidRDefault="00333E30" w:rsidP="00E84F0B">
      <w:pPr>
        <w:pStyle w:val="ListParagraph"/>
        <w:numPr>
          <w:ilvl w:val="0"/>
          <w:numId w:val="38"/>
        </w:numPr>
        <w:spacing w:before="160" w:after="0" w:line="360" w:lineRule="auto"/>
        <w:ind w:left="357" w:hanging="357"/>
        <w:rPr>
          <w:szCs w:val="19"/>
        </w:rPr>
      </w:pPr>
      <w:r w:rsidRPr="00E84F0B">
        <w:rPr>
          <w:szCs w:val="19"/>
        </w:rPr>
        <w:t>Improved accountability and enforcement</w:t>
      </w:r>
    </w:p>
    <w:p w:rsidR="00333E30" w:rsidRPr="00E84F0B" w:rsidRDefault="00333E30" w:rsidP="00E84F0B">
      <w:pPr>
        <w:pStyle w:val="ListParagraph"/>
        <w:numPr>
          <w:ilvl w:val="0"/>
          <w:numId w:val="38"/>
        </w:numPr>
        <w:spacing w:before="160" w:after="0" w:line="360" w:lineRule="auto"/>
        <w:ind w:left="357" w:hanging="357"/>
        <w:rPr>
          <w:szCs w:val="19"/>
        </w:rPr>
      </w:pPr>
      <w:r w:rsidRPr="00E84F0B">
        <w:rPr>
          <w:szCs w:val="19"/>
        </w:rPr>
        <w:t>Expansion of relay services definition and contributors</w:t>
      </w:r>
    </w:p>
    <w:p w:rsidR="00333E30" w:rsidRPr="00E84F0B" w:rsidRDefault="00333E30" w:rsidP="00E84F0B">
      <w:pPr>
        <w:pStyle w:val="ListParagraph"/>
        <w:numPr>
          <w:ilvl w:val="0"/>
          <w:numId w:val="38"/>
        </w:numPr>
        <w:spacing w:before="160" w:after="0" w:line="360" w:lineRule="auto"/>
        <w:ind w:left="357" w:hanging="357"/>
        <w:rPr>
          <w:szCs w:val="19"/>
        </w:rPr>
      </w:pPr>
      <w:r w:rsidRPr="00E84F0B">
        <w:rPr>
          <w:szCs w:val="19"/>
        </w:rPr>
        <w:t>Equipment for low-income deaf-blind individuals</w:t>
      </w:r>
    </w:p>
    <w:p w:rsidR="00333E30" w:rsidRPr="00E84F0B" w:rsidRDefault="00333E30" w:rsidP="00E84F0B">
      <w:pPr>
        <w:pStyle w:val="ListParagraph"/>
        <w:numPr>
          <w:ilvl w:val="0"/>
          <w:numId w:val="38"/>
        </w:numPr>
        <w:spacing w:before="160" w:after="0" w:line="360" w:lineRule="auto"/>
        <w:ind w:left="357" w:hanging="357"/>
        <w:rPr>
          <w:szCs w:val="19"/>
        </w:rPr>
      </w:pPr>
      <w:r w:rsidRPr="00E84F0B">
        <w:rPr>
          <w:szCs w:val="19"/>
        </w:rPr>
        <w:t>Expansion of hearing aid compatibility (HAC) rules</w:t>
      </w:r>
    </w:p>
    <w:p w:rsidR="00333E30" w:rsidRPr="00E84F0B" w:rsidRDefault="00333E30" w:rsidP="00E84F0B">
      <w:pPr>
        <w:pStyle w:val="ListParagraph"/>
        <w:numPr>
          <w:ilvl w:val="0"/>
          <w:numId w:val="38"/>
        </w:numPr>
        <w:spacing w:before="160" w:after="0" w:line="360" w:lineRule="auto"/>
        <w:ind w:left="357" w:hanging="357"/>
        <w:rPr>
          <w:szCs w:val="19"/>
        </w:rPr>
      </w:pPr>
      <w:r w:rsidRPr="00E84F0B">
        <w:rPr>
          <w:szCs w:val="19"/>
        </w:rPr>
        <w:t>Ensuring access to next generation 9-1-1 services</w:t>
      </w:r>
    </w:p>
    <w:p w:rsidR="00333E30" w:rsidRPr="00333E30" w:rsidRDefault="00333E30" w:rsidP="00333E30">
      <w:pPr>
        <w:spacing w:before="160"/>
        <w:rPr>
          <w:szCs w:val="19"/>
        </w:rPr>
      </w:pPr>
      <w:r w:rsidRPr="00333E30">
        <w:rPr>
          <w:szCs w:val="19"/>
        </w:rPr>
        <w:t>Section 508</w:t>
      </w:r>
      <w:r w:rsidRPr="00333E30">
        <w:rPr>
          <w:szCs w:val="19"/>
          <w:vertAlign w:val="superscript"/>
        </w:rPr>
        <w:footnoteReference w:id="12"/>
      </w:r>
      <w:r w:rsidRPr="00333E30">
        <w:rPr>
          <w:szCs w:val="19"/>
        </w:rPr>
        <w:t>, a provision in the Rehabilitation Act,</w:t>
      </w:r>
      <w:r w:rsidRPr="00333E30">
        <w:rPr>
          <w:szCs w:val="19"/>
          <w:vertAlign w:val="superscript"/>
        </w:rPr>
        <w:footnoteReference w:id="13"/>
      </w:r>
      <w:r w:rsidRPr="00333E30">
        <w:rPr>
          <w:szCs w:val="19"/>
        </w:rPr>
        <w:t xml:space="preserve"> mandates that electronic and information technology funded, developed or used by the US federal government or US federal agencies should be accessible to persons with disabilities who may be employees or general members of the public, “unless an undue burden would be imposed on the department or agency”.</w:t>
      </w:r>
      <w:r w:rsidRPr="00333E30">
        <w:rPr>
          <w:szCs w:val="19"/>
          <w:vertAlign w:val="superscript"/>
        </w:rPr>
        <w:footnoteReference w:id="14"/>
      </w:r>
    </w:p>
    <w:p w:rsidR="00333E30" w:rsidRPr="00333E30" w:rsidRDefault="00333E30" w:rsidP="00333E30">
      <w:pPr>
        <w:spacing w:before="160"/>
        <w:rPr>
          <w:szCs w:val="19"/>
        </w:rPr>
      </w:pPr>
      <w:r w:rsidRPr="00333E30">
        <w:rPr>
          <w:szCs w:val="19"/>
        </w:rPr>
        <w:t xml:space="preserve">The provision further requires that levels of access be on par with those for able-bodied people. Section 508 concerns federal agencies, but has created a marketplace incentive for the development of accessible information and communications technology. </w:t>
      </w:r>
    </w:p>
    <w:p w:rsidR="00333E30" w:rsidRPr="00333E30" w:rsidRDefault="00333E30" w:rsidP="00090A6F">
      <w:pPr>
        <w:rPr>
          <w:b/>
          <w:szCs w:val="19"/>
        </w:rPr>
      </w:pPr>
    </w:p>
    <w:p w:rsidR="00AE13AA" w:rsidRPr="00333E30" w:rsidRDefault="00AE13AA" w:rsidP="00AE13AA">
      <w:pPr>
        <w:pStyle w:val="CEOcontributionStart"/>
        <w:spacing w:before="120" w:after="0"/>
        <w:jc w:val="center"/>
        <w:rPr>
          <w:lang w:val="en-US"/>
        </w:rPr>
      </w:pPr>
      <w:r w:rsidRPr="00333E30">
        <w:rPr>
          <w:lang w:val="en-US"/>
        </w:rPr>
        <w:t>________</w:t>
      </w:r>
    </w:p>
    <w:sectPr w:rsidR="00AE13AA" w:rsidRPr="00333E30" w:rsidSect="00C375E1">
      <w:headerReference w:type="default" r:id="rId11"/>
      <w:footerReference w:type="first" r:id="rId12"/>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30" w:rsidRDefault="00333E30">
      <w:r>
        <w:separator/>
      </w:r>
    </w:p>
  </w:endnote>
  <w:endnote w:type="continuationSeparator" w:id="0">
    <w:p w:rsidR="00333E30" w:rsidRDefault="0033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757D1E" w:rsidRPr="005F03C0" w:rsidTr="00C02056">
      <w:trPr>
        <w:cantSplit/>
        <w:trHeight w:val="204"/>
        <w:jc w:val="center"/>
      </w:trPr>
      <w:tc>
        <w:tcPr>
          <w:tcW w:w="1427" w:type="dxa"/>
          <w:tcBorders>
            <w:top w:val="single" w:sz="12" w:space="0" w:color="auto"/>
          </w:tcBorders>
        </w:tcPr>
        <w:p w:rsidR="00757D1E" w:rsidRPr="005F03C0" w:rsidRDefault="00757D1E" w:rsidP="00C02056">
          <w:pPr>
            <w:rPr>
              <w:rFonts w:asciiTheme="majorBidi" w:hAnsiTheme="majorBidi" w:cstheme="majorBidi"/>
              <w:b/>
              <w:bCs w:val="0"/>
              <w:sz w:val="22"/>
              <w:szCs w:val="22"/>
            </w:rPr>
          </w:pPr>
          <w:r w:rsidRPr="005F03C0">
            <w:rPr>
              <w:rFonts w:asciiTheme="majorBidi" w:hAnsiTheme="majorBidi" w:cstheme="majorBidi"/>
              <w:b/>
              <w:bCs w:val="0"/>
              <w:sz w:val="22"/>
              <w:szCs w:val="22"/>
            </w:rPr>
            <w:t>Contact:</w:t>
          </w:r>
        </w:p>
      </w:tc>
      <w:tc>
        <w:tcPr>
          <w:tcW w:w="4295" w:type="dxa"/>
          <w:tcBorders>
            <w:top w:val="single" w:sz="12" w:space="0" w:color="auto"/>
          </w:tcBorders>
        </w:tcPr>
        <w:p w:rsidR="00757D1E" w:rsidRPr="005F03C0" w:rsidRDefault="00757D1E" w:rsidP="00C02056">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757D1E" w:rsidRPr="005F03C0" w:rsidRDefault="00757D1E" w:rsidP="00C02056">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757D1E" w:rsidRPr="005F03C0" w:rsidRDefault="00757D1E" w:rsidP="00C02056">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757D1E" w:rsidRPr="005F03C0" w:rsidTr="00C02056">
      <w:tblPrEx>
        <w:tblCellMar>
          <w:left w:w="108"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57D1E" w:rsidRPr="005F03C0" w:rsidRDefault="00757D1E" w:rsidP="00C02056">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57D1E" w:rsidRDefault="00757D1E" w:rsidP="00757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30" w:rsidRDefault="00333E30">
      <w:r>
        <w:separator/>
      </w:r>
    </w:p>
  </w:footnote>
  <w:footnote w:type="continuationSeparator" w:id="0">
    <w:p w:rsidR="00333E30" w:rsidRDefault="00333E30">
      <w:r>
        <w:continuationSeparator/>
      </w:r>
    </w:p>
  </w:footnote>
  <w:footnote w:id="1">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w:t>
      </w:r>
      <w:hyperlink r:id="rId1" w:tooltip="http://www.fcc.gov/" w:history="1">
        <w:r w:rsidRPr="00E84F0B">
          <w:rPr>
            <w:rStyle w:val="Hyperlink"/>
            <w:color w:val="800080"/>
            <w:sz w:val="16"/>
            <w:szCs w:val="16"/>
          </w:rPr>
          <w:t>http://www.fcc.gov/</w:t>
        </w:r>
      </w:hyperlink>
    </w:p>
  </w:footnote>
  <w:footnote w:id="2">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w:t>
      </w:r>
      <w:hyperlink r:id="rId2" w:tooltip="http://en.wikipedia.org/wiki/Telecommunications_Act_of_1996" w:history="1">
        <w:r>
          <w:rPr>
            <w:rStyle w:val="Hyperlink"/>
            <w:sz w:val="16"/>
            <w:szCs w:val="16"/>
          </w:rPr>
          <w:t>http://en.wikipedia.org/wiki/Telecommunications_Act_of_1996</w:t>
        </w:r>
      </w:hyperlink>
    </w:p>
  </w:footnote>
  <w:footnote w:id="3">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w:t>
      </w:r>
      <w:hyperlink r:id="rId3" w:tooltip="http://www.usac.org/default.aspx" w:history="1">
        <w:r>
          <w:rPr>
            <w:rStyle w:val="Hyperlink"/>
            <w:sz w:val="16"/>
            <w:szCs w:val="16"/>
          </w:rPr>
          <w:t>http://www.usac.org/default.aspx</w:t>
        </w:r>
      </w:hyperlink>
    </w:p>
  </w:footnote>
  <w:footnote w:id="4">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w:t>
      </w:r>
      <w:hyperlink r:id="rId4" w:tooltip="http://www.access-board.gov/about/laws/telecomm.htm" w:history="1">
        <w:r>
          <w:rPr>
            <w:rStyle w:val="Hyperlink"/>
            <w:sz w:val="16"/>
            <w:szCs w:val="16"/>
          </w:rPr>
          <w:t>http://www.access-board.gov/about/laws/telecomm.htm</w:t>
        </w:r>
      </w:hyperlink>
    </w:p>
  </w:footnote>
  <w:footnote w:id="5">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w:t>
      </w:r>
      <w:hyperlink r:id="rId5" w:tooltip="http://www.dleg.state.mi.us/mpsc/comm/broadband/unbundling/section_251.htm" w:history="1">
        <w:r>
          <w:rPr>
            <w:rStyle w:val="Hyperlink"/>
            <w:sz w:val="16"/>
            <w:szCs w:val="16"/>
          </w:rPr>
          <w:t>http://www.dleg.state.mi.us/mpsc/comm/broadband/unbundling/section_251.htm</w:t>
        </w:r>
      </w:hyperlink>
    </w:p>
  </w:footnote>
  <w:footnote w:id="6">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sidR="00E84F0B">
        <w:rPr>
          <w:rFonts w:ascii="Verdana" w:hAnsi="Verdana"/>
          <w:sz w:val="16"/>
          <w:szCs w:val="16"/>
        </w:rPr>
        <w:t xml:space="preserve"> </w:t>
      </w:r>
      <w:hyperlink r:id="rId6" w:tooltip="http://www.fcc.gov/cgb/dro/trs.html" w:history="1">
        <w:r>
          <w:rPr>
            <w:rStyle w:val="Hyperlink"/>
            <w:sz w:val="16"/>
            <w:szCs w:val="16"/>
          </w:rPr>
          <w:t>http://www.fcc.gov/cgb/dro/trs.html</w:t>
        </w:r>
      </w:hyperlink>
    </w:p>
  </w:footnote>
  <w:footnote w:id="7">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‘Essential’ telephones are defined as “coin-operated telephones, telephones provided for emergency use, and other telephones frequently needed for use by persons using such hearing aids.” Essential phones might include workplace phones, phones in confined settings (like hospitals and nursing homes), and phones in hotel and motel rooms.</w:t>
      </w:r>
    </w:p>
  </w:footnote>
  <w:footnote w:id="8">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sidR="00E84F0B">
        <w:rPr>
          <w:rFonts w:ascii="Verdana" w:hAnsi="Verdana"/>
          <w:sz w:val="16"/>
          <w:szCs w:val="16"/>
        </w:rPr>
        <w:t xml:space="preserve"> </w:t>
      </w:r>
      <w:hyperlink r:id="rId7" w:tooltip="http://www.fcc.gov/cgb/dro/hearing.html" w:history="1">
        <w:r>
          <w:rPr>
            <w:rStyle w:val="Hyperlink"/>
            <w:sz w:val="16"/>
            <w:szCs w:val="16"/>
          </w:rPr>
          <w:t>http://www.fcc.gov/cgb/dro/hearing.html</w:t>
        </w:r>
      </w:hyperlink>
    </w:p>
  </w:footnote>
  <w:footnote w:id="9">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w:t>
      </w:r>
      <w:hyperlink r:id="rId8" w:tooltip="http://www.govtrack.us/congress/bill.xpd?bill=s111-3304" w:history="1">
        <w:r>
          <w:rPr>
            <w:rStyle w:val="Hyperlink"/>
            <w:sz w:val="16"/>
            <w:szCs w:val="16"/>
          </w:rPr>
          <w:t>http://www.govtrack.us/congress/bill.xpd?bill=s111-3304</w:t>
        </w:r>
      </w:hyperlink>
      <w:r>
        <w:rPr>
          <w:rFonts w:ascii="Verdana" w:hAnsi="Verdana"/>
          <w:sz w:val="16"/>
          <w:szCs w:val="16"/>
        </w:rPr>
        <w:t xml:space="preserve"> </w:t>
      </w:r>
    </w:p>
  </w:footnote>
  <w:footnote w:id="10">
    <w:p w:rsidR="00333E30" w:rsidRPr="00333E30" w:rsidRDefault="00333E30" w:rsidP="00E84F0B">
      <w:pPr>
        <w:pStyle w:val="FootnoteText"/>
        <w:spacing w:before="80" w:beforeAutospacing="0" w:after="0" w:afterAutospacing="0"/>
        <w:ind w:left="255"/>
        <w:rPr>
          <w:rFonts w:ascii="Verdana" w:hAnsi="Verdana"/>
          <w:sz w:val="16"/>
          <w:szCs w:val="16"/>
        </w:rPr>
      </w:pPr>
      <w:r w:rsidRPr="00333E30">
        <w:rPr>
          <w:rFonts w:ascii="Verdana" w:hAnsi="Verdana"/>
          <w:sz w:val="16"/>
          <w:szCs w:val="16"/>
        </w:rPr>
        <w:footnoteRef/>
      </w:r>
      <w:r w:rsidR="00E84F0B">
        <w:rPr>
          <w:rFonts w:ascii="Verdana" w:hAnsi="Verdana"/>
          <w:sz w:val="16"/>
          <w:szCs w:val="16"/>
        </w:rPr>
        <w:t xml:space="preserve"> </w:t>
      </w:r>
      <w:hyperlink r:id="rId9" w:history="1">
        <w:r w:rsidR="00E84F0B" w:rsidRPr="002B53C3">
          <w:rPr>
            <w:rStyle w:val="Hyperlink"/>
            <w:sz w:val="16"/>
            <w:szCs w:val="16"/>
          </w:rPr>
          <w:t>http://www.coataccess.org/node/9776</w:t>
        </w:r>
      </w:hyperlink>
    </w:p>
  </w:footnote>
  <w:footnote w:id="11">
    <w:p w:rsidR="00333E30" w:rsidRPr="00195598" w:rsidRDefault="00333E30" w:rsidP="00E84F0B">
      <w:pPr>
        <w:pStyle w:val="FootnoteText"/>
        <w:spacing w:before="80" w:beforeAutospacing="0" w:after="0" w:afterAutospacing="0"/>
        <w:ind w:left="255"/>
        <w:rPr>
          <w:rFonts w:ascii="Verdana" w:hAnsi="Verdana"/>
          <w:sz w:val="16"/>
          <w:szCs w:val="16"/>
        </w:rPr>
      </w:pPr>
      <w:r w:rsidRPr="00195598">
        <w:rPr>
          <w:rFonts w:ascii="Verdana" w:hAnsi="Verdana"/>
          <w:sz w:val="16"/>
          <w:szCs w:val="16"/>
        </w:rPr>
        <w:footnoteRef/>
      </w:r>
      <w:r w:rsidRPr="00195598">
        <w:rPr>
          <w:rFonts w:ascii="Verdana" w:hAnsi="Verdana"/>
          <w:sz w:val="16"/>
          <w:szCs w:val="16"/>
        </w:rPr>
        <w:t xml:space="preserve"> </w:t>
      </w:r>
      <w:hyperlink r:id="rId10" w:history="1">
        <w:r w:rsidR="00E84F0B" w:rsidRPr="002B53C3">
          <w:rPr>
            <w:rStyle w:val="Hyperlink"/>
            <w:sz w:val="16"/>
            <w:szCs w:val="16"/>
          </w:rPr>
          <w:t>https://www.fcc.gov/encyclopedia/twenty-first-century-communications-and-video-accessibility-act</w:t>
        </w:r>
      </w:hyperlink>
    </w:p>
  </w:footnote>
  <w:footnote w:id="12">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w:t>
      </w:r>
      <w:hyperlink r:id="rId11" w:tooltip="http://www.section508.gov/" w:history="1">
        <w:r>
          <w:rPr>
            <w:rStyle w:val="Hyperlink"/>
            <w:sz w:val="16"/>
            <w:szCs w:val="16"/>
          </w:rPr>
          <w:t>http://www.section508.gov/</w:t>
        </w:r>
      </w:hyperlink>
    </w:p>
  </w:footnote>
  <w:footnote w:id="13">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w:t>
      </w:r>
      <w:hyperlink r:id="rId12" w:tooltip="http://en.wikipedia.org/wiki/Rehabilitation_Act_of_1973" w:history="1">
        <w:r>
          <w:rPr>
            <w:rStyle w:val="Hyperlink"/>
            <w:sz w:val="16"/>
            <w:szCs w:val="16"/>
          </w:rPr>
          <w:t>http://en.wikipedia.org/wiki/Rehabilitation_Act_of_1973</w:t>
        </w:r>
      </w:hyperlink>
    </w:p>
  </w:footnote>
  <w:footnote w:id="14">
    <w:p w:rsidR="00333E30" w:rsidRDefault="00333E30" w:rsidP="00333E30">
      <w:pPr>
        <w:pStyle w:val="FootnoteText"/>
        <w:spacing w:before="80" w:beforeAutospacing="0" w:after="0" w:afterAutospacing="0"/>
        <w:ind w:left="255"/>
      </w:pPr>
      <w:r>
        <w:rPr>
          <w:rStyle w:val="FootnoteReference"/>
          <w:rFonts w:ascii="Verdana" w:hAnsi="Verdana"/>
          <w:sz w:val="16"/>
          <w:szCs w:val="16"/>
        </w:rPr>
        <w:footnoteRef/>
      </w:r>
      <w:r>
        <w:rPr>
          <w:rFonts w:ascii="Verdana" w:hAnsi="Verdana"/>
          <w:sz w:val="16"/>
          <w:szCs w:val="16"/>
        </w:rPr>
        <w:t xml:space="preserve"> </w:t>
      </w:r>
      <w:hyperlink r:id="rId13" w:tooltip="http://www.afb.org/afbpress/pub.asp?DocID=aw110402" w:history="1">
        <w:r>
          <w:rPr>
            <w:rStyle w:val="Hyperlink"/>
            <w:sz w:val="16"/>
            <w:szCs w:val="16"/>
            <w:lang w:val="en-IN"/>
          </w:rPr>
          <w:t>http://www.afb.org/afbpress/pub.asp?DocID=aw110402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02102"/>
      <w:docPartObj>
        <w:docPartGallery w:val="Page Numbers (Top of Page)"/>
        <w:docPartUnique/>
      </w:docPartObj>
    </w:sdtPr>
    <w:sdtEndPr>
      <w:rPr>
        <w:noProof/>
      </w:rPr>
    </w:sdtEndPr>
    <w:sdtContent>
      <w:p w:rsidR="00757D1E" w:rsidRDefault="00757D1E" w:rsidP="00757D1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57D1E" w:rsidRDefault="00757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121728D"/>
    <w:multiLevelType w:val="hybridMultilevel"/>
    <w:tmpl w:val="9298519A"/>
    <w:lvl w:ilvl="0" w:tplc="EDC0A436">
      <w:start w:val="1"/>
      <w:numFmt w:val="bullet"/>
      <w:lvlText w:val="•"/>
      <w:lvlJc w:val="left"/>
      <w:pPr>
        <w:tabs>
          <w:tab w:val="num" w:pos="720"/>
        </w:tabs>
        <w:ind w:left="720" w:hanging="360"/>
      </w:pPr>
      <w:rPr>
        <w:rFonts w:ascii="Times New Roman" w:hAnsi="Times New Roman" w:cs="Times New Roman" w:hint="default"/>
      </w:rPr>
    </w:lvl>
    <w:lvl w:ilvl="1" w:tplc="2272B07C">
      <w:start w:val="1"/>
      <w:numFmt w:val="decimal"/>
      <w:lvlText w:val="%2."/>
      <w:lvlJc w:val="left"/>
      <w:pPr>
        <w:tabs>
          <w:tab w:val="num" w:pos="1440"/>
        </w:tabs>
        <w:ind w:left="1440" w:hanging="360"/>
      </w:pPr>
    </w:lvl>
    <w:lvl w:ilvl="2" w:tplc="0778F432">
      <w:start w:val="1"/>
      <w:numFmt w:val="decimal"/>
      <w:lvlText w:val="%3."/>
      <w:lvlJc w:val="left"/>
      <w:pPr>
        <w:tabs>
          <w:tab w:val="num" w:pos="2160"/>
        </w:tabs>
        <w:ind w:left="2160" w:hanging="360"/>
      </w:pPr>
    </w:lvl>
    <w:lvl w:ilvl="3" w:tplc="C10EEB84">
      <w:start w:val="1"/>
      <w:numFmt w:val="decimal"/>
      <w:lvlText w:val="%4."/>
      <w:lvlJc w:val="left"/>
      <w:pPr>
        <w:tabs>
          <w:tab w:val="num" w:pos="2880"/>
        </w:tabs>
        <w:ind w:left="2880" w:hanging="360"/>
      </w:pPr>
    </w:lvl>
    <w:lvl w:ilvl="4" w:tplc="A7BEB330">
      <w:start w:val="1"/>
      <w:numFmt w:val="decimal"/>
      <w:lvlText w:val="%5."/>
      <w:lvlJc w:val="left"/>
      <w:pPr>
        <w:tabs>
          <w:tab w:val="num" w:pos="3600"/>
        </w:tabs>
        <w:ind w:left="3600" w:hanging="360"/>
      </w:pPr>
    </w:lvl>
    <w:lvl w:ilvl="5" w:tplc="CC1A90A6">
      <w:start w:val="1"/>
      <w:numFmt w:val="decimal"/>
      <w:lvlText w:val="%6."/>
      <w:lvlJc w:val="left"/>
      <w:pPr>
        <w:tabs>
          <w:tab w:val="num" w:pos="4320"/>
        </w:tabs>
        <w:ind w:left="4320" w:hanging="360"/>
      </w:pPr>
    </w:lvl>
    <w:lvl w:ilvl="6" w:tplc="9D24FCC6">
      <w:start w:val="1"/>
      <w:numFmt w:val="decimal"/>
      <w:lvlText w:val="%7."/>
      <w:lvlJc w:val="left"/>
      <w:pPr>
        <w:tabs>
          <w:tab w:val="num" w:pos="5040"/>
        </w:tabs>
        <w:ind w:left="5040" w:hanging="360"/>
      </w:pPr>
    </w:lvl>
    <w:lvl w:ilvl="7" w:tplc="EE444B5E">
      <w:start w:val="1"/>
      <w:numFmt w:val="decimal"/>
      <w:lvlText w:val="%8."/>
      <w:lvlJc w:val="left"/>
      <w:pPr>
        <w:tabs>
          <w:tab w:val="num" w:pos="5760"/>
        </w:tabs>
        <w:ind w:left="5760" w:hanging="360"/>
      </w:pPr>
    </w:lvl>
    <w:lvl w:ilvl="8" w:tplc="C5DE5922">
      <w:start w:val="1"/>
      <w:numFmt w:val="decimal"/>
      <w:lvlText w:val="%9."/>
      <w:lvlJc w:val="left"/>
      <w:pPr>
        <w:tabs>
          <w:tab w:val="num" w:pos="6480"/>
        </w:tabs>
        <w:ind w:left="6480" w:hanging="360"/>
      </w:pPr>
    </w:lvl>
  </w:abstractNum>
  <w:abstractNum w:abstractNumId="13">
    <w:nsid w:val="03E17018"/>
    <w:multiLevelType w:val="hybridMultilevel"/>
    <w:tmpl w:val="483A4F58"/>
    <w:lvl w:ilvl="0" w:tplc="452882AA">
      <w:start w:val="1"/>
      <w:numFmt w:val="bullet"/>
      <w:lvlText w:val="•"/>
      <w:lvlJc w:val="left"/>
      <w:pPr>
        <w:tabs>
          <w:tab w:val="num" w:pos="720"/>
        </w:tabs>
        <w:ind w:left="720" w:hanging="360"/>
      </w:pPr>
      <w:rPr>
        <w:rFonts w:ascii="Times New Roman" w:hAnsi="Times New Roman" w:cs="Times New Roman" w:hint="default"/>
      </w:rPr>
    </w:lvl>
    <w:lvl w:ilvl="1" w:tplc="15D8541A">
      <w:start w:val="1"/>
      <w:numFmt w:val="decimal"/>
      <w:lvlText w:val="%2."/>
      <w:lvlJc w:val="left"/>
      <w:pPr>
        <w:tabs>
          <w:tab w:val="num" w:pos="1440"/>
        </w:tabs>
        <w:ind w:left="1440" w:hanging="360"/>
      </w:pPr>
    </w:lvl>
    <w:lvl w:ilvl="2" w:tplc="C1DCC9B2">
      <w:start w:val="1"/>
      <w:numFmt w:val="decimal"/>
      <w:lvlText w:val="%3."/>
      <w:lvlJc w:val="left"/>
      <w:pPr>
        <w:tabs>
          <w:tab w:val="num" w:pos="2160"/>
        </w:tabs>
        <w:ind w:left="2160" w:hanging="360"/>
      </w:pPr>
    </w:lvl>
    <w:lvl w:ilvl="3" w:tplc="266EB314">
      <w:start w:val="1"/>
      <w:numFmt w:val="decimal"/>
      <w:lvlText w:val="%4."/>
      <w:lvlJc w:val="left"/>
      <w:pPr>
        <w:tabs>
          <w:tab w:val="num" w:pos="2880"/>
        </w:tabs>
        <w:ind w:left="2880" w:hanging="360"/>
      </w:pPr>
    </w:lvl>
    <w:lvl w:ilvl="4" w:tplc="B98A8FF4">
      <w:start w:val="1"/>
      <w:numFmt w:val="decimal"/>
      <w:lvlText w:val="%5."/>
      <w:lvlJc w:val="left"/>
      <w:pPr>
        <w:tabs>
          <w:tab w:val="num" w:pos="3600"/>
        </w:tabs>
        <w:ind w:left="3600" w:hanging="360"/>
      </w:pPr>
    </w:lvl>
    <w:lvl w:ilvl="5" w:tplc="13841480">
      <w:start w:val="1"/>
      <w:numFmt w:val="decimal"/>
      <w:lvlText w:val="%6."/>
      <w:lvlJc w:val="left"/>
      <w:pPr>
        <w:tabs>
          <w:tab w:val="num" w:pos="4320"/>
        </w:tabs>
        <w:ind w:left="4320" w:hanging="360"/>
      </w:pPr>
    </w:lvl>
    <w:lvl w:ilvl="6" w:tplc="F5F20D08">
      <w:start w:val="1"/>
      <w:numFmt w:val="decimal"/>
      <w:lvlText w:val="%7."/>
      <w:lvlJc w:val="left"/>
      <w:pPr>
        <w:tabs>
          <w:tab w:val="num" w:pos="5040"/>
        </w:tabs>
        <w:ind w:left="5040" w:hanging="360"/>
      </w:pPr>
    </w:lvl>
    <w:lvl w:ilvl="7" w:tplc="50006A9E">
      <w:start w:val="1"/>
      <w:numFmt w:val="decimal"/>
      <w:lvlText w:val="%8."/>
      <w:lvlJc w:val="left"/>
      <w:pPr>
        <w:tabs>
          <w:tab w:val="num" w:pos="5760"/>
        </w:tabs>
        <w:ind w:left="5760" w:hanging="360"/>
      </w:pPr>
    </w:lvl>
    <w:lvl w:ilvl="8" w:tplc="BA6A0C76">
      <w:start w:val="1"/>
      <w:numFmt w:val="decimal"/>
      <w:lvlText w:val="%9."/>
      <w:lvlJc w:val="left"/>
      <w:pPr>
        <w:tabs>
          <w:tab w:val="num" w:pos="6480"/>
        </w:tabs>
        <w:ind w:left="6480" w:hanging="360"/>
      </w:pPr>
    </w:lvl>
  </w:abstractNum>
  <w:abstractNum w:abstractNumId="14">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9034AA"/>
    <w:multiLevelType w:val="hybridMultilevel"/>
    <w:tmpl w:val="0C56B02C"/>
    <w:lvl w:ilvl="0" w:tplc="DF6CEB0E">
      <w:numFmt w:val="bullet"/>
      <w:lvlText w:val="•"/>
      <w:lvlJc w:val="left"/>
      <w:pPr>
        <w:ind w:left="564" w:hanging="564"/>
      </w:pPr>
      <w:rPr>
        <w:rFonts w:ascii="Verdana" w:eastAsia="SimHei" w:hAnsi="Verdana"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1F16A4"/>
    <w:multiLevelType w:val="hybridMultilevel"/>
    <w:tmpl w:val="A6D8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07615"/>
    <w:multiLevelType w:val="hybridMultilevel"/>
    <w:tmpl w:val="7E2CD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nsid w:val="53145AAB"/>
    <w:multiLevelType w:val="hybridMultilevel"/>
    <w:tmpl w:val="1C9292CC"/>
    <w:lvl w:ilvl="0" w:tplc="47E47828">
      <w:start w:val="1"/>
      <w:numFmt w:val="bullet"/>
      <w:lvlText w:val="–"/>
      <w:lvlJc w:val="left"/>
      <w:pPr>
        <w:ind w:left="564" w:hanging="564"/>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3"/>
  </w:num>
  <w:num w:numId="14">
    <w:abstractNumId w:val="14"/>
  </w:num>
  <w:num w:numId="15">
    <w:abstractNumId w:val="18"/>
  </w:num>
  <w:num w:numId="16">
    <w:abstractNumId w:val="36"/>
  </w:num>
  <w:num w:numId="17">
    <w:abstractNumId w:val="31"/>
  </w:num>
  <w:num w:numId="18">
    <w:abstractNumId w:val="15"/>
  </w:num>
  <w:num w:numId="19">
    <w:abstractNumId w:val="19"/>
  </w:num>
  <w:num w:numId="20">
    <w:abstractNumId w:val="27"/>
  </w:num>
  <w:num w:numId="21">
    <w:abstractNumId w:val="32"/>
  </w:num>
  <w:num w:numId="22">
    <w:abstractNumId w:val="17"/>
  </w:num>
  <w:num w:numId="23">
    <w:abstractNumId w:val="20"/>
  </w:num>
  <w:num w:numId="24">
    <w:abstractNumId w:val="30"/>
  </w:num>
  <w:num w:numId="25">
    <w:abstractNumId w:val="30"/>
  </w:num>
  <w:num w:numId="26">
    <w:abstractNumId w:val="21"/>
  </w:num>
  <w:num w:numId="27">
    <w:abstractNumId w:val="16"/>
  </w:num>
  <w:num w:numId="28">
    <w:abstractNumId w:val="34"/>
  </w:num>
  <w:num w:numId="29">
    <w:abstractNumId w:val="11"/>
  </w:num>
  <w:num w:numId="30">
    <w:abstractNumId w:val="26"/>
  </w:num>
  <w:num w:numId="31">
    <w:abstractNumId w:val="35"/>
  </w:num>
  <w:num w:numId="32">
    <w:abstractNumId w:val="28"/>
  </w:num>
  <w:num w:numId="33">
    <w:abstractNumId w:val="23"/>
  </w:num>
  <w:num w:numId="34">
    <w:abstractNumId w:val="22"/>
  </w:num>
  <w:num w:numId="35">
    <w:abstractNumId w:val="29"/>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375E1"/>
    <w:rsid w:val="00090A6F"/>
    <w:rsid w:val="000C35F0"/>
    <w:rsid w:val="000E753B"/>
    <w:rsid w:val="000F5A8B"/>
    <w:rsid w:val="000F7B09"/>
    <w:rsid w:val="00123A95"/>
    <w:rsid w:val="00126F53"/>
    <w:rsid w:val="0014388D"/>
    <w:rsid w:val="001537D4"/>
    <w:rsid w:val="00195598"/>
    <w:rsid w:val="001F3E39"/>
    <w:rsid w:val="001F6D4D"/>
    <w:rsid w:val="002135E5"/>
    <w:rsid w:val="00232005"/>
    <w:rsid w:val="00234D7F"/>
    <w:rsid w:val="00274D0E"/>
    <w:rsid w:val="002A7E9E"/>
    <w:rsid w:val="002E1DE2"/>
    <w:rsid w:val="002E3F83"/>
    <w:rsid w:val="002E67B3"/>
    <w:rsid w:val="0032744D"/>
    <w:rsid w:val="00333E30"/>
    <w:rsid w:val="00361DBE"/>
    <w:rsid w:val="003735AD"/>
    <w:rsid w:val="003860A1"/>
    <w:rsid w:val="004C57B1"/>
    <w:rsid w:val="004C671A"/>
    <w:rsid w:val="004D33E3"/>
    <w:rsid w:val="005363F4"/>
    <w:rsid w:val="0054639C"/>
    <w:rsid w:val="005657D4"/>
    <w:rsid w:val="005933AD"/>
    <w:rsid w:val="005E79AB"/>
    <w:rsid w:val="006246E7"/>
    <w:rsid w:val="0063275A"/>
    <w:rsid w:val="006A135F"/>
    <w:rsid w:val="006A1D5B"/>
    <w:rsid w:val="006C02A6"/>
    <w:rsid w:val="00710D5C"/>
    <w:rsid w:val="00757D1E"/>
    <w:rsid w:val="007A4E5E"/>
    <w:rsid w:val="007B0FC6"/>
    <w:rsid w:val="00833D9C"/>
    <w:rsid w:val="00835170"/>
    <w:rsid w:val="00860181"/>
    <w:rsid w:val="0087216D"/>
    <w:rsid w:val="008B6BDF"/>
    <w:rsid w:val="008D34A5"/>
    <w:rsid w:val="00926349"/>
    <w:rsid w:val="00933BAC"/>
    <w:rsid w:val="00951891"/>
    <w:rsid w:val="009571CF"/>
    <w:rsid w:val="0096512A"/>
    <w:rsid w:val="00994319"/>
    <w:rsid w:val="009965FD"/>
    <w:rsid w:val="009D4B99"/>
    <w:rsid w:val="00A235E2"/>
    <w:rsid w:val="00A268FB"/>
    <w:rsid w:val="00A86A71"/>
    <w:rsid w:val="00AB0E22"/>
    <w:rsid w:val="00AD72AA"/>
    <w:rsid w:val="00AE13AA"/>
    <w:rsid w:val="00B16FE2"/>
    <w:rsid w:val="00B212EA"/>
    <w:rsid w:val="00B85F84"/>
    <w:rsid w:val="00BF5F56"/>
    <w:rsid w:val="00C003CF"/>
    <w:rsid w:val="00C375E1"/>
    <w:rsid w:val="00C4707E"/>
    <w:rsid w:val="00C620DB"/>
    <w:rsid w:val="00C827DC"/>
    <w:rsid w:val="00CD345B"/>
    <w:rsid w:val="00CE1901"/>
    <w:rsid w:val="00D15492"/>
    <w:rsid w:val="00D43EBF"/>
    <w:rsid w:val="00D9430D"/>
    <w:rsid w:val="00DA0392"/>
    <w:rsid w:val="00DC23A5"/>
    <w:rsid w:val="00E00360"/>
    <w:rsid w:val="00E023D8"/>
    <w:rsid w:val="00E20653"/>
    <w:rsid w:val="00E61777"/>
    <w:rsid w:val="00E72FEF"/>
    <w:rsid w:val="00E84F0B"/>
    <w:rsid w:val="00F04A9A"/>
    <w:rsid w:val="00FC2947"/>
    <w:rsid w:val="00FE7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5E1"/>
    <w:pPr>
      <w:spacing w:before="120" w:after="120"/>
    </w:pPr>
    <w:rPr>
      <w:rFonts w:ascii="Verdana" w:eastAsia="SimHei" w:hAnsi="Verdana" w:cs="Simplified Arabic"/>
      <w:bCs/>
      <w:sz w:val="19"/>
      <w:szCs w:val="28"/>
    </w:rPr>
  </w:style>
  <w:style w:type="paragraph" w:styleId="Heading1">
    <w:name w:val="heading 1"/>
    <w:basedOn w:val="Normal"/>
    <w:next w:val="Normal"/>
    <w:qFormat/>
    <w:rsid w:val="00C375E1"/>
    <w:pPr>
      <w:spacing w:before="0" w:after="0"/>
      <w:outlineLvl w:val="0"/>
    </w:pPr>
    <w:rPr>
      <w:b/>
      <w:smallCaps/>
      <w:u w:val="single"/>
      <w:lang w:val="en-GB"/>
    </w:rPr>
  </w:style>
  <w:style w:type="paragraph" w:styleId="Heading2">
    <w:name w:val="heading 2"/>
    <w:basedOn w:val="Heading1"/>
    <w:qFormat/>
    <w:rsid w:val="00C375E1"/>
    <w:pPr>
      <w:numPr>
        <w:ilvl w:val="1"/>
        <w:numId w:val="25"/>
      </w:numPr>
      <w:spacing w:before="120" w:after="120"/>
      <w:outlineLvl w:val="1"/>
    </w:pPr>
    <w:rPr>
      <w:smallCaps w:val="0"/>
      <w:sz w:val="18"/>
      <w:u w:val="none"/>
    </w:rPr>
  </w:style>
  <w:style w:type="paragraph" w:styleId="Heading3">
    <w:name w:val="heading 3"/>
    <w:basedOn w:val="Normal"/>
    <w:next w:val="Normal"/>
    <w:qFormat/>
    <w:rsid w:val="00C375E1"/>
    <w:pPr>
      <w:numPr>
        <w:ilvl w:val="2"/>
        <w:numId w:val="25"/>
      </w:numPr>
      <w:spacing w:before="0" w:after="0"/>
      <w:outlineLvl w:val="2"/>
    </w:pPr>
    <w:rPr>
      <w:b/>
      <w:sz w:val="24"/>
      <w:lang w:val="en-GB"/>
    </w:rPr>
  </w:style>
  <w:style w:type="paragraph" w:styleId="Heading4">
    <w:name w:val="heading 4"/>
    <w:basedOn w:val="Normal"/>
    <w:next w:val="Normal"/>
    <w:qFormat/>
    <w:rsid w:val="00C375E1"/>
    <w:pPr>
      <w:numPr>
        <w:ilvl w:val="3"/>
        <w:numId w:val="25"/>
      </w:numPr>
      <w:spacing w:before="0" w:after="0"/>
      <w:outlineLvl w:val="3"/>
    </w:pPr>
    <w:rPr>
      <w:sz w:val="24"/>
      <w:u w:val="single"/>
      <w:lang w:val="en-GB"/>
    </w:rPr>
  </w:style>
  <w:style w:type="paragraph" w:styleId="Heading5">
    <w:name w:val="heading 5"/>
    <w:basedOn w:val="Normal"/>
    <w:next w:val="Normal"/>
    <w:qFormat/>
    <w:rsid w:val="00C375E1"/>
    <w:pPr>
      <w:numPr>
        <w:ilvl w:val="4"/>
        <w:numId w:val="25"/>
      </w:numPr>
      <w:spacing w:before="0" w:after="0"/>
      <w:outlineLvl w:val="4"/>
    </w:pPr>
    <w:rPr>
      <w:b/>
      <w:lang w:val="en-GB"/>
    </w:rPr>
  </w:style>
  <w:style w:type="paragraph" w:styleId="Heading6">
    <w:name w:val="heading 6"/>
    <w:basedOn w:val="Normal"/>
    <w:next w:val="Normal"/>
    <w:qFormat/>
    <w:rsid w:val="00C375E1"/>
    <w:pPr>
      <w:numPr>
        <w:ilvl w:val="5"/>
        <w:numId w:val="25"/>
      </w:numPr>
      <w:spacing w:before="0" w:after="0"/>
      <w:outlineLvl w:val="5"/>
    </w:pPr>
    <w:rPr>
      <w:u w:val="single"/>
      <w:lang w:val="en-GB"/>
    </w:rPr>
  </w:style>
  <w:style w:type="paragraph" w:styleId="Heading7">
    <w:name w:val="heading 7"/>
    <w:basedOn w:val="Normal"/>
    <w:next w:val="Normal"/>
    <w:qFormat/>
    <w:rsid w:val="00C375E1"/>
    <w:pPr>
      <w:numPr>
        <w:ilvl w:val="6"/>
        <w:numId w:val="25"/>
      </w:numPr>
      <w:spacing w:before="0" w:after="0"/>
      <w:outlineLvl w:val="6"/>
    </w:pPr>
    <w:rPr>
      <w:i/>
      <w:lang w:val="en-GB"/>
    </w:rPr>
  </w:style>
  <w:style w:type="paragraph" w:styleId="Heading8">
    <w:name w:val="heading 8"/>
    <w:basedOn w:val="Normal"/>
    <w:next w:val="Normal"/>
    <w:qFormat/>
    <w:rsid w:val="00C375E1"/>
    <w:pPr>
      <w:numPr>
        <w:ilvl w:val="7"/>
        <w:numId w:val="25"/>
      </w:numPr>
      <w:spacing w:before="0" w:after="0"/>
      <w:outlineLvl w:val="7"/>
    </w:pPr>
    <w:rPr>
      <w:i/>
      <w:lang w:val="en-GB"/>
    </w:rPr>
  </w:style>
  <w:style w:type="paragraph" w:styleId="Heading9">
    <w:name w:val="heading 9"/>
    <w:basedOn w:val="Normal"/>
    <w:next w:val="Normal"/>
    <w:qFormat/>
    <w:rsid w:val="00C375E1"/>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C375E1"/>
    <w:pPr>
      <w:spacing w:before="0"/>
      <w:ind w:left="3827" w:hanging="2268"/>
    </w:pPr>
    <w:rPr>
      <w:sz w:val="16"/>
      <w:szCs w:val="16"/>
    </w:rPr>
  </w:style>
  <w:style w:type="paragraph" w:customStyle="1" w:styleId="CEONormal">
    <w:name w:val="CEO_Normal"/>
    <w:autoRedefine/>
    <w:rsid w:val="00C375E1"/>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C375E1"/>
    <w:pPr>
      <w:spacing w:before="0" w:after="480"/>
    </w:pPr>
  </w:style>
  <w:style w:type="paragraph" w:customStyle="1" w:styleId="CEODocTitle2lines-First">
    <w:name w:val="CEO_DocTitle2lines-First"/>
    <w:basedOn w:val="CEODocTitle-1line"/>
    <w:next w:val="Normal"/>
    <w:rsid w:val="00C375E1"/>
    <w:pPr>
      <w:spacing w:after="0"/>
    </w:pPr>
  </w:style>
  <w:style w:type="paragraph" w:customStyle="1" w:styleId="CEODocTitle-1line">
    <w:name w:val="CEO_DocTitle-1line"/>
    <w:basedOn w:val="Normal"/>
    <w:next w:val="Normal"/>
    <w:rsid w:val="00C375E1"/>
    <w:pPr>
      <w:spacing w:before="480" w:after="480"/>
      <w:jc w:val="center"/>
    </w:pPr>
    <w:rPr>
      <w:b/>
      <w:sz w:val="28"/>
      <w:lang w:eastAsia="en-US"/>
    </w:rPr>
  </w:style>
  <w:style w:type="paragraph" w:customStyle="1" w:styleId="CEOcontributionH1">
    <w:name w:val="CEO_contributionH1"/>
    <w:basedOn w:val="CEOcontribution-H123"/>
    <w:next w:val="CEONormal"/>
    <w:rsid w:val="00C375E1"/>
    <w:pPr>
      <w:keepNext/>
      <w:keepLines/>
      <w:numPr>
        <w:numId w:val="0"/>
      </w:numPr>
      <w:spacing w:before="480"/>
    </w:pPr>
  </w:style>
  <w:style w:type="paragraph" w:customStyle="1" w:styleId="CEOcontribution-H123">
    <w:name w:val="CEO_contribution-H123"/>
    <w:basedOn w:val="Normal"/>
    <w:rsid w:val="00C375E1"/>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C375E1"/>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C375E1"/>
    <w:pPr>
      <w:ind w:left="567"/>
    </w:pPr>
    <w:rPr>
      <w:b w:val="0"/>
      <w:bCs w:val="0"/>
    </w:rPr>
  </w:style>
  <w:style w:type="paragraph" w:customStyle="1" w:styleId="CEOIndent1-123">
    <w:name w:val="CEO_Indent1-123"/>
    <w:basedOn w:val="Normal"/>
    <w:rsid w:val="00C375E1"/>
    <w:pPr>
      <w:numPr>
        <w:numId w:val="14"/>
      </w:numPr>
      <w:spacing w:before="60" w:after="60"/>
      <w:ind w:right="709"/>
    </w:pPr>
    <w:rPr>
      <w:szCs w:val="19"/>
      <w:lang w:eastAsia="en-US"/>
    </w:rPr>
  </w:style>
  <w:style w:type="paragraph" w:customStyle="1" w:styleId="CEOAgendaItemN">
    <w:name w:val="CEO_AgendaItemN°"/>
    <w:basedOn w:val="CEOIndent1-123"/>
    <w:rsid w:val="00C375E1"/>
    <w:pPr>
      <w:numPr>
        <w:numId w:val="0"/>
      </w:numPr>
      <w:ind w:right="12"/>
      <w:jc w:val="right"/>
    </w:pPr>
  </w:style>
  <w:style w:type="paragraph" w:customStyle="1" w:styleId="CEODocDates">
    <w:name w:val="CEO_DocDates"/>
    <w:basedOn w:val="Normal"/>
    <w:next w:val="Normal"/>
    <w:rsid w:val="00C375E1"/>
    <w:pPr>
      <w:spacing w:before="0" w:after="0"/>
    </w:pPr>
    <w:rPr>
      <w:b/>
      <w:bCs w:val="0"/>
      <w:szCs w:val="19"/>
      <w:lang w:val="en-GB" w:eastAsia="en-US"/>
    </w:rPr>
  </w:style>
  <w:style w:type="paragraph" w:customStyle="1" w:styleId="CEODocNo">
    <w:name w:val="CEO_DocNo"/>
    <w:basedOn w:val="Normal"/>
    <w:next w:val="Normal"/>
    <w:rsid w:val="00C375E1"/>
    <w:pPr>
      <w:spacing w:before="0" w:after="0"/>
    </w:pPr>
    <w:rPr>
      <w:b/>
      <w:bCs w:val="0"/>
      <w:szCs w:val="19"/>
      <w:lang w:val="en-GB" w:eastAsia="en-US"/>
    </w:rPr>
  </w:style>
  <w:style w:type="paragraph" w:customStyle="1" w:styleId="CEODocNoDetails">
    <w:name w:val="CEO_DocNoDetails"/>
    <w:basedOn w:val="Normal"/>
    <w:rsid w:val="00C375E1"/>
    <w:pPr>
      <w:spacing w:before="80" w:after="80"/>
      <w:jc w:val="center"/>
    </w:pPr>
    <w:rPr>
      <w:szCs w:val="19"/>
      <w:lang w:val="en-GB" w:eastAsia="en-US"/>
    </w:rPr>
  </w:style>
  <w:style w:type="paragraph" w:customStyle="1" w:styleId="CEOFooter">
    <w:name w:val="CEO_Footer"/>
    <w:basedOn w:val="Normal"/>
    <w:rsid w:val="00C375E1"/>
    <w:pPr>
      <w:tabs>
        <w:tab w:val="right" w:pos="9072"/>
      </w:tabs>
      <w:spacing w:before="0" w:after="0"/>
    </w:pPr>
    <w:rPr>
      <w:sz w:val="16"/>
      <w:szCs w:val="19"/>
      <w:lang w:val="en-GB" w:eastAsia="en-US"/>
    </w:rPr>
  </w:style>
  <w:style w:type="paragraph" w:customStyle="1" w:styleId="CEOHeader1">
    <w:name w:val="CEO_Header1"/>
    <w:basedOn w:val="Normal"/>
    <w:rsid w:val="00C375E1"/>
    <w:pPr>
      <w:numPr>
        <w:numId w:val="25"/>
      </w:numPr>
      <w:spacing w:before="0" w:after="0"/>
    </w:pPr>
    <w:rPr>
      <w:szCs w:val="19"/>
      <w:lang w:eastAsia="en-US"/>
    </w:rPr>
  </w:style>
  <w:style w:type="paragraph" w:customStyle="1" w:styleId="CEOHeader2">
    <w:name w:val="CEO_Header2"/>
    <w:basedOn w:val="Normal"/>
    <w:rsid w:val="00C375E1"/>
    <w:pPr>
      <w:spacing w:before="720" w:after="0"/>
    </w:pPr>
    <w:rPr>
      <w:szCs w:val="19"/>
      <w:lang w:eastAsia="en-US"/>
    </w:rPr>
  </w:style>
  <w:style w:type="paragraph" w:customStyle="1" w:styleId="CEOHeaderPageNumber">
    <w:name w:val="CEO_HeaderPageNumber"/>
    <w:basedOn w:val="Normal"/>
    <w:rsid w:val="00C375E1"/>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C375E1"/>
    <w:pPr>
      <w:numPr>
        <w:numId w:val="0"/>
      </w:numPr>
      <w:spacing w:before="360"/>
    </w:pPr>
    <w:rPr>
      <w:b w:val="0"/>
    </w:rPr>
  </w:style>
  <w:style w:type="paragraph" w:customStyle="1" w:styleId="CEOParagraph111">
    <w:name w:val="CEO_Paragraph1.1.1"/>
    <w:basedOn w:val="Heading3"/>
    <w:rsid w:val="00C375E1"/>
    <w:pPr>
      <w:tabs>
        <w:tab w:val="clear" w:pos="720"/>
        <w:tab w:val="num" w:pos="1418"/>
      </w:tabs>
      <w:ind w:left="1418" w:hanging="851"/>
    </w:pPr>
    <w:rPr>
      <w:b w:val="0"/>
      <w:bCs w:val="0"/>
      <w:sz w:val="19"/>
    </w:rPr>
  </w:style>
  <w:style w:type="paragraph" w:customStyle="1" w:styleId="CEOindent-abc">
    <w:name w:val="CEO_indent-abc"/>
    <w:basedOn w:val="Normal"/>
    <w:rsid w:val="00C375E1"/>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C375E1"/>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C375E1"/>
    <w:pPr>
      <w:numPr>
        <w:numId w:val="18"/>
      </w:numPr>
    </w:pPr>
  </w:style>
  <w:style w:type="paragraph" w:customStyle="1" w:styleId="CEOMeetingDates">
    <w:name w:val="CEO_MeetingDates"/>
    <w:basedOn w:val="Normal"/>
    <w:rsid w:val="00C375E1"/>
    <w:pPr>
      <w:spacing w:before="0" w:after="40"/>
    </w:pPr>
    <w:rPr>
      <w:b/>
      <w:bCs w:val="0"/>
      <w:szCs w:val="19"/>
      <w:lang w:val="en-GB" w:eastAsia="en-US"/>
    </w:rPr>
  </w:style>
  <w:style w:type="paragraph" w:customStyle="1" w:styleId="CEOMeetingName">
    <w:name w:val="CEO_MeetingName"/>
    <w:basedOn w:val="Normal"/>
    <w:rsid w:val="00C375E1"/>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C375E1"/>
    <w:rPr>
      <w:b w:val="0"/>
      <w:bCs/>
    </w:rPr>
  </w:style>
  <w:style w:type="paragraph" w:customStyle="1" w:styleId="CEOSectorName">
    <w:name w:val="CEO_SectorName"/>
    <w:basedOn w:val="Normal"/>
    <w:rsid w:val="00C375E1"/>
    <w:rPr>
      <w:b/>
      <w:bCs w:val="0"/>
      <w:sz w:val="26"/>
      <w:lang w:val="en-GB" w:eastAsia="en-US"/>
    </w:rPr>
  </w:style>
  <w:style w:type="paragraph" w:customStyle="1" w:styleId="CEOSignatureName">
    <w:name w:val="CEO_SignatureName"/>
    <w:basedOn w:val="Normal"/>
    <w:rsid w:val="00C375E1"/>
    <w:pPr>
      <w:spacing w:before="720" w:after="0"/>
    </w:pPr>
    <w:rPr>
      <w:szCs w:val="19"/>
      <w:lang w:val="en-GB" w:eastAsia="en-US"/>
    </w:rPr>
  </w:style>
  <w:style w:type="paragraph" w:customStyle="1" w:styleId="CEOSignatureTitle">
    <w:name w:val="CEO_SignatureTitle"/>
    <w:basedOn w:val="CEOSignatureName"/>
    <w:rsid w:val="00C375E1"/>
    <w:pPr>
      <w:spacing w:before="0"/>
    </w:pPr>
  </w:style>
  <w:style w:type="paragraph" w:customStyle="1" w:styleId="CEOSourceTitleDetails">
    <w:name w:val="CEO_SourceTitleDetails"/>
    <w:basedOn w:val="Normal"/>
    <w:rsid w:val="00C375E1"/>
    <w:rPr>
      <w:szCs w:val="19"/>
      <w:lang w:val="en-GB" w:eastAsia="en-US"/>
    </w:rPr>
  </w:style>
  <w:style w:type="paragraph" w:customStyle="1" w:styleId="CEOSTG">
    <w:name w:val="CEO_STG"/>
    <w:basedOn w:val="CEOOriginalLanguage"/>
    <w:rsid w:val="00C375E1"/>
    <w:pPr>
      <w:spacing w:before="120"/>
      <w:jc w:val="center"/>
    </w:pPr>
  </w:style>
  <w:style w:type="paragraph" w:customStyle="1" w:styleId="CEOindent-endash">
    <w:name w:val="CEO_indent-endash"/>
    <w:basedOn w:val="CEOEmdashList"/>
    <w:rsid w:val="00C375E1"/>
    <w:pPr>
      <w:numPr>
        <w:numId w:val="23"/>
      </w:numPr>
    </w:pPr>
  </w:style>
  <w:style w:type="paragraph" w:customStyle="1" w:styleId="CEOEmdashList">
    <w:name w:val="CEO_EmdashList"/>
    <w:basedOn w:val="CEONormal"/>
    <w:rsid w:val="00C375E1"/>
  </w:style>
  <w:style w:type="character" w:styleId="FollowedHyperlink">
    <w:name w:val="FollowedHyperlink"/>
    <w:aliases w:val="CEO_FollowedHyperlink"/>
    <w:basedOn w:val="DefaultParagraphFont"/>
    <w:rsid w:val="00C375E1"/>
    <w:rPr>
      <w:rFonts w:ascii="Verdana" w:hAnsi="Verdana"/>
      <w:color w:val="606420"/>
      <w:sz w:val="19"/>
      <w:u w:val="single"/>
    </w:rPr>
  </w:style>
  <w:style w:type="character" w:styleId="Hyperlink">
    <w:name w:val="Hyperlink"/>
    <w:aliases w:val="CEO_Hyperlink"/>
    <w:basedOn w:val="DefaultParagraphFont"/>
    <w:rsid w:val="00C375E1"/>
    <w:rPr>
      <w:rFonts w:ascii="Verdana" w:hAnsi="Verdana"/>
      <w:color w:val="0000FF"/>
      <w:sz w:val="19"/>
      <w:u w:val="single"/>
    </w:rPr>
  </w:style>
  <w:style w:type="paragraph" w:styleId="Header">
    <w:name w:val="header"/>
    <w:basedOn w:val="Normal"/>
    <w:link w:val="HeaderChar"/>
    <w:uiPriority w:val="99"/>
    <w:rsid w:val="00C375E1"/>
    <w:pPr>
      <w:tabs>
        <w:tab w:val="center" w:pos="4320"/>
        <w:tab w:val="right" w:pos="8640"/>
      </w:tabs>
    </w:pPr>
  </w:style>
  <w:style w:type="paragraph" w:styleId="Footer">
    <w:name w:val="footer"/>
    <w:basedOn w:val="Normal"/>
    <w:rsid w:val="00C375E1"/>
    <w:pPr>
      <w:tabs>
        <w:tab w:val="center" w:pos="4320"/>
        <w:tab w:val="right" w:pos="8640"/>
      </w:tabs>
    </w:pPr>
  </w:style>
  <w:style w:type="paragraph" w:customStyle="1" w:styleId="CEOConsidering">
    <w:name w:val="CEO_Considering"/>
    <w:basedOn w:val="CEONormal"/>
    <w:rsid w:val="00C375E1"/>
    <w:pPr>
      <w:keepNext/>
      <w:keepLines/>
      <w:spacing w:after="120"/>
      <w:ind w:left="851"/>
    </w:pPr>
    <w:rPr>
      <w:i/>
      <w:iCs/>
    </w:rPr>
  </w:style>
  <w:style w:type="paragraph" w:customStyle="1" w:styleId="CEOEndBar">
    <w:name w:val="CEO_EndBar"/>
    <w:basedOn w:val="CEONormal"/>
    <w:rsid w:val="00C375E1"/>
    <w:pPr>
      <w:spacing w:after="120"/>
      <w:jc w:val="center"/>
    </w:pPr>
  </w:style>
  <w:style w:type="paragraph" w:customStyle="1" w:styleId="CEOExtract">
    <w:name w:val="CEO_Extract"/>
    <w:basedOn w:val="CEONormal"/>
    <w:rsid w:val="00C375E1"/>
    <w:pPr>
      <w:keepNext/>
      <w:keepLines/>
      <w:spacing w:after="120"/>
    </w:pPr>
  </w:style>
  <w:style w:type="paragraph" w:customStyle="1" w:styleId="CEOHeader">
    <w:name w:val="CEO_Header"/>
    <w:basedOn w:val="Normal"/>
    <w:rsid w:val="00C375E1"/>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C375E1"/>
    <w:pPr>
      <w:spacing w:after="120"/>
      <w:ind w:left="426"/>
    </w:pPr>
  </w:style>
  <w:style w:type="paragraph" w:customStyle="1" w:styleId="CEOLogo">
    <w:name w:val="CEO_Logo"/>
    <w:basedOn w:val="CEONormal"/>
    <w:rsid w:val="00C375E1"/>
    <w:pPr>
      <w:spacing w:before="0"/>
      <w:jc w:val="right"/>
    </w:pPr>
  </w:style>
  <w:style w:type="paragraph" w:customStyle="1" w:styleId="CEOMeetingSTG">
    <w:name w:val="CEO_MeetingSTG"/>
    <w:basedOn w:val="CEOMeetingName"/>
    <w:rsid w:val="00C375E1"/>
    <w:pPr>
      <w:spacing w:before="120" w:after="120"/>
    </w:pPr>
  </w:style>
  <w:style w:type="paragraph" w:customStyle="1" w:styleId="CEORevision">
    <w:name w:val="CEO_Revision"/>
    <w:basedOn w:val="CEONormal"/>
    <w:autoRedefine/>
    <w:rsid w:val="00C375E1"/>
    <w:pPr>
      <w:tabs>
        <w:tab w:val="left" w:pos="1928"/>
      </w:tabs>
    </w:pPr>
    <w:rPr>
      <w:b/>
      <w:sz w:val="18"/>
      <w:szCs w:val="18"/>
    </w:rPr>
  </w:style>
  <w:style w:type="paragraph" w:customStyle="1" w:styleId="CEORevisionNote">
    <w:name w:val="CEO_RevisionNote"/>
    <w:basedOn w:val="CEORevision"/>
    <w:autoRedefine/>
    <w:rsid w:val="00C375E1"/>
    <w:pPr>
      <w:spacing w:after="120"/>
    </w:pPr>
    <w:rPr>
      <w:b w:val="0"/>
      <w:i/>
      <w:iCs/>
      <w:lang w:val="en-US"/>
    </w:rPr>
  </w:style>
  <w:style w:type="paragraph" w:customStyle="1" w:styleId="CEOActionRequired">
    <w:name w:val="CEO_ActionRequired"/>
    <w:basedOn w:val="CEONormal"/>
    <w:rsid w:val="00C375E1"/>
    <w:pPr>
      <w:tabs>
        <w:tab w:val="left" w:pos="1928"/>
      </w:tabs>
    </w:pPr>
    <w:rPr>
      <w:b/>
    </w:rPr>
  </w:style>
  <w:style w:type="paragraph" w:customStyle="1" w:styleId="CEOSummaryStartHere">
    <w:name w:val="CEO_Summary_StartHere"/>
    <w:rsid w:val="00C375E1"/>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C375E1"/>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835170"/>
    <w:pPr>
      <w:spacing w:before="0" w:after="0"/>
    </w:pPr>
    <w:rPr>
      <w:rFonts w:ascii="Tahoma" w:hAnsi="Tahoma" w:cs="Tahoma"/>
      <w:sz w:val="16"/>
      <w:szCs w:val="16"/>
    </w:rPr>
  </w:style>
  <w:style w:type="character" w:customStyle="1" w:styleId="BalloonTextChar">
    <w:name w:val="Balloon Text Char"/>
    <w:basedOn w:val="DefaultParagraphFont"/>
    <w:link w:val="BalloonText"/>
    <w:rsid w:val="00835170"/>
    <w:rPr>
      <w:rFonts w:ascii="Tahoma" w:eastAsia="SimHei" w:hAnsi="Tahoma" w:cs="Tahoma"/>
      <w:bCs/>
      <w:sz w:val="16"/>
      <w:szCs w:val="16"/>
    </w:rPr>
  </w:style>
  <w:style w:type="paragraph" w:styleId="FootnoteText">
    <w:name w:val="footnote text"/>
    <w:basedOn w:val="Normal"/>
    <w:link w:val="FootnoteTextChar"/>
    <w:unhideWhenUsed/>
    <w:rsid w:val="00333E30"/>
    <w:pPr>
      <w:spacing w:before="100" w:beforeAutospacing="1" w:after="100" w:afterAutospacing="1"/>
    </w:pPr>
    <w:rPr>
      <w:rFonts w:ascii="Times New Roman" w:eastAsia="MS Mincho" w:hAnsi="Times New Roman" w:cs="Times New Roman"/>
      <w:bCs w:val="0"/>
      <w:sz w:val="24"/>
      <w:szCs w:val="24"/>
      <w:lang w:eastAsia="ja-JP"/>
    </w:rPr>
  </w:style>
  <w:style w:type="character" w:customStyle="1" w:styleId="FootnoteTextChar">
    <w:name w:val="Footnote Text Char"/>
    <w:basedOn w:val="DefaultParagraphFont"/>
    <w:link w:val="FootnoteText"/>
    <w:rsid w:val="00333E30"/>
    <w:rPr>
      <w:rFonts w:eastAsia="MS Mincho"/>
      <w:sz w:val="24"/>
      <w:szCs w:val="24"/>
      <w:lang w:eastAsia="ja-JP"/>
    </w:rPr>
  </w:style>
  <w:style w:type="character" w:styleId="FootnoteReference">
    <w:name w:val="footnote reference"/>
    <w:basedOn w:val="DefaultParagraphFont"/>
    <w:unhideWhenUsed/>
    <w:rsid w:val="00333E30"/>
  </w:style>
  <w:style w:type="paragraph" w:styleId="ListParagraph">
    <w:name w:val="List Paragraph"/>
    <w:basedOn w:val="Normal"/>
    <w:uiPriority w:val="34"/>
    <w:qFormat/>
    <w:rsid w:val="00E84F0B"/>
    <w:pPr>
      <w:ind w:left="720"/>
      <w:contextualSpacing/>
    </w:pPr>
  </w:style>
  <w:style w:type="character" w:customStyle="1" w:styleId="HeaderChar">
    <w:name w:val="Header Char"/>
    <w:basedOn w:val="DefaultParagraphFont"/>
    <w:link w:val="Header"/>
    <w:uiPriority w:val="99"/>
    <w:rsid w:val="00757D1E"/>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60111">
      <w:bodyDiv w:val="1"/>
      <w:marLeft w:val="0"/>
      <w:marRight w:val="0"/>
      <w:marTop w:val="0"/>
      <w:marBottom w:val="0"/>
      <w:divBdr>
        <w:top w:val="none" w:sz="0" w:space="0" w:color="auto"/>
        <w:left w:val="none" w:sz="0" w:space="0" w:color="auto"/>
        <w:bottom w:val="none" w:sz="0" w:space="0" w:color="auto"/>
        <w:right w:val="none" w:sz="0" w:space="0" w:color="auto"/>
      </w:divBdr>
    </w:div>
    <w:div w:id="17346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tu.int/md/D10-RGQ20.1.1-C-0005/en"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ovtrack.us/congress/bill.xpd?bill=s111-3304" TargetMode="External"/><Relationship Id="rId13" Type="http://schemas.openxmlformats.org/officeDocument/2006/relationships/hyperlink" Target="http://www.afb.org/afbpress/pub.asp?DocID=aw110402" TargetMode="External"/><Relationship Id="rId3" Type="http://schemas.openxmlformats.org/officeDocument/2006/relationships/hyperlink" Target="http://www.usac.org/default.aspx" TargetMode="External"/><Relationship Id="rId7" Type="http://schemas.openxmlformats.org/officeDocument/2006/relationships/hyperlink" Target="http://www.fcc.gov/cgb/dro/hearing.html" TargetMode="External"/><Relationship Id="rId12" Type="http://schemas.openxmlformats.org/officeDocument/2006/relationships/hyperlink" Target="http://en.wikipedia.org/wiki/Rehabilitation_Act_of_1973" TargetMode="External"/><Relationship Id="rId2" Type="http://schemas.openxmlformats.org/officeDocument/2006/relationships/hyperlink" Target="http://en.wikipedia.org/wiki/Telecommunications_Act_of_1996" TargetMode="External"/><Relationship Id="rId1" Type="http://schemas.openxmlformats.org/officeDocument/2006/relationships/hyperlink" Target="http://www.fcc.gov/" TargetMode="External"/><Relationship Id="rId6" Type="http://schemas.openxmlformats.org/officeDocument/2006/relationships/hyperlink" Target="http://www.fcc.gov/cgb/dro/trs.html" TargetMode="External"/><Relationship Id="rId11" Type="http://schemas.openxmlformats.org/officeDocument/2006/relationships/hyperlink" Target="http://www.section508.gov/" TargetMode="External"/><Relationship Id="rId5" Type="http://schemas.openxmlformats.org/officeDocument/2006/relationships/hyperlink" Target="http://www.dleg.state.mi.us/mpsc/comm/broadband/unbundling/section_251.htm" TargetMode="External"/><Relationship Id="rId10" Type="http://schemas.openxmlformats.org/officeDocument/2006/relationships/hyperlink" Target="https://www.fcc.gov/encyclopedia/twenty-first-century-communications-and-video-accessibility-act" TargetMode="External"/><Relationship Id="rId4" Type="http://schemas.openxmlformats.org/officeDocument/2006/relationships/hyperlink" Target="http://www.access-board.gov/about/laws/telecomm.htm" TargetMode="External"/><Relationship Id="rId9" Type="http://schemas.openxmlformats.org/officeDocument/2006/relationships/hyperlink" Target="http://www.coataccess.org/node/977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5FB7-DC11-454C-A2B0-FF9049C4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STG-WebContribution-en.dot</Template>
  <TotalTime>27</TotalTime>
  <Pages>4</Pages>
  <Words>998</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Gaspari, Alexandra</cp:lastModifiedBy>
  <cp:revision>9</cp:revision>
  <cp:lastPrinted>2011-07-07T12:07:00Z</cp:lastPrinted>
  <dcterms:created xsi:type="dcterms:W3CDTF">2011-07-11T13:17:00Z</dcterms:created>
  <dcterms:modified xsi:type="dcterms:W3CDTF">2011-11-16T13:08:00Z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ies>
</file>