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D8" w:rsidRPr="008174E6" w:rsidRDefault="00E357D8" w:rsidP="00E357D8">
      <w:pPr>
        <w:rPr>
          <w:rFonts w:ascii="Arial" w:hAnsi="Arial" w:cs="Arial"/>
          <w:b/>
          <w:bCs/>
          <w:i/>
          <w:iCs/>
          <w:lang w:val="es-ES"/>
        </w:rPr>
      </w:pPr>
      <w:r w:rsidRPr="008174E6">
        <w:rPr>
          <w:rFonts w:ascii="Arial" w:hAnsi="Arial" w:cs="Arial"/>
          <w:b/>
          <w:bCs/>
          <w:lang w:val="es-ES"/>
        </w:rPr>
        <w:t>El Salvador (indicatif de pays +503)</w:t>
      </w:r>
    </w:p>
    <w:p w:rsidR="00E357D8" w:rsidRPr="008174E6" w:rsidRDefault="00E357D8" w:rsidP="00E357D8">
      <w:pPr>
        <w:spacing w:before="0"/>
        <w:rPr>
          <w:rFonts w:ascii="Arial" w:hAnsi="Arial" w:cs="Arial"/>
          <w:lang w:val="es-ES"/>
        </w:rPr>
      </w:pPr>
      <w:r w:rsidRPr="008174E6">
        <w:rPr>
          <w:rFonts w:ascii="Arial" w:hAnsi="Arial" w:cs="Arial"/>
          <w:lang w:val="es-ES"/>
        </w:rPr>
        <w:t>Communication du 24.XI.2011:</w:t>
      </w:r>
    </w:p>
    <w:p w:rsidR="00E357D8" w:rsidRPr="008174E6" w:rsidRDefault="00E357D8" w:rsidP="00E357D8">
      <w:pPr>
        <w:rPr>
          <w:rFonts w:ascii="Arial" w:hAnsi="Arial" w:cs="Arial"/>
          <w:lang w:val="es-ES"/>
        </w:rPr>
      </w:pPr>
      <w:r w:rsidRPr="008174E6">
        <w:rPr>
          <w:rFonts w:ascii="Arial" w:hAnsi="Arial" w:cs="Arial"/>
          <w:lang w:val="es-ES"/>
        </w:rPr>
        <w:t xml:space="preserve">La </w:t>
      </w:r>
      <w:r w:rsidRPr="008174E6">
        <w:rPr>
          <w:rFonts w:ascii="Arial" w:hAnsi="Arial" w:cs="Arial"/>
          <w:i/>
          <w:lang w:val="es-ES"/>
        </w:rPr>
        <w:t>Superintendencia General de Electricidad y Telecomunicaciones de El Salvador (SIGET)</w:t>
      </w:r>
      <w:r w:rsidRPr="008174E6">
        <w:rPr>
          <w:rFonts w:ascii="Arial" w:hAnsi="Arial" w:cs="Arial"/>
          <w:iCs/>
          <w:lang w:val="es-ES"/>
        </w:rPr>
        <w:t>,</w:t>
      </w:r>
      <w:r w:rsidRPr="008174E6">
        <w:rPr>
          <w:rFonts w:ascii="Arial" w:hAnsi="Arial" w:cs="Arial"/>
          <w:lang w:val="es-ES"/>
        </w:rPr>
        <w:t xml:space="preserve"> San Salvador, présente son plan de numérotage national (NNP – National Numbering Plan) actualisé, en vigueur depuis le 23 novembre  2011 dans le pays.</w:t>
      </w:r>
    </w:p>
    <w:p w:rsidR="00E357D8" w:rsidRPr="008174E6" w:rsidRDefault="00E357D8" w:rsidP="00E357D8">
      <w:pPr>
        <w:rPr>
          <w:rFonts w:ascii="Arial" w:hAnsi="Arial" w:cs="Arial"/>
          <w:b/>
          <w:i/>
          <w:lang w:val="fr-FR"/>
        </w:rPr>
      </w:pPr>
      <w:r w:rsidRPr="008174E6">
        <w:rPr>
          <w:rFonts w:ascii="Arial" w:hAnsi="Arial" w:cs="Arial"/>
          <w:lang w:val="fr-FR"/>
        </w:rPr>
        <w:t>•</w:t>
      </w:r>
      <w:r w:rsidRPr="008174E6">
        <w:rPr>
          <w:rFonts w:ascii="Arial" w:hAnsi="Arial" w:cs="Arial"/>
          <w:lang w:val="fr-FR"/>
        </w:rPr>
        <w:tab/>
        <w:t>Description générale</w:t>
      </w:r>
    </w:p>
    <w:p w:rsidR="00E357D8" w:rsidRPr="008174E6" w:rsidRDefault="00E357D8" w:rsidP="00E357D8">
      <w:pPr>
        <w:rPr>
          <w:rFonts w:ascii="Arial" w:hAnsi="Arial" w:cs="Arial"/>
          <w:lang w:val="fr-FR"/>
        </w:rPr>
      </w:pPr>
      <w:r w:rsidRPr="008174E6">
        <w:rPr>
          <w:rFonts w:ascii="Arial" w:hAnsi="Arial" w:cs="Arial"/>
          <w:lang w:val="fr-FR"/>
        </w:rPr>
        <w:t>Le plan de numérotage pour la République d'El Salvador utilise la structure de numérotage suivante:</w:t>
      </w:r>
    </w:p>
    <w:p w:rsidR="00E357D8" w:rsidRPr="008174E6" w:rsidRDefault="00E357D8" w:rsidP="00E357D8">
      <w:pPr>
        <w:pStyle w:val="enumlev1"/>
        <w:rPr>
          <w:rFonts w:ascii="Arial" w:hAnsi="Arial" w:cs="Arial"/>
          <w:lang w:val="fr-FR"/>
        </w:rPr>
      </w:pPr>
      <w:r w:rsidRPr="008174E6">
        <w:rPr>
          <w:rFonts w:ascii="Arial" w:hAnsi="Arial" w:cs="Arial"/>
          <w:lang w:val="fr-FR"/>
        </w:rPr>
        <w:t>–</w:t>
      </w:r>
      <w:r w:rsidRPr="008174E6">
        <w:rPr>
          <w:rFonts w:ascii="Arial" w:hAnsi="Arial" w:cs="Arial"/>
          <w:lang w:val="fr-FR"/>
        </w:rPr>
        <w:tab/>
        <w:t>huit (8) chiffres, indicatif national de destination inclus (NDC – National Destination Code), pour les services fournis par les réseaux d'accès,</w:t>
      </w:r>
    </w:p>
    <w:p w:rsidR="00E357D8" w:rsidRPr="008174E6" w:rsidRDefault="00E357D8" w:rsidP="00E357D8">
      <w:pPr>
        <w:pStyle w:val="enumlev1"/>
        <w:rPr>
          <w:rFonts w:ascii="Arial" w:hAnsi="Arial" w:cs="Arial"/>
          <w:lang w:val="fr-FR"/>
        </w:rPr>
      </w:pPr>
      <w:r w:rsidRPr="008174E6">
        <w:rPr>
          <w:rFonts w:ascii="Arial" w:hAnsi="Arial" w:cs="Arial"/>
          <w:lang w:val="fr-FR"/>
        </w:rPr>
        <w:t>–</w:t>
      </w:r>
      <w:r w:rsidRPr="008174E6">
        <w:rPr>
          <w:rFonts w:ascii="Arial" w:hAnsi="Arial" w:cs="Arial"/>
          <w:lang w:val="fr-FR"/>
        </w:rPr>
        <w:tab/>
        <w:t>sept (7) et onze (11) chiffres pour les numéros libre appel et les numéros du service kiosque.</w:t>
      </w:r>
    </w:p>
    <w:p w:rsidR="00E357D8" w:rsidRPr="008174E6" w:rsidRDefault="00E357D8" w:rsidP="00E357D8">
      <w:pPr>
        <w:pStyle w:val="enumlev1"/>
        <w:rPr>
          <w:rFonts w:ascii="Arial" w:hAnsi="Arial" w:cs="Arial"/>
          <w:lang w:val="fr-FR"/>
        </w:rPr>
      </w:pPr>
      <w:r w:rsidRPr="008174E6">
        <w:rPr>
          <w:rFonts w:ascii="Arial" w:hAnsi="Arial" w:cs="Arial"/>
          <w:lang w:val="fr-FR"/>
        </w:rPr>
        <w:t>–</w:t>
      </w:r>
      <w:r w:rsidRPr="008174E6">
        <w:rPr>
          <w:rFonts w:ascii="Arial" w:hAnsi="Arial" w:cs="Arial"/>
          <w:lang w:val="fr-FR"/>
        </w:rPr>
        <w:tab/>
        <w:t>sept (7) chiffres pour les numéros du service international à longue distance avec opératrice.</w:t>
      </w:r>
    </w:p>
    <w:p w:rsidR="00E357D8" w:rsidRPr="008174E6" w:rsidRDefault="00E357D8" w:rsidP="00E357D8">
      <w:pPr>
        <w:pStyle w:val="enumlev1"/>
        <w:rPr>
          <w:rFonts w:ascii="Arial" w:hAnsi="Arial" w:cs="Arial"/>
          <w:lang w:val="fr-FR"/>
        </w:rPr>
      </w:pPr>
      <w:r w:rsidRPr="008174E6">
        <w:rPr>
          <w:rFonts w:ascii="Arial" w:hAnsi="Arial" w:cs="Arial"/>
          <w:lang w:val="fr-FR"/>
        </w:rPr>
        <w:t>–</w:t>
      </w:r>
      <w:r w:rsidRPr="008174E6">
        <w:rPr>
          <w:rFonts w:ascii="Arial" w:hAnsi="Arial" w:cs="Arial"/>
          <w:lang w:val="fr-FR"/>
        </w:rPr>
        <w:tab/>
        <w:t>Les numéros de trois chiffres sont utilisés pour les clés/touches de sélection du système multiporteuses et pour les services spéciaux.</w:t>
      </w:r>
    </w:p>
    <w:p w:rsidR="00E357D8" w:rsidRPr="008174E6" w:rsidRDefault="00E357D8" w:rsidP="00E357D8">
      <w:pPr>
        <w:pStyle w:val="enumlev1"/>
        <w:rPr>
          <w:rFonts w:ascii="Arial" w:hAnsi="Arial" w:cs="Arial"/>
          <w:lang w:val="fr-FR"/>
        </w:rPr>
      </w:pPr>
      <w:r w:rsidRPr="008174E6">
        <w:rPr>
          <w:rFonts w:ascii="Arial" w:hAnsi="Arial" w:cs="Arial"/>
          <w:lang w:val="fr-FR"/>
        </w:rPr>
        <w:t>–</w:t>
      </w:r>
      <w:r w:rsidRPr="008174E6">
        <w:rPr>
          <w:rFonts w:ascii="Arial" w:hAnsi="Arial" w:cs="Arial"/>
          <w:lang w:val="fr-FR"/>
        </w:rPr>
        <w:tab/>
        <w:t>Un numéro à six (6) chiffres a été attribué pour le service d'aide aux enfants.</w:t>
      </w:r>
    </w:p>
    <w:p w:rsidR="00E357D8" w:rsidRPr="008174E6" w:rsidRDefault="00E357D8" w:rsidP="00E357D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fr-FR"/>
        </w:rPr>
      </w:pPr>
    </w:p>
    <w:p w:rsidR="00E357D8" w:rsidRPr="008174E6" w:rsidRDefault="00E357D8" w:rsidP="00E357D8">
      <w:pPr>
        <w:rPr>
          <w:rFonts w:ascii="Arial" w:hAnsi="Arial" w:cs="Arial"/>
          <w:b/>
          <w:i/>
          <w:lang w:val="fr-FR"/>
        </w:rPr>
      </w:pPr>
      <w:r w:rsidRPr="008174E6">
        <w:rPr>
          <w:rFonts w:ascii="Arial" w:hAnsi="Arial" w:cs="Arial"/>
          <w:lang w:val="fr-FR"/>
        </w:rPr>
        <w:t>•</w:t>
      </w:r>
      <w:r w:rsidRPr="008174E6">
        <w:rPr>
          <w:rFonts w:ascii="Arial" w:hAnsi="Arial" w:cs="Arial"/>
          <w:lang w:val="fr-FR"/>
        </w:rPr>
        <w:tab/>
        <w:t>Structure pour le numérotage national et attribution de chiffres</w:t>
      </w:r>
    </w:p>
    <w:p w:rsidR="00E357D8" w:rsidRPr="008174E6" w:rsidRDefault="00E357D8" w:rsidP="00E357D8">
      <w:pPr>
        <w:rPr>
          <w:rFonts w:ascii="Arial" w:hAnsi="Arial" w:cs="Arial"/>
          <w:lang w:val="fr-FR"/>
        </w:rPr>
      </w:pPr>
      <w:r w:rsidRPr="008174E6">
        <w:rPr>
          <w:rFonts w:ascii="Arial" w:hAnsi="Arial" w:cs="Arial"/>
          <w:lang w:val="fr-FR"/>
        </w:rPr>
        <w:t>Pour identifier le terminal d'un abonné du service fixe ou mobile, on utilise huit (8) chiffres quelle que soit la zone du pays, avec la structure (NDC) XYZ1MCDU, où:</w:t>
      </w:r>
    </w:p>
    <w:p w:rsidR="00E357D8" w:rsidRPr="008174E6" w:rsidRDefault="00E357D8" w:rsidP="00E357D8">
      <w:pPr>
        <w:rPr>
          <w:rFonts w:ascii="Arial" w:hAnsi="Arial" w:cs="Arial"/>
          <w:lang w:val="fr-FR"/>
        </w:rPr>
      </w:pPr>
    </w:p>
    <w:tbl>
      <w:tblPr>
        <w:tblW w:w="9124" w:type="dxa"/>
        <w:jc w:val="center"/>
        <w:tblInd w:w="-43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1766"/>
        <w:gridCol w:w="850"/>
        <w:gridCol w:w="1224"/>
        <w:gridCol w:w="964"/>
        <w:gridCol w:w="284"/>
        <w:gridCol w:w="964"/>
        <w:gridCol w:w="1087"/>
        <w:gridCol w:w="993"/>
        <w:gridCol w:w="992"/>
      </w:tblGrid>
      <w:tr w:rsidR="00E357D8" w:rsidRPr="008174E6" w:rsidTr="00CE2AD9">
        <w:trPr>
          <w:tblHeader/>
          <w:jc w:val="center"/>
        </w:trPr>
        <w:tc>
          <w:tcPr>
            <w:tcW w:w="1766" w:type="dxa"/>
            <w:tcBorders>
              <w:top w:val="single" w:sz="4" w:space="0" w:color="auto"/>
              <w:left w:val="single" w:sz="4" w:space="0" w:color="auto"/>
              <w:bottom w:val="single" w:sz="4" w:space="0" w:color="auto"/>
              <w:right w:val="single" w:sz="6" w:space="0" w:color="auto"/>
            </w:tcBorders>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NDC</w:t>
            </w:r>
          </w:p>
        </w:tc>
        <w:tc>
          <w:tcPr>
            <w:tcW w:w="850" w:type="dxa"/>
            <w:tcBorders>
              <w:top w:val="single" w:sz="4" w:space="0" w:color="auto"/>
              <w:left w:val="nil"/>
              <w:bottom w:val="single" w:sz="4" w:space="0" w:color="auto"/>
              <w:right w:val="single" w:sz="6"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X</w:t>
            </w:r>
          </w:p>
        </w:tc>
        <w:tc>
          <w:tcPr>
            <w:tcW w:w="1224" w:type="dxa"/>
            <w:tcBorders>
              <w:top w:val="single" w:sz="4" w:space="0" w:color="auto"/>
              <w:left w:val="single" w:sz="6" w:space="0" w:color="auto"/>
              <w:bottom w:val="single" w:sz="4" w:space="0" w:color="auto"/>
              <w:right w:val="single" w:sz="6"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Y</w:t>
            </w:r>
          </w:p>
        </w:tc>
        <w:tc>
          <w:tcPr>
            <w:tcW w:w="964" w:type="dxa"/>
            <w:tcBorders>
              <w:top w:val="single" w:sz="4" w:space="0" w:color="auto"/>
              <w:left w:val="single" w:sz="6" w:space="0" w:color="auto"/>
              <w:bottom w:val="single" w:sz="4" w:space="0" w:color="auto"/>
              <w:right w:val="single" w:sz="4"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Z</w:t>
            </w:r>
          </w:p>
        </w:tc>
        <w:tc>
          <w:tcPr>
            <w:tcW w:w="284" w:type="dxa"/>
            <w:tcBorders>
              <w:top w:val="nil"/>
              <w:left w:val="single" w:sz="4" w:space="0" w:color="auto"/>
              <w:bottom w:val="nil"/>
              <w:right w:val="single" w:sz="4" w:space="0" w:color="auto"/>
            </w:tcBorders>
            <w:vAlign w:val="center"/>
          </w:tcPr>
          <w:p w:rsidR="00E357D8" w:rsidRPr="008174E6" w:rsidRDefault="00E357D8" w:rsidP="00CE2AD9">
            <w:pPr>
              <w:pStyle w:val="TableHead0"/>
              <w:rPr>
                <w:rFonts w:ascii="Arial" w:hAnsi="Arial" w:cs="Arial"/>
                <w:b/>
                <w:sz w:val="20"/>
                <w:lang w:val="es-ES_tradnl"/>
              </w:rPr>
            </w:pPr>
          </w:p>
        </w:tc>
        <w:tc>
          <w:tcPr>
            <w:tcW w:w="964" w:type="dxa"/>
            <w:tcBorders>
              <w:top w:val="single" w:sz="4" w:space="0" w:color="auto"/>
              <w:left w:val="single" w:sz="4" w:space="0" w:color="auto"/>
              <w:bottom w:val="single" w:sz="4" w:space="0" w:color="auto"/>
              <w:right w:val="single" w:sz="6"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M</w:t>
            </w:r>
          </w:p>
        </w:tc>
        <w:tc>
          <w:tcPr>
            <w:tcW w:w="1087" w:type="dxa"/>
            <w:tcBorders>
              <w:top w:val="single" w:sz="4" w:space="0" w:color="auto"/>
              <w:left w:val="single" w:sz="6" w:space="0" w:color="auto"/>
              <w:bottom w:val="single" w:sz="4" w:space="0" w:color="auto"/>
              <w:right w:val="single" w:sz="6"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C</w:t>
            </w:r>
          </w:p>
        </w:tc>
        <w:tc>
          <w:tcPr>
            <w:tcW w:w="993" w:type="dxa"/>
            <w:tcBorders>
              <w:top w:val="single" w:sz="4" w:space="0" w:color="auto"/>
              <w:left w:val="single" w:sz="6" w:space="0" w:color="auto"/>
              <w:bottom w:val="single" w:sz="4" w:space="0" w:color="auto"/>
              <w:right w:val="single" w:sz="6"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D</w:t>
            </w:r>
          </w:p>
        </w:tc>
        <w:tc>
          <w:tcPr>
            <w:tcW w:w="992" w:type="dxa"/>
            <w:tcBorders>
              <w:top w:val="single" w:sz="4" w:space="0" w:color="auto"/>
              <w:left w:val="single" w:sz="6" w:space="0" w:color="auto"/>
              <w:bottom w:val="single" w:sz="4" w:space="0" w:color="auto"/>
              <w:right w:val="single" w:sz="4" w:space="0" w:color="auto"/>
            </w:tcBorders>
            <w:vAlign w:val="center"/>
            <w:hideMark/>
          </w:tcPr>
          <w:p w:rsidR="00E357D8" w:rsidRPr="008174E6" w:rsidRDefault="00E357D8" w:rsidP="00CE2AD9">
            <w:pPr>
              <w:pStyle w:val="TableHead0"/>
              <w:rPr>
                <w:rFonts w:ascii="Arial" w:hAnsi="Arial" w:cs="Arial"/>
                <w:b/>
                <w:sz w:val="20"/>
                <w:lang w:val="es-ES_tradnl" w:eastAsia="es-ES"/>
              </w:rPr>
            </w:pPr>
            <w:r w:rsidRPr="008174E6">
              <w:rPr>
                <w:rFonts w:ascii="Arial" w:hAnsi="Arial" w:cs="Arial"/>
                <w:sz w:val="20"/>
                <w:lang w:val="es-ES_tradnl" w:eastAsia="es-ES"/>
              </w:rPr>
              <w:t>U</w:t>
            </w:r>
          </w:p>
        </w:tc>
      </w:tr>
      <w:tr w:rsidR="00E357D8" w:rsidRPr="008174E6" w:rsidTr="00CE2AD9">
        <w:trPr>
          <w:tblHeader/>
          <w:jc w:val="center"/>
        </w:trPr>
        <w:tc>
          <w:tcPr>
            <w:tcW w:w="1766" w:type="dxa"/>
            <w:tcBorders>
              <w:top w:val="single" w:sz="4" w:space="0" w:color="auto"/>
              <w:left w:val="single" w:sz="4" w:space="0" w:color="auto"/>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Indicatif</w:t>
            </w:r>
            <w:proofErr w:type="spellEnd"/>
            <w:r w:rsidRPr="008174E6">
              <w:rPr>
                <w:rFonts w:ascii="Arial" w:hAnsi="Arial" w:cs="Arial"/>
                <w:sz w:val="20"/>
              </w:rPr>
              <w:t xml:space="preserve"> national </w:t>
            </w:r>
            <w:r w:rsidRPr="008174E6">
              <w:rPr>
                <w:rFonts w:ascii="Arial" w:hAnsi="Arial" w:cs="Arial"/>
                <w:sz w:val="20"/>
              </w:rPr>
              <w:br/>
              <w:t>de destination</w:t>
            </w:r>
          </w:p>
        </w:tc>
        <w:tc>
          <w:tcPr>
            <w:tcW w:w="850" w:type="dxa"/>
            <w:tcBorders>
              <w:top w:val="single" w:sz="4" w:space="0" w:color="auto"/>
              <w:left w:val="nil"/>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r w:rsidRPr="008174E6">
              <w:rPr>
                <w:rFonts w:ascii="Arial" w:hAnsi="Arial" w:cs="Arial"/>
                <w:sz w:val="20"/>
              </w:rPr>
              <w:t>Millions</w:t>
            </w:r>
          </w:p>
        </w:tc>
        <w:tc>
          <w:tcPr>
            <w:tcW w:w="1224" w:type="dxa"/>
            <w:tcBorders>
              <w:top w:val="single" w:sz="4" w:space="0" w:color="auto"/>
              <w:left w:val="single" w:sz="6" w:space="0" w:color="auto"/>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Centaines</w:t>
            </w:r>
            <w:proofErr w:type="spellEnd"/>
            <w:r w:rsidRPr="008174E6">
              <w:rPr>
                <w:rFonts w:ascii="Arial" w:hAnsi="Arial" w:cs="Arial"/>
                <w:sz w:val="20"/>
              </w:rPr>
              <w:t xml:space="preserve"> de </w:t>
            </w:r>
            <w:proofErr w:type="spellStart"/>
            <w:r w:rsidRPr="008174E6">
              <w:rPr>
                <w:rFonts w:ascii="Arial" w:hAnsi="Arial" w:cs="Arial"/>
                <w:sz w:val="20"/>
              </w:rPr>
              <w:t>milliers</w:t>
            </w:r>
            <w:proofErr w:type="spellEnd"/>
          </w:p>
        </w:tc>
        <w:tc>
          <w:tcPr>
            <w:tcW w:w="964" w:type="dxa"/>
            <w:tcBorders>
              <w:top w:val="single" w:sz="4" w:space="0" w:color="auto"/>
              <w:left w:val="single" w:sz="6" w:space="0" w:color="auto"/>
              <w:bottom w:val="single" w:sz="4" w:space="0" w:color="auto"/>
              <w:right w:val="single" w:sz="4"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Dizaines</w:t>
            </w:r>
            <w:proofErr w:type="spellEnd"/>
            <w:r w:rsidRPr="008174E6">
              <w:rPr>
                <w:rFonts w:ascii="Arial" w:hAnsi="Arial" w:cs="Arial"/>
                <w:sz w:val="20"/>
              </w:rPr>
              <w:t xml:space="preserve"> de </w:t>
            </w:r>
            <w:proofErr w:type="spellStart"/>
            <w:r w:rsidRPr="008174E6">
              <w:rPr>
                <w:rFonts w:ascii="Arial" w:hAnsi="Arial" w:cs="Arial"/>
                <w:sz w:val="20"/>
              </w:rPr>
              <w:t>milliers</w:t>
            </w:r>
            <w:proofErr w:type="spellEnd"/>
          </w:p>
        </w:tc>
        <w:tc>
          <w:tcPr>
            <w:tcW w:w="284" w:type="dxa"/>
            <w:tcBorders>
              <w:top w:val="nil"/>
              <w:left w:val="single" w:sz="4" w:space="0" w:color="auto"/>
              <w:bottom w:val="nil"/>
              <w:right w:val="single" w:sz="4" w:space="0" w:color="auto"/>
            </w:tcBorders>
          </w:tcPr>
          <w:p w:rsidR="00E357D8" w:rsidRPr="008174E6" w:rsidRDefault="00E357D8" w:rsidP="00CE2AD9">
            <w:pPr>
              <w:pStyle w:val="TableText1"/>
              <w:rPr>
                <w:rFonts w:ascii="Arial" w:hAnsi="Arial" w:cs="Arial"/>
                <w:b/>
                <w:sz w:val="20"/>
                <w:lang w:val="es-ES_tradnl"/>
              </w:rPr>
            </w:pPr>
          </w:p>
        </w:tc>
        <w:tc>
          <w:tcPr>
            <w:tcW w:w="964" w:type="dxa"/>
            <w:tcBorders>
              <w:top w:val="single" w:sz="4" w:space="0" w:color="auto"/>
              <w:left w:val="single" w:sz="4" w:space="0" w:color="auto"/>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Milliers</w:t>
            </w:r>
            <w:proofErr w:type="spellEnd"/>
          </w:p>
        </w:tc>
        <w:tc>
          <w:tcPr>
            <w:tcW w:w="1087" w:type="dxa"/>
            <w:tcBorders>
              <w:top w:val="single" w:sz="4" w:space="0" w:color="auto"/>
              <w:left w:val="single" w:sz="6" w:space="0" w:color="auto"/>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Centaines</w:t>
            </w:r>
            <w:proofErr w:type="spellEnd"/>
          </w:p>
        </w:tc>
        <w:tc>
          <w:tcPr>
            <w:tcW w:w="993" w:type="dxa"/>
            <w:tcBorders>
              <w:top w:val="single" w:sz="4" w:space="0" w:color="auto"/>
              <w:left w:val="single" w:sz="6" w:space="0" w:color="auto"/>
              <w:bottom w:val="single" w:sz="4" w:space="0" w:color="auto"/>
              <w:right w:val="single" w:sz="6"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Dizaines</w:t>
            </w:r>
            <w:proofErr w:type="spellEnd"/>
          </w:p>
        </w:tc>
        <w:tc>
          <w:tcPr>
            <w:tcW w:w="992" w:type="dxa"/>
            <w:tcBorders>
              <w:top w:val="single" w:sz="4" w:space="0" w:color="auto"/>
              <w:left w:val="single" w:sz="6" w:space="0" w:color="auto"/>
              <w:bottom w:val="single" w:sz="4" w:space="0" w:color="auto"/>
              <w:right w:val="single" w:sz="4" w:space="0" w:color="auto"/>
            </w:tcBorders>
            <w:hideMark/>
          </w:tcPr>
          <w:p w:rsidR="00E357D8" w:rsidRPr="008174E6" w:rsidRDefault="00E357D8" w:rsidP="00CE2AD9">
            <w:pPr>
              <w:pStyle w:val="TableText1"/>
              <w:rPr>
                <w:rFonts w:ascii="Arial" w:hAnsi="Arial" w:cs="Arial"/>
                <w:b/>
                <w:sz w:val="20"/>
                <w:lang w:val="es-ES_tradnl"/>
              </w:rPr>
            </w:pPr>
            <w:proofErr w:type="spellStart"/>
            <w:r w:rsidRPr="008174E6">
              <w:rPr>
                <w:rFonts w:ascii="Arial" w:hAnsi="Arial" w:cs="Arial"/>
                <w:sz w:val="20"/>
              </w:rPr>
              <w:t>Unités</w:t>
            </w:r>
            <w:proofErr w:type="spellEnd"/>
          </w:p>
        </w:tc>
      </w:tr>
    </w:tbl>
    <w:p w:rsidR="00E357D8" w:rsidRPr="008174E6" w:rsidRDefault="00E357D8" w:rsidP="00E357D8">
      <w:pPr>
        <w:rPr>
          <w:rFonts w:ascii="Arial" w:hAnsi="Arial" w:cs="Arial"/>
          <w:lang w:val="es-ES_tradnl"/>
        </w:rPr>
      </w:pPr>
    </w:p>
    <w:p w:rsidR="00E357D8" w:rsidRPr="008174E6" w:rsidRDefault="00E357D8" w:rsidP="00E357D8">
      <w:pPr>
        <w:rPr>
          <w:rFonts w:ascii="Arial" w:hAnsi="Arial" w:cs="Arial"/>
          <w:b/>
          <w:i/>
          <w:lang w:val="fr-FR"/>
        </w:rPr>
      </w:pPr>
      <w:bookmarkStart w:id="0" w:name="_Toc231201279"/>
      <w:r w:rsidRPr="008174E6">
        <w:rPr>
          <w:rFonts w:ascii="Arial" w:hAnsi="Arial" w:cs="Arial"/>
          <w:lang w:val="fr-FR"/>
        </w:rPr>
        <w:t>•</w:t>
      </w:r>
      <w:r w:rsidRPr="008174E6">
        <w:rPr>
          <w:rFonts w:ascii="Arial" w:hAnsi="Arial" w:cs="Arial"/>
          <w:lang w:val="fr-CH"/>
        </w:rPr>
        <w:tab/>
      </w:r>
      <w:bookmarkEnd w:id="0"/>
      <w:r w:rsidRPr="008174E6">
        <w:rPr>
          <w:rFonts w:ascii="Arial" w:hAnsi="Arial" w:cs="Arial"/>
          <w:lang w:val="fr-FR"/>
        </w:rPr>
        <w:t>Attribution de l'indicatif national de destination (NDC) dans les réseaux fixes et mobiles</w:t>
      </w:r>
    </w:p>
    <w:p w:rsidR="00E357D8" w:rsidRPr="008174E6" w:rsidRDefault="00E357D8" w:rsidP="00E357D8">
      <w:pPr>
        <w:rPr>
          <w:rFonts w:ascii="Arial" w:hAnsi="Arial"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43"/>
        <w:gridCol w:w="3629"/>
      </w:tblGrid>
      <w:tr w:rsidR="00E357D8" w:rsidRPr="008174E6" w:rsidTr="00CE2AD9">
        <w:trPr>
          <w:trHeight w:val="20"/>
          <w:tblHeade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Head0"/>
              <w:rPr>
                <w:rFonts w:ascii="Arial" w:hAnsi="Arial" w:cs="Arial"/>
                <w:b/>
                <w:sz w:val="20"/>
                <w:lang w:val="fr-CH" w:eastAsia="es-ES"/>
              </w:rPr>
            </w:pPr>
            <w:r w:rsidRPr="008174E6">
              <w:rPr>
                <w:rFonts w:ascii="Arial" w:hAnsi="Arial" w:cs="Arial"/>
                <w:sz w:val="20"/>
                <w:lang w:val="fr-FR"/>
              </w:rPr>
              <w:t>Indicatif national de destination</w:t>
            </w:r>
            <w:r w:rsidRPr="008174E6">
              <w:rPr>
                <w:rFonts w:ascii="Arial" w:hAnsi="Arial" w:cs="Arial"/>
                <w:sz w:val="20"/>
                <w:lang w:val="fr-FR" w:eastAsia="es-ES"/>
              </w:rPr>
              <w:br/>
              <w:t>(NDC)</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Head0"/>
              <w:rPr>
                <w:rFonts w:ascii="Arial" w:hAnsi="Arial" w:cs="Arial"/>
                <w:b/>
                <w:sz w:val="20"/>
                <w:lang w:val="es-ES_tradnl"/>
              </w:rPr>
            </w:pPr>
            <w:r w:rsidRPr="008174E6">
              <w:rPr>
                <w:rFonts w:ascii="Arial" w:hAnsi="Arial" w:cs="Arial"/>
                <w:sz w:val="20"/>
              </w:rPr>
              <w:t xml:space="preserve">Type de </w:t>
            </w:r>
            <w:proofErr w:type="spellStart"/>
            <w:r w:rsidRPr="008174E6">
              <w:rPr>
                <w:rFonts w:ascii="Arial" w:hAnsi="Arial" w:cs="Arial"/>
                <w:sz w:val="20"/>
              </w:rPr>
              <w:t>réseau</w:t>
            </w:r>
            <w:proofErr w:type="spellEnd"/>
          </w:p>
        </w:tc>
      </w:tr>
      <w:tr w:rsidR="00E357D8" w:rsidRPr="008174E6" w:rsidTr="00CE2AD9">
        <w:trPr>
          <w:trHeight w:val="20"/>
          <w:tblHeade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Text1"/>
              <w:rPr>
                <w:rFonts w:ascii="Arial" w:hAnsi="Arial" w:cs="Arial"/>
                <w:sz w:val="20"/>
                <w:lang w:val="es-ES_tradnl" w:eastAsia="es-ES"/>
              </w:rPr>
            </w:pPr>
            <w:r w:rsidRPr="008174E6">
              <w:rPr>
                <w:rFonts w:ascii="Arial" w:hAnsi="Arial" w:cs="Arial"/>
                <w:sz w:val="20"/>
                <w:lang w:val="es-ES_tradnl" w:eastAsia="es-E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Text1"/>
              <w:rPr>
                <w:rFonts w:ascii="Arial" w:hAnsi="Arial" w:cs="Arial"/>
                <w:sz w:val="20"/>
                <w:lang w:val="es-ES_tradnl" w:eastAsia="es-ES"/>
              </w:rPr>
            </w:pPr>
            <w:proofErr w:type="spellStart"/>
            <w:r w:rsidRPr="008174E6">
              <w:rPr>
                <w:rFonts w:ascii="Arial" w:hAnsi="Arial" w:cs="Arial"/>
                <w:sz w:val="20"/>
                <w:lang w:val="es-ES_tradnl" w:eastAsia="es-ES"/>
              </w:rPr>
              <w:t>Fixe</w:t>
            </w:r>
            <w:proofErr w:type="spellEnd"/>
          </w:p>
        </w:tc>
      </w:tr>
      <w:tr w:rsidR="00E357D8" w:rsidRPr="008174E6" w:rsidTr="00CE2AD9">
        <w:trPr>
          <w:trHeight w:val="20"/>
          <w:tblHeade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Text1"/>
              <w:rPr>
                <w:rFonts w:ascii="Arial" w:hAnsi="Arial" w:cs="Arial"/>
                <w:sz w:val="20"/>
                <w:lang w:val="es-ES_tradnl" w:eastAsia="es-ES"/>
              </w:rPr>
            </w:pPr>
            <w:r w:rsidRPr="008174E6">
              <w:rPr>
                <w:rFonts w:ascii="Arial" w:hAnsi="Arial" w:cs="Arial"/>
                <w:sz w:val="20"/>
                <w:lang w:val="es-ES_tradnl" w:eastAsia="es-ES"/>
              </w:rPr>
              <w:t>6 , 7</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Text1"/>
              <w:rPr>
                <w:rFonts w:ascii="Arial" w:hAnsi="Arial" w:cs="Arial"/>
                <w:sz w:val="20"/>
                <w:lang w:val="es-ES_tradnl" w:eastAsia="es-ES"/>
              </w:rPr>
            </w:pPr>
            <w:r w:rsidRPr="008174E6">
              <w:rPr>
                <w:rFonts w:ascii="Arial" w:hAnsi="Arial" w:cs="Arial"/>
                <w:sz w:val="20"/>
                <w:lang w:val="es-ES_tradnl" w:eastAsia="es-ES"/>
              </w:rPr>
              <w:t>Mobile</w:t>
            </w:r>
          </w:p>
        </w:tc>
      </w:tr>
    </w:tbl>
    <w:p w:rsidR="00E357D8" w:rsidRPr="008174E6" w:rsidRDefault="00E357D8" w:rsidP="00E357D8">
      <w:pPr>
        <w:rPr>
          <w:rFonts w:ascii="Arial" w:hAnsi="Arial" w:cs="Arial"/>
          <w:b/>
          <w:i/>
          <w:lang w:val="fr-FR"/>
        </w:rPr>
      </w:pPr>
      <w:bookmarkStart w:id="1" w:name="_Toc75583180"/>
      <w:bookmarkStart w:id="2" w:name="_Toc231201281"/>
      <w:r w:rsidRPr="008174E6">
        <w:rPr>
          <w:rFonts w:ascii="Arial" w:hAnsi="Arial" w:cs="Arial"/>
          <w:lang w:val="fr-FR"/>
        </w:rPr>
        <w:t>•</w:t>
      </w:r>
      <w:bookmarkEnd w:id="1"/>
      <w:bookmarkEnd w:id="2"/>
      <w:r w:rsidRPr="008174E6">
        <w:rPr>
          <w:rFonts w:ascii="Arial" w:hAnsi="Arial" w:cs="Arial"/>
          <w:lang w:val="fr-FR"/>
        </w:rPr>
        <w:tab/>
        <w:t>Numérotage pour la téléphonie fixe nationale</w:t>
      </w:r>
    </w:p>
    <w:p w:rsidR="00E357D8" w:rsidRPr="008174E6" w:rsidRDefault="00E357D8" w:rsidP="00E357D8">
      <w:pPr>
        <w:rPr>
          <w:rFonts w:ascii="Arial" w:hAnsi="Arial" w:cs="Arial"/>
          <w:bCs/>
          <w:lang w:val="fr-FR"/>
        </w:rPr>
      </w:pPr>
      <w:r w:rsidRPr="008174E6">
        <w:rPr>
          <w:rFonts w:ascii="Arial" w:hAnsi="Arial" w:cs="Arial"/>
          <w:bCs/>
          <w:lang w:val="fr-FR"/>
        </w:rPr>
        <w:t>Pour l'attribution des numéros de téléphonie fixe, El Salvador a été divisé en quatre zones géographiques: occidentale, centrale, orientale et métropolitaine.</w:t>
      </w:r>
    </w:p>
    <w:p w:rsidR="00E357D8" w:rsidRPr="008174E6" w:rsidRDefault="00E357D8" w:rsidP="00E357D8">
      <w:pPr>
        <w:rPr>
          <w:rFonts w:ascii="Arial" w:hAnsi="Arial" w:cs="Arial"/>
          <w:lang w:val="fr-FR"/>
        </w:rPr>
      </w:pPr>
      <w:r w:rsidRPr="008174E6">
        <w:rPr>
          <w:rFonts w:ascii="Arial" w:hAnsi="Arial" w:cs="Arial"/>
          <w:lang w:val="fr-FR"/>
        </w:rPr>
        <w:t xml:space="preserve">Attribution du chiffre </w:t>
      </w:r>
      <w:r w:rsidRPr="008174E6">
        <w:rPr>
          <w:rFonts w:ascii="Arial" w:hAnsi="Arial" w:cs="Arial"/>
          <w:bCs/>
          <w:lang w:val="fr-FR"/>
        </w:rPr>
        <w:t>X</w:t>
      </w:r>
      <w:r w:rsidRPr="008174E6">
        <w:rPr>
          <w:rFonts w:ascii="Arial" w:hAnsi="Arial" w:cs="Arial"/>
          <w:lang w:val="fr-FR"/>
        </w:rPr>
        <w:t xml:space="preserve"> dans la structure de numéros à huit chiffres </w:t>
      </w:r>
      <w:r w:rsidRPr="008174E6">
        <w:rPr>
          <w:rFonts w:ascii="Arial" w:hAnsi="Arial" w:cs="Arial"/>
          <w:bCs/>
          <w:lang w:val="fr-FR"/>
        </w:rPr>
        <w:t>(NDC) XYZ1MCDU</w:t>
      </w:r>
      <w:r w:rsidRPr="008174E6">
        <w:rPr>
          <w:rFonts w:ascii="Arial" w:hAnsi="Arial" w:cs="Arial"/>
          <w:lang w:val="fr-FR"/>
        </w:rPr>
        <w:t xml:space="preserve"> pour le service de téléphonie fixe:</w:t>
      </w:r>
    </w:p>
    <w:p w:rsidR="00E357D8" w:rsidRPr="008174E6" w:rsidRDefault="00E357D8" w:rsidP="00E357D8">
      <w:pPr>
        <w:rPr>
          <w:rFonts w:ascii="Arial" w:hAnsi="Arial" w:cs="Arial"/>
          <w:lang w:val="fr-FR"/>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BF"/>
      </w:tblPr>
      <w:tblGrid>
        <w:gridCol w:w="1210"/>
        <w:gridCol w:w="7862"/>
      </w:tblGrid>
      <w:tr w:rsidR="00E357D8" w:rsidRPr="008174E6" w:rsidTr="00CE2AD9">
        <w:trPr>
          <w:trHeight w:val="20"/>
          <w:tblHeader/>
          <w:jc w:val="center"/>
        </w:trPr>
        <w:tc>
          <w:tcPr>
            <w:tcW w:w="1134" w:type="dxa"/>
            <w:tcBorders>
              <w:top w:val="single" w:sz="4" w:space="0" w:color="000000"/>
              <w:left w:val="single" w:sz="4" w:space="0" w:color="auto"/>
              <w:bottom w:val="single" w:sz="4" w:space="0" w:color="000000"/>
              <w:right w:val="single" w:sz="4" w:space="0" w:color="000000"/>
            </w:tcBorders>
            <w:vAlign w:val="center"/>
            <w:hideMark/>
          </w:tcPr>
          <w:p w:rsidR="00E357D8" w:rsidRPr="008174E6" w:rsidRDefault="00E357D8" w:rsidP="00CE2AD9">
            <w:pPr>
              <w:pStyle w:val="Tablehead"/>
              <w:rPr>
                <w:rFonts w:ascii="Arial" w:hAnsi="Arial" w:cs="Arial"/>
                <w:b/>
                <w:sz w:val="20"/>
                <w:lang w:eastAsia="es-ES"/>
              </w:rPr>
            </w:pPr>
            <w:r w:rsidRPr="008174E6">
              <w:rPr>
                <w:rFonts w:ascii="Arial" w:hAnsi="Arial" w:cs="Arial"/>
                <w:sz w:val="20"/>
                <w:lang w:eastAsia="es-ES"/>
              </w:rPr>
              <w:t>Chiffre X</w:t>
            </w:r>
          </w:p>
        </w:tc>
        <w:tc>
          <w:tcPr>
            <w:tcW w:w="7371" w:type="dxa"/>
            <w:tcBorders>
              <w:top w:val="single" w:sz="4" w:space="0" w:color="000000"/>
              <w:left w:val="single" w:sz="4" w:space="0" w:color="000000"/>
              <w:bottom w:val="single" w:sz="4" w:space="0" w:color="000000"/>
              <w:right w:val="single" w:sz="4" w:space="0" w:color="auto"/>
            </w:tcBorders>
            <w:vAlign w:val="center"/>
            <w:hideMark/>
          </w:tcPr>
          <w:p w:rsidR="00E357D8" w:rsidRPr="008174E6" w:rsidRDefault="00E357D8" w:rsidP="00CE2AD9">
            <w:pPr>
              <w:pStyle w:val="Tablehead"/>
              <w:rPr>
                <w:rFonts w:ascii="Arial" w:hAnsi="Arial" w:cs="Arial"/>
                <w:b/>
                <w:sz w:val="20"/>
                <w:lang w:val="fr-CH" w:eastAsia="es-ES"/>
              </w:rPr>
            </w:pPr>
            <w:r w:rsidRPr="008174E6">
              <w:rPr>
                <w:rFonts w:ascii="Arial" w:hAnsi="Arial" w:cs="Arial"/>
                <w:sz w:val="20"/>
              </w:rPr>
              <w:t>Utilisation dans la structure</w:t>
            </w:r>
            <w:r w:rsidRPr="008174E6">
              <w:rPr>
                <w:rFonts w:ascii="Arial" w:hAnsi="Arial" w:cs="Arial"/>
                <w:sz w:val="20"/>
                <w:lang w:val="fr-CH" w:eastAsia="es-ES"/>
              </w:rPr>
              <w:t xml:space="preserve"> (2) XYZ MCDU</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0</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Non utilisé dans cette structure – réservé pour utilisation future.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1, 2 y 5</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Utilisés pour identifier le service de téléphonie fixe dans toute localité de la zone métropolitaine appelée «</w:t>
            </w:r>
            <w:proofErr w:type="spellStart"/>
            <w:r w:rsidRPr="008174E6">
              <w:rPr>
                <w:rFonts w:ascii="Arial" w:hAnsi="Arial" w:cs="Arial"/>
                <w:sz w:val="20"/>
                <w:szCs w:val="20"/>
                <w:lang w:eastAsia="es-ES"/>
              </w:rPr>
              <w:t>Gran</w:t>
            </w:r>
            <w:proofErr w:type="spellEnd"/>
            <w:r w:rsidRPr="008174E6">
              <w:rPr>
                <w:rFonts w:ascii="Arial" w:hAnsi="Arial" w:cs="Arial"/>
                <w:sz w:val="20"/>
                <w:szCs w:val="20"/>
                <w:lang w:eastAsia="es-ES"/>
              </w:rPr>
              <w:t xml:space="preserve"> San Salvador».</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Utilisé pour identifier le service de téléphonie fixe dans toute localité de la zone centrale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lastRenderedPageBreak/>
              <w:t>4</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Utilisé pour identifier le service de téléphonie fixe dans toute localité de la zone occidentale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6</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Utilisé pour identifier le service de téléphonie fixe dans toute localité de la zone orientale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7</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Pour utilisation future dans la zone orientale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8</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Pour utilisation future dans la zone occidentale</w:t>
            </w:r>
          </w:p>
        </w:tc>
      </w:tr>
      <w:tr w:rsidR="00E357D8" w:rsidRPr="008174E6" w:rsidTr="00CE2AD9">
        <w:trPr>
          <w:trHeight w:val="20"/>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eastAsia="es-ES"/>
              </w:rPr>
            </w:pPr>
            <w:r w:rsidRPr="008174E6">
              <w:rPr>
                <w:rFonts w:ascii="Arial" w:hAnsi="Arial" w:cs="Arial"/>
                <w:sz w:val="20"/>
                <w:szCs w:val="20"/>
                <w:lang w:eastAsia="es-ES"/>
              </w:rPr>
              <w:t>9</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sz w:val="20"/>
                <w:szCs w:val="20"/>
                <w:lang w:val="fr-CH" w:eastAsia="es-ES"/>
              </w:rPr>
            </w:pPr>
            <w:r w:rsidRPr="008174E6">
              <w:rPr>
                <w:rFonts w:ascii="Arial" w:hAnsi="Arial" w:cs="Arial"/>
                <w:sz w:val="20"/>
                <w:szCs w:val="20"/>
                <w:lang w:eastAsia="es-ES"/>
              </w:rPr>
              <w:t>Pour utilisation future dans la zone centrale.</w:t>
            </w:r>
          </w:p>
        </w:tc>
      </w:tr>
    </w:tbl>
    <w:p w:rsidR="00E357D8" w:rsidRPr="008174E6" w:rsidRDefault="00E357D8" w:rsidP="00E357D8">
      <w:pPr>
        <w:rPr>
          <w:rFonts w:ascii="Arial" w:hAnsi="Arial" w:cs="Arial"/>
          <w:b/>
          <w:lang w:val="fr-FR"/>
        </w:rPr>
      </w:pPr>
      <w:bookmarkStart w:id="3" w:name="_Toc231201283"/>
      <w:r w:rsidRPr="008174E6">
        <w:rPr>
          <w:rFonts w:ascii="Arial" w:hAnsi="Arial" w:cs="Arial"/>
          <w:lang w:val="fr-FR"/>
        </w:rPr>
        <w:t>•</w:t>
      </w:r>
      <w:r w:rsidRPr="008174E6">
        <w:rPr>
          <w:rFonts w:ascii="Arial" w:hAnsi="Arial" w:cs="Arial"/>
          <w:lang w:val="fr-FR"/>
        </w:rPr>
        <w:tab/>
        <w:t>Numérotage pour la téléphonie mobile</w:t>
      </w:r>
    </w:p>
    <w:p w:rsidR="00E357D8" w:rsidRPr="008174E6" w:rsidRDefault="00E357D8" w:rsidP="00E357D8">
      <w:pPr>
        <w:rPr>
          <w:rFonts w:ascii="Arial" w:hAnsi="Arial" w:cs="Arial"/>
          <w:lang w:val="fr-FR"/>
        </w:rPr>
      </w:pPr>
      <w:r w:rsidRPr="008174E6">
        <w:rPr>
          <w:rFonts w:ascii="Arial" w:hAnsi="Arial" w:cs="Arial"/>
          <w:bCs/>
          <w:iCs/>
          <w:lang w:val="fr-FR"/>
        </w:rPr>
        <w:t>Attribution du chiffre X dans la structure de numéros à huit chiffres (NDC) XYZ1MCDU pour le service de téléphonie mobile:</w:t>
      </w:r>
    </w:p>
    <w:bookmarkEnd w:id="3"/>
    <w:p w:rsidR="00E357D8" w:rsidRPr="008174E6" w:rsidRDefault="00E357D8" w:rsidP="00E357D8">
      <w:pPr>
        <w:rPr>
          <w:rFonts w:ascii="Arial" w:hAnsi="Arial" w:cs="Arial"/>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23"/>
        <w:gridCol w:w="604"/>
        <w:gridCol w:w="605"/>
        <w:gridCol w:w="605"/>
        <w:gridCol w:w="605"/>
        <w:gridCol w:w="605"/>
        <w:gridCol w:w="605"/>
        <w:gridCol w:w="605"/>
        <w:gridCol w:w="605"/>
        <w:gridCol w:w="605"/>
        <w:gridCol w:w="605"/>
      </w:tblGrid>
      <w:tr w:rsidR="00E357D8" w:rsidRPr="008174E6" w:rsidTr="00CE2AD9">
        <w:trPr>
          <w:trHeight w:val="20"/>
          <w:tblHeader/>
          <w:jc w:val="center"/>
        </w:trPr>
        <w:tc>
          <w:tcPr>
            <w:tcW w:w="2835" w:type="dxa"/>
            <w:tcBorders>
              <w:top w:val="single" w:sz="4" w:space="0" w:color="000000"/>
              <w:left w:val="single" w:sz="4" w:space="0" w:color="auto"/>
              <w:bottom w:val="single" w:sz="4" w:space="0" w:color="000000"/>
              <w:right w:val="single" w:sz="4" w:space="0" w:color="000000"/>
            </w:tcBorders>
            <w:vAlign w:val="center"/>
            <w:hideMark/>
          </w:tcPr>
          <w:p w:rsidR="00E357D8" w:rsidRPr="008174E6" w:rsidRDefault="00E357D8" w:rsidP="00CE2AD9">
            <w:pPr>
              <w:pStyle w:val="Tablehead"/>
              <w:rPr>
                <w:rFonts w:ascii="Arial" w:hAnsi="Arial" w:cs="Arial"/>
                <w:b/>
                <w:sz w:val="20"/>
              </w:rPr>
            </w:pPr>
            <w:bookmarkStart w:id="4" w:name="_Toc231201284"/>
            <w:r w:rsidRPr="008174E6">
              <w:rPr>
                <w:rFonts w:ascii="Arial" w:hAnsi="Arial" w:cs="Arial"/>
                <w:sz w:val="20"/>
              </w:rPr>
              <w:t>Structure (6 ,7) XYZ MCDU</w:t>
            </w:r>
            <w:bookmarkEnd w:id="4"/>
          </w:p>
        </w:tc>
        <w:tc>
          <w:tcPr>
            <w:tcW w:w="5670" w:type="dxa"/>
            <w:gridSpan w:val="10"/>
            <w:tcBorders>
              <w:top w:val="single" w:sz="4" w:space="0" w:color="000000"/>
              <w:left w:val="single" w:sz="4" w:space="0" w:color="000000"/>
              <w:bottom w:val="single" w:sz="4" w:space="0" w:color="000000"/>
              <w:right w:val="single" w:sz="4" w:space="0" w:color="auto"/>
            </w:tcBorders>
            <w:vAlign w:val="center"/>
            <w:hideMark/>
          </w:tcPr>
          <w:p w:rsidR="00E357D8" w:rsidRPr="008174E6" w:rsidRDefault="00E357D8" w:rsidP="00CE2AD9">
            <w:pPr>
              <w:pStyle w:val="Tablehead"/>
              <w:rPr>
                <w:rFonts w:ascii="Arial" w:hAnsi="Arial" w:cs="Arial"/>
                <w:b/>
                <w:sz w:val="20"/>
              </w:rPr>
            </w:pPr>
            <w:r w:rsidRPr="008174E6">
              <w:rPr>
                <w:rFonts w:ascii="Arial" w:hAnsi="Arial" w:cs="Arial"/>
                <w:sz w:val="20"/>
              </w:rPr>
              <w:t>Chiffres X</w:t>
            </w:r>
          </w:p>
        </w:tc>
      </w:tr>
      <w:tr w:rsidR="00E357D8" w:rsidRPr="008174E6" w:rsidTr="00CE2AD9">
        <w:trPr>
          <w:trHeight w:val="20"/>
          <w:tblHeader/>
          <w:jc w:val="center"/>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b/>
                <w:sz w:val="20"/>
                <w:szCs w:val="20"/>
                <w:lang w:val="es-ES_tradnl"/>
              </w:rPr>
            </w:pPr>
            <w:r w:rsidRPr="008174E6">
              <w:rPr>
                <w:rFonts w:ascii="Arial" w:hAnsi="Arial" w:cs="Arial"/>
                <w:sz w:val="20"/>
                <w:szCs w:val="20"/>
              </w:rPr>
              <w:t>Mobiles</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jc w:val="center"/>
              <w:rPr>
                <w:rFonts w:ascii="Arial" w:hAnsi="Arial" w:cs="Arial"/>
                <w:b/>
                <w:sz w:val="20"/>
                <w:szCs w:val="20"/>
                <w:lang w:val="es-ES_tradnl"/>
              </w:rPr>
            </w:pPr>
            <w:r w:rsidRPr="008174E6">
              <w:rPr>
                <w:rFonts w:ascii="Arial" w:hAnsi="Arial" w:cs="Arial"/>
                <w:sz w:val="20"/>
                <w:szCs w:val="20"/>
                <w:lang w:val="es-ES_tradnl"/>
              </w:rPr>
              <w:t>9</w:t>
            </w:r>
          </w:p>
        </w:tc>
      </w:tr>
    </w:tbl>
    <w:p w:rsidR="00E357D8" w:rsidRPr="008174E6" w:rsidRDefault="00E357D8" w:rsidP="00E357D8">
      <w:pPr>
        <w:rPr>
          <w:rFonts w:ascii="Arial" w:hAnsi="Arial" w:cs="Arial"/>
          <w:lang w:val="es-ES_tradnl"/>
        </w:rPr>
      </w:pPr>
      <w:bookmarkStart w:id="5" w:name="_Toc231201286"/>
    </w:p>
    <w:p w:rsidR="00E357D8" w:rsidRPr="008174E6" w:rsidRDefault="00E357D8" w:rsidP="00E357D8">
      <w:pPr>
        <w:rPr>
          <w:rFonts w:ascii="Arial" w:hAnsi="Arial" w:cs="Arial"/>
          <w:b/>
          <w:i/>
          <w:lang w:val="fr-CH"/>
        </w:rPr>
      </w:pPr>
      <w:r w:rsidRPr="008174E6">
        <w:rPr>
          <w:rFonts w:ascii="Arial" w:hAnsi="Arial" w:cs="Arial"/>
          <w:lang w:val="fr-FR"/>
        </w:rPr>
        <w:t>•</w:t>
      </w:r>
      <w:r w:rsidRPr="008174E6">
        <w:rPr>
          <w:rFonts w:ascii="Arial" w:hAnsi="Arial" w:cs="Arial"/>
          <w:lang w:val="fr-CH"/>
        </w:rPr>
        <w:tab/>
      </w:r>
      <w:bookmarkEnd w:id="5"/>
      <w:r w:rsidRPr="008174E6">
        <w:rPr>
          <w:rFonts w:ascii="Arial" w:hAnsi="Arial" w:cs="Arial"/>
          <w:lang w:val="fr-FR"/>
        </w:rPr>
        <w:t>Numérotage international avec numérotation automatique et longueur du numéro</w:t>
      </w:r>
    </w:p>
    <w:p w:rsidR="00E357D8" w:rsidRPr="008174E6" w:rsidRDefault="00E357D8" w:rsidP="00E357D8">
      <w:pPr>
        <w:rPr>
          <w:rFonts w:ascii="Arial" w:hAnsi="Arial" w:cs="Arial"/>
          <w:lang w:val="fr-FR"/>
        </w:rPr>
      </w:pPr>
      <w:bookmarkStart w:id="6" w:name="_Toc231201288"/>
      <w:r w:rsidRPr="008174E6">
        <w:rPr>
          <w:rFonts w:ascii="Arial" w:hAnsi="Arial" w:cs="Arial"/>
          <w:lang w:val="fr-FR"/>
        </w:rPr>
        <w:t xml:space="preserve">Dans la Recommandation UIT-T E.164, il est indiqué que les numéros d'abonné du service </w:t>
      </w:r>
      <w:proofErr w:type="spellStart"/>
      <w:r w:rsidRPr="008174E6">
        <w:rPr>
          <w:rFonts w:ascii="Arial" w:hAnsi="Arial" w:cs="Arial"/>
          <w:lang w:val="fr-FR"/>
        </w:rPr>
        <w:t>auto</w:t>
      </w:r>
      <w:r w:rsidRPr="008174E6">
        <w:rPr>
          <w:rFonts w:ascii="Arial" w:hAnsi="Arial" w:cs="Arial"/>
          <w:lang w:val="fr-FR"/>
        </w:rPr>
        <w:softHyphen/>
        <w:t>matique</w:t>
      </w:r>
      <w:proofErr w:type="spellEnd"/>
      <w:r w:rsidRPr="008174E6">
        <w:rPr>
          <w:rFonts w:ascii="Arial" w:hAnsi="Arial" w:cs="Arial"/>
          <w:lang w:val="fr-FR"/>
        </w:rPr>
        <w:t xml:space="preserve"> international doivent compter au maximum 15 chiffres, préfixe international non inclus.</w:t>
      </w:r>
    </w:p>
    <w:p w:rsidR="00E357D8" w:rsidRPr="008174E6" w:rsidRDefault="00E357D8" w:rsidP="00E357D8">
      <w:pPr>
        <w:rPr>
          <w:rFonts w:ascii="Arial" w:hAnsi="Arial" w:cs="Arial"/>
          <w:lang w:val="fr-FR"/>
        </w:rPr>
      </w:pPr>
      <w:bookmarkStart w:id="7" w:name="_Toc231201289"/>
      <w:bookmarkEnd w:id="6"/>
      <w:r w:rsidRPr="008174E6">
        <w:rPr>
          <w:rFonts w:ascii="Arial" w:hAnsi="Arial" w:cs="Arial"/>
          <w:lang w:val="fr-FR"/>
        </w:rPr>
        <w:t>Afin d'harmoniser et de faciliter l'utilisation des structures de numérotation dans la région par rapport au reste du monde, El Salvador a adopté le préfixe «00» pour le service automatique international, conformément au numéro 11 de la Recommandation UIT-T E.164, concernant l'utilisation de préfixes et de codes internationaux.</w:t>
      </w:r>
    </w:p>
    <w:p w:rsidR="00E357D8" w:rsidRPr="008174E6" w:rsidRDefault="00E357D8" w:rsidP="00E357D8">
      <w:pPr>
        <w:rPr>
          <w:rFonts w:ascii="Arial" w:hAnsi="Arial" w:cs="Arial"/>
          <w:lang w:val="fr-FR"/>
        </w:rPr>
      </w:pPr>
      <w:r w:rsidRPr="008174E6">
        <w:rPr>
          <w:rFonts w:ascii="Arial" w:hAnsi="Arial" w:cs="Arial"/>
          <w:lang w:val="fr-FR"/>
        </w:rPr>
        <w:t xml:space="preserve">Au El Salvador, les 15 chiffres ne comprennent pas: les deux chiffres du préfixe international ni les trois chiffres du code du système </w:t>
      </w:r>
      <w:proofErr w:type="spellStart"/>
      <w:r w:rsidRPr="008174E6">
        <w:rPr>
          <w:rFonts w:ascii="Arial" w:hAnsi="Arial" w:cs="Arial"/>
          <w:lang w:val="fr-FR"/>
        </w:rPr>
        <w:t>multiporteuses</w:t>
      </w:r>
      <w:proofErr w:type="spellEnd"/>
      <w:r w:rsidRPr="008174E6">
        <w:rPr>
          <w:rFonts w:ascii="Arial" w:hAnsi="Arial" w:cs="Arial"/>
          <w:lang w:val="fr-FR"/>
        </w:rPr>
        <w:t>, c'est-à-dire que les centraux téléphoniques doivent analyser au minimum 20 chiffres. A cette fin, le propriétaire du central téléphonique de destination doit s'assurer que ses équipements ont la capacité nécessaire pour traiter ce nombre de chiffres en un seul segment ou, si tel n'est pas le cas et d'un commun accord entre les parties, en plusieurs segments.</w:t>
      </w:r>
    </w:p>
    <w:p w:rsidR="00E357D8" w:rsidRPr="008174E6" w:rsidRDefault="00E357D8" w:rsidP="00E357D8">
      <w:pPr>
        <w:rPr>
          <w:rFonts w:ascii="Arial" w:hAnsi="Arial" w:cs="Arial"/>
          <w:lang w:val="fr-FR"/>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85"/>
        <w:gridCol w:w="6520"/>
      </w:tblGrid>
      <w:tr w:rsidR="00E357D8" w:rsidRPr="008174E6" w:rsidTr="00CE2AD9">
        <w:trPr>
          <w:trHeight w:val="20"/>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Head0"/>
              <w:rPr>
                <w:rFonts w:ascii="Arial" w:hAnsi="Arial" w:cs="Arial"/>
                <w:b/>
                <w:sz w:val="20"/>
                <w:lang w:val="es-ES_tradnl"/>
              </w:rPr>
            </w:pPr>
            <w:bookmarkStart w:id="8" w:name="_Toc231201290"/>
            <w:bookmarkEnd w:id="7"/>
            <w:proofErr w:type="spellStart"/>
            <w:r w:rsidRPr="008174E6">
              <w:rPr>
                <w:rFonts w:ascii="Arial" w:hAnsi="Arial" w:cs="Arial"/>
                <w:sz w:val="20"/>
                <w:lang w:val="es-ES_tradnl"/>
              </w:rPr>
              <w:t>Chiffres</w:t>
            </w:r>
            <w:proofErr w:type="spellEnd"/>
            <w:r w:rsidRPr="008174E6">
              <w:rPr>
                <w:rFonts w:ascii="Arial" w:hAnsi="Arial" w:cs="Arial"/>
                <w:sz w:val="20"/>
                <w:lang w:val="es-ES_tradnl"/>
              </w:rPr>
              <w:t xml:space="preserve"> X</w:t>
            </w:r>
            <w:bookmarkEnd w:id="8"/>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Head0"/>
              <w:rPr>
                <w:rFonts w:ascii="Arial" w:hAnsi="Arial" w:cs="Arial"/>
                <w:b/>
                <w:sz w:val="20"/>
                <w:lang w:val="fr-CH"/>
              </w:rPr>
            </w:pPr>
            <w:bookmarkStart w:id="9" w:name="_Toc231201291"/>
            <w:r w:rsidRPr="008174E6">
              <w:rPr>
                <w:rFonts w:ascii="Arial" w:hAnsi="Arial" w:cs="Arial"/>
                <w:sz w:val="20"/>
                <w:lang w:val="fr-FR"/>
              </w:rPr>
              <w:t>Utilisation dans la structure</w:t>
            </w:r>
            <w:r w:rsidRPr="008174E6">
              <w:rPr>
                <w:rFonts w:ascii="Arial" w:hAnsi="Arial" w:cs="Arial"/>
                <w:sz w:val="20"/>
                <w:lang w:val="fr-CH"/>
              </w:rPr>
              <w:t xml:space="preserve"> XYZ</w:t>
            </w:r>
            <w:bookmarkEnd w:id="9"/>
          </w:p>
        </w:tc>
      </w:tr>
      <w:tr w:rsidR="00E357D8" w:rsidRPr="008174E6" w:rsidTr="00CE2AD9">
        <w:trPr>
          <w:trHeight w:val="20"/>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b/>
                <w:sz w:val="20"/>
                <w:szCs w:val="20"/>
                <w:lang w:eastAsia="es-ES"/>
              </w:rPr>
            </w:pPr>
            <w:r w:rsidRPr="008174E6">
              <w:rPr>
                <w:rFonts w:ascii="Arial" w:hAnsi="Arial" w:cs="Arial"/>
                <w:sz w:val="20"/>
                <w:szCs w:val="20"/>
                <w:lang w:eastAsia="es-ES"/>
              </w:rPr>
              <w:t>0, 2, 3, 4, 5, 6, 7, 8</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Non utilisés dans cette structure.</w:t>
            </w:r>
          </w:p>
        </w:tc>
      </w:tr>
      <w:tr w:rsidR="00E357D8" w:rsidRPr="008174E6" w:rsidTr="00CE2AD9">
        <w:trPr>
          <w:trHeight w:val="20"/>
          <w:tblHeader/>
          <w:jc w:val="center"/>
        </w:trPr>
        <w:tc>
          <w:tcPr>
            <w:tcW w:w="1985" w:type="dxa"/>
            <w:tcBorders>
              <w:top w:val="single" w:sz="4" w:space="0" w:color="000000"/>
              <w:left w:val="single" w:sz="4" w:space="0" w:color="000000"/>
              <w:bottom w:val="single" w:sz="4" w:space="0" w:color="auto"/>
              <w:right w:val="single" w:sz="4" w:space="0" w:color="000000"/>
            </w:tcBorders>
            <w:hideMark/>
          </w:tcPr>
          <w:p w:rsidR="00E357D8" w:rsidRPr="008174E6" w:rsidRDefault="00E357D8" w:rsidP="00CE2AD9">
            <w:pPr>
              <w:pStyle w:val="Tabletext0"/>
              <w:rPr>
                <w:rFonts w:ascii="Arial" w:hAnsi="Arial" w:cs="Arial"/>
                <w:b/>
                <w:sz w:val="20"/>
                <w:szCs w:val="20"/>
                <w:lang w:eastAsia="es-ES"/>
              </w:rPr>
            </w:pPr>
            <w:r w:rsidRPr="008174E6">
              <w:rPr>
                <w:rFonts w:ascii="Arial" w:hAnsi="Arial" w:cs="Arial"/>
                <w:sz w:val="20"/>
                <w:szCs w:val="20"/>
                <w:lang w:eastAsia="es-ES"/>
              </w:rPr>
              <w:t>1</w:t>
            </w:r>
          </w:p>
        </w:tc>
        <w:tc>
          <w:tcPr>
            <w:tcW w:w="6520" w:type="dxa"/>
            <w:tcBorders>
              <w:top w:val="single" w:sz="4" w:space="0" w:color="000000"/>
              <w:left w:val="single" w:sz="4" w:space="0" w:color="000000"/>
              <w:bottom w:val="single" w:sz="4" w:space="0" w:color="auto"/>
              <w:right w:val="single" w:sz="4" w:space="0" w:color="000000"/>
            </w:tcBorders>
            <w:hideMark/>
          </w:tcPr>
          <w:p w:rsidR="00E357D8" w:rsidRPr="008174E6" w:rsidRDefault="00E357D8" w:rsidP="00CE2AD9">
            <w:pPr>
              <w:pStyle w:val="Tabletext0"/>
              <w:tabs>
                <w:tab w:val="clear" w:pos="1276"/>
                <w:tab w:val="left" w:pos="462"/>
              </w:tabs>
              <w:rPr>
                <w:rFonts w:ascii="Arial" w:hAnsi="Arial" w:cs="Arial"/>
                <w:b/>
                <w:sz w:val="20"/>
                <w:szCs w:val="20"/>
                <w:lang w:val="fr-CH"/>
              </w:rPr>
            </w:pPr>
            <w:r w:rsidRPr="008174E6">
              <w:rPr>
                <w:rFonts w:ascii="Arial" w:hAnsi="Arial" w:cs="Arial"/>
                <w:sz w:val="20"/>
                <w:szCs w:val="20"/>
                <w:lang w:val="fr-CH"/>
              </w:rPr>
              <w:t>a)</w:t>
            </w:r>
            <w:r w:rsidRPr="008174E6">
              <w:rPr>
                <w:rFonts w:ascii="Arial" w:hAnsi="Arial" w:cs="Arial"/>
                <w:sz w:val="20"/>
                <w:szCs w:val="20"/>
                <w:lang w:val="fr-CH"/>
              </w:rPr>
              <w:tab/>
            </w:r>
            <w:r w:rsidRPr="008174E6">
              <w:rPr>
                <w:rFonts w:ascii="Arial" w:hAnsi="Arial" w:cs="Arial"/>
                <w:sz w:val="20"/>
                <w:szCs w:val="20"/>
              </w:rPr>
              <w:t xml:space="preserve">Utilisé pour les clés de sélection du système </w:t>
            </w:r>
            <w:proofErr w:type="spellStart"/>
            <w:r w:rsidRPr="008174E6">
              <w:rPr>
                <w:rFonts w:ascii="Arial" w:hAnsi="Arial" w:cs="Arial"/>
                <w:sz w:val="20"/>
                <w:szCs w:val="20"/>
              </w:rPr>
              <w:t>multiporteuses</w:t>
            </w:r>
            <w:proofErr w:type="spellEnd"/>
            <w:r w:rsidRPr="008174E6">
              <w:rPr>
                <w:rFonts w:ascii="Arial" w:hAnsi="Arial" w:cs="Arial"/>
                <w:sz w:val="20"/>
                <w:szCs w:val="20"/>
              </w:rPr>
              <w:t>.</w:t>
            </w:r>
          </w:p>
          <w:p w:rsidR="00E357D8" w:rsidRPr="008174E6" w:rsidRDefault="00E357D8" w:rsidP="00CE2AD9">
            <w:pPr>
              <w:pStyle w:val="Tabletext0"/>
              <w:tabs>
                <w:tab w:val="clear" w:pos="1276"/>
                <w:tab w:val="left" w:pos="462"/>
              </w:tabs>
              <w:rPr>
                <w:rFonts w:ascii="Arial" w:hAnsi="Arial" w:cs="Arial"/>
                <w:b/>
                <w:sz w:val="20"/>
                <w:szCs w:val="20"/>
                <w:lang w:val="fr-CH"/>
              </w:rPr>
            </w:pPr>
            <w:r w:rsidRPr="008174E6">
              <w:rPr>
                <w:rFonts w:ascii="Arial" w:hAnsi="Arial" w:cs="Arial"/>
                <w:sz w:val="20"/>
                <w:szCs w:val="20"/>
                <w:lang w:val="fr-CH"/>
              </w:rPr>
              <w:t>b)</w:t>
            </w:r>
            <w:r w:rsidRPr="008174E6">
              <w:rPr>
                <w:rFonts w:ascii="Arial" w:hAnsi="Arial" w:cs="Arial"/>
                <w:sz w:val="20"/>
                <w:szCs w:val="20"/>
                <w:lang w:val="fr-CH"/>
              </w:rPr>
              <w:tab/>
            </w:r>
            <w:r w:rsidRPr="008174E6">
              <w:rPr>
                <w:rFonts w:ascii="Arial" w:hAnsi="Arial" w:cs="Arial"/>
                <w:sz w:val="20"/>
                <w:szCs w:val="20"/>
              </w:rPr>
              <w:t>Utilisé dans les services spéciaux pour:</w:t>
            </w:r>
          </w:p>
          <w:p w:rsidR="00E357D8" w:rsidRPr="008174E6" w:rsidRDefault="00E357D8" w:rsidP="00CE2AD9">
            <w:pPr>
              <w:pStyle w:val="Tabletext0"/>
              <w:tabs>
                <w:tab w:val="clear" w:pos="1276"/>
                <w:tab w:val="clear" w:pos="1843"/>
                <w:tab w:val="left" w:pos="462"/>
                <w:tab w:val="left" w:pos="746"/>
              </w:tabs>
              <w:ind w:left="321" w:firstLine="141"/>
              <w:rPr>
                <w:rFonts w:ascii="Arial" w:hAnsi="Arial" w:cs="Arial"/>
                <w:b/>
                <w:sz w:val="20"/>
                <w:szCs w:val="20"/>
                <w:lang w:val="fr-CH" w:eastAsia="es-ES"/>
              </w:rPr>
            </w:pPr>
            <w:r w:rsidRPr="008174E6">
              <w:rPr>
                <w:rFonts w:ascii="Arial" w:hAnsi="Arial" w:cs="Arial"/>
                <w:sz w:val="20"/>
                <w:szCs w:val="20"/>
                <w:lang w:val="fr-CH" w:eastAsia="es-ES"/>
              </w:rPr>
              <w:t>–</w:t>
            </w:r>
            <w:r w:rsidRPr="008174E6">
              <w:rPr>
                <w:rFonts w:ascii="Arial" w:hAnsi="Arial" w:cs="Arial"/>
                <w:sz w:val="20"/>
                <w:szCs w:val="20"/>
                <w:lang w:val="fr-CH" w:eastAsia="es-ES"/>
              </w:rPr>
              <w:tab/>
            </w:r>
            <w:r w:rsidRPr="008174E6">
              <w:rPr>
                <w:rFonts w:ascii="Arial" w:hAnsi="Arial" w:cs="Arial"/>
                <w:sz w:val="20"/>
                <w:szCs w:val="20"/>
                <w:lang w:val="fr-CH"/>
              </w:rPr>
              <w:t>les institutions gouvernementales;</w:t>
            </w:r>
          </w:p>
          <w:p w:rsidR="00E357D8" w:rsidRPr="008174E6" w:rsidRDefault="00E357D8" w:rsidP="00CE2AD9">
            <w:pPr>
              <w:pStyle w:val="Tabletext0"/>
              <w:tabs>
                <w:tab w:val="clear" w:pos="1276"/>
                <w:tab w:val="clear" w:pos="1843"/>
                <w:tab w:val="left" w:pos="462"/>
                <w:tab w:val="left" w:pos="746"/>
              </w:tabs>
              <w:ind w:left="321" w:firstLine="141"/>
              <w:rPr>
                <w:rFonts w:ascii="Arial" w:hAnsi="Arial" w:cs="Arial"/>
                <w:b/>
                <w:sz w:val="20"/>
                <w:szCs w:val="20"/>
                <w:lang w:val="fr-CH" w:eastAsia="es-ES"/>
              </w:rPr>
            </w:pPr>
            <w:r w:rsidRPr="008174E6">
              <w:rPr>
                <w:rFonts w:ascii="Arial" w:hAnsi="Arial" w:cs="Arial"/>
                <w:sz w:val="20"/>
                <w:szCs w:val="20"/>
                <w:lang w:val="fr-CH" w:eastAsia="es-ES"/>
              </w:rPr>
              <w:t>–</w:t>
            </w:r>
            <w:r w:rsidRPr="008174E6">
              <w:rPr>
                <w:rFonts w:ascii="Arial" w:hAnsi="Arial" w:cs="Arial"/>
                <w:sz w:val="20"/>
                <w:szCs w:val="20"/>
                <w:lang w:val="fr-CH" w:eastAsia="es-ES"/>
              </w:rPr>
              <w:tab/>
            </w:r>
            <w:r w:rsidRPr="008174E6">
              <w:rPr>
                <w:rFonts w:ascii="Arial" w:hAnsi="Arial" w:cs="Arial"/>
                <w:sz w:val="20"/>
                <w:szCs w:val="20"/>
              </w:rPr>
              <w:t>l'assistance à la population en cas d'urgence ou d'actes délictueux;</w:t>
            </w:r>
          </w:p>
          <w:p w:rsidR="00E357D8" w:rsidRPr="008174E6" w:rsidRDefault="00E357D8" w:rsidP="00CE2AD9">
            <w:pPr>
              <w:pStyle w:val="Tabletext0"/>
              <w:tabs>
                <w:tab w:val="clear" w:pos="1276"/>
                <w:tab w:val="clear" w:pos="1843"/>
                <w:tab w:val="left" w:pos="462"/>
                <w:tab w:val="left" w:pos="746"/>
              </w:tabs>
              <w:ind w:left="321" w:firstLine="141"/>
              <w:rPr>
                <w:rFonts w:ascii="Arial" w:hAnsi="Arial" w:cs="Arial"/>
                <w:b/>
                <w:sz w:val="20"/>
                <w:szCs w:val="20"/>
                <w:lang w:val="fr-CH" w:eastAsia="es-ES"/>
              </w:rPr>
            </w:pPr>
            <w:r w:rsidRPr="008174E6">
              <w:rPr>
                <w:rFonts w:ascii="Arial" w:hAnsi="Arial" w:cs="Arial"/>
                <w:sz w:val="20"/>
                <w:szCs w:val="20"/>
                <w:lang w:val="fr-CH" w:eastAsia="es-ES"/>
              </w:rPr>
              <w:t>–</w:t>
            </w:r>
            <w:r w:rsidRPr="008174E6">
              <w:rPr>
                <w:rFonts w:ascii="Arial" w:hAnsi="Arial" w:cs="Arial"/>
                <w:sz w:val="20"/>
                <w:szCs w:val="20"/>
                <w:lang w:val="fr-CH" w:eastAsia="es-ES"/>
              </w:rPr>
              <w:tab/>
            </w:r>
            <w:r w:rsidRPr="008174E6">
              <w:rPr>
                <w:rFonts w:ascii="Arial" w:hAnsi="Arial" w:cs="Arial"/>
                <w:sz w:val="20"/>
                <w:szCs w:val="20"/>
                <w:lang w:val="fr-CH"/>
              </w:rPr>
              <w:t>l'aide humanitaire;</w:t>
            </w:r>
          </w:p>
          <w:p w:rsidR="00E357D8" w:rsidRPr="008174E6" w:rsidRDefault="00E357D8" w:rsidP="00CE2AD9">
            <w:pPr>
              <w:pStyle w:val="Tabletext0"/>
              <w:tabs>
                <w:tab w:val="clear" w:pos="1276"/>
                <w:tab w:val="clear" w:pos="1843"/>
                <w:tab w:val="left" w:pos="462"/>
                <w:tab w:val="left" w:pos="746"/>
              </w:tabs>
              <w:ind w:left="321" w:firstLine="141"/>
              <w:rPr>
                <w:rFonts w:ascii="Arial" w:hAnsi="Arial" w:cs="Arial"/>
                <w:b/>
                <w:sz w:val="20"/>
                <w:szCs w:val="20"/>
                <w:lang w:val="fr-CH" w:eastAsia="es-ES"/>
              </w:rPr>
            </w:pPr>
            <w:r w:rsidRPr="008174E6">
              <w:rPr>
                <w:rFonts w:ascii="Arial" w:hAnsi="Arial" w:cs="Arial"/>
                <w:sz w:val="20"/>
                <w:szCs w:val="20"/>
                <w:lang w:val="fr-CH" w:eastAsia="es-ES"/>
              </w:rPr>
              <w:t>–</w:t>
            </w:r>
            <w:r w:rsidRPr="008174E6">
              <w:rPr>
                <w:rFonts w:ascii="Arial" w:hAnsi="Arial" w:cs="Arial"/>
                <w:sz w:val="20"/>
                <w:szCs w:val="20"/>
                <w:lang w:val="fr-CH" w:eastAsia="es-ES"/>
              </w:rPr>
              <w:tab/>
            </w:r>
            <w:r w:rsidRPr="008174E6">
              <w:rPr>
                <w:rFonts w:ascii="Arial" w:hAnsi="Arial" w:cs="Arial"/>
                <w:sz w:val="20"/>
                <w:szCs w:val="20"/>
              </w:rPr>
              <w:t>l'attribution temporaire pour répondre à des besoins collectifs;</w:t>
            </w:r>
            <w:r w:rsidRPr="008174E6">
              <w:rPr>
                <w:rFonts w:ascii="Arial" w:hAnsi="Arial" w:cs="Arial"/>
                <w:sz w:val="20"/>
                <w:szCs w:val="20"/>
                <w:vertAlign w:val="superscript"/>
                <w:lang w:eastAsia="es-ES"/>
              </w:rPr>
              <w:t>1</w:t>
            </w:r>
          </w:p>
          <w:p w:rsidR="00E357D8" w:rsidRPr="008174E6" w:rsidRDefault="00E357D8" w:rsidP="00CE2AD9">
            <w:pPr>
              <w:pStyle w:val="Tabletext0"/>
              <w:tabs>
                <w:tab w:val="clear" w:pos="1276"/>
                <w:tab w:val="clear" w:pos="1843"/>
                <w:tab w:val="left" w:pos="462"/>
                <w:tab w:val="left" w:pos="746"/>
              </w:tabs>
              <w:ind w:left="321" w:firstLine="141"/>
              <w:rPr>
                <w:rFonts w:ascii="Arial" w:hAnsi="Arial" w:cs="Arial"/>
                <w:b/>
                <w:sz w:val="20"/>
                <w:szCs w:val="20"/>
                <w:lang w:val="fr-CH" w:eastAsia="es-ES"/>
              </w:rPr>
            </w:pPr>
            <w:r w:rsidRPr="008174E6">
              <w:rPr>
                <w:rFonts w:ascii="Arial" w:hAnsi="Arial" w:cs="Arial"/>
                <w:sz w:val="20"/>
                <w:szCs w:val="20"/>
                <w:lang w:val="fr-CH" w:eastAsia="es-ES"/>
              </w:rPr>
              <w:t>–</w:t>
            </w:r>
            <w:r w:rsidRPr="008174E6">
              <w:rPr>
                <w:rFonts w:ascii="Arial" w:hAnsi="Arial" w:cs="Arial"/>
                <w:sz w:val="20"/>
                <w:szCs w:val="20"/>
                <w:lang w:val="fr-CH" w:eastAsia="es-ES"/>
              </w:rPr>
              <w:tab/>
            </w:r>
            <w:r w:rsidRPr="008174E6">
              <w:rPr>
                <w:rFonts w:ascii="Arial" w:hAnsi="Arial" w:cs="Arial"/>
                <w:sz w:val="20"/>
                <w:szCs w:val="20"/>
              </w:rPr>
              <w:t>les services internes propres aux opérateurs, et</w:t>
            </w:r>
          </w:p>
          <w:p w:rsidR="00E357D8" w:rsidRPr="008174E6" w:rsidRDefault="00E357D8" w:rsidP="00CE2AD9">
            <w:pPr>
              <w:pStyle w:val="Tabletext0"/>
              <w:tabs>
                <w:tab w:val="clear" w:pos="1276"/>
                <w:tab w:val="left" w:pos="462"/>
              </w:tabs>
              <w:rPr>
                <w:rFonts w:ascii="Arial" w:hAnsi="Arial" w:cs="Arial"/>
                <w:b/>
                <w:sz w:val="20"/>
                <w:szCs w:val="20"/>
                <w:lang w:val="fr-CH"/>
              </w:rPr>
            </w:pPr>
            <w:r w:rsidRPr="008174E6">
              <w:rPr>
                <w:rFonts w:ascii="Arial" w:hAnsi="Arial" w:cs="Arial"/>
                <w:sz w:val="20"/>
                <w:szCs w:val="20"/>
                <w:lang w:val="fr-CH"/>
              </w:rPr>
              <w:t xml:space="preserve">c) </w:t>
            </w:r>
            <w:r w:rsidRPr="008174E6">
              <w:rPr>
                <w:rFonts w:ascii="Arial" w:hAnsi="Arial" w:cs="Arial"/>
                <w:sz w:val="20"/>
                <w:szCs w:val="20"/>
                <w:lang w:val="fr-CH"/>
              </w:rPr>
              <w:tab/>
              <w:t xml:space="preserve">Services futurs que doit déterminer la SIGET. </w:t>
            </w:r>
          </w:p>
        </w:tc>
      </w:tr>
      <w:tr w:rsidR="00E357D8" w:rsidRPr="008174E6" w:rsidTr="00CE2AD9">
        <w:trPr>
          <w:trHeight w:val="20"/>
          <w:tblHeade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357D8" w:rsidRPr="008174E6" w:rsidRDefault="00E357D8" w:rsidP="00CE2AD9">
            <w:pPr>
              <w:pStyle w:val="Tabletext0"/>
              <w:rPr>
                <w:rFonts w:ascii="Arial" w:hAnsi="Arial" w:cs="Arial"/>
                <w:b/>
                <w:sz w:val="20"/>
                <w:szCs w:val="20"/>
                <w:lang w:eastAsia="es-ES"/>
              </w:rPr>
            </w:pPr>
            <w:r w:rsidRPr="008174E6">
              <w:rPr>
                <w:rFonts w:ascii="Arial" w:hAnsi="Arial" w:cs="Arial"/>
                <w:sz w:val="20"/>
                <w:szCs w:val="20"/>
                <w:lang w:eastAsia="es-ES"/>
              </w:rPr>
              <w:t>9</w:t>
            </w:r>
          </w:p>
        </w:tc>
        <w:tc>
          <w:tcPr>
            <w:tcW w:w="6520" w:type="dxa"/>
            <w:tcBorders>
              <w:top w:val="single" w:sz="4" w:space="0" w:color="auto"/>
              <w:left w:val="single" w:sz="4" w:space="0" w:color="auto"/>
              <w:bottom w:val="single" w:sz="4" w:space="0" w:color="auto"/>
              <w:right w:val="single" w:sz="4" w:space="0" w:color="auto"/>
            </w:tcBorders>
            <w:hideMark/>
          </w:tcPr>
          <w:p w:rsidR="00E357D8" w:rsidRPr="008174E6" w:rsidRDefault="00E357D8" w:rsidP="00CE2AD9">
            <w:pPr>
              <w:pStyle w:val="Tabletext0"/>
              <w:rPr>
                <w:rFonts w:ascii="Arial" w:hAnsi="Arial" w:cs="Arial"/>
                <w:b/>
                <w:sz w:val="20"/>
                <w:szCs w:val="20"/>
                <w:lang w:val="fr-CH" w:eastAsia="es-ES"/>
              </w:rPr>
            </w:pPr>
            <w:r w:rsidRPr="008174E6">
              <w:rPr>
                <w:rFonts w:ascii="Arial" w:hAnsi="Arial" w:cs="Arial"/>
                <w:sz w:val="20"/>
                <w:szCs w:val="20"/>
              </w:rPr>
              <w:t>Services spéciaux utilisés par les institutions gouvernementales, où Y=1.</w:t>
            </w:r>
          </w:p>
        </w:tc>
      </w:tr>
      <w:tr w:rsidR="00E357D8" w:rsidRPr="008174E6" w:rsidTr="00CE2AD9">
        <w:trPr>
          <w:trHeight w:val="20"/>
          <w:tblHeader/>
          <w:jc w:val="center"/>
        </w:trPr>
        <w:tc>
          <w:tcPr>
            <w:tcW w:w="8505" w:type="dxa"/>
            <w:gridSpan w:val="2"/>
            <w:tcBorders>
              <w:top w:val="single" w:sz="4" w:space="0" w:color="auto"/>
              <w:left w:val="nil"/>
              <w:bottom w:val="nil"/>
              <w:right w:val="nil"/>
            </w:tcBorders>
            <w:vAlign w:val="center"/>
            <w:hideMark/>
          </w:tcPr>
          <w:p w:rsidR="00E357D8" w:rsidRPr="008174E6" w:rsidRDefault="00E357D8" w:rsidP="00CE2AD9">
            <w:pPr>
              <w:pStyle w:val="Tabletext0"/>
              <w:tabs>
                <w:tab w:val="clear" w:pos="1276"/>
                <w:tab w:val="left" w:pos="463"/>
              </w:tabs>
              <w:rPr>
                <w:rFonts w:ascii="Arial" w:hAnsi="Arial" w:cs="Arial"/>
                <w:b/>
                <w:sz w:val="20"/>
                <w:szCs w:val="20"/>
              </w:rPr>
            </w:pPr>
            <w:r w:rsidRPr="008174E6">
              <w:rPr>
                <w:rFonts w:ascii="Arial" w:hAnsi="Arial" w:cs="Arial"/>
                <w:sz w:val="20"/>
                <w:szCs w:val="20"/>
                <w:vertAlign w:val="superscript"/>
              </w:rPr>
              <w:lastRenderedPageBreak/>
              <w:t>1</w:t>
            </w:r>
            <w:r w:rsidRPr="008174E6">
              <w:rPr>
                <w:rFonts w:ascii="Arial" w:hAnsi="Arial" w:cs="Arial"/>
                <w:sz w:val="20"/>
                <w:szCs w:val="20"/>
              </w:rPr>
              <w:tab/>
              <w:t>Urgences dues à des phénomènes naturels, catastrophes publiques, coordination nécessaire à des fins humanitaires, événements nationaux ou régionaux majeurs et toute situation imprévue et dûment reconnue nécessitant un accès téléphonique au moyen d'une numérotation abrégée. Ces numéros seront attribués pour une durée maximale de trois mois, et toute demande de prolongation sera évaluée par la SIGET.</w:t>
            </w:r>
          </w:p>
        </w:tc>
      </w:tr>
      <w:tr w:rsidR="00E357D8" w:rsidRPr="008174E6" w:rsidTr="00CE2AD9">
        <w:trPr>
          <w:trHeight w:val="20"/>
          <w:tblHeader/>
          <w:jc w:val="center"/>
        </w:trPr>
        <w:tc>
          <w:tcPr>
            <w:tcW w:w="8505" w:type="dxa"/>
            <w:gridSpan w:val="2"/>
            <w:tcBorders>
              <w:top w:val="nil"/>
              <w:left w:val="nil"/>
              <w:bottom w:val="nil"/>
              <w:right w:val="nil"/>
            </w:tcBorders>
            <w:vAlign w:val="center"/>
          </w:tcPr>
          <w:p w:rsidR="00E357D8" w:rsidRPr="008174E6" w:rsidRDefault="00E357D8" w:rsidP="00CE2AD9">
            <w:pPr>
              <w:jc w:val="center"/>
              <w:rPr>
                <w:rFonts w:ascii="Arial" w:hAnsi="Arial" w:cs="Arial"/>
                <w:b/>
                <w:lang w:val="es-ES_tradnl"/>
              </w:rPr>
            </w:pPr>
            <w:r w:rsidRPr="008174E6">
              <w:rPr>
                <w:rFonts w:ascii="Arial" w:hAnsi="Arial" w:cs="Arial"/>
                <w:lang w:val="es-ES_tradnl"/>
              </w:rPr>
              <w:t>LIGNE D’AIDE AUX ENFANTS</w:t>
            </w:r>
          </w:p>
          <w:tbl>
            <w:tblPr>
              <w:tblW w:w="8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2374"/>
              <w:gridCol w:w="1017"/>
              <w:gridCol w:w="4934"/>
            </w:tblGrid>
            <w:tr w:rsidR="00E357D8" w:rsidRPr="008174E6" w:rsidTr="00CE2AD9">
              <w:trPr>
                <w:trHeight w:val="346"/>
              </w:trPr>
              <w:tc>
                <w:tcPr>
                  <w:tcW w:w="2374" w:type="dxa"/>
                  <w:vAlign w:val="center"/>
                  <w:hideMark/>
                </w:tcPr>
                <w:p w:rsidR="00E357D8" w:rsidRPr="008174E6" w:rsidRDefault="00E357D8" w:rsidP="00CE2AD9">
                  <w:pPr>
                    <w:pStyle w:val="TableHead0"/>
                    <w:rPr>
                      <w:rFonts w:ascii="Arial" w:hAnsi="Arial" w:cs="Arial"/>
                      <w:b/>
                      <w:sz w:val="20"/>
                      <w:lang w:val="es-ES_tradnl"/>
                    </w:rPr>
                  </w:pPr>
                  <w:proofErr w:type="spellStart"/>
                  <w:r w:rsidRPr="008174E6">
                    <w:rPr>
                      <w:rFonts w:ascii="Arial" w:hAnsi="Arial" w:cs="Arial"/>
                      <w:sz w:val="20"/>
                      <w:lang w:val="es-ES_tradnl"/>
                    </w:rPr>
                    <w:t>Type</w:t>
                  </w:r>
                  <w:proofErr w:type="spellEnd"/>
                  <w:r w:rsidRPr="008174E6">
                    <w:rPr>
                      <w:rFonts w:ascii="Arial" w:hAnsi="Arial" w:cs="Arial"/>
                      <w:sz w:val="20"/>
                      <w:lang w:val="es-ES_tradnl"/>
                    </w:rPr>
                    <w:t xml:space="preserve"> de </w:t>
                  </w:r>
                  <w:proofErr w:type="spellStart"/>
                  <w:r w:rsidRPr="008174E6">
                    <w:rPr>
                      <w:rFonts w:ascii="Arial" w:hAnsi="Arial" w:cs="Arial"/>
                      <w:sz w:val="20"/>
                      <w:lang w:val="es-ES_tradnl"/>
                    </w:rPr>
                    <w:t>service</w:t>
                  </w:r>
                  <w:proofErr w:type="spellEnd"/>
                </w:p>
              </w:tc>
              <w:tc>
                <w:tcPr>
                  <w:tcW w:w="1017" w:type="dxa"/>
                  <w:vAlign w:val="center"/>
                  <w:hideMark/>
                </w:tcPr>
                <w:p w:rsidR="00E357D8" w:rsidRPr="008174E6" w:rsidRDefault="00E357D8" w:rsidP="00CE2AD9">
                  <w:pPr>
                    <w:pStyle w:val="TableHead0"/>
                    <w:rPr>
                      <w:rFonts w:ascii="Arial" w:hAnsi="Arial" w:cs="Arial"/>
                      <w:b/>
                      <w:sz w:val="20"/>
                      <w:lang w:val="es-ES_tradnl"/>
                    </w:rPr>
                  </w:pPr>
                  <w:proofErr w:type="spellStart"/>
                  <w:r w:rsidRPr="008174E6">
                    <w:rPr>
                      <w:rFonts w:ascii="Arial" w:hAnsi="Arial" w:cs="Arial"/>
                      <w:sz w:val="20"/>
                      <w:lang w:val="es-ES_tradnl"/>
                    </w:rPr>
                    <w:t>Numéro</w:t>
                  </w:r>
                  <w:proofErr w:type="spellEnd"/>
                </w:p>
              </w:tc>
              <w:tc>
                <w:tcPr>
                  <w:tcW w:w="4933" w:type="dxa"/>
                  <w:vAlign w:val="center"/>
                  <w:hideMark/>
                </w:tcPr>
                <w:p w:rsidR="00E357D8" w:rsidRPr="008174E6" w:rsidRDefault="00E357D8" w:rsidP="00CE2AD9">
                  <w:pPr>
                    <w:pStyle w:val="TableHead0"/>
                    <w:rPr>
                      <w:rFonts w:ascii="Arial" w:hAnsi="Arial" w:cs="Arial"/>
                      <w:b/>
                      <w:sz w:val="20"/>
                      <w:lang w:val="es-ES_tradnl"/>
                    </w:rPr>
                  </w:pPr>
                  <w:proofErr w:type="spellStart"/>
                  <w:r w:rsidRPr="008174E6">
                    <w:rPr>
                      <w:rFonts w:ascii="Arial" w:hAnsi="Arial" w:cs="Arial"/>
                      <w:sz w:val="20"/>
                      <w:lang w:val="es-ES_tradnl"/>
                    </w:rPr>
                    <w:t>Utilisation</w:t>
                  </w:r>
                  <w:proofErr w:type="spellEnd"/>
                </w:p>
              </w:tc>
            </w:tr>
            <w:tr w:rsidR="00E357D8" w:rsidRPr="008174E6" w:rsidTr="00CE2AD9">
              <w:trPr>
                <w:trHeight w:val="1171"/>
              </w:trPr>
              <w:tc>
                <w:tcPr>
                  <w:tcW w:w="2374" w:type="dxa"/>
                  <w:vAlign w:val="center"/>
                  <w:hideMark/>
                </w:tcPr>
                <w:p w:rsidR="00E357D8" w:rsidRPr="008174E6" w:rsidRDefault="00E357D8" w:rsidP="00CE2AD9">
                  <w:pPr>
                    <w:pStyle w:val="Tabletext0"/>
                    <w:rPr>
                      <w:rFonts w:ascii="Arial" w:hAnsi="Arial" w:cs="Arial"/>
                      <w:b/>
                      <w:sz w:val="20"/>
                      <w:szCs w:val="20"/>
                      <w:lang w:eastAsia="es-ES"/>
                    </w:rPr>
                  </w:pPr>
                  <w:proofErr w:type="spellStart"/>
                  <w:r w:rsidRPr="008174E6">
                    <w:rPr>
                      <w:rFonts w:ascii="Arial" w:hAnsi="Arial" w:cs="Arial"/>
                      <w:sz w:val="20"/>
                      <w:szCs w:val="20"/>
                      <w:lang w:val="en-US" w:eastAsia="es-ES"/>
                    </w:rPr>
                    <w:t>Ligne</w:t>
                  </w:r>
                  <w:proofErr w:type="spellEnd"/>
                  <w:r w:rsidRPr="008174E6">
                    <w:rPr>
                      <w:rFonts w:ascii="Arial" w:hAnsi="Arial" w:cs="Arial"/>
                      <w:sz w:val="20"/>
                      <w:szCs w:val="20"/>
                      <w:lang w:val="en-US" w:eastAsia="es-ES"/>
                    </w:rPr>
                    <w:t xml:space="preserve"> </w:t>
                  </w:r>
                  <w:proofErr w:type="spellStart"/>
                  <w:r w:rsidRPr="008174E6">
                    <w:rPr>
                      <w:rFonts w:ascii="Arial" w:hAnsi="Arial" w:cs="Arial"/>
                      <w:sz w:val="20"/>
                      <w:szCs w:val="20"/>
                      <w:lang w:val="en-US" w:eastAsia="es-ES"/>
                    </w:rPr>
                    <w:t>d’aide</w:t>
                  </w:r>
                  <w:proofErr w:type="spellEnd"/>
                  <w:r w:rsidRPr="008174E6">
                    <w:rPr>
                      <w:rFonts w:ascii="Arial" w:hAnsi="Arial" w:cs="Arial"/>
                      <w:sz w:val="20"/>
                      <w:szCs w:val="20"/>
                      <w:lang w:val="en-US" w:eastAsia="es-ES"/>
                    </w:rPr>
                    <w:t xml:space="preserve"> aux </w:t>
                  </w:r>
                  <w:proofErr w:type="spellStart"/>
                  <w:r w:rsidRPr="008174E6">
                    <w:rPr>
                      <w:rFonts w:ascii="Arial" w:hAnsi="Arial" w:cs="Arial"/>
                      <w:sz w:val="20"/>
                      <w:szCs w:val="20"/>
                      <w:lang w:val="en-US" w:eastAsia="es-ES"/>
                    </w:rPr>
                    <w:t>enfants</w:t>
                  </w:r>
                  <w:proofErr w:type="spellEnd"/>
                  <w:r w:rsidRPr="008174E6">
                    <w:rPr>
                      <w:rFonts w:ascii="Arial" w:hAnsi="Arial" w:cs="Arial"/>
                      <w:sz w:val="20"/>
                      <w:szCs w:val="20"/>
                      <w:lang w:val="en-US" w:eastAsia="es-ES"/>
                    </w:rPr>
                    <w:t>*</w:t>
                  </w:r>
                </w:p>
              </w:tc>
              <w:tc>
                <w:tcPr>
                  <w:tcW w:w="1017" w:type="dxa"/>
                  <w:vAlign w:val="center"/>
                  <w:hideMark/>
                </w:tcPr>
                <w:p w:rsidR="00E357D8" w:rsidRPr="008174E6" w:rsidRDefault="00E357D8" w:rsidP="00CE2AD9">
                  <w:pPr>
                    <w:pStyle w:val="Tabletext0"/>
                    <w:rPr>
                      <w:rFonts w:ascii="Arial" w:hAnsi="Arial" w:cs="Arial"/>
                      <w:b/>
                      <w:sz w:val="20"/>
                      <w:szCs w:val="20"/>
                      <w:lang w:eastAsia="es-ES"/>
                    </w:rPr>
                  </w:pPr>
                  <w:r w:rsidRPr="008174E6">
                    <w:rPr>
                      <w:rFonts w:ascii="Arial" w:hAnsi="Arial" w:cs="Arial"/>
                      <w:sz w:val="20"/>
                      <w:szCs w:val="20"/>
                      <w:lang w:eastAsia="es-ES"/>
                    </w:rPr>
                    <w:t>116 111</w:t>
                  </w:r>
                </w:p>
              </w:tc>
              <w:tc>
                <w:tcPr>
                  <w:tcW w:w="4933" w:type="dxa"/>
                  <w:vAlign w:val="center"/>
                  <w:hideMark/>
                </w:tcPr>
                <w:p w:rsidR="00E357D8" w:rsidRPr="008174E6" w:rsidRDefault="00E357D8" w:rsidP="00CE2AD9">
                  <w:pPr>
                    <w:pStyle w:val="Tabletext0"/>
                    <w:rPr>
                      <w:rFonts w:ascii="Arial" w:hAnsi="Arial" w:cs="Arial"/>
                      <w:spacing w:val="-2"/>
                      <w:sz w:val="20"/>
                      <w:szCs w:val="20"/>
                    </w:rPr>
                  </w:pPr>
                  <w:r w:rsidRPr="008174E6">
                    <w:rPr>
                      <w:rFonts w:ascii="Arial" w:hAnsi="Arial" w:cs="Arial"/>
                      <w:sz w:val="20"/>
                      <w:szCs w:val="20"/>
                      <w:lang w:eastAsia="es-ES"/>
                    </w:rPr>
                    <w:t xml:space="preserve">Service utilisé depuis tous les réseaux d’accès et depuis tous les terminaux . C’est un service gratuit pour les abonnés et exempté de charges d’interconnexion. Donner accès à ce service est obligatoire pour tous les opérateurs et il incombera au gouvernement de définir l’institution fournissant le service. </w:t>
                  </w:r>
                  <w:r w:rsidRPr="008174E6">
                    <w:rPr>
                      <w:rFonts w:ascii="Arial" w:hAnsi="Arial" w:cs="Arial"/>
                      <w:sz w:val="20"/>
                      <w:szCs w:val="20"/>
                      <w:lang w:eastAsia="es-ES"/>
                    </w:rPr>
                    <w:br/>
                    <w:t>(UIT–T, E.164 Supplément 5)</w:t>
                  </w:r>
                </w:p>
              </w:tc>
            </w:tr>
          </w:tbl>
          <w:p w:rsidR="00E357D8" w:rsidRPr="008174E6" w:rsidRDefault="00E357D8" w:rsidP="00CE2AD9">
            <w:pPr>
              <w:pStyle w:val="Tabletext0"/>
              <w:rPr>
                <w:rFonts w:ascii="Arial" w:hAnsi="Arial" w:cs="Arial"/>
                <w:b/>
                <w:sz w:val="20"/>
                <w:szCs w:val="20"/>
              </w:rPr>
            </w:pPr>
            <w:r w:rsidRPr="008174E6">
              <w:rPr>
                <w:rFonts w:ascii="Arial" w:hAnsi="Arial" w:cs="Arial"/>
                <w:spacing w:val="-2"/>
                <w:sz w:val="20"/>
                <w:szCs w:val="20"/>
              </w:rPr>
              <w:t xml:space="preserve">* </w:t>
            </w:r>
            <w:r w:rsidRPr="008174E6">
              <w:rPr>
                <w:rFonts w:ascii="Arial" w:hAnsi="Arial" w:cs="Arial"/>
                <w:sz w:val="20"/>
                <w:szCs w:val="20"/>
              </w:rPr>
              <w:t>Ce schéma de numérotation sera opérationnel six (6) mois après l’entrée en vigueur de ce plan.</w:t>
            </w:r>
          </w:p>
          <w:p w:rsidR="00E357D8" w:rsidRPr="008174E6" w:rsidRDefault="00E357D8" w:rsidP="00CE2AD9">
            <w:pPr>
              <w:pStyle w:val="Tabletext"/>
              <w:spacing w:before="240"/>
              <w:ind w:right="-85"/>
              <w:jc w:val="both"/>
              <w:rPr>
                <w:rFonts w:ascii="Arial" w:hAnsi="Arial" w:cs="Arial"/>
                <w:b w:val="0"/>
                <w:sz w:val="20"/>
                <w:szCs w:val="20"/>
                <w:lang w:eastAsia="es-ES"/>
              </w:rPr>
            </w:pPr>
          </w:p>
        </w:tc>
      </w:tr>
    </w:tbl>
    <w:p w:rsidR="00E357D8" w:rsidRPr="008174E6" w:rsidRDefault="00E357D8" w:rsidP="00E357D8">
      <w:pPr>
        <w:rPr>
          <w:rFonts w:ascii="Arial" w:hAnsi="Arial" w:cs="Arial"/>
          <w:lang w:val="fr-FR"/>
        </w:rPr>
      </w:pPr>
    </w:p>
    <w:p w:rsidR="00E357D8" w:rsidRPr="008174E6" w:rsidRDefault="00E357D8" w:rsidP="00E357D8">
      <w:pPr>
        <w:rPr>
          <w:rFonts w:ascii="Arial" w:hAnsi="Arial" w:cs="Arial"/>
          <w:lang w:val="fr-FR"/>
        </w:rPr>
      </w:pPr>
      <w:r w:rsidRPr="008174E6">
        <w:rPr>
          <w:rFonts w:ascii="Arial" w:hAnsi="Arial" w:cs="Arial"/>
          <w:lang w:val="fr-FR"/>
        </w:rPr>
        <w:t>Pour de plus amples informations concernant le plan de numérotage d'El Salvador, prière de consulter le site suivant:</w:t>
      </w:r>
    </w:p>
    <w:p w:rsidR="00E357D8" w:rsidRPr="008174E6" w:rsidRDefault="00E357D8" w:rsidP="00E357D8">
      <w:pPr>
        <w:rPr>
          <w:rFonts w:ascii="Arial" w:hAnsi="Arial"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357D8" w:rsidRPr="008174E6" w:rsidTr="00CE2AD9">
        <w:trPr>
          <w:tblHeader/>
          <w:jc w:val="center"/>
        </w:trPr>
        <w:tc>
          <w:tcPr>
            <w:tcW w:w="9697" w:type="dxa"/>
            <w:tcBorders>
              <w:top w:val="single" w:sz="4" w:space="0" w:color="auto"/>
              <w:left w:val="single" w:sz="4" w:space="0" w:color="auto"/>
              <w:bottom w:val="single" w:sz="4" w:space="0" w:color="auto"/>
              <w:right w:val="single" w:sz="4" w:space="0" w:color="auto"/>
            </w:tcBorders>
            <w:hideMark/>
          </w:tcPr>
          <w:p w:rsidR="00E357D8" w:rsidRPr="008174E6" w:rsidRDefault="00CA5B7B" w:rsidP="00CE2AD9">
            <w:pPr>
              <w:spacing w:before="60" w:after="60"/>
              <w:ind w:left="-57" w:right="-57"/>
              <w:jc w:val="center"/>
              <w:rPr>
                <w:rFonts w:ascii="Arial" w:hAnsi="Arial" w:cs="Arial"/>
                <w:lang w:val="fr-FR"/>
              </w:rPr>
            </w:pPr>
            <w:hyperlink r:id="rId4" w:history="1">
              <w:r w:rsidR="00E357D8" w:rsidRPr="008174E6">
                <w:rPr>
                  <w:rStyle w:val="Hyperlink"/>
                  <w:rFonts w:ascii="Arial" w:hAnsi="Arial" w:cs="Arial"/>
                  <w:lang w:val="fr-FR"/>
                </w:rPr>
                <w:t>http://www.siget.gob.sv/index.php?option=com_content&amp;view=category&amp;id=102&amp;Itemid=144</w:t>
              </w:r>
            </w:hyperlink>
          </w:p>
        </w:tc>
      </w:tr>
    </w:tbl>
    <w:p w:rsidR="00E357D8" w:rsidRPr="008174E6" w:rsidRDefault="00E357D8" w:rsidP="00E357D8">
      <w:pPr>
        <w:rPr>
          <w:rFonts w:ascii="Arial" w:hAnsi="Arial" w:cs="Arial"/>
          <w:lang w:val="fr-FR"/>
        </w:rPr>
      </w:pPr>
    </w:p>
    <w:p w:rsidR="00E357D8" w:rsidRPr="008174E6" w:rsidRDefault="00E357D8" w:rsidP="00E357D8">
      <w:pPr>
        <w:rPr>
          <w:rFonts w:ascii="Arial" w:hAnsi="Arial" w:cs="Arial"/>
          <w:lang w:val="es-ES_tradnl"/>
        </w:rPr>
      </w:pPr>
      <w:proofErr w:type="spellStart"/>
      <w:r w:rsidRPr="008174E6">
        <w:rPr>
          <w:rFonts w:ascii="Arial" w:hAnsi="Arial" w:cs="Arial"/>
          <w:lang w:val="es-ES_tradnl"/>
        </w:rPr>
        <w:t>Contact</w:t>
      </w:r>
      <w:proofErr w:type="spellEnd"/>
      <w:r w:rsidRPr="008174E6">
        <w:rPr>
          <w:rFonts w:ascii="Arial" w:hAnsi="Arial" w:cs="Arial"/>
          <w:lang w:val="es-ES_tradnl"/>
        </w:rPr>
        <w:t>:</w:t>
      </w:r>
    </w:p>
    <w:p w:rsidR="00E357D8" w:rsidRPr="008174E6" w:rsidRDefault="00E357D8" w:rsidP="00E357D8">
      <w:pPr>
        <w:ind w:left="567" w:hanging="567"/>
        <w:jc w:val="left"/>
        <w:rPr>
          <w:rFonts w:ascii="Arial" w:hAnsi="Arial" w:cs="Arial"/>
          <w:lang w:val="es-ES_tradnl"/>
        </w:rPr>
      </w:pPr>
      <w:r w:rsidRPr="008174E6">
        <w:rPr>
          <w:rFonts w:ascii="Arial" w:hAnsi="Arial" w:cs="Arial"/>
          <w:lang w:val="es-ES_tradnl"/>
        </w:rPr>
        <w:tab/>
        <w:t>Sra. Rebeca Amaya de Pimentel</w:t>
      </w:r>
      <w:r w:rsidRPr="008174E6">
        <w:rPr>
          <w:rFonts w:ascii="Arial" w:hAnsi="Arial" w:cs="Arial"/>
          <w:lang w:val="es-ES_tradnl"/>
        </w:rPr>
        <w:br/>
        <w:t>Gerencia de Telecomunicaciones</w:t>
      </w:r>
      <w:r w:rsidRPr="008174E6">
        <w:rPr>
          <w:rFonts w:ascii="Arial" w:hAnsi="Arial" w:cs="Arial"/>
          <w:lang w:val="es-ES_tradnl"/>
        </w:rPr>
        <w:br/>
        <w:t>Superintendencia General de Electricidad y Telecomunicaciones (SIGET)</w:t>
      </w:r>
      <w:r w:rsidRPr="008174E6">
        <w:rPr>
          <w:rFonts w:ascii="Arial" w:hAnsi="Arial" w:cs="Arial"/>
          <w:lang w:val="es-ES_tradnl"/>
        </w:rPr>
        <w:br/>
        <w:t>Sexta Décima calle poniente y 37 Av. Sur, N. 2001</w:t>
      </w:r>
      <w:r w:rsidRPr="008174E6">
        <w:rPr>
          <w:rFonts w:ascii="Arial" w:hAnsi="Arial" w:cs="Arial"/>
          <w:lang w:val="es-ES_tradnl"/>
        </w:rPr>
        <w:br/>
        <w:t>Colonia Flor Blanca</w:t>
      </w:r>
      <w:r w:rsidRPr="008174E6">
        <w:rPr>
          <w:rFonts w:ascii="Arial" w:hAnsi="Arial" w:cs="Arial"/>
          <w:lang w:val="es-ES_tradnl"/>
        </w:rPr>
        <w:br/>
        <w:t>SAN SALVADOR</w:t>
      </w:r>
      <w:r w:rsidRPr="008174E6">
        <w:rPr>
          <w:rFonts w:ascii="Arial" w:hAnsi="Arial" w:cs="Arial"/>
          <w:lang w:val="es-ES_tradnl"/>
        </w:rPr>
        <w:br/>
        <w:t xml:space="preserve">El Salvador </w:t>
      </w:r>
      <w:r w:rsidRPr="008174E6">
        <w:rPr>
          <w:rFonts w:ascii="Arial" w:hAnsi="Arial" w:cs="Arial"/>
          <w:lang w:val="es-ES_tradnl"/>
        </w:rPr>
        <w:br/>
        <w:t>Tel:</w:t>
      </w:r>
      <w:r w:rsidRPr="008174E6">
        <w:rPr>
          <w:rFonts w:ascii="Arial" w:hAnsi="Arial" w:cs="Arial"/>
          <w:lang w:val="es-ES_tradnl"/>
        </w:rPr>
        <w:tab/>
        <w:t>+503 2257 4446</w:t>
      </w:r>
      <w:r w:rsidRPr="008174E6">
        <w:rPr>
          <w:rFonts w:ascii="Arial" w:hAnsi="Arial" w:cs="Arial"/>
          <w:lang w:val="es-ES_tradnl"/>
        </w:rPr>
        <w:br/>
        <w:t>Fax:</w:t>
      </w:r>
      <w:r w:rsidRPr="008174E6">
        <w:rPr>
          <w:rFonts w:ascii="Arial" w:hAnsi="Arial" w:cs="Arial"/>
          <w:lang w:val="es-ES_tradnl"/>
        </w:rPr>
        <w:tab/>
        <w:t>+503 2257 4495</w:t>
      </w:r>
      <w:r w:rsidRPr="008174E6">
        <w:rPr>
          <w:rFonts w:ascii="Arial" w:hAnsi="Arial" w:cs="Arial"/>
          <w:lang w:val="es-ES_tradnl"/>
        </w:rPr>
        <w:br/>
      </w:r>
      <w:r w:rsidRPr="008174E6">
        <w:rPr>
          <w:rFonts w:ascii="Arial" w:eastAsiaTheme="majorEastAsia" w:hAnsi="Arial" w:cs="Arial"/>
          <w:lang w:val="es-ES_tradnl"/>
        </w:rPr>
        <w:t>E-mail:</w:t>
      </w:r>
      <w:r w:rsidRPr="008174E6">
        <w:rPr>
          <w:rFonts w:ascii="Arial" w:eastAsiaTheme="majorEastAsia" w:hAnsi="Arial" w:cs="Arial"/>
          <w:lang w:val="es-ES_tradnl"/>
        </w:rPr>
        <w:tab/>
        <w:t>rebeca.pimentel@siget.gob.sv</w:t>
      </w:r>
    </w:p>
    <w:p w:rsidR="00E357D8" w:rsidRDefault="00E357D8" w:rsidP="00E357D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747333" w:rsidRDefault="00747333" w:rsidP="00E357D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747333" w:rsidRPr="008174E6" w:rsidRDefault="00747333" w:rsidP="00E357D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E357D8" w:rsidRPr="008174E6" w:rsidRDefault="00E357D8" w:rsidP="00E357D8">
      <w:pPr>
        <w:rPr>
          <w:rFonts w:ascii="Arial" w:hAnsi="Arial" w:cs="Arial"/>
          <w:lang w:val="fr-CH"/>
        </w:rPr>
      </w:pPr>
      <w:r w:rsidRPr="008174E6">
        <w:rPr>
          <w:rFonts w:ascii="Arial" w:hAnsi="Arial" w:cs="Arial"/>
          <w:lang w:val="fr-CH"/>
        </w:rPr>
        <w:t>Communication du 24.XI.2011:</w:t>
      </w:r>
    </w:p>
    <w:p w:rsidR="00E357D8" w:rsidRDefault="00E357D8" w:rsidP="00E357D8">
      <w:pPr>
        <w:rPr>
          <w:rFonts w:ascii="Arial" w:hAnsi="Arial" w:cs="Arial"/>
          <w:lang w:val="fr-FR"/>
        </w:rPr>
      </w:pPr>
      <w:r w:rsidRPr="008174E6">
        <w:rPr>
          <w:rFonts w:ascii="Arial" w:hAnsi="Arial" w:cs="Arial"/>
          <w:iCs/>
          <w:lang w:val="fr-CH"/>
        </w:rPr>
        <w:t>La</w:t>
      </w:r>
      <w:r w:rsidRPr="008174E6">
        <w:rPr>
          <w:rFonts w:ascii="Arial" w:hAnsi="Arial" w:cs="Arial"/>
          <w:lang w:val="fr-CH"/>
        </w:rPr>
        <w:t xml:space="preserve"> </w:t>
      </w:r>
      <w:proofErr w:type="spellStart"/>
      <w:r w:rsidRPr="008174E6">
        <w:rPr>
          <w:rFonts w:ascii="Arial" w:hAnsi="Arial" w:cs="Arial"/>
          <w:i/>
          <w:iCs/>
          <w:lang w:val="pt-BR"/>
        </w:rPr>
        <w:t>Superintendencia</w:t>
      </w:r>
      <w:proofErr w:type="spellEnd"/>
      <w:r w:rsidRPr="008174E6">
        <w:rPr>
          <w:rFonts w:ascii="Arial" w:hAnsi="Arial" w:cs="Arial"/>
          <w:i/>
          <w:iCs/>
          <w:lang w:val="pt-BR"/>
        </w:rPr>
        <w:t xml:space="preserve"> General de </w:t>
      </w:r>
      <w:proofErr w:type="spellStart"/>
      <w:r w:rsidRPr="008174E6">
        <w:rPr>
          <w:rFonts w:ascii="Arial" w:hAnsi="Arial" w:cs="Arial"/>
          <w:i/>
          <w:iCs/>
          <w:lang w:val="pt-BR"/>
        </w:rPr>
        <w:t>Electricidad</w:t>
      </w:r>
      <w:proofErr w:type="spellEnd"/>
      <w:r w:rsidRPr="008174E6">
        <w:rPr>
          <w:rFonts w:ascii="Arial" w:hAnsi="Arial" w:cs="Arial"/>
          <w:i/>
          <w:iCs/>
          <w:lang w:val="pt-BR"/>
        </w:rPr>
        <w:t xml:space="preserve"> y </w:t>
      </w:r>
      <w:proofErr w:type="spellStart"/>
      <w:r w:rsidRPr="008174E6">
        <w:rPr>
          <w:rFonts w:ascii="Arial" w:hAnsi="Arial" w:cs="Arial"/>
          <w:i/>
          <w:iCs/>
          <w:lang w:val="pt-BR"/>
        </w:rPr>
        <w:t>Telecomunicaciones</w:t>
      </w:r>
      <w:proofErr w:type="spellEnd"/>
      <w:r w:rsidRPr="008174E6">
        <w:rPr>
          <w:rFonts w:ascii="Arial" w:hAnsi="Arial" w:cs="Arial"/>
          <w:i/>
          <w:iCs/>
          <w:lang w:val="pt-BR"/>
        </w:rPr>
        <w:t xml:space="preserve"> (SIGET),</w:t>
      </w:r>
      <w:r w:rsidRPr="008174E6">
        <w:rPr>
          <w:rFonts w:ascii="Arial" w:hAnsi="Arial" w:cs="Arial"/>
          <w:lang w:val="pt-BR"/>
        </w:rPr>
        <w:t xml:space="preserve"> </w:t>
      </w:r>
      <w:proofErr w:type="spellStart"/>
      <w:r w:rsidRPr="008174E6">
        <w:rPr>
          <w:rFonts w:ascii="Arial" w:hAnsi="Arial" w:cs="Arial"/>
          <w:lang w:val="pt-BR"/>
        </w:rPr>
        <w:t>San</w:t>
      </w:r>
      <w:proofErr w:type="spellEnd"/>
      <w:r w:rsidRPr="008174E6">
        <w:rPr>
          <w:rFonts w:ascii="Arial" w:hAnsi="Arial" w:cs="Arial"/>
          <w:lang w:val="pt-BR"/>
        </w:rPr>
        <w:t xml:space="preserve"> Salvador, </w:t>
      </w:r>
      <w:r w:rsidRPr="008174E6">
        <w:rPr>
          <w:rFonts w:ascii="Arial" w:hAnsi="Arial" w:cs="Arial"/>
          <w:lang w:val="fr-CH"/>
        </w:rPr>
        <w:t>annonce qu’en raison de la demande croissante des services de téléphonie mobile au Salvador, qu’elle a décidé d’implémenter</w:t>
      </w:r>
      <w:r w:rsidRPr="008174E6">
        <w:rPr>
          <w:rFonts w:ascii="Arial" w:hAnsi="Arial" w:cs="Arial"/>
          <w:lang w:val="pt-BR"/>
        </w:rPr>
        <w:t xml:space="preserve"> </w:t>
      </w:r>
      <w:proofErr w:type="spellStart"/>
      <w:r w:rsidRPr="008174E6">
        <w:rPr>
          <w:rFonts w:ascii="Arial" w:hAnsi="Arial" w:cs="Arial"/>
          <w:lang w:val="pt-BR"/>
        </w:rPr>
        <w:t>le</w:t>
      </w:r>
      <w:proofErr w:type="spellEnd"/>
      <w:r w:rsidRPr="008174E6">
        <w:rPr>
          <w:rFonts w:ascii="Arial" w:hAnsi="Arial" w:cs="Arial"/>
          <w:lang w:val="pt-BR"/>
        </w:rPr>
        <w:t xml:space="preserve"> </w:t>
      </w:r>
      <w:proofErr w:type="spellStart"/>
      <w:r w:rsidRPr="008174E6">
        <w:rPr>
          <w:rFonts w:ascii="Arial" w:hAnsi="Arial" w:cs="Arial"/>
          <w:lang w:val="pt-BR"/>
        </w:rPr>
        <w:t>numéro</w:t>
      </w:r>
      <w:proofErr w:type="spellEnd"/>
      <w:r w:rsidRPr="008174E6">
        <w:rPr>
          <w:rFonts w:ascii="Arial" w:hAnsi="Arial" w:cs="Arial"/>
          <w:lang w:val="pt-BR"/>
        </w:rPr>
        <w:t xml:space="preserve"> </w:t>
      </w:r>
      <w:proofErr w:type="spellStart"/>
      <w:r w:rsidRPr="008174E6">
        <w:rPr>
          <w:rFonts w:ascii="Arial" w:hAnsi="Arial" w:cs="Arial"/>
          <w:lang w:val="pt-BR"/>
        </w:rPr>
        <w:t>six</w:t>
      </w:r>
      <w:proofErr w:type="spellEnd"/>
      <w:r w:rsidRPr="008174E6">
        <w:rPr>
          <w:rFonts w:ascii="Arial" w:hAnsi="Arial" w:cs="Arial"/>
          <w:lang w:val="pt-BR"/>
        </w:rPr>
        <w:t xml:space="preserve"> (6) </w:t>
      </w:r>
      <w:proofErr w:type="spellStart"/>
      <w:r w:rsidRPr="008174E6">
        <w:rPr>
          <w:rFonts w:ascii="Arial" w:hAnsi="Arial" w:cs="Arial"/>
          <w:lang w:val="pt-BR"/>
        </w:rPr>
        <w:t>en</w:t>
      </w:r>
      <w:proofErr w:type="spellEnd"/>
      <w:r w:rsidRPr="008174E6">
        <w:rPr>
          <w:rFonts w:ascii="Arial" w:hAnsi="Arial" w:cs="Arial"/>
          <w:lang w:val="pt-BR"/>
        </w:rPr>
        <w:t xml:space="preserve"> </w:t>
      </w:r>
      <w:proofErr w:type="spellStart"/>
      <w:r w:rsidRPr="008174E6">
        <w:rPr>
          <w:rFonts w:ascii="Arial" w:hAnsi="Arial" w:cs="Arial"/>
          <w:lang w:val="pt-BR"/>
        </w:rPr>
        <w:t>tant</w:t>
      </w:r>
      <w:proofErr w:type="spellEnd"/>
      <w:r w:rsidRPr="008174E6">
        <w:rPr>
          <w:rFonts w:ascii="Arial" w:hAnsi="Arial" w:cs="Arial"/>
          <w:lang w:val="pt-BR"/>
        </w:rPr>
        <w:t xml:space="preserve"> que </w:t>
      </w:r>
      <w:proofErr w:type="spellStart"/>
      <w:r w:rsidRPr="008174E6">
        <w:rPr>
          <w:rFonts w:ascii="Arial" w:hAnsi="Arial" w:cs="Arial"/>
          <w:lang w:val="pt-BR"/>
        </w:rPr>
        <w:t>nouveau</w:t>
      </w:r>
      <w:proofErr w:type="spellEnd"/>
      <w:r w:rsidRPr="008174E6">
        <w:rPr>
          <w:rFonts w:ascii="Arial" w:hAnsi="Arial" w:cs="Arial"/>
          <w:lang w:val="pt-BR"/>
        </w:rPr>
        <w:t xml:space="preserve"> </w:t>
      </w:r>
      <w:proofErr w:type="spellStart"/>
      <w:r w:rsidRPr="008174E6">
        <w:rPr>
          <w:rFonts w:ascii="Arial" w:hAnsi="Arial" w:cs="Arial"/>
          <w:lang w:val="pt-BR"/>
        </w:rPr>
        <w:t>numéro</w:t>
      </w:r>
      <w:proofErr w:type="spellEnd"/>
      <w:r w:rsidRPr="008174E6">
        <w:rPr>
          <w:rFonts w:ascii="Arial" w:hAnsi="Arial" w:cs="Arial"/>
          <w:lang w:val="pt-BR"/>
        </w:rPr>
        <w:t xml:space="preserve"> NDC </w:t>
      </w:r>
      <w:r w:rsidRPr="008174E6">
        <w:rPr>
          <w:rFonts w:ascii="Arial" w:hAnsi="Arial" w:cs="Arial"/>
          <w:lang w:val="fr-CH"/>
        </w:rPr>
        <w:t>– National Destination Code dans son numérotage national</w:t>
      </w:r>
      <w:r w:rsidRPr="008174E6">
        <w:rPr>
          <w:rFonts w:ascii="Arial" w:hAnsi="Arial" w:cs="Arial"/>
          <w:lang w:val="pt-BR"/>
        </w:rPr>
        <w:t xml:space="preserve">. </w:t>
      </w:r>
      <w:r w:rsidRPr="008174E6">
        <w:rPr>
          <w:rFonts w:ascii="Arial" w:hAnsi="Arial" w:cs="Arial"/>
          <w:lang w:val="fr-FR"/>
        </w:rPr>
        <w:t>Cette disposition entrera en vigueur le 23 novembre 2011, à 0000 heure (heure locale), c’est à dire à 0600 heures UTC.</w:t>
      </w:r>
    </w:p>
    <w:p w:rsidR="00747333" w:rsidRPr="008174E6" w:rsidRDefault="00747333" w:rsidP="00E357D8">
      <w:pPr>
        <w:rPr>
          <w:rFonts w:ascii="Arial" w:hAnsi="Arial" w:cs="Arial"/>
          <w:lang w:val="fr-FR"/>
        </w:rPr>
      </w:pPr>
    </w:p>
    <w:p w:rsidR="00E357D8" w:rsidRPr="008174E6" w:rsidRDefault="00E357D8" w:rsidP="00E357D8">
      <w:pPr>
        <w:jc w:val="center"/>
        <w:rPr>
          <w:rFonts w:ascii="Arial" w:hAnsi="Arial" w:cs="Arial"/>
          <w:lang w:val="fr-FR"/>
        </w:rPr>
      </w:pPr>
      <w:r w:rsidRPr="008174E6">
        <w:rPr>
          <w:rFonts w:ascii="Arial" w:hAnsi="Arial" w:cs="Arial"/>
          <w:lang w:val="fr-FR"/>
        </w:rPr>
        <w:lastRenderedPageBreak/>
        <w:t xml:space="preserve">Description de l’implémentation du nouveau de numéro NDC dans le plan national de numérotage (NNP – National </w:t>
      </w:r>
      <w:proofErr w:type="spellStart"/>
      <w:r w:rsidRPr="008174E6">
        <w:rPr>
          <w:rFonts w:ascii="Arial" w:hAnsi="Arial" w:cs="Arial"/>
          <w:lang w:val="fr-FR"/>
        </w:rPr>
        <w:t>Numbering</w:t>
      </w:r>
      <w:proofErr w:type="spellEnd"/>
      <w:r w:rsidRPr="008174E6">
        <w:rPr>
          <w:rFonts w:ascii="Arial" w:hAnsi="Arial" w:cs="Arial"/>
          <w:lang w:val="fr-FR"/>
        </w:rPr>
        <w:t xml:space="preserve"> Plan) pour l’indicatif de pays (CC – Country Code) +503</w:t>
      </w:r>
    </w:p>
    <w:p w:rsidR="00E357D8" w:rsidRPr="008174E6" w:rsidRDefault="00E357D8" w:rsidP="00E357D8">
      <w:pPr>
        <w:pStyle w:val="blanc"/>
        <w:rPr>
          <w:rFonts w:ascii="Arial" w:hAnsi="Arial" w:cs="Arial"/>
          <w:sz w:val="20"/>
          <w:lang w:val="fr-CH"/>
        </w:rPr>
      </w:pPr>
    </w:p>
    <w:tbl>
      <w:tblPr>
        <w:tblW w:w="9761" w:type="dxa"/>
        <w:jc w:val="center"/>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4"/>
        <w:gridCol w:w="1096"/>
        <w:gridCol w:w="1326"/>
        <w:gridCol w:w="1596"/>
        <w:gridCol w:w="839"/>
        <w:gridCol w:w="932"/>
        <w:gridCol w:w="1134"/>
        <w:gridCol w:w="1134"/>
      </w:tblGrid>
      <w:tr w:rsidR="00E357D8" w:rsidRPr="008174E6" w:rsidTr="00747333">
        <w:trPr>
          <w:cantSplit/>
          <w:tblHeader/>
          <w:jc w:val="center"/>
        </w:trPr>
        <w:tc>
          <w:tcPr>
            <w:tcW w:w="1704" w:type="dxa"/>
            <w:vMerge w:val="restart"/>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fr-CH"/>
              </w:rPr>
            </w:pPr>
            <w:r w:rsidRPr="008174E6">
              <w:rPr>
                <w:rFonts w:ascii="Arial" w:hAnsi="Arial" w:cs="Arial"/>
                <w:sz w:val="20"/>
                <w:lang w:val="fr-FR"/>
              </w:rPr>
              <w:t>Date</w:t>
            </w:r>
            <w:r w:rsidRPr="008174E6">
              <w:rPr>
                <w:rFonts w:ascii="Arial" w:hAnsi="Arial" w:cs="Arial"/>
                <w:sz w:val="20"/>
                <w:lang w:val="fr-FR"/>
              </w:rPr>
              <w:br/>
              <w:t>communiquée de l’implémentation</w:t>
            </w:r>
            <w:r w:rsidRPr="008174E6">
              <w:rPr>
                <w:rFonts w:ascii="Arial" w:hAnsi="Arial" w:cs="Arial"/>
                <w:sz w:val="20"/>
                <w:lang w:val="fr-FR"/>
              </w:rPr>
              <w:br/>
              <w:t>(UTC)</w:t>
            </w:r>
            <w:r w:rsidRPr="008174E6">
              <w:rPr>
                <w:rFonts w:ascii="Arial" w:hAnsi="Arial" w:cs="Arial"/>
                <w:sz w:val="20"/>
                <w:lang w:val="fr-CH"/>
              </w:rPr>
              <w:t xml:space="preserve"> </w:t>
            </w:r>
          </w:p>
        </w:tc>
        <w:tc>
          <w:tcPr>
            <w:tcW w:w="2422" w:type="dxa"/>
            <w:gridSpan w:val="2"/>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fr-CH"/>
              </w:rPr>
            </w:pPr>
            <w:r w:rsidRPr="008174E6">
              <w:rPr>
                <w:rFonts w:ascii="Arial" w:hAnsi="Arial" w:cs="Arial"/>
                <w:sz w:val="20"/>
                <w:lang w:val="fr-FR"/>
              </w:rPr>
              <w:t>N(S)N [Numéro national (significatif)]</w:t>
            </w:r>
          </w:p>
        </w:tc>
        <w:tc>
          <w:tcPr>
            <w:tcW w:w="1596" w:type="dxa"/>
            <w:vMerge w:val="restart"/>
            <w:tcBorders>
              <w:top w:val="single" w:sz="6" w:space="0" w:color="auto"/>
              <w:left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_tradnl"/>
              </w:rPr>
            </w:pPr>
            <w:r w:rsidRPr="008174E6">
              <w:rPr>
                <w:rFonts w:ascii="Arial" w:hAnsi="Arial" w:cs="Arial"/>
                <w:sz w:val="20"/>
              </w:rPr>
              <w:t xml:space="preserve">Utilisation du </w:t>
            </w:r>
            <w:proofErr w:type="spellStart"/>
            <w:r w:rsidRPr="008174E6">
              <w:rPr>
                <w:rFonts w:ascii="Arial" w:hAnsi="Arial" w:cs="Arial"/>
                <w:sz w:val="20"/>
              </w:rPr>
              <w:t>numéro</w:t>
            </w:r>
            <w:proofErr w:type="spellEnd"/>
            <w:r w:rsidRPr="008174E6">
              <w:rPr>
                <w:rFonts w:ascii="Arial" w:hAnsi="Arial" w:cs="Arial"/>
                <w:sz w:val="20"/>
              </w:rPr>
              <w:t xml:space="preserve"> E.164</w:t>
            </w:r>
          </w:p>
        </w:tc>
        <w:tc>
          <w:tcPr>
            <w:tcW w:w="1771" w:type="dxa"/>
            <w:gridSpan w:val="2"/>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_tradnl"/>
              </w:rPr>
            </w:pPr>
            <w:proofErr w:type="spellStart"/>
            <w:r w:rsidRPr="008174E6">
              <w:rPr>
                <w:rFonts w:ascii="Arial" w:hAnsi="Arial" w:cs="Arial"/>
                <w:sz w:val="20"/>
              </w:rPr>
              <w:t>Fonctionnement</w:t>
            </w:r>
            <w:proofErr w:type="spellEnd"/>
            <w:r w:rsidRPr="008174E6">
              <w:rPr>
                <w:rFonts w:ascii="Arial" w:hAnsi="Arial" w:cs="Arial"/>
                <w:sz w:val="20"/>
              </w:rPr>
              <w:t xml:space="preserve"> </w:t>
            </w:r>
            <w:proofErr w:type="spellStart"/>
            <w:r w:rsidRPr="008174E6">
              <w:rPr>
                <w:rFonts w:ascii="Arial" w:hAnsi="Arial" w:cs="Arial"/>
                <w:sz w:val="20"/>
              </w:rPr>
              <w:t>parallèle</w:t>
            </w:r>
            <w:proofErr w:type="spellEnd"/>
          </w:p>
        </w:tc>
        <w:tc>
          <w:tcPr>
            <w:tcW w:w="1134" w:type="dxa"/>
            <w:vMerge w:val="restart"/>
            <w:tcBorders>
              <w:top w:val="single" w:sz="6" w:space="0" w:color="auto"/>
              <w:left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_tradnl"/>
              </w:rPr>
            </w:pPr>
            <w:proofErr w:type="spellStart"/>
            <w:r w:rsidRPr="008174E6">
              <w:rPr>
                <w:rFonts w:ascii="Arial" w:hAnsi="Arial" w:cs="Arial"/>
                <w:sz w:val="20"/>
              </w:rPr>
              <w:t>Opérateur</w:t>
            </w:r>
            <w:proofErr w:type="spellEnd"/>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
              </w:rPr>
            </w:pPr>
            <w:proofErr w:type="spellStart"/>
            <w:r w:rsidRPr="008174E6">
              <w:rPr>
                <w:rFonts w:ascii="Arial" w:hAnsi="Arial" w:cs="Arial"/>
                <w:sz w:val="20"/>
              </w:rPr>
              <w:t>Texte</w:t>
            </w:r>
            <w:proofErr w:type="spellEnd"/>
            <w:r w:rsidRPr="008174E6">
              <w:rPr>
                <w:rFonts w:ascii="Arial" w:hAnsi="Arial" w:cs="Arial"/>
                <w:sz w:val="20"/>
              </w:rPr>
              <w:t xml:space="preserve"> </w:t>
            </w:r>
            <w:proofErr w:type="spellStart"/>
            <w:r w:rsidRPr="008174E6">
              <w:rPr>
                <w:rFonts w:ascii="Arial" w:hAnsi="Arial" w:cs="Arial"/>
                <w:sz w:val="20"/>
              </w:rPr>
              <w:t>proposé</w:t>
            </w:r>
            <w:proofErr w:type="spellEnd"/>
            <w:r w:rsidRPr="008174E6">
              <w:rPr>
                <w:rFonts w:ascii="Arial" w:hAnsi="Arial" w:cs="Arial"/>
                <w:sz w:val="20"/>
              </w:rPr>
              <w:t xml:space="preserve"> de</w:t>
            </w:r>
            <w:r w:rsidRPr="008174E6">
              <w:rPr>
                <w:rFonts w:ascii="Arial" w:hAnsi="Arial" w:cs="Arial"/>
                <w:sz w:val="20"/>
              </w:rPr>
              <w:br/>
            </w:r>
            <w:proofErr w:type="spellStart"/>
            <w:r w:rsidRPr="008174E6">
              <w:rPr>
                <w:rFonts w:ascii="Arial" w:hAnsi="Arial" w:cs="Arial"/>
                <w:sz w:val="20"/>
              </w:rPr>
              <w:t>l’annonce</w:t>
            </w:r>
            <w:proofErr w:type="spellEnd"/>
          </w:p>
        </w:tc>
      </w:tr>
      <w:tr w:rsidR="00E357D8" w:rsidRPr="008174E6" w:rsidTr="00747333">
        <w:trPr>
          <w:cantSplit/>
          <w:tblHeader/>
          <w:jc w:val="center"/>
        </w:trPr>
        <w:tc>
          <w:tcPr>
            <w:tcW w:w="1704" w:type="dxa"/>
            <w:vMerge/>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sz w:val="20"/>
                <w:lang w:val="es-ES_tradnl"/>
              </w:rPr>
            </w:pPr>
          </w:p>
        </w:tc>
        <w:tc>
          <w:tcPr>
            <w:tcW w:w="1096" w:type="dxa"/>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
              </w:rPr>
            </w:pPr>
            <w:proofErr w:type="spellStart"/>
            <w:r w:rsidRPr="008174E6">
              <w:rPr>
                <w:rFonts w:ascii="Arial" w:hAnsi="Arial" w:cs="Arial"/>
                <w:sz w:val="20"/>
              </w:rPr>
              <w:t>Ancien</w:t>
            </w:r>
            <w:proofErr w:type="spellEnd"/>
            <w:r w:rsidRPr="008174E6">
              <w:rPr>
                <w:rFonts w:ascii="Arial" w:hAnsi="Arial" w:cs="Arial"/>
                <w:sz w:val="20"/>
              </w:rPr>
              <w:t xml:space="preserve"> </w:t>
            </w:r>
            <w:proofErr w:type="spellStart"/>
            <w:r w:rsidRPr="008174E6">
              <w:rPr>
                <w:rFonts w:ascii="Arial" w:hAnsi="Arial" w:cs="Arial"/>
                <w:sz w:val="20"/>
              </w:rPr>
              <w:t>numéro</w:t>
            </w:r>
            <w:proofErr w:type="spellEnd"/>
          </w:p>
        </w:tc>
        <w:tc>
          <w:tcPr>
            <w:tcW w:w="1326" w:type="dxa"/>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
              </w:rPr>
            </w:pPr>
            <w:r w:rsidRPr="008174E6">
              <w:rPr>
                <w:rFonts w:ascii="Arial" w:hAnsi="Arial" w:cs="Arial"/>
                <w:sz w:val="20"/>
              </w:rPr>
              <w:t xml:space="preserve">Nouveau </w:t>
            </w:r>
            <w:proofErr w:type="spellStart"/>
            <w:r w:rsidRPr="008174E6">
              <w:rPr>
                <w:rFonts w:ascii="Arial" w:hAnsi="Arial" w:cs="Arial"/>
                <w:sz w:val="20"/>
              </w:rPr>
              <w:t>numéro</w:t>
            </w:r>
            <w:proofErr w:type="spellEnd"/>
          </w:p>
        </w:tc>
        <w:tc>
          <w:tcPr>
            <w:tcW w:w="1596" w:type="dxa"/>
            <w:vMerge/>
            <w:tcBorders>
              <w:left w:val="single" w:sz="6" w:space="0" w:color="auto"/>
              <w:bottom w:val="single" w:sz="6" w:space="0" w:color="auto"/>
              <w:right w:val="single" w:sz="6" w:space="0" w:color="auto"/>
            </w:tcBorders>
            <w:vAlign w:val="center"/>
          </w:tcPr>
          <w:p w:rsidR="00E357D8" w:rsidRPr="008174E6" w:rsidRDefault="00E357D8" w:rsidP="00CE2AD9">
            <w:pPr>
              <w:pStyle w:val="TableHead0"/>
              <w:rPr>
                <w:rFonts w:ascii="Arial" w:hAnsi="Arial" w:cs="Arial"/>
                <w:b/>
                <w:bCs/>
                <w:sz w:val="20"/>
                <w:lang w:val="es-ES"/>
              </w:rPr>
            </w:pPr>
          </w:p>
        </w:tc>
        <w:tc>
          <w:tcPr>
            <w:tcW w:w="839" w:type="dxa"/>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
              </w:rPr>
            </w:pPr>
            <w:r w:rsidRPr="008174E6">
              <w:rPr>
                <w:rFonts w:ascii="Arial" w:hAnsi="Arial" w:cs="Arial"/>
                <w:sz w:val="20"/>
              </w:rPr>
              <w:t>Début</w:t>
            </w:r>
          </w:p>
        </w:tc>
        <w:tc>
          <w:tcPr>
            <w:tcW w:w="932" w:type="dxa"/>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b/>
                <w:bCs/>
                <w:sz w:val="20"/>
                <w:lang w:val="es-ES"/>
              </w:rPr>
            </w:pPr>
            <w:r w:rsidRPr="008174E6">
              <w:rPr>
                <w:rFonts w:ascii="Arial" w:hAnsi="Arial" w:cs="Arial"/>
                <w:sz w:val="20"/>
                <w:lang w:val="es-ES"/>
              </w:rPr>
              <w:t>Fin</w:t>
            </w:r>
          </w:p>
        </w:tc>
        <w:tc>
          <w:tcPr>
            <w:tcW w:w="1134" w:type="dxa"/>
            <w:vMerge/>
            <w:tcBorders>
              <w:left w:val="single" w:sz="6" w:space="0" w:color="auto"/>
              <w:bottom w:val="single" w:sz="6" w:space="0" w:color="auto"/>
              <w:right w:val="single" w:sz="6" w:space="0" w:color="auto"/>
            </w:tcBorders>
            <w:vAlign w:val="center"/>
          </w:tcPr>
          <w:p w:rsidR="00E357D8" w:rsidRPr="008174E6" w:rsidRDefault="00E357D8" w:rsidP="00CE2AD9">
            <w:pPr>
              <w:pStyle w:val="TableHead0"/>
              <w:rPr>
                <w:rFonts w:ascii="Arial" w:hAnsi="Arial" w:cs="Arial"/>
                <w:b/>
                <w:bCs/>
                <w:sz w:val="20"/>
                <w:lang w:val="es-E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357D8" w:rsidRPr="008174E6" w:rsidRDefault="00E357D8" w:rsidP="00CE2AD9">
            <w:pPr>
              <w:pStyle w:val="TableHead0"/>
              <w:rPr>
                <w:rFonts w:ascii="Arial" w:hAnsi="Arial" w:cs="Arial"/>
                <w:sz w:val="20"/>
                <w:lang w:val="es-ES"/>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60XX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61XX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62XX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63XX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64XX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65XX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66XX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67XX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lastRenderedPageBreak/>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68XX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lang w:val="fr-CH"/>
              </w:rPr>
              <w:t xml:space="preserve">Numéro non géographique Services de téléphonie </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r w:rsidR="00E357D8" w:rsidRPr="008174E6" w:rsidTr="00747333">
        <w:trPr>
          <w:cantSplit/>
          <w:jc w:val="center"/>
        </w:trPr>
        <w:tc>
          <w:tcPr>
            <w:tcW w:w="170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rPr>
            </w:pPr>
            <w:r w:rsidRPr="008174E6">
              <w:rPr>
                <w:rFonts w:ascii="Arial" w:hAnsi="Arial" w:cs="Arial"/>
                <w:sz w:val="20"/>
                <w:szCs w:val="20"/>
              </w:rPr>
              <w:t>23.XI.2011</w:t>
            </w:r>
          </w:p>
        </w:tc>
        <w:tc>
          <w:tcPr>
            <w:tcW w:w="10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w:t>
            </w:r>
          </w:p>
        </w:tc>
        <w:tc>
          <w:tcPr>
            <w:tcW w:w="132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69XX XXXX</w:t>
            </w:r>
          </w:p>
        </w:tc>
        <w:tc>
          <w:tcPr>
            <w:tcW w:w="1596"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rPr>
                <w:rFonts w:ascii="Arial" w:hAnsi="Arial" w:cs="Arial"/>
                <w:b/>
                <w:sz w:val="20"/>
                <w:szCs w:val="20"/>
                <w:lang w:val="fr-CH"/>
              </w:rPr>
            </w:pPr>
            <w:r w:rsidRPr="008174E6">
              <w:rPr>
                <w:rFonts w:ascii="Arial" w:hAnsi="Arial" w:cs="Arial"/>
                <w:sz w:val="20"/>
                <w:szCs w:val="20"/>
              </w:rPr>
              <w:t>Numéro non géographique Services de téléphonie mobile</w:t>
            </w:r>
          </w:p>
        </w:tc>
        <w:tc>
          <w:tcPr>
            <w:tcW w:w="839"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932"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hideMark/>
          </w:tcPr>
          <w:p w:rsidR="00E357D8" w:rsidRPr="008174E6" w:rsidRDefault="00E357D8" w:rsidP="00CE2AD9">
            <w:pPr>
              <w:pStyle w:val="Tabletext0"/>
              <w:jc w:val="center"/>
              <w:rPr>
                <w:rFonts w:ascii="Arial" w:hAnsi="Arial" w:cs="Arial"/>
                <w:b/>
                <w:sz w:val="20"/>
                <w:szCs w:val="20"/>
              </w:rPr>
            </w:pPr>
            <w:r w:rsidRPr="008174E6">
              <w:rPr>
                <w:rFonts w:ascii="Arial" w:hAnsi="Arial" w:cs="Arial"/>
                <w:sz w:val="20"/>
                <w:szCs w:val="20"/>
              </w:rPr>
              <w:t>N/A</w:t>
            </w:r>
          </w:p>
        </w:tc>
        <w:tc>
          <w:tcPr>
            <w:tcW w:w="1134" w:type="dxa"/>
            <w:tcBorders>
              <w:top w:val="single" w:sz="6" w:space="0" w:color="auto"/>
              <w:left w:val="single" w:sz="6" w:space="0" w:color="auto"/>
              <w:bottom w:val="single" w:sz="6" w:space="0" w:color="auto"/>
              <w:right w:val="single" w:sz="6" w:space="0" w:color="auto"/>
            </w:tcBorders>
          </w:tcPr>
          <w:p w:rsidR="00E357D8" w:rsidRPr="008174E6" w:rsidRDefault="00E357D8" w:rsidP="00CE2AD9">
            <w:pPr>
              <w:pStyle w:val="Tabletext0"/>
              <w:rPr>
                <w:rFonts w:ascii="Arial" w:hAnsi="Arial" w:cs="Arial"/>
                <w:b/>
                <w:sz w:val="20"/>
                <w:szCs w:val="20"/>
              </w:rPr>
            </w:pPr>
          </w:p>
        </w:tc>
      </w:tr>
    </w:tbl>
    <w:p w:rsidR="00E357D8" w:rsidRPr="008174E6" w:rsidRDefault="00E357D8" w:rsidP="00E357D8">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
        </w:rPr>
      </w:pPr>
    </w:p>
    <w:p w:rsidR="00E357D8" w:rsidRPr="008174E6" w:rsidRDefault="00E357D8" w:rsidP="00E357D8">
      <w:pPr>
        <w:rPr>
          <w:rFonts w:ascii="Arial" w:hAnsi="Arial" w:cs="Arial"/>
          <w:lang w:val="es-ES"/>
        </w:rPr>
      </w:pPr>
      <w:proofErr w:type="spellStart"/>
      <w:r w:rsidRPr="008174E6">
        <w:rPr>
          <w:rFonts w:ascii="Arial" w:hAnsi="Arial" w:cs="Arial"/>
          <w:lang w:val="es-ES"/>
        </w:rPr>
        <w:t>Contact</w:t>
      </w:r>
      <w:proofErr w:type="spellEnd"/>
      <w:r w:rsidRPr="008174E6">
        <w:rPr>
          <w:rFonts w:ascii="Arial" w:hAnsi="Arial" w:cs="Arial"/>
          <w:lang w:val="es-ES"/>
        </w:rPr>
        <w:t>:</w:t>
      </w:r>
    </w:p>
    <w:p w:rsidR="00E357D8" w:rsidRPr="008174E6" w:rsidRDefault="00E357D8" w:rsidP="00E357D8">
      <w:pPr>
        <w:ind w:left="567" w:hanging="567"/>
        <w:jc w:val="left"/>
        <w:rPr>
          <w:rFonts w:ascii="Arial" w:hAnsi="Arial" w:cs="Arial"/>
          <w:lang w:val="es-ES"/>
        </w:rPr>
      </w:pPr>
      <w:r w:rsidRPr="008174E6">
        <w:rPr>
          <w:rFonts w:ascii="Arial" w:hAnsi="Arial" w:cs="Arial"/>
          <w:lang w:val="es-ES"/>
        </w:rPr>
        <w:tab/>
        <w:t xml:space="preserve">Sr. Luis </w:t>
      </w:r>
      <w:proofErr w:type="spellStart"/>
      <w:r w:rsidRPr="008174E6">
        <w:rPr>
          <w:rFonts w:ascii="Arial" w:hAnsi="Arial" w:cs="Arial"/>
          <w:lang w:val="es-ES"/>
        </w:rPr>
        <w:t>Mendez</w:t>
      </w:r>
      <w:proofErr w:type="spellEnd"/>
      <w:r w:rsidRPr="008174E6">
        <w:rPr>
          <w:rFonts w:ascii="Arial" w:hAnsi="Arial" w:cs="Arial"/>
          <w:lang w:val="es-ES"/>
        </w:rPr>
        <w:t xml:space="preserve"> Menéndez</w:t>
      </w:r>
      <w:r w:rsidRPr="008174E6">
        <w:rPr>
          <w:rFonts w:ascii="Arial" w:hAnsi="Arial" w:cs="Arial"/>
          <w:lang w:val="es-ES"/>
        </w:rPr>
        <w:br/>
        <w:t>Superintendente</w:t>
      </w:r>
      <w:r w:rsidRPr="008174E6">
        <w:rPr>
          <w:rFonts w:ascii="Arial" w:hAnsi="Arial" w:cs="Arial"/>
          <w:lang w:val="es-ES"/>
        </w:rPr>
        <w:br/>
        <w:t>Superintendencia General de Electricidad y Telecomunicaciones (SIGET)</w:t>
      </w:r>
      <w:r w:rsidRPr="008174E6">
        <w:rPr>
          <w:rFonts w:ascii="Arial" w:hAnsi="Arial" w:cs="Arial"/>
          <w:lang w:val="es-ES"/>
        </w:rPr>
        <w:br/>
        <w:t xml:space="preserve">Sexta Décima Calle </w:t>
      </w:r>
      <w:proofErr w:type="spellStart"/>
      <w:r w:rsidRPr="008174E6">
        <w:rPr>
          <w:rFonts w:ascii="Arial" w:hAnsi="Arial" w:cs="Arial"/>
          <w:lang w:val="es-ES"/>
        </w:rPr>
        <w:t>Pte</w:t>
      </w:r>
      <w:proofErr w:type="spellEnd"/>
      <w:r w:rsidRPr="008174E6">
        <w:rPr>
          <w:rFonts w:ascii="Arial" w:hAnsi="Arial" w:cs="Arial"/>
          <w:lang w:val="es-ES"/>
        </w:rPr>
        <w:t>. Y 37e Sur #2001</w:t>
      </w:r>
      <w:r w:rsidRPr="008174E6">
        <w:rPr>
          <w:rFonts w:ascii="Arial" w:hAnsi="Arial" w:cs="Arial"/>
          <w:lang w:val="es-ES"/>
        </w:rPr>
        <w:br/>
        <w:t>Colonia Flor Blanca</w:t>
      </w:r>
      <w:r w:rsidRPr="008174E6">
        <w:rPr>
          <w:rFonts w:ascii="Arial" w:hAnsi="Arial" w:cs="Arial"/>
          <w:lang w:val="es-ES"/>
        </w:rPr>
        <w:br/>
        <w:t>SAN SALVADOR</w:t>
      </w:r>
      <w:r w:rsidRPr="008174E6">
        <w:rPr>
          <w:rFonts w:ascii="Arial" w:hAnsi="Arial" w:cs="Arial"/>
          <w:lang w:val="es-ES"/>
        </w:rPr>
        <w:br/>
        <w:t>El Salvador C.A.</w:t>
      </w:r>
      <w:r w:rsidRPr="008174E6">
        <w:rPr>
          <w:rFonts w:ascii="Arial" w:hAnsi="Arial" w:cs="Arial"/>
          <w:lang w:val="es-ES"/>
        </w:rPr>
        <w:br/>
        <w:t>Tel:</w:t>
      </w:r>
      <w:r w:rsidRPr="008174E6">
        <w:rPr>
          <w:rFonts w:ascii="Arial" w:hAnsi="Arial" w:cs="Arial"/>
          <w:lang w:val="es-ES"/>
        </w:rPr>
        <w:tab/>
        <w:t>+503 2257 4438</w:t>
      </w:r>
      <w:r w:rsidRPr="008174E6">
        <w:rPr>
          <w:rFonts w:ascii="Arial" w:hAnsi="Arial" w:cs="Arial"/>
          <w:lang w:val="es-ES"/>
        </w:rPr>
        <w:br/>
        <w:t>Fax:</w:t>
      </w:r>
      <w:r w:rsidRPr="008174E6">
        <w:rPr>
          <w:rFonts w:ascii="Arial" w:hAnsi="Arial" w:cs="Arial"/>
          <w:lang w:val="es-ES"/>
        </w:rPr>
        <w:tab/>
        <w:t>+503 2257 4499</w:t>
      </w:r>
      <w:r w:rsidRPr="008174E6">
        <w:rPr>
          <w:rFonts w:ascii="Arial" w:hAnsi="Arial" w:cs="Arial"/>
          <w:lang w:val="es-ES"/>
        </w:rPr>
        <w:br/>
        <w:t>E-mail:</w:t>
      </w:r>
      <w:r w:rsidRPr="008174E6">
        <w:rPr>
          <w:rFonts w:ascii="Arial" w:hAnsi="Arial" w:cs="Arial"/>
          <w:lang w:val="es-ES"/>
        </w:rPr>
        <w:tab/>
        <w:t>siget@siget.gob.sv</w:t>
      </w:r>
    </w:p>
    <w:p w:rsidR="00E357D8" w:rsidRDefault="00E357D8" w:rsidP="00E357D8">
      <w:pPr>
        <w:textAlignment w:val="auto"/>
        <w:rPr>
          <w:rFonts w:cs="Arial"/>
          <w:sz w:val="18"/>
          <w:szCs w:val="18"/>
          <w:lang w:val="es-ES"/>
        </w:rPr>
      </w:pPr>
    </w:p>
    <w:p w:rsidR="00B25CAD" w:rsidRPr="00E357D8" w:rsidRDefault="00B25CAD">
      <w:pPr>
        <w:rPr>
          <w:lang w:val="es-ES"/>
        </w:rPr>
      </w:pPr>
    </w:p>
    <w:sectPr w:rsidR="00B25CAD" w:rsidRPr="00E357D8" w:rsidSect="00B25C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357D8"/>
    <w:rsid w:val="00747333"/>
    <w:rsid w:val="00762D90"/>
    <w:rsid w:val="008174E6"/>
    <w:rsid w:val="00B25CAD"/>
    <w:rsid w:val="00CA5B7B"/>
    <w:rsid w:val="00E357D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D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rsid w:val="00E357D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E357D8"/>
    <w:rPr>
      <w:rFonts w:eastAsia="Times New Roman" w:cs="Times New Roman"/>
      <w:sz w:val="20"/>
      <w:szCs w:val="20"/>
      <w:lang w:val="en-GB" w:eastAsia="en-US"/>
    </w:rPr>
  </w:style>
  <w:style w:type="paragraph" w:customStyle="1" w:styleId="Tabletext">
    <w:name w:val="Table_text"/>
    <w:basedOn w:val="Normal"/>
    <w:link w:val="TabletextChar"/>
    <w:rsid w:val="00E357D8"/>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E357D8"/>
    <w:rPr>
      <w:rFonts w:ascii="Calibri" w:eastAsia="Times New Roman" w:hAnsi="Calibri" w:cs="Times New Roman"/>
      <w:b/>
      <w:sz w:val="18"/>
      <w:lang w:val="fr-FR" w:eastAsia="en-US"/>
    </w:rPr>
  </w:style>
  <w:style w:type="character" w:styleId="Hyperlink">
    <w:name w:val="Hyperlink"/>
    <w:basedOn w:val="DefaultParagraphFont"/>
    <w:rsid w:val="00E357D8"/>
    <w:rPr>
      <w:color w:val="0000FF"/>
      <w:u w:val="single"/>
    </w:rPr>
  </w:style>
  <w:style w:type="paragraph" w:customStyle="1" w:styleId="Tablehead">
    <w:name w:val="Table head"/>
    <w:basedOn w:val="TableHead0"/>
    <w:rsid w:val="00E357D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76"/>
        <w:tab w:val="left" w:pos="1843"/>
      </w:tabs>
      <w:spacing w:before="60" w:after="60"/>
    </w:pPr>
    <w:rPr>
      <w:rFonts w:ascii="Calibri" w:hAnsi="Calibri"/>
      <w:lang w:val="fr-FR"/>
    </w:rPr>
  </w:style>
  <w:style w:type="paragraph" w:customStyle="1" w:styleId="Tabletext0">
    <w:name w:val="Table text"/>
    <w:basedOn w:val="Tabletext"/>
    <w:rsid w:val="00E357D8"/>
    <w:rPr>
      <w:b w:val="0"/>
      <w:bCs/>
    </w:rPr>
  </w:style>
  <w:style w:type="paragraph" w:customStyle="1" w:styleId="blanc">
    <w:name w:val="blanc"/>
    <w:basedOn w:val="Normal"/>
    <w:link w:val="blancChar"/>
    <w:rsid w:val="00E357D8"/>
    <w:pPr>
      <w:spacing w:before="0"/>
    </w:pPr>
    <w:rPr>
      <w:sz w:val="12"/>
    </w:rPr>
  </w:style>
  <w:style w:type="character" w:customStyle="1" w:styleId="blancChar">
    <w:name w:val="blanc Char"/>
    <w:basedOn w:val="DefaultParagraphFont"/>
    <w:link w:val="blanc"/>
    <w:rsid w:val="00E357D8"/>
    <w:rPr>
      <w:rFonts w:ascii="Calibri" w:eastAsia="Times New Roman" w:hAnsi="Calibri" w:cs="Times New Roman"/>
      <w:sz w:val="12"/>
      <w:szCs w:val="20"/>
      <w:lang w:val="en-GB" w:eastAsia="en-US"/>
    </w:rPr>
  </w:style>
  <w:style w:type="paragraph" w:customStyle="1" w:styleId="TableHead0">
    <w:name w:val="Table_Head"/>
    <w:basedOn w:val="Normal"/>
    <w:rsid w:val="00E357D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TableText1">
    <w:name w:val="Table_Text"/>
    <w:basedOn w:val="Normal"/>
    <w:rsid w:val="00E357D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et.gob.sv/index.php?option=com_content&amp;view=category&amp;id=102&amp;Itemid=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1213</Words>
  <Characters>6916</Characters>
  <Application>Microsoft Office Word</Application>
  <DocSecurity>0</DocSecurity>
  <Lines>57</Lines>
  <Paragraphs>16</Paragraphs>
  <ScaleCrop>false</ScaleCrop>
  <Company>ITU</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4</cp:revision>
  <dcterms:created xsi:type="dcterms:W3CDTF">2012-01-04T09:55:00Z</dcterms:created>
  <dcterms:modified xsi:type="dcterms:W3CDTF">2012-01-04T10:02:00Z</dcterms:modified>
</cp:coreProperties>
</file>